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B4F75" w14:textId="50FE42D5" w:rsidR="006B17DE" w:rsidRPr="00AF7C04" w:rsidRDefault="006B17DE" w:rsidP="006B17DE">
      <w:pPr>
        <w:pStyle w:val="2-SectionHeading"/>
        <w:spacing w:before="0"/>
      </w:pPr>
      <w:r w:rsidRPr="00AF7C04">
        <w:t xml:space="preserve">PBS Post-market Review workplan – </w:t>
      </w:r>
      <w:r>
        <w:t>September</w:t>
      </w:r>
      <w:r w:rsidRPr="00AF7C04">
        <w:t xml:space="preserve"> 2024</w:t>
      </w:r>
    </w:p>
    <w:p w14:paraId="4CCA8AA7" w14:textId="6472618D" w:rsidR="00A017CA" w:rsidRPr="00AF7C04" w:rsidRDefault="00A017CA" w:rsidP="007A7EFC">
      <w:pPr>
        <w:pStyle w:val="3Bodytext"/>
        <w:keepLines/>
        <w:numPr>
          <w:ilvl w:val="0"/>
          <w:numId w:val="0"/>
        </w:numPr>
      </w:pPr>
      <w:r w:rsidRPr="00AF7C04">
        <w:t xml:space="preserve">There are currently no Post-market Reviews (PMRs) of medicines on the Pharmaceutical Benefits Scheme (PBS) underway. Table 1 includes information on current research projects being undertaken by the PMR section. In line with the </w:t>
      </w:r>
      <w:hyperlink r:id="rId8" w:history="1">
        <w:r w:rsidRPr="00AF7C04">
          <w:rPr>
            <w:rStyle w:val="Hyperlink"/>
          </w:rPr>
          <w:t xml:space="preserve">PMR </w:t>
        </w:r>
        <w:r w:rsidR="00C84DF9">
          <w:rPr>
            <w:rStyle w:val="Hyperlink"/>
          </w:rPr>
          <w:t>F</w:t>
        </w:r>
        <w:r w:rsidRPr="00AF7C04">
          <w:rPr>
            <w:rStyle w:val="Hyperlink"/>
          </w:rPr>
          <w:t>ramework</w:t>
        </w:r>
      </w:hyperlink>
      <w:r w:rsidRPr="00AF7C04">
        <w:t xml:space="preserve">, these research projects may inform the Pharmaceutical Benefits Advisory Committee (PBAC) of potential PMR topics. </w:t>
      </w:r>
    </w:p>
    <w:p w14:paraId="1135FEFD" w14:textId="26334979" w:rsidR="00A017CA" w:rsidRPr="00AF7C04" w:rsidRDefault="00A017CA" w:rsidP="007A7EFC">
      <w:pPr>
        <w:pStyle w:val="3Bodytext"/>
        <w:keepLines/>
        <w:numPr>
          <w:ilvl w:val="0"/>
          <w:numId w:val="0"/>
        </w:numPr>
      </w:pPr>
      <w:r w:rsidRPr="00AF7C04">
        <w:t xml:space="preserve">Minor updates have been made following consideration of the PMR workplan by the PBAC at its </w:t>
      </w:r>
      <w:r w:rsidR="00ED1D74">
        <w:t>September</w:t>
      </w:r>
      <w:r w:rsidRPr="00AF7C04">
        <w:t xml:space="preserve"> 2024 intracycle meeting. Project timelines in the table are indicative and reflect the status at the time of publishing.</w:t>
      </w:r>
    </w:p>
    <w:p w14:paraId="5F83ECFA" w14:textId="13154AA6" w:rsidR="00A017CA" w:rsidRPr="00AF7C04" w:rsidRDefault="00A017CA" w:rsidP="007A7EFC">
      <w:pPr>
        <w:pStyle w:val="3Bodytext"/>
        <w:keepLines/>
        <w:numPr>
          <w:ilvl w:val="0"/>
          <w:numId w:val="0"/>
        </w:numPr>
      </w:pPr>
      <w:r w:rsidRPr="00AF7C04">
        <w:t xml:space="preserve">If you have any questions relating to the PMR workplan, please email </w:t>
      </w:r>
      <w:r w:rsidR="00C84DF9">
        <w:t xml:space="preserve">the </w:t>
      </w:r>
      <w:hyperlink r:id="rId9" w:history="1">
        <w:r w:rsidR="00C84DF9" w:rsidRPr="00C84DF9">
          <w:rPr>
            <w:rStyle w:val="Hyperlink"/>
          </w:rPr>
          <w:t>PMR section</w:t>
        </w:r>
      </w:hyperlink>
      <w:r w:rsidR="00C84DF9">
        <w:t>.</w:t>
      </w:r>
      <w:r w:rsidRPr="00AF7C04">
        <w:t xml:space="preserve"> </w:t>
      </w:r>
    </w:p>
    <w:p w14:paraId="63270E15" w14:textId="77777777" w:rsidR="00A017CA" w:rsidRPr="00AF7C04" w:rsidRDefault="00A017CA" w:rsidP="00A017CA">
      <w:pPr>
        <w:spacing w:after="120"/>
        <w:jc w:val="both"/>
        <w:rPr>
          <w:b/>
          <w:bCs/>
        </w:rPr>
      </w:pPr>
      <w:r w:rsidRPr="00AF7C04">
        <w:rPr>
          <w:rFonts w:cstheme="minorBidi"/>
          <w:b/>
          <w:bCs/>
          <w:szCs w:val="22"/>
        </w:rPr>
        <w:t xml:space="preserve">Table 1: Current research projects being undertaken by the PMR </w:t>
      </w:r>
      <w:proofErr w:type="gramStart"/>
      <w:r w:rsidRPr="00AF7C04">
        <w:rPr>
          <w:rFonts w:cstheme="minorBidi"/>
          <w:b/>
          <w:bCs/>
          <w:szCs w:val="22"/>
        </w:rPr>
        <w:t>section</w:t>
      </w:r>
      <w:proofErr w:type="gramEnd"/>
    </w:p>
    <w:tbl>
      <w:tblPr>
        <w:tblStyle w:val="TableGrid"/>
        <w:tblW w:w="14071" w:type="dxa"/>
        <w:tblLayout w:type="fixed"/>
        <w:tblLook w:val="04A0" w:firstRow="1" w:lastRow="0" w:firstColumn="1" w:lastColumn="0" w:noHBand="0" w:noVBand="1"/>
      </w:tblPr>
      <w:tblGrid>
        <w:gridCol w:w="2542"/>
        <w:gridCol w:w="8749"/>
        <w:gridCol w:w="2780"/>
      </w:tblGrid>
      <w:tr w:rsidR="4A6F1CD6" w14:paraId="08C5B640" w14:textId="77777777" w:rsidTr="008F6D3C">
        <w:trPr>
          <w:trHeight w:val="300"/>
          <w:tblHeader/>
        </w:trPr>
        <w:tc>
          <w:tcPr>
            <w:tcW w:w="2542"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tcPr>
          <w:p w14:paraId="15B9B622" w14:textId="5403355A" w:rsidR="4A6F1CD6" w:rsidRDefault="4A6F1CD6" w:rsidP="4A6F1CD6">
            <w:r w:rsidRPr="4A6F1CD6">
              <w:rPr>
                <w:rFonts w:ascii="Calibri" w:eastAsia="Calibri" w:hAnsi="Calibri" w:cs="Calibri"/>
                <w:b/>
                <w:bCs/>
                <w:color w:val="000000" w:themeColor="text1"/>
                <w:sz w:val="22"/>
                <w:szCs w:val="22"/>
              </w:rPr>
              <w:t>Indication</w:t>
            </w:r>
          </w:p>
        </w:tc>
        <w:tc>
          <w:tcPr>
            <w:tcW w:w="8749"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tcPr>
          <w:p w14:paraId="30C2BA36" w14:textId="194FADD5" w:rsidR="4A6F1CD6" w:rsidRDefault="4A6F1CD6" w:rsidP="4A6F1CD6">
            <w:r w:rsidRPr="4A6F1CD6">
              <w:rPr>
                <w:rFonts w:ascii="Calibri" w:eastAsia="Calibri" w:hAnsi="Calibri" w:cs="Calibri"/>
                <w:b/>
                <w:bCs/>
                <w:color w:val="000000" w:themeColor="text1"/>
                <w:sz w:val="22"/>
                <w:szCs w:val="22"/>
              </w:rPr>
              <w:t>Project title</w:t>
            </w:r>
          </w:p>
          <w:p w14:paraId="610D79AD" w14:textId="367C58ED" w:rsidR="4A6F1CD6" w:rsidRDefault="4A6F1CD6" w:rsidP="4A6F1CD6">
            <w:r w:rsidRPr="4A6F1CD6">
              <w:rPr>
                <w:rFonts w:ascii="Calibri" w:eastAsia="Calibri" w:hAnsi="Calibri" w:cs="Calibri"/>
                <w:b/>
                <w:bCs/>
                <w:color w:val="000000" w:themeColor="text1"/>
                <w:sz w:val="22"/>
                <w:szCs w:val="22"/>
              </w:rPr>
              <w:t>Background, Status and Next steps</w:t>
            </w:r>
          </w:p>
        </w:tc>
        <w:tc>
          <w:tcPr>
            <w:tcW w:w="2780"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tcPr>
          <w:p w14:paraId="14E0E800" w14:textId="1CEAB896" w:rsidR="4A6F1CD6" w:rsidRDefault="4A6F1CD6" w:rsidP="4A6F1CD6">
            <w:r w:rsidRPr="4A6F1CD6">
              <w:rPr>
                <w:rFonts w:ascii="Calibri" w:eastAsia="Calibri" w:hAnsi="Calibri" w:cs="Calibri"/>
                <w:b/>
                <w:bCs/>
                <w:color w:val="000000" w:themeColor="text1"/>
                <w:sz w:val="22"/>
                <w:szCs w:val="22"/>
              </w:rPr>
              <w:t>Medicines</w:t>
            </w:r>
          </w:p>
        </w:tc>
      </w:tr>
      <w:tr w:rsidR="4A6F1CD6" w14:paraId="56420953" w14:textId="77777777" w:rsidTr="008F6D3C">
        <w:trPr>
          <w:trHeight w:val="300"/>
        </w:trPr>
        <w:tc>
          <w:tcPr>
            <w:tcW w:w="2542" w:type="dxa"/>
            <w:tcBorders>
              <w:top w:val="single" w:sz="8" w:space="0" w:color="auto"/>
              <w:left w:val="single" w:sz="8" w:space="0" w:color="auto"/>
              <w:bottom w:val="single" w:sz="8" w:space="0" w:color="auto"/>
              <w:right w:val="single" w:sz="8" w:space="0" w:color="auto"/>
            </w:tcBorders>
            <w:tcMar>
              <w:left w:w="108" w:type="dxa"/>
              <w:right w:w="108" w:type="dxa"/>
            </w:tcMar>
          </w:tcPr>
          <w:p w14:paraId="46BFEF40" w14:textId="02DFA904" w:rsidR="4A6F1CD6" w:rsidRDefault="4A6F1CD6" w:rsidP="4A6F1CD6">
            <w:r w:rsidRPr="4A6F1CD6">
              <w:rPr>
                <w:rFonts w:ascii="Calibri" w:eastAsia="Calibri" w:hAnsi="Calibri" w:cs="Calibri"/>
                <w:sz w:val="22"/>
                <w:szCs w:val="22"/>
              </w:rPr>
              <w:t>Type 2 diabetes mellitus (T2DM)</w:t>
            </w:r>
          </w:p>
          <w:p w14:paraId="2A578650" w14:textId="5297FE80" w:rsidR="4A6F1CD6" w:rsidRDefault="4A6F1CD6" w:rsidP="4A6F1CD6">
            <w:r w:rsidRPr="4A6F1CD6">
              <w:rPr>
                <w:rFonts w:ascii="Calibri" w:eastAsia="Calibri" w:hAnsi="Calibri" w:cs="Calibri"/>
                <w:sz w:val="22"/>
                <w:szCs w:val="22"/>
              </w:rPr>
              <w:t xml:space="preserve"> </w:t>
            </w:r>
          </w:p>
        </w:tc>
        <w:tc>
          <w:tcPr>
            <w:tcW w:w="8749" w:type="dxa"/>
            <w:tcBorders>
              <w:top w:val="single" w:sz="8" w:space="0" w:color="auto"/>
              <w:left w:val="single" w:sz="8" w:space="0" w:color="auto"/>
              <w:bottom w:val="single" w:sz="8" w:space="0" w:color="auto"/>
              <w:right w:val="single" w:sz="8" w:space="0" w:color="auto"/>
            </w:tcBorders>
            <w:tcMar>
              <w:left w:w="108" w:type="dxa"/>
              <w:right w:w="108" w:type="dxa"/>
            </w:tcMar>
          </w:tcPr>
          <w:p w14:paraId="3882156E" w14:textId="6F6DD5CC" w:rsidR="4A6F1CD6" w:rsidRDefault="4A6F1CD6" w:rsidP="4A6F1CD6">
            <w:pPr>
              <w:spacing w:after="120"/>
              <w:rPr>
                <w:rFonts w:ascii="Calibri" w:eastAsia="Calibri" w:hAnsi="Calibri" w:cs="Calibri"/>
                <w:b/>
                <w:bCs/>
                <w:sz w:val="22"/>
                <w:szCs w:val="22"/>
              </w:rPr>
            </w:pPr>
            <w:r w:rsidRPr="4A6F1CD6">
              <w:rPr>
                <w:rFonts w:ascii="Calibri" w:eastAsia="Calibri" w:hAnsi="Calibri" w:cs="Calibri"/>
                <w:b/>
                <w:bCs/>
                <w:sz w:val="22"/>
                <w:szCs w:val="22"/>
              </w:rPr>
              <w:t>PBS restrictions for T2DM medicines</w:t>
            </w:r>
          </w:p>
          <w:p w14:paraId="2D818E9E" w14:textId="6D75AA08" w:rsidR="4A6F1CD6" w:rsidRDefault="4A6F1CD6" w:rsidP="4A6F1CD6">
            <w:pPr>
              <w:spacing w:after="120"/>
            </w:pPr>
            <w:r w:rsidRPr="4A6F1CD6">
              <w:rPr>
                <w:rFonts w:ascii="Calibri" w:eastAsia="Calibri" w:hAnsi="Calibri" w:cs="Calibri"/>
                <w:b/>
                <w:bCs/>
                <w:sz w:val="22"/>
                <w:szCs w:val="22"/>
              </w:rPr>
              <w:t>Background</w:t>
            </w:r>
          </w:p>
          <w:p w14:paraId="7A901EF2" w14:textId="76175C20" w:rsidR="4A6F1CD6" w:rsidRDefault="4A6F1CD6" w:rsidP="4A6F1CD6">
            <w:pPr>
              <w:spacing w:after="120"/>
            </w:pPr>
            <w:r w:rsidRPr="4A6F1CD6">
              <w:rPr>
                <w:rFonts w:ascii="Calibri" w:eastAsia="Calibri" w:hAnsi="Calibri" w:cs="Calibri"/>
                <w:sz w:val="22"/>
                <w:szCs w:val="22"/>
              </w:rPr>
              <w:t xml:space="preserve">In September 2019, a stakeholder wrote to the PBAC requesting broader listings for sodium-glucose </w:t>
            </w:r>
            <w:r w:rsidR="00C84DF9">
              <w:rPr>
                <w:rFonts w:ascii="Calibri" w:eastAsia="Calibri" w:hAnsi="Calibri" w:cs="Calibri"/>
                <w:sz w:val="22"/>
                <w:szCs w:val="22"/>
              </w:rPr>
              <w:t>co</w:t>
            </w:r>
            <w:r w:rsidRPr="4A6F1CD6">
              <w:rPr>
                <w:rFonts w:ascii="Calibri" w:eastAsia="Calibri" w:hAnsi="Calibri" w:cs="Calibri"/>
                <w:sz w:val="22"/>
                <w:szCs w:val="22"/>
              </w:rPr>
              <w:t>transport</w:t>
            </w:r>
            <w:r w:rsidR="00C84DF9">
              <w:rPr>
                <w:rFonts w:ascii="Calibri" w:eastAsia="Calibri" w:hAnsi="Calibri" w:cs="Calibri"/>
                <w:sz w:val="22"/>
                <w:szCs w:val="22"/>
              </w:rPr>
              <w:t>er-</w:t>
            </w:r>
            <w:r w:rsidRPr="4A6F1CD6">
              <w:rPr>
                <w:rFonts w:ascii="Calibri" w:eastAsia="Calibri" w:hAnsi="Calibri" w:cs="Calibri"/>
                <w:sz w:val="22"/>
                <w:szCs w:val="22"/>
              </w:rPr>
              <w:t>2 (SGLT2) inhibitors and glucagon-like peptide</w:t>
            </w:r>
            <w:r w:rsidR="00C84DF9">
              <w:rPr>
                <w:rFonts w:ascii="Calibri" w:eastAsia="Calibri" w:hAnsi="Calibri" w:cs="Calibri"/>
                <w:sz w:val="22"/>
                <w:szCs w:val="22"/>
              </w:rPr>
              <w:t>-</w:t>
            </w:r>
            <w:r w:rsidRPr="4A6F1CD6">
              <w:rPr>
                <w:rFonts w:ascii="Calibri" w:eastAsia="Calibri" w:hAnsi="Calibri" w:cs="Calibri"/>
                <w:sz w:val="22"/>
                <w:szCs w:val="22"/>
              </w:rPr>
              <w:t>1 receptor agonists (GLP</w:t>
            </w:r>
            <w:r w:rsidR="00C84DF9">
              <w:rPr>
                <w:rFonts w:ascii="Calibri" w:eastAsia="Calibri" w:hAnsi="Calibri" w:cs="Calibri"/>
                <w:sz w:val="22"/>
                <w:szCs w:val="22"/>
              </w:rPr>
              <w:noBreakHyphen/>
            </w:r>
            <w:r w:rsidRPr="4A6F1CD6">
              <w:rPr>
                <w:rFonts w:ascii="Calibri" w:eastAsia="Calibri" w:hAnsi="Calibri" w:cs="Calibri"/>
                <w:sz w:val="22"/>
                <w:szCs w:val="22"/>
              </w:rPr>
              <w:t>1 RAs) on the PBS. Following a series of cost-effectiveness analyses, in March 2022, the PBAC recommended that the</w:t>
            </w:r>
            <w:r w:rsidRPr="4A6F1CD6">
              <w:rPr>
                <w:rFonts w:ascii="Calibri" w:eastAsia="Calibri" w:hAnsi="Calibri" w:cs="Calibri"/>
                <w:b/>
                <w:bCs/>
                <w:sz w:val="22"/>
                <w:szCs w:val="22"/>
              </w:rPr>
              <w:t xml:space="preserve"> </w:t>
            </w:r>
            <w:r w:rsidRPr="4A6F1CD6">
              <w:rPr>
                <w:rFonts w:ascii="Calibri" w:eastAsia="Calibri" w:hAnsi="Calibri" w:cs="Calibri"/>
                <w:sz w:val="22"/>
                <w:szCs w:val="22"/>
              </w:rPr>
              <w:t xml:space="preserve">listings for dapagliflozin and empagliflozin be revised to allow for use as add-on therapy to metformin in patients with T2DM and high cardiovascular risk, without a glycaemic requirement. </w:t>
            </w:r>
          </w:p>
          <w:p w14:paraId="7D3E5582" w14:textId="2362E9AC" w:rsidR="4A6F1CD6" w:rsidRDefault="4A6F1CD6" w:rsidP="4A6F1CD6">
            <w:pPr>
              <w:spacing w:after="120"/>
            </w:pPr>
            <w:r w:rsidRPr="4A6F1CD6">
              <w:rPr>
                <w:rFonts w:ascii="Calibri" w:eastAsia="Calibri" w:hAnsi="Calibri" w:cs="Calibri"/>
                <w:sz w:val="22"/>
                <w:szCs w:val="22"/>
              </w:rPr>
              <w:t>The PBAC requested a subsequent utilisation analysis of T2DM medicines on the PBS, which identified high use of GLP-1 RAs outside of the PBS restrictions. The utilisation analysis also identified some use of SGLT2 inhibitors and dipeptidyl-peptidase 4 (DPP4) inhibitors outside of the PBS restrictions. The PBAC recommended a 15% price reduction to the cost of these medicines to account for use outside the restrictions, for which cost-effectiveness has not been considered. The PBAC recommended that if the 15% price reduction to SGLT2 inhibitors was implemented, then the March 2022 recommendation to expand the listings of SGLT2 inhibitors could be implemented without further price reductions or a financial cap.</w:t>
            </w:r>
          </w:p>
          <w:p w14:paraId="1DD7DDC8" w14:textId="71FBA809" w:rsidR="4A6F1CD6" w:rsidRDefault="4A6F1CD6" w:rsidP="4A6F1CD6">
            <w:pPr>
              <w:spacing w:after="120"/>
            </w:pPr>
            <w:r w:rsidRPr="4A6F1CD6">
              <w:rPr>
                <w:rFonts w:ascii="Calibri" w:eastAsia="Calibri" w:hAnsi="Calibri" w:cs="Calibri"/>
                <w:sz w:val="22"/>
                <w:szCs w:val="22"/>
              </w:rPr>
              <w:lastRenderedPageBreak/>
              <w:t xml:space="preserve">In July 2023, the PBAC recommended several changes to simplify the restrictions for pioglitazone, DPP4 inhibitors, SGLT2 inhibitors and GLP-1 RAs. The PBAC recommended that GLP-1 RAs be made second‑line to SGLT2 inhibitors and change to a telephone/electronic authority for therapy initiation. </w:t>
            </w:r>
          </w:p>
          <w:p w14:paraId="1237B0D3" w14:textId="38C31837" w:rsidR="4A6F1CD6" w:rsidRDefault="4A6F1CD6" w:rsidP="4A6F1CD6">
            <w:pPr>
              <w:spacing w:after="120"/>
            </w:pPr>
            <w:r w:rsidRPr="4A6F1CD6">
              <w:rPr>
                <w:rFonts w:ascii="Calibri" w:eastAsia="Calibri" w:hAnsi="Calibri" w:cs="Calibri"/>
                <w:sz w:val="22"/>
                <w:szCs w:val="22"/>
              </w:rPr>
              <w:t xml:space="preserve">On 1 June 2024, changes were made to the restrictions of several medicines listed on the PBS for the treatment of T2DM to implement recommendations made by the PBAC in March 2023, July 2023, and March 2024. These changes were  accompanied by stakeholder communication and educational materials published on the </w:t>
            </w:r>
            <w:hyperlink r:id="rId10">
              <w:r w:rsidRPr="4A6F1CD6">
                <w:rPr>
                  <w:rStyle w:val="Hyperlink"/>
                  <w:rFonts w:ascii="Calibri" w:eastAsia="Calibri" w:hAnsi="Calibri" w:cs="Calibri"/>
                  <w:sz w:val="22"/>
                  <w:szCs w:val="22"/>
                </w:rPr>
                <w:t>PBS website</w:t>
              </w:r>
            </w:hyperlink>
            <w:r w:rsidRPr="4A6F1CD6">
              <w:rPr>
                <w:rFonts w:ascii="Calibri" w:eastAsia="Calibri" w:hAnsi="Calibri" w:cs="Calibri"/>
                <w:sz w:val="22"/>
                <w:szCs w:val="22"/>
              </w:rPr>
              <w:t>. Price reductions to two PBS-listed DPP4 inhibitors were also implemented on this date.</w:t>
            </w:r>
          </w:p>
          <w:p w14:paraId="6D522642" w14:textId="1BADB3E0" w:rsidR="4A6F1CD6" w:rsidRDefault="4A6F1CD6" w:rsidP="4A6F1CD6">
            <w:pPr>
              <w:spacing w:after="120"/>
              <w:rPr>
                <w:rFonts w:ascii="Calibri" w:eastAsia="Calibri" w:hAnsi="Calibri" w:cs="Calibri"/>
                <w:sz w:val="22"/>
                <w:szCs w:val="22"/>
              </w:rPr>
            </w:pPr>
            <w:r w:rsidRPr="4A6F1CD6">
              <w:rPr>
                <w:rFonts w:ascii="Calibri" w:eastAsia="Calibri" w:hAnsi="Calibri" w:cs="Calibri"/>
                <w:sz w:val="22"/>
                <w:szCs w:val="22"/>
              </w:rPr>
              <w:t>In July 2023, the PBAC considered that it may be appropriate to expand the PBS listings for GLP-1 RAs to include use in combination with metformin, a sulfonylurea or insulin, for T2DM patients with a body mass index (BMI) greater than 35 kg/m</w:t>
            </w:r>
            <w:r w:rsidRPr="4A6F1CD6">
              <w:rPr>
                <w:rFonts w:ascii="Calibri" w:eastAsia="Calibri" w:hAnsi="Calibri" w:cs="Calibri"/>
                <w:sz w:val="22"/>
                <w:szCs w:val="22"/>
                <w:vertAlign w:val="superscript"/>
              </w:rPr>
              <w:t>2</w:t>
            </w:r>
            <w:r w:rsidRPr="4A6F1CD6">
              <w:rPr>
                <w:rFonts w:ascii="Calibri" w:eastAsia="Calibri" w:hAnsi="Calibri" w:cs="Calibri"/>
                <w:sz w:val="22"/>
                <w:szCs w:val="22"/>
              </w:rPr>
              <w:t xml:space="preserve">, without a requirement to trial an SGLT2 inhibitor. The PBAC requested that the Department provide financial estimates for this expanded listing to be considered at a future meeting. </w:t>
            </w:r>
          </w:p>
          <w:p w14:paraId="31D6FADB" w14:textId="30562E59" w:rsidR="4A6F1CD6" w:rsidRDefault="00C84DF9" w:rsidP="4A6F1CD6">
            <w:pPr>
              <w:spacing w:after="120"/>
            </w:pPr>
            <w:r w:rsidRPr="4A6F1CD6">
              <w:rPr>
                <w:rFonts w:ascii="Calibri" w:eastAsia="Calibri" w:hAnsi="Calibri" w:cs="Calibri"/>
                <w:sz w:val="22"/>
                <w:szCs w:val="22"/>
              </w:rPr>
              <w:t>In</w:t>
            </w:r>
            <w:r>
              <w:rPr>
                <w:rFonts w:ascii="Calibri" w:eastAsia="Calibri" w:hAnsi="Calibri" w:cs="Calibri"/>
                <w:sz w:val="22"/>
                <w:szCs w:val="22"/>
              </w:rPr>
              <w:t xml:space="preserve"> July 2024</w:t>
            </w:r>
            <w:r w:rsidRPr="4A6F1CD6">
              <w:rPr>
                <w:rFonts w:ascii="Calibri" w:eastAsia="Calibri" w:hAnsi="Calibri" w:cs="Calibri"/>
                <w:sz w:val="22"/>
                <w:szCs w:val="22"/>
              </w:rPr>
              <w:t xml:space="preserve">, the PBAC </w:t>
            </w:r>
            <w:r>
              <w:rPr>
                <w:rFonts w:ascii="Calibri" w:eastAsia="Calibri" w:hAnsi="Calibri" w:cs="Calibri"/>
                <w:sz w:val="22"/>
                <w:szCs w:val="22"/>
              </w:rPr>
              <w:t xml:space="preserve">considered </w:t>
            </w:r>
            <w:r w:rsidRPr="4A6F1CD6">
              <w:rPr>
                <w:rFonts w:ascii="Calibri" w:eastAsia="Calibri" w:hAnsi="Calibri" w:cs="Calibri"/>
                <w:sz w:val="22"/>
                <w:szCs w:val="22"/>
              </w:rPr>
              <w:t>updated financial estimates</w:t>
            </w:r>
            <w:r>
              <w:rPr>
                <w:rFonts w:ascii="Calibri" w:eastAsia="Calibri" w:hAnsi="Calibri" w:cs="Calibri"/>
                <w:sz w:val="22"/>
                <w:szCs w:val="22"/>
              </w:rPr>
              <w:t xml:space="preserve"> for the </w:t>
            </w:r>
            <w:r w:rsidRPr="4A6F1CD6">
              <w:rPr>
                <w:rFonts w:ascii="Calibri" w:eastAsia="Calibri" w:hAnsi="Calibri" w:cs="Calibri"/>
                <w:sz w:val="22"/>
                <w:szCs w:val="22"/>
              </w:rPr>
              <w:t>March 2022</w:t>
            </w:r>
            <w:r>
              <w:rPr>
                <w:rFonts w:ascii="Calibri" w:eastAsia="Calibri" w:hAnsi="Calibri" w:cs="Calibri"/>
                <w:sz w:val="22"/>
                <w:szCs w:val="22"/>
              </w:rPr>
              <w:t xml:space="preserve"> recommendation </w:t>
            </w:r>
            <w:r w:rsidRPr="4A6F1CD6">
              <w:rPr>
                <w:rFonts w:ascii="Calibri" w:eastAsia="Calibri" w:hAnsi="Calibri" w:cs="Calibri"/>
                <w:sz w:val="22"/>
                <w:szCs w:val="22"/>
              </w:rPr>
              <w:t>to expand access to SGLT2 inhibitors for patients with T2DM and high cardiovascular risk</w:t>
            </w:r>
            <w:r>
              <w:rPr>
                <w:rFonts w:ascii="Calibri" w:eastAsia="Calibri" w:hAnsi="Calibri" w:cs="Calibri"/>
                <w:sz w:val="22"/>
                <w:szCs w:val="22"/>
              </w:rPr>
              <w:t xml:space="preserve"> and reaffirmed this recommendation</w:t>
            </w:r>
            <w:r w:rsidRPr="4A6F1CD6">
              <w:rPr>
                <w:rFonts w:ascii="Calibri" w:eastAsia="Calibri" w:hAnsi="Calibri" w:cs="Calibri"/>
                <w:sz w:val="22"/>
                <w:szCs w:val="22"/>
              </w:rPr>
              <w:t>.</w:t>
            </w:r>
          </w:p>
          <w:p w14:paraId="170C88B6" w14:textId="4876E6C9" w:rsidR="4A6F1CD6" w:rsidRDefault="4A6F1CD6" w:rsidP="4A6F1CD6">
            <w:pPr>
              <w:spacing w:after="120"/>
            </w:pPr>
            <w:r w:rsidRPr="4A6F1CD6">
              <w:rPr>
                <w:rFonts w:ascii="Calibri" w:eastAsia="Calibri" w:hAnsi="Calibri" w:cs="Calibri"/>
                <w:b/>
                <w:bCs/>
                <w:sz w:val="22"/>
                <w:szCs w:val="22"/>
              </w:rPr>
              <w:t>Next steps</w:t>
            </w:r>
          </w:p>
          <w:p w14:paraId="39ACE0F3" w14:textId="0FA40F45" w:rsidR="4A6F1CD6" w:rsidRPr="005B6DBE" w:rsidRDefault="00FE4451" w:rsidP="005B6DBE">
            <w:pPr>
              <w:spacing w:after="120"/>
              <w:rPr>
                <w:rFonts w:ascii="Calibri" w:eastAsia="Calibri" w:hAnsi="Calibri" w:cs="Calibri"/>
                <w:sz w:val="22"/>
                <w:szCs w:val="22"/>
              </w:rPr>
            </w:pPr>
            <w:r w:rsidRPr="005B6DBE">
              <w:rPr>
                <w:rFonts w:ascii="Calibri" w:eastAsia="Calibri" w:hAnsi="Calibri" w:cs="Calibri"/>
                <w:sz w:val="22"/>
                <w:szCs w:val="22"/>
              </w:rPr>
              <w:t>The Department will i</w:t>
            </w:r>
            <w:r w:rsidR="000B45A1" w:rsidRPr="005B6DBE">
              <w:rPr>
                <w:rFonts w:ascii="Calibri" w:eastAsia="Calibri" w:hAnsi="Calibri" w:cs="Calibri"/>
                <w:sz w:val="22"/>
                <w:szCs w:val="22"/>
              </w:rPr>
              <w:t xml:space="preserve">mplement the March 2022 </w:t>
            </w:r>
            <w:r w:rsidR="4A6F1CD6" w:rsidRPr="005B6DBE">
              <w:rPr>
                <w:rFonts w:ascii="Calibri" w:eastAsia="Calibri" w:hAnsi="Calibri" w:cs="Calibri"/>
                <w:sz w:val="22"/>
                <w:szCs w:val="22"/>
              </w:rPr>
              <w:t>SGLT2 inhibitor restriction changes</w:t>
            </w:r>
            <w:r w:rsidR="000B45A1" w:rsidRPr="005B6DBE">
              <w:rPr>
                <w:rFonts w:ascii="Calibri" w:eastAsia="Calibri" w:hAnsi="Calibri" w:cs="Calibri"/>
                <w:sz w:val="22"/>
                <w:szCs w:val="22"/>
              </w:rPr>
              <w:t xml:space="preserve"> </w:t>
            </w:r>
            <w:r w:rsidRPr="005B6DBE">
              <w:rPr>
                <w:rFonts w:ascii="Calibri" w:eastAsia="Calibri" w:hAnsi="Calibri" w:cs="Calibri"/>
                <w:sz w:val="22"/>
                <w:szCs w:val="22"/>
              </w:rPr>
              <w:t xml:space="preserve">as part of routine monthly changes to the PBS schedule </w:t>
            </w:r>
            <w:r w:rsidR="000B45A1" w:rsidRPr="005B6DBE">
              <w:rPr>
                <w:rFonts w:ascii="Calibri" w:eastAsia="Calibri" w:hAnsi="Calibri" w:cs="Calibri"/>
                <w:sz w:val="22"/>
                <w:szCs w:val="22"/>
              </w:rPr>
              <w:t xml:space="preserve">- </w:t>
            </w:r>
            <w:r w:rsidR="00B1724A">
              <w:rPr>
                <w:rFonts w:ascii="Calibri" w:eastAsia="Calibri" w:hAnsi="Calibri" w:cs="Calibri"/>
                <w:sz w:val="22"/>
                <w:szCs w:val="22"/>
              </w:rPr>
              <w:t>subject to</w:t>
            </w:r>
            <w:r w:rsidR="4A6F1CD6" w:rsidRPr="005B6DBE">
              <w:rPr>
                <w:rFonts w:ascii="Calibri" w:eastAsia="Calibri" w:hAnsi="Calibri" w:cs="Calibri"/>
                <w:sz w:val="22"/>
                <w:szCs w:val="22"/>
              </w:rPr>
              <w:t xml:space="preserve"> sponsor acceptance of price reduction.</w:t>
            </w:r>
          </w:p>
          <w:p w14:paraId="7722914E" w14:textId="23EA70BB" w:rsidR="4A6F1CD6" w:rsidRPr="005B6DBE" w:rsidRDefault="00FE4451" w:rsidP="005B6DBE">
            <w:pPr>
              <w:spacing w:after="120"/>
              <w:rPr>
                <w:rFonts w:ascii="Calibri" w:eastAsia="Calibri" w:hAnsi="Calibri" w:cs="Calibri"/>
                <w:sz w:val="22"/>
                <w:szCs w:val="22"/>
              </w:rPr>
            </w:pPr>
            <w:r w:rsidRPr="005B6DBE">
              <w:rPr>
                <w:rFonts w:ascii="Calibri" w:eastAsia="Calibri" w:hAnsi="Calibri" w:cs="Calibri"/>
                <w:sz w:val="22"/>
                <w:szCs w:val="22"/>
              </w:rPr>
              <w:t>The Department will a</w:t>
            </w:r>
            <w:r w:rsidR="4A6F1CD6" w:rsidRPr="005B6DBE">
              <w:rPr>
                <w:rFonts w:ascii="Calibri" w:eastAsia="Calibri" w:hAnsi="Calibri" w:cs="Calibri"/>
                <w:sz w:val="22"/>
                <w:szCs w:val="22"/>
              </w:rPr>
              <w:t>wait potential sponsor re</w:t>
            </w:r>
            <w:r w:rsidR="000B45A1" w:rsidRPr="005B6DBE">
              <w:rPr>
                <w:rFonts w:ascii="Calibri" w:eastAsia="Calibri" w:hAnsi="Calibri" w:cs="Calibri"/>
                <w:sz w:val="22"/>
                <w:szCs w:val="22"/>
              </w:rPr>
              <w:t>/</w:t>
            </w:r>
            <w:r w:rsidR="4A6F1CD6" w:rsidRPr="005B6DBE">
              <w:rPr>
                <w:rFonts w:ascii="Calibri" w:eastAsia="Calibri" w:hAnsi="Calibri" w:cs="Calibri"/>
                <w:sz w:val="22"/>
                <w:szCs w:val="22"/>
              </w:rPr>
              <w:t xml:space="preserve">submissions for GLP-1 RAs for obesity </w:t>
            </w:r>
            <w:r w:rsidR="000B45A1" w:rsidRPr="005B6DBE">
              <w:rPr>
                <w:rFonts w:ascii="Calibri" w:eastAsia="Calibri" w:hAnsi="Calibri" w:cs="Calibri"/>
                <w:sz w:val="22"/>
                <w:szCs w:val="22"/>
              </w:rPr>
              <w:t>(</w:t>
            </w:r>
            <w:proofErr w:type="spellStart"/>
            <w:r w:rsidR="000B45A1" w:rsidRPr="005B6DBE">
              <w:rPr>
                <w:rFonts w:ascii="Calibri" w:eastAsia="Calibri" w:hAnsi="Calibri" w:cs="Calibri"/>
                <w:sz w:val="22"/>
                <w:szCs w:val="22"/>
              </w:rPr>
              <w:t>semaglutide</w:t>
            </w:r>
            <w:proofErr w:type="spellEnd"/>
            <w:r w:rsidR="000B45A1" w:rsidRPr="005B6DBE">
              <w:rPr>
                <w:rFonts w:ascii="Calibri" w:eastAsia="Calibri" w:hAnsi="Calibri" w:cs="Calibri"/>
                <w:sz w:val="22"/>
                <w:szCs w:val="22"/>
              </w:rPr>
              <w:t xml:space="preserve"> – </w:t>
            </w:r>
            <w:proofErr w:type="spellStart"/>
            <w:r w:rsidR="000B45A1" w:rsidRPr="005B6DBE">
              <w:rPr>
                <w:rFonts w:ascii="Calibri" w:eastAsia="Calibri" w:hAnsi="Calibri" w:cs="Calibri"/>
                <w:sz w:val="22"/>
                <w:szCs w:val="22"/>
              </w:rPr>
              <w:t>Wegovy</w:t>
            </w:r>
            <w:proofErr w:type="spellEnd"/>
            <w:r w:rsidR="000B45A1" w:rsidRPr="005B6DBE">
              <w:rPr>
                <w:rFonts w:ascii="Calibri" w:eastAsia="Calibri" w:hAnsi="Calibri" w:cs="Calibri"/>
                <w:sz w:val="22"/>
                <w:szCs w:val="22"/>
              </w:rPr>
              <w:t>®) and T2DM (</w:t>
            </w:r>
            <w:proofErr w:type="spellStart"/>
            <w:r w:rsidR="000B45A1" w:rsidRPr="005B6DBE">
              <w:rPr>
                <w:rFonts w:ascii="Calibri" w:eastAsia="Calibri" w:hAnsi="Calibri" w:cs="Calibri"/>
                <w:sz w:val="22"/>
                <w:szCs w:val="22"/>
              </w:rPr>
              <w:t>tirzepatide</w:t>
            </w:r>
            <w:proofErr w:type="spellEnd"/>
            <w:r w:rsidR="000B45A1" w:rsidRPr="005B6DBE">
              <w:rPr>
                <w:rFonts w:ascii="Calibri" w:eastAsia="Calibri" w:hAnsi="Calibri" w:cs="Calibri"/>
                <w:sz w:val="22"/>
                <w:szCs w:val="22"/>
              </w:rPr>
              <w:t xml:space="preserve"> – </w:t>
            </w:r>
            <w:proofErr w:type="spellStart"/>
            <w:r w:rsidR="000B45A1" w:rsidRPr="005B6DBE">
              <w:rPr>
                <w:rFonts w:ascii="Calibri" w:eastAsia="Calibri" w:hAnsi="Calibri" w:cs="Calibri"/>
                <w:sz w:val="22"/>
                <w:szCs w:val="22"/>
              </w:rPr>
              <w:t>Mounjaro</w:t>
            </w:r>
            <w:proofErr w:type="spellEnd"/>
            <w:r w:rsidR="000B45A1" w:rsidRPr="005B6DBE">
              <w:rPr>
                <w:rFonts w:ascii="Calibri" w:eastAsia="Calibri" w:hAnsi="Calibri" w:cs="Calibri"/>
                <w:sz w:val="22"/>
                <w:szCs w:val="22"/>
              </w:rPr>
              <w:t xml:space="preserve">®) </w:t>
            </w:r>
            <w:r w:rsidR="4A6F1CD6" w:rsidRPr="005B6DBE">
              <w:rPr>
                <w:rFonts w:ascii="Calibri" w:eastAsia="Calibri" w:hAnsi="Calibri" w:cs="Calibri"/>
                <w:sz w:val="22"/>
                <w:szCs w:val="22"/>
              </w:rPr>
              <w:t>before progressing further PMR work on GLP-1 RAs.</w:t>
            </w:r>
          </w:p>
          <w:p w14:paraId="0F5C03C3" w14:textId="73F38548" w:rsidR="4A6F1CD6" w:rsidRPr="005B6DBE" w:rsidRDefault="00FE4451" w:rsidP="005B6DBE">
            <w:pPr>
              <w:spacing w:after="120"/>
              <w:rPr>
                <w:rFonts w:ascii="Calibri" w:eastAsia="Calibri" w:hAnsi="Calibri" w:cs="Calibri"/>
                <w:sz w:val="22"/>
                <w:szCs w:val="22"/>
              </w:rPr>
            </w:pPr>
            <w:r w:rsidRPr="005B6DBE">
              <w:rPr>
                <w:rFonts w:ascii="Calibri" w:eastAsia="Calibri" w:hAnsi="Calibri" w:cs="Calibri"/>
                <w:sz w:val="22"/>
                <w:szCs w:val="22"/>
              </w:rPr>
              <w:t>It is anticipated that the Department/DUSC will r</w:t>
            </w:r>
            <w:r w:rsidR="4A6F1CD6" w:rsidRPr="005B6DBE">
              <w:rPr>
                <w:rFonts w:ascii="Calibri" w:eastAsia="Calibri" w:hAnsi="Calibri" w:cs="Calibri"/>
                <w:sz w:val="22"/>
                <w:szCs w:val="22"/>
              </w:rPr>
              <w:t>eview the utilisation of T2DM medicines approximately 2 years after the restriction changes.</w:t>
            </w:r>
          </w:p>
        </w:tc>
        <w:tc>
          <w:tcPr>
            <w:tcW w:w="2780" w:type="dxa"/>
            <w:tcBorders>
              <w:top w:val="single" w:sz="8" w:space="0" w:color="auto"/>
              <w:left w:val="single" w:sz="8" w:space="0" w:color="auto"/>
              <w:bottom w:val="single" w:sz="8" w:space="0" w:color="auto"/>
              <w:right w:val="single" w:sz="8" w:space="0" w:color="auto"/>
            </w:tcBorders>
            <w:tcMar>
              <w:left w:w="108" w:type="dxa"/>
              <w:right w:w="108" w:type="dxa"/>
            </w:tcMar>
          </w:tcPr>
          <w:p w14:paraId="71BDEECA" w14:textId="029969B2" w:rsidR="4A6F1CD6" w:rsidRDefault="4A6F1CD6" w:rsidP="000B42BB">
            <w:pPr>
              <w:pStyle w:val="ListParagraph"/>
              <w:numPr>
                <w:ilvl w:val="0"/>
                <w:numId w:val="7"/>
              </w:numPr>
              <w:ind w:left="360"/>
              <w:rPr>
                <w:rFonts w:ascii="Calibri" w:eastAsia="Calibri" w:hAnsi="Calibri" w:cs="Calibri"/>
                <w:sz w:val="22"/>
                <w:szCs w:val="22"/>
              </w:rPr>
            </w:pPr>
            <w:r w:rsidRPr="4A6F1CD6">
              <w:rPr>
                <w:rFonts w:ascii="Calibri" w:eastAsia="Calibri" w:hAnsi="Calibri" w:cs="Calibri"/>
                <w:sz w:val="22"/>
                <w:szCs w:val="22"/>
              </w:rPr>
              <w:lastRenderedPageBreak/>
              <w:t>SGLT2 inhibitors:</w:t>
            </w:r>
          </w:p>
          <w:p w14:paraId="0C1C4FE8" w14:textId="587AF213" w:rsidR="4A6F1CD6" w:rsidRDefault="4A6F1CD6" w:rsidP="000B42BB">
            <w:pPr>
              <w:pStyle w:val="ListParagraph"/>
              <w:numPr>
                <w:ilvl w:val="1"/>
                <w:numId w:val="7"/>
              </w:numPr>
              <w:ind w:left="1080"/>
              <w:rPr>
                <w:rFonts w:ascii="Calibri" w:eastAsia="Calibri" w:hAnsi="Calibri" w:cs="Calibri"/>
                <w:sz w:val="22"/>
                <w:szCs w:val="22"/>
              </w:rPr>
            </w:pPr>
            <w:r w:rsidRPr="4A6F1CD6">
              <w:rPr>
                <w:rFonts w:ascii="Calibri" w:eastAsia="Calibri" w:hAnsi="Calibri" w:cs="Calibri"/>
                <w:sz w:val="22"/>
                <w:szCs w:val="22"/>
              </w:rPr>
              <w:t>dapagliflozin</w:t>
            </w:r>
          </w:p>
          <w:p w14:paraId="57036989" w14:textId="5806D04E" w:rsidR="4A6F1CD6" w:rsidRDefault="4A6F1CD6" w:rsidP="000B42BB">
            <w:pPr>
              <w:pStyle w:val="ListParagraph"/>
              <w:numPr>
                <w:ilvl w:val="1"/>
                <w:numId w:val="7"/>
              </w:numPr>
              <w:ind w:left="1080"/>
              <w:rPr>
                <w:rFonts w:ascii="Calibri" w:eastAsia="Calibri" w:hAnsi="Calibri" w:cs="Calibri"/>
                <w:sz w:val="22"/>
                <w:szCs w:val="22"/>
              </w:rPr>
            </w:pPr>
            <w:r w:rsidRPr="4A6F1CD6">
              <w:rPr>
                <w:rFonts w:ascii="Calibri" w:eastAsia="Calibri" w:hAnsi="Calibri" w:cs="Calibri"/>
                <w:sz w:val="22"/>
                <w:szCs w:val="22"/>
              </w:rPr>
              <w:t xml:space="preserve">empagliflozin </w:t>
            </w:r>
          </w:p>
          <w:p w14:paraId="3CC89644" w14:textId="5CFB34A8" w:rsidR="4A6F1CD6" w:rsidRDefault="4A6F1CD6" w:rsidP="000B42BB">
            <w:pPr>
              <w:pStyle w:val="ListParagraph"/>
              <w:numPr>
                <w:ilvl w:val="0"/>
                <w:numId w:val="7"/>
              </w:numPr>
              <w:ind w:left="360"/>
              <w:rPr>
                <w:rFonts w:ascii="Calibri" w:eastAsia="Calibri" w:hAnsi="Calibri" w:cs="Calibri"/>
                <w:sz w:val="22"/>
                <w:szCs w:val="22"/>
              </w:rPr>
            </w:pPr>
            <w:r w:rsidRPr="4A6F1CD6">
              <w:rPr>
                <w:rFonts w:ascii="Calibri" w:eastAsia="Calibri" w:hAnsi="Calibri" w:cs="Calibri"/>
                <w:sz w:val="22"/>
                <w:szCs w:val="22"/>
              </w:rPr>
              <w:t xml:space="preserve">GLP-1 RAs: </w:t>
            </w:r>
          </w:p>
          <w:p w14:paraId="20D41BFE" w14:textId="706F009A" w:rsidR="4A6F1CD6" w:rsidRDefault="4A6F1CD6" w:rsidP="000B42BB">
            <w:pPr>
              <w:pStyle w:val="ListParagraph"/>
              <w:numPr>
                <w:ilvl w:val="1"/>
                <w:numId w:val="7"/>
              </w:numPr>
              <w:ind w:left="1080"/>
              <w:rPr>
                <w:rFonts w:ascii="Calibri" w:eastAsia="Calibri" w:hAnsi="Calibri" w:cs="Calibri"/>
                <w:sz w:val="22"/>
                <w:szCs w:val="22"/>
              </w:rPr>
            </w:pPr>
            <w:proofErr w:type="spellStart"/>
            <w:r w:rsidRPr="4A6F1CD6">
              <w:rPr>
                <w:rFonts w:ascii="Calibri" w:eastAsia="Calibri" w:hAnsi="Calibri" w:cs="Calibri"/>
                <w:sz w:val="22"/>
                <w:szCs w:val="22"/>
              </w:rPr>
              <w:t>semaglutide</w:t>
            </w:r>
            <w:proofErr w:type="spellEnd"/>
          </w:p>
          <w:p w14:paraId="625072E9" w14:textId="2A0F9E79" w:rsidR="4A6F1CD6" w:rsidRDefault="4A6F1CD6" w:rsidP="000B42BB">
            <w:pPr>
              <w:pStyle w:val="ListParagraph"/>
              <w:numPr>
                <w:ilvl w:val="1"/>
                <w:numId w:val="7"/>
              </w:numPr>
              <w:ind w:left="1080"/>
              <w:rPr>
                <w:rFonts w:ascii="Calibri" w:eastAsia="Calibri" w:hAnsi="Calibri" w:cs="Calibri"/>
                <w:sz w:val="22"/>
                <w:szCs w:val="22"/>
              </w:rPr>
            </w:pPr>
            <w:r w:rsidRPr="4A6F1CD6">
              <w:rPr>
                <w:rFonts w:ascii="Calibri" w:eastAsia="Calibri" w:hAnsi="Calibri" w:cs="Calibri"/>
                <w:sz w:val="22"/>
                <w:szCs w:val="22"/>
              </w:rPr>
              <w:t>dulaglutide</w:t>
            </w:r>
          </w:p>
          <w:p w14:paraId="0D1889B2" w14:textId="47A06ACB" w:rsidR="4A6F1CD6" w:rsidRDefault="4A6F1CD6" w:rsidP="000B42BB">
            <w:pPr>
              <w:pStyle w:val="ListParagraph"/>
              <w:numPr>
                <w:ilvl w:val="0"/>
                <w:numId w:val="7"/>
              </w:numPr>
              <w:ind w:left="360"/>
              <w:rPr>
                <w:rFonts w:ascii="Calibri" w:eastAsia="Calibri" w:hAnsi="Calibri" w:cs="Calibri"/>
                <w:sz w:val="22"/>
                <w:szCs w:val="22"/>
              </w:rPr>
            </w:pPr>
            <w:r w:rsidRPr="4A6F1CD6">
              <w:rPr>
                <w:rFonts w:ascii="Calibri" w:eastAsia="Calibri" w:hAnsi="Calibri" w:cs="Calibri"/>
                <w:sz w:val="22"/>
                <w:szCs w:val="22"/>
              </w:rPr>
              <w:t>Pioglitazone</w:t>
            </w:r>
          </w:p>
          <w:p w14:paraId="119E9902" w14:textId="47CCAE18" w:rsidR="4A6F1CD6" w:rsidRDefault="4A6F1CD6" w:rsidP="000B42BB">
            <w:pPr>
              <w:pStyle w:val="ListParagraph"/>
              <w:numPr>
                <w:ilvl w:val="0"/>
                <w:numId w:val="7"/>
              </w:numPr>
              <w:ind w:left="360"/>
              <w:rPr>
                <w:rFonts w:ascii="Calibri" w:eastAsia="Calibri" w:hAnsi="Calibri" w:cs="Calibri"/>
                <w:sz w:val="22"/>
                <w:szCs w:val="22"/>
              </w:rPr>
            </w:pPr>
            <w:r w:rsidRPr="4A6F1CD6">
              <w:rPr>
                <w:rFonts w:ascii="Calibri" w:eastAsia="Calibri" w:hAnsi="Calibri" w:cs="Calibri"/>
                <w:sz w:val="22"/>
                <w:szCs w:val="22"/>
              </w:rPr>
              <w:t>DPP4 inhibitors:</w:t>
            </w:r>
          </w:p>
          <w:p w14:paraId="77F1E03D" w14:textId="6F107F98" w:rsidR="4A6F1CD6" w:rsidRDefault="4A6F1CD6" w:rsidP="000B42BB">
            <w:pPr>
              <w:pStyle w:val="ListParagraph"/>
              <w:numPr>
                <w:ilvl w:val="1"/>
                <w:numId w:val="7"/>
              </w:numPr>
              <w:ind w:left="1080"/>
              <w:rPr>
                <w:rFonts w:ascii="Calibri" w:eastAsia="Calibri" w:hAnsi="Calibri" w:cs="Calibri"/>
                <w:sz w:val="22"/>
                <w:szCs w:val="22"/>
              </w:rPr>
            </w:pPr>
            <w:r w:rsidRPr="4A6F1CD6">
              <w:rPr>
                <w:rFonts w:ascii="Calibri" w:eastAsia="Calibri" w:hAnsi="Calibri" w:cs="Calibri"/>
                <w:sz w:val="22"/>
                <w:szCs w:val="22"/>
              </w:rPr>
              <w:t>alogliptin</w:t>
            </w:r>
          </w:p>
          <w:p w14:paraId="533FEADC" w14:textId="75EAC1F2" w:rsidR="4A6F1CD6" w:rsidRDefault="4A6F1CD6" w:rsidP="000B42BB">
            <w:pPr>
              <w:pStyle w:val="ListParagraph"/>
              <w:numPr>
                <w:ilvl w:val="1"/>
                <w:numId w:val="7"/>
              </w:numPr>
              <w:ind w:left="1080"/>
              <w:rPr>
                <w:rFonts w:ascii="Calibri" w:eastAsia="Calibri" w:hAnsi="Calibri" w:cs="Calibri"/>
                <w:sz w:val="22"/>
                <w:szCs w:val="22"/>
              </w:rPr>
            </w:pPr>
            <w:proofErr w:type="spellStart"/>
            <w:r w:rsidRPr="4A6F1CD6">
              <w:rPr>
                <w:rFonts w:ascii="Calibri" w:eastAsia="Calibri" w:hAnsi="Calibri" w:cs="Calibri"/>
                <w:sz w:val="22"/>
                <w:szCs w:val="22"/>
              </w:rPr>
              <w:t>saxagliptin</w:t>
            </w:r>
            <w:proofErr w:type="spellEnd"/>
          </w:p>
          <w:p w14:paraId="7CB5442F" w14:textId="5BB5F673" w:rsidR="4A6F1CD6" w:rsidRDefault="4A6F1CD6" w:rsidP="000B42BB">
            <w:pPr>
              <w:pStyle w:val="ListParagraph"/>
              <w:numPr>
                <w:ilvl w:val="1"/>
                <w:numId w:val="7"/>
              </w:numPr>
              <w:ind w:left="1080"/>
              <w:rPr>
                <w:rFonts w:ascii="Calibri" w:eastAsia="Calibri" w:hAnsi="Calibri" w:cs="Calibri"/>
                <w:sz w:val="22"/>
                <w:szCs w:val="22"/>
              </w:rPr>
            </w:pPr>
            <w:r w:rsidRPr="4A6F1CD6">
              <w:rPr>
                <w:rFonts w:ascii="Calibri" w:eastAsia="Calibri" w:hAnsi="Calibri" w:cs="Calibri"/>
                <w:sz w:val="22"/>
                <w:szCs w:val="22"/>
              </w:rPr>
              <w:t>sitagliptin</w:t>
            </w:r>
          </w:p>
          <w:p w14:paraId="53964446" w14:textId="3F9D0D67" w:rsidR="4A6F1CD6" w:rsidRDefault="4A6F1CD6" w:rsidP="000B42BB">
            <w:pPr>
              <w:pStyle w:val="ListParagraph"/>
              <w:numPr>
                <w:ilvl w:val="1"/>
                <w:numId w:val="7"/>
              </w:numPr>
              <w:ind w:left="1080"/>
              <w:rPr>
                <w:rFonts w:ascii="Calibri" w:eastAsia="Calibri" w:hAnsi="Calibri" w:cs="Calibri"/>
                <w:sz w:val="22"/>
                <w:szCs w:val="22"/>
              </w:rPr>
            </w:pPr>
            <w:r w:rsidRPr="4A6F1CD6">
              <w:rPr>
                <w:rFonts w:ascii="Calibri" w:eastAsia="Calibri" w:hAnsi="Calibri" w:cs="Calibri"/>
                <w:sz w:val="22"/>
                <w:szCs w:val="22"/>
              </w:rPr>
              <w:t>linagliptin</w:t>
            </w:r>
          </w:p>
          <w:p w14:paraId="08548F65" w14:textId="79B1A1E6" w:rsidR="4A6F1CD6" w:rsidRDefault="4A6F1CD6" w:rsidP="000B42BB">
            <w:pPr>
              <w:pStyle w:val="ListParagraph"/>
              <w:numPr>
                <w:ilvl w:val="1"/>
                <w:numId w:val="7"/>
              </w:numPr>
              <w:ind w:left="1080"/>
              <w:rPr>
                <w:rFonts w:ascii="Calibri" w:eastAsia="Calibri" w:hAnsi="Calibri" w:cs="Calibri"/>
                <w:sz w:val="22"/>
                <w:szCs w:val="22"/>
              </w:rPr>
            </w:pPr>
            <w:r w:rsidRPr="4A6F1CD6">
              <w:rPr>
                <w:rFonts w:ascii="Calibri" w:eastAsia="Calibri" w:hAnsi="Calibri" w:cs="Calibri"/>
                <w:sz w:val="22"/>
                <w:szCs w:val="22"/>
              </w:rPr>
              <w:t>vildagliptin</w:t>
            </w:r>
          </w:p>
          <w:p w14:paraId="2FA4DB94" w14:textId="3EDDA7D8" w:rsidR="4A6F1CD6" w:rsidRDefault="4A6F1CD6" w:rsidP="4A6F1CD6">
            <w:r w:rsidRPr="4A6F1CD6">
              <w:rPr>
                <w:rFonts w:ascii="Calibri" w:eastAsia="Calibri" w:hAnsi="Calibri" w:cs="Calibri"/>
                <w:sz w:val="22"/>
                <w:szCs w:val="22"/>
              </w:rPr>
              <w:t xml:space="preserve"> </w:t>
            </w:r>
          </w:p>
        </w:tc>
      </w:tr>
      <w:tr w:rsidR="4A6F1CD6" w14:paraId="240F80F5" w14:textId="77777777" w:rsidTr="008F6D3C">
        <w:trPr>
          <w:trHeight w:val="300"/>
        </w:trPr>
        <w:tc>
          <w:tcPr>
            <w:tcW w:w="2542" w:type="dxa"/>
            <w:tcBorders>
              <w:top w:val="single" w:sz="8" w:space="0" w:color="auto"/>
              <w:left w:val="single" w:sz="8" w:space="0" w:color="auto"/>
              <w:bottom w:val="single" w:sz="8" w:space="0" w:color="auto"/>
              <w:right w:val="single" w:sz="8" w:space="0" w:color="auto"/>
            </w:tcBorders>
            <w:tcMar>
              <w:left w:w="108" w:type="dxa"/>
              <w:right w:w="108" w:type="dxa"/>
            </w:tcMar>
          </w:tcPr>
          <w:p w14:paraId="26A3B6C9" w14:textId="4CC5A64C" w:rsidR="4A6F1CD6" w:rsidRDefault="4A6F1CD6" w:rsidP="4A6F1CD6">
            <w:r w:rsidRPr="4A6F1CD6">
              <w:rPr>
                <w:rFonts w:ascii="Calibri" w:eastAsia="Calibri" w:hAnsi="Calibri" w:cs="Calibri"/>
                <w:sz w:val="22"/>
                <w:szCs w:val="22"/>
              </w:rPr>
              <w:lastRenderedPageBreak/>
              <w:t>Heart failure (HF)</w:t>
            </w:r>
          </w:p>
        </w:tc>
        <w:tc>
          <w:tcPr>
            <w:tcW w:w="8749" w:type="dxa"/>
            <w:tcBorders>
              <w:top w:val="single" w:sz="8" w:space="0" w:color="auto"/>
              <w:left w:val="single" w:sz="8" w:space="0" w:color="auto"/>
              <w:bottom w:val="single" w:sz="8" w:space="0" w:color="auto"/>
              <w:right w:val="single" w:sz="8" w:space="0" w:color="auto"/>
            </w:tcBorders>
            <w:tcMar>
              <w:left w:w="108" w:type="dxa"/>
              <w:right w:w="108" w:type="dxa"/>
            </w:tcMar>
          </w:tcPr>
          <w:p w14:paraId="7E4913E2" w14:textId="4DA3D2B3" w:rsidR="4A6F1CD6" w:rsidRDefault="2DECB890" w:rsidP="00ED16C6">
            <w:pPr>
              <w:keepNext/>
              <w:keepLines/>
              <w:spacing w:after="120" w:line="257" w:lineRule="auto"/>
              <w:rPr>
                <w:rFonts w:ascii="Calibri" w:eastAsia="Calibri" w:hAnsi="Calibri" w:cs="Calibri"/>
                <w:b/>
                <w:bCs/>
                <w:sz w:val="22"/>
                <w:szCs w:val="22"/>
              </w:rPr>
            </w:pPr>
            <w:r w:rsidRPr="0E77E67B">
              <w:rPr>
                <w:rFonts w:ascii="Calibri" w:eastAsia="Calibri" w:hAnsi="Calibri" w:cs="Calibri"/>
                <w:b/>
                <w:bCs/>
                <w:sz w:val="22"/>
                <w:szCs w:val="22"/>
              </w:rPr>
              <w:t xml:space="preserve">Utilisation review of PBS listed heart failure (HF) </w:t>
            </w:r>
            <w:proofErr w:type="gramStart"/>
            <w:r w:rsidRPr="0E77E67B">
              <w:rPr>
                <w:rFonts w:ascii="Calibri" w:eastAsia="Calibri" w:hAnsi="Calibri" w:cs="Calibri"/>
                <w:b/>
                <w:bCs/>
                <w:sz w:val="22"/>
                <w:szCs w:val="22"/>
              </w:rPr>
              <w:t>medications</w:t>
            </w:r>
            <w:proofErr w:type="gramEnd"/>
          </w:p>
          <w:p w14:paraId="4BCE6988" w14:textId="25459EC1" w:rsidR="4A6F1CD6" w:rsidRDefault="2DECB890" w:rsidP="00ED16C6">
            <w:pPr>
              <w:keepNext/>
              <w:keepLines/>
              <w:spacing w:after="120" w:line="257" w:lineRule="auto"/>
            </w:pPr>
            <w:r w:rsidRPr="0E77E67B">
              <w:rPr>
                <w:rFonts w:ascii="Calibri" w:eastAsia="Calibri" w:hAnsi="Calibri" w:cs="Calibri"/>
                <w:b/>
                <w:bCs/>
                <w:sz w:val="22"/>
                <w:szCs w:val="22"/>
              </w:rPr>
              <w:t>Background</w:t>
            </w:r>
          </w:p>
          <w:p w14:paraId="1C4C144D" w14:textId="7EDBDDA5" w:rsidR="4A6F1CD6" w:rsidRDefault="2DECB890" w:rsidP="00ED16C6">
            <w:pPr>
              <w:keepNext/>
              <w:keepLines/>
              <w:spacing w:after="120" w:line="257" w:lineRule="auto"/>
            </w:pPr>
            <w:r w:rsidRPr="0E77E67B">
              <w:rPr>
                <w:rFonts w:ascii="Calibri" w:eastAsia="Calibri" w:hAnsi="Calibri" w:cs="Calibri"/>
                <w:sz w:val="22"/>
                <w:szCs w:val="22"/>
              </w:rPr>
              <w:t>In January 2023, the PBAC Executive noted that PBS expenditure for medicines used for the treatment of HF exceeded $154 million in 2021. The PBAC recommended that a utilisation review be undertaken</w:t>
            </w:r>
            <w:r w:rsidRPr="0E77E67B">
              <w:rPr>
                <w:rFonts w:ascii="Calibri" w:eastAsia="Calibri" w:hAnsi="Calibri" w:cs="Calibri"/>
              </w:rPr>
              <w:t xml:space="preserve"> for </w:t>
            </w:r>
            <w:r w:rsidRPr="0E77E67B">
              <w:rPr>
                <w:rFonts w:ascii="Calibri" w:eastAsia="Calibri" w:hAnsi="Calibri" w:cs="Calibri"/>
                <w:sz w:val="22"/>
                <w:szCs w:val="22"/>
              </w:rPr>
              <w:t xml:space="preserve">PBS-listed medicines for HF to improve understanding of contemporary medicine treatment patterns in patients with HF in Australia, including switching between medicines, combination treatment and add-on therapy. </w:t>
            </w:r>
          </w:p>
          <w:p w14:paraId="6C37B3C3" w14:textId="49150DED" w:rsidR="4A6F1CD6" w:rsidRDefault="2DECB890" w:rsidP="0E77E67B">
            <w:pPr>
              <w:spacing w:after="120" w:line="257" w:lineRule="auto"/>
            </w:pPr>
            <w:r w:rsidRPr="0E77E67B">
              <w:rPr>
                <w:rFonts w:ascii="Calibri" w:eastAsia="Calibri" w:hAnsi="Calibri" w:cs="Calibri"/>
                <w:b/>
                <w:bCs/>
                <w:sz w:val="22"/>
                <w:szCs w:val="22"/>
              </w:rPr>
              <w:t>Status</w:t>
            </w:r>
          </w:p>
          <w:p w14:paraId="0843FDEF" w14:textId="525E5655" w:rsidR="4A6F1CD6" w:rsidRDefault="2DECB890" w:rsidP="0E77E67B">
            <w:pPr>
              <w:spacing w:after="120" w:line="257" w:lineRule="auto"/>
            </w:pPr>
            <w:r w:rsidRPr="0E77E67B">
              <w:rPr>
                <w:rFonts w:ascii="Calibri" w:eastAsia="Calibri" w:hAnsi="Calibri" w:cs="Calibri"/>
                <w:sz w:val="22"/>
                <w:szCs w:val="22"/>
              </w:rPr>
              <w:t xml:space="preserve">The utilisation review of PBS-listed HF medicines was considered by the </w:t>
            </w:r>
            <w:r w:rsidR="00D32FAF">
              <w:rPr>
                <w:rFonts w:ascii="Calibri" w:eastAsia="Calibri" w:hAnsi="Calibri" w:cs="Calibri"/>
                <w:sz w:val="22"/>
                <w:szCs w:val="22"/>
              </w:rPr>
              <w:t>Drug Utilisation Sub-Committee (</w:t>
            </w:r>
            <w:r w:rsidRPr="0E77E67B">
              <w:rPr>
                <w:rFonts w:ascii="Calibri" w:eastAsia="Calibri" w:hAnsi="Calibri" w:cs="Calibri"/>
                <w:sz w:val="22"/>
                <w:szCs w:val="22"/>
              </w:rPr>
              <w:t>DUSC</w:t>
            </w:r>
            <w:r w:rsidR="00D32FAF">
              <w:rPr>
                <w:rFonts w:ascii="Calibri" w:eastAsia="Calibri" w:hAnsi="Calibri" w:cs="Calibri"/>
                <w:sz w:val="22"/>
                <w:szCs w:val="22"/>
              </w:rPr>
              <w:t>)</w:t>
            </w:r>
            <w:r w:rsidRPr="0E77E67B">
              <w:rPr>
                <w:rFonts w:ascii="Calibri" w:eastAsia="Calibri" w:hAnsi="Calibri" w:cs="Calibri"/>
                <w:sz w:val="22"/>
                <w:szCs w:val="22"/>
              </w:rPr>
              <w:t xml:space="preserve"> at its June 2024 meeting and by the PBAC at its September 2024 intracycle meeting.</w:t>
            </w:r>
            <w:r w:rsidR="008365B1">
              <w:rPr>
                <w:rFonts w:ascii="Calibri" w:eastAsia="Calibri" w:hAnsi="Calibri" w:cs="Calibri"/>
                <w:sz w:val="22"/>
                <w:szCs w:val="22"/>
              </w:rPr>
              <w:t xml:space="preserve"> The PBAC outcome was published on 18 October</w:t>
            </w:r>
            <w:r w:rsidR="00ED16C6">
              <w:rPr>
                <w:rFonts w:ascii="Calibri" w:eastAsia="Calibri" w:hAnsi="Calibri" w:cs="Calibri"/>
                <w:sz w:val="22"/>
                <w:szCs w:val="22"/>
              </w:rPr>
              <w:t xml:space="preserve"> 2024</w:t>
            </w:r>
            <w:r w:rsidR="008365B1">
              <w:rPr>
                <w:rFonts w:ascii="Calibri" w:eastAsia="Calibri" w:hAnsi="Calibri" w:cs="Calibri"/>
                <w:sz w:val="22"/>
                <w:szCs w:val="22"/>
              </w:rPr>
              <w:t>.</w:t>
            </w:r>
          </w:p>
          <w:p w14:paraId="3D9A32B5" w14:textId="0AF3ED12" w:rsidR="4A6F1CD6" w:rsidRDefault="2DECB890" w:rsidP="0E77E67B">
            <w:pPr>
              <w:spacing w:after="120" w:line="257" w:lineRule="auto"/>
            </w:pPr>
            <w:r w:rsidRPr="0E77E67B">
              <w:rPr>
                <w:rFonts w:ascii="Calibri" w:eastAsia="Calibri" w:hAnsi="Calibri" w:cs="Calibri"/>
                <w:b/>
                <w:bCs/>
                <w:sz w:val="22"/>
                <w:szCs w:val="22"/>
              </w:rPr>
              <w:t>Next steps</w:t>
            </w:r>
          </w:p>
          <w:p w14:paraId="1D15BD9B" w14:textId="16E3BD3D" w:rsidR="4A6F1CD6" w:rsidRDefault="00ED16C6" w:rsidP="0E77E67B">
            <w:pPr>
              <w:spacing w:line="257" w:lineRule="auto"/>
            </w:pPr>
            <w:r>
              <w:rPr>
                <w:rFonts w:ascii="Calibri" w:eastAsia="Calibri" w:hAnsi="Calibri" w:cs="Calibri"/>
                <w:sz w:val="22"/>
                <w:szCs w:val="22"/>
              </w:rPr>
              <w:t>Project complete</w:t>
            </w:r>
          </w:p>
        </w:tc>
        <w:tc>
          <w:tcPr>
            <w:tcW w:w="2780" w:type="dxa"/>
            <w:tcBorders>
              <w:top w:val="single" w:sz="8" w:space="0" w:color="auto"/>
              <w:left w:val="single" w:sz="8" w:space="0" w:color="auto"/>
              <w:bottom w:val="single" w:sz="8" w:space="0" w:color="auto"/>
              <w:right w:val="single" w:sz="8" w:space="0" w:color="auto"/>
            </w:tcBorders>
            <w:tcMar>
              <w:left w:w="108" w:type="dxa"/>
              <w:right w:w="108" w:type="dxa"/>
            </w:tcMar>
          </w:tcPr>
          <w:p w14:paraId="40473419" w14:textId="21753AD7" w:rsidR="4A6F1CD6" w:rsidRDefault="4A6F1CD6" w:rsidP="000B42BB">
            <w:pPr>
              <w:pStyle w:val="ListParagraph"/>
              <w:numPr>
                <w:ilvl w:val="0"/>
                <w:numId w:val="6"/>
              </w:numPr>
              <w:ind w:left="360"/>
              <w:rPr>
                <w:rFonts w:ascii="Calibri" w:eastAsia="Calibri" w:hAnsi="Calibri" w:cs="Calibri"/>
                <w:sz w:val="22"/>
                <w:szCs w:val="22"/>
              </w:rPr>
            </w:pPr>
            <w:r w:rsidRPr="4A6F1CD6">
              <w:rPr>
                <w:rFonts w:ascii="Calibri" w:eastAsia="Calibri" w:hAnsi="Calibri" w:cs="Calibri"/>
                <w:sz w:val="22"/>
                <w:szCs w:val="22"/>
              </w:rPr>
              <w:t>Beta blockers (bisoprolol as fumarate, carvedilol, metoprolol as succinate, nebivolol)</w:t>
            </w:r>
          </w:p>
          <w:p w14:paraId="31EA5A11" w14:textId="202B9C06" w:rsidR="4A6F1CD6" w:rsidRDefault="4A6F1CD6" w:rsidP="000B42BB">
            <w:pPr>
              <w:pStyle w:val="ListParagraph"/>
              <w:numPr>
                <w:ilvl w:val="0"/>
                <w:numId w:val="6"/>
              </w:numPr>
              <w:ind w:left="360"/>
              <w:rPr>
                <w:rFonts w:ascii="Calibri" w:eastAsia="Calibri" w:hAnsi="Calibri" w:cs="Calibri"/>
                <w:sz w:val="22"/>
                <w:szCs w:val="22"/>
              </w:rPr>
            </w:pPr>
            <w:r w:rsidRPr="4A6F1CD6">
              <w:rPr>
                <w:rFonts w:ascii="Calibri" w:eastAsia="Calibri" w:hAnsi="Calibri" w:cs="Calibri"/>
                <w:sz w:val="22"/>
                <w:szCs w:val="22"/>
              </w:rPr>
              <w:t xml:space="preserve">eplerenone </w:t>
            </w:r>
          </w:p>
          <w:p w14:paraId="7E6FF071" w14:textId="23398BC8" w:rsidR="4A6F1CD6" w:rsidRDefault="4A6F1CD6" w:rsidP="000B42BB">
            <w:pPr>
              <w:pStyle w:val="ListParagraph"/>
              <w:numPr>
                <w:ilvl w:val="0"/>
                <w:numId w:val="6"/>
              </w:numPr>
              <w:ind w:left="360"/>
              <w:rPr>
                <w:rFonts w:ascii="Calibri" w:eastAsia="Calibri" w:hAnsi="Calibri" w:cs="Calibri"/>
                <w:sz w:val="22"/>
                <w:szCs w:val="22"/>
              </w:rPr>
            </w:pPr>
            <w:r w:rsidRPr="4A6F1CD6">
              <w:rPr>
                <w:rFonts w:ascii="Calibri" w:eastAsia="Calibri" w:hAnsi="Calibri" w:cs="Calibri"/>
                <w:sz w:val="22"/>
                <w:szCs w:val="22"/>
              </w:rPr>
              <w:t>dapagliflozin</w:t>
            </w:r>
          </w:p>
          <w:p w14:paraId="0B951736" w14:textId="26FFBE92" w:rsidR="4A6F1CD6" w:rsidRDefault="4A6F1CD6" w:rsidP="000B42BB">
            <w:pPr>
              <w:pStyle w:val="ListParagraph"/>
              <w:numPr>
                <w:ilvl w:val="0"/>
                <w:numId w:val="6"/>
              </w:numPr>
              <w:ind w:left="360"/>
              <w:rPr>
                <w:rFonts w:ascii="Calibri" w:eastAsia="Calibri" w:hAnsi="Calibri" w:cs="Calibri"/>
                <w:sz w:val="22"/>
                <w:szCs w:val="22"/>
              </w:rPr>
            </w:pPr>
            <w:r w:rsidRPr="4A6F1CD6">
              <w:rPr>
                <w:rFonts w:ascii="Calibri" w:eastAsia="Calibri" w:hAnsi="Calibri" w:cs="Calibri"/>
                <w:sz w:val="22"/>
                <w:szCs w:val="22"/>
              </w:rPr>
              <w:t>empagliflozin</w:t>
            </w:r>
          </w:p>
          <w:p w14:paraId="030DCCEF" w14:textId="5B531372" w:rsidR="4A6F1CD6" w:rsidRDefault="4A6F1CD6" w:rsidP="000B42BB">
            <w:pPr>
              <w:pStyle w:val="ListParagraph"/>
              <w:numPr>
                <w:ilvl w:val="0"/>
                <w:numId w:val="6"/>
              </w:numPr>
              <w:ind w:left="360"/>
              <w:rPr>
                <w:rFonts w:ascii="Calibri" w:eastAsia="Calibri" w:hAnsi="Calibri" w:cs="Calibri"/>
                <w:sz w:val="22"/>
                <w:szCs w:val="22"/>
              </w:rPr>
            </w:pPr>
            <w:proofErr w:type="spellStart"/>
            <w:r w:rsidRPr="4A6F1CD6">
              <w:rPr>
                <w:rFonts w:ascii="Calibri" w:eastAsia="Calibri" w:hAnsi="Calibri" w:cs="Calibri"/>
                <w:sz w:val="22"/>
                <w:szCs w:val="22"/>
              </w:rPr>
              <w:t>sacubutril+valsartan</w:t>
            </w:r>
            <w:proofErr w:type="spellEnd"/>
          </w:p>
          <w:p w14:paraId="241C17F3" w14:textId="6211D3A8" w:rsidR="4A6F1CD6" w:rsidRDefault="4A6F1CD6" w:rsidP="000B42BB">
            <w:pPr>
              <w:pStyle w:val="ListParagraph"/>
              <w:numPr>
                <w:ilvl w:val="0"/>
                <w:numId w:val="6"/>
              </w:numPr>
              <w:ind w:left="360"/>
              <w:rPr>
                <w:rFonts w:ascii="Calibri" w:eastAsia="Calibri" w:hAnsi="Calibri" w:cs="Calibri"/>
                <w:sz w:val="22"/>
                <w:szCs w:val="22"/>
              </w:rPr>
            </w:pPr>
            <w:r w:rsidRPr="4A6F1CD6">
              <w:rPr>
                <w:rFonts w:ascii="Calibri" w:eastAsia="Calibri" w:hAnsi="Calibri" w:cs="Calibri"/>
                <w:sz w:val="22"/>
                <w:szCs w:val="22"/>
              </w:rPr>
              <w:t>ivabradine</w:t>
            </w:r>
          </w:p>
          <w:p w14:paraId="21F8E1D4" w14:textId="79A9C623" w:rsidR="4A6F1CD6" w:rsidRDefault="4A6F1CD6" w:rsidP="000B42BB">
            <w:pPr>
              <w:pStyle w:val="ListParagraph"/>
              <w:numPr>
                <w:ilvl w:val="0"/>
                <w:numId w:val="6"/>
              </w:numPr>
              <w:ind w:left="360"/>
              <w:rPr>
                <w:rFonts w:ascii="Calibri" w:eastAsia="Calibri" w:hAnsi="Calibri" w:cs="Calibri"/>
                <w:sz w:val="22"/>
                <w:szCs w:val="22"/>
              </w:rPr>
            </w:pPr>
            <w:r w:rsidRPr="4A6F1CD6">
              <w:rPr>
                <w:rFonts w:ascii="Calibri" w:eastAsia="Calibri" w:hAnsi="Calibri" w:cs="Calibri"/>
                <w:sz w:val="22"/>
                <w:szCs w:val="22"/>
              </w:rPr>
              <w:t>vericiguat</w:t>
            </w:r>
          </w:p>
        </w:tc>
      </w:tr>
      <w:tr w:rsidR="4A6F1CD6" w14:paraId="5791434C" w14:textId="77777777" w:rsidTr="008F6D3C">
        <w:trPr>
          <w:trHeight w:val="300"/>
        </w:trPr>
        <w:tc>
          <w:tcPr>
            <w:tcW w:w="2542" w:type="dxa"/>
            <w:tcBorders>
              <w:top w:val="single" w:sz="8" w:space="0" w:color="auto"/>
              <w:left w:val="single" w:sz="8" w:space="0" w:color="auto"/>
              <w:bottom w:val="single" w:sz="8" w:space="0" w:color="auto"/>
              <w:right w:val="single" w:sz="8" w:space="0" w:color="auto"/>
            </w:tcBorders>
            <w:tcMar>
              <w:left w:w="108" w:type="dxa"/>
              <w:right w:w="108" w:type="dxa"/>
            </w:tcMar>
          </w:tcPr>
          <w:p w14:paraId="7E178241" w14:textId="79CE8117" w:rsidR="4A6F1CD6" w:rsidRDefault="4A6F1CD6" w:rsidP="4A6F1CD6">
            <w:r w:rsidRPr="4A6F1CD6">
              <w:rPr>
                <w:rFonts w:ascii="Calibri" w:eastAsia="Calibri" w:hAnsi="Calibri" w:cs="Calibri"/>
                <w:sz w:val="22"/>
                <w:szCs w:val="22"/>
              </w:rPr>
              <w:t>Cancer</w:t>
            </w:r>
          </w:p>
        </w:tc>
        <w:tc>
          <w:tcPr>
            <w:tcW w:w="8749" w:type="dxa"/>
            <w:tcBorders>
              <w:top w:val="single" w:sz="8" w:space="0" w:color="auto"/>
              <w:left w:val="single" w:sz="8" w:space="0" w:color="auto"/>
              <w:bottom w:val="single" w:sz="8" w:space="0" w:color="auto"/>
              <w:right w:val="single" w:sz="8" w:space="0" w:color="auto"/>
            </w:tcBorders>
            <w:tcMar>
              <w:left w:w="108" w:type="dxa"/>
              <w:right w:w="108" w:type="dxa"/>
            </w:tcMar>
          </w:tcPr>
          <w:p w14:paraId="243DC509" w14:textId="1FDC9839" w:rsidR="4A6F1CD6" w:rsidRDefault="4A6F1CD6" w:rsidP="4A6F1CD6">
            <w:pPr>
              <w:spacing w:after="120"/>
            </w:pPr>
            <w:r w:rsidRPr="4A6F1CD6">
              <w:rPr>
                <w:rFonts w:ascii="Calibri" w:eastAsia="Calibri" w:hAnsi="Calibri" w:cs="Calibri"/>
                <w:b/>
                <w:bCs/>
                <w:sz w:val="22"/>
                <w:szCs w:val="22"/>
              </w:rPr>
              <w:t xml:space="preserve">Monitoring of final trial overall survival </w:t>
            </w:r>
            <w:r w:rsidR="00D32FAF">
              <w:rPr>
                <w:rFonts w:ascii="Calibri" w:eastAsia="Calibri" w:hAnsi="Calibri" w:cs="Calibri"/>
                <w:b/>
                <w:bCs/>
                <w:sz w:val="22"/>
                <w:szCs w:val="22"/>
              </w:rPr>
              <w:t xml:space="preserve">(OS) </w:t>
            </w:r>
            <w:r w:rsidRPr="4A6F1CD6">
              <w:rPr>
                <w:rFonts w:ascii="Calibri" w:eastAsia="Calibri" w:hAnsi="Calibri" w:cs="Calibri"/>
                <w:b/>
                <w:bCs/>
                <w:sz w:val="22"/>
                <w:szCs w:val="22"/>
              </w:rPr>
              <w:t>results in PBAC submissions for cancer medicines</w:t>
            </w:r>
          </w:p>
          <w:p w14:paraId="5A05D7E3" w14:textId="799F6307" w:rsidR="4A6F1CD6" w:rsidRDefault="4A6F1CD6" w:rsidP="4A6F1CD6">
            <w:pPr>
              <w:spacing w:after="120"/>
            </w:pPr>
            <w:r w:rsidRPr="4A6F1CD6">
              <w:rPr>
                <w:rFonts w:ascii="Calibri" w:eastAsia="Calibri" w:hAnsi="Calibri" w:cs="Calibri"/>
                <w:b/>
                <w:bCs/>
                <w:sz w:val="22"/>
                <w:szCs w:val="22"/>
              </w:rPr>
              <w:t>Background</w:t>
            </w:r>
          </w:p>
          <w:p w14:paraId="7B5EC719" w14:textId="7D8BD201" w:rsidR="4A6F1CD6" w:rsidRDefault="4A6F1CD6" w:rsidP="4A6F1CD6">
            <w:pPr>
              <w:spacing w:after="120"/>
              <w:rPr>
                <w:rFonts w:ascii="Calibri" w:eastAsia="Calibri" w:hAnsi="Calibri" w:cs="Calibri"/>
                <w:sz w:val="22"/>
                <w:szCs w:val="22"/>
              </w:rPr>
            </w:pPr>
            <w:r w:rsidRPr="4A6F1CD6">
              <w:rPr>
                <w:rFonts w:ascii="Calibri" w:eastAsia="Calibri" w:hAnsi="Calibri" w:cs="Calibri"/>
                <w:sz w:val="22"/>
                <w:szCs w:val="22"/>
              </w:rPr>
              <w:t>Surrogate end points have an increasingly important role in cancer medicine research, clinical practice, and evidence to support registration and subsidy of new medicines. In May 2022, the PBAC recommended a review of the use of surrogate outcome measures in PBAC submissions for cancer medicines between 2012-2021, including a literature review of the reliability of surrogate endpoints in various malignancies.</w:t>
            </w:r>
          </w:p>
          <w:p w14:paraId="28A21822" w14:textId="6B42BCD9" w:rsidR="00785DEA" w:rsidRDefault="00785DEA" w:rsidP="00785DEA">
            <w:pPr>
              <w:spacing w:after="120"/>
            </w:pPr>
            <w:r w:rsidRPr="4A6F1CD6">
              <w:rPr>
                <w:rFonts w:ascii="Calibri" w:eastAsia="Calibri" w:hAnsi="Calibri" w:cs="Calibri"/>
                <w:sz w:val="22"/>
                <w:szCs w:val="22"/>
              </w:rPr>
              <w:t xml:space="preserve">The </w:t>
            </w:r>
            <w:hyperlink r:id="rId11" w:history="1">
              <w:r w:rsidRPr="000B45A1">
                <w:rPr>
                  <w:rStyle w:val="Hyperlink"/>
                  <w:rFonts w:ascii="Calibri" w:eastAsia="Calibri" w:hAnsi="Calibri" w:cs="Calibri"/>
                  <w:sz w:val="22"/>
                  <w:szCs w:val="22"/>
                </w:rPr>
                <w:t>report on cancer surrogates</w:t>
              </w:r>
            </w:hyperlink>
            <w:r w:rsidRPr="4A6F1CD6">
              <w:rPr>
                <w:rFonts w:ascii="Calibri" w:eastAsia="Calibri" w:hAnsi="Calibri" w:cs="Calibri"/>
                <w:sz w:val="22"/>
                <w:szCs w:val="22"/>
              </w:rPr>
              <w:t xml:space="preserve"> was provided to the Economics Sub</w:t>
            </w:r>
            <w:r w:rsidR="00D32FAF">
              <w:rPr>
                <w:rFonts w:ascii="Calibri" w:eastAsia="Calibri" w:hAnsi="Calibri" w:cs="Calibri"/>
                <w:sz w:val="22"/>
                <w:szCs w:val="22"/>
              </w:rPr>
              <w:t>-C</w:t>
            </w:r>
            <w:r w:rsidRPr="4A6F1CD6">
              <w:rPr>
                <w:rFonts w:ascii="Calibri" w:eastAsia="Calibri" w:hAnsi="Calibri" w:cs="Calibri"/>
                <w:sz w:val="22"/>
                <w:szCs w:val="22"/>
              </w:rPr>
              <w:t xml:space="preserve">ommittee (ESC) in June 2023 and </w:t>
            </w:r>
            <w:r w:rsidR="00D32FAF">
              <w:rPr>
                <w:rFonts w:ascii="Calibri" w:eastAsia="Calibri" w:hAnsi="Calibri" w:cs="Calibri"/>
                <w:sz w:val="22"/>
                <w:szCs w:val="22"/>
              </w:rPr>
              <w:t xml:space="preserve">the </w:t>
            </w:r>
            <w:r w:rsidRPr="4A6F1CD6">
              <w:rPr>
                <w:rFonts w:ascii="Calibri" w:eastAsia="Calibri" w:hAnsi="Calibri" w:cs="Calibri"/>
                <w:sz w:val="22"/>
                <w:szCs w:val="22"/>
              </w:rPr>
              <w:t xml:space="preserve">PBAC in July 2023. The PBAC noted ESC Advice regarding potential further research and actions. The report was published on the PBS website and provided to relevant stakeholders in September 2023. </w:t>
            </w:r>
          </w:p>
          <w:p w14:paraId="6D84ABFD" w14:textId="65820CC4" w:rsidR="00785DEA" w:rsidRDefault="00785DEA" w:rsidP="00785DEA">
            <w:pPr>
              <w:spacing w:after="120"/>
              <w:rPr>
                <w:rFonts w:ascii="Calibri" w:eastAsia="Calibri" w:hAnsi="Calibri" w:cs="Calibri"/>
                <w:sz w:val="22"/>
                <w:szCs w:val="22"/>
              </w:rPr>
            </w:pPr>
            <w:r w:rsidRPr="4A6F1CD6">
              <w:rPr>
                <w:rFonts w:ascii="Calibri" w:eastAsia="Calibri" w:hAnsi="Calibri" w:cs="Calibri"/>
                <w:sz w:val="22"/>
                <w:szCs w:val="22"/>
              </w:rPr>
              <w:lastRenderedPageBreak/>
              <w:t xml:space="preserve">The report found that for submissions and resubmissions that presented interim or immature OS trial data between January 2012 to May 2022, around 60% had not subsequently published final trial results (60/101 trials). The ESC noted that OS results, where published, were generally consistent with interim results but expressed concern over potential publication bias in trials reporting </w:t>
            </w:r>
            <w:proofErr w:type="gramStart"/>
            <w:r w:rsidRPr="4A6F1CD6">
              <w:rPr>
                <w:rFonts w:ascii="Calibri" w:eastAsia="Calibri" w:hAnsi="Calibri" w:cs="Calibri"/>
                <w:sz w:val="22"/>
                <w:szCs w:val="22"/>
              </w:rPr>
              <w:t>final results</w:t>
            </w:r>
            <w:proofErr w:type="gramEnd"/>
            <w:r w:rsidRPr="4A6F1CD6">
              <w:rPr>
                <w:rFonts w:ascii="Calibri" w:eastAsia="Calibri" w:hAnsi="Calibri" w:cs="Calibri"/>
                <w:sz w:val="22"/>
                <w:szCs w:val="22"/>
              </w:rPr>
              <w:t xml:space="preserve">. </w:t>
            </w:r>
          </w:p>
          <w:p w14:paraId="5C5DFC56" w14:textId="77777777" w:rsidR="00785DEA" w:rsidRDefault="00785DEA" w:rsidP="00785DEA">
            <w:pPr>
              <w:spacing w:after="120"/>
            </w:pPr>
            <w:r w:rsidRPr="4A6F1CD6">
              <w:rPr>
                <w:rFonts w:ascii="Calibri" w:eastAsia="Calibri" w:hAnsi="Calibri" w:cs="Calibri"/>
                <w:sz w:val="22"/>
                <w:szCs w:val="22"/>
              </w:rPr>
              <w:t>In September 2023, the PBAC recommended a further project to develop a system to monitor final trial OS results for cancer medicines.</w:t>
            </w:r>
          </w:p>
          <w:p w14:paraId="37E87DAA" w14:textId="0DB41484" w:rsidR="4A6F1CD6" w:rsidRDefault="4A6F1CD6" w:rsidP="4A6F1CD6">
            <w:pPr>
              <w:spacing w:after="120"/>
              <w:rPr>
                <w:rFonts w:ascii="Calibri" w:eastAsia="Calibri" w:hAnsi="Calibri" w:cs="Calibri"/>
                <w:b/>
                <w:bCs/>
                <w:sz w:val="22"/>
                <w:szCs w:val="22"/>
              </w:rPr>
            </w:pPr>
            <w:r w:rsidRPr="4A6F1CD6">
              <w:rPr>
                <w:rFonts w:ascii="Calibri" w:eastAsia="Calibri" w:hAnsi="Calibri" w:cs="Calibri"/>
                <w:b/>
                <w:bCs/>
                <w:sz w:val="22"/>
                <w:szCs w:val="22"/>
              </w:rPr>
              <w:t>Status</w:t>
            </w:r>
          </w:p>
          <w:p w14:paraId="36B837DD" w14:textId="213560E1" w:rsidR="00785DEA" w:rsidRDefault="00785DEA" w:rsidP="00785DEA">
            <w:pPr>
              <w:spacing w:after="120"/>
            </w:pPr>
            <w:r>
              <w:rPr>
                <w:rFonts w:ascii="Calibri" w:eastAsia="Calibri" w:hAnsi="Calibri" w:cs="Calibri"/>
                <w:sz w:val="22"/>
                <w:szCs w:val="22"/>
              </w:rPr>
              <w:t xml:space="preserve">The Department has contracted </w:t>
            </w:r>
            <w:r w:rsidRPr="00785DEA">
              <w:rPr>
                <w:rFonts w:ascii="Calibri" w:eastAsia="Calibri" w:hAnsi="Calibri" w:cs="Calibri"/>
                <w:sz w:val="22"/>
                <w:szCs w:val="22"/>
              </w:rPr>
              <w:t>a</w:t>
            </w:r>
            <w:r>
              <w:rPr>
                <w:rFonts w:ascii="Calibri" w:eastAsia="Calibri" w:hAnsi="Calibri" w:cs="Calibri"/>
                <w:sz w:val="22"/>
                <w:szCs w:val="22"/>
              </w:rPr>
              <w:t xml:space="preserve"> health technology assessment </w:t>
            </w:r>
            <w:r w:rsidR="00D32FAF">
              <w:rPr>
                <w:rFonts w:ascii="Calibri" w:eastAsia="Calibri" w:hAnsi="Calibri" w:cs="Calibri"/>
                <w:sz w:val="22"/>
                <w:szCs w:val="22"/>
              </w:rPr>
              <w:t xml:space="preserve">(HTA) </w:t>
            </w:r>
            <w:r w:rsidR="0015750C">
              <w:rPr>
                <w:rFonts w:ascii="Calibri" w:eastAsia="Calibri" w:hAnsi="Calibri" w:cs="Calibri"/>
                <w:sz w:val="22"/>
                <w:szCs w:val="22"/>
              </w:rPr>
              <w:t xml:space="preserve">evaluation </w:t>
            </w:r>
            <w:r>
              <w:rPr>
                <w:rFonts w:ascii="Calibri" w:eastAsia="Calibri" w:hAnsi="Calibri" w:cs="Calibri"/>
                <w:sz w:val="22"/>
                <w:szCs w:val="22"/>
              </w:rPr>
              <w:t xml:space="preserve">group </w:t>
            </w:r>
            <w:r w:rsidRPr="00785DEA">
              <w:rPr>
                <w:rFonts w:ascii="Calibri" w:eastAsia="Calibri" w:hAnsi="Calibri" w:cs="Calibri"/>
                <w:sz w:val="22"/>
                <w:szCs w:val="22"/>
              </w:rPr>
              <w:t>to develop a report on final trial OS results for cancer medicines</w:t>
            </w:r>
            <w:r>
              <w:rPr>
                <w:rFonts w:ascii="Calibri" w:eastAsia="Calibri" w:hAnsi="Calibri" w:cs="Calibri"/>
                <w:sz w:val="22"/>
                <w:szCs w:val="22"/>
              </w:rPr>
              <w:t xml:space="preserve"> recommended by the PBAC between January 2012 and March 2024. </w:t>
            </w:r>
            <w:r w:rsidR="001C7432">
              <w:rPr>
                <w:rFonts w:ascii="Calibri" w:eastAsia="Calibri" w:hAnsi="Calibri" w:cs="Calibri"/>
                <w:sz w:val="22"/>
                <w:szCs w:val="22"/>
              </w:rPr>
              <w:t xml:space="preserve">The report aims to explore whether final trial OS results for cancer medicines align with the interim results considered by the PBAC and any reasons for trial results not being available. </w:t>
            </w:r>
            <w:r>
              <w:rPr>
                <w:rFonts w:ascii="Calibri" w:eastAsia="Calibri" w:hAnsi="Calibri" w:cs="Calibri"/>
                <w:sz w:val="22"/>
                <w:szCs w:val="22"/>
              </w:rPr>
              <w:t xml:space="preserve">The project is currently in a pilot data collection phase. </w:t>
            </w:r>
          </w:p>
          <w:p w14:paraId="1141FCEC" w14:textId="02926DD4" w:rsidR="4A6F1CD6" w:rsidRDefault="4A6F1CD6" w:rsidP="4A6F1CD6">
            <w:pPr>
              <w:spacing w:after="120"/>
            </w:pPr>
            <w:r w:rsidRPr="4A6F1CD6">
              <w:rPr>
                <w:rFonts w:ascii="Calibri" w:eastAsia="Calibri" w:hAnsi="Calibri" w:cs="Calibri"/>
                <w:b/>
                <w:bCs/>
                <w:sz w:val="22"/>
                <w:szCs w:val="22"/>
              </w:rPr>
              <w:t>Next steps</w:t>
            </w:r>
          </w:p>
          <w:p w14:paraId="70754FB9" w14:textId="715C6577" w:rsidR="001C7432" w:rsidRPr="005B6DBE" w:rsidRDefault="00FE4451" w:rsidP="005B6DBE">
            <w:pPr>
              <w:spacing w:after="120"/>
              <w:rPr>
                <w:rFonts w:ascii="Calibri" w:eastAsia="Calibri" w:hAnsi="Calibri" w:cs="Calibri"/>
                <w:sz w:val="22"/>
                <w:szCs w:val="22"/>
              </w:rPr>
            </w:pPr>
            <w:r w:rsidRPr="005B6DBE">
              <w:rPr>
                <w:rFonts w:ascii="Calibri" w:eastAsia="Calibri" w:hAnsi="Calibri" w:cs="Calibri"/>
                <w:sz w:val="22"/>
                <w:szCs w:val="22"/>
              </w:rPr>
              <w:t>The Department will c</w:t>
            </w:r>
            <w:r w:rsidR="001C7432" w:rsidRPr="005B6DBE">
              <w:rPr>
                <w:rFonts w:ascii="Calibri" w:eastAsia="Calibri" w:hAnsi="Calibri" w:cs="Calibri"/>
                <w:sz w:val="22"/>
                <w:szCs w:val="22"/>
              </w:rPr>
              <w:t xml:space="preserve">ontact sponsors to request any unpublished trial data in </w:t>
            </w:r>
            <w:r w:rsidR="006F51C3" w:rsidRPr="005B6DBE">
              <w:rPr>
                <w:rFonts w:ascii="Calibri" w:eastAsia="Calibri" w:hAnsi="Calibri" w:cs="Calibri"/>
                <w:sz w:val="22"/>
                <w:szCs w:val="22"/>
              </w:rPr>
              <w:t xml:space="preserve">late </w:t>
            </w:r>
            <w:r w:rsidR="001C7432" w:rsidRPr="005B6DBE">
              <w:rPr>
                <w:rFonts w:ascii="Calibri" w:eastAsia="Calibri" w:hAnsi="Calibri" w:cs="Calibri"/>
                <w:sz w:val="22"/>
                <w:szCs w:val="22"/>
              </w:rPr>
              <w:t>2024.</w:t>
            </w:r>
            <w:r>
              <w:rPr>
                <w:rFonts w:ascii="Calibri" w:eastAsia="Calibri" w:hAnsi="Calibri" w:cs="Calibri"/>
                <w:sz w:val="22"/>
                <w:szCs w:val="22"/>
              </w:rPr>
              <w:t xml:space="preserve"> </w:t>
            </w:r>
            <w:r w:rsidRPr="005B6DBE">
              <w:rPr>
                <w:rFonts w:ascii="Calibri" w:eastAsia="Calibri" w:hAnsi="Calibri" w:cs="Calibri"/>
                <w:sz w:val="22"/>
                <w:szCs w:val="22"/>
              </w:rPr>
              <w:t xml:space="preserve">It is anticipated that a </w:t>
            </w:r>
            <w:proofErr w:type="gramStart"/>
            <w:r w:rsidRPr="005B6DBE">
              <w:rPr>
                <w:rFonts w:ascii="Calibri" w:eastAsia="Calibri" w:hAnsi="Calibri" w:cs="Calibri"/>
                <w:sz w:val="22"/>
                <w:szCs w:val="22"/>
              </w:rPr>
              <w:t xml:space="preserve">draft </w:t>
            </w:r>
            <w:r w:rsidR="001C7432" w:rsidRPr="005B6DBE">
              <w:rPr>
                <w:rFonts w:ascii="Calibri" w:eastAsia="Calibri" w:hAnsi="Calibri" w:cs="Calibri"/>
                <w:sz w:val="22"/>
                <w:szCs w:val="22"/>
              </w:rPr>
              <w:t xml:space="preserve"> report</w:t>
            </w:r>
            <w:proofErr w:type="gramEnd"/>
            <w:r w:rsidR="001C7432" w:rsidRPr="005B6DBE">
              <w:rPr>
                <w:rFonts w:ascii="Calibri" w:eastAsia="Calibri" w:hAnsi="Calibri" w:cs="Calibri"/>
                <w:sz w:val="22"/>
                <w:szCs w:val="22"/>
              </w:rPr>
              <w:t xml:space="preserve"> </w:t>
            </w:r>
            <w:r w:rsidRPr="005B6DBE">
              <w:rPr>
                <w:rFonts w:ascii="Calibri" w:eastAsia="Calibri" w:hAnsi="Calibri" w:cs="Calibri"/>
                <w:sz w:val="22"/>
                <w:szCs w:val="22"/>
              </w:rPr>
              <w:t xml:space="preserve">will be provided </w:t>
            </w:r>
            <w:r w:rsidR="001C7432" w:rsidRPr="005B6DBE">
              <w:rPr>
                <w:rFonts w:ascii="Calibri" w:eastAsia="Calibri" w:hAnsi="Calibri" w:cs="Calibri"/>
                <w:sz w:val="22"/>
                <w:szCs w:val="22"/>
              </w:rPr>
              <w:t>to ESC</w:t>
            </w:r>
            <w:r w:rsidR="006F51C3" w:rsidRPr="005B6DBE">
              <w:rPr>
                <w:rFonts w:ascii="Calibri" w:eastAsia="Calibri" w:hAnsi="Calibri" w:cs="Calibri"/>
                <w:sz w:val="22"/>
                <w:szCs w:val="22"/>
              </w:rPr>
              <w:t>/</w:t>
            </w:r>
            <w:r w:rsidR="001C7432" w:rsidRPr="005B6DBE">
              <w:rPr>
                <w:rFonts w:ascii="Calibri" w:eastAsia="Calibri" w:hAnsi="Calibri" w:cs="Calibri"/>
                <w:sz w:val="22"/>
                <w:szCs w:val="22"/>
              </w:rPr>
              <w:t>PBAC in</w:t>
            </w:r>
            <w:r w:rsidR="006F51C3" w:rsidRPr="005B6DBE">
              <w:rPr>
                <w:rFonts w:ascii="Calibri" w:eastAsia="Calibri" w:hAnsi="Calibri" w:cs="Calibri"/>
                <w:sz w:val="22"/>
                <w:szCs w:val="22"/>
              </w:rPr>
              <w:t xml:space="preserve"> </w:t>
            </w:r>
            <w:r w:rsidR="00ED16C6" w:rsidRPr="005B6DBE">
              <w:rPr>
                <w:rFonts w:ascii="Calibri" w:eastAsia="Calibri" w:hAnsi="Calibri" w:cs="Calibri"/>
                <w:sz w:val="22"/>
                <w:szCs w:val="22"/>
              </w:rPr>
              <w:t>mid-2025</w:t>
            </w:r>
            <w:r w:rsidR="001C7432" w:rsidRPr="005B6DBE">
              <w:rPr>
                <w:rFonts w:ascii="Calibri" w:eastAsia="Calibri" w:hAnsi="Calibri" w:cs="Calibri"/>
                <w:sz w:val="22"/>
                <w:szCs w:val="22"/>
              </w:rPr>
              <w:t>.</w:t>
            </w:r>
          </w:p>
          <w:p w14:paraId="231A4903" w14:textId="00AD80D1" w:rsidR="4A6F1CD6" w:rsidRPr="005B6DBE" w:rsidRDefault="00FE4451" w:rsidP="005B6DBE">
            <w:pPr>
              <w:rPr>
                <w:rFonts w:ascii="Calibri" w:eastAsia="Calibri" w:hAnsi="Calibri" w:cs="Calibri"/>
                <w:sz w:val="22"/>
                <w:szCs w:val="22"/>
              </w:rPr>
            </w:pPr>
            <w:r w:rsidRPr="005B6DBE">
              <w:rPr>
                <w:rFonts w:ascii="Calibri" w:eastAsia="Calibri" w:hAnsi="Calibri" w:cs="Calibri"/>
                <w:sz w:val="22"/>
                <w:szCs w:val="22"/>
              </w:rPr>
              <w:t>The Department will continue to d</w:t>
            </w:r>
            <w:r w:rsidR="4A6F1CD6" w:rsidRPr="005B6DBE">
              <w:rPr>
                <w:rFonts w:ascii="Calibri" w:eastAsia="Calibri" w:hAnsi="Calibri" w:cs="Calibri"/>
                <w:sz w:val="22"/>
                <w:szCs w:val="22"/>
              </w:rPr>
              <w:t>evelop research proposals to review the use of surrogate outcomes and surrogate validity in other indications based on the ESC Advice for future PBAC consideration.</w:t>
            </w:r>
          </w:p>
        </w:tc>
        <w:tc>
          <w:tcPr>
            <w:tcW w:w="2780" w:type="dxa"/>
            <w:tcBorders>
              <w:top w:val="single" w:sz="8" w:space="0" w:color="auto"/>
              <w:left w:val="single" w:sz="8" w:space="0" w:color="auto"/>
              <w:bottom w:val="single" w:sz="8" w:space="0" w:color="auto"/>
              <w:right w:val="single" w:sz="8" w:space="0" w:color="auto"/>
            </w:tcBorders>
            <w:tcMar>
              <w:left w:w="108" w:type="dxa"/>
              <w:right w:w="108" w:type="dxa"/>
            </w:tcMar>
          </w:tcPr>
          <w:p w14:paraId="49BA6BF9" w14:textId="15AEB5BA" w:rsidR="4A6F1CD6" w:rsidRDefault="4A6F1CD6" w:rsidP="000B42BB">
            <w:pPr>
              <w:pStyle w:val="ListParagraph"/>
              <w:numPr>
                <w:ilvl w:val="0"/>
                <w:numId w:val="5"/>
              </w:numPr>
              <w:ind w:left="360"/>
              <w:rPr>
                <w:rFonts w:ascii="Calibri" w:eastAsia="Calibri" w:hAnsi="Calibri" w:cs="Calibri"/>
                <w:sz w:val="22"/>
                <w:szCs w:val="22"/>
              </w:rPr>
            </w:pPr>
            <w:r w:rsidRPr="4A6F1CD6">
              <w:rPr>
                <w:rFonts w:ascii="Calibri" w:eastAsia="Calibri" w:hAnsi="Calibri" w:cs="Calibri"/>
                <w:sz w:val="22"/>
                <w:szCs w:val="22"/>
              </w:rPr>
              <w:lastRenderedPageBreak/>
              <w:t>Oncology medicines</w:t>
            </w:r>
          </w:p>
        </w:tc>
      </w:tr>
      <w:tr w:rsidR="4A6F1CD6" w14:paraId="7596480C" w14:textId="77777777" w:rsidTr="008F6D3C">
        <w:trPr>
          <w:trHeight w:val="300"/>
        </w:trPr>
        <w:tc>
          <w:tcPr>
            <w:tcW w:w="2542" w:type="dxa"/>
            <w:tcBorders>
              <w:top w:val="single" w:sz="8" w:space="0" w:color="auto"/>
              <w:left w:val="single" w:sz="8" w:space="0" w:color="auto"/>
              <w:bottom w:val="single" w:sz="8" w:space="0" w:color="auto"/>
              <w:right w:val="single" w:sz="8" w:space="0" w:color="auto"/>
            </w:tcBorders>
            <w:tcMar>
              <w:left w:w="108" w:type="dxa"/>
              <w:right w:w="108" w:type="dxa"/>
            </w:tcMar>
          </w:tcPr>
          <w:p w14:paraId="10242C18" w14:textId="11050668" w:rsidR="4A6F1CD6" w:rsidRDefault="4A6F1CD6" w:rsidP="4A6F1CD6">
            <w:r w:rsidRPr="4A6F1CD6">
              <w:rPr>
                <w:rFonts w:ascii="Calibri" w:eastAsia="Calibri" w:hAnsi="Calibri" w:cs="Calibri"/>
                <w:sz w:val="22"/>
                <w:szCs w:val="22"/>
              </w:rPr>
              <w:t>Epilepsy</w:t>
            </w:r>
          </w:p>
        </w:tc>
        <w:tc>
          <w:tcPr>
            <w:tcW w:w="8749" w:type="dxa"/>
            <w:tcBorders>
              <w:top w:val="single" w:sz="8" w:space="0" w:color="auto"/>
              <w:left w:val="single" w:sz="8" w:space="0" w:color="auto"/>
              <w:bottom w:val="single" w:sz="8" w:space="0" w:color="auto"/>
              <w:right w:val="single" w:sz="8" w:space="0" w:color="auto"/>
            </w:tcBorders>
            <w:tcMar>
              <w:left w:w="108" w:type="dxa"/>
              <w:right w:w="108" w:type="dxa"/>
            </w:tcMar>
          </w:tcPr>
          <w:p w14:paraId="59AD1621" w14:textId="3D7132BC" w:rsidR="4A6F1CD6" w:rsidRDefault="4A6F1CD6" w:rsidP="4A6F1CD6">
            <w:pPr>
              <w:spacing w:after="120"/>
            </w:pPr>
            <w:r w:rsidRPr="4A6F1CD6">
              <w:rPr>
                <w:rFonts w:ascii="Calibri" w:eastAsia="Calibri" w:hAnsi="Calibri" w:cs="Calibri"/>
                <w:b/>
                <w:bCs/>
                <w:sz w:val="22"/>
                <w:szCs w:val="22"/>
              </w:rPr>
              <w:t>PBS restrictions for anti-epileptic drugs (AEDs)</w:t>
            </w:r>
          </w:p>
          <w:p w14:paraId="05552A88" w14:textId="3FAEC53D" w:rsidR="4A6F1CD6" w:rsidRDefault="4A6F1CD6" w:rsidP="4A6F1CD6">
            <w:pPr>
              <w:spacing w:after="120"/>
            </w:pPr>
            <w:r w:rsidRPr="4A6F1CD6">
              <w:rPr>
                <w:rFonts w:ascii="Calibri" w:eastAsia="Calibri" w:hAnsi="Calibri" w:cs="Calibri"/>
                <w:b/>
                <w:bCs/>
                <w:sz w:val="22"/>
                <w:szCs w:val="22"/>
              </w:rPr>
              <w:t>Background</w:t>
            </w:r>
          </w:p>
          <w:p w14:paraId="1B7A1C1C" w14:textId="30339678" w:rsidR="4A6F1CD6" w:rsidRDefault="4A6F1CD6" w:rsidP="4A6F1CD6">
            <w:pPr>
              <w:spacing w:after="120"/>
            </w:pPr>
            <w:r w:rsidRPr="4A6F1CD6">
              <w:rPr>
                <w:rFonts w:ascii="Calibri" w:eastAsia="Calibri" w:hAnsi="Calibri" w:cs="Calibri"/>
                <w:sz w:val="22"/>
                <w:szCs w:val="22"/>
              </w:rPr>
              <w:t xml:space="preserve">At its </w:t>
            </w:r>
            <w:r w:rsidRPr="00ED16C6">
              <w:rPr>
                <w:rFonts w:ascii="Calibri" w:eastAsia="Calibri" w:hAnsi="Calibri" w:cs="Calibri"/>
                <w:sz w:val="22"/>
                <w:szCs w:val="22"/>
              </w:rPr>
              <w:t>September 2020</w:t>
            </w:r>
            <w:r w:rsidRPr="4A6F1CD6">
              <w:rPr>
                <w:rFonts w:ascii="Calibri" w:eastAsia="Calibri" w:hAnsi="Calibri" w:cs="Calibri"/>
                <w:sz w:val="22"/>
                <w:szCs w:val="22"/>
              </w:rPr>
              <w:t xml:space="preserve"> meeting, the PBAC recommended amending the PBS restrictions to allow for the first‑line use of levetiracetam (LEV) and lamotrigine (LTG) in women of childbearing potential. These restriction changes took effect on 1 January 2021. These changes followed feedback from the Epilepsy Society of Australia (ESA) on best practice clinical management of epilepsy for women of childbearing potential. The PBAC noted that the </w:t>
            </w:r>
            <w:r w:rsidRPr="4A6F1CD6">
              <w:rPr>
                <w:rFonts w:ascii="Calibri" w:eastAsia="Calibri" w:hAnsi="Calibri" w:cs="Calibri"/>
                <w:sz w:val="22"/>
                <w:szCs w:val="22"/>
              </w:rPr>
              <w:lastRenderedPageBreak/>
              <w:t xml:space="preserve">previous PBS restrictions for LEV and LTG restricted access to those who had failed to have their epilepsy controlled with other AEDs and may have resulted in prescribers continuing to use sodium valproate among women of childbearing potential when safer options were available. </w:t>
            </w:r>
          </w:p>
          <w:p w14:paraId="385FA263" w14:textId="3AC53288" w:rsidR="4A6F1CD6" w:rsidRDefault="4A6F1CD6" w:rsidP="4A6F1CD6">
            <w:pPr>
              <w:spacing w:after="120"/>
            </w:pPr>
            <w:r w:rsidRPr="4A6F1CD6">
              <w:rPr>
                <w:rFonts w:ascii="Calibri" w:eastAsia="Calibri" w:hAnsi="Calibri" w:cs="Calibri"/>
                <w:sz w:val="22"/>
                <w:szCs w:val="22"/>
              </w:rPr>
              <w:t>Subsequently, the PBAC requested that the Department provide to the DUSC:</w:t>
            </w:r>
          </w:p>
          <w:p w14:paraId="13ADD472" w14:textId="32C4833F" w:rsidR="4A6F1CD6" w:rsidRDefault="4A6F1CD6" w:rsidP="000B42BB">
            <w:pPr>
              <w:pStyle w:val="ListParagraph"/>
              <w:numPr>
                <w:ilvl w:val="0"/>
                <w:numId w:val="4"/>
              </w:numPr>
              <w:rPr>
                <w:rFonts w:ascii="Calibri" w:eastAsia="Calibri" w:hAnsi="Calibri" w:cs="Calibri"/>
                <w:sz w:val="22"/>
                <w:szCs w:val="22"/>
              </w:rPr>
            </w:pPr>
            <w:r w:rsidRPr="4A6F1CD6">
              <w:rPr>
                <w:rFonts w:ascii="Calibri" w:eastAsia="Calibri" w:hAnsi="Calibri" w:cs="Calibri"/>
                <w:sz w:val="22"/>
                <w:szCs w:val="22"/>
              </w:rPr>
              <w:t>utilisation data and any further evidence on the broader use of other second-line AEDs, and</w:t>
            </w:r>
          </w:p>
          <w:p w14:paraId="315143A5" w14:textId="7E45500E" w:rsidR="4A6F1CD6" w:rsidRDefault="4A6F1CD6" w:rsidP="000B42BB">
            <w:pPr>
              <w:pStyle w:val="ListParagraph"/>
              <w:numPr>
                <w:ilvl w:val="0"/>
                <w:numId w:val="4"/>
              </w:numPr>
              <w:rPr>
                <w:rFonts w:ascii="Calibri" w:eastAsia="Calibri" w:hAnsi="Calibri" w:cs="Calibri"/>
                <w:sz w:val="22"/>
                <w:szCs w:val="22"/>
              </w:rPr>
            </w:pPr>
            <w:r w:rsidRPr="4A6F1CD6">
              <w:rPr>
                <w:rFonts w:ascii="Calibri" w:eastAsia="Calibri" w:hAnsi="Calibri" w:cs="Calibri"/>
                <w:sz w:val="22"/>
                <w:szCs w:val="22"/>
              </w:rPr>
              <w:t>estimates of cost to the PBS of allowing first-line use of LEV and LTG in the remaining population with epilepsy (i.e. males and females of all ages).</w:t>
            </w:r>
          </w:p>
          <w:p w14:paraId="58590388" w14:textId="0DA22298" w:rsidR="4A6F1CD6" w:rsidRDefault="4A6F1CD6" w:rsidP="4A6F1CD6">
            <w:pPr>
              <w:spacing w:after="120"/>
            </w:pPr>
            <w:r w:rsidRPr="4A6F1CD6">
              <w:rPr>
                <w:rFonts w:ascii="Calibri" w:eastAsia="Calibri" w:hAnsi="Calibri" w:cs="Calibri"/>
                <w:b/>
                <w:bCs/>
                <w:sz w:val="22"/>
                <w:szCs w:val="22"/>
              </w:rPr>
              <w:t>Status</w:t>
            </w:r>
          </w:p>
          <w:p w14:paraId="489E994E" w14:textId="133CAA33" w:rsidR="4A6F1CD6" w:rsidRDefault="4A6F1CD6" w:rsidP="4A6F1CD6">
            <w:pPr>
              <w:spacing w:after="120"/>
            </w:pPr>
            <w:r w:rsidRPr="4A6F1CD6">
              <w:rPr>
                <w:rFonts w:ascii="Calibri" w:eastAsia="Calibri" w:hAnsi="Calibri" w:cs="Calibri"/>
                <w:sz w:val="22"/>
                <w:szCs w:val="22"/>
              </w:rPr>
              <w:t xml:space="preserve">This project was on hold for 24 months to allow for the collection of sufficient PBS utilisation data following the 1 January 2021 restriction changes to LEV and LTG. </w:t>
            </w:r>
          </w:p>
          <w:p w14:paraId="1A3DA1F2" w14:textId="441D3667" w:rsidR="4A6F1CD6" w:rsidRDefault="4A6F1CD6" w:rsidP="4A6F1CD6">
            <w:pPr>
              <w:spacing w:after="120"/>
            </w:pPr>
            <w:r w:rsidRPr="4A6F1CD6">
              <w:rPr>
                <w:rFonts w:ascii="Calibri" w:eastAsia="Calibri" w:hAnsi="Calibri" w:cs="Calibri"/>
                <w:sz w:val="22"/>
                <w:szCs w:val="22"/>
              </w:rPr>
              <w:t xml:space="preserve">In September 2023, the DUSC considered the </w:t>
            </w:r>
            <w:r w:rsidRPr="4A6F1CD6">
              <w:rPr>
                <w:rFonts w:ascii="Calibri" w:eastAsia="Calibri" w:hAnsi="Calibri" w:cs="Calibri"/>
                <w:i/>
                <w:iCs/>
                <w:sz w:val="22"/>
                <w:szCs w:val="22"/>
              </w:rPr>
              <w:t>Utilisation analysis of PBS-listed AEDs in a cohort of epilepsy patients</w:t>
            </w:r>
            <w:r w:rsidRPr="4A6F1CD6">
              <w:rPr>
                <w:rFonts w:ascii="Calibri" w:eastAsia="Calibri" w:hAnsi="Calibri" w:cs="Calibri"/>
                <w:sz w:val="22"/>
                <w:szCs w:val="22"/>
              </w:rPr>
              <w:t xml:space="preserve">. The DUSC was also requested to advise the Department on the development of the cost estimates to the PBS of allowing first-line use of LEV and LTG in the remaining population with epilepsy (i.e. males and females of all ages). </w:t>
            </w:r>
          </w:p>
          <w:p w14:paraId="56DAEED8" w14:textId="3172D146" w:rsidR="4A6F1CD6" w:rsidRDefault="4A6F1CD6" w:rsidP="4A6F1CD6">
            <w:pPr>
              <w:spacing w:after="120"/>
            </w:pPr>
            <w:r w:rsidRPr="4A6F1CD6">
              <w:rPr>
                <w:rFonts w:ascii="Calibri" w:eastAsia="Calibri" w:hAnsi="Calibri" w:cs="Calibri"/>
                <w:sz w:val="22"/>
                <w:szCs w:val="22"/>
              </w:rPr>
              <w:t>In April 2024,</w:t>
            </w:r>
            <w:r w:rsidRPr="4A6F1CD6">
              <w:rPr>
                <w:rFonts w:ascii="Calibri" w:eastAsia="Calibri" w:hAnsi="Calibri" w:cs="Calibri"/>
                <w:b/>
                <w:bCs/>
                <w:i/>
                <w:iCs/>
                <w:sz w:val="22"/>
                <w:szCs w:val="22"/>
              </w:rPr>
              <w:t xml:space="preserve"> </w:t>
            </w:r>
            <w:r w:rsidR="0015750C">
              <w:rPr>
                <w:rFonts w:ascii="Calibri" w:eastAsia="Calibri" w:hAnsi="Calibri" w:cs="Calibri"/>
                <w:sz w:val="22"/>
                <w:szCs w:val="22"/>
              </w:rPr>
              <w:t>the Department contracted</w:t>
            </w:r>
            <w:r w:rsidRPr="4A6F1CD6">
              <w:rPr>
                <w:rFonts w:ascii="Calibri" w:eastAsia="Calibri" w:hAnsi="Calibri" w:cs="Calibri"/>
                <w:sz w:val="22"/>
                <w:szCs w:val="22"/>
              </w:rPr>
              <w:t xml:space="preserve"> a</w:t>
            </w:r>
            <w:r w:rsidR="0015750C">
              <w:rPr>
                <w:rFonts w:ascii="Calibri" w:eastAsia="Calibri" w:hAnsi="Calibri" w:cs="Calibri"/>
                <w:sz w:val="22"/>
                <w:szCs w:val="22"/>
              </w:rPr>
              <w:t xml:space="preserve"> HTA </w:t>
            </w:r>
            <w:r w:rsidRPr="4A6F1CD6">
              <w:rPr>
                <w:rFonts w:ascii="Calibri" w:eastAsia="Calibri" w:hAnsi="Calibri" w:cs="Calibri"/>
                <w:sz w:val="22"/>
                <w:szCs w:val="22"/>
              </w:rPr>
              <w:t>evaluation group to:</w:t>
            </w:r>
          </w:p>
          <w:p w14:paraId="28E26578" w14:textId="5BCDC812" w:rsidR="4A6F1CD6" w:rsidRDefault="4A6F1CD6" w:rsidP="000B42BB">
            <w:pPr>
              <w:pStyle w:val="ListParagraph"/>
              <w:numPr>
                <w:ilvl w:val="0"/>
                <w:numId w:val="3"/>
              </w:numPr>
              <w:rPr>
                <w:rFonts w:ascii="Calibri" w:eastAsia="Calibri" w:hAnsi="Calibri" w:cs="Calibri"/>
                <w:sz w:val="22"/>
                <w:szCs w:val="22"/>
              </w:rPr>
            </w:pPr>
            <w:r w:rsidRPr="4A6F1CD6">
              <w:rPr>
                <w:rFonts w:ascii="Calibri" w:eastAsia="Calibri" w:hAnsi="Calibri" w:cs="Calibri"/>
                <w:sz w:val="22"/>
                <w:szCs w:val="22"/>
              </w:rPr>
              <w:t xml:space="preserve">undertake a systematic literature review to identify relevant clinical guidelines for the use of AEDs for the treatment of epilepsy and compare these to the PBS restrictions and </w:t>
            </w:r>
            <w:r w:rsidR="00D32FAF">
              <w:rPr>
                <w:rFonts w:ascii="Calibri" w:eastAsia="Calibri" w:hAnsi="Calibri" w:cs="Calibri"/>
                <w:sz w:val="22"/>
                <w:szCs w:val="22"/>
              </w:rPr>
              <w:t>Therapeutic Goods Administration (</w:t>
            </w:r>
            <w:r w:rsidRPr="4A6F1CD6">
              <w:rPr>
                <w:rFonts w:ascii="Calibri" w:eastAsia="Calibri" w:hAnsi="Calibri" w:cs="Calibri"/>
                <w:sz w:val="22"/>
                <w:szCs w:val="22"/>
              </w:rPr>
              <w:t>TGA</w:t>
            </w:r>
            <w:r w:rsidR="00D32FAF">
              <w:rPr>
                <w:rFonts w:ascii="Calibri" w:eastAsia="Calibri" w:hAnsi="Calibri" w:cs="Calibri"/>
                <w:sz w:val="22"/>
                <w:szCs w:val="22"/>
              </w:rPr>
              <w:t>)</w:t>
            </w:r>
            <w:r w:rsidRPr="4A6F1CD6">
              <w:rPr>
                <w:rFonts w:ascii="Calibri" w:eastAsia="Calibri" w:hAnsi="Calibri" w:cs="Calibri"/>
                <w:sz w:val="22"/>
                <w:szCs w:val="22"/>
              </w:rPr>
              <w:t>-approved indications for these medicines, and</w:t>
            </w:r>
          </w:p>
          <w:p w14:paraId="6BB5F620" w14:textId="7D9DE69E" w:rsidR="4A6F1CD6" w:rsidRDefault="4A6F1CD6" w:rsidP="000B42BB">
            <w:pPr>
              <w:pStyle w:val="ListParagraph"/>
              <w:numPr>
                <w:ilvl w:val="0"/>
                <w:numId w:val="3"/>
              </w:numPr>
              <w:rPr>
                <w:rFonts w:ascii="Calibri" w:eastAsia="Calibri" w:hAnsi="Calibri" w:cs="Calibri"/>
                <w:sz w:val="22"/>
                <w:szCs w:val="22"/>
              </w:rPr>
            </w:pPr>
            <w:r w:rsidRPr="4A6F1CD6">
              <w:rPr>
                <w:rFonts w:ascii="Calibri" w:eastAsia="Calibri" w:hAnsi="Calibri" w:cs="Calibri"/>
                <w:sz w:val="22"/>
                <w:szCs w:val="22"/>
              </w:rPr>
              <w:t>estimate the cost to the PBS of expanding the restrictions for the second-line AEDs LEV and LTG to allow their first-line use in the general Australian population with epilepsy.</w:t>
            </w:r>
          </w:p>
          <w:p w14:paraId="0BB6E769" w14:textId="1C3374FE" w:rsidR="4A6F1CD6" w:rsidRDefault="4A6F1CD6" w:rsidP="005B6DBE">
            <w:pPr>
              <w:keepNext/>
              <w:spacing w:after="120"/>
            </w:pPr>
            <w:r w:rsidRPr="4A6F1CD6">
              <w:rPr>
                <w:rFonts w:ascii="Calibri" w:eastAsia="Calibri" w:hAnsi="Calibri" w:cs="Calibri"/>
                <w:b/>
                <w:bCs/>
                <w:sz w:val="22"/>
                <w:szCs w:val="22"/>
              </w:rPr>
              <w:t>Next steps</w:t>
            </w:r>
          </w:p>
          <w:p w14:paraId="2A339D0E" w14:textId="50F760A0" w:rsidR="4A6F1CD6" w:rsidRDefault="4A6F1CD6" w:rsidP="005B6DBE">
            <w:pPr>
              <w:keepNext/>
              <w:rPr>
                <w:rFonts w:ascii="Calibri" w:eastAsia="Calibri" w:hAnsi="Calibri" w:cs="Calibri"/>
                <w:sz w:val="22"/>
                <w:szCs w:val="22"/>
              </w:rPr>
            </w:pPr>
            <w:r w:rsidRPr="5DE43E31">
              <w:rPr>
                <w:rFonts w:ascii="Calibri" w:eastAsia="Calibri" w:hAnsi="Calibri" w:cs="Calibri"/>
                <w:sz w:val="22"/>
                <w:szCs w:val="22"/>
              </w:rPr>
              <w:t xml:space="preserve">It is anticipated that evaluation group’s report will be considered by the DUSC and/or PBAC in </w:t>
            </w:r>
            <w:r w:rsidR="00ED16C6">
              <w:rPr>
                <w:rFonts w:ascii="Calibri" w:eastAsia="Calibri" w:hAnsi="Calibri" w:cs="Calibri"/>
                <w:sz w:val="22"/>
                <w:szCs w:val="22"/>
              </w:rPr>
              <w:t>mid-</w:t>
            </w:r>
            <w:r w:rsidRPr="5DE43E31">
              <w:rPr>
                <w:rFonts w:ascii="Calibri" w:eastAsia="Calibri" w:hAnsi="Calibri" w:cs="Calibri"/>
                <w:sz w:val="22"/>
                <w:szCs w:val="22"/>
              </w:rPr>
              <w:t>202</w:t>
            </w:r>
            <w:r w:rsidR="00D32FAF">
              <w:rPr>
                <w:rFonts w:ascii="Calibri" w:eastAsia="Calibri" w:hAnsi="Calibri" w:cs="Calibri"/>
                <w:sz w:val="22"/>
                <w:szCs w:val="22"/>
              </w:rPr>
              <w:t>5</w:t>
            </w:r>
            <w:r w:rsidRPr="5DE43E31">
              <w:rPr>
                <w:rFonts w:ascii="Calibri" w:eastAsia="Calibri" w:hAnsi="Calibri" w:cs="Calibri"/>
                <w:sz w:val="22"/>
                <w:szCs w:val="22"/>
              </w:rPr>
              <w:t>.</w:t>
            </w:r>
          </w:p>
        </w:tc>
        <w:tc>
          <w:tcPr>
            <w:tcW w:w="2780" w:type="dxa"/>
            <w:tcBorders>
              <w:top w:val="single" w:sz="8" w:space="0" w:color="auto"/>
              <w:left w:val="single" w:sz="8" w:space="0" w:color="auto"/>
              <w:bottom w:val="single" w:sz="8" w:space="0" w:color="auto"/>
              <w:right w:val="single" w:sz="8" w:space="0" w:color="auto"/>
            </w:tcBorders>
            <w:tcMar>
              <w:left w:w="108" w:type="dxa"/>
              <w:right w:w="108" w:type="dxa"/>
            </w:tcMar>
          </w:tcPr>
          <w:p w14:paraId="0377A9E7" w14:textId="582232F8" w:rsidR="4A6F1CD6" w:rsidRDefault="4A6F1CD6" w:rsidP="000B42BB">
            <w:pPr>
              <w:pStyle w:val="ListParagraph"/>
              <w:numPr>
                <w:ilvl w:val="0"/>
                <w:numId w:val="2"/>
              </w:numPr>
              <w:ind w:left="360"/>
              <w:rPr>
                <w:rFonts w:ascii="Calibri" w:eastAsia="Calibri" w:hAnsi="Calibri" w:cs="Calibri"/>
                <w:sz w:val="22"/>
                <w:szCs w:val="22"/>
              </w:rPr>
            </w:pPr>
            <w:r w:rsidRPr="4A6F1CD6">
              <w:rPr>
                <w:rFonts w:ascii="Calibri" w:eastAsia="Calibri" w:hAnsi="Calibri" w:cs="Calibri"/>
                <w:sz w:val="22"/>
                <w:szCs w:val="22"/>
              </w:rPr>
              <w:lastRenderedPageBreak/>
              <w:t>All PBS-listed AEDs</w:t>
            </w:r>
          </w:p>
        </w:tc>
      </w:tr>
      <w:tr w:rsidR="4A6F1CD6" w14:paraId="73AB84A3" w14:textId="77777777" w:rsidTr="008F6D3C">
        <w:trPr>
          <w:trHeight w:val="300"/>
        </w:trPr>
        <w:tc>
          <w:tcPr>
            <w:tcW w:w="2542" w:type="dxa"/>
            <w:tcBorders>
              <w:top w:val="single" w:sz="8" w:space="0" w:color="auto"/>
              <w:left w:val="single" w:sz="8" w:space="0" w:color="auto"/>
              <w:bottom w:val="single" w:sz="8" w:space="0" w:color="auto"/>
              <w:right w:val="single" w:sz="8" w:space="0" w:color="auto"/>
            </w:tcBorders>
            <w:tcMar>
              <w:left w:w="108" w:type="dxa"/>
              <w:right w:w="108" w:type="dxa"/>
            </w:tcMar>
          </w:tcPr>
          <w:p w14:paraId="5A69F37B" w14:textId="745478E1" w:rsidR="4A6F1CD6" w:rsidRDefault="00BC464A" w:rsidP="4A6F1CD6">
            <w:r>
              <w:rPr>
                <w:rFonts w:ascii="Calibri" w:eastAsia="Calibri" w:hAnsi="Calibri" w:cs="Calibri"/>
                <w:sz w:val="22"/>
                <w:szCs w:val="22"/>
              </w:rPr>
              <w:lastRenderedPageBreak/>
              <w:t>Various</w:t>
            </w:r>
          </w:p>
        </w:tc>
        <w:tc>
          <w:tcPr>
            <w:tcW w:w="8749" w:type="dxa"/>
            <w:tcBorders>
              <w:top w:val="single" w:sz="8" w:space="0" w:color="auto"/>
              <w:left w:val="single" w:sz="8" w:space="0" w:color="auto"/>
              <w:bottom w:val="single" w:sz="8" w:space="0" w:color="auto"/>
              <w:right w:val="single" w:sz="8" w:space="0" w:color="auto"/>
            </w:tcBorders>
            <w:tcMar>
              <w:left w:w="108" w:type="dxa"/>
              <w:right w:w="108" w:type="dxa"/>
            </w:tcMar>
          </w:tcPr>
          <w:p w14:paraId="222869DD" w14:textId="5A73347F" w:rsidR="4A6F1CD6" w:rsidRDefault="6AC13116" w:rsidP="00ED16C6">
            <w:pPr>
              <w:keepNext/>
              <w:spacing w:after="120" w:line="257" w:lineRule="auto"/>
            </w:pPr>
            <w:r w:rsidRPr="0E77E67B">
              <w:rPr>
                <w:rFonts w:ascii="Calibri" w:eastAsia="Calibri" w:hAnsi="Calibri" w:cs="Calibri"/>
                <w:b/>
                <w:bCs/>
                <w:sz w:val="22"/>
                <w:szCs w:val="22"/>
              </w:rPr>
              <w:t xml:space="preserve">Review of PBS prescribing by nurse practitioners and endorsed </w:t>
            </w:r>
            <w:proofErr w:type="gramStart"/>
            <w:r w:rsidRPr="0E77E67B">
              <w:rPr>
                <w:rFonts w:ascii="Calibri" w:eastAsia="Calibri" w:hAnsi="Calibri" w:cs="Calibri"/>
                <w:b/>
                <w:bCs/>
                <w:sz w:val="22"/>
                <w:szCs w:val="22"/>
              </w:rPr>
              <w:t>midwives</w:t>
            </w:r>
            <w:proofErr w:type="gramEnd"/>
          </w:p>
          <w:p w14:paraId="28017176" w14:textId="5D39D3A1" w:rsidR="4A6F1CD6" w:rsidRDefault="6AC13116" w:rsidP="00ED16C6">
            <w:pPr>
              <w:keepNext/>
              <w:spacing w:after="120" w:line="257" w:lineRule="auto"/>
            </w:pPr>
            <w:r w:rsidRPr="0E77E67B">
              <w:rPr>
                <w:rFonts w:ascii="Calibri" w:eastAsia="Calibri" w:hAnsi="Calibri" w:cs="Calibri"/>
                <w:b/>
                <w:bCs/>
                <w:sz w:val="22"/>
                <w:szCs w:val="22"/>
              </w:rPr>
              <w:t>Background</w:t>
            </w:r>
          </w:p>
          <w:p w14:paraId="2066798F" w14:textId="43C57A9F" w:rsidR="4A6F1CD6" w:rsidRDefault="6AC13116" w:rsidP="00ED16C6">
            <w:pPr>
              <w:keepNext/>
              <w:spacing w:line="257" w:lineRule="auto"/>
              <w:rPr>
                <w:rFonts w:ascii="Calibri" w:eastAsia="Calibri" w:hAnsi="Calibri" w:cs="Calibri"/>
                <w:sz w:val="22"/>
                <w:szCs w:val="22"/>
              </w:rPr>
            </w:pPr>
            <w:r w:rsidRPr="0E77E67B">
              <w:rPr>
                <w:rFonts w:ascii="Calibri" w:eastAsia="Calibri" w:hAnsi="Calibri" w:cs="Calibri"/>
                <w:sz w:val="22"/>
                <w:szCs w:val="22"/>
              </w:rPr>
              <w:t>The PMR Section is undertaking a review of items for Nurse Practitioner (NP) and Endorsed Midwife (EM) prescribing on the PBS, which forms part of the Department’s implementation of the Nurse Practitioner Workforce Plan released in May 2023. The purpose of the review is to identify PBS</w:t>
            </w:r>
            <w:r w:rsidR="000B4DC1">
              <w:rPr>
                <w:rFonts w:ascii="Calibri" w:eastAsia="Calibri" w:hAnsi="Calibri" w:cs="Calibri"/>
                <w:sz w:val="22"/>
                <w:szCs w:val="22"/>
              </w:rPr>
              <w:noBreakHyphen/>
            </w:r>
            <w:r w:rsidRPr="0E77E67B">
              <w:rPr>
                <w:rFonts w:ascii="Calibri" w:eastAsia="Calibri" w:hAnsi="Calibri" w:cs="Calibri"/>
                <w:sz w:val="22"/>
                <w:szCs w:val="22"/>
              </w:rPr>
              <w:t xml:space="preserve">subsidised medicines that </w:t>
            </w:r>
            <w:proofErr w:type="gramStart"/>
            <w:r w:rsidRPr="0E77E67B">
              <w:rPr>
                <w:rFonts w:ascii="Calibri" w:eastAsia="Calibri" w:hAnsi="Calibri" w:cs="Calibri"/>
                <w:sz w:val="22"/>
                <w:szCs w:val="22"/>
              </w:rPr>
              <w:t>are able to</w:t>
            </w:r>
            <w:proofErr w:type="gramEnd"/>
            <w:r w:rsidRPr="0E77E67B">
              <w:rPr>
                <w:rFonts w:ascii="Calibri" w:eastAsia="Calibri" w:hAnsi="Calibri" w:cs="Calibri"/>
                <w:sz w:val="22"/>
                <w:szCs w:val="22"/>
              </w:rPr>
              <w:t xml:space="preserve"> be privately prescribed by NPs and EMs (i.e. within their scope of practice and in accordance with state and territory regulations), but where these groups are not recognised as eligible prescribers on the PBS schedule. </w:t>
            </w:r>
            <w:r w:rsidR="00C164D4">
              <w:rPr>
                <w:rFonts w:ascii="Calibri" w:eastAsia="Calibri" w:hAnsi="Calibri" w:cs="Calibri"/>
                <w:sz w:val="22"/>
                <w:szCs w:val="22"/>
              </w:rPr>
              <w:t xml:space="preserve">This work is </w:t>
            </w:r>
            <w:r w:rsidRPr="0E77E67B">
              <w:rPr>
                <w:rFonts w:ascii="Calibri" w:eastAsia="Calibri" w:hAnsi="Calibri" w:cs="Calibri"/>
                <w:sz w:val="22"/>
                <w:szCs w:val="22"/>
              </w:rPr>
              <w:t xml:space="preserve">in </w:t>
            </w:r>
            <w:r w:rsidR="00C164D4">
              <w:rPr>
                <w:rFonts w:ascii="Calibri" w:eastAsia="Calibri" w:hAnsi="Calibri" w:cs="Calibri"/>
                <w:sz w:val="22"/>
                <w:szCs w:val="22"/>
              </w:rPr>
              <w:t>context</w:t>
            </w:r>
            <w:r w:rsidRPr="0E77E67B">
              <w:rPr>
                <w:rFonts w:ascii="Calibri" w:eastAsia="Calibri" w:hAnsi="Calibri" w:cs="Calibri"/>
                <w:sz w:val="22"/>
                <w:szCs w:val="22"/>
              </w:rPr>
              <w:t xml:space="preserve"> of amendments to the </w:t>
            </w:r>
            <w:r w:rsidRPr="0E77E67B">
              <w:rPr>
                <w:rFonts w:ascii="Calibri" w:eastAsia="Calibri" w:hAnsi="Calibri" w:cs="Calibri"/>
                <w:i/>
                <w:iCs/>
                <w:sz w:val="22"/>
                <w:szCs w:val="22"/>
              </w:rPr>
              <w:t>National Health Act 1953</w:t>
            </w:r>
            <w:r w:rsidRPr="0E77E67B">
              <w:rPr>
                <w:rFonts w:ascii="Calibri" w:eastAsia="Calibri" w:hAnsi="Calibri" w:cs="Calibri"/>
                <w:sz w:val="22"/>
                <w:szCs w:val="22"/>
              </w:rPr>
              <w:t xml:space="preserve"> </w:t>
            </w:r>
            <w:r w:rsidR="00C164D4">
              <w:rPr>
                <w:rFonts w:ascii="Calibri" w:eastAsia="Calibri" w:hAnsi="Calibri" w:cs="Calibri"/>
                <w:sz w:val="22"/>
                <w:szCs w:val="22"/>
              </w:rPr>
              <w:t xml:space="preserve">occurring </w:t>
            </w:r>
            <w:r w:rsidRPr="0E77E67B">
              <w:rPr>
                <w:rFonts w:ascii="Calibri" w:eastAsia="Calibri" w:hAnsi="Calibri" w:cs="Calibri"/>
                <w:sz w:val="22"/>
                <w:szCs w:val="22"/>
              </w:rPr>
              <w:t xml:space="preserve">on 1 November 2024 to remove the legislated requirement for NPs and EMs to be in a specified collaborative arrangement with a medical practitioner </w:t>
            </w:r>
            <w:r w:rsidR="00C164D4" w:rsidRPr="0E77E67B">
              <w:rPr>
                <w:rFonts w:ascii="Calibri" w:eastAsia="Calibri" w:hAnsi="Calibri" w:cs="Calibri"/>
                <w:sz w:val="22"/>
                <w:szCs w:val="22"/>
              </w:rPr>
              <w:t>to</w:t>
            </w:r>
            <w:r w:rsidRPr="0E77E67B">
              <w:rPr>
                <w:rFonts w:ascii="Calibri" w:eastAsia="Calibri" w:hAnsi="Calibri" w:cs="Calibri"/>
                <w:sz w:val="22"/>
                <w:szCs w:val="22"/>
              </w:rPr>
              <w:t xml:space="preserve"> prescribe PBS-listed medicines. </w:t>
            </w:r>
          </w:p>
          <w:p w14:paraId="1776F831" w14:textId="77777777" w:rsidR="00ED16C6" w:rsidRDefault="00ED16C6" w:rsidP="00ED16C6">
            <w:pPr>
              <w:keepNext/>
              <w:spacing w:line="257" w:lineRule="auto"/>
              <w:rPr>
                <w:rFonts w:ascii="Calibri" w:eastAsia="Calibri" w:hAnsi="Calibri" w:cs="Calibri"/>
                <w:sz w:val="22"/>
                <w:szCs w:val="22"/>
              </w:rPr>
            </w:pPr>
          </w:p>
          <w:p w14:paraId="7971A61E" w14:textId="0967A845" w:rsidR="4A6F1CD6" w:rsidRDefault="00ED16C6" w:rsidP="0E77E67B">
            <w:pPr>
              <w:spacing w:line="257" w:lineRule="auto"/>
              <w:rPr>
                <w:rFonts w:ascii="Calibri" w:eastAsia="Calibri" w:hAnsi="Calibri" w:cs="Calibri"/>
                <w:sz w:val="22"/>
                <w:szCs w:val="22"/>
              </w:rPr>
            </w:pPr>
            <w:r w:rsidRPr="0E77E67B">
              <w:rPr>
                <w:rFonts w:ascii="Calibri" w:eastAsia="Calibri" w:hAnsi="Calibri" w:cs="Calibri"/>
                <w:sz w:val="22"/>
                <w:szCs w:val="22"/>
              </w:rPr>
              <w:t>At its December 2023 intracycle meeting, the PBAC noted that a review is being undertaken by the Department on PBS-listed medicines that may be appropriate for NP or EM prescribing. The Department published a consultation survey between 1 March-1April 2024 to collect data on which medicines are frequently being prescribed privately (i.e., non-PBS) by NPs and EMs that are PBS</w:t>
            </w:r>
            <w:r>
              <w:rPr>
                <w:rFonts w:ascii="Calibri" w:eastAsia="Calibri" w:hAnsi="Calibri" w:cs="Calibri"/>
                <w:sz w:val="22"/>
                <w:szCs w:val="22"/>
              </w:rPr>
              <w:t>-</w:t>
            </w:r>
            <w:r w:rsidRPr="0E77E67B">
              <w:rPr>
                <w:rFonts w:ascii="Calibri" w:eastAsia="Calibri" w:hAnsi="Calibri" w:cs="Calibri"/>
                <w:sz w:val="22"/>
                <w:szCs w:val="22"/>
              </w:rPr>
              <w:t xml:space="preserve">subsidised for another prescriber type/s, and the settings in which this is occurring. The PMR </w:t>
            </w:r>
            <w:r>
              <w:rPr>
                <w:rFonts w:ascii="Calibri" w:eastAsia="Calibri" w:hAnsi="Calibri" w:cs="Calibri"/>
                <w:sz w:val="22"/>
                <w:szCs w:val="22"/>
              </w:rPr>
              <w:t>S</w:t>
            </w:r>
            <w:r w:rsidRPr="0E77E67B">
              <w:rPr>
                <w:rFonts w:ascii="Calibri" w:eastAsia="Calibri" w:hAnsi="Calibri" w:cs="Calibri"/>
                <w:sz w:val="22"/>
                <w:szCs w:val="22"/>
              </w:rPr>
              <w:t>ection is working closely with the Department’s Chief Nursing and Midwifery Officer Division (CNMO) on this review.</w:t>
            </w:r>
          </w:p>
          <w:p w14:paraId="6FF6A230" w14:textId="061130E4" w:rsidR="4A6F1CD6" w:rsidRDefault="6AC13116" w:rsidP="0E77E67B">
            <w:pPr>
              <w:spacing w:after="120" w:line="257" w:lineRule="auto"/>
            </w:pPr>
            <w:r w:rsidRPr="0E77E67B">
              <w:rPr>
                <w:rFonts w:ascii="Calibri" w:eastAsia="Calibri" w:hAnsi="Calibri" w:cs="Calibri"/>
                <w:b/>
                <w:bCs/>
                <w:sz w:val="22"/>
                <w:szCs w:val="22"/>
              </w:rPr>
              <w:t>Status</w:t>
            </w:r>
          </w:p>
          <w:p w14:paraId="1A512817" w14:textId="68311075" w:rsidR="4A6F1CD6" w:rsidRDefault="6AC13116" w:rsidP="0E77E67B">
            <w:pPr>
              <w:spacing w:after="120" w:line="257" w:lineRule="auto"/>
            </w:pPr>
            <w:r w:rsidRPr="0E77E67B">
              <w:rPr>
                <w:rFonts w:ascii="Calibri" w:eastAsia="Calibri" w:hAnsi="Calibri" w:cs="Calibri"/>
                <w:sz w:val="22"/>
                <w:szCs w:val="22"/>
              </w:rPr>
              <w:t>At its July 2024 meeting, the PBAC considered each PBS</w:t>
            </w:r>
            <w:r w:rsidR="00D32FAF">
              <w:rPr>
                <w:rFonts w:ascii="Calibri" w:eastAsia="Calibri" w:hAnsi="Calibri" w:cs="Calibri"/>
                <w:sz w:val="22"/>
                <w:szCs w:val="22"/>
              </w:rPr>
              <w:t>-</w:t>
            </w:r>
            <w:r w:rsidRPr="0E77E67B">
              <w:rPr>
                <w:rFonts w:ascii="Calibri" w:eastAsia="Calibri" w:hAnsi="Calibri" w:cs="Calibri"/>
                <w:sz w:val="22"/>
                <w:szCs w:val="22"/>
              </w:rPr>
              <w:t>listed benefit subject to a ‘Shared Care Model’ note for NP prescribing, and provided advice on whether it consider</w:t>
            </w:r>
            <w:r w:rsidR="00ED16C6">
              <w:rPr>
                <w:rFonts w:ascii="Calibri" w:eastAsia="Calibri" w:hAnsi="Calibri" w:cs="Calibri"/>
                <w:sz w:val="22"/>
                <w:szCs w:val="22"/>
              </w:rPr>
              <w:t>ed</w:t>
            </w:r>
            <w:r w:rsidRPr="0E77E67B">
              <w:rPr>
                <w:rFonts w:ascii="Calibri" w:eastAsia="Calibri" w:hAnsi="Calibri" w:cs="Calibri"/>
                <w:sz w:val="22"/>
                <w:szCs w:val="22"/>
              </w:rPr>
              <w:t xml:space="preserve"> the amendment or removal of this note</w:t>
            </w:r>
            <w:r w:rsidR="007D01D9">
              <w:rPr>
                <w:rFonts w:ascii="Calibri" w:eastAsia="Calibri" w:hAnsi="Calibri" w:cs="Calibri"/>
                <w:sz w:val="22"/>
                <w:szCs w:val="22"/>
              </w:rPr>
              <w:t xml:space="preserve"> </w:t>
            </w:r>
            <w:r w:rsidR="00ED16C6">
              <w:rPr>
                <w:rFonts w:ascii="Calibri" w:eastAsia="Calibri" w:hAnsi="Calibri" w:cs="Calibri"/>
                <w:sz w:val="22"/>
                <w:szCs w:val="22"/>
              </w:rPr>
              <w:t>was required</w:t>
            </w:r>
            <w:r w:rsidRPr="0E77E67B">
              <w:rPr>
                <w:rFonts w:ascii="Calibri" w:eastAsia="Calibri" w:hAnsi="Calibri" w:cs="Calibri"/>
                <w:sz w:val="22"/>
                <w:szCs w:val="22"/>
              </w:rPr>
              <w:t>.</w:t>
            </w:r>
            <w:r w:rsidR="00B40C6A">
              <w:rPr>
                <w:rFonts w:ascii="Calibri" w:eastAsia="Calibri" w:hAnsi="Calibri" w:cs="Calibri"/>
                <w:sz w:val="22"/>
                <w:szCs w:val="22"/>
              </w:rPr>
              <w:t xml:space="preserve"> At its September 2024 meeting, the PBAC considered and provided advice on </w:t>
            </w:r>
            <w:r w:rsidR="00B40C6A" w:rsidRPr="00B40C6A">
              <w:rPr>
                <w:rFonts w:ascii="Calibri" w:eastAsia="Calibri" w:hAnsi="Calibri" w:cs="Calibri"/>
                <w:sz w:val="22"/>
                <w:szCs w:val="22"/>
              </w:rPr>
              <w:t xml:space="preserve">PBS-listed medicines that were requested </w:t>
            </w:r>
            <w:r w:rsidR="0015750C" w:rsidRPr="00B40C6A">
              <w:rPr>
                <w:rFonts w:ascii="Calibri" w:eastAsia="Calibri" w:hAnsi="Calibri" w:cs="Calibri"/>
                <w:sz w:val="22"/>
                <w:szCs w:val="22"/>
              </w:rPr>
              <w:t xml:space="preserve">though consultation </w:t>
            </w:r>
            <w:r w:rsidR="00B40C6A" w:rsidRPr="00B40C6A">
              <w:rPr>
                <w:rFonts w:ascii="Calibri" w:eastAsia="Calibri" w:hAnsi="Calibri" w:cs="Calibri"/>
                <w:sz w:val="22"/>
                <w:szCs w:val="22"/>
              </w:rPr>
              <w:t>for prescribing by endorsed midwives</w:t>
            </w:r>
            <w:r w:rsidR="00B40C6A">
              <w:rPr>
                <w:rFonts w:ascii="Calibri" w:eastAsia="Calibri" w:hAnsi="Calibri" w:cs="Calibri"/>
                <w:sz w:val="22"/>
                <w:szCs w:val="22"/>
              </w:rPr>
              <w:t>.</w:t>
            </w:r>
          </w:p>
          <w:p w14:paraId="6CA33710" w14:textId="2D37A4E8" w:rsidR="4A6F1CD6" w:rsidRDefault="6AC13116" w:rsidP="00ED16C6">
            <w:pPr>
              <w:keepNext/>
              <w:spacing w:after="120" w:line="257" w:lineRule="auto"/>
            </w:pPr>
            <w:r w:rsidRPr="0E77E67B">
              <w:rPr>
                <w:rFonts w:ascii="Calibri" w:eastAsia="Calibri" w:hAnsi="Calibri" w:cs="Calibri"/>
                <w:b/>
                <w:bCs/>
                <w:sz w:val="22"/>
                <w:szCs w:val="22"/>
              </w:rPr>
              <w:lastRenderedPageBreak/>
              <w:t>Next steps</w:t>
            </w:r>
          </w:p>
          <w:p w14:paraId="6F2A5D61" w14:textId="67BD2A1F" w:rsidR="0015750C" w:rsidRPr="005B6DBE" w:rsidRDefault="00FE4451" w:rsidP="005B6DBE">
            <w:pPr>
              <w:keepNext/>
              <w:spacing w:line="257" w:lineRule="auto"/>
              <w:rPr>
                <w:rFonts w:ascii="Calibri" w:eastAsia="Calibri" w:hAnsi="Calibri" w:cs="Calibri"/>
                <w:sz w:val="22"/>
                <w:szCs w:val="22"/>
              </w:rPr>
            </w:pPr>
            <w:r>
              <w:rPr>
                <w:rFonts w:ascii="Calibri" w:eastAsia="Calibri" w:hAnsi="Calibri" w:cs="Calibri"/>
                <w:sz w:val="22"/>
                <w:szCs w:val="22"/>
              </w:rPr>
              <w:t xml:space="preserve">The Department will implement </w:t>
            </w:r>
            <w:r w:rsidR="008F3346" w:rsidRPr="005B6DBE">
              <w:rPr>
                <w:rFonts w:ascii="Calibri" w:eastAsia="Calibri" w:hAnsi="Calibri" w:cs="Calibri"/>
                <w:sz w:val="22"/>
                <w:szCs w:val="22"/>
              </w:rPr>
              <w:t>PBAC recommendations arising from the review as part of routine monthly changes to the PBS schedule. </w:t>
            </w:r>
          </w:p>
          <w:p w14:paraId="09A24D05" w14:textId="70EDD5A7" w:rsidR="4A6F1CD6" w:rsidRPr="005B6DBE" w:rsidRDefault="6AC13116" w:rsidP="005B6DBE">
            <w:pPr>
              <w:keepNext/>
              <w:spacing w:line="257" w:lineRule="auto"/>
              <w:rPr>
                <w:rFonts w:ascii="Calibri" w:eastAsia="Calibri" w:hAnsi="Calibri" w:cs="Calibri"/>
                <w:sz w:val="22"/>
                <w:szCs w:val="22"/>
              </w:rPr>
            </w:pPr>
            <w:r w:rsidRPr="005B6DBE">
              <w:rPr>
                <w:rFonts w:ascii="Calibri" w:eastAsia="Calibri" w:hAnsi="Calibri" w:cs="Calibri"/>
                <w:sz w:val="22"/>
                <w:szCs w:val="22"/>
              </w:rPr>
              <w:t>The Department will seek PBAC advice on PBS</w:t>
            </w:r>
            <w:r w:rsidR="00D32FAF" w:rsidRPr="005B6DBE">
              <w:rPr>
                <w:rFonts w:ascii="Calibri" w:eastAsia="Calibri" w:hAnsi="Calibri" w:cs="Calibri"/>
                <w:sz w:val="22"/>
                <w:szCs w:val="22"/>
              </w:rPr>
              <w:t>-</w:t>
            </w:r>
            <w:r w:rsidRPr="005B6DBE">
              <w:rPr>
                <w:rFonts w:ascii="Calibri" w:eastAsia="Calibri" w:hAnsi="Calibri" w:cs="Calibri"/>
                <w:sz w:val="22"/>
                <w:szCs w:val="22"/>
              </w:rPr>
              <w:t>listed benefits containing a ‘Continuing Therapy Only’ note for NP prescribing and whether this continues to be appropriate for those medicines.</w:t>
            </w:r>
          </w:p>
          <w:p w14:paraId="5EB010E7" w14:textId="1B338BB3" w:rsidR="4A6F1CD6" w:rsidRPr="005B6DBE" w:rsidRDefault="6AC13116" w:rsidP="005B6DBE">
            <w:pPr>
              <w:keepNext/>
              <w:spacing w:line="257" w:lineRule="auto"/>
              <w:rPr>
                <w:rFonts w:ascii="Calibri" w:eastAsia="Calibri" w:hAnsi="Calibri" w:cs="Calibri"/>
                <w:sz w:val="22"/>
                <w:szCs w:val="22"/>
              </w:rPr>
            </w:pPr>
            <w:r w:rsidRPr="005B6DBE">
              <w:rPr>
                <w:rFonts w:ascii="Calibri" w:eastAsia="Calibri" w:hAnsi="Calibri" w:cs="Calibri"/>
                <w:sz w:val="22"/>
                <w:szCs w:val="22"/>
              </w:rPr>
              <w:t>The PBAC will also be asked to provide advice on other PBS</w:t>
            </w:r>
            <w:r w:rsidR="00D32FAF" w:rsidRPr="005B6DBE">
              <w:rPr>
                <w:rFonts w:ascii="Calibri" w:eastAsia="Calibri" w:hAnsi="Calibri" w:cs="Calibri"/>
                <w:sz w:val="22"/>
                <w:szCs w:val="22"/>
              </w:rPr>
              <w:t>-</w:t>
            </w:r>
            <w:r w:rsidRPr="005B6DBE">
              <w:rPr>
                <w:rFonts w:ascii="Calibri" w:eastAsia="Calibri" w:hAnsi="Calibri" w:cs="Calibri"/>
                <w:sz w:val="22"/>
                <w:szCs w:val="22"/>
              </w:rPr>
              <w:t>listed medicines identified through consultation that may be suitable for NP prescribing on the PBS.</w:t>
            </w:r>
          </w:p>
        </w:tc>
        <w:tc>
          <w:tcPr>
            <w:tcW w:w="2780" w:type="dxa"/>
            <w:tcBorders>
              <w:top w:val="single" w:sz="8" w:space="0" w:color="auto"/>
              <w:left w:val="single" w:sz="8" w:space="0" w:color="auto"/>
              <w:bottom w:val="single" w:sz="8" w:space="0" w:color="auto"/>
              <w:right w:val="single" w:sz="8" w:space="0" w:color="auto"/>
            </w:tcBorders>
            <w:tcMar>
              <w:left w:w="108" w:type="dxa"/>
              <w:right w:w="108" w:type="dxa"/>
            </w:tcMar>
          </w:tcPr>
          <w:p w14:paraId="1D126980" w14:textId="332656F6" w:rsidR="4A6F1CD6" w:rsidRDefault="4A6F1CD6" w:rsidP="4A6F1CD6">
            <w:r w:rsidRPr="4A6F1CD6">
              <w:rPr>
                <w:rFonts w:ascii="Calibri" w:eastAsia="Calibri" w:hAnsi="Calibri" w:cs="Calibri"/>
                <w:sz w:val="22"/>
                <w:szCs w:val="22"/>
              </w:rPr>
              <w:lastRenderedPageBreak/>
              <w:t>Various</w:t>
            </w:r>
          </w:p>
        </w:tc>
      </w:tr>
      <w:tr w:rsidR="4A6F1CD6" w14:paraId="7B1B58FA" w14:textId="77777777" w:rsidTr="008F6D3C">
        <w:trPr>
          <w:trHeight w:val="300"/>
        </w:trPr>
        <w:tc>
          <w:tcPr>
            <w:tcW w:w="2542" w:type="dxa"/>
            <w:tcBorders>
              <w:top w:val="single" w:sz="8" w:space="0" w:color="auto"/>
              <w:left w:val="single" w:sz="8" w:space="0" w:color="auto"/>
              <w:bottom w:val="single" w:sz="8" w:space="0" w:color="auto"/>
              <w:right w:val="single" w:sz="8" w:space="0" w:color="auto"/>
            </w:tcBorders>
            <w:tcMar>
              <w:left w:w="108" w:type="dxa"/>
              <w:right w:w="108" w:type="dxa"/>
            </w:tcMar>
          </w:tcPr>
          <w:p w14:paraId="74A7874B" w14:textId="78347918" w:rsidR="4A6F1CD6" w:rsidRDefault="4A6F1CD6" w:rsidP="4A6F1CD6">
            <w:r w:rsidRPr="4A6F1CD6">
              <w:rPr>
                <w:rFonts w:ascii="Calibri" w:eastAsia="Calibri" w:hAnsi="Calibri" w:cs="Calibri"/>
                <w:sz w:val="22"/>
                <w:szCs w:val="22"/>
              </w:rPr>
              <w:t>Severe dry eye</w:t>
            </w:r>
          </w:p>
        </w:tc>
        <w:tc>
          <w:tcPr>
            <w:tcW w:w="8749" w:type="dxa"/>
            <w:tcBorders>
              <w:top w:val="single" w:sz="8" w:space="0" w:color="auto"/>
              <w:left w:val="single" w:sz="8" w:space="0" w:color="auto"/>
              <w:bottom w:val="single" w:sz="8" w:space="0" w:color="auto"/>
              <w:right w:val="single" w:sz="8" w:space="0" w:color="auto"/>
            </w:tcBorders>
            <w:tcMar>
              <w:left w:w="108" w:type="dxa"/>
              <w:right w:w="108" w:type="dxa"/>
            </w:tcMar>
          </w:tcPr>
          <w:p w14:paraId="445FA5D4" w14:textId="1788FE8B" w:rsidR="4A6F1CD6" w:rsidRPr="006A5E31" w:rsidRDefault="4A6F1CD6" w:rsidP="4A6F1CD6">
            <w:pPr>
              <w:spacing w:after="120"/>
              <w:rPr>
                <w:sz w:val="22"/>
                <w:szCs w:val="22"/>
              </w:rPr>
            </w:pPr>
            <w:r w:rsidRPr="006A5E31">
              <w:rPr>
                <w:rFonts w:ascii="Calibri" w:eastAsia="Calibri" w:hAnsi="Calibri" w:cs="Calibri"/>
                <w:b/>
                <w:bCs/>
                <w:sz w:val="22"/>
                <w:szCs w:val="22"/>
              </w:rPr>
              <w:t xml:space="preserve">PBS-listed ocular lubricants for treatment of severe dry eye </w:t>
            </w:r>
          </w:p>
          <w:p w14:paraId="04ED59FD" w14:textId="41F68B5C" w:rsidR="4A6F1CD6" w:rsidRPr="006A5E31" w:rsidRDefault="4A6F1CD6" w:rsidP="4A6F1CD6">
            <w:pPr>
              <w:spacing w:after="120"/>
              <w:rPr>
                <w:sz w:val="22"/>
                <w:szCs w:val="22"/>
              </w:rPr>
            </w:pPr>
            <w:r w:rsidRPr="006A5E31">
              <w:rPr>
                <w:rFonts w:ascii="Calibri" w:eastAsia="Calibri" w:hAnsi="Calibri" w:cs="Calibri"/>
                <w:b/>
                <w:bCs/>
                <w:sz w:val="22"/>
                <w:szCs w:val="22"/>
              </w:rPr>
              <w:t>Background</w:t>
            </w:r>
          </w:p>
          <w:p w14:paraId="31DA3F25" w14:textId="0706F535" w:rsidR="4A6F1CD6" w:rsidRDefault="4A6F1CD6" w:rsidP="4A6F1CD6">
            <w:pPr>
              <w:spacing w:after="120"/>
              <w:rPr>
                <w:rFonts w:ascii="Calibri" w:eastAsia="Calibri" w:hAnsi="Calibri" w:cs="Calibri"/>
                <w:sz w:val="22"/>
                <w:szCs w:val="22"/>
              </w:rPr>
            </w:pPr>
            <w:r w:rsidRPr="006A5E31">
              <w:rPr>
                <w:rFonts w:ascii="Calibri" w:eastAsia="Calibri" w:hAnsi="Calibri" w:cs="Calibri"/>
                <w:sz w:val="22"/>
                <w:szCs w:val="22"/>
              </w:rPr>
              <w:t xml:space="preserve">In March 2023, the PBAC requested that a systematic literature review be undertaken to compare the efficacy and safety of ocular lubricants containing preservatives (PC) versus ocular lubricants without preservatives (PF) in patients with severe dry eye. In late-2023, a contract was executed with an external evaluation group to undertake the review. </w:t>
            </w:r>
          </w:p>
          <w:p w14:paraId="62BD356B" w14:textId="77777777" w:rsidR="006A5E31" w:rsidRPr="006A5E31" w:rsidRDefault="006A5E31" w:rsidP="006A5E31">
            <w:pPr>
              <w:spacing w:after="120"/>
              <w:rPr>
                <w:rFonts w:ascii="Calibri" w:eastAsia="Calibri" w:hAnsi="Calibri" w:cs="Calibri"/>
                <w:sz w:val="22"/>
                <w:szCs w:val="22"/>
              </w:rPr>
            </w:pPr>
            <w:r w:rsidRPr="006A5E31">
              <w:rPr>
                <w:rFonts w:ascii="Calibri" w:eastAsia="Calibri" w:hAnsi="Calibri" w:cs="Calibri"/>
                <w:sz w:val="22"/>
                <w:szCs w:val="22"/>
              </w:rPr>
              <w:t xml:space="preserve">The Department provided the final report from the external evaluation group to peak Australian optometry and ophthalmology representative groups and sponsors of PBS-listed ocular lubricants for a pre-PBAC response. </w:t>
            </w:r>
          </w:p>
          <w:p w14:paraId="168573AD" w14:textId="77777777" w:rsidR="006A5E31" w:rsidRPr="006A5E31" w:rsidRDefault="006A5E31" w:rsidP="006A5E31">
            <w:pPr>
              <w:spacing w:after="120"/>
              <w:rPr>
                <w:sz w:val="22"/>
                <w:szCs w:val="22"/>
              </w:rPr>
            </w:pPr>
            <w:r w:rsidRPr="006A5E31">
              <w:rPr>
                <w:rFonts w:ascii="Calibri" w:eastAsia="Calibri" w:hAnsi="Calibri" w:cs="Calibri"/>
                <w:b/>
                <w:bCs/>
                <w:sz w:val="22"/>
                <w:szCs w:val="22"/>
              </w:rPr>
              <w:t>Status</w:t>
            </w:r>
          </w:p>
          <w:p w14:paraId="1555E87F" w14:textId="3830FFA6" w:rsidR="006A5E31" w:rsidRPr="006A5E31" w:rsidRDefault="006A5E31" w:rsidP="006A5E31">
            <w:pPr>
              <w:spacing w:after="120"/>
              <w:rPr>
                <w:rFonts w:ascii="Calibri" w:eastAsia="Calibri" w:hAnsi="Calibri" w:cs="Calibri"/>
                <w:sz w:val="22"/>
                <w:szCs w:val="22"/>
              </w:rPr>
            </w:pPr>
            <w:r w:rsidRPr="006A5E31">
              <w:rPr>
                <w:rFonts w:ascii="Calibri" w:eastAsia="Calibri" w:hAnsi="Calibri" w:cs="Calibri"/>
                <w:sz w:val="22"/>
                <w:szCs w:val="22"/>
              </w:rPr>
              <w:t>The findings of the literature review and pre-PBAC responses were provided to the PBAC for consideration in July 2024.</w:t>
            </w:r>
          </w:p>
          <w:p w14:paraId="232A2E61" w14:textId="7806751E" w:rsidR="006A5E31" w:rsidRPr="006A5E31" w:rsidRDefault="006A5E31" w:rsidP="006A5E31">
            <w:pPr>
              <w:spacing w:after="120"/>
              <w:rPr>
                <w:rFonts w:ascii="Calibri" w:eastAsia="Calibri" w:hAnsi="Calibri" w:cs="Calibri"/>
                <w:sz w:val="22"/>
                <w:szCs w:val="22"/>
              </w:rPr>
            </w:pPr>
            <w:r w:rsidRPr="006A5E31">
              <w:rPr>
                <w:rFonts w:ascii="Calibri" w:eastAsia="Calibri" w:hAnsi="Calibri" w:cs="Calibri"/>
                <w:sz w:val="22"/>
                <w:szCs w:val="22"/>
              </w:rPr>
              <w:t>Noting limitations in the literature, the PBAC considered that the Report did not find evidence to support the superior effectiveness or safety of PF products compared to PC products.</w:t>
            </w:r>
            <w:r w:rsidR="00ED16C6">
              <w:rPr>
                <w:rFonts w:ascii="Calibri" w:eastAsia="Calibri" w:hAnsi="Calibri" w:cs="Calibri"/>
                <w:sz w:val="22"/>
                <w:szCs w:val="22"/>
              </w:rPr>
              <w:t xml:space="preserve"> The PBAC outcome was published on 23 August 2024.</w:t>
            </w:r>
          </w:p>
          <w:p w14:paraId="49E79713" w14:textId="1BBB2445" w:rsidR="4A6F1CD6" w:rsidRPr="006A5E31" w:rsidRDefault="4A6F1CD6" w:rsidP="4A6F1CD6">
            <w:pPr>
              <w:spacing w:after="120"/>
              <w:rPr>
                <w:rFonts w:ascii="Calibri" w:eastAsia="Calibri" w:hAnsi="Calibri" w:cs="Calibri"/>
                <w:b/>
                <w:bCs/>
                <w:sz w:val="22"/>
                <w:szCs w:val="22"/>
              </w:rPr>
            </w:pPr>
            <w:r w:rsidRPr="006A5E31">
              <w:rPr>
                <w:rFonts w:ascii="Calibri" w:eastAsia="Calibri" w:hAnsi="Calibri" w:cs="Calibri"/>
                <w:b/>
                <w:bCs/>
                <w:sz w:val="22"/>
                <w:szCs w:val="22"/>
              </w:rPr>
              <w:t>Next steps</w:t>
            </w:r>
          </w:p>
          <w:p w14:paraId="05E0F7A7" w14:textId="7FD36AC7" w:rsidR="4A6F1CD6" w:rsidRPr="006A5E31" w:rsidRDefault="006A5E31" w:rsidP="4A6F1CD6">
            <w:pPr>
              <w:spacing w:after="120"/>
              <w:rPr>
                <w:sz w:val="22"/>
                <w:szCs w:val="22"/>
              </w:rPr>
            </w:pPr>
            <w:r w:rsidRPr="006A5E31">
              <w:rPr>
                <w:sz w:val="22"/>
                <w:szCs w:val="22"/>
              </w:rPr>
              <w:t xml:space="preserve">The PBAC requested </w:t>
            </w:r>
            <w:r w:rsidR="00D32FAF">
              <w:rPr>
                <w:sz w:val="22"/>
                <w:szCs w:val="22"/>
              </w:rPr>
              <w:t xml:space="preserve">that </w:t>
            </w:r>
            <w:r w:rsidRPr="006A5E31">
              <w:rPr>
                <w:sz w:val="22"/>
                <w:szCs w:val="22"/>
              </w:rPr>
              <w:t xml:space="preserve">the Department develop an options paper to be considered by the Committee at a future meeting, </w:t>
            </w:r>
            <w:proofErr w:type="gramStart"/>
            <w:r w:rsidRPr="006A5E31">
              <w:rPr>
                <w:sz w:val="22"/>
                <w:szCs w:val="22"/>
              </w:rPr>
              <w:t>taking into account</w:t>
            </w:r>
            <w:proofErr w:type="gramEnd"/>
            <w:r w:rsidRPr="006A5E31">
              <w:rPr>
                <w:sz w:val="22"/>
                <w:szCs w:val="22"/>
              </w:rPr>
              <w:t xml:space="preserve"> current clinical practice and guidelines, </w:t>
            </w:r>
            <w:r w:rsidRPr="006A5E31">
              <w:rPr>
                <w:sz w:val="22"/>
                <w:szCs w:val="22"/>
              </w:rPr>
              <w:lastRenderedPageBreak/>
              <w:t>while ensuring that PBS-listed ocular lubricants remain cost-effective for the eligible population. The PBAC requested information be prepared on the utilisation of ocular lubricants and associated costs to the PBS to support the Committee’s consideration of any potential changes to the PBS listings of these medicines.</w:t>
            </w:r>
          </w:p>
        </w:tc>
        <w:tc>
          <w:tcPr>
            <w:tcW w:w="2780" w:type="dxa"/>
            <w:tcBorders>
              <w:top w:val="single" w:sz="8" w:space="0" w:color="auto"/>
              <w:left w:val="single" w:sz="8" w:space="0" w:color="auto"/>
              <w:bottom w:val="single" w:sz="8" w:space="0" w:color="auto"/>
              <w:right w:val="single" w:sz="8" w:space="0" w:color="auto"/>
            </w:tcBorders>
            <w:tcMar>
              <w:left w:w="108" w:type="dxa"/>
              <w:right w:w="108" w:type="dxa"/>
            </w:tcMar>
          </w:tcPr>
          <w:p w14:paraId="1517DA1E" w14:textId="4AAB5BAA" w:rsidR="4A6F1CD6" w:rsidRDefault="4A6F1CD6" w:rsidP="4A6F1CD6">
            <w:r w:rsidRPr="4A6F1CD6">
              <w:rPr>
                <w:rFonts w:ascii="Calibri" w:eastAsia="Calibri" w:hAnsi="Calibri" w:cs="Calibri"/>
                <w:sz w:val="22"/>
                <w:szCs w:val="22"/>
              </w:rPr>
              <w:lastRenderedPageBreak/>
              <w:t xml:space="preserve">PBS listed preservative containing and preservative free ocular lubricants </w:t>
            </w:r>
          </w:p>
        </w:tc>
      </w:tr>
      <w:tr w:rsidR="4A6F1CD6" w14:paraId="299A9D43" w14:textId="77777777" w:rsidTr="008F6D3C">
        <w:trPr>
          <w:trHeight w:val="300"/>
        </w:trPr>
        <w:tc>
          <w:tcPr>
            <w:tcW w:w="2542" w:type="dxa"/>
            <w:tcBorders>
              <w:top w:val="single" w:sz="8" w:space="0" w:color="auto"/>
              <w:left w:val="single" w:sz="8" w:space="0" w:color="auto"/>
              <w:bottom w:val="single" w:sz="8" w:space="0" w:color="auto"/>
              <w:right w:val="single" w:sz="8" w:space="0" w:color="auto"/>
            </w:tcBorders>
            <w:tcMar>
              <w:left w:w="108" w:type="dxa"/>
              <w:right w:w="108" w:type="dxa"/>
            </w:tcMar>
          </w:tcPr>
          <w:p w14:paraId="7DB5F9A2" w14:textId="0E138AD8" w:rsidR="4A6F1CD6" w:rsidRDefault="4A6F1CD6" w:rsidP="008F6D3C">
            <w:pPr>
              <w:keepNext/>
            </w:pPr>
            <w:r w:rsidRPr="4A6F1CD6">
              <w:rPr>
                <w:rFonts w:ascii="Calibri" w:eastAsia="Calibri" w:hAnsi="Calibri" w:cs="Calibri"/>
                <w:sz w:val="22"/>
                <w:szCs w:val="22"/>
              </w:rPr>
              <w:t>Hypertension</w:t>
            </w:r>
          </w:p>
        </w:tc>
        <w:tc>
          <w:tcPr>
            <w:tcW w:w="8749" w:type="dxa"/>
            <w:tcBorders>
              <w:top w:val="single" w:sz="8" w:space="0" w:color="auto"/>
              <w:left w:val="single" w:sz="8" w:space="0" w:color="auto"/>
              <w:bottom w:val="single" w:sz="8" w:space="0" w:color="auto"/>
              <w:right w:val="single" w:sz="8" w:space="0" w:color="auto"/>
            </w:tcBorders>
            <w:tcMar>
              <w:left w:w="108" w:type="dxa"/>
              <w:right w:w="108" w:type="dxa"/>
            </w:tcMar>
          </w:tcPr>
          <w:p w14:paraId="5242579F" w14:textId="56AFE4DD" w:rsidR="4A6F1CD6" w:rsidRDefault="4A6F1CD6" w:rsidP="008F6D3C">
            <w:pPr>
              <w:keepNext/>
              <w:spacing w:after="120"/>
              <w:rPr>
                <w:rFonts w:ascii="Calibri" w:eastAsia="Calibri" w:hAnsi="Calibri" w:cs="Calibri"/>
                <w:b/>
                <w:bCs/>
                <w:sz w:val="22"/>
                <w:szCs w:val="22"/>
              </w:rPr>
            </w:pPr>
            <w:r w:rsidRPr="4A6F1CD6">
              <w:rPr>
                <w:rFonts w:ascii="Calibri" w:eastAsia="Calibri" w:hAnsi="Calibri" w:cs="Calibri"/>
                <w:b/>
                <w:bCs/>
                <w:sz w:val="22"/>
                <w:szCs w:val="22"/>
              </w:rPr>
              <w:t>Utilisation analysis of antihypertensives</w:t>
            </w:r>
          </w:p>
          <w:p w14:paraId="70E50B2B" w14:textId="3E3DFE3A" w:rsidR="4A6F1CD6" w:rsidRDefault="4A6F1CD6" w:rsidP="008F6D3C">
            <w:pPr>
              <w:keepNext/>
              <w:spacing w:after="120"/>
            </w:pPr>
            <w:r w:rsidRPr="4A6F1CD6">
              <w:rPr>
                <w:rFonts w:ascii="Calibri" w:eastAsia="Calibri" w:hAnsi="Calibri" w:cs="Calibri"/>
                <w:b/>
                <w:bCs/>
                <w:sz w:val="22"/>
                <w:szCs w:val="22"/>
              </w:rPr>
              <w:t>Background</w:t>
            </w:r>
          </w:p>
          <w:p w14:paraId="66E404F8" w14:textId="00A1CB92" w:rsidR="4A6F1CD6" w:rsidRDefault="4A6F1CD6" w:rsidP="008F6D3C">
            <w:pPr>
              <w:keepNext/>
            </w:pPr>
            <w:r w:rsidRPr="4A6F1CD6">
              <w:rPr>
                <w:rFonts w:ascii="Calibri" w:eastAsia="Calibri" w:hAnsi="Calibri" w:cs="Calibri"/>
                <w:sz w:val="22"/>
                <w:szCs w:val="22"/>
              </w:rPr>
              <w:t>In September 2023, the PBAC recommended that the Department undertake a research project on the use of antihypertensive medications through the PBS, focussing on quantifying the potential underuse of fixed dose combination (FDC) medicines, and initiation of antihypertensive therapy with two or more medicines (including initiation with an FDC versus multiple single drug products). The PBAC noted that the PBS restrictions do not allow patients to initiate subsidised antihypertensive therapy with an FDC as recommended in some clinical guidelines.</w:t>
            </w:r>
          </w:p>
          <w:p w14:paraId="3F17D63F" w14:textId="1D365DC6" w:rsidR="4A6F1CD6" w:rsidRDefault="4A6F1CD6" w:rsidP="008F6D3C">
            <w:pPr>
              <w:keepNext/>
              <w:spacing w:before="120" w:after="120"/>
            </w:pPr>
            <w:r w:rsidRPr="4A6F1CD6">
              <w:rPr>
                <w:rFonts w:ascii="Calibri" w:eastAsia="Calibri" w:hAnsi="Calibri" w:cs="Calibri"/>
                <w:b/>
                <w:bCs/>
                <w:sz w:val="22"/>
                <w:szCs w:val="22"/>
              </w:rPr>
              <w:t>Status</w:t>
            </w:r>
          </w:p>
          <w:p w14:paraId="4F9AD245" w14:textId="65D05286" w:rsidR="4A6F1CD6" w:rsidRDefault="4A6F1CD6" w:rsidP="008F6D3C">
            <w:pPr>
              <w:keepNext/>
              <w:spacing w:after="120"/>
            </w:pPr>
            <w:r w:rsidRPr="4A6F1CD6">
              <w:rPr>
                <w:rFonts w:ascii="Calibri" w:eastAsia="Calibri" w:hAnsi="Calibri" w:cs="Calibri"/>
                <w:sz w:val="22"/>
                <w:szCs w:val="22"/>
              </w:rPr>
              <w:t>The Department has contracted a</w:t>
            </w:r>
            <w:r w:rsidR="001C7432">
              <w:rPr>
                <w:rFonts w:ascii="Calibri" w:eastAsia="Calibri" w:hAnsi="Calibri" w:cs="Calibri"/>
                <w:sz w:val="22"/>
                <w:szCs w:val="22"/>
              </w:rPr>
              <w:t xml:space="preserve"> </w:t>
            </w:r>
            <w:r w:rsidR="00D32FAF">
              <w:rPr>
                <w:rFonts w:ascii="Calibri" w:eastAsia="Calibri" w:hAnsi="Calibri" w:cs="Calibri"/>
                <w:sz w:val="22"/>
                <w:szCs w:val="22"/>
              </w:rPr>
              <w:t>HTA</w:t>
            </w:r>
            <w:r w:rsidRPr="4A6F1CD6">
              <w:rPr>
                <w:rFonts w:ascii="Calibri" w:eastAsia="Calibri" w:hAnsi="Calibri" w:cs="Calibri"/>
                <w:sz w:val="22"/>
                <w:szCs w:val="22"/>
              </w:rPr>
              <w:t xml:space="preserve"> group to undertake this project. In addition to the utilisation analysis, the report will also include a literature review and costings analysis. </w:t>
            </w:r>
          </w:p>
          <w:p w14:paraId="47D4B521" w14:textId="14F0AA70" w:rsidR="4A6F1CD6" w:rsidRDefault="4A6F1CD6" w:rsidP="008F6D3C">
            <w:pPr>
              <w:keepNext/>
              <w:spacing w:after="120"/>
            </w:pPr>
            <w:r w:rsidRPr="4A6F1CD6">
              <w:rPr>
                <w:rFonts w:ascii="Calibri" w:eastAsia="Calibri" w:hAnsi="Calibri" w:cs="Calibri"/>
                <w:b/>
                <w:bCs/>
                <w:sz w:val="22"/>
                <w:szCs w:val="22"/>
              </w:rPr>
              <w:t>Next steps</w:t>
            </w:r>
          </w:p>
          <w:p w14:paraId="757A466D" w14:textId="0CC26D78" w:rsidR="4A6F1CD6" w:rsidRDefault="00ED16C6" w:rsidP="008F6D3C">
            <w:pPr>
              <w:keepNext/>
              <w:spacing w:after="120"/>
            </w:pPr>
            <w:r>
              <w:rPr>
                <w:rFonts w:ascii="Calibri" w:eastAsia="Calibri" w:hAnsi="Calibri" w:cs="Calibri"/>
                <w:sz w:val="22"/>
                <w:szCs w:val="22"/>
              </w:rPr>
              <w:t xml:space="preserve">It is expected that </w:t>
            </w:r>
            <w:r w:rsidR="4A6F1CD6" w:rsidRPr="4A6F1CD6">
              <w:rPr>
                <w:rFonts w:ascii="Calibri" w:eastAsia="Calibri" w:hAnsi="Calibri" w:cs="Calibri"/>
                <w:sz w:val="22"/>
                <w:szCs w:val="22"/>
              </w:rPr>
              <w:t xml:space="preserve">the </w:t>
            </w:r>
            <w:r w:rsidR="006F51C3">
              <w:rPr>
                <w:rFonts w:ascii="Calibri" w:eastAsia="Calibri" w:hAnsi="Calibri" w:cs="Calibri"/>
                <w:sz w:val="22"/>
                <w:szCs w:val="22"/>
              </w:rPr>
              <w:t xml:space="preserve">draft </w:t>
            </w:r>
            <w:r w:rsidR="4A6F1CD6" w:rsidRPr="4A6F1CD6">
              <w:rPr>
                <w:rFonts w:ascii="Calibri" w:eastAsia="Calibri" w:hAnsi="Calibri" w:cs="Calibri"/>
                <w:sz w:val="22"/>
                <w:szCs w:val="22"/>
              </w:rPr>
              <w:t xml:space="preserve">report </w:t>
            </w:r>
            <w:r>
              <w:rPr>
                <w:rFonts w:ascii="Calibri" w:eastAsia="Calibri" w:hAnsi="Calibri" w:cs="Calibri"/>
                <w:sz w:val="22"/>
                <w:szCs w:val="22"/>
              </w:rPr>
              <w:t xml:space="preserve">will be provided </w:t>
            </w:r>
            <w:r w:rsidR="4A6F1CD6" w:rsidRPr="4A6F1CD6">
              <w:rPr>
                <w:rFonts w:ascii="Calibri" w:eastAsia="Calibri" w:hAnsi="Calibri" w:cs="Calibri"/>
                <w:sz w:val="22"/>
                <w:szCs w:val="22"/>
              </w:rPr>
              <w:t xml:space="preserve">to </w:t>
            </w:r>
            <w:r w:rsidR="006F51C3">
              <w:rPr>
                <w:rFonts w:ascii="Calibri" w:eastAsia="Calibri" w:hAnsi="Calibri" w:cs="Calibri"/>
                <w:sz w:val="22"/>
                <w:szCs w:val="22"/>
              </w:rPr>
              <w:t xml:space="preserve">the </w:t>
            </w:r>
            <w:r w:rsidR="4A6F1CD6" w:rsidRPr="4A6F1CD6">
              <w:rPr>
                <w:rFonts w:ascii="Calibri" w:eastAsia="Calibri" w:hAnsi="Calibri" w:cs="Calibri"/>
                <w:sz w:val="22"/>
                <w:szCs w:val="22"/>
              </w:rPr>
              <w:t xml:space="preserve">PBAC in </w:t>
            </w:r>
            <w:r w:rsidR="00C05E53">
              <w:rPr>
                <w:rFonts w:ascii="Calibri" w:eastAsia="Calibri" w:hAnsi="Calibri" w:cs="Calibri"/>
                <w:sz w:val="22"/>
                <w:szCs w:val="22"/>
              </w:rPr>
              <w:t>December</w:t>
            </w:r>
            <w:r w:rsidR="4A6F1CD6" w:rsidRPr="4A6F1CD6">
              <w:rPr>
                <w:rFonts w:ascii="Calibri" w:eastAsia="Calibri" w:hAnsi="Calibri" w:cs="Calibri"/>
                <w:sz w:val="22"/>
                <w:szCs w:val="22"/>
              </w:rPr>
              <w:t xml:space="preserve"> 2024. Sponsors will be consulted prior to committee consideration.</w:t>
            </w:r>
          </w:p>
        </w:tc>
        <w:tc>
          <w:tcPr>
            <w:tcW w:w="2780" w:type="dxa"/>
            <w:tcBorders>
              <w:top w:val="single" w:sz="8" w:space="0" w:color="auto"/>
              <w:left w:val="single" w:sz="8" w:space="0" w:color="auto"/>
              <w:bottom w:val="single" w:sz="8" w:space="0" w:color="auto"/>
              <w:right w:val="single" w:sz="8" w:space="0" w:color="auto"/>
            </w:tcBorders>
            <w:tcMar>
              <w:left w:w="108" w:type="dxa"/>
              <w:right w:w="108" w:type="dxa"/>
            </w:tcMar>
          </w:tcPr>
          <w:p w14:paraId="1D9E3018" w14:textId="5ED148FB" w:rsidR="4A6F1CD6" w:rsidRDefault="4A6F1CD6" w:rsidP="008F6D3C">
            <w:pPr>
              <w:keepNext/>
            </w:pPr>
            <w:r w:rsidRPr="4A6F1CD6">
              <w:rPr>
                <w:rFonts w:ascii="Calibri" w:eastAsia="Calibri" w:hAnsi="Calibri" w:cs="Calibri"/>
                <w:sz w:val="22"/>
                <w:szCs w:val="22"/>
              </w:rPr>
              <w:t>PBS-listed antihypertensives</w:t>
            </w:r>
          </w:p>
        </w:tc>
      </w:tr>
      <w:tr w:rsidR="4A6F1CD6" w14:paraId="2BBE51F3" w14:textId="77777777" w:rsidTr="008F6D3C">
        <w:trPr>
          <w:trHeight w:val="300"/>
        </w:trPr>
        <w:tc>
          <w:tcPr>
            <w:tcW w:w="2542" w:type="dxa"/>
            <w:tcBorders>
              <w:top w:val="single" w:sz="8" w:space="0" w:color="auto"/>
              <w:left w:val="single" w:sz="8" w:space="0" w:color="auto"/>
              <w:bottom w:val="single" w:sz="8" w:space="0" w:color="auto"/>
              <w:right w:val="single" w:sz="8" w:space="0" w:color="auto"/>
            </w:tcBorders>
            <w:tcMar>
              <w:left w:w="108" w:type="dxa"/>
              <w:right w:w="108" w:type="dxa"/>
            </w:tcMar>
          </w:tcPr>
          <w:p w14:paraId="631393DB" w14:textId="429062A6" w:rsidR="4A6F1CD6" w:rsidRDefault="4A6F1CD6" w:rsidP="4A6F1CD6">
            <w:r w:rsidRPr="4A6F1CD6">
              <w:rPr>
                <w:rFonts w:ascii="Calibri" w:eastAsia="Calibri" w:hAnsi="Calibri" w:cs="Calibri"/>
                <w:sz w:val="22"/>
                <w:szCs w:val="22"/>
              </w:rPr>
              <w:t>Hypercholesterolaemia</w:t>
            </w:r>
          </w:p>
        </w:tc>
        <w:tc>
          <w:tcPr>
            <w:tcW w:w="8749" w:type="dxa"/>
            <w:tcBorders>
              <w:top w:val="single" w:sz="8" w:space="0" w:color="auto"/>
              <w:left w:val="single" w:sz="8" w:space="0" w:color="auto"/>
              <w:bottom w:val="single" w:sz="8" w:space="0" w:color="auto"/>
              <w:right w:val="single" w:sz="8" w:space="0" w:color="auto"/>
            </w:tcBorders>
            <w:tcMar>
              <w:left w:w="108" w:type="dxa"/>
              <w:right w:w="108" w:type="dxa"/>
            </w:tcMar>
          </w:tcPr>
          <w:p w14:paraId="68D04343" w14:textId="37F170B4" w:rsidR="4A6F1CD6" w:rsidRDefault="4A6F1CD6" w:rsidP="4A6F1CD6">
            <w:pPr>
              <w:spacing w:after="120"/>
              <w:rPr>
                <w:rFonts w:ascii="Calibri" w:eastAsia="Calibri" w:hAnsi="Calibri" w:cs="Calibri"/>
                <w:b/>
                <w:bCs/>
                <w:sz w:val="22"/>
                <w:szCs w:val="22"/>
              </w:rPr>
            </w:pPr>
            <w:r w:rsidRPr="4A6F1CD6">
              <w:rPr>
                <w:rFonts w:ascii="Calibri" w:eastAsia="Calibri" w:hAnsi="Calibri" w:cs="Calibri"/>
                <w:b/>
                <w:bCs/>
                <w:sz w:val="22"/>
                <w:szCs w:val="22"/>
              </w:rPr>
              <w:t>Restriction review for ezetimibe and its fixed dose combinations</w:t>
            </w:r>
          </w:p>
          <w:p w14:paraId="75877E0F" w14:textId="2650237F" w:rsidR="4A6F1CD6" w:rsidRDefault="4A6F1CD6" w:rsidP="4A6F1CD6">
            <w:pPr>
              <w:spacing w:after="120"/>
            </w:pPr>
            <w:r w:rsidRPr="4A6F1CD6">
              <w:rPr>
                <w:rFonts w:ascii="Calibri" w:eastAsia="Calibri" w:hAnsi="Calibri" w:cs="Calibri"/>
                <w:b/>
                <w:bCs/>
                <w:sz w:val="22"/>
                <w:szCs w:val="22"/>
              </w:rPr>
              <w:t>Background</w:t>
            </w:r>
          </w:p>
          <w:p w14:paraId="018A7715" w14:textId="67DEA381" w:rsidR="4A6F1CD6" w:rsidRDefault="4A6F1CD6" w:rsidP="4A6F1CD6">
            <w:pPr>
              <w:spacing w:after="120"/>
            </w:pPr>
            <w:r w:rsidRPr="4A6F1CD6">
              <w:rPr>
                <w:rFonts w:ascii="Calibri" w:eastAsia="Calibri" w:hAnsi="Calibri" w:cs="Calibri"/>
                <w:sz w:val="22"/>
                <w:szCs w:val="22"/>
              </w:rPr>
              <w:t xml:space="preserve">Ezetimibe and its fixed dose combinations (FDCs) were identified as a potential medicine on the F2 formulary for a restriction review (see above). The PBS restrictions for ezetimibe and its FDCs are relatively complex and do not align with clinical guidelines. The PBS price has reduced to be </w:t>
            </w:r>
            <w:proofErr w:type="gramStart"/>
            <w:r w:rsidRPr="4A6F1CD6">
              <w:rPr>
                <w:rFonts w:ascii="Calibri" w:eastAsia="Calibri" w:hAnsi="Calibri" w:cs="Calibri"/>
                <w:sz w:val="22"/>
                <w:szCs w:val="22"/>
              </w:rPr>
              <w:t>similar to</w:t>
            </w:r>
            <w:proofErr w:type="gramEnd"/>
            <w:r w:rsidRPr="4A6F1CD6">
              <w:rPr>
                <w:rFonts w:ascii="Calibri" w:eastAsia="Calibri" w:hAnsi="Calibri" w:cs="Calibri"/>
                <w:sz w:val="22"/>
                <w:szCs w:val="22"/>
              </w:rPr>
              <w:t xml:space="preserve"> Unrestricted Benefit listings for the treatment of hypercholesterolaemia.</w:t>
            </w:r>
          </w:p>
          <w:p w14:paraId="6C4D8835" w14:textId="40288F6E" w:rsidR="4A6F1CD6" w:rsidRDefault="4A6F1CD6" w:rsidP="4A6F1CD6">
            <w:pPr>
              <w:spacing w:after="120"/>
            </w:pPr>
            <w:r w:rsidRPr="4A6F1CD6">
              <w:rPr>
                <w:rFonts w:ascii="Calibri" w:eastAsia="Calibri" w:hAnsi="Calibri" w:cs="Calibri"/>
                <w:sz w:val="22"/>
                <w:szCs w:val="22"/>
              </w:rPr>
              <w:lastRenderedPageBreak/>
              <w:t xml:space="preserve">A stakeholder also wrote to the Department to highlight that the PBS restrictions referenced an outdated cardiovascular risk calculator. </w:t>
            </w:r>
          </w:p>
          <w:p w14:paraId="07FC8CA2" w14:textId="072D8102" w:rsidR="4A6F1CD6" w:rsidRDefault="4A6F1CD6" w:rsidP="008F6D3C">
            <w:pPr>
              <w:keepNext/>
              <w:spacing w:after="120"/>
            </w:pPr>
            <w:r w:rsidRPr="4A6F1CD6">
              <w:rPr>
                <w:rFonts w:ascii="Calibri" w:eastAsia="Calibri" w:hAnsi="Calibri" w:cs="Calibri"/>
                <w:b/>
                <w:bCs/>
                <w:sz w:val="22"/>
                <w:szCs w:val="22"/>
              </w:rPr>
              <w:t>Status</w:t>
            </w:r>
          </w:p>
          <w:p w14:paraId="59F785BB" w14:textId="2BB06167" w:rsidR="4A6F1CD6" w:rsidRDefault="001C7432" w:rsidP="4A6F1CD6">
            <w:pPr>
              <w:spacing w:before="240" w:after="240"/>
              <w:rPr>
                <w:sz w:val="22"/>
                <w:szCs w:val="22"/>
              </w:rPr>
            </w:pPr>
            <w:r>
              <w:rPr>
                <w:sz w:val="22"/>
                <w:szCs w:val="22"/>
              </w:rPr>
              <w:t>I</w:t>
            </w:r>
            <w:r w:rsidR="4A6F1CD6" w:rsidRPr="4A6F1CD6">
              <w:rPr>
                <w:sz w:val="22"/>
                <w:szCs w:val="22"/>
              </w:rPr>
              <w:t>n May 2024, the PBAC recommended that the ezetimibe and ezetimibe + HMG-CoA reductase inhibitor (statin) FDCs be changed from Authority Required (STREAMLINED) to Unrestricted benefit listings on the PBS. The PBAC considered that the clinical place of ezetimibe and its FDCs w</w:t>
            </w:r>
            <w:r w:rsidR="00D32FAF">
              <w:rPr>
                <w:sz w:val="22"/>
                <w:szCs w:val="22"/>
              </w:rPr>
              <w:t>ere</w:t>
            </w:r>
            <w:r w:rsidR="4A6F1CD6" w:rsidRPr="4A6F1CD6">
              <w:rPr>
                <w:sz w:val="22"/>
                <w:szCs w:val="22"/>
              </w:rPr>
              <w:t xml:space="preserve"> well established and that the change to an Unrestricted PBS listing was unlikely to result in increased utilisation or expenditure. </w:t>
            </w:r>
          </w:p>
          <w:p w14:paraId="7482E8C8" w14:textId="3AB13A9E" w:rsidR="4A6F1CD6" w:rsidRDefault="4A6F1CD6" w:rsidP="4A6F1CD6">
            <w:pPr>
              <w:spacing w:after="120"/>
            </w:pPr>
            <w:r w:rsidRPr="4A6F1CD6">
              <w:rPr>
                <w:rFonts w:ascii="Calibri" w:eastAsia="Calibri" w:hAnsi="Calibri" w:cs="Calibri"/>
                <w:b/>
                <w:bCs/>
                <w:sz w:val="22"/>
                <w:szCs w:val="22"/>
              </w:rPr>
              <w:t>Next steps</w:t>
            </w:r>
          </w:p>
          <w:p w14:paraId="7A835AE5" w14:textId="74B9200F" w:rsidR="4A6F1CD6" w:rsidRPr="005B6DBE" w:rsidRDefault="00285033" w:rsidP="005B6DBE">
            <w:pPr>
              <w:keepNext/>
              <w:spacing w:line="257" w:lineRule="auto"/>
              <w:rPr>
                <w:rFonts w:ascii="Calibri" w:eastAsia="Calibri" w:hAnsi="Calibri" w:cs="Calibri"/>
                <w:sz w:val="22"/>
                <w:szCs w:val="22"/>
              </w:rPr>
            </w:pPr>
            <w:r w:rsidRPr="005B6DBE">
              <w:rPr>
                <w:rFonts w:ascii="Calibri" w:eastAsia="Calibri" w:hAnsi="Calibri" w:cs="Calibri"/>
                <w:sz w:val="22"/>
                <w:szCs w:val="22"/>
              </w:rPr>
              <w:t>The Department will implement r</w:t>
            </w:r>
            <w:r w:rsidR="4A6F1CD6" w:rsidRPr="005B6DBE">
              <w:rPr>
                <w:rFonts w:ascii="Calibri" w:eastAsia="Calibri" w:hAnsi="Calibri" w:cs="Calibri"/>
                <w:sz w:val="22"/>
                <w:szCs w:val="22"/>
              </w:rPr>
              <w:t>estriction changes</w:t>
            </w:r>
            <w:r w:rsidR="008F3346" w:rsidRPr="005B6DBE">
              <w:rPr>
                <w:rFonts w:ascii="Calibri" w:eastAsia="Calibri" w:hAnsi="Calibri" w:cs="Calibri"/>
                <w:sz w:val="22"/>
                <w:szCs w:val="22"/>
              </w:rPr>
              <w:t xml:space="preserve"> recommended by the PBAC as part of routine monthly changes to the PBS schedule.</w:t>
            </w:r>
            <w:r w:rsidR="008F3346">
              <w:rPr>
                <w:rStyle w:val="ui-provider"/>
              </w:rPr>
              <w:t> </w:t>
            </w:r>
          </w:p>
        </w:tc>
        <w:tc>
          <w:tcPr>
            <w:tcW w:w="2780" w:type="dxa"/>
            <w:tcBorders>
              <w:top w:val="single" w:sz="8" w:space="0" w:color="auto"/>
              <w:left w:val="single" w:sz="8" w:space="0" w:color="auto"/>
              <w:bottom w:val="single" w:sz="8" w:space="0" w:color="auto"/>
              <w:right w:val="single" w:sz="8" w:space="0" w:color="auto"/>
            </w:tcBorders>
            <w:tcMar>
              <w:left w:w="108" w:type="dxa"/>
              <w:right w:w="108" w:type="dxa"/>
            </w:tcMar>
          </w:tcPr>
          <w:p w14:paraId="7D30EBE2" w14:textId="48F24B28" w:rsidR="4A6F1CD6" w:rsidRDefault="4A6F1CD6" w:rsidP="000B42BB">
            <w:pPr>
              <w:pStyle w:val="ListParagraph"/>
              <w:numPr>
                <w:ilvl w:val="0"/>
                <w:numId w:val="6"/>
              </w:numPr>
              <w:ind w:left="360"/>
              <w:rPr>
                <w:rFonts w:ascii="Calibri" w:eastAsia="Calibri" w:hAnsi="Calibri" w:cs="Calibri"/>
                <w:sz w:val="22"/>
                <w:szCs w:val="22"/>
              </w:rPr>
            </w:pPr>
            <w:r w:rsidRPr="4A6F1CD6">
              <w:rPr>
                <w:rFonts w:ascii="Calibri" w:eastAsia="Calibri" w:hAnsi="Calibri" w:cs="Calibri"/>
                <w:sz w:val="22"/>
                <w:szCs w:val="22"/>
              </w:rPr>
              <w:lastRenderedPageBreak/>
              <w:t>Ezetimibe</w:t>
            </w:r>
          </w:p>
          <w:p w14:paraId="7B85901F" w14:textId="5BA564F8" w:rsidR="4A6F1CD6" w:rsidRDefault="4A6F1CD6" w:rsidP="000B42BB">
            <w:pPr>
              <w:pStyle w:val="ListParagraph"/>
              <w:numPr>
                <w:ilvl w:val="0"/>
                <w:numId w:val="6"/>
              </w:numPr>
              <w:ind w:left="360"/>
              <w:rPr>
                <w:rFonts w:ascii="Calibri" w:eastAsia="Calibri" w:hAnsi="Calibri" w:cs="Calibri"/>
                <w:sz w:val="22"/>
                <w:szCs w:val="22"/>
              </w:rPr>
            </w:pPr>
            <w:r w:rsidRPr="4A6F1CD6">
              <w:rPr>
                <w:rFonts w:ascii="Calibri" w:eastAsia="Calibri" w:hAnsi="Calibri" w:cs="Calibri"/>
                <w:sz w:val="22"/>
                <w:szCs w:val="22"/>
              </w:rPr>
              <w:t>Ezetimibe fixed dose combinations</w:t>
            </w:r>
          </w:p>
        </w:tc>
      </w:tr>
      <w:tr w:rsidR="0008371C" w14:paraId="42A45BBE" w14:textId="77777777" w:rsidTr="008F6D3C">
        <w:trPr>
          <w:trHeight w:val="300"/>
        </w:trPr>
        <w:tc>
          <w:tcPr>
            <w:tcW w:w="2542" w:type="dxa"/>
            <w:tcBorders>
              <w:top w:val="single" w:sz="8" w:space="0" w:color="auto"/>
              <w:left w:val="single" w:sz="8" w:space="0" w:color="auto"/>
              <w:bottom w:val="single" w:sz="8" w:space="0" w:color="auto"/>
              <w:right w:val="single" w:sz="8" w:space="0" w:color="auto"/>
            </w:tcBorders>
            <w:tcMar>
              <w:left w:w="108" w:type="dxa"/>
              <w:right w:w="108" w:type="dxa"/>
            </w:tcMar>
          </w:tcPr>
          <w:p w14:paraId="3E44B542" w14:textId="10530997" w:rsidR="0008371C" w:rsidRPr="4A6F1CD6" w:rsidRDefault="005B6DBE" w:rsidP="4A6F1CD6">
            <w:pPr>
              <w:rPr>
                <w:rFonts w:ascii="Calibri" w:eastAsia="Calibri" w:hAnsi="Calibri" w:cs="Calibri"/>
                <w:sz w:val="22"/>
                <w:szCs w:val="22"/>
              </w:rPr>
            </w:pPr>
            <w:r>
              <w:rPr>
                <w:rFonts w:ascii="Calibri" w:eastAsia="Calibri" w:hAnsi="Calibri" w:cs="Calibri"/>
                <w:sz w:val="22"/>
                <w:szCs w:val="22"/>
              </w:rPr>
              <w:t>Various</w:t>
            </w:r>
          </w:p>
        </w:tc>
        <w:tc>
          <w:tcPr>
            <w:tcW w:w="8749" w:type="dxa"/>
            <w:tcBorders>
              <w:top w:val="single" w:sz="8" w:space="0" w:color="auto"/>
              <w:left w:val="single" w:sz="8" w:space="0" w:color="auto"/>
              <w:bottom w:val="single" w:sz="8" w:space="0" w:color="auto"/>
              <w:right w:val="single" w:sz="8" w:space="0" w:color="auto"/>
            </w:tcBorders>
            <w:tcMar>
              <w:left w:w="108" w:type="dxa"/>
              <w:right w:w="108" w:type="dxa"/>
            </w:tcMar>
          </w:tcPr>
          <w:p w14:paraId="391EB8D5" w14:textId="77777777" w:rsidR="002F5AC3" w:rsidRPr="009A481B" w:rsidRDefault="002F5AC3">
            <w:pPr>
              <w:spacing w:after="120"/>
              <w:rPr>
                <w:rFonts w:ascii="Calibri" w:eastAsia="Calibri" w:hAnsi="Calibri" w:cs="Calibri"/>
                <w:b/>
                <w:bCs/>
                <w:sz w:val="22"/>
                <w:szCs w:val="22"/>
              </w:rPr>
            </w:pPr>
            <w:bookmarkStart w:id="0" w:name="_Hlk179881954"/>
            <w:r w:rsidRPr="00ED16C6">
              <w:rPr>
                <w:rFonts w:ascii="Calibri" w:eastAsia="Calibri" w:hAnsi="Calibri" w:cs="Calibri"/>
                <w:b/>
                <w:bCs/>
                <w:sz w:val="22"/>
                <w:szCs w:val="22"/>
              </w:rPr>
              <w:t>Review of PBS restrictions for low-cost medicines</w:t>
            </w:r>
          </w:p>
          <w:bookmarkEnd w:id="0"/>
          <w:p w14:paraId="29CCBB70" w14:textId="6E5C84C8" w:rsidR="009A481B" w:rsidRPr="009A481B" w:rsidRDefault="009A481B">
            <w:pPr>
              <w:spacing w:after="120"/>
              <w:rPr>
                <w:rFonts w:ascii="Calibri" w:eastAsia="Calibri" w:hAnsi="Calibri" w:cs="Calibri"/>
                <w:b/>
                <w:bCs/>
                <w:sz w:val="22"/>
                <w:szCs w:val="22"/>
              </w:rPr>
            </w:pPr>
            <w:r w:rsidRPr="009A481B">
              <w:rPr>
                <w:rFonts w:ascii="Calibri" w:eastAsia="Calibri" w:hAnsi="Calibri" w:cs="Calibri"/>
                <w:b/>
                <w:bCs/>
                <w:sz w:val="22"/>
                <w:szCs w:val="22"/>
              </w:rPr>
              <w:t>Background</w:t>
            </w:r>
          </w:p>
          <w:p w14:paraId="75F5D98C" w14:textId="5AB6EC12" w:rsidR="009A481B" w:rsidRPr="00ED16C6" w:rsidRDefault="009A481B" w:rsidP="009A481B">
            <w:pPr>
              <w:spacing w:after="120"/>
              <w:rPr>
                <w:rFonts w:ascii="Calibri" w:eastAsia="Calibri" w:hAnsi="Calibri" w:cs="Calibri"/>
                <w:sz w:val="22"/>
                <w:szCs w:val="22"/>
              </w:rPr>
            </w:pPr>
            <w:r w:rsidRPr="009A481B">
              <w:rPr>
                <w:rFonts w:ascii="Calibri" w:eastAsia="Calibri" w:hAnsi="Calibri" w:cs="Calibri"/>
                <w:sz w:val="22"/>
                <w:szCs w:val="22"/>
              </w:rPr>
              <w:t>I</w:t>
            </w:r>
            <w:r w:rsidRPr="00ED16C6">
              <w:rPr>
                <w:rFonts w:ascii="Calibri" w:eastAsia="Calibri" w:hAnsi="Calibri" w:cs="Calibri"/>
                <w:sz w:val="22"/>
                <w:szCs w:val="22"/>
              </w:rPr>
              <w:t>n September 2023, as part of its consideration of the PMR workplan, the PBAC supported a proposal that the Department would consider on a rolling basis whether medicines that have moved to the F2 formulary would be suitable for a restriction review. The PBAC noted that this work may support the TGA’s Medicines Repurposing Program (MRP).</w:t>
            </w:r>
          </w:p>
          <w:p w14:paraId="5DEDFC02" w14:textId="0A792D80" w:rsidR="009A481B" w:rsidRPr="009A481B" w:rsidRDefault="009A481B" w:rsidP="009A481B">
            <w:pPr>
              <w:spacing w:after="120"/>
              <w:rPr>
                <w:rFonts w:ascii="Calibri" w:eastAsia="Calibri" w:hAnsi="Calibri" w:cs="Calibri"/>
                <w:b/>
                <w:bCs/>
                <w:sz w:val="22"/>
                <w:szCs w:val="22"/>
              </w:rPr>
            </w:pPr>
            <w:r w:rsidRPr="009A481B">
              <w:rPr>
                <w:rFonts w:ascii="Calibri" w:eastAsia="Calibri" w:hAnsi="Calibri" w:cs="Calibri"/>
                <w:b/>
                <w:bCs/>
                <w:sz w:val="22"/>
                <w:szCs w:val="22"/>
              </w:rPr>
              <w:t>Status</w:t>
            </w:r>
          </w:p>
          <w:p w14:paraId="4F0255F6" w14:textId="6D0FEFB3" w:rsidR="009A481B" w:rsidRPr="009A481B" w:rsidRDefault="009A481B" w:rsidP="009A481B">
            <w:pPr>
              <w:spacing w:after="120"/>
              <w:rPr>
                <w:rFonts w:ascii="Calibri" w:eastAsia="Calibri" w:hAnsi="Calibri" w:cs="Calibri"/>
                <w:sz w:val="22"/>
                <w:szCs w:val="22"/>
              </w:rPr>
            </w:pPr>
            <w:r>
              <w:rPr>
                <w:rFonts w:ascii="Calibri" w:eastAsia="Calibri" w:hAnsi="Calibri" w:cs="Calibri"/>
                <w:sz w:val="22"/>
                <w:szCs w:val="22"/>
              </w:rPr>
              <w:t>At its September 2024 meeting, t</w:t>
            </w:r>
            <w:r w:rsidRPr="00ED16C6">
              <w:rPr>
                <w:rFonts w:ascii="Calibri" w:eastAsia="Calibri" w:hAnsi="Calibri" w:cs="Calibri"/>
                <w:sz w:val="22"/>
                <w:szCs w:val="22"/>
              </w:rPr>
              <w:t xml:space="preserve">he PBAC supported the Department’s proposal to provide further information to inform its consideration of whether an unrestricted benefit PBS listing is appropriate for several </w:t>
            </w:r>
            <w:r w:rsidR="00285033">
              <w:rPr>
                <w:rFonts w:ascii="Calibri" w:eastAsia="Calibri" w:hAnsi="Calibri" w:cs="Calibri"/>
                <w:sz w:val="22"/>
                <w:szCs w:val="22"/>
              </w:rPr>
              <w:t xml:space="preserve">PBS-listed </w:t>
            </w:r>
            <w:r w:rsidRPr="00ED16C6">
              <w:rPr>
                <w:rFonts w:ascii="Calibri" w:eastAsia="Calibri" w:hAnsi="Calibri" w:cs="Calibri"/>
                <w:sz w:val="22"/>
                <w:szCs w:val="22"/>
              </w:rPr>
              <w:t xml:space="preserve">antidepressants. </w:t>
            </w:r>
            <w:r w:rsidRPr="009A481B">
              <w:rPr>
                <w:rFonts w:ascii="Calibri" w:eastAsia="Calibri" w:hAnsi="Calibri" w:cs="Calibri"/>
                <w:sz w:val="22"/>
                <w:szCs w:val="22"/>
              </w:rPr>
              <w:t xml:space="preserve">The PBAC noted that for </w:t>
            </w:r>
            <w:r w:rsidR="00285033">
              <w:rPr>
                <w:rFonts w:ascii="Calibri" w:eastAsia="Calibri" w:hAnsi="Calibri" w:cs="Calibri"/>
                <w:sz w:val="22"/>
                <w:szCs w:val="22"/>
              </w:rPr>
              <w:t xml:space="preserve">some </w:t>
            </w:r>
            <w:r w:rsidR="00B73477">
              <w:rPr>
                <w:rFonts w:ascii="Calibri" w:eastAsia="Calibri" w:hAnsi="Calibri" w:cs="Calibri"/>
                <w:sz w:val="22"/>
                <w:szCs w:val="22"/>
              </w:rPr>
              <w:t>R</w:t>
            </w:r>
            <w:r w:rsidR="00285033">
              <w:rPr>
                <w:rFonts w:ascii="Calibri" w:eastAsia="Calibri" w:hAnsi="Calibri" w:cs="Calibri"/>
                <w:sz w:val="22"/>
                <w:szCs w:val="22"/>
              </w:rPr>
              <w:t>estricted Benefit listings</w:t>
            </w:r>
            <w:r w:rsidR="00ED16C6">
              <w:rPr>
                <w:rFonts w:ascii="Calibri" w:eastAsia="Calibri" w:hAnsi="Calibri" w:cs="Calibri"/>
                <w:sz w:val="22"/>
                <w:szCs w:val="22"/>
              </w:rPr>
              <w:t>,</w:t>
            </w:r>
            <w:r w:rsidRPr="009A481B">
              <w:rPr>
                <w:rFonts w:ascii="Calibri" w:eastAsia="Calibri" w:hAnsi="Calibri" w:cs="Calibri"/>
                <w:sz w:val="22"/>
                <w:szCs w:val="22"/>
              </w:rPr>
              <w:t xml:space="preserve"> the TGA-approved indications are broader than the PBS-listed indications. In addition, Australian clinical guidelines recommend a wide</w:t>
            </w:r>
            <w:r w:rsidR="00285033">
              <w:rPr>
                <w:rFonts w:ascii="Calibri" w:eastAsia="Calibri" w:hAnsi="Calibri" w:cs="Calibri"/>
                <w:sz w:val="22"/>
                <w:szCs w:val="22"/>
              </w:rPr>
              <w:t>r</w:t>
            </w:r>
            <w:r w:rsidRPr="009A481B">
              <w:rPr>
                <w:rFonts w:ascii="Calibri" w:eastAsia="Calibri" w:hAnsi="Calibri" w:cs="Calibri"/>
                <w:sz w:val="22"/>
                <w:szCs w:val="22"/>
              </w:rPr>
              <w:t xml:space="preserve"> range of uses beyond the PBS-listed and</w:t>
            </w:r>
            <w:r w:rsidR="00285033">
              <w:rPr>
                <w:rFonts w:ascii="Calibri" w:eastAsia="Calibri" w:hAnsi="Calibri" w:cs="Calibri"/>
                <w:sz w:val="22"/>
                <w:szCs w:val="22"/>
              </w:rPr>
              <w:t>/or</w:t>
            </w:r>
            <w:r w:rsidRPr="009A481B">
              <w:rPr>
                <w:rFonts w:ascii="Calibri" w:eastAsia="Calibri" w:hAnsi="Calibri" w:cs="Calibri"/>
                <w:sz w:val="22"/>
                <w:szCs w:val="22"/>
              </w:rPr>
              <w:t xml:space="preserve"> TGA-approved indication(s). The PBAC considered that because of the low cost of these </w:t>
            </w:r>
            <w:r w:rsidRPr="009A481B">
              <w:rPr>
                <w:rFonts w:ascii="Calibri" w:eastAsia="Calibri" w:hAnsi="Calibri" w:cs="Calibri"/>
                <w:sz w:val="22"/>
                <w:szCs w:val="22"/>
              </w:rPr>
              <w:lastRenderedPageBreak/>
              <w:t xml:space="preserve">medicines, there may be little incentive for sponsors to bring forward a TGA application or PBAC submission to change the indication or restriction. </w:t>
            </w:r>
          </w:p>
          <w:p w14:paraId="02594103" w14:textId="77777777" w:rsidR="009A481B" w:rsidRDefault="009A481B" w:rsidP="009A481B">
            <w:pPr>
              <w:spacing w:after="120"/>
              <w:rPr>
                <w:rFonts w:ascii="Calibri" w:eastAsia="Calibri" w:hAnsi="Calibri" w:cs="Calibri"/>
                <w:b/>
                <w:bCs/>
                <w:sz w:val="22"/>
                <w:szCs w:val="22"/>
              </w:rPr>
            </w:pPr>
            <w:r>
              <w:rPr>
                <w:rFonts w:ascii="Calibri" w:eastAsia="Calibri" w:hAnsi="Calibri" w:cs="Calibri"/>
                <w:b/>
                <w:bCs/>
                <w:sz w:val="22"/>
                <w:szCs w:val="22"/>
              </w:rPr>
              <w:t>Next steps</w:t>
            </w:r>
          </w:p>
          <w:p w14:paraId="6CEA6BC8" w14:textId="4C8D82AC" w:rsidR="0008371C" w:rsidRPr="00ED16C6" w:rsidRDefault="009A481B" w:rsidP="005B6DBE">
            <w:r w:rsidRPr="005B6DBE">
              <w:rPr>
                <w:rFonts w:ascii="Calibri" w:eastAsia="Calibri" w:hAnsi="Calibri" w:cs="Calibri"/>
                <w:sz w:val="22"/>
                <w:szCs w:val="22"/>
              </w:rPr>
              <w:t xml:space="preserve">The Department will undertake an analysis of </w:t>
            </w:r>
            <w:r w:rsidR="00285033" w:rsidRPr="005B6DBE">
              <w:rPr>
                <w:rFonts w:ascii="Calibri" w:eastAsia="Calibri" w:hAnsi="Calibri" w:cs="Calibri"/>
                <w:sz w:val="22"/>
                <w:szCs w:val="22"/>
              </w:rPr>
              <w:t>several ‘low cost’ antidepressants with Restricted Benefit PBS</w:t>
            </w:r>
            <w:r w:rsidR="00135D7C" w:rsidRPr="005B6DBE">
              <w:rPr>
                <w:rFonts w:ascii="Calibri" w:eastAsia="Calibri" w:hAnsi="Calibri" w:cs="Calibri"/>
                <w:sz w:val="22"/>
                <w:szCs w:val="22"/>
              </w:rPr>
              <w:t xml:space="preserve"> </w:t>
            </w:r>
            <w:r w:rsidR="00285033" w:rsidRPr="005B6DBE">
              <w:rPr>
                <w:rFonts w:ascii="Calibri" w:eastAsia="Calibri" w:hAnsi="Calibri" w:cs="Calibri"/>
                <w:sz w:val="22"/>
                <w:szCs w:val="22"/>
              </w:rPr>
              <w:t>listings to</w:t>
            </w:r>
            <w:r w:rsidRPr="005B6DBE">
              <w:rPr>
                <w:rFonts w:ascii="Calibri" w:eastAsia="Calibri" w:hAnsi="Calibri" w:cs="Calibri"/>
                <w:sz w:val="22"/>
                <w:szCs w:val="22"/>
              </w:rPr>
              <w:t xml:space="preserve"> estimate the financial impact of changing these medicines to unrestricted benefits. </w:t>
            </w:r>
          </w:p>
        </w:tc>
        <w:tc>
          <w:tcPr>
            <w:tcW w:w="2780" w:type="dxa"/>
            <w:tcBorders>
              <w:top w:val="single" w:sz="8" w:space="0" w:color="auto"/>
              <w:left w:val="single" w:sz="8" w:space="0" w:color="auto"/>
              <w:bottom w:val="single" w:sz="8" w:space="0" w:color="auto"/>
              <w:right w:val="single" w:sz="8" w:space="0" w:color="auto"/>
            </w:tcBorders>
            <w:tcMar>
              <w:left w:w="108" w:type="dxa"/>
              <w:right w:w="108" w:type="dxa"/>
            </w:tcMar>
          </w:tcPr>
          <w:p w14:paraId="7835CA71" w14:textId="71978965" w:rsidR="006E6346" w:rsidRPr="00ED16C6" w:rsidRDefault="00285033" w:rsidP="005B6DBE">
            <w:pPr>
              <w:pStyle w:val="ListParagraph"/>
              <w:ind w:left="360"/>
              <w:rPr>
                <w:rFonts w:ascii="Calibri" w:eastAsia="Calibri" w:hAnsi="Calibri" w:cs="Calibri"/>
                <w:sz w:val="22"/>
                <w:szCs w:val="22"/>
              </w:rPr>
            </w:pPr>
            <w:r>
              <w:rPr>
                <w:rFonts w:ascii="Calibri" w:eastAsia="Calibri" w:hAnsi="Calibri" w:cs="Calibri"/>
                <w:sz w:val="22"/>
                <w:szCs w:val="22"/>
              </w:rPr>
              <w:lastRenderedPageBreak/>
              <w:t>Various PBS-listed antidepressants</w:t>
            </w:r>
          </w:p>
        </w:tc>
      </w:tr>
      <w:tr w:rsidR="007730AF" w14:paraId="6974EC0A" w14:textId="77777777" w:rsidTr="008F6D3C">
        <w:trPr>
          <w:trHeight w:val="300"/>
        </w:trPr>
        <w:tc>
          <w:tcPr>
            <w:tcW w:w="2542" w:type="dxa"/>
            <w:tcBorders>
              <w:top w:val="single" w:sz="8" w:space="0" w:color="auto"/>
              <w:left w:val="single" w:sz="8" w:space="0" w:color="auto"/>
              <w:bottom w:val="single" w:sz="8" w:space="0" w:color="auto"/>
              <w:right w:val="single" w:sz="8" w:space="0" w:color="auto"/>
            </w:tcBorders>
            <w:tcMar>
              <w:left w:w="108" w:type="dxa"/>
              <w:right w:w="108" w:type="dxa"/>
            </w:tcMar>
          </w:tcPr>
          <w:p w14:paraId="1E92BF30" w14:textId="2763EDD1" w:rsidR="007730AF" w:rsidRPr="4A6F1CD6" w:rsidRDefault="007730AF" w:rsidP="007730AF">
            <w:pPr>
              <w:rPr>
                <w:rFonts w:ascii="Calibri" w:eastAsia="Calibri" w:hAnsi="Calibri" w:cs="Calibri"/>
                <w:sz w:val="22"/>
                <w:szCs w:val="22"/>
              </w:rPr>
            </w:pPr>
            <w:r>
              <w:rPr>
                <w:rFonts w:ascii="Calibri" w:eastAsia="Calibri" w:hAnsi="Calibri" w:cs="Calibri"/>
                <w:sz w:val="22"/>
                <w:szCs w:val="22"/>
              </w:rPr>
              <w:t>Palliative care</w:t>
            </w:r>
          </w:p>
        </w:tc>
        <w:tc>
          <w:tcPr>
            <w:tcW w:w="8749" w:type="dxa"/>
            <w:tcBorders>
              <w:top w:val="single" w:sz="8" w:space="0" w:color="auto"/>
              <w:left w:val="single" w:sz="8" w:space="0" w:color="auto"/>
              <w:bottom w:val="single" w:sz="8" w:space="0" w:color="auto"/>
              <w:right w:val="single" w:sz="8" w:space="0" w:color="auto"/>
            </w:tcBorders>
            <w:tcMar>
              <w:left w:w="108" w:type="dxa"/>
              <w:right w:w="108" w:type="dxa"/>
            </w:tcMar>
          </w:tcPr>
          <w:p w14:paraId="3FA740F2" w14:textId="77777777" w:rsidR="007730AF" w:rsidRDefault="007730AF" w:rsidP="007730AF">
            <w:pPr>
              <w:spacing w:after="120"/>
              <w:rPr>
                <w:rFonts w:ascii="Calibri" w:eastAsia="Calibri" w:hAnsi="Calibri" w:cs="Calibri"/>
                <w:b/>
                <w:bCs/>
                <w:sz w:val="22"/>
                <w:szCs w:val="22"/>
              </w:rPr>
            </w:pPr>
            <w:r>
              <w:rPr>
                <w:rFonts w:ascii="Calibri" w:eastAsia="Calibri" w:hAnsi="Calibri" w:cs="Calibri"/>
                <w:b/>
                <w:bCs/>
                <w:sz w:val="22"/>
                <w:szCs w:val="22"/>
              </w:rPr>
              <w:t>Midazolam in palliative care</w:t>
            </w:r>
          </w:p>
          <w:p w14:paraId="0E734B79" w14:textId="77777777" w:rsidR="007730AF" w:rsidRDefault="007730AF" w:rsidP="007730AF">
            <w:pPr>
              <w:spacing w:after="120"/>
              <w:rPr>
                <w:rFonts w:ascii="Calibri" w:eastAsia="Calibri" w:hAnsi="Calibri" w:cs="Calibri"/>
                <w:b/>
                <w:bCs/>
                <w:sz w:val="22"/>
                <w:szCs w:val="22"/>
              </w:rPr>
            </w:pPr>
            <w:r>
              <w:rPr>
                <w:rFonts w:ascii="Calibri" w:eastAsia="Calibri" w:hAnsi="Calibri" w:cs="Calibri"/>
                <w:b/>
                <w:bCs/>
                <w:sz w:val="22"/>
                <w:szCs w:val="22"/>
              </w:rPr>
              <w:t>Background</w:t>
            </w:r>
          </w:p>
          <w:p w14:paraId="5320AEDE" w14:textId="336E8F10" w:rsidR="00482D04" w:rsidRPr="00ED16C6" w:rsidRDefault="00482D04" w:rsidP="007730AF">
            <w:pPr>
              <w:spacing w:after="120"/>
              <w:rPr>
                <w:rFonts w:ascii="Calibri" w:eastAsia="Calibri" w:hAnsi="Calibri" w:cs="Calibri"/>
                <w:sz w:val="22"/>
                <w:szCs w:val="22"/>
              </w:rPr>
            </w:pPr>
            <w:r w:rsidRPr="00ED16C6">
              <w:rPr>
                <w:rFonts w:ascii="Calibri" w:eastAsia="Calibri" w:hAnsi="Calibri" w:cs="Calibri"/>
                <w:sz w:val="22"/>
                <w:szCs w:val="22"/>
              </w:rPr>
              <w:t xml:space="preserve">In September 2020, the PBAC considered outcomes from the Palliative Care Schedule Review and considered there was a clinical need for </w:t>
            </w:r>
            <w:r w:rsidR="00C7190F">
              <w:rPr>
                <w:rFonts w:ascii="Calibri" w:eastAsia="Calibri" w:hAnsi="Calibri" w:cs="Calibri"/>
                <w:sz w:val="22"/>
                <w:szCs w:val="22"/>
              </w:rPr>
              <w:t xml:space="preserve">PBS-subsidised </w:t>
            </w:r>
            <w:r w:rsidRPr="00ED16C6">
              <w:rPr>
                <w:rFonts w:ascii="Calibri" w:eastAsia="Calibri" w:hAnsi="Calibri" w:cs="Calibri"/>
                <w:sz w:val="22"/>
                <w:szCs w:val="22"/>
              </w:rPr>
              <w:t>midazolam in the palliative care setting.</w:t>
            </w:r>
          </w:p>
          <w:p w14:paraId="78232656" w14:textId="77777777" w:rsidR="007730AF" w:rsidRDefault="007730AF" w:rsidP="007730AF">
            <w:pPr>
              <w:spacing w:after="120"/>
              <w:rPr>
                <w:rFonts w:ascii="Calibri" w:eastAsia="Calibri" w:hAnsi="Calibri" w:cs="Calibri"/>
                <w:b/>
                <w:bCs/>
                <w:sz w:val="22"/>
                <w:szCs w:val="22"/>
              </w:rPr>
            </w:pPr>
            <w:r>
              <w:rPr>
                <w:rFonts w:ascii="Calibri" w:eastAsia="Calibri" w:hAnsi="Calibri" w:cs="Calibri"/>
                <w:b/>
                <w:bCs/>
                <w:sz w:val="22"/>
                <w:szCs w:val="22"/>
              </w:rPr>
              <w:t>Status</w:t>
            </w:r>
          </w:p>
          <w:p w14:paraId="18E29017" w14:textId="688D4E32" w:rsidR="00336ABA" w:rsidRPr="00ED16C6" w:rsidRDefault="00336ABA" w:rsidP="007730AF">
            <w:pPr>
              <w:spacing w:after="120"/>
              <w:rPr>
                <w:rFonts w:ascii="Calibri" w:eastAsia="Calibri" w:hAnsi="Calibri" w:cs="Calibri"/>
                <w:sz w:val="22"/>
                <w:szCs w:val="22"/>
              </w:rPr>
            </w:pPr>
            <w:r>
              <w:rPr>
                <w:rFonts w:ascii="Calibri" w:eastAsia="Calibri" w:hAnsi="Calibri" w:cs="Calibri"/>
                <w:sz w:val="22"/>
                <w:szCs w:val="22"/>
              </w:rPr>
              <w:t xml:space="preserve">In September 2024, the PBAC </w:t>
            </w:r>
            <w:r w:rsidR="00285033">
              <w:rPr>
                <w:rFonts w:ascii="Calibri" w:eastAsia="Calibri" w:hAnsi="Calibri" w:cs="Calibri"/>
                <w:sz w:val="22"/>
                <w:szCs w:val="22"/>
              </w:rPr>
              <w:t xml:space="preserve">agreed </w:t>
            </w:r>
            <w:r>
              <w:rPr>
                <w:rFonts w:ascii="Calibri" w:eastAsia="Calibri" w:hAnsi="Calibri" w:cs="Calibri"/>
                <w:sz w:val="22"/>
                <w:szCs w:val="22"/>
              </w:rPr>
              <w:t xml:space="preserve">that the PMR section </w:t>
            </w:r>
            <w:r w:rsidR="00C9014E">
              <w:rPr>
                <w:rFonts w:ascii="Calibri" w:eastAsia="Calibri" w:hAnsi="Calibri" w:cs="Calibri"/>
                <w:sz w:val="22"/>
                <w:szCs w:val="22"/>
              </w:rPr>
              <w:t xml:space="preserve">undertake research and stakeholder engagement activities to inform the committee’s consideration of listing midazolam on the Palliative Care Schedule at a future meeting. </w:t>
            </w:r>
          </w:p>
          <w:p w14:paraId="5A214541" w14:textId="77777777" w:rsidR="007730AF" w:rsidRDefault="007730AF" w:rsidP="007730AF">
            <w:pPr>
              <w:spacing w:after="120"/>
              <w:rPr>
                <w:rFonts w:ascii="Calibri" w:eastAsia="Calibri" w:hAnsi="Calibri" w:cs="Calibri"/>
                <w:b/>
                <w:bCs/>
                <w:sz w:val="22"/>
                <w:szCs w:val="22"/>
              </w:rPr>
            </w:pPr>
            <w:r>
              <w:rPr>
                <w:rFonts w:ascii="Calibri" w:eastAsia="Calibri" w:hAnsi="Calibri" w:cs="Calibri"/>
                <w:b/>
                <w:bCs/>
                <w:sz w:val="22"/>
                <w:szCs w:val="22"/>
              </w:rPr>
              <w:t>Next steps</w:t>
            </w:r>
          </w:p>
          <w:p w14:paraId="7EBD52A0" w14:textId="683C3CD1" w:rsidR="00FD1BC0" w:rsidRPr="00ED16C6" w:rsidRDefault="00285033" w:rsidP="005B6DBE">
            <w:pPr>
              <w:spacing w:after="120"/>
              <w:rPr>
                <w:rFonts w:ascii="Calibri" w:eastAsia="Calibri" w:hAnsi="Calibri" w:cs="Calibri"/>
                <w:sz w:val="22"/>
                <w:szCs w:val="22"/>
              </w:rPr>
            </w:pPr>
            <w:r w:rsidRPr="00285033">
              <w:rPr>
                <w:rFonts w:ascii="Calibri" w:eastAsia="Calibri" w:hAnsi="Calibri" w:cs="Calibri"/>
                <w:bCs/>
                <w:sz w:val="22"/>
                <w:szCs w:val="22"/>
              </w:rPr>
              <w:t xml:space="preserve">The Department will consult with sponsors, </w:t>
            </w:r>
            <w:r w:rsidR="00FD1BC0" w:rsidRPr="00285033">
              <w:rPr>
                <w:rFonts w:ascii="Calibri" w:eastAsia="Calibri" w:hAnsi="Calibri" w:cs="Calibri"/>
                <w:bCs/>
                <w:sz w:val="22"/>
                <w:szCs w:val="22"/>
              </w:rPr>
              <w:t>clinical and consumer groups</w:t>
            </w:r>
            <w:r>
              <w:rPr>
                <w:rFonts w:ascii="Calibri" w:eastAsia="Calibri" w:hAnsi="Calibri" w:cs="Calibri"/>
                <w:bCs/>
                <w:sz w:val="22"/>
                <w:szCs w:val="22"/>
              </w:rPr>
              <w:t xml:space="preserve"> to </w:t>
            </w:r>
            <w:r w:rsidR="00A619ED">
              <w:rPr>
                <w:rFonts w:ascii="Calibri" w:eastAsia="Calibri" w:hAnsi="Calibri" w:cs="Calibri"/>
                <w:bCs/>
                <w:sz w:val="22"/>
                <w:szCs w:val="22"/>
              </w:rPr>
              <w:t xml:space="preserve">inform PBAC’s future considerations and </w:t>
            </w:r>
            <w:r>
              <w:rPr>
                <w:rFonts w:ascii="Calibri" w:eastAsia="Calibri" w:hAnsi="Calibri" w:cs="Calibri"/>
                <w:bCs/>
                <w:sz w:val="22"/>
                <w:szCs w:val="22"/>
              </w:rPr>
              <w:t>e</w:t>
            </w:r>
            <w:r w:rsidR="00FD1BC0" w:rsidRPr="00FD1BC0">
              <w:rPr>
                <w:rFonts w:ascii="Calibri" w:eastAsia="Calibri" w:hAnsi="Calibri" w:cs="Calibri"/>
                <w:bCs/>
                <w:sz w:val="22"/>
                <w:szCs w:val="22"/>
              </w:rPr>
              <w:t xml:space="preserve">stimate the financial impact of </w:t>
            </w:r>
            <w:r>
              <w:rPr>
                <w:rFonts w:ascii="Calibri" w:eastAsia="Calibri" w:hAnsi="Calibri" w:cs="Calibri"/>
                <w:bCs/>
                <w:sz w:val="22"/>
                <w:szCs w:val="22"/>
              </w:rPr>
              <w:t>a</w:t>
            </w:r>
            <w:r w:rsidRPr="00FD1BC0">
              <w:rPr>
                <w:rFonts w:ascii="Calibri" w:eastAsia="Calibri" w:hAnsi="Calibri" w:cs="Calibri"/>
                <w:bCs/>
                <w:sz w:val="22"/>
                <w:szCs w:val="22"/>
              </w:rPr>
              <w:t xml:space="preserve"> </w:t>
            </w:r>
            <w:r w:rsidR="00FD1BC0" w:rsidRPr="00FD1BC0">
              <w:rPr>
                <w:rFonts w:ascii="Calibri" w:eastAsia="Calibri" w:hAnsi="Calibri" w:cs="Calibri"/>
                <w:bCs/>
                <w:sz w:val="22"/>
                <w:szCs w:val="22"/>
              </w:rPr>
              <w:t>potential Palliative Care Schedule listing</w:t>
            </w:r>
            <w:r>
              <w:rPr>
                <w:rFonts w:ascii="Calibri" w:eastAsia="Calibri" w:hAnsi="Calibri" w:cs="Calibri"/>
                <w:bCs/>
                <w:sz w:val="22"/>
                <w:szCs w:val="22"/>
              </w:rPr>
              <w:t xml:space="preserve"> for </w:t>
            </w:r>
            <w:r w:rsidRPr="00ED16C6">
              <w:rPr>
                <w:rFonts w:ascii="Calibri" w:eastAsia="Calibri" w:hAnsi="Calibri" w:cs="Calibri"/>
                <w:sz w:val="22"/>
                <w:szCs w:val="22"/>
              </w:rPr>
              <w:t>midazolam</w:t>
            </w:r>
            <w:r w:rsidR="006F51C3">
              <w:rPr>
                <w:rFonts w:ascii="Calibri" w:eastAsia="Calibri" w:hAnsi="Calibri" w:cs="Calibri"/>
                <w:bCs/>
                <w:sz w:val="22"/>
                <w:szCs w:val="22"/>
              </w:rPr>
              <w:t>.</w:t>
            </w:r>
          </w:p>
        </w:tc>
        <w:tc>
          <w:tcPr>
            <w:tcW w:w="2780" w:type="dxa"/>
            <w:tcBorders>
              <w:top w:val="single" w:sz="8" w:space="0" w:color="auto"/>
              <w:left w:val="single" w:sz="8" w:space="0" w:color="auto"/>
              <w:bottom w:val="single" w:sz="8" w:space="0" w:color="auto"/>
              <w:right w:val="single" w:sz="8" w:space="0" w:color="auto"/>
            </w:tcBorders>
            <w:tcMar>
              <w:left w:w="108" w:type="dxa"/>
              <w:right w:w="108" w:type="dxa"/>
            </w:tcMar>
          </w:tcPr>
          <w:p w14:paraId="4017BB30" w14:textId="6D0366F8" w:rsidR="007730AF" w:rsidRPr="4A6F1CD6" w:rsidRDefault="007730AF" w:rsidP="007730AF">
            <w:pPr>
              <w:pStyle w:val="ListParagraph"/>
              <w:numPr>
                <w:ilvl w:val="0"/>
                <w:numId w:val="6"/>
              </w:numPr>
              <w:ind w:left="360"/>
              <w:rPr>
                <w:rFonts w:ascii="Calibri" w:eastAsia="Calibri" w:hAnsi="Calibri" w:cs="Calibri"/>
                <w:sz w:val="22"/>
                <w:szCs w:val="22"/>
              </w:rPr>
            </w:pPr>
            <w:r>
              <w:rPr>
                <w:rFonts w:ascii="Calibri" w:eastAsia="Calibri" w:hAnsi="Calibri" w:cs="Calibri"/>
                <w:sz w:val="22"/>
                <w:szCs w:val="22"/>
              </w:rPr>
              <w:t xml:space="preserve">Midazolam </w:t>
            </w:r>
          </w:p>
        </w:tc>
      </w:tr>
      <w:tr w:rsidR="007730AF" w14:paraId="7EF68BF6" w14:textId="77777777" w:rsidTr="008F6D3C">
        <w:trPr>
          <w:trHeight w:val="300"/>
        </w:trPr>
        <w:tc>
          <w:tcPr>
            <w:tcW w:w="2542" w:type="dxa"/>
            <w:tcBorders>
              <w:top w:val="single" w:sz="8" w:space="0" w:color="auto"/>
              <w:left w:val="single" w:sz="8" w:space="0" w:color="auto"/>
              <w:bottom w:val="single" w:sz="8" w:space="0" w:color="auto"/>
              <w:right w:val="single" w:sz="8" w:space="0" w:color="auto"/>
            </w:tcBorders>
            <w:tcMar>
              <w:left w:w="108" w:type="dxa"/>
              <w:right w:w="108" w:type="dxa"/>
            </w:tcMar>
          </w:tcPr>
          <w:p w14:paraId="4C506C4A" w14:textId="231DD631" w:rsidR="007730AF" w:rsidRPr="4A6F1CD6" w:rsidRDefault="009A481B" w:rsidP="007730AF">
            <w:pPr>
              <w:rPr>
                <w:rFonts w:ascii="Calibri" w:eastAsia="Calibri" w:hAnsi="Calibri" w:cs="Calibri"/>
                <w:sz w:val="22"/>
                <w:szCs w:val="22"/>
              </w:rPr>
            </w:pPr>
            <w:r>
              <w:rPr>
                <w:rFonts w:ascii="Calibri" w:eastAsia="Calibri" w:hAnsi="Calibri" w:cs="Calibri"/>
                <w:sz w:val="22"/>
                <w:szCs w:val="22"/>
              </w:rPr>
              <w:t>R</w:t>
            </w:r>
            <w:r w:rsidRPr="009A481B">
              <w:rPr>
                <w:rFonts w:ascii="Calibri" w:eastAsia="Calibri" w:hAnsi="Calibri" w:cs="Calibri"/>
                <w:sz w:val="22"/>
                <w:szCs w:val="22"/>
              </w:rPr>
              <w:t>elapsing-remitting multiple sclerosis (RRMS)</w:t>
            </w:r>
          </w:p>
        </w:tc>
        <w:tc>
          <w:tcPr>
            <w:tcW w:w="8749" w:type="dxa"/>
            <w:tcBorders>
              <w:top w:val="single" w:sz="8" w:space="0" w:color="auto"/>
              <w:left w:val="single" w:sz="8" w:space="0" w:color="auto"/>
              <w:bottom w:val="single" w:sz="8" w:space="0" w:color="auto"/>
              <w:right w:val="single" w:sz="8" w:space="0" w:color="auto"/>
            </w:tcBorders>
            <w:tcMar>
              <w:left w:w="108" w:type="dxa"/>
              <w:right w:w="108" w:type="dxa"/>
            </w:tcMar>
          </w:tcPr>
          <w:p w14:paraId="101DCA02" w14:textId="2CC0147A" w:rsidR="007730AF" w:rsidRDefault="00CF4B62" w:rsidP="007730AF">
            <w:pPr>
              <w:spacing w:after="120"/>
              <w:rPr>
                <w:rFonts w:ascii="Calibri" w:eastAsia="Calibri" w:hAnsi="Calibri" w:cs="Calibri"/>
                <w:b/>
                <w:bCs/>
                <w:sz w:val="22"/>
                <w:szCs w:val="22"/>
              </w:rPr>
            </w:pPr>
            <w:r w:rsidRPr="00CF4B62">
              <w:rPr>
                <w:rFonts w:ascii="Calibri" w:eastAsia="Calibri" w:hAnsi="Calibri" w:cs="Calibri"/>
                <w:b/>
                <w:bCs/>
                <w:sz w:val="22"/>
                <w:szCs w:val="22"/>
              </w:rPr>
              <w:t xml:space="preserve">Treatments for </w:t>
            </w:r>
            <w:r w:rsidR="009A481B">
              <w:rPr>
                <w:rFonts w:ascii="Calibri" w:eastAsia="Calibri" w:hAnsi="Calibri" w:cs="Calibri"/>
                <w:b/>
                <w:bCs/>
                <w:sz w:val="22"/>
                <w:szCs w:val="22"/>
              </w:rPr>
              <w:t>RRMS</w:t>
            </w:r>
          </w:p>
          <w:p w14:paraId="5FA43719" w14:textId="77777777" w:rsidR="00CF4B62" w:rsidRDefault="00CF4B62" w:rsidP="00CF4B62">
            <w:pPr>
              <w:spacing w:after="120"/>
              <w:rPr>
                <w:rFonts w:ascii="Calibri" w:eastAsia="Calibri" w:hAnsi="Calibri" w:cs="Calibri"/>
                <w:b/>
                <w:bCs/>
                <w:sz w:val="22"/>
                <w:szCs w:val="22"/>
              </w:rPr>
            </w:pPr>
            <w:r>
              <w:rPr>
                <w:rFonts w:ascii="Calibri" w:eastAsia="Calibri" w:hAnsi="Calibri" w:cs="Calibri"/>
                <w:b/>
                <w:bCs/>
                <w:sz w:val="22"/>
                <w:szCs w:val="22"/>
              </w:rPr>
              <w:t>Background</w:t>
            </w:r>
          </w:p>
          <w:p w14:paraId="20D74B01" w14:textId="40754D24" w:rsidR="006E6346" w:rsidRDefault="006E6346" w:rsidP="006E6346">
            <w:pPr>
              <w:spacing w:after="120"/>
              <w:rPr>
                <w:rFonts w:ascii="Calibri" w:eastAsia="Calibri" w:hAnsi="Calibri" w:cs="Calibri"/>
                <w:sz w:val="22"/>
                <w:szCs w:val="22"/>
              </w:rPr>
            </w:pPr>
            <w:r w:rsidRPr="00ED16C6">
              <w:rPr>
                <w:rFonts w:ascii="Calibri" w:eastAsia="Calibri" w:hAnsi="Calibri" w:cs="Calibri"/>
                <w:sz w:val="22"/>
                <w:szCs w:val="22"/>
              </w:rPr>
              <w:t xml:space="preserve">Fingolimod was the first oral drug for the treatment of relapsing-remitting multiple sclerosis (RRMS) listed on the PBS. Other high-efficacy disease-modifying therapies (DMTs) for the treatment of RRMS (apart from alemtuzumab and natalizumab) have been recommended for a </w:t>
            </w:r>
            <w:r w:rsidRPr="00ED16C6">
              <w:rPr>
                <w:rFonts w:ascii="Calibri" w:eastAsia="Calibri" w:hAnsi="Calibri" w:cs="Calibri"/>
                <w:sz w:val="22"/>
                <w:szCs w:val="22"/>
              </w:rPr>
              <w:lastRenderedPageBreak/>
              <w:t xml:space="preserve">PBS listing on a cost-minimisation basis to fingolimod. All PBS-listed DMTs for RRMS are available as first-line treatment options. </w:t>
            </w:r>
          </w:p>
          <w:p w14:paraId="39E2A681" w14:textId="77777777" w:rsidR="00CF4B62" w:rsidRDefault="00CF4B62" w:rsidP="00CF4B62">
            <w:pPr>
              <w:spacing w:after="120"/>
              <w:rPr>
                <w:rFonts w:ascii="Calibri" w:eastAsia="Calibri" w:hAnsi="Calibri" w:cs="Calibri"/>
                <w:b/>
                <w:bCs/>
                <w:sz w:val="22"/>
                <w:szCs w:val="22"/>
              </w:rPr>
            </w:pPr>
            <w:r>
              <w:rPr>
                <w:rFonts w:ascii="Calibri" w:eastAsia="Calibri" w:hAnsi="Calibri" w:cs="Calibri"/>
                <w:b/>
                <w:bCs/>
                <w:sz w:val="22"/>
                <w:szCs w:val="22"/>
              </w:rPr>
              <w:t>Status</w:t>
            </w:r>
          </w:p>
          <w:p w14:paraId="0D783194" w14:textId="6BAA2577" w:rsidR="006E6346" w:rsidRDefault="006E6346" w:rsidP="00CF4B62">
            <w:pPr>
              <w:spacing w:after="120"/>
              <w:rPr>
                <w:rFonts w:ascii="Calibri" w:eastAsia="Calibri" w:hAnsi="Calibri" w:cs="Calibri"/>
                <w:b/>
                <w:bCs/>
                <w:sz w:val="22"/>
                <w:szCs w:val="22"/>
              </w:rPr>
            </w:pPr>
            <w:r>
              <w:rPr>
                <w:rFonts w:ascii="Calibri" w:eastAsia="Calibri" w:hAnsi="Calibri" w:cs="Calibri"/>
                <w:sz w:val="22"/>
                <w:szCs w:val="22"/>
              </w:rPr>
              <w:t>At its September 2024 meeting, t</w:t>
            </w:r>
            <w:r w:rsidRPr="006E6346">
              <w:rPr>
                <w:rFonts w:ascii="Calibri" w:eastAsia="Calibri" w:hAnsi="Calibri" w:cs="Calibri"/>
                <w:sz w:val="22"/>
                <w:szCs w:val="22"/>
              </w:rPr>
              <w:t>he PBAC noted that the PBS prices of high-efficacy DMTs for RRMS have diverged since the price reduction of fingolimod on 1 December 2022. The PBAC recalled that there is currently no PBS requirement for patients to trial less costly medicines for RRMS before moving to more expensive therapies. The PBAC noted that an analysis of the PBS market for RRMS medicines has not been undertaken for some time and advised that a utilisation analysis of the current market for PBS-listed medicines for RRMS, including information around the market share of fingolimod</w:t>
            </w:r>
            <w:r w:rsidR="00F33CCA">
              <w:rPr>
                <w:rFonts w:ascii="Calibri" w:eastAsia="Calibri" w:hAnsi="Calibri" w:cs="Calibri"/>
                <w:sz w:val="22"/>
                <w:szCs w:val="22"/>
              </w:rPr>
              <w:t>,</w:t>
            </w:r>
            <w:r w:rsidRPr="006E6346">
              <w:rPr>
                <w:rFonts w:ascii="Calibri" w:eastAsia="Calibri" w:hAnsi="Calibri" w:cs="Calibri"/>
                <w:sz w:val="22"/>
                <w:szCs w:val="22"/>
              </w:rPr>
              <w:t xml:space="preserve"> would be informative. </w:t>
            </w:r>
          </w:p>
          <w:p w14:paraId="12D311B8" w14:textId="5D83343F" w:rsidR="00CF4B62" w:rsidRDefault="00CF4B62" w:rsidP="00CF4B62">
            <w:pPr>
              <w:spacing w:after="120"/>
              <w:rPr>
                <w:rFonts w:ascii="Calibri" w:eastAsia="Calibri" w:hAnsi="Calibri" w:cs="Calibri"/>
                <w:b/>
                <w:bCs/>
                <w:sz w:val="22"/>
                <w:szCs w:val="22"/>
              </w:rPr>
            </w:pPr>
            <w:r>
              <w:rPr>
                <w:rFonts w:ascii="Calibri" w:eastAsia="Calibri" w:hAnsi="Calibri" w:cs="Calibri"/>
                <w:b/>
                <w:bCs/>
                <w:sz w:val="22"/>
                <w:szCs w:val="22"/>
              </w:rPr>
              <w:t>Next steps</w:t>
            </w:r>
          </w:p>
          <w:p w14:paraId="4457212F" w14:textId="7A892E3B" w:rsidR="009A481B" w:rsidRPr="005B6DBE" w:rsidRDefault="009A481B" w:rsidP="005B6DBE">
            <w:pPr>
              <w:spacing w:after="120"/>
              <w:rPr>
                <w:rFonts w:ascii="Calibri" w:eastAsia="Calibri" w:hAnsi="Calibri" w:cs="Calibri"/>
                <w:sz w:val="22"/>
                <w:szCs w:val="22"/>
              </w:rPr>
            </w:pPr>
            <w:r w:rsidRPr="005B6DBE">
              <w:rPr>
                <w:rFonts w:ascii="Calibri" w:eastAsia="Calibri" w:hAnsi="Calibri" w:cs="Calibri"/>
                <w:sz w:val="22"/>
                <w:szCs w:val="22"/>
              </w:rPr>
              <w:t>The Department will undertake a utilisation analysis of the current market for PBS-listed medicines for RRMS.</w:t>
            </w:r>
          </w:p>
        </w:tc>
        <w:tc>
          <w:tcPr>
            <w:tcW w:w="2780" w:type="dxa"/>
            <w:tcBorders>
              <w:top w:val="single" w:sz="8" w:space="0" w:color="auto"/>
              <w:left w:val="single" w:sz="8" w:space="0" w:color="auto"/>
              <w:bottom w:val="single" w:sz="8" w:space="0" w:color="auto"/>
              <w:right w:val="single" w:sz="8" w:space="0" w:color="auto"/>
            </w:tcBorders>
            <w:tcMar>
              <w:left w:w="108" w:type="dxa"/>
              <w:right w:w="108" w:type="dxa"/>
            </w:tcMar>
          </w:tcPr>
          <w:p w14:paraId="5DA0DACB" w14:textId="305B7AC1" w:rsidR="007730AF" w:rsidRPr="4A6F1CD6" w:rsidRDefault="006723F8" w:rsidP="005B6DBE">
            <w:pPr>
              <w:pStyle w:val="ListParagraph"/>
              <w:ind w:left="360"/>
              <w:rPr>
                <w:rFonts w:ascii="Calibri" w:eastAsia="Calibri" w:hAnsi="Calibri" w:cs="Calibri"/>
                <w:sz w:val="22"/>
                <w:szCs w:val="22"/>
              </w:rPr>
            </w:pPr>
            <w:r>
              <w:rPr>
                <w:rFonts w:ascii="Calibri" w:eastAsia="Calibri" w:hAnsi="Calibri" w:cs="Calibri"/>
                <w:sz w:val="22"/>
                <w:szCs w:val="22"/>
              </w:rPr>
              <w:lastRenderedPageBreak/>
              <w:t>PBS-listed medicines for RRMS</w:t>
            </w:r>
          </w:p>
        </w:tc>
      </w:tr>
    </w:tbl>
    <w:p w14:paraId="2DE4A896" w14:textId="0D4836EA" w:rsidR="4A6F1CD6" w:rsidRDefault="4A6F1CD6" w:rsidP="4A6F1CD6">
      <w:pPr>
        <w:pStyle w:val="3Bodytext"/>
        <w:numPr>
          <w:ilvl w:val="0"/>
          <w:numId w:val="0"/>
        </w:numPr>
        <w:rPr>
          <w:i/>
          <w:iCs/>
        </w:rPr>
      </w:pPr>
    </w:p>
    <w:p w14:paraId="20AAC8CB" w14:textId="042F8250" w:rsidR="0060698C" w:rsidRPr="00DB0E3D" w:rsidRDefault="0060698C" w:rsidP="00ED16C6">
      <w:pPr>
        <w:keepNext/>
        <w:spacing w:after="120" w:line="240" w:lineRule="auto"/>
        <w:outlineLvl w:val="0"/>
        <w:rPr>
          <w:sz w:val="2"/>
          <w:szCs w:val="2"/>
        </w:rPr>
      </w:pPr>
    </w:p>
    <w:sectPr w:rsidR="0060698C" w:rsidRPr="00DB0E3D" w:rsidSect="00DB0E3D">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72A76" w14:textId="77777777" w:rsidR="00467DFF" w:rsidRDefault="00467DFF" w:rsidP="0050457A">
      <w:r>
        <w:separator/>
      </w:r>
    </w:p>
    <w:p w14:paraId="0EB4E409" w14:textId="77777777" w:rsidR="00467DFF" w:rsidRDefault="00467DFF" w:rsidP="0050457A"/>
  </w:endnote>
  <w:endnote w:type="continuationSeparator" w:id="0">
    <w:p w14:paraId="3A722508" w14:textId="77777777" w:rsidR="00467DFF" w:rsidRDefault="00467DFF" w:rsidP="0050457A">
      <w:r>
        <w:continuationSeparator/>
      </w:r>
    </w:p>
    <w:p w14:paraId="48037DAC" w14:textId="77777777" w:rsidR="00467DFF" w:rsidRDefault="00467DFF" w:rsidP="005045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A9E95" w14:textId="09A42B0A" w:rsidR="001F7885" w:rsidRDefault="001F7885" w:rsidP="0050457A">
    <w:pPr>
      <w:pStyle w:val="Footer"/>
    </w:pPr>
  </w:p>
  <w:p w14:paraId="52209FFC" w14:textId="15B5A654" w:rsidR="00DA62D8" w:rsidRPr="001F7885" w:rsidRDefault="00DA62D8" w:rsidP="0050457A">
    <w:pPr>
      <w:pStyle w:val="Footer"/>
    </w:pPr>
    <w:r w:rsidRPr="001F7885">
      <w:fldChar w:fldCharType="begin"/>
    </w:r>
    <w:r w:rsidRPr="001F7885">
      <w:instrText xml:space="preserve"> PAGE   \* MERGEFORMAT </w:instrText>
    </w:r>
    <w:r w:rsidRPr="001F7885">
      <w:fldChar w:fldCharType="separate"/>
    </w:r>
    <w:r w:rsidRPr="001F7885">
      <w:rPr>
        <w:noProof/>
      </w:rPr>
      <w:t>1</w:t>
    </w:r>
    <w:r w:rsidRPr="001F7885">
      <w:rPr>
        <w:noProof/>
      </w:rPr>
      <w:fldChar w:fldCharType="end"/>
    </w:r>
  </w:p>
  <w:p w14:paraId="07370FB5" w14:textId="77777777" w:rsidR="00B9582A" w:rsidRDefault="00B9582A" w:rsidP="005045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4EE2D" w14:textId="77777777" w:rsidR="00467DFF" w:rsidRDefault="00467DFF" w:rsidP="0050457A">
      <w:r>
        <w:separator/>
      </w:r>
    </w:p>
    <w:p w14:paraId="4B823333" w14:textId="77777777" w:rsidR="00467DFF" w:rsidRDefault="00467DFF" w:rsidP="0050457A"/>
  </w:footnote>
  <w:footnote w:type="continuationSeparator" w:id="0">
    <w:p w14:paraId="751E566B" w14:textId="77777777" w:rsidR="00467DFF" w:rsidRDefault="00467DFF" w:rsidP="0050457A">
      <w:r>
        <w:continuationSeparator/>
      </w:r>
    </w:p>
    <w:p w14:paraId="27E63099" w14:textId="77777777" w:rsidR="00467DFF" w:rsidRDefault="00467DFF" w:rsidP="005045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3069E"/>
    <w:multiLevelType w:val="hybridMultilevel"/>
    <w:tmpl w:val="9530FC1C"/>
    <w:lvl w:ilvl="0" w:tplc="0C090001">
      <w:start w:val="1"/>
      <w:numFmt w:val="bullet"/>
      <w:lvlText w:val=""/>
      <w:lvlJc w:val="left"/>
      <w:pPr>
        <w:ind w:left="113" w:hanging="113"/>
      </w:pPr>
      <w:rPr>
        <w:rFonts w:ascii="Symbol" w:hAnsi="Symbol" w:hint="default"/>
      </w:rPr>
    </w:lvl>
    <w:lvl w:ilvl="1" w:tplc="FFFFFFFF">
      <w:start w:val="1"/>
      <w:numFmt w:val="decimal"/>
      <w:lvlText w:val="%2."/>
      <w:lvlJc w:val="left"/>
      <w:pPr>
        <w:ind w:left="1080" w:hanging="360"/>
      </w:pPr>
    </w:lvl>
    <w:lvl w:ilvl="2" w:tplc="FFFFFFFF">
      <w:start w:val="1"/>
      <w:numFmt w:val="bullet"/>
      <w:lvlText w:val="o"/>
      <w:lvlJc w:val="left"/>
      <w:pPr>
        <w:ind w:left="1800" w:hanging="360"/>
      </w:pPr>
      <w:rPr>
        <w:rFonts w:ascii="Courier New" w:hAnsi="Courier New" w:cs="Courier New" w:hint="default"/>
      </w:rPr>
    </w:lvl>
    <w:lvl w:ilvl="3" w:tplc="FFFFFFFF">
      <w:numFmt w:val="bullet"/>
      <w:lvlText w:val="-"/>
      <w:lvlJc w:val="left"/>
      <w:pPr>
        <w:ind w:left="2520" w:hanging="360"/>
      </w:pPr>
      <w:rPr>
        <w:rFonts w:ascii="Arial Narrow" w:eastAsiaTheme="minorHAnsi" w:hAnsi="Arial Narrow" w:cstheme="minorBidi"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809D6AF"/>
    <w:multiLevelType w:val="hybridMultilevel"/>
    <w:tmpl w:val="ACBC1CEE"/>
    <w:lvl w:ilvl="0" w:tplc="3C4A4C96">
      <w:start w:val="1"/>
      <w:numFmt w:val="bullet"/>
      <w:lvlText w:val="·"/>
      <w:lvlJc w:val="left"/>
      <w:pPr>
        <w:ind w:left="720" w:hanging="360"/>
      </w:pPr>
      <w:rPr>
        <w:rFonts w:ascii="Symbol" w:hAnsi="Symbol" w:hint="default"/>
      </w:rPr>
    </w:lvl>
    <w:lvl w:ilvl="1" w:tplc="97204ED0">
      <w:start w:val="1"/>
      <w:numFmt w:val="bullet"/>
      <w:lvlText w:val="o"/>
      <w:lvlJc w:val="left"/>
      <w:pPr>
        <w:ind w:left="1440" w:hanging="360"/>
      </w:pPr>
      <w:rPr>
        <w:rFonts w:ascii="Courier New" w:hAnsi="Courier New" w:hint="default"/>
      </w:rPr>
    </w:lvl>
    <w:lvl w:ilvl="2" w:tplc="D8585E08">
      <w:start w:val="1"/>
      <w:numFmt w:val="bullet"/>
      <w:lvlText w:val=""/>
      <w:lvlJc w:val="left"/>
      <w:pPr>
        <w:ind w:left="2160" w:hanging="360"/>
      </w:pPr>
      <w:rPr>
        <w:rFonts w:ascii="Wingdings" w:hAnsi="Wingdings" w:hint="default"/>
      </w:rPr>
    </w:lvl>
    <w:lvl w:ilvl="3" w:tplc="DD521776">
      <w:start w:val="1"/>
      <w:numFmt w:val="bullet"/>
      <w:lvlText w:val=""/>
      <w:lvlJc w:val="left"/>
      <w:pPr>
        <w:ind w:left="2880" w:hanging="360"/>
      </w:pPr>
      <w:rPr>
        <w:rFonts w:ascii="Symbol" w:hAnsi="Symbol" w:hint="default"/>
      </w:rPr>
    </w:lvl>
    <w:lvl w:ilvl="4" w:tplc="50B6EE20">
      <w:start w:val="1"/>
      <w:numFmt w:val="bullet"/>
      <w:lvlText w:val="o"/>
      <w:lvlJc w:val="left"/>
      <w:pPr>
        <w:ind w:left="3600" w:hanging="360"/>
      </w:pPr>
      <w:rPr>
        <w:rFonts w:ascii="Courier New" w:hAnsi="Courier New" w:hint="default"/>
      </w:rPr>
    </w:lvl>
    <w:lvl w:ilvl="5" w:tplc="CC4AE87E">
      <w:start w:val="1"/>
      <w:numFmt w:val="bullet"/>
      <w:lvlText w:val=""/>
      <w:lvlJc w:val="left"/>
      <w:pPr>
        <w:ind w:left="4320" w:hanging="360"/>
      </w:pPr>
      <w:rPr>
        <w:rFonts w:ascii="Wingdings" w:hAnsi="Wingdings" w:hint="default"/>
      </w:rPr>
    </w:lvl>
    <w:lvl w:ilvl="6" w:tplc="EB9A08F2">
      <w:start w:val="1"/>
      <w:numFmt w:val="bullet"/>
      <w:lvlText w:val=""/>
      <w:lvlJc w:val="left"/>
      <w:pPr>
        <w:ind w:left="5040" w:hanging="360"/>
      </w:pPr>
      <w:rPr>
        <w:rFonts w:ascii="Symbol" w:hAnsi="Symbol" w:hint="default"/>
      </w:rPr>
    </w:lvl>
    <w:lvl w:ilvl="7" w:tplc="81088522">
      <w:start w:val="1"/>
      <w:numFmt w:val="bullet"/>
      <w:lvlText w:val="o"/>
      <w:lvlJc w:val="left"/>
      <w:pPr>
        <w:ind w:left="5760" w:hanging="360"/>
      </w:pPr>
      <w:rPr>
        <w:rFonts w:ascii="Courier New" w:hAnsi="Courier New" w:hint="default"/>
      </w:rPr>
    </w:lvl>
    <w:lvl w:ilvl="8" w:tplc="EB803584">
      <w:start w:val="1"/>
      <w:numFmt w:val="bullet"/>
      <w:lvlText w:val=""/>
      <w:lvlJc w:val="left"/>
      <w:pPr>
        <w:ind w:left="6480" w:hanging="360"/>
      </w:pPr>
      <w:rPr>
        <w:rFonts w:ascii="Wingdings" w:hAnsi="Wingdings" w:hint="default"/>
      </w:rPr>
    </w:lvl>
  </w:abstractNum>
  <w:abstractNum w:abstractNumId="2" w15:restartNumberingAfterBreak="0">
    <w:nsid w:val="23634A2D"/>
    <w:multiLevelType w:val="hybridMultilevel"/>
    <w:tmpl w:val="37C015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693BD7"/>
    <w:multiLevelType w:val="hybridMultilevel"/>
    <w:tmpl w:val="841CBD00"/>
    <w:lvl w:ilvl="0" w:tplc="FFFFFFFF">
      <w:numFmt w:val="bullet"/>
      <w:lvlText w:val="-"/>
      <w:lvlJc w:val="left"/>
      <w:pPr>
        <w:ind w:left="113" w:hanging="113"/>
      </w:pPr>
      <w:rPr>
        <w:rFonts w:ascii="Arial Narrow" w:eastAsiaTheme="minorHAnsi" w:hAnsi="Arial Narrow" w:cstheme="minorBidi" w:hint="default"/>
      </w:rPr>
    </w:lvl>
    <w:lvl w:ilvl="1" w:tplc="0C09000F">
      <w:start w:val="1"/>
      <w:numFmt w:val="decimal"/>
      <w:lvlText w:val="%2."/>
      <w:lvlJc w:val="left"/>
      <w:pPr>
        <w:ind w:left="1080" w:hanging="360"/>
      </w:pPr>
    </w:lvl>
    <w:lvl w:ilvl="2" w:tplc="FFFFFFFF">
      <w:start w:val="1"/>
      <w:numFmt w:val="bullet"/>
      <w:lvlText w:val="o"/>
      <w:lvlJc w:val="left"/>
      <w:pPr>
        <w:ind w:left="1800" w:hanging="360"/>
      </w:pPr>
      <w:rPr>
        <w:rFonts w:ascii="Courier New" w:hAnsi="Courier New" w:cs="Courier New" w:hint="default"/>
      </w:rPr>
    </w:lvl>
    <w:lvl w:ilvl="3" w:tplc="FFFFFFFF">
      <w:numFmt w:val="bullet"/>
      <w:lvlText w:val="-"/>
      <w:lvlJc w:val="left"/>
      <w:pPr>
        <w:ind w:left="2520" w:hanging="360"/>
      </w:pPr>
      <w:rPr>
        <w:rFonts w:ascii="Arial Narrow" w:eastAsiaTheme="minorHAnsi" w:hAnsi="Arial Narrow" w:cstheme="minorBidi"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3EF502EB"/>
    <w:multiLevelType w:val="hybridMultilevel"/>
    <w:tmpl w:val="38BAB4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F8C7452"/>
    <w:multiLevelType w:val="hybridMultilevel"/>
    <w:tmpl w:val="4A449BE8"/>
    <w:lvl w:ilvl="0" w:tplc="AD4245D8">
      <w:start w:val="1"/>
      <w:numFmt w:val="bullet"/>
      <w:lvlText w:val="·"/>
      <w:lvlJc w:val="left"/>
      <w:pPr>
        <w:ind w:left="720" w:hanging="360"/>
      </w:pPr>
      <w:rPr>
        <w:rFonts w:ascii="Symbol" w:hAnsi="Symbol" w:hint="default"/>
      </w:rPr>
    </w:lvl>
    <w:lvl w:ilvl="1" w:tplc="E8D4CBB2">
      <w:start w:val="1"/>
      <w:numFmt w:val="bullet"/>
      <w:lvlText w:val="o"/>
      <w:lvlJc w:val="left"/>
      <w:pPr>
        <w:ind w:left="1440" w:hanging="360"/>
      </w:pPr>
      <w:rPr>
        <w:rFonts w:ascii="Courier New" w:hAnsi="Courier New" w:hint="default"/>
      </w:rPr>
    </w:lvl>
    <w:lvl w:ilvl="2" w:tplc="10C01042">
      <w:start w:val="1"/>
      <w:numFmt w:val="bullet"/>
      <w:lvlText w:val=""/>
      <w:lvlJc w:val="left"/>
      <w:pPr>
        <w:ind w:left="2160" w:hanging="360"/>
      </w:pPr>
      <w:rPr>
        <w:rFonts w:ascii="Wingdings" w:hAnsi="Wingdings" w:hint="default"/>
      </w:rPr>
    </w:lvl>
    <w:lvl w:ilvl="3" w:tplc="F08E3604">
      <w:start w:val="1"/>
      <w:numFmt w:val="bullet"/>
      <w:lvlText w:val=""/>
      <w:lvlJc w:val="left"/>
      <w:pPr>
        <w:ind w:left="2880" w:hanging="360"/>
      </w:pPr>
      <w:rPr>
        <w:rFonts w:ascii="Symbol" w:hAnsi="Symbol" w:hint="default"/>
      </w:rPr>
    </w:lvl>
    <w:lvl w:ilvl="4" w:tplc="B61E31EA">
      <w:start w:val="1"/>
      <w:numFmt w:val="bullet"/>
      <w:lvlText w:val="o"/>
      <w:lvlJc w:val="left"/>
      <w:pPr>
        <w:ind w:left="3600" w:hanging="360"/>
      </w:pPr>
      <w:rPr>
        <w:rFonts w:ascii="Courier New" w:hAnsi="Courier New" w:hint="default"/>
      </w:rPr>
    </w:lvl>
    <w:lvl w:ilvl="5" w:tplc="3558C3B0">
      <w:start w:val="1"/>
      <w:numFmt w:val="bullet"/>
      <w:lvlText w:val=""/>
      <w:lvlJc w:val="left"/>
      <w:pPr>
        <w:ind w:left="4320" w:hanging="360"/>
      </w:pPr>
      <w:rPr>
        <w:rFonts w:ascii="Wingdings" w:hAnsi="Wingdings" w:hint="default"/>
      </w:rPr>
    </w:lvl>
    <w:lvl w:ilvl="6" w:tplc="D3725B1A">
      <w:start w:val="1"/>
      <w:numFmt w:val="bullet"/>
      <w:lvlText w:val=""/>
      <w:lvlJc w:val="left"/>
      <w:pPr>
        <w:ind w:left="5040" w:hanging="360"/>
      </w:pPr>
      <w:rPr>
        <w:rFonts w:ascii="Symbol" w:hAnsi="Symbol" w:hint="default"/>
      </w:rPr>
    </w:lvl>
    <w:lvl w:ilvl="7" w:tplc="4A449F1A">
      <w:start w:val="1"/>
      <w:numFmt w:val="bullet"/>
      <w:lvlText w:val="o"/>
      <w:lvlJc w:val="left"/>
      <w:pPr>
        <w:ind w:left="5760" w:hanging="360"/>
      </w:pPr>
      <w:rPr>
        <w:rFonts w:ascii="Courier New" w:hAnsi="Courier New" w:hint="default"/>
      </w:rPr>
    </w:lvl>
    <w:lvl w:ilvl="8" w:tplc="4874FAA0">
      <w:start w:val="1"/>
      <w:numFmt w:val="bullet"/>
      <w:lvlText w:val=""/>
      <w:lvlJc w:val="left"/>
      <w:pPr>
        <w:ind w:left="6480" w:hanging="360"/>
      </w:pPr>
      <w:rPr>
        <w:rFonts w:ascii="Wingdings" w:hAnsi="Wingdings" w:hint="default"/>
      </w:rPr>
    </w:lvl>
  </w:abstractNum>
  <w:abstractNum w:abstractNumId="6" w15:restartNumberingAfterBreak="0">
    <w:nsid w:val="426EE30A"/>
    <w:multiLevelType w:val="hybridMultilevel"/>
    <w:tmpl w:val="DB5E590C"/>
    <w:lvl w:ilvl="0" w:tplc="BAD2A248">
      <w:start w:val="1"/>
      <w:numFmt w:val="bullet"/>
      <w:lvlText w:val="·"/>
      <w:lvlJc w:val="left"/>
      <w:pPr>
        <w:ind w:left="720" w:hanging="360"/>
      </w:pPr>
      <w:rPr>
        <w:rFonts w:ascii="Symbol" w:hAnsi="Symbol" w:hint="default"/>
      </w:rPr>
    </w:lvl>
    <w:lvl w:ilvl="1" w:tplc="367ED7C0">
      <w:start w:val="1"/>
      <w:numFmt w:val="bullet"/>
      <w:lvlText w:val="o"/>
      <w:lvlJc w:val="left"/>
      <w:pPr>
        <w:ind w:left="1440" w:hanging="360"/>
      </w:pPr>
      <w:rPr>
        <w:rFonts w:ascii="Courier New" w:hAnsi="Courier New" w:hint="default"/>
      </w:rPr>
    </w:lvl>
    <w:lvl w:ilvl="2" w:tplc="89ECCAA4">
      <w:start w:val="1"/>
      <w:numFmt w:val="bullet"/>
      <w:lvlText w:val=""/>
      <w:lvlJc w:val="left"/>
      <w:pPr>
        <w:ind w:left="2160" w:hanging="360"/>
      </w:pPr>
      <w:rPr>
        <w:rFonts w:ascii="Wingdings" w:hAnsi="Wingdings" w:hint="default"/>
      </w:rPr>
    </w:lvl>
    <w:lvl w:ilvl="3" w:tplc="94A02842">
      <w:start w:val="1"/>
      <w:numFmt w:val="bullet"/>
      <w:lvlText w:val=""/>
      <w:lvlJc w:val="left"/>
      <w:pPr>
        <w:ind w:left="2880" w:hanging="360"/>
      </w:pPr>
      <w:rPr>
        <w:rFonts w:ascii="Symbol" w:hAnsi="Symbol" w:hint="default"/>
      </w:rPr>
    </w:lvl>
    <w:lvl w:ilvl="4" w:tplc="DD520E0A">
      <w:start w:val="1"/>
      <w:numFmt w:val="bullet"/>
      <w:lvlText w:val="o"/>
      <w:lvlJc w:val="left"/>
      <w:pPr>
        <w:ind w:left="3600" w:hanging="360"/>
      </w:pPr>
      <w:rPr>
        <w:rFonts w:ascii="Courier New" w:hAnsi="Courier New" w:hint="default"/>
      </w:rPr>
    </w:lvl>
    <w:lvl w:ilvl="5" w:tplc="DBD4D442">
      <w:start w:val="1"/>
      <w:numFmt w:val="bullet"/>
      <w:lvlText w:val=""/>
      <w:lvlJc w:val="left"/>
      <w:pPr>
        <w:ind w:left="4320" w:hanging="360"/>
      </w:pPr>
      <w:rPr>
        <w:rFonts w:ascii="Wingdings" w:hAnsi="Wingdings" w:hint="default"/>
      </w:rPr>
    </w:lvl>
    <w:lvl w:ilvl="6" w:tplc="8910B812">
      <w:start w:val="1"/>
      <w:numFmt w:val="bullet"/>
      <w:lvlText w:val=""/>
      <w:lvlJc w:val="left"/>
      <w:pPr>
        <w:ind w:left="5040" w:hanging="360"/>
      </w:pPr>
      <w:rPr>
        <w:rFonts w:ascii="Symbol" w:hAnsi="Symbol" w:hint="default"/>
      </w:rPr>
    </w:lvl>
    <w:lvl w:ilvl="7" w:tplc="29EC858C">
      <w:start w:val="1"/>
      <w:numFmt w:val="bullet"/>
      <w:lvlText w:val="o"/>
      <w:lvlJc w:val="left"/>
      <w:pPr>
        <w:ind w:left="5760" w:hanging="360"/>
      </w:pPr>
      <w:rPr>
        <w:rFonts w:ascii="Courier New" w:hAnsi="Courier New" w:hint="default"/>
      </w:rPr>
    </w:lvl>
    <w:lvl w:ilvl="8" w:tplc="D3947AAC">
      <w:start w:val="1"/>
      <w:numFmt w:val="bullet"/>
      <w:lvlText w:val=""/>
      <w:lvlJc w:val="left"/>
      <w:pPr>
        <w:ind w:left="6480" w:hanging="360"/>
      </w:pPr>
      <w:rPr>
        <w:rFonts w:ascii="Wingdings" w:hAnsi="Wingdings" w:hint="default"/>
      </w:rPr>
    </w:lvl>
  </w:abstractNum>
  <w:abstractNum w:abstractNumId="7" w15:restartNumberingAfterBreak="0">
    <w:nsid w:val="51F369F7"/>
    <w:multiLevelType w:val="hybridMultilevel"/>
    <w:tmpl w:val="40D8F9E0"/>
    <w:lvl w:ilvl="0" w:tplc="9B6ACF22">
      <w:start w:val="1"/>
      <w:numFmt w:val="bullet"/>
      <w:lvlText w:val="·"/>
      <w:lvlJc w:val="left"/>
      <w:pPr>
        <w:ind w:left="720" w:hanging="360"/>
      </w:pPr>
      <w:rPr>
        <w:rFonts w:ascii="Symbol" w:hAnsi="Symbol" w:hint="default"/>
      </w:rPr>
    </w:lvl>
    <w:lvl w:ilvl="1" w:tplc="D6F2AD0E">
      <w:start w:val="1"/>
      <w:numFmt w:val="bullet"/>
      <w:lvlText w:val="o"/>
      <w:lvlJc w:val="left"/>
      <w:pPr>
        <w:ind w:left="1440" w:hanging="360"/>
      </w:pPr>
      <w:rPr>
        <w:rFonts w:ascii="Courier New" w:hAnsi="Courier New" w:hint="default"/>
      </w:rPr>
    </w:lvl>
    <w:lvl w:ilvl="2" w:tplc="77D4A440">
      <w:start w:val="1"/>
      <w:numFmt w:val="bullet"/>
      <w:lvlText w:val=""/>
      <w:lvlJc w:val="left"/>
      <w:pPr>
        <w:ind w:left="2160" w:hanging="360"/>
      </w:pPr>
      <w:rPr>
        <w:rFonts w:ascii="Wingdings" w:hAnsi="Wingdings" w:hint="default"/>
      </w:rPr>
    </w:lvl>
    <w:lvl w:ilvl="3" w:tplc="DB40C6F4">
      <w:start w:val="1"/>
      <w:numFmt w:val="bullet"/>
      <w:lvlText w:val=""/>
      <w:lvlJc w:val="left"/>
      <w:pPr>
        <w:ind w:left="2880" w:hanging="360"/>
      </w:pPr>
      <w:rPr>
        <w:rFonts w:ascii="Symbol" w:hAnsi="Symbol" w:hint="default"/>
      </w:rPr>
    </w:lvl>
    <w:lvl w:ilvl="4" w:tplc="2892BFE0">
      <w:start w:val="1"/>
      <w:numFmt w:val="bullet"/>
      <w:lvlText w:val="o"/>
      <w:lvlJc w:val="left"/>
      <w:pPr>
        <w:ind w:left="3600" w:hanging="360"/>
      </w:pPr>
      <w:rPr>
        <w:rFonts w:ascii="Courier New" w:hAnsi="Courier New" w:hint="default"/>
      </w:rPr>
    </w:lvl>
    <w:lvl w:ilvl="5" w:tplc="658ABABA">
      <w:start w:val="1"/>
      <w:numFmt w:val="bullet"/>
      <w:lvlText w:val=""/>
      <w:lvlJc w:val="left"/>
      <w:pPr>
        <w:ind w:left="4320" w:hanging="360"/>
      </w:pPr>
      <w:rPr>
        <w:rFonts w:ascii="Wingdings" w:hAnsi="Wingdings" w:hint="default"/>
      </w:rPr>
    </w:lvl>
    <w:lvl w:ilvl="6" w:tplc="1A5819CA">
      <w:start w:val="1"/>
      <w:numFmt w:val="bullet"/>
      <w:lvlText w:val=""/>
      <w:lvlJc w:val="left"/>
      <w:pPr>
        <w:ind w:left="5040" w:hanging="360"/>
      </w:pPr>
      <w:rPr>
        <w:rFonts w:ascii="Symbol" w:hAnsi="Symbol" w:hint="default"/>
      </w:rPr>
    </w:lvl>
    <w:lvl w:ilvl="7" w:tplc="DB4A4DB6">
      <w:start w:val="1"/>
      <w:numFmt w:val="bullet"/>
      <w:lvlText w:val="o"/>
      <w:lvlJc w:val="left"/>
      <w:pPr>
        <w:ind w:left="5760" w:hanging="360"/>
      </w:pPr>
      <w:rPr>
        <w:rFonts w:ascii="Courier New" w:hAnsi="Courier New" w:hint="default"/>
      </w:rPr>
    </w:lvl>
    <w:lvl w:ilvl="8" w:tplc="93DA93DA">
      <w:start w:val="1"/>
      <w:numFmt w:val="bullet"/>
      <w:lvlText w:val=""/>
      <w:lvlJc w:val="left"/>
      <w:pPr>
        <w:ind w:left="6480" w:hanging="360"/>
      </w:pPr>
      <w:rPr>
        <w:rFonts w:ascii="Wingdings" w:hAnsi="Wingdings" w:hint="default"/>
      </w:rPr>
    </w:lvl>
  </w:abstractNum>
  <w:abstractNum w:abstractNumId="8" w15:restartNumberingAfterBreak="0">
    <w:nsid w:val="5BFF7EF7"/>
    <w:multiLevelType w:val="hybridMultilevel"/>
    <w:tmpl w:val="1A5806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1874162"/>
    <w:multiLevelType w:val="hybridMultilevel"/>
    <w:tmpl w:val="2D6E3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C45B6E6"/>
    <w:multiLevelType w:val="hybridMultilevel"/>
    <w:tmpl w:val="63C6425A"/>
    <w:lvl w:ilvl="0" w:tplc="0896A47E">
      <w:start w:val="1"/>
      <w:numFmt w:val="bullet"/>
      <w:lvlText w:val="·"/>
      <w:lvlJc w:val="left"/>
      <w:pPr>
        <w:ind w:left="720" w:hanging="360"/>
      </w:pPr>
      <w:rPr>
        <w:rFonts w:ascii="Symbol" w:hAnsi="Symbol" w:hint="default"/>
      </w:rPr>
    </w:lvl>
    <w:lvl w:ilvl="1" w:tplc="F8AC9690">
      <w:start w:val="1"/>
      <w:numFmt w:val="bullet"/>
      <w:lvlText w:val="o"/>
      <w:lvlJc w:val="left"/>
      <w:pPr>
        <w:ind w:left="1440" w:hanging="360"/>
      </w:pPr>
      <w:rPr>
        <w:rFonts w:ascii="Courier New" w:hAnsi="Courier New" w:hint="default"/>
      </w:rPr>
    </w:lvl>
    <w:lvl w:ilvl="2" w:tplc="AA9A6D7E">
      <w:start w:val="1"/>
      <w:numFmt w:val="bullet"/>
      <w:lvlText w:val=""/>
      <w:lvlJc w:val="left"/>
      <w:pPr>
        <w:ind w:left="2160" w:hanging="360"/>
      </w:pPr>
      <w:rPr>
        <w:rFonts w:ascii="Wingdings" w:hAnsi="Wingdings" w:hint="default"/>
      </w:rPr>
    </w:lvl>
    <w:lvl w:ilvl="3" w:tplc="F2F8A34A">
      <w:start w:val="1"/>
      <w:numFmt w:val="bullet"/>
      <w:lvlText w:val=""/>
      <w:lvlJc w:val="left"/>
      <w:pPr>
        <w:ind w:left="2880" w:hanging="360"/>
      </w:pPr>
      <w:rPr>
        <w:rFonts w:ascii="Symbol" w:hAnsi="Symbol" w:hint="default"/>
      </w:rPr>
    </w:lvl>
    <w:lvl w:ilvl="4" w:tplc="DF22BFB8">
      <w:start w:val="1"/>
      <w:numFmt w:val="bullet"/>
      <w:lvlText w:val="o"/>
      <w:lvlJc w:val="left"/>
      <w:pPr>
        <w:ind w:left="3600" w:hanging="360"/>
      </w:pPr>
      <w:rPr>
        <w:rFonts w:ascii="Courier New" w:hAnsi="Courier New" w:hint="default"/>
      </w:rPr>
    </w:lvl>
    <w:lvl w:ilvl="5" w:tplc="74706894">
      <w:start w:val="1"/>
      <w:numFmt w:val="bullet"/>
      <w:lvlText w:val=""/>
      <w:lvlJc w:val="left"/>
      <w:pPr>
        <w:ind w:left="4320" w:hanging="360"/>
      </w:pPr>
      <w:rPr>
        <w:rFonts w:ascii="Wingdings" w:hAnsi="Wingdings" w:hint="default"/>
      </w:rPr>
    </w:lvl>
    <w:lvl w:ilvl="6" w:tplc="7B107C04">
      <w:start w:val="1"/>
      <w:numFmt w:val="bullet"/>
      <w:lvlText w:val=""/>
      <w:lvlJc w:val="left"/>
      <w:pPr>
        <w:ind w:left="5040" w:hanging="360"/>
      </w:pPr>
      <w:rPr>
        <w:rFonts w:ascii="Symbol" w:hAnsi="Symbol" w:hint="default"/>
      </w:rPr>
    </w:lvl>
    <w:lvl w:ilvl="7" w:tplc="42A4D9CA">
      <w:start w:val="1"/>
      <w:numFmt w:val="bullet"/>
      <w:lvlText w:val="o"/>
      <w:lvlJc w:val="left"/>
      <w:pPr>
        <w:ind w:left="5760" w:hanging="360"/>
      </w:pPr>
      <w:rPr>
        <w:rFonts w:ascii="Courier New" w:hAnsi="Courier New" w:hint="default"/>
      </w:rPr>
    </w:lvl>
    <w:lvl w:ilvl="8" w:tplc="CBC8329A">
      <w:start w:val="1"/>
      <w:numFmt w:val="bullet"/>
      <w:lvlText w:val=""/>
      <w:lvlJc w:val="left"/>
      <w:pPr>
        <w:ind w:left="6480" w:hanging="360"/>
      </w:pPr>
      <w:rPr>
        <w:rFonts w:ascii="Wingdings" w:hAnsi="Wingdings" w:hint="default"/>
      </w:rPr>
    </w:lvl>
  </w:abstractNum>
  <w:abstractNum w:abstractNumId="11" w15:restartNumberingAfterBreak="0">
    <w:nsid w:val="6CF453B3"/>
    <w:multiLevelType w:val="hybridMultilevel"/>
    <w:tmpl w:val="9C76C954"/>
    <w:lvl w:ilvl="0" w:tplc="2E6C470E">
      <w:start w:val="1"/>
      <w:numFmt w:val="bullet"/>
      <w:lvlText w:val="·"/>
      <w:lvlJc w:val="left"/>
      <w:pPr>
        <w:ind w:left="720" w:hanging="360"/>
      </w:pPr>
      <w:rPr>
        <w:rFonts w:ascii="Symbol" w:hAnsi="Symbol" w:hint="default"/>
      </w:rPr>
    </w:lvl>
    <w:lvl w:ilvl="1" w:tplc="69463B6A">
      <w:start w:val="1"/>
      <w:numFmt w:val="bullet"/>
      <w:lvlText w:val="o"/>
      <w:lvlJc w:val="left"/>
      <w:pPr>
        <w:ind w:left="1440" w:hanging="360"/>
      </w:pPr>
      <w:rPr>
        <w:rFonts w:ascii="Courier New" w:hAnsi="Courier New" w:hint="default"/>
      </w:rPr>
    </w:lvl>
    <w:lvl w:ilvl="2" w:tplc="A55C3540">
      <w:start w:val="1"/>
      <w:numFmt w:val="bullet"/>
      <w:lvlText w:val=""/>
      <w:lvlJc w:val="left"/>
      <w:pPr>
        <w:ind w:left="2160" w:hanging="360"/>
      </w:pPr>
      <w:rPr>
        <w:rFonts w:ascii="Wingdings" w:hAnsi="Wingdings" w:hint="default"/>
      </w:rPr>
    </w:lvl>
    <w:lvl w:ilvl="3" w:tplc="32EAB120">
      <w:start w:val="1"/>
      <w:numFmt w:val="bullet"/>
      <w:lvlText w:val=""/>
      <w:lvlJc w:val="left"/>
      <w:pPr>
        <w:ind w:left="2880" w:hanging="360"/>
      </w:pPr>
      <w:rPr>
        <w:rFonts w:ascii="Symbol" w:hAnsi="Symbol" w:hint="default"/>
      </w:rPr>
    </w:lvl>
    <w:lvl w:ilvl="4" w:tplc="AFBE8ED2">
      <w:start w:val="1"/>
      <w:numFmt w:val="bullet"/>
      <w:lvlText w:val="o"/>
      <w:lvlJc w:val="left"/>
      <w:pPr>
        <w:ind w:left="3600" w:hanging="360"/>
      </w:pPr>
      <w:rPr>
        <w:rFonts w:ascii="Courier New" w:hAnsi="Courier New" w:hint="default"/>
      </w:rPr>
    </w:lvl>
    <w:lvl w:ilvl="5" w:tplc="8F646EAA">
      <w:start w:val="1"/>
      <w:numFmt w:val="bullet"/>
      <w:lvlText w:val=""/>
      <w:lvlJc w:val="left"/>
      <w:pPr>
        <w:ind w:left="4320" w:hanging="360"/>
      </w:pPr>
      <w:rPr>
        <w:rFonts w:ascii="Wingdings" w:hAnsi="Wingdings" w:hint="default"/>
      </w:rPr>
    </w:lvl>
    <w:lvl w:ilvl="6" w:tplc="D884B8A8">
      <w:start w:val="1"/>
      <w:numFmt w:val="bullet"/>
      <w:lvlText w:val=""/>
      <w:lvlJc w:val="left"/>
      <w:pPr>
        <w:ind w:left="5040" w:hanging="360"/>
      </w:pPr>
      <w:rPr>
        <w:rFonts w:ascii="Symbol" w:hAnsi="Symbol" w:hint="default"/>
      </w:rPr>
    </w:lvl>
    <w:lvl w:ilvl="7" w:tplc="758270DC">
      <w:start w:val="1"/>
      <w:numFmt w:val="bullet"/>
      <w:lvlText w:val="o"/>
      <w:lvlJc w:val="left"/>
      <w:pPr>
        <w:ind w:left="5760" w:hanging="360"/>
      </w:pPr>
      <w:rPr>
        <w:rFonts w:ascii="Courier New" w:hAnsi="Courier New" w:hint="default"/>
      </w:rPr>
    </w:lvl>
    <w:lvl w:ilvl="8" w:tplc="300A7478">
      <w:start w:val="1"/>
      <w:numFmt w:val="bullet"/>
      <w:lvlText w:val=""/>
      <w:lvlJc w:val="left"/>
      <w:pPr>
        <w:ind w:left="6480" w:hanging="360"/>
      </w:pPr>
      <w:rPr>
        <w:rFonts w:ascii="Wingdings" w:hAnsi="Wingdings" w:hint="default"/>
      </w:rPr>
    </w:lvl>
  </w:abstractNum>
  <w:abstractNum w:abstractNumId="12" w15:restartNumberingAfterBreak="0">
    <w:nsid w:val="73A8D223"/>
    <w:multiLevelType w:val="hybridMultilevel"/>
    <w:tmpl w:val="5B00ACBA"/>
    <w:lvl w:ilvl="0" w:tplc="06C63684">
      <w:start w:val="1"/>
      <w:numFmt w:val="bullet"/>
      <w:lvlText w:val="·"/>
      <w:lvlJc w:val="left"/>
      <w:pPr>
        <w:ind w:left="720" w:hanging="360"/>
      </w:pPr>
      <w:rPr>
        <w:rFonts w:ascii="Symbol" w:hAnsi="Symbol" w:hint="default"/>
      </w:rPr>
    </w:lvl>
    <w:lvl w:ilvl="1" w:tplc="ECDA0A06">
      <w:start w:val="1"/>
      <w:numFmt w:val="bullet"/>
      <w:lvlText w:val="o"/>
      <w:lvlJc w:val="left"/>
      <w:pPr>
        <w:ind w:left="1440" w:hanging="360"/>
      </w:pPr>
      <w:rPr>
        <w:rFonts w:ascii="Courier New" w:hAnsi="Courier New" w:hint="default"/>
      </w:rPr>
    </w:lvl>
    <w:lvl w:ilvl="2" w:tplc="051ED044">
      <w:start w:val="1"/>
      <w:numFmt w:val="bullet"/>
      <w:lvlText w:val=""/>
      <w:lvlJc w:val="left"/>
      <w:pPr>
        <w:ind w:left="2160" w:hanging="360"/>
      </w:pPr>
      <w:rPr>
        <w:rFonts w:ascii="Wingdings" w:hAnsi="Wingdings" w:hint="default"/>
      </w:rPr>
    </w:lvl>
    <w:lvl w:ilvl="3" w:tplc="37729118">
      <w:start w:val="1"/>
      <w:numFmt w:val="bullet"/>
      <w:lvlText w:val=""/>
      <w:lvlJc w:val="left"/>
      <w:pPr>
        <w:ind w:left="2880" w:hanging="360"/>
      </w:pPr>
      <w:rPr>
        <w:rFonts w:ascii="Symbol" w:hAnsi="Symbol" w:hint="default"/>
      </w:rPr>
    </w:lvl>
    <w:lvl w:ilvl="4" w:tplc="E66EA8A4">
      <w:start w:val="1"/>
      <w:numFmt w:val="bullet"/>
      <w:lvlText w:val="o"/>
      <w:lvlJc w:val="left"/>
      <w:pPr>
        <w:ind w:left="3600" w:hanging="360"/>
      </w:pPr>
      <w:rPr>
        <w:rFonts w:ascii="Courier New" w:hAnsi="Courier New" w:hint="default"/>
      </w:rPr>
    </w:lvl>
    <w:lvl w:ilvl="5" w:tplc="41282C50">
      <w:start w:val="1"/>
      <w:numFmt w:val="bullet"/>
      <w:lvlText w:val=""/>
      <w:lvlJc w:val="left"/>
      <w:pPr>
        <w:ind w:left="4320" w:hanging="360"/>
      </w:pPr>
      <w:rPr>
        <w:rFonts w:ascii="Wingdings" w:hAnsi="Wingdings" w:hint="default"/>
      </w:rPr>
    </w:lvl>
    <w:lvl w:ilvl="6" w:tplc="8338A228">
      <w:start w:val="1"/>
      <w:numFmt w:val="bullet"/>
      <w:lvlText w:val=""/>
      <w:lvlJc w:val="left"/>
      <w:pPr>
        <w:ind w:left="5040" w:hanging="360"/>
      </w:pPr>
      <w:rPr>
        <w:rFonts w:ascii="Symbol" w:hAnsi="Symbol" w:hint="default"/>
      </w:rPr>
    </w:lvl>
    <w:lvl w:ilvl="7" w:tplc="88E419B8">
      <w:start w:val="1"/>
      <w:numFmt w:val="bullet"/>
      <w:lvlText w:val="o"/>
      <w:lvlJc w:val="left"/>
      <w:pPr>
        <w:ind w:left="5760" w:hanging="360"/>
      </w:pPr>
      <w:rPr>
        <w:rFonts w:ascii="Courier New" w:hAnsi="Courier New" w:hint="default"/>
      </w:rPr>
    </w:lvl>
    <w:lvl w:ilvl="8" w:tplc="266C4D68">
      <w:start w:val="1"/>
      <w:numFmt w:val="bullet"/>
      <w:lvlText w:val=""/>
      <w:lvlJc w:val="left"/>
      <w:pPr>
        <w:ind w:left="6480" w:hanging="360"/>
      </w:pPr>
      <w:rPr>
        <w:rFonts w:ascii="Wingdings" w:hAnsi="Wingdings" w:hint="default"/>
      </w:rPr>
    </w:lvl>
  </w:abstractNum>
  <w:abstractNum w:abstractNumId="13" w15:restartNumberingAfterBreak="0">
    <w:nsid w:val="784D033C"/>
    <w:multiLevelType w:val="multilevel"/>
    <w:tmpl w:val="95F8E3BA"/>
    <w:lvl w:ilvl="0">
      <w:start w:val="1"/>
      <w:numFmt w:val="decimal"/>
      <w:pStyle w:val="2Sections"/>
      <w:lvlText w:val="%1"/>
      <w:lvlJc w:val="left"/>
      <w:pPr>
        <w:ind w:left="720" w:hanging="720"/>
      </w:pPr>
      <w:rPr>
        <w:rFonts w:hint="default"/>
        <w:b/>
        <w:strike w:val="0"/>
      </w:rPr>
    </w:lvl>
    <w:lvl w:ilvl="1">
      <w:start w:val="1"/>
      <w:numFmt w:val="decimal"/>
      <w:pStyle w:val="3Bodytext"/>
      <w:lvlText w:val="%1.%2"/>
      <w:lvlJc w:val="left"/>
      <w:rPr>
        <w:rFonts w:asciiTheme="minorHAnsi" w:hAnsiTheme="minorHAnsi" w:cstheme="minorHAnsi"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B5C40BD"/>
    <w:multiLevelType w:val="hybridMultilevel"/>
    <w:tmpl w:val="C9D46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D7520DE"/>
    <w:multiLevelType w:val="hybridMultilevel"/>
    <w:tmpl w:val="2FF0793E"/>
    <w:lvl w:ilvl="0" w:tplc="D51AFFA8">
      <w:start w:val="1"/>
      <w:numFmt w:val="bullet"/>
      <w:lvlText w:val="·"/>
      <w:lvlJc w:val="left"/>
      <w:pPr>
        <w:ind w:left="720" w:hanging="360"/>
      </w:pPr>
      <w:rPr>
        <w:rFonts w:ascii="Symbol" w:hAnsi="Symbol" w:hint="default"/>
      </w:rPr>
    </w:lvl>
    <w:lvl w:ilvl="1" w:tplc="84B0B906">
      <w:start w:val="1"/>
      <w:numFmt w:val="bullet"/>
      <w:lvlText w:val="o"/>
      <w:lvlJc w:val="left"/>
      <w:pPr>
        <w:ind w:left="1440" w:hanging="360"/>
      </w:pPr>
      <w:rPr>
        <w:rFonts w:ascii="Courier New" w:hAnsi="Courier New" w:hint="default"/>
      </w:rPr>
    </w:lvl>
    <w:lvl w:ilvl="2" w:tplc="B3BA7D84">
      <w:start w:val="1"/>
      <w:numFmt w:val="bullet"/>
      <w:lvlText w:val=""/>
      <w:lvlJc w:val="left"/>
      <w:pPr>
        <w:ind w:left="2160" w:hanging="360"/>
      </w:pPr>
      <w:rPr>
        <w:rFonts w:ascii="Wingdings" w:hAnsi="Wingdings" w:hint="default"/>
      </w:rPr>
    </w:lvl>
    <w:lvl w:ilvl="3" w:tplc="A3D4A99E">
      <w:start w:val="1"/>
      <w:numFmt w:val="bullet"/>
      <w:lvlText w:val=""/>
      <w:lvlJc w:val="left"/>
      <w:pPr>
        <w:ind w:left="2880" w:hanging="360"/>
      </w:pPr>
      <w:rPr>
        <w:rFonts w:ascii="Symbol" w:hAnsi="Symbol" w:hint="default"/>
      </w:rPr>
    </w:lvl>
    <w:lvl w:ilvl="4" w:tplc="847E53E6">
      <w:start w:val="1"/>
      <w:numFmt w:val="bullet"/>
      <w:lvlText w:val="o"/>
      <w:lvlJc w:val="left"/>
      <w:pPr>
        <w:ind w:left="3600" w:hanging="360"/>
      </w:pPr>
      <w:rPr>
        <w:rFonts w:ascii="Courier New" w:hAnsi="Courier New" w:hint="default"/>
      </w:rPr>
    </w:lvl>
    <w:lvl w:ilvl="5" w:tplc="30AEF9E4">
      <w:start w:val="1"/>
      <w:numFmt w:val="bullet"/>
      <w:lvlText w:val=""/>
      <w:lvlJc w:val="left"/>
      <w:pPr>
        <w:ind w:left="4320" w:hanging="360"/>
      </w:pPr>
      <w:rPr>
        <w:rFonts w:ascii="Wingdings" w:hAnsi="Wingdings" w:hint="default"/>
      </w:rPr>
    </w:lvl>
    <w:lvl w:ilvl="6" w:tplc="4BC8B19A">
      <w:start w:val="1"/>
      <w:numFmt w:val="bullet"/>
      <w:lvlText w:val=""/>
      <w:lvlJc w:val="left"/>
      <w:pPr>
        <w:ind w:left="5040" w:hanging="360"/>
      </w:pPr>
      <w:rPr>
        <w:rFonts w:ascii="Symbol" w:hAnsi="Symbol" w:hint="default"/>
      </w:rPr>
    </w:lvl>
    <w:lvl w:ilvl="7" w:tplc="E9588EE0">
      <w:start w:val="1"/>
      <w:numFmt w:val="bullet"/>
      <w:lvlText w:val="o"/>
      <w:lvlJc w:val="left"/>
      <w:pPr>
        <w:ind w:left="5760" w:hanging="360"/>
      </w:pPr>
      <w:rPr>
        <w:rFonts w:ascii="Courier New" w:hAnsi="Courier New" w:hint="default"/>
      </w:rPr>
    </w:lvl>
    <w:lvl w:ilvl="8" w:tplc="B4C80FF8">
      <w:start w:val="1"/>
      <w:numFmt w:val="bullet"/>
      <w:lvlText w:val=""/>
      <w:lvlJc w:val="left"/>
      <w:pPr>
        <w:ind w:left="6480" w:hanging="360"/>
      </w:pPr>
      <w:rPr>
        <w:rFonts w:ascii="Wingdings" w:hAnsi="Wingdings" w:hint="default"/>
      </w:rPr>
    </w:lvl>
  </w:abstractNum>
  <w:num w:numId="1" w16cid:durableId="1615213366">
    <w:abstractNumId w:val="10"/>
  </w:num>
  <w:num w:numId="2" w16cid:durableId="358629015">
    <w:abstractNumId w:val="5"/>
  </w:num>
  <w:num w:numId="3" w16cid:durableId="5062709">
    <w:abstractNumId w:val="6"/>
  </w:num>
  <w:num w:numId="4" w16cid:durableId="873342940">
    <w:abstractNumId w:val="7"/>
  </w:num>
  <w:num w:numId="5" w16cid:durableId="360786670">
    <w:abstractNumId w:val="12"/>
  </w:num>
  <w:num w:numId="6" w16cid:durableId="564682798">
    <w:abstractNumId w:val="1"/>
  </w:num>
  <w:num w:numId="7" w16cid:durableId="445276423">
    <w:abstractNumId w:val="15"/>
  </w:num>
  <w:num w:numId="8" w16cid:durableId="186791883">
    <w:abstractNumId w:val="11"/>
  </w:num>
  <w:num w:numId="9" w16cid:durableId="87391714">
    <w:abstractNumId w:val="13"/>
  </w:num>
  <w:num w:numId="10" w16cid:durableId="254822721">
    <w:abstractNumId w:val="2"/>
  </w:num>
  <w:num w:numId="11" w16cid:durableId="1959024822">
    <w:abstractNumId w:val="14"/>
  </w:num>
  <w:num w:numId="12" w16cid:durableId="379137709">
    <w:abstractNumId w:val="9"/>
  </w:num>
  <w:num w:numId="13" w16cid:durableId="1994722853">
    <w:abstractNumId w:val="3"/>
  </w:num>
  <w:num w:numId="14" w16cid:durableId="224923927">
    <w:abstractNumId w:val="0"/>
  </w:num>
  <w:num w:numId="15" w16cid:durableId="1645045164">
    <w:abstractNumId w:val="4"/>
  </w:num>
  <w:num w:numId="16" w16cid:durableId="43456628">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4AF"/>
    <w:rsid w:val="00001787"/>
    <w:rsid w:val="00005EB5"/>
    <w:rsid w:val="00007BA0"/>
    <w:rsid w:val="00011B21"/>
    <w:rsid w:val="00013D94"/>
    <w:rsid w:val="000224FA"/>
    <w:rsid w:val="00022FB8"/>
    <w:rsid w:val="000247F9"/>
    <w:rsid w:val="00026A96"/>
    <w:rsid w:val="00030C28"/>
    <w:rsid w:val="00031E49"/>
    <w:rsid w:val="00034BDA"/>
    <w:rsid w:val="00035F87"/>
    <w:rsid w:val="000372A1"/>
    <w:rsid w:val="0004362F"/>
    <w:rsid w:val="00047223"/>
    <w:rsid w:val="0005331D"/>
    <w:rsid w:val="000646C9"/>
    <w:rsid w:val="00065A4D"/>
    <w:rsid w:val="00072188"/>
    <w:rsid w:val="00072AE4"/>
    <w:rsid w:val="00081EED"/>
    <w:rsid w:val="0008371C"/>
    <w:rsid w:val="00085B18"/>
    <w:rsid w:val="00086685"/>
    <w:rsid w:val="000A0D17"/>
    <w:rsid w:val="000A3293"/>
    <w:rsid w:val="000A5C6D"/>
    <w:rsid w:val="000B3D39"/>
    <w:rsid w:val="000B42BB"/>
    <w:rsid w:val="000B45A1"/>
    <w:rsid w:val="000B4DC1"/>
    <w:rsid w:val="000B74BC"/>
    <w:rsid w:val="000C2DB1"/>
    <w:rsid w:val="000D0D39"/>
    <w:rsid w:val="000D220F"/>
    <w:rsid w:val="000D37F3"/>
    <w:rsid w:val="000D6138"/>
    <w:rsid w:val="000D74AE"/>
    <w:rsid w:val="000E351D"/>
    <w:rsid w:val="000E4C4D"/>
    <w:rsid w:val="000E6FAF"/>
    <w:rsid w:val="000E7DDF"/>
    <w:rsid w:val="000F1742"/>
    <w:rsid w:val="000F3FB2"/>
    <w:rsid w:val="000F5E57"/>
    <w:rsid w:val="000F60A4"/>
    <w:rsid w:val="001056B7"/>
    <w:rsid w:val="0010586D"/>
    <w:rsid w:val="00105988"/>
    <w:rsid w:val="001065D6"/>
    <w:rsid w:val="00113888"/>
    <w:rsid w:val="001143F2"/>
    <w:rsid w:val="00121756"/>
    <w:rsid w:val="00127030"/>
    <w:rsid w:val="001321A4"/>
    <w:rsid w:val="00135D7C"/>
    <w:rsid w:val="001421FB"/>
    <w:rsid w:val="00147078"/>
    <w:rsid w:val="00147506"/>
    <w:rsid w:val="00150397"/>
    <w:rsid w:val="00155A47"/>
    <w:rsid w:val="00156130"/>
    <w:rsid w:val="00156148"/>
    <w:rsid w:val="0015750C"/>
    <w:rsid w:val="001606AE"/>
    <w:rsid w:val="00164881"/>
    <w:rsid w:val="00172511"/>
    <w:rsid w:val="0017460D"/>
    <w:rsid w:val="0017548A"/>
    <w:rsid w:val="001757FE"/>
    <w:rsid w:val="001812F7"/>
    <w:rsid w:val="0018518A"/>
    <w:rsid w:val="001858D3"/>
    <w:rsid w:val="001862C3"/>
    <w:rsid w:val="0019049E"/>
    <w:rsid w:val="001932A5"/>
    <w:rsid w:val="001A52FA"/>
    <w:rsid w:val="001A5FB6"/>
    <w:rsid w:val="001B1CED"/>
    <w:rsid w:val="001B7122"/>
    <w:rsid w:val="001C1601"/>
    <w:rsid w:val="001C3CDF"/>
    <w:rsid w:val="001C7432"/>
    <w:rsid w:val="001D484D"/>
    <w:rsid w:val="001D5A96"/>
    <w:rsid w:val="001E077C"/>
    <w:rsid w:val="001E4551"/>
    <w:rsid w:val="001E54BE"/>
    <w:rsid w:val="001F1F54"/>
    <w:rsid w:val="001F29B6"/>
    <w:rsid w:val="001F2EA4"/>
    <w:rsid w:val="001F51F6"/>
    <w:rsid w:val="001F7885"/>
    <w:rsid w:val="00202328"/>
    <w:rsid w:val="00212862"/>
    <w:rsid w:val="00213E6A"/>
    <w:rsid w:val="002146B1"/>
    <w:rsid w:val="00223828"/>
    <w:rsid w:val="00234E29"/>
    <w:rsid w:val="002376F4"/>
    <w:rsid w:val="00240E4B"/>
    <w:rsid w:val="00241B7F"/>
    <w:rsid w:val="00242CE6"/>
    <w:rsid w:val="00244277"/>
    <w:rsid w:val="00250A39"/>
    <w:rsid w:val="00252BFF"/>
    <w:rsid w:val="00267F76"/>
    <w:rsid w:val="00273949"/>
    <w:rsid w:val="002774D0"/>
    <w:rsid w:val="00280050"/>
    <w:rsid w:val="00285033"/>
    <w:rsid w:val="00286A22"/>
    <w:rsid w:val="00297FE1"/>
    <w:rsid w:val="002A185E"/>
    <w:rsid w:val="002B14B4"/>
    <w:rsid w:val="002B22D5"/>
    <w:rsid w:val="002B687E"/>
    <w:rsid w:val="002C5832"/>
    <w:rsid w:val="002E3A1D"/>
    <w:rsid w:val="002F10B1"/>
    <w:rsid w:val="002F1330"/>
    <w:rsid w:val="002F5411"/>
    <w:rsid w:val="002F5AC3"/>
    <w:rsid w:val="00302A11"/>
    <w:rsid w:val="0031416A"/>
    <w:rsid w:val="003163A1"/>
    <w:rsid w:val="00316E79"/>
    <w:rsid w:val="003264FD"/>
    <w:rsid w:val="00330598"/>
    <w:rsid w:val="0033311C"/>
    <w:rsid w:val="00336ABA"/>
    <w:rsid w:val="00336DD2"/>
    <w:rsid w:val="00342B93"/>
    <w:rsid w:val="00353C72"/>
    <w:rsid w:val="00353F7D"/>
    <w:rsid w:val="00354BAD"/>
    <w:rsid w:val="00354C75"/>
    <w:rsid w:val="00355EC7"/>
    <w:rsid w:val="00360F6A"/>
    <w:rsid w:val="00362C87"/>
    <w:rsid w:val="00371AD4"/>
    <w:rsid w:val="00372C19"/>
    <w:rsid w:val="00374579"/>
    <w:rsid w:val="00375C7E"/>
    <w:rsid w:val="003838B7"/>
    <w:rsid w:val="00384581"/>
    <w:rsid w:val="00384E0B"/>
    <w:rsid w:val="00391A1B"/>
    <w:rsid w:val="00392A86"/>
    <w:rsid w:val="003950E9"/>
    <w:rsid w:val="003A1166"/>
    <w:rsid w:val="003A36BF"/>
    <w:rsid w:val="003A4030"/>
    <w:rsid w:val="003A6200"/>
    <w:rsid w:val="003A7101"/>
    <w:rsid w:val="003B4F7A"/>
    <w:rsid w:val="003C12FA"/>
    <w:rsid w:val="003C2C0E"/>
    <w:rsid w:val="003C4B30"/>
    <w:rsid w:val="003D1905"/>
    <w:rsid w:val="003D6EC9"/>
    <w:rsid w:val="003E04E8"/>
    <w:rsid w:val="003E2F56"/>
    <w:rsid w:val="003E6281"/>
    <w:rsid w:val="003F2256"/>
    <w:rsid w:val="003F262C"/>
    <w:rsid w:val="003F2C16"/>
    <w:rsid w:val="003F77B4"/>
    <w:rsid w:val="0040294C"/>
    <w:rsid w:val="00413137"/>
    <w:rsid w:val="00414D40"/>
    <w:rsid w:val="00416112"/>
    <w:rsid w:val="004170CF"/>
    <w:rsid w:val="00420C44"/>
    <w:rsid w:val="00422990"/>
    <w:rsid w:val="00423DE6"/>
    <w:rsid w:val="00426840"/>
    <w:rsid w:val="00434D58"/>
    <w:rsid w:val="00436511"/>
    <w:rsid w:val="00441910"/>
    <w:rsid w:val="004448CD"/>
    <w:rsid w:val="004449B7"/>
    <w:rsid w:val="0045380C"/>
    <w:rsid w:val="004560F5"/>
    <w:rsid w:val="00464027"/>
    <w:rsid w:val="0046670E"/>
    <w:rsid w:val="00467BB1"/>
    <w:rsid w:val="00467DFF"/>
    <w:rsid w:val="00475BD6"/>
    <w:rsid w:val="00475ED9"/>
    <w:rsid w:val="00476674"/>
    <w:rsid w:val="00477875"/>
    <w:rsid w:val="00482D04"/>
    <w:rsid w:val="004915B0"/>
    <w:rsid w:val="00496E89"/>
    <w:rsid w:val="004A74D5"/>
    <w:rsid w:val="004B0F87"/>
    <w:rsid w:val="004B4901"/>
    <w:rsid w:val="004B6716"/>
    <w:rsid w:val="004C3FC8"/>
    <w:rsid w:val="004C453C"/>
    <w:rsid w:val="004D0335"/>
    <w:rsid w:val="004D1587"/>
    <w:rsid w:val="004D6920"/>
    <w:rsid w:val="004E29FB"/>
    <w:rsid w:val="004E72CA"/>
    <w:rsid w:val="004F0BA4"/>
    <w:rsid w:val="004F3178"/>
    <w:rsid w:val="004F3AC6"/>
    <w:rsid w:val="004F7643"/>
    <w:rsid w:val="005002BD"/>
    <w:rsid w:val="0050457A"/>
    <w:rsid w:val="005051B2"/>
    <w:rsid w:val="00505485"/>
    <w:rsid w:val="00507B4B"/>
    <w:rsid w:val="0051409B"/>
    <w:rsid w:val="00516A19"/>
    <w:rsid w:val="00517D87"/>
    <w:rsid w:val="005227D3"/>
    <w:rsid w:val="00530A01"/>
    <w:rsid w:val="005376D3"/>
    <w:rsid w:val="00540E00"/>
    <w:rsid w:val="0054343B"/>
    <w:rsid w:val="00551AE9"/>
    <w:rsid w:val="00552637"/>
    <w:rsid w:val="00556626"/>
    <w:rsid w:val="0056280A"/>
    <w:rsid w:val="00563DD4"/>
    <w:rsid w:val="005641E9"/>
    <w:rsid w:val="005661E5"/>
    <w:rsid w:val="00570BBC"/>
    <w:rsid w:val="00573580"/>
    <w:rsid w:val="00577399"/>
    <w:rsid w:val="00577A20"/>
    <w:rsid w:val="00581C18"/>
    <w:rsid w:val="00583E5E"/>
    <w:rsid w:val="005904DC"/>
    <w:rsid w:val="0059087B"/>
    <w:rsid w:val="005A30F1"/>
    <w:rsid w:val="005B0184"/>
    <w:rsid w:val="005B02CA"/>
    <w:rsid w:val="005B19E1"/>
    <w:rsid w:val="005B3BA2"/>
    <w:rsid w:val="005B6DBE"/>
    <w:rsid w:val="005B723E"/>
    <w:rsid w:val="005B7453"/>
    <w:rsid w:val="005C10F8"/>
    <w:rsid w:val="005C7BD8"/>
    <w:rsid w:val="005D08DC"/>
    <w:rsid w:val="005D3133"/>
    <w:rsid w:val="005D3378"/>
    <w:rsid w:val="005D467D"/>
    <w:rsid w:val="005D481C"/>
    <w:rsid w:val="005E2573"/>
    <w:rsid w:val="005F1E0E"/>
    <w:rsid w:val="005F4F23"/>
    <w:rsid w:val="0060698C"/>
    <w:rsid w:val="006073D1"/>
    <w:rsid w:val="00607C43"/>
    <w:rsid w:val="00615E8C"/>
    <w:rsid w:val="00615FD5"/>
    <w:rsid w:val="00616796"/>
    <w:rsid w:val="00622B70"/>
    <w:rsid w:val="00622DF8"/>
    <w:rsid w:val="006353C6"/>
    <w:rsid w:val="006404C1"/>
    <w:rsid w:val="00641D97"/>
    <w:rsid w:val="00645547"/>
    <w:rsid w:val="00646F2D"/>
    <w:rsid w:val="0064738B"/>
    <w:rsid w:val="00650962"/>
    <w:rsid w:val="006554FB"/>
    <w:rsid w:val="006608E2"/>
    <w:rsid w:val="006632C5"/>
    <w:rsid w:val="00665078"/>
    <w:rsid w:val="006653C0"/>
    <w:rsid w:val="00666E37"/>
    <w:rsid w:val="00671760"/>
    <w:rsid w:val="006723F8"/>
    <w:rsid w:val="00673D71"/>
    <w:rsid w:val="00681FD3"/>
    <w:rsid w:val="006831AC"/>
    <w:rsid w:val="0068706D"/>
    <w:rsid w:val="00687533"/>
    <w:rsid w:val="0069067A"/>
    <w:rsid w:val="00693AE8"/>
    <w:rsid w:val="006A1CEE"/>
    <w:rsid w:val="006A5E31"/>
    <w:rsid w:val="006A7E4D"/>
    <w:rsid w:val="006B17DE"/>
    <w:rsid w:val="006B3DF2"/>
    <w:rsid w:val="006B7158"/>
    <w:rsid w:val="006C21D6"/>
    <w:rsid w:val="006C27C7"/>
    <w:rsid w:val="006C6768"/>
    <w:rsid w:val="006E2A10"/>
    <w:rsid w:val="006E2B3F"/>
    <w:rsid w:val="006E6346"/>
    <w:rsid w:val="006F13EE"/>
    <w:rsid w:val="006F1B60"/>
    <w:rsid w:val="006F1E39"/>
    <w:rsid w:val="006F2D4C"/>
    <w:rsid w:val="006F3366"/>
    <w:rsid w:val="006F41A7"/>
    <w:rsid w:val="006F48A1"/>
    <w:rsid w:val="006F51C3"/>
    <w:rsid w:val="00701EED"/>
    <w:rsid w:val="00705B14"/>
    <w:rsid w:val="00706EBE"/>
    <w:rsid w:val="00725B09"/>
    <w:rsid w:val="00730004"/>
    <w:rsid w:val="007361F4"/>
    <w:rsid w:val="00736883"/>
    <w:rsid w:val="00736E7C"/>
    <w:rsid w:val="0074096E"/>
    <w:rsid w:val="00742EE7"/>
    <w:rsid w:val="00743470"/>
    <w:rsid w:val="00745F91"/>
    <w:rsid w:val="00752CBD"/>
    <w:rsid w:val="00752E65"/>
    <w:rsid w:val="00753934"/>
    <w:rsid w:val="007549DD"/>
    <w:rsid w:val="00754A08"/>
    <w:rsid w:val="0075768A"/>
    <w:rsid w:val="00761C06"/>
    <w:rsid w:val="00763667"/>
    <w:rsid w:val="00763904"/>
    <w:rsid w:val="00764660"/>
    <w:rsid w:val="00766D83"/>
    <w:rsid w:val="007718B2"/>
    <w:rsid w:val="007730AF"/>
    <w:rsid w:val="007779D4"/>
    <w:rsid w:val="00785DEA"/>
    <w:rsid w:val="00786DA4"/>
    <w:rsid w:val="00787842"/>
    <w:rsid w:val="007A09A9"/>
    <w:rsid w:val="007A28B1"/>
    <w:rsid w:val="007A484A"/>
    <w:rsid w:val="007A6D78"/>
    <w:rsid w:val="007B3439"/>
    <w:rsid w:val="007B45BC"/>
    <w:rsid w:val="007B5A8E"/>
    <w:rsid w:val="007C346E"/>
    <w:rsid w:val="007D01D9"/>
    <w:rsid w:val="007D2E2D"/>
    <w:rsid w:val="007D3879"/>
    <w:rsid w:val="007D3A74"/>
    <w:rsid w:val="007D4046"/>
    <w:rsid w:val="007D53A2"/>
    <w:rsid w:val="007E0691"/>
    <w:rsid w:val="007E1287"/>
    <w:rsid w:val="007F0753"/>
    <w:rsid w:val="007F1A18"/>
    <w:rsid w:val="007F26AF"/>
    <w:rsid w:val="007F3348"/>
    <w:rsid w:val="007F4406"/>
    <w:rsid w:val="007F6C5E"/>
    <w:rsid w:val="008017DC"/>
    <w:rsid w:val="00802F08"/>
    <w:rsid w:val="00804B70"/>
    <w:rsid w:val="008050EF"/>
    <w:rsid w:val="00805C2B"/>
    <w:rsid w:val="00806E4D"/>
    <w:rsid w:val="0080707F"/>
    <w:rsid w:val="00811AFA"/>
    <w:rsid w:val="008201B9"/>
    <w:rsid w:val="008222C1"/>
    <w:rsid w:val="00831700"/>
    <w:rsid w:val="00831E7E"/>
    <w:rsid w:val="00832661"/>
    <w:rsid w:val="008365B1"/>
    <w:rsid w:val="00842116"/>
    <w:rsid w:val="0084459C"/>
    <w:rsid w:val="00845B38"/>
    <w:rsid w:val="008472FF"/>
    <w:rsid w:val="00851A9B"/>
    <w:rsid w:val="0085234E"/>
    <w:rsid w:val="00867F62"/>
    <w:rsid w:val="00871B6B"/>
    <w:rsid w:val="008768F2"/>
    <w:rsid w:val="00891B66"/>
    <w:rsid w:val="0089558F"/>
    <w:rsid w:val="00895D0A"/>
    <w:rsid w:val="008968D8"/>
    <w:rsid w:val="008A1A5E"/>
    <w:rsid w:val="008A1EA1"/>
    <w:rsid w:val="008B788E"/>
    <w:rsid w:val="008C02AA"/>
    <w:rsid w:val="008C13C1"/>
    <w:rsid w:val="008C34AD"/>
    <w:rsid w:val="008C4470"/>
    <w:rsid w:val="008C4AFC"/>
    <w:rsid w:val="008D222B"/>
    <w:rsid w:val="008D3078"/>
    <w:rsid w:val="008D49CA"/>
    <w:rsid w:val="008D5098"/>
    <w:rsid w:val="008D5F87"/>
    <w:rsid w:val="008D6066"/>
    <w:rsid w:val="008E2D7D"/>
    <w:rsid w:val="008E3137"/>
    <w:rsid w:val="008E53F8"/>
    <w:rsid w:val="008F1D1D"/>
    <w:rsid w:val="008F3346"/>
    <w:rsid w:val="008F6D3C"/>
    <w:rsid w:val="00900658"/>
    <w:rsid w:val="009017E9"/>
    <w:rsid w:val="009032FF"/>
    <w:rsid w:val="009069CF"/>
    <w:rsid w:val="009071A9"/>
    <w:rsid w:val="00911518"/>
    <w:rsid w:val="009140E3"/>
    <w:rsid w:val="009146A4"/>
    <w:rsid w:val="00921D80"/>
    <w:rsid w:val="00925742"/>
    <w:rsid w:val="00941446"/>
    <w:rsid w:val="00944E40"/>
    <w:rsid w:val="0095476E"/>
    <w:rsid w:val="009623E6"/>
    <w:rsid w:val="009656ED"/>
    <w:rsid w:val="009815D0"/>
    <w:rsid w:val="00982224"/>
    <w:rsid w:val="00984907"/>
    <w:rsid w:val="00986549"/>
    <w:rsid w:val="009970E9"/>
    <w:rsid w:val="009A481B"/>
    <w:rsid w:val="009A530F"/>
    <w:rsid w:val="009A63A2"/>
    <w:rsid w:val="009B03F0"/>
    <w:rsid w:val="009C0A8A"/>
    <w:rsid w:val="009C1104"/>
    <w:rsid w:val="009C5588"/>
    <w:rsid w:val="009D0B0C"/>
    <w:rsid w:val="009D0FEB"/>
    <w:rsid w:val="009E08EC"/>
    <w:rsid w:val="009E2D9B"/>
    <w:rsid w:val="009E41AA"/>
    <w:rsid w:val="009F664F"/>
    <w:rsid w:val="009F6E48"/>
    <w:rsid w:val="009F7E5A"/>
    <w:rsid w:val="00A01396"/>
    <w:rsid w:val="00A017CA"/>
    <w:rsid w:val="00A01947"/>
    <w:rsid w:val="00A02A57"/>
    <w:rsid w:val="00A04E50"/>
    <w:rsid w:val="00A10908"/>
    <w:rsid w:val="00A123E2"/>
    <w:rsid w:val="00A12495"/>
    <w:rsid w:val="00A13FA0"/>
    <w:rsid w:val="00A147BA"/>
    <w:rsid w:val="00A16E49"/>
    <w:rsid w:val="00A175E7"/>
    <w:rsid w:val="00A17FBE"/>
    <w:rsid w:val="00A22843"/>
    <w:rsid w:val="00A27CFC"/>
    <w:rsid w:val="00A34C9C"/>
    <w:rsid w:val="00A35904"/>
    <w:rsid w:val="00A40A93"/>
    <w:rsid w:val="00A4186F"/>
    <w:rsid w:val="00A42185"/>
    <w:rsid w:val="00A42767"/>
    <w:rsid w:val="00A51206"/>
    <w:rsid w:val="00A512C5"/>
    <w:rsid w:val="00A51696"/>
    <w:rsid w:val="00A607BD"/>
    <w:rsid w:val="00A619ED"/>
    <w:rsid w:val="00A61A09"/>
    <w:rsid w:val="00A639F3"/>
    <w:rsid w:val="00A71165"/>
    <w:rsid w:val="00A76498"/>
    <w:rsid w:val="00A777BD"/>
    <w:rsid w:val="00A8239B"/>
    <w:rsid w:val="00A85168"/>
    <w:rsid w:val="00A85B17"/>
    <w:rsid w:val="00A923A5"/>
    <w:rsid w:val="00A931AF"/>
    <w:rsid w:val="00AA2B40"/>
    <w:rsid w:val="00AA2C15"/>
    <w:rsid w:val="00AB0780"/>
    <w:rsid w:val="00AB1F76"/>
    <w:rsid w:val="00AB22A9"/>
    <w:rsid w:val="00AB4E22"/>
    <w:rsid w:val="00AB60CE"/>
    <w:rsid w:val="00AB6261"/>
    <w:rsid w:val="00AB67AA"/>
    <w:rsid w:val="00AB6C1D"/>
    <w:rsid w:val="00AC1E42"/>
    <w:rsid w:val="00AC5C91"/>
    <w:rsid w:val="00AD02A7"/>
    <w:rsid w:val="00AD5B0E"/>
    <w:rsid w:val="00AD75FF"/>
    <w:rsid w:val="00AF244C"/>
    <w:rsid w:val="00B002F8"/>
    <w:rsid w:val="00B00E9F"/>
    <w:rsid w:val="00B020EC"/>
    <w:rsid w:val="00B02CDD"/>
    <w:rsid w:val="00B16676"/>
    <w:rsid w:val="00B1724A"/>
    <w:rsid w:val="00B20201"/>
    <w:rsid w:val="00B207D4"/>
    <w:rsid w:val="00B2494C"/>
    <w:rsid w:val="00B249CD"/>
    <w:rsid w:val="00B2555C"/>
    <w:rsid w:val="00B32D6E"/>
    <w:rsid w:val="00B34B7E"/>
    <w:rsid w:val="00B34DFE"/>
    <w:rsid w:val="00B40C6A"/>
    <w:rsid w:val="00B44090"/>
    <w:rsid w:val="00B46D59"/>
    <w:rsid w:val="00B47FDF"/>
    <w:rsid w:val="00B50E51"/>
    <w:rsid w:val="00B51C0C"/>
    <w:rsid w:val="00B558E2"/>
    <w:rsid w:val="00B57C0D"/>
    <w:rsid w:val="00B60C0B"/>
    <w:rsid w:val="00B62315"/>
    <w:rsid w:val="00B6731F"/>
    <w:rsid w:val="00B73477"/>
    <w:rsid w:val="00B82376"/>
    <w:rsid w:val="00B93D35"/>
    <w:rsid w:val="00B9582A"/>
    <w:rsid w:val="00BA3DEB"/>
    <w:rsid w:val="00BA436E"/>
    <w:rsid w:val="00BA449D"/>
    <w:rsid w:val="00BA44BE"/>
    <w:rsid w:val="00BA6BC0"/>
    <w:rsid w:val="00BA7D23"/>
    <w:rsid w:val="00BB0607"/>
    <w:rsid w:val="00BB4105"/>
    <w:rsid w:val="00BB5934"/>
    <w:rsid w:val="00BB5D6D"/>
    <w:rsid w:val="00BB68DD"/>
    <w:rsid w:val="00BC1AC6"/>
    <w:rsid w:val="00BC464A"/>
    <w:rsid w:val="00BC5FAA"/>
    <w:rsid w:val="00BC6BF1"/>
    <w:rsid w:val="00BD1609"/>
    <w:rsid w:val="00BD1D09"/>
    <w:rsid w:val="00BD4D6E"/>
    <w:rsid w:val="00BD55D9"/>
    <w:rsid w:val="00BD68FB"/>
    <w:rsid w:val="00BD7A4A"/>
    <w:rsid w:val="00BE2BB8"/>
    <w:rsid w:val="00BE467D"/>
    <w:rsid w:val="00BF3A98"/>
    <w:rsid w:val="00C023DF"/>
    <w:rsid w:val="00C05506"/>
    <w:rsid w:val="00C05524"/>
    <w:rsid w:val="00C05E53"/>
    <w:rsid w:val="00C07483"/>
    <w:rsid w:val="00C07769"/>
    <w:rsid w:val="00C07D11"/>
    <w:rsid w:val="00C15D3E"/>
    <w:rsid w:val="00C164D4"/>
    <w:rsid w:val="00C211BD"/>
    <w:rsid w:val="00C215C1"/>
    <w:rsid w:val="00C2665F"/>
    <w:rsid w:val="00C310B7"/>
    <w:rsid w:val="00C3654D"/>
    <w:rsid w:val="00C36F51"/>
    <w:rsid w:val="00C37EA8"/>
    <w:rsid w:val="00C37FF4"/>
    <w:rsid w:val="00C40C1D"/>
    <w:rsid w:val="00C41453"/>
    <w:rsid w:val="00C41848"/>
    <w:rsid w:val="00C45C6F"/>
    <w:rsid w:val="00C45D89"/>
    <w:rsid w:val="00C5059D"/>
    <w:rsid w:val="00C510B8"/>
    <w:rsid w:val="00C512EA"/>
    <w:rsid w:val="00C5371E"/>
    <w:rsid w:val="00C55591"/>
    <w:rsid w:val="00C616B3"/>
    <w:rsid w:val="00C65CC6"/>
    <w:rsid w:val="00C7148A"/>
    <w:rsid w:val="00C7190F"/>
    <w:rsid w:val="00C71D89"/>
    <w:rsid w:val="00C84DF9"/>
    <w:rsid w:val="00C85256"/>
    <w:rsid w:val="00C9014E"/>
    <w:rsid w:val="00C92511"/>
    <w:rsid w:val="00C94665"/>
    <w:rsid w:val="00CA4DCE"/>
    <w:rsid w:val="00CB11D8"/>
    <w:rsid w:val="00CB14AF"/>
    <w:rsid w:val="00CC5A3C"/>
    <w:rsid w:val="00CD248E"/>
    <w:rsid w:val="00CD7330"/>
    <w:rsid w:val="00CD7A14"/>
    <w:rsid w:val="00CF4B62"/>
    <w:rsid w:val="00D057D2"/>
    <w:rsid w:val="00D07156"/>
    <w:rsid w:val="00D1334A"/>
    <w:rsid w:val="00D17431"/>
    <w:rsid w:val="00D237F5"/>
    <w:rsid w:val="00D245C9"/>
    <w:rsid w:val="00D24D59"/>
    <w:rsid w:val="00D30862"/>
    <w:rsid w:val="00D3104D"/>
    <w:rsid w:val="00D32FAF"/>
    <w:rsid w:val="00D348BC"/>
    <w:rsid w:val="00D412FD"/>
    <w:rsid w:val="00D44374"/>
    <w:rsid w:val="00D4477C"/>
    <w:rsid w:val="00D51824"/>
    <w:rsid w:val="00D51C5C"/>
    <w:rsid w:val="00D53C05"/>
    <w:rsid w:val="00D55449"/>
    <w:rsid w:val="00D55E02"/>
    <w:rsid w:val="00D56BE1"/>
    <w:rsid w:val="00D65BE9"/>
    <w:rsid w:val="00D71C85"/>
    <w:rsid w:val="00D72688"/>
    <w:rsid w:val="00D73076"/>
    <w:rsid w:val="00D80AEC"/>
    <w:rsid w:val="00D82BFB"/>
    <w:rsid w:val="00D83B82"/>
    <w:rsid w:val="00D8487C"/>
    <w:rsid w:val="00D85995"/>
    <w:rsid w:val="00D85A98"/>
    <w:rsid w:val="00D861B4"/>
    <w:rsid w:val="00D9177C"/>
    <w:rsid w:val="00D9312F"/>
    <w:rsid w:val="00D93533"/>
    <w:rsid w:val="00D970D6"/>
    <w:rsid w:val="00DA0996"/>
    <w:rsid w:val="00DA23FB"/>
    <w:rsid w:val="00DA4B03"/>
    <w:rsid w:val="00DA53C5"/>
    <w:rsid w:val="00DA62D8"/>
    <w:rsid w:val="00DB08FC"/>
    <w:rsid w:val="00DB0E3D"/>
    <w:rsid w:val="00DC535A"/>
    <w:rsid w:val="00DC5E8B"/>
    <w:rsid w:val="00DC7BFD"/>
    <w:rsid w:val="00DC7C6B"/>
    <w:rsid w:val="00DD537C"/>
    <w:rsid w:val="00DD5A3E"/>
    <w:rsid w:val="00DD65B7"/>
    <w:rsid w:val="00DD6F39"/>
    <w:rsid w:val="00DF2730"/>
    <w:rsid w:val="00DF3AC2"/>
    <w:rsid w:val="00DF6258"/>
    <w:rsid w:val="00DF6EBC"/>
    <w:rsid w:val="00E0135A"/>
    <w:rsid w:val="00E1181B"/>
    <w:rsid w:val="00E15318"/>
    <w:rsid w:val="00E23C9B"/>
    <w:rsid w:val="00E258FB"/>
    <w:rsid w:val="00E27F07"/>
    <w:rsid w:val="00E3255B"/>
    <w:rsid w:val="00E4065F"/>
    <w:rsid w:val="00E416D5"/>
    <w:rsid w:val="00E55033"/>
    <w:rsid w:val="00E57493"/>
    <w:rsid w:val="00E615E7"/>
    <w:rsid w:val="00E61C70"/>
    <w:rsid w:val="00E6620C"/>
    <w:rsid w:val="00E6683E"/>
    <w:rsid w:val="00E72BFB"/>
    <w:rsid w:val="00E74219"/>
    <w:rsid w:val="00E77AF7"/>
    <w:rsid w:val="00E8495E"/>
    <w:rsid w:val="00E85944"/>
    <w:rsid w:val="00E90CEA"/>
    <w:rsid w:val="00E91361"/>
    <w:rsid w:val="00E946FE"/>
    <w:rsid w:val="00EA2023"/>
    <w:rsid w:val="00EA48D2"/>
    <w:rsid w:val="00EC482C"/>
    <w:rsid w:val="00EC4F88"/>
    <w:rsid w:val="00ED0D49"/>
    <w:rsid w:val="00ED16C6"/>
    <w:rsid w:val="00ED1D74"/>
    <w:rsid w:val="00EE2E6E"/>
    <w:rsid w:val="00EE579B"/>
    <w:rsid w:val="00EF4C46"/>
    <w:rsid w:val="00F019C6"/>
    <w:rsid w:val="00F03196"/>
    <w:rsid w:val="00F05FD3"/>
    <w:rsid w:val="00F135B5"/>
    <w:rsid w:val="00F13E06"/>
    <w:rsid w:val="00F14D6C"/>
    <w:rsid w:val="00F23174"/>
    <w:rsid w:val="00F23441"/>
    <w:rsid w:val="00F2513E"/>
    <w:rsid w:val="00F25986"/>
    <w:rsid w:val="00F33B9A"/>
    <w:rsid w:val="00F33CCA"/>
    <w:rsid w:val="00F4334E"/>
    <w:rsid w:val="00F440AD"/>
    <w:rsid w:val="00F65C35"/>
    <w:rsid w:val="00F66E65"/>
    <w:rsid w:val="00F716D2"/>
    <w:rsid w:val="00F738E7"/>
    <w:rsid w:val="00F749F1"/>
    <w:rsid w:val="00F824A8"/>
    <w:rsid w:val="00F851FF"/>
    <w:rsid w:val="00F872A4"/>
    <w:rsid w:val="00F91110"/>
    <w:rsid w:val="00F928D4"/>
    <w:rsid w:val="00F93A2B"/>
    <w:rsid w:val="00F97FA7"/>
    <w:rsid w:val="00FA2B6A"/>
    <w:rsid w:val="00FA6694"/>
    <w:rsid w:val="00FA70AB"/>
    <w:rsid w:val="00FA7D98"/>
    <w:rsid w:val="00FB0096"/>
    <w:rsid w:val="00FB1557"/>
    <w:rsid w:val="00FB1FF9"/>
    <w:rsid w:val="00FB354E"/>
    <w:rsid w:val="00FB51D0"/>
    <w:rsid w:val="00FB64BF"/>
    <w:rsid w:val="00FB7941"/>
    <w:rsid w:val="00FC5C96"/>
    <w:rsid w:val="00FD0C4B"/>
    <w:rsid w:val="00FD14DF"/>
    <w:rsid w:val="00FD1B38"/>
    <w:rsid w:val="00FD1BC0"/>
    <w:rsid w:val="00FD1EE0"/>
    <w:rsid w:val="00FD4D7E"/>
    <w:rsid w:val="00FD4E4F"/>
    <w:rsid w:val="00FE161E"/>
    <w:rsid w:val="00FE21B8"/>
    <w:rsid w:val="00FE4094"/>
    <w:rsid w:val="00FE4451"/>
    <w:rsid w:val="00FE4B63"/>
    <w:rsid w:val="00FE5101"/>
    <w:rsid w:val="00FF0487"/>
    <w:rsid w:val="00FF1E41"/>
    <w:rsid w:val="00FF5EF2"/>
    <w:rsid w:val="025745F9"/>
    <w:rsid w:val="0695FA5A"/>
    <w:rsid w:val="089681B5"/>
    <w:rsid w:val="0E77E67B"/>
    <w:rsid w:val="104BFF7B"/>
    <w:rsid w:val="12665C94"/>
    <w:rsid w:val="136FA441"/>
    <w:rsid w:val="13893AA3"/>
    <w:rsid w:val="14C403B1"/>
    <w:rsid w:val="18A729CC"/>
    <w:rsid w:val="1B6753F2"/>
    <w:rsid w:val="1C94D702"/>
    <w:rsid w:val="1CAB7BC7"/>
    <w:rsid w:val="1E98A665"/>
    <w:rsid w:val="1F3C9917"/>
    <w:rsid w:val="1F9D3468"/>
    <w:rsid w:val="2B721D38"/>
    <w:rsid w:val="2DECB890"/>
    <w:rsid w:val="3564162A"/>
    <w:rsid w:val="365D9B6C"/>
    <w:rsid w:val="3BC8CC29"/>
    <w:rsid w:val="3BCA617D"/>
    <w:rsid w:val="3FF9DA70"/>
    <w:rsid w:val="41593CD8"/>
    <w:rsid w:val="43F8F26F"/>
    <w:rsid w:val="4A6F1CD6"/>
    <w:rsid w:val="5DE43E31"/>
    <w:rsid w:val="6988B38E"/>
    <w:rsid w:val="6AC13116"/>
    <w:rsid w:val="6F93E31A"/>
    <w:rsid w:val="78F00D75"/>
    <w:rsid w:val="7C7C483B"/>
    <w:rsid w:val="7D751BC3"/>
    <w:rsid w:val="7EE123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93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57A"/>
    <w:rPr>
      <w:rFonts w:asciiTheme="minorHAnsi" w:hAnsiTheme="minorHAnsi" w:cstheme="minorHAnsi"/>
    </w:rPr>
  </w:style>
  <w:style w:type="paragraph" w:styleId="Heading1">
    <w:name w:val="heading 1"/>
    <w:basedOn w:val="2-SectionHeading"/>
    <w:next w:val="Normal"/>
    <w:link w:val="Heading1Char"/>
    <w:uiPriority w:val="9"/>
    <w:qFormat/>
    <w:rsid w:val="0050457A"/>
    <w:pPr>
      <w:spacing w:before="0"/>
      <w:ind w:left="0" w:firstLine="0"/>
    </w:pPr>
  </w:style>
  <w:style w:type="paragraph" w:styleId="Heading2">
    <w:name w:val="heading 2"/>
    <w:basedOn w:val="2-SectionHeading"/>
    <w:next w:val="Normal"/>
    <w:link w:val="Heading2Char"/>
    <w:uiPriority w:val="9"/>
    <w:unhideWhenUsed/>
    <w:qFormat/>
    <w:rsid w:val="0050457A"/>
    <w:pPr>
      <w:outlineLvl w:val="1"/>
    </w:pPr>
    <w:rPr>
      <w:sz w:val="28"/>
      <w:szCs w:val="28"/>
    </w:rPr>
  </w:style>
  <w:style w:type="paragraph" w:styleId="Heading3">
    <w:name w:val="heading 3"/>
    <w:basedOn w:val="Normal"/>
    <w:next w:val="Normal"/>
    <w:link w:val="Heading3Char"/>
    <w:uiPriority w:val="9"/>
    <w:unhideWhenUsed/>
    <w:qFormat/>
    <w:rsid w:val="0050457A"/>
    <w:pPr>
      <w:spacing w:after="120"/>
      <w:jc w:val="both"/>
      <w:outlineLvl w:val="2"/>
    </w:pPr>
    <w:rPr>
      <w:b/>
    </w:rPr>
  </w:style>
  <w:style w:type="paragraph" w:styleId="Heading4">
    <w:name w:val="heading 4"/>
    <w:basedOn w:val="Normal"/>
    <w:next w:val="Normal"/>
    <w:link w:val="Heading4Char"/>
    <w:uiPriority w:val="9"/>
    <w:unhideWhenUsed/>
    <w:qFormat/>
    <w:rsid w:val="0050457A"/>
    <w:pPr>
      <w:spacing w:after="120"/>
      <w:jc w:val="both"/>
      <w:outlineLvl w:val="3"/>
    </w:pPr>
    <w:rPr>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14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58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82A"/>
  </w:style>
  <w:style w:type="paragraph" w:styleId="Footer">
    <w:name w:val="footer"/>
    <w:basedOn w:val="Normal"/>
    <w:link w:val="FooterChar"/>
    <w:uiPriority w:val="99"/>
    <w:unhideWhenUsed/>
    <w:rsid w:val="00B958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82A"/>
  </w:style>
  <w:style w:type="paragraph" w:styleId="ListParagraph">
    <w:name w:val="List Paragraph"/>
    <w:aliases w:val="List Paragraph1,Recommendation,List Paragraph11,AR bullet 1,CAB - List Bullet,Bullet point,Bullets,CV text,Dot pt,F5 List Paragraph,FooterText,L,List Paragraph111,List Paragraph2,Medium Grid 1 - Accent 21,NAST Quote,NFP GP Bulleted List,列"/>
    <w:basedOn w:val="Normal"/>
    <w:link w:val="ListParagraphChar"/>
    <w:uiPriority w:val="34"/>
    <w:qFormat/>
    <w:rsid w:val="00B9582A"/>
    <w:pPr>
      <w:ind w:left="720"/>
      <w:contextualSpacing/>
    </w:pPr>
  </w:style>
  <w:style w:type="paragraph" w:styleId="BalloonText">
    <w:name w:val="Balloon Text"/>
    <w:basedOn w:val="Normal"/>
    <w:link w:val="BalloonTextChar"/>
    <w:uiPriority w:val="99"/>
    <w:semiHidden/>
    <w:unhideWhenUsed/>
    <w:rsid w:val="008C34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4AD"/>
    <w:rPr>
      <w:rFonts w:ascii="Segoe UI" w:hAnsi="Segoe UI" w:cs="Segoe UI"/>
      <w:sz w:val="18"/>
      <w:szCs w:val="18"/>
    </w:rPr>
  </w:style>
  <w:style w:type="character" w:styleId="CommentReference">
    <w:name w:val="annotation reference"/>
    <w:aliases w:val="Table Title"/>
    <w:basedOn w:val="DefaultParagraphFont"/>
    <w:uiPriority w:val="99"/>
    <w:qFormat/>
    <w:rsid w:val="00AB4E22"/>
    <w:rPr>
      <w:sz w:val="16"/>
      <w:szCs w:val="16"/>
    </w:rPr>
  </w:style>
  <w:style w:type="paragraph" w:styleId="CommentText">
    <w:name w:val="annotation text"/>
    <w:basedOn w:val="Normal"/>
    <w:link w:val="CommentTextChar"/>
    <w:uiPriority w:val="99"/>
    <w:rsid w:val="00AB4E22"/>
    <w:pPr>
      <w:spacing w:after="200" w:line="240" w:lineRule="auto"/>
    </w:pPr>
    <w:rPr>
      <w:rFonts w:cstheme="minorBidi"/>
      <w:sz w:val="20"/>
      <w:szCs w:val="20"/>
    </w:rPr>
  </w:style>
  <w:style w:type="character" w:customStyle="1" w:styleId="CommentTextChar">
    <w:name w:val="Comment Text Char"/>
    <w:basedOn w:val="DefaultParagraphFont"/>
    <w:link w:val="CommentText"/>
    <w:uiPriority w:val="99"/>
    <w:rsid w:val="00AB4E22"/>
    <w:rPr>
      <w:rFonts w:cstheme="minorBidi"/>
      <w:sz w:val="20"/>
      <w:szCs w:val="20"/>
    </w:rPr>
  </w:style>
  <w:style w:type="paragraph" w:styleId="CommentSubject">
    <w:name w:val="annotation subject"/>
    <w:basedOn w:val="CommentText"/>
    <w:next w:val="CommentText"/>
    <w:link w:val="CommentSubjectChar"/>
    <w:uiPriority w:val="99"/>
    <w:semiHidden/>
    <w:unhideWhenUsed/>
    <w:rsid w:val="0089558F"/>
    <w:pPr>
      <w:spacing w:after="160"/>
    </w:pPr>
    <w:rPr>
      <w:rFonts w:cs="Times New Roman"/>
      <w:b/>
      <w:bCs/>
    </w:rPr>
  </w:style>
  <w:style w:type="character" w:customStyle="1" w:styleId="CommentSubjectChar">
    <w:name w:val="Comment Subject Char"/>
    <w:basedOn w:val="CommentTextChar"/>
    <w:link w:val="CommentSubject"/>
    <w:uiPriority w:val="99"/>
    <w:semiHidden/>
    <w:rsid w:val="0089558F"/>
    <w:rPr>
      <w:rFonts w:cstheme="minorBidi"/>
      <w:b/>
      <w:bCs/>
      <w:sz w:val="20"/>
      <w:szCs w:val="20"/>
    </w:rPr>
  </w:style>
  <w:style w:type="paragraph" w:customStyle="1" w:styleId="2Sections">
    <w:name w:val="2. Sections"/>
    <w:qFormat/>
    <w:rsid w:val="000D74AE"/>
    <w:pPr>
      <w:numPr>
        <w:numId w:val="9"/>
      </w:numPr>
      <w:spacing w:before="240" w:after="120" w:line="240" w:lineRule="auto"/>
      <w:outlineLvl w:val="0"/>
    </w:pPr>
    <w:rPr>
      <w:rFonts w:asciiTheme="minorHAnsi" w:eastAsia="Times New Roman" w:hAnsiTheme="minorHAnsi" w:cs="Arial"/>
      <w:b/>
      <w:snapToGrid w:val="0"/>
      <w:sz w:val="32"/>
      <w:szCs w:val="32"/>
    </w:rPr>
  </w:style>
  <w:style w:type="paragraph" w:customStyle="1" w:styleId="3Bodytext">
    <w:name w:val="3. Body text"/>
    <w:basedOn w:val="ListParagraph"/>
    <w:link w:val="3BodytextChar"/>
    <w:qFormat/>
    <w:rsid w:val="000D74AE"/>
    <w:pPr>
      <w:numPr>
        <w:ilvl w:val="1"/>
        <w:numId w:val="9"/>
      </w:numPr>
      <w:spacing w:after="120" w:line="240" w:lineRule="auto"/>
      <w:contextualSpacing w:val="0"/>
      <w:jc w:val="both"/>
    </w:pPr>
    <w:rPr>
      <w:rFonts w:cstheme="minorBidi"/>
      <w:szCs w:val="22"/>
    </w:rPr>
  </w:style>
  <w:style w:type="character" w:customStyle="1" w:styleId="3BodytextChar">
    <w:name w:val="3. Body text Char"/>
    <w:basedOn w:val="DefaultParagraphFont"/>
    <w:link w:val="3Bodytext"/>
    <w:rsid w:val="000D74AE"/>
    <w:rPr>
      <w:rFonts w:asciiTheme="minorHAnsi" w:hAnsiTheme="minorHAnsi" w:cstheme="minorBidi"/>
      <w:szCs w:val="22"/>
    </w:rPr>
  </w:style>
  <w:style w:type="character" w:customStyle="1" w:styleId="ListParagraphChar">
    <w:name w:val="List Paragraph Char"/>
    <w:aliases w:val="List Paragraph1 Char,Recommendation Char,List Paragraph11 Char,AR bullet 1 Char,CAB - List Bullet Char,Bullet point Char,Bullets Char,CV text Char,Dot pt Char,F5 List Paragraph Char,FooterText Char,L Char,List Paragraph111 Char"/>
    <w:link w:val="ListParagraph"/>
    <w:uiPriority w:val="34"/>
    <w:qFormat/>
    <w:locked/>
    <w:rsid w:val="004C453C"/>
  </w:style>
  <w:style w:type="paragraph" w:styleId="NoSpacing">
    <w:name w:val="No Spacing"/>
    <w:uiPriority w:val="1"/>
    <w:qFormat/>
    <w:rsid w:val="00371AD4"/>
    <w:pPr>
      <w:spacing w:after="0" w:line="240" w:lineRule="auto"/>
    </w:pPr>
  </w:style>
  <w:style w:type="character" w:styleId="Hyperlink">
    <w:name w:val="Hyperlink"/>
    <w:basedOn w:val="DefaultParagraphFont"/>
    <w:unhideWhenUsed/>
    <w:rsid w:val="000F60A4"/>
    <w:rPr>
      <w:color w:val="0000FF"/>
      <w:u w:val="single"/>
    </w:rPr>
  </w:style>
  <w:style w:type="paragraph" w:styleId="FootnoteText">
    <w:name w:val="footnote text"/>
    <w:basedOn w:val="Normal"/>
    <w:link w:val="FootnoteTextChar"/>
    <w:uiPriority w:val="99"/>
    <w:unhideWhenUsed/>
    <w:rsid w:val="00B207D4"/>
    <w:pPr>
      <w:spacing w:after="0" w:line="240" w:lineRule="auto"/>
    </w:pPr>
    <w:rPr>
      <w:sz w:val="20"/>
      <w:szCs w:val="20"/>
    </w:rPr>
  </w:style>
  <w:style w:type="character" w:customStyle="1" w:styleId="FootnoteTextChar">
    <w:name w:val="Footnote Text Char"/>
    <w:basedOn w:val="DefaultParagraphFont"/>
    <w:link w:val="FootnoteText"/>
    <w:uiPriority w:val="99"/>
    <w:rsid w:val="00B207D4"/>
    <w:rPr>
      <w:sz w:val="20"/>
      <w:szCs w:val="20"/>
    </w:rPr>
  </w:style>
  <w:style w:type="character" w:styleId="FootnoteReference">
    <w:name w:val="footnote reference"/>
    <w:basedOn w:val="DefaultParagraphFont"/>
    <w:uiPriority w:val="99"/>
    <w:unhideWhenUsed/>
    <w:rsid w:val="00B207D4"/>
    <w:rPr>
      <w:vertAlign w:val="superscript"/>
    </w:rPr>
  </w:style>
  <w:style w:type="character" w:customStyle="1" w:styleId="simplehighlight">
    <w:name w:val="simplehighlight"/>
    <w:basedOn w:val="DefaultParagraphFont"/>
    <w:rsid w:val="00BD55D9"/>
  </w:style>
  <w:style w:type="paragraph" w:customStyle="1" w:styleId="Default">
    <w:name w:val="Default"/>
    <w:rsid w:val="002B687E"/>
    <w:pPr>
      <w:autoSpaceDE w:val="0"/>
      <w:autoSpaceDN w:val="0"/>
      <w:adjustRightInd w:val="0"/>
      <w:spacing w:after="0" w:line="240" w:lineRule="auto"/>
    </w:pPr>
    <w:rPr>
      <w:rFonts w:ascii="Arial Narrow" w:hAnsi="Arial Narrow" w:cs="Arial Narrow"/>
      <w:color w:val="000000"/>
    </w:rPr>
  </w:style>
  <w:style w:type="paragraph" w:customStyle="1" w:styleId="2-SectionHeading">
    <w:name w:val="2-Section Heading"/>
    <w:qFormat/>
    <w:rsid w:val="00BA6BC0"/>
    <w:pPr>
      <w:keepNext/>
      <w:spacing w:before="240" w:after="120" w:line="240" w:lineRule="auto"/>
      <w:ind w:left="720" w:hanging="720"/>
      <w:outlineLvl w:val="0"/>
    </w:pPr>
    <w:rPr>
      <w:rFonts w:asciiTheme="minorHAnsi" w:eastAsia="Times New Roman" w:hAnsiTheme="minorHAnsi" w:cs="Arial"/>
      <w:b/>
      <w:snapToGrid w:val="0"/>
      <w:sz w:val="32"/>
      <w:szCs w:val="32"/>
      <w:lang w:eastAsia="en-AU"/>
    </w:rPr>
  </w:style>
  <w:style w:type="paragraph" w:customStyle="1" w:styleId="3-BodyText">
    <w:name w:val="3-Body Text"/>
    <w:basedOn w:val="ListParagraph"/>
    <w:link w:val="3-BodyTextChar"/>
    <w:qFormat/>
    <w:rsid w:val="00BA6BC0"/>
    <w:pPr>
      <w:spacing w:after="120" w:line="240" w:lineRule="auto"/>
      <w:ind w:hanging="720"/>
      <w:contextualSpacing w:val="0"/>
      <w:jc w:val="both"/>
    </w:pPr>
    <w:rPr>
      <w:rFonts w:eastAsia="Times New Roman" w:cs="Arial"/>
      <w:snapToGrid w:val="0"/>
      <w:lang w:eastAsia="en-AU"/>
    </w:rPr>
  </w:style>
  <w:style w:type="character" w:customStyle="1" w:styleId="3-BodyTextChar">
    <w:name w:val="3-Body Text Char"/>
    <w:basedOn w:val="DefaultParagraphFont"/>
    <w:link w:val="3-BodyText"/>
    <w:rsid w:val="00BA6BC0"/>
    <w:rPr>
      <w:rFonts w:asciiTheme="minorHAnsi" w:eastAsia="Times New Roman" w:hAnsiTheme="minorHAnsi" w:cs="Arial"/>
      <w:snapToGrid w:val="0"/>
      <w:lang w:eastAsia="en-AU"/>
    </w:rPr>
  </w:style>
  <w:style w:type="character" w:styleId="Strong">
    <w:name w:val="Strong"/>
    <w:basedOn w:val="DefaultParagraphFont"/>
    <w:uiPriority w:val="22"/>
    <w:qFormat/>
    <w:rsid w:val="0080707F"/>
    <w:rPr>
      <w:b/>
      <w:bCs/>
    </w:rPr>
  </w:style>
  <w:style w:type="character" w:customStyle="1" w:styleId="search-summary">
    <w:name w:val="search-summary"/>
    <w:basedOn w:val="DefaultParagraphFont"/>
    <w:rsid w:val="0080707F"/>
  </w:style>
  <w:style w:type="paragraph" w:styleId="Revision">
    <w:name w:val="Revision"/>
    <w:hidden/>
    <w:uiPriority w:val="99"/>
    <w:semiHidden/>
    <w:rsid w:val="00026A96"/>
    <w:pPr>
      <w:spacing w:after="0" w:line="240" w:lineRule="auto"/>
    </w:pPr>
  </w:style>
  <w:style w:type="paragraph" w:styleId="NormalWeb">
    <w:name w:val="Normal (Web)"/>
    <w:basedOn w:val="Normal"/>
    <w:uiPriority w:val="99"/>
    <w:unhideWhenUsed/>
    <w:rsid w:val="001862C3"/>
    <w:pPr>
      <w:spacing w:before="100" w:beforeAutospacing="1" w:after="100" w:afterAutospacing="1" w:line="240" w:lineRule="auto"/>
    </w:pPr>
    <w:rPr>
      <w:rFonts w:eastAsia="Times New Roman"/>
      <w:lang w:eastAsia="en-AU"/>
    </w:rPr>
  </w:style>
  <w:style w:type="character" w:styleId="FollowedHyperlink">
    <w:name w:val="FollowedHyperlink"/>
    <w:basedOn w:val="DefaultParagraphFont"/>
    <w:uiPriority w:val="99"/>
    <w:semiHidden/>
    <w:unhideWhenUsed/>
    <w:rsid w:val="00150397"/>
    <w:rPr>
      <w:color w:val="954F72" w:themeColor="followedHyperlink"/>
      <w:u w:val="single"/>
    </w:rPr>
  </w:style>
  <w:style w:type="paragraph" w:customStyle="1" w:styleId="4Bodytextnumbered">
    <w:name w:val="4. Body text numbered"/>
    <w:basedOn w:val="ListParagraph"/>
    <w:qFormat/>
    <w:rsid w:val="0004362F"/>
    <w:pPr>
      <w:spacing w:after="120" w:line="240" w:lineRule="auto"/>
      <w:ind w:hanging="720"/>
      <w:contextualSpacing w:val="0"/>
      <w:jc w:val="both"/>
    </w:pPr>
    <w:rPr>
      <w:rFonts w:cstheme="minorBidi"/>
      <w:szCs w:val="22"/>
    </w:rPr>
  </w:style>
  <w:style w:type="character" w:styleId="Emphasis">
    <w:name w:val="Emphasis"/>
    <w:basedOn w:val="DefaultParagraphFont"/>
    <w:uiPriority w:val="20"/>
    <w:qFormat/>
    <w:rsid w:val="00C07769"/>
    <w:rPr>
      <w:i/>
      <w:iCs/>
    </w:rPr>
  </w:style>
  <w:style w:type="character" w:styleId="UnresolvedMention">
    <w:name w:val="Unresolved Mention"/>
    <w:basedOn w:val="DefaultParagraphFont"/>
    <w:uiPriority w:val="99"/>
    <w:semiHidden/>
    <w:unhideWhenUsed/>
    <w:rsid w:val="009071A9"/>
    <w:rPr>
      <w:color w:val="605E5C"/>
      <w:shd w:val="clear" w:color="auto" w:fill="E1DFDD"/>
    </w:rPr>
  </w:style>
  <w:style w:type="character" w:customStyle="1" w:styleId="Heading1Char">
    <w:name w:val="Heading 1 Char"/>
    <w:basedOn w:val="DefaultParagraphFont"/>
    <w:link w:val="Heading1"/>
    <w:uiPriority w:val="9"/>
    <w:rsid w:val="0050457A"/>
    <w:rPr>
      <w:rFonts w:asciiTheme="minorHAnsi" w:eastAsia="Times New Roman" w:hAnsiTheme="minorHAnsi" w:cs="Arial"/>
      <w:b/>
      <w:snapToGrid w:val="0"/>
      <w:sz w:val="32"/>
      <w:szCs w:val="32"/>
      <w:lang w:eastAsia="en-AU"/>
    </w:rPr>
  </w:style>
  <w:style w:type="character" w:customStyle="1" w:styleId="Heading2Char">
    <w:name w:val="Heading 2 Char"/>
    <w:basedOn w:val="DefaultParagraphFont"/>
    <w:link w:val="Heading2"/>
    <w:uiPriority w:val="9"/>
    <w:rsid w:val="0050457A"/>
    <w:rPr>
      <w:rFonts w:asciiTheme="minorHAnsi" w:eastAsia="Times New Roman" w:hAnsiTheme="minorHAnsi" w:cs="Arial"/>
      <w:b/>
      <w:snapToGrid w:val="0"/>
      <w:sz w:val="28"/>
      <w:szCs w:val="28"/>
      <w:lang w:eastAsia="en-AU"/>
    </w:rPr>
  </w:style>
  <w:style w:type="character" w:customStyle="1" w:styleId="Heading3Char">
    <w:name w:val="Heading 3 Char"/>
    <w:basedOn w:val="DefaultParagraphFont"/>
    <w:link w:val="Heading3"/>
    <w:uiPriority w:val="9"/>
    <w:rsid w:val="0050457A"/>
    <w:rPr>
      <w:rFonts w:asciiTheme="minorHAnsi" w:hAnsiTheme="minorHAnsi" w:cstheme="minorHAnsi"/>
      <w:b/>
    </w:rPr>
  </w:style>
  <w:style w:type="character" w:customStyle="1" w:styleId="Heading4Char">
    <w:name w:val="Heading 4 Char"/>
    <w:basedOn w:val="DefaultParagraphFont"/>
    <w:link w:val="Heading4"/>
    <w:uiPriority w:val="9"/>
    <w:rsid w:val="0050457A"/>
    <w:rPr>
      <w:rFonts w:asciiTheme="minorHAnsi" w:hAnsiTheme="minorHAnsi" w:cstheme="minorHAnsi"/>
      <w:bCs/>
      <w:i/>
      <w:iCs/>
    </w:rPr>
  </w:style>
  <w:style w:type="paragraph" w:customStyle="1" w:styleId="PBACHeading1">
    <w:name w:val="PBAC Heading 1"/>
    <w:qFormat/>
    <w:rsid w:val="00B6731F"/>
    <w:pPr>
      <w:keepNext/>
      <w:keepLines/>
      <w:spacing w:before="240" w:after="120" w:line="240" w:lineRule="auto"/>
      <w:ind w:left="720" w:hanging="720"/>
    </w:pPr>
    <w:rPr>
      <w:rFonts w:ascii="Calibri" w:eastAsia="Times New Roman" w:hAnsi="Calibri" w:cs="Arial"/>
      <w:b/>
      <w:snapToGrid w:val="0"/>
      <w:sz w:val="32"/>
      <w:szCs w:val="22"/>
    </w:rPr>
  </w:style>
  <w:style w:type="character" w:customStyle="1" w:styleId="ui-provider">
    <w:name w:val="ui-provider"/>
    <w:basedOn w:val="DefaultParagraphFont"/>
    <w:rsid w:val="008F3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7663">
      <w:bodyDiv w:val="1"/>
      <w:marLeft w:val="0"/>
      <w:marRight w:val="0"/>
      <w:marTop w:val="0"/>
      <w:marBottom w:val="0"/>
      <w:divBdr>
        <w:top w:val="none" w:sz="0" w:space="0" w:color="auto"/>
        <w:left w:val="none" w:sz="0" w:space="0" w:color="auto"/>
        <w:bottom w:val="none" w:sz="0" w:space="0" w:color="auto"/>
        <w:right w:val="none" w:sz="0" w:space="0" w:color="auto"/>
      </w:divBdr>
    </w:div>
    <w:div w:id="182207410">
      <w:bodyDiv w:val="1"/>
      <w:marLeft w:val="0"/>
      <w:marRight w:val="0"/>
      <w:marTop w:val="0"/>
      <w:marBottom w:val="0"/>
      <w:divBdr>
        <w:top w:val="none" w:sz="0" w:space="0" w:color="auto"/>
        <w:left w:val="none" w:sz="0" w:space="0" w:color="auto"/>
        <w:bottom w:val="none" w:sz="0" w:space="0" w:color="auto"/>
        <w:right w:val="none" w:sz="0" w:space="0" w:color="auto"/>
      </w:divBdr>
    </w:div>
    <w:div w:id="210308429">
      <w:bodyDiv w:val="1"/>
      <w:marLeft w:val="0"/>
      <w:marRight w:val="0"/>
      <w:marTop w:val="0"/>
      <w:marBottom w:val="0"/>
      <w:divBdr>
        <w:top w:val="none" w:sz="0" w:space="0" w:color="auto"/>
        <w:left w:val="none" w:sz="0" w:space="0" w:color="auto"/>
        <w:bottom w:val="none" w:sz="0" w:space="0" w:color="auto"/>
        <w:right w:val="none" w:sz="0" w:space="0" w:color="auto"/>
      </w:divBdr>
    </w:div>
    <w:div w:id="424767739">
      <w:bodyDiv w:val="1"/>
      <w:marLeft w:val="0"/>
      <w:marRight w:val="0"/>
      <w:marTop w:val="0"/>
      <w:marBottom w:val="0"/>
      <w:divBdr>
        <w:top w:val="none" w:sz="0" w:space="0" w:color="auto"/>
        <w:left w:val="none" w:sz="0" w:space="0" w:color="auto"/>
        <w:bottom w:val="none" w:sz="0" w:space="0" w:color="auto"/>
        <w:right w:val="none" w:sz="0" w:space="0" w:color="auto"/>
      </w:divBdr>
    </w:div>
    <w:div w:id="456024371">
      <w:bodyDiv w:val="1"/>
      <w:marLeft w:val="0"/>
      <w:marRight w:val="0"/>
      <w:marTop w:val="0"/>
      <w:marBottom w:val="0"/>
      <w:divBdr>
        <w:top w:val="none" w:sz="0" w:space="0" w:color="auto"/>
        <w:left w:val="none" w:sz="0" w:space="0" w:color="auto"/>
        <w:bottom w:val="none" w:sz="0" w:space="0" w:color="auto"/>
        <w:right w:val="none" w:sz="0" w:space="0" w:color="auto"/>
      </w:divBdr>
    </w:div>
    <w:div w:id="639850369">
      <w:bodyDiv w:val="1"/>
      <w:marLeft w:val="0"/>
      <w:marRight w:val="0"/>
      <w:marTop w:val="0"/>
      <w:marBottom w:val="0"/>
      <w:divBdr>
        <w:top w:val="none" w:sz="0" w:space="0" w:color="auto"/>
        <w:left w:val="none" w:sz="0" w:space="0" w:color="auto"/>
        <w:bottom w:val="none" w:sz="0" w:space="0" w:color="auto"/>
        <w:right w:val="none" w:sz="0" w:space="0" w:color="auto"/>
      </w:divBdr>
    </w:div>
    <w:div w:id="651762841">
      <w:bodyDiv w:val="1"/>
      <w:marLeft w:val="0"/>
      <w:marRight w:val="0"/>
      <w:marTop w:val="0"/>
      <w:marBottom w:val="0"/>
      <w:divBdr>
        <w:top w:val="none" w:sz="0" w:space="0" w:color="auto"/>
        <w:left w:val="none" w:sz="0" w:space="0" w:color="auto"/>
        <w:bottom w:val="none" w:sz="0" w:space="0" w:color="auto"/>
        <w:right w:val="none" w:sz="0" w:space="0" w:color="auto"/>
      </w:divBdr>
    </w:div>
    <w:div w:id="668368382">
      <w:bodyDiv w:val="1"/>
      <w:marLeft w:val="0"/>
      <w:marRight w:val="0"/>
      <w:marTop w:val="0"/>
      <w:marBottom w:val="0"/>
      <w:divBdr>
        <w:top w:val="none" w:sz="0" w:space="0" w:color="auto"/>
        <w:left w:val="none" w:sz="0" w:space="0" w:color="auto"/>
        <w:bottom w:val="none" w:sz="0" w:space="0" w:color="auto"/>
        <w:right w:val="none" w:sz="0" w:space="0" w:color="auto"/>
      </w:divBdr>
      <w:divsChild>
        <w:div w:id="17977544">
          <w:marLeft w:val="0"/>
          <w:marRight w:val="0"/>
          <w:marTop w:val="0"/>
          <w:marBottom w:val="0"/>
          <w:divBdr>
            <w:top w:val="none" w:sz="0" w:space="0" w:color="C4DEEE"/>
            <w:left w:val="none" w:sz="0" w:space="0" w:color="C4DEEE"/>
            <w:bottom w:val="none" w:sz="0" w:space="0" w:color="C4DEEE"/>
            <w:right w:val="none" w:sz="0" w:space="0" w:color="C4DEEE"/>
          </w:divBdr>
        </w:div>
        <w:div w:id="424350835">
          <w:marLeft w:val="0"/>
          <w:marRight w:val="0"/>
          <w:marTop w:val="0"/>
          <w:marBottom w:val="0"/>
          <w:divBdr>
            <w:top w:val="none" w:sz="0" w:space="0" w:color="C4DEEE"/>
            <w:left w:val="none" w:sz="0" w:space="0" w:color="C4DEEE"/>
            <w:bottom w:val="none" w:sz="0" w:space="0" w:color="C4DEEE"/>
            <w:right w:val="none" w:sz="0" w:space="0" w:color="C4DEEE"/>
          </w:divBdr>
          <w:divsChild>
            <w:div w:id="1996759183">
              <w:marLeft w:val="0"/>
              <w:marRight w:val="0"/>
              <w:marTop w:val="0"/>
              <w:marBottom w:val="0"/>
              <w:divBdr>
                <w:top w:val="none" w:sz="0" w:space="0" w:color="C4DEEE"/>
                <w:left w:val="none" w:sz="0" w:space="0" w:color="C4DEEE"/>
                <w:bottom w:val="none" w:sz="0" w:space="0" w:color="C4DEEE"/>
                <w:right w:val="none" w:sz="0" w:space="0" w:color="C4DEEE"/>
              </w:divBdr>
            </w:div>
          </w:divsChild>
        </w:div>
      </w:divsChild>
    </w:div>
    <w:div w:id="786461440">
      <w:bodyDiv w:val="1"/>
      <w:marLeft w:val="0"/>
      <w:marRight w:val="0"/>
      <w:marTop w:val="0"/>
      <w:marBottom w:val="0"/>
      <w:divBdr>
        <w:top w:val="none" w:sz="0" w:space="0" w:color="auto"/>
        <w:left w:val="none" w:sz="0" w:space="0" w:color="auto"/>
        <w:bottom w:val="none" w:sz="0" w:space="0" w:color="auto"/>
        <w:right w:val="none" w:sz="0" w:space="0" w:color="auto"/>
      </w:divBdr>
      <w:divsChild>
        <w:div w:id="528570115">
          <w:marLeft w:val="0"/>
          <w:marRight w:val="0"/>
          <w:marTop w:val="0"/>
          <w:marBottom w:val="0"/>
          <w:divBdr>
            <w:top w:val="none" w:sz="0" w:space="0" w:color="auto"/>
            <w:left w:val="none" w:sz="0" w:space="0" w:color="auto"/>
            <w:bottom w:val="none" w:sz="0" w:space="0" w:color="auto"/>
            <w:right w:val="none" w:sz="0" w:space="0" w:color="auto"/>
          </w:divBdr>
          <w:divsChild>
            <w:div w:id="1764453321">
              <w:marLeft w:val="0"/>
              <w:marRight w:val="0"/>
              <w:marTop w:val="0"/>
              <w:marBottom w:val="0"/>
              <w:divBdr>
                <w:top w:val="none" w:sz="0" w:space="0" w:color="auto"/>
                <w:left w:val="none" w:sz="0" w:space="0" w:color="auto"/>
                <w:bottom w:val="none" w:sz="0" w:space="0" w:color="auto"/>
                <w:right w:val="none" w:sz="0" w:space="0" w:color="auto"/>
              </w:divBdr>
              <w:divsChild>
                <w:div w:id="1746680755">
                  <w:marLeft w:val="0"/>
                  <w:marRight w:val="0"/>
                  <w:marTop w:val="0"/>
                  <w:marBottom w:val="0"/>
                  <w:divBdr>
                    <w:top w:val="none" w:sz="0" w:space="0" w:color="auto"/>
                    <w:left w:val="none" w:sz="0" w:space="0" w:color="auto"/>
                    <w:bottom w:val="none" w:sz="0" w:space="0" w:color="auto"/>
                    <w:right w:val="none" w:sz="0" w:space="0" w:color="auto"/>
                  </w:divBdr>
                  <w:divsChild>
                    <w:div w:id="1332027390">
                      <w:marLeft w:val="0"/>
                      <w:marRight w:val="0"/>
                      <w:marTop w:val="0"/>
                      <w:marBottom w:val="0"/>
                      <w:divBdr>
                        <w:top w:val="none" w:sz="0" w:space="0" w:color="auto"/>
                        <w:left w:val="none" w:sz="0" w:space="0" w:color="auto"/>
                        <w:bottom w:val="none" w:sz="0" w:space="0" w:color="auto"/>
                        <w:right w:val="none" w:sz="0" w:space="0" w:color="auto"/>
                      </w:divBdr>
                      <w:divsChild>
                        <w:div w:id="1014039664">
                          <w:marLeft w:val="13380"/>
                          <w:marRight w:val="0"/>
                          <w:marTop w:val="0"/>
                          <w:marBottom w:val="0"/>
                          <w:divBdr>
                            <w:top w:val="none" w:sz="0" w:space="0" w:color="auto"/>
                            <w:left w:val="none" w:sz="0" w:space="0" w:color="auto"/>
                            <w:bottom w:val="none" w:sz="0" w:space="0" w:color="auto"/>
                            <w:right w:val="none" w:sz="0" w:space="0" w:color="auto"/>
                          </w:divBdr>
                          <w:divsChild>
                            <w:div w:id="672074304">
                              <w:marLeft w:val="0"/>
                              <w:marRight w:val="0"/>
                              <w:marTop w:val="0"/>
                              <w:marBottom w:val="0"/>
                              <w:divBdr>
                                <w:top w:val="none" w:sz="0" w:space="0" w:color="auto"/>
                                <w:left w:val="none" w:sz="0" w:space="0" w:color="auto"/>
                                <w:bottom w:val="none" w:sz="0" w:space="0" w:color="auto"/>
                                <w:right w:val="none" w:sz="0" w:space="0" w:color="auto"/>
                              </w:divBdr>
                              <w:divsChild>
                                <w:div w:id="1346441902">
                                  <w:marLeft w:val="0"/>
                                  <w:marRight w:val="0"/>
                                  <w:marTop w:val="0"/>
                                  <w:marBottom w:val="0"/>
                                  <w:divBdr>
                                    <w:top w:val="none" w:sz="0" w:space="0" w:color="auto"/>
                                    <w:left w:val="none" w:sz="0" w:space="0" w:color="auto"/>
                                    <w:bottom w:val="none" w:sz="0" w:space="0" w:color="auto"/>
                                    <w:right w:val="none" w:sz="0" w:space="0" w:color="auto"/>
                                  </w:divBdr>
                                  <w:divsChild>
                                    <w:div w:id="859391370">
                                      <w:marLeft w:val="0"/>
                                      <w:marRight w:val="0"/>
                                      <w:marTop w:val="0"/>
                                      <w:marBottom w:val="0"/>
                                      <w:divBdr>
                                        <w:top w:val="none" w:sz="0" w:space="0" w:color="auto"/>
                                        <w:left w:val="none" w:sz="0" w:space="0" w:color="auto"/>
                                        <w:bottom w:val="none" w:sz="0" w:space="0" w:color="auto"/>
                                        <w:right w:val="none" w:sz="0" w:space="0" w:color="auto"/>
                                      </w:divBdr>
                                      <w:divsChild>
                                        <w:div w:id="1135173396">
                                          <w:marLeft w:val="0"/>
                                          <w:marRight w:val="0"/>
                                          <w:marTop w:val="0"/>
                                          <w:marBottom w:val="0"/>
                                          <w:divBdr>
                                            <w:top w:val="none" w:sz="0" w:space="0" w:color="auto"/>
                                            <w:left w:val="none" w:sz="0" w:space="0" w:color="auto"/>
                                            <w:bottom w:val="none" w:sz="0" w:space="0" w:color="auto"/>
                                            <w:right w:val="none" w:sz="0" w:space="0" w:color="auto"/>
                                          </w:divBdr>
                                          <w:divsChild>
                                            <w:div w:id="306320991">
                                              <w:marLeft w:val="0"/>
                                              <w:marRight w:val="0"/>
                                              <w:marTop w:val="0"/>
                                              <w:marBottom w:val="0"/>
                                              <w:divBdr>
                                                <w:top w:val="none" w:sz="0" w:space="0" w:color="auto"/>
                                                <w:left w:val="none" w:sz="0" w:space="0" w:color="auto"/>
                                                <w:bottom w:val="none" w:sz="0" w:space="0" w:color="auto"/>
                                                <w:right w:val="none" w:sz="0" w:space="0" w:color="auto"/>
                                              </w:divBdr>
                                              <w:divsChild>
                                                <w:div w:id="970985930">
                                                  <w:marLeft w:val="0"/>
                                                  <w:marRight w:val="0"/>
                                                  <w:marTop w:val="0"/>
                                                  <w:marBottom w:val="0"/>
                                                  <w:divBdr>
                                                    <w:top w:val="none" w:sz="0" w:space="0" w:color="auto"/>
                                                    <w:left w:val="none" w:sz="0" w:space="0" w:color="auto"/>
                                                    <w:bottom w:val="none" w:sz="0" w:space="0" w:color="auto"/>
                                                    <w:right w:val="none" w:sz="0" w:space="0" w:color="auto"/>
                                                  </w:divBdr>
                                                  <w:divsChild>
                                                    <w:div w:id="1884516331">
                                                      <w:marLeft w:val="0"/>
                                                      <w:marRight w:val="0"/>
                                                      <w:marTop w:val="0"/>
                                                      <w:marBottom w:val="0"/>
                                                      <w:divBdr>
                                                        <w:top w:val="none" w:sz="0" w:space="0" w:color="auto"/>
                                                        <w:left w:val="none" w:sz="0" w:space="0" w:color="auto"/>
                                                        <w:bottom w:val="none" w:sz="0" w:space="0" w:color="auto"/>
                                                        <w:right w:val="none" w:sz="0" w:space="0" w:color="auto"/>
                                                      </w:divBdr>
                                                      <w:divsChild>
                                                        <w:div w:id="297028840">
                                                          <w:marLeft w:val="0"/>
                                                          <w:marRight w:val="0"/>
                                                          <w:marTop w:val="0"/>
                                                          <w:marBottom w:val="0"/>
                                                          <w:divBdr>
                                                            <w:top w:val="none" w:sz="0" w:space="0" w:color="auto"/>
                                                            <w:left w:val="none" w:sz="0" w:space="0" w:color="auto"/>
                                                            <w:bottom w:val="none" w:sz="0" w:space="0" w:color="auto"/>
                                                            <w:right w:val="none" w:sz="0" w:space="0" w:color="auto"/>
                                                          </w:divBdr>
                                                          <w:divsChild>
                                                            <w:div w:id="5138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6817917">
      <w:bodyDiv w:val="1"/>
      <w:marLeft w:val="0"/>
      <w:marRight w:val="0"/>
      <w:marTop w:val="0"/>
      <w:marBottom w:val="0"/>
      <w:divBdr>
        <w:top w:val="none" w:sz="0" w:space="0" w:color="auto"/>
        <w:left w:val="none" w:sz="0" w:space="0" w:color="auto"/>
        <w:bottom w:val="none" w:sz="0" w:space="0" w:color="auto"/>
        <w:right w:val="none" w:sz="0" w:space="0" w:color="auto"/>
      </w:divBdr>
    </w:div>
    <w:div w:id="824782870">
      <w:bodyDiv w:val="1"/>
      <w:marLeft w:val="0"/>
      <w:marRight w:val="0"/>
      <w:marTop w:val="0"/>
      <w:marBottom w:val="0"/>
      <w:divBdr>
        <w:top w:val="none" w:sz="0" w:space="0" w:color="auto"/>
        <w:left w:val="none" w:sz="0" w:space="0" w:color="auto"/>
        <w:bottom w:val="none" w:sz="0" w:space="0" w:color="auto"/>
        <w:right w:val="none" w:sz="0" w:space="0" w:color="auto"/>
      </w:divBdr>
    </w:div>
    <w:div w:id="859707252">
      <w:bodyDiv w:val="1"/>
      <w:marLeft w:val="0"/>
      <w:marRight w:val="0"/>
      <w:marTop w:val="0"/>
      <w:marBottom w:val="0"/>
      <w:divBdr>
        <w:top w:val="none" w:sz="0" w:space="0" w:color="auto"/>
        <w:left w:val="none" w:sz="0" w:space="0" w:color="auto"/>
        <w:bottom w:val="none" w:sz="0" w:space="0" w:color="auto"/>
        <w:right w:val="none" w:sz="0" w:space="0" w:color="auto"/>
      </w:divBdr>
    </w:div>
    <w:div w:id="921793553">
      <w:bodyDiv w:val="1"/>
      <w:marLeft w:val="0"/>
      <w:marRight w:val="0"/>
      <w:marTop w:val="0"/>
      <w:marBottom w:val="0"/>
      <w:divBdr>
        <w:top w:val="none" w:sz="0" w:space="0" w:color="auto"/>
        <w:left w:val="none" w:sz="0" w:space="0" w:color="auto"/>
        <w:bottom w:val="none" w:sz="0" w:space="0" w:color="auto"/>
        <w:right w:val="none" w:sz="0" w:space="0" w:color="auto"/>
      </w:divBdr>
    </w:div>
    <w:div w:id="928807561">
      <w:bodyDiv w:val="1"/>
      <w:marLeft w:val="0"/>
      <w:marRight w:val="0"/>
      <w:marTop w:val="0"/>
      <w:marBottom w:val="0"/>
      <w:divBdr>
        <w:top w:val="none" w:sz="0" w:space="0" w:color="auto"/>
        <w:left w:val="none" w:sz="0" w:space="0" w:color="auto"/>
        <w:bottom w:val="none" w:sz="0" w:space="0" w:color="auto"/>
        <w:right w:val="none" w:sz="0" w:space="0" w:color="auto"/>
      </w:divBdr>
    </w:div>
    <w:div w:id="1025980616">
      <w:bodyDiv w:val="1"/>
      <w:marLeft w:val="0"/>
      <w:marRight w:val="0"/>
      <w:marTop w:val="0"/>
      <w:marBottom w:val="0"/>
      <w:divBdr>
        <w:top w:val="none" w:sz="0" w:space="0" w:color="auto"/>
        <w:left w:val="none" w:sz="0" w:space="0" w:color="auto"/>
        <w:bottom w:val="none" w:sz="0" w:space="0" w:color="auto"/>
        <w:right w:val="none" w:sz="0" w:space="0" w:color="auto"/>
      </w:divBdr>
    </w:div>
    <w:div w:id="1230919189">
      <w:bodyDiv w:val="1"/>
      <w:marLeft w:val="0"/>
      <w:marRight w:val="0"/>
      <w:marTop w:val="0"/>
      <w:marBottom w:val="0"/>
      <w:divBdr>
        <w:top w:val="none" w:sz="0" w:space="0" w:color="auto"/>
        <w:left w:val="none" w:sz="0" w:space="0" w:color="auto"/>
        <w:bottom w:val="none" w:sz="0" w:space="0" w:color="auto"/>
        <w:right w:val="none" w:sz="0" w:space="0" w:color="auto"/>
      </w:divBdr>
    </w:div>
    <w:div w:id="1253975977">
      <w:bodyDiv w:val="1"/>
      <w:marLeft w:val="0"/>
      <w:marRight w:val="0"/>
      <w:marTop w:val="0"/>
      <w:marBottom w:val="0"/>
      <w:divBdr>
        <w:top w:val="none" w:sz="0" w:space="0" w:color="auto"/>
        <w:left w:val="none" w:sz="0" w:space="0" w:color="auto"/>
        <w:bottom w:val="none" w:sz="0" w:space="0" w:color="auto"/>
        <w:right w:val="none" w:sz="0" w:space="0" w:color="auto"/>
      </w:divBdr>
    </w:div>
    <w:div w:id="1268468992">
      <w:bodyDiv w:val="1"/>
      <w:marLeft w:val="0"/>
      <w:marRight w:val="0"/>
      <w:marTop w:val="0"/>
      <w:marBottom w:val="0"/>
      <w:divBdr>
        <w:top w:val="none" w:sz="0" w:space="0" w:color="auto"/>
        <w:left w:val="none" w:sz="0" w:space="0" w:color="auto"/>
        <w:bottom w:val="none" w:sz="0" w:space="0" w:color="auto"/>
        <w:right w:val="none" w:sz="0" w:space="0" w:color="auto"/>
      </w:divBdr>
    </w:div>
    <w:div w:id="1297947921">
      <w:bodyDiv w:val="1"/>
      <w:marLeft w:val="0"/>
      <w:marRight w:val="0"/>
      <w:marTop w:val="0"/>
      <w:marBottom w:val="0"/>
      <w:divBdr>
        <w:top w:val="none" w:sz="0" w:space="0" w:color="auto"/>
        <w:left w:val="none" w:sz="0" w:space="0" w:color="auto"/>
        <w:bottom w:val="none" w:sz="0" w:space="0" w:color="auto"/>
        <w:right w:val="none" w:sz="0" w:space="0" w:color="auto"/>
      </w:divBdr>
      <w:divsChild>
        <w:div w:id="1099762204">
          <w:marLeft w:val="0"/>
          <w:marRight w:val="0"/>
          <w:marTop w:val="0"/>
          <w:marBottom w:val="0"/>
          <w:divBdr>
            <w:top w:val="none" w:sz="0" w:space="0" w:color="C4DEEE"/>
            <w:left w:val="none" w:sz="0" w:space="0" w:color="C4DEEE"/>
            <w:bottom w:val="none" w:sz="0" w:space="0" w:color="C4DEEE"/>
            <w:right w:val="none" w:sz="0" w:space="0" w:color="C4DEEE"/>
          </w:divBdr>
          <w:divsChild>
            <w:div w:id="717242007">
              <w:marLeft w:val="0"/>
              <w:marRight w:val="0"/>
              <w:marTop w:val="0"/>
              <w:marBottom w:val="0"/>
              <w:divBdr>
                <w:top w:val="none" w:sz="0" w:space="0" w:color="C4DEEE"/>
                <w:left w:val="none" w:sz="0" w:space="0" w:color="C4DEEE"/>
                <w:bottom w:val="none" w:sz="0" w:space="0" w:color="C4DEEE"/>
                <w:right w:val="none" w:sz="0" w:space="0" w:color="C4DEEE"/>
              </w:divBdr>
            </w:div>
          </w:divsChild>
        </w:div>
        <w:div w:id="1853912157">
          <w:marLeft w:val="0"/>
          <w:marRight w:val="0"/>
          <w:marTop w:val="0"/>
          <w:marBottom w:val="0"/>
          <w:divBdr>
            <w:top w:val="none" w:sz="0" w:space="0" w:color="C4DEEE"/>
            <w:left w:val="none" w:sz="0" w:space="0" w:color="C4DEEE"/>
            <w:bottom w:val="none" w:sz="0" w:space="0" w:color="C4DEEE"/>
            <w:right w:val="none" w:sz="0" w:space="0" w:color="C4DEEE"/>
          </w:divBdr>
        </w:div>
      </w:divsChild>
    </w:div>
    <w:div w:id="1314287364">
      <w:bodyDiv w:val="1"/>
      <w:marLeft w:val="0"/>
      <w:marRight w:val="0"/>
      <w:marTop w:val="0"/>
      <w:marBottom w:val="0"/>
      <w:divBdr>
        <w:top w:val="none" w:sz="0" w:space="0" w:color="auto"/>
        <w:left w:val="none" w:sz="0" w:space="0" w:color="auto"/>
        <w:bottom w:val="none" w:sz="0" w:space="0" w:color="auto"/>
        <w:right w:val="none" w:sz="0" w:space="0" w:color="auto"/>
      </w:divBdr>
    </w:div>
    <w:div w:id="1314917327">
      <w:bodyDiv w:val="1"/>
      <w:marLeft w:val="0"/>
      <w:marRight w:val="0"/>
      <w:marTop w:val="0"/>
      <w:marBottom w:val="0"/>
      <w:divBdr>
        <w:top w:val="none" w:sz="0" w:space="0" w:color="auto"/>
        <w:left w:val="none" w:sz="0" w:space="0" w:color="auto"/>
        <w:bottom w:val="none" w:sz="0" w:space="0" w:color="auto"/>
        <w:right w:val="none" w:sz="0" w:space="0" w:color="auto"/>
      </w:divBdr>
    </w:div>
    <w:div w:id="1400977392">
      <w:bodyDiv w:val="1"/>
      <w:marLeft w:val="0"/>
      <w:marRight w:val="0"/>
      <w:marTop w:val="0"/>
      <w:marBottom w:val="0"/>
      <w:divBdr>
        <w:top w:val="none" w:sz="0" w:space="0" w:color="auto"/>
        <w:left w:val="none" w:sz="0" w:space="0" w:color="auto"/>
        <w:bottom w:val="none" w:sz="0" w:space="0" w:color="auto"/>
        <w:right w:val="none" w:sz="0" w:space="0" w:color="auto"/>
      </w:divBdr>
    </w:div>
    <w:div w:id="1479762671">
      <w:bodyDiv w:val="1"/>
      <w:marLeft w:val="0"/>
      <w:marRight w:val="0"/>
      <w:marTop w:val="0"/>
      <w:marBottom w:val="0"/>
      <w:divBdr>
        <w:top w:val="none" w:sz="0" w:space="0" w:color="auto"/>
        <w:left w:val="none" w:sz="0" w:space="0" w:color="auto"/>
        <w:bottom w:val="none" w:sz="0" w:space="0" w:color="auto"/>
        <w:right w:val="none" w:sz="0" w:space="0" w:color="auto"/>
      </w:divBdr>
    </w:div>
    <w:div w:id="1501265158">
      <w:bodyDiv w:val="1"/>
      <w:marLeft w:val="0"/>
      <w:marRight w:val="0"/>
      <w:marTop w:val="0"/>
      <w:marBottom w:val="0"/>
      <w:divBdr>
        <w:top w:val="none" w:sz="0" w:space="0" w:color="auto"/>
        <w:left w:val="none" w:sz="0" w:space="0" w:color="auto"/>
        <w:bottom w:val="none" w:sz="0" w:space="0" w:color="auto"/>
        <w:right w:val="none" w:sz="0" w:space="0" w:color="auto"/>
      </w:divBdr>
    </w:div>
    <w:div w:id="1787965656">
      <w:bodyDiv w:val="1"/>
      <w:marLeft w:val="0"/>
      <w:marRight w:val="0"/>
      <w:marTop w:val="0"/>
      <w:marBottom w:val="0"/>
      <w:divBdr>
        <w:top w:val="none" w:sz="0" w:space="0" w:color="auto"/>
        <w:left w:val="none" w:sz="0" w:space="0" w:color="auto"/>
        <w:bottom w:val="none" w:sz="0" w:space="0" w:color="auto"/>
        <w:right w:val="none" w:sz="0" w:space="0" w:color="auto"/>
      </w:divBdr>
    </w:div>
    <w:div w:id="1795639148">
      <w:bodyDiv w:val="1"/>
      <w:marLeft w:val="0"/>
      <w:marRight w:val="0"/>
      <w:marTop w:val="0"/>
      <w:marBottom w:val="0"/>
      <w:divBdr>
        <w:top w:val="none" w:sz="0" w:space="0" w:color="auto"/>
        <w:left w:val="none" w:sz="0" w:space="0" w:color="auto"/>
        <w:bottom w:val="none" w:sz="0" w:space="0" w:color="auto"/>
        <w:right w:val="none" w:sz="0" w:space="0" w:color="auto"/>
      </w:divBdr>
    </w:div>
    <w:div w:id="1869757340">
      <w:bodyDiv w:val="1"/>
      <w:marLeft w:val="0"/>
      <w:marRight w:val="0"/>
      <w:marTop w:val="0"/>
      <w:marBottom w:val="0"/>
      <w:divBdr>
        <w:top w:val="none" w:sz="0" w:space="0" w:color="auto"/>
        <w:left w:val="none" w:sz="0" w:space="0" w:color="auto"/>
        <w:bottom w:val="none" w:sz="0" w:space="0" w:color="auto"/>
        <w:right w:val="none" w:sz="0" w:space="0" w:color="auto"/>
      </w:divBdr>
    </w:div>
    <w:div w:id="1885602568">
      <w:bodyDiv w:val="1"/>
      <w:marLeft w:val="0"/>
      <w:marRight w:val="0"/>
      <w:marTop w:val="0"/>
      <w:marBottom w:val="0"/>
      <w:divBdr>
        <w:top w:val="none" w:sz="0" w:space="0" w:color="auto"/>
        <w:left w:val="none" w:sz="0" w:space="0" w:color="auto"/>
        <w:bottom w:val="none" w:sz="0" w:space="0" w:color="auto"/>
        <w:right w:val="none" w:sz="0" w:space="0" w:color="auto"/>
      </w:divBdr>
      <w:divsChild>
        <w:div w:id="388185502">
          <w:marLeft w:val="0"/>
          <w:marRight w:val="0"/>
          <w:marTop w:val="0"/>
          <w:marBottom w:val="0"/>
          <w:divBdr>
            <w:top w:val="none" w:sz="0" w:space="0" w:color="auto"/>
            <w:left w:val="none" w:sz="0" w:space="0" w:color="auto"/>
            <w:bottom w:val="none" w:sz="0" w:space="0" w:color="auto"/>
            <w:right w:val="none" w:sz="0" w:space="0" w:color="auto"/>
          </w:divBdr>
          <w:divsChild>
            <w:div w:id="766459091">
              <w:marLeft w:val="0"/>
              <w:marRight w:val="0"/>
              <w:marTop w:val="0"/>
              <w:marBottom w:val="0"/>
              <w:divBdr>
                <w:top w:val="none" w:sz="0" w:space="0" w:color="auto"/>
                <w:left w:val="none" w:sz="0" w:space="0" w:color="auto"/>
                <w:bottom w:val="none" w:sz="0" w:space="0" w:color="auto"/>
                <w:right w:val="none" w:sz="0" w:space="0" w:color="auto"/>
              </w:divBdr>
              <w:divsChild>
                <w:div w:id="2009166847">
                  <w:marLeft w:val="0"/>
                  <w:marRight w:val="0"/>
                  <w:marTop w:val="0"/>
                  <w:marBottom w:val="0"/>
                  <w:divBdr>
                    <w:top w:val="none" w:sz="0" w:space="0" w:color="auto"/>
                    <w:left w:val="none" w:sz="0" w:space="0" w:color="auto"/>
                    <w:bottom w:val="none" w:sz="0" w:space="0" w:color="auto"/>
                    <w:right w:val="none" w:sz="0" w:space="0" w:color="auto"/>
                  </w:divBdr>
                  <w:divsChild>
                    <w:div w:id="69541012">
                      <w:marLeft w:val="0"/>
                      <w:marRight w:val="0"/>
                      <w:marTop w:val="0"/>
                      <w:marBottom w:val="0"/>
                      <w:divBdr>
                        <w:top w:val="none" w:sz="0" w:space="0" w:color="auto"/>
                        <w:left w:val="none" w:sz="0" w:space="0" w:color="auto"/>
                        <w:bottom w:val="none" w:sz="0" w:space="0" w:color="auto"/>
                        <w:right w:val="none" w:sz="0" w:space="0" w:color="auto"/>
                      </w:divBdr>
                      <w:divsChild>
                        <w:div w:id="1686130717">
                          <w:marLeft w:val="0"/>
                          <w:marRight w:val="0"/>
                          <w:marTop w:val="0"/>
                          <w:marBottom w:val="0"/>
                          <w:divBdr>
                            <w:top w:val="none" w:sz="0" w:space="0" w:color="auto"/>
                            <w:left w:val="none" w:sz="0" w:space="0" w:color="auto"/>
                            <w:bottom w:val="none" w:sz="0" w:space="0" w:color="auto"/>
                            <w:right w:val="none" w:sz="0" w:space="0" w:color="auto"/>
                          </w:divBdr>
                          <w:divsChild>
                            <w:div w:id="1233615446">
                              <w:marLeft w:val="2700"/>
                              <w:marRight w:val="3960"/>
                              <w:marTop w:val="0"/>
                              <w:marBottom w:val="0"/>
                              <w:divBdr>
                                <w:top w:val="none" w:sz="0" w:space="0" w:color="auto"/>
                                <w:left w:val="none" w:sz="0" w:space="0" w:color="auto"/>
                                <w:bottom w:val="none" w:sz="0" w:space="0" w:color="auto"/>
                                <w:right w:val="none" w:sz="0" w:space="0" w:color="auto"/>
                              </w:divBdr>
                              <w:divsChild>
                                <w:div w:id="1107046358">
                                  <w:marLeft w:val="0"/>
                                  <w:marRight w:val="0"/>
                                  <w:marTop w:val="0"/>
                                  <w:marBottom w:val="0"/>
                                  <w:divBdr>
                                    <w:top w:val="none" w:sz="0" w:space="0" w:color="auto"/>
                                    <w:left w:val="none" w:sz="0" w:space="0" w:color="auto"/>
                                    <w:bottom w:val="none" w:sz="0" w:space="0" w:color="auto"/>
                                    <w:right w:val="none" w:sz="0" w:space="0" w:color="auto"/>
                                  </w:divBdr>
                                  <w:divsChild>
                                    <w:div w:id="691801364">
                                      <w:marLeft w:val="0"/>
                                      <w:marRight w:val="0"/>
                                      <w:marTop w:val="0"/>
                                      <w:marBottom w:val="0"/>
                                      <w:divBdr>
                                        <w:top w:val="none" w:sz="0" w:space="0" w:color="auto"/>
                                        <w:left w:val="none" w:sz="0" w:space="0" w:color="auto"/>
                                        <w:bottom w:val="none" w:sz="0" w:space="0" w:color="auto"/>
                                        <w:right w:val="none" w:sz="0" w:space="0" w:color="auto"/>
                                      </w:divBdr>
                                      <w:divsChild>
                                        <w:div w:id="506214378">
                                          <w:marLeft w:val="0"/>
                                          <w:marRight w:val="0"/>
                                          <w:marTop w:val="0"/>
                                          <w:marBottom w:val="0"/>
                                          <w:divBdr>
                                            <w:top w:val="none" w:sz="0" w:space="0" w:color="auto"/>
                                            <w:left w:val="none" w:sz="0" w:space="0" w:color="auto"/>
                                            <w:bottom w:val="none" w:sz="0" w:space="0" w:color="auto"/>
                                            <w:right w:val="none" w:sz="0" w:space="0" w:color="auto"/>
                                          </w:divBdr>
                                          <w:divsChild>
                                            <w:div w:id="872620238">
                                              <w:marLeft w:val="0"/>
                                              <w:marRight w:val="0"/>
                                              <w:marTop w:val="90"/>
                                              <w:marBottom w:val="0"/>
                                              <w:divBdr>
                                                <w:top w:val="none" w:sz="0" w:space="0" w:color="auto"/>
                                                <w:left w:val="none" w:sz="0" w:space="0" w:color="auto"/>
                                                <w:bottom w:val="none" w:sz="0" w:space="0" w:color="auto"/>
                                                <w:right w:val="none" w:sz="0" w:space="0" w:color="auto"/>
                                              </w:divBdr>
                                              <w:divsChild>
                                                <w:div w:id="385952579">
                                                  <w:marLeft w:val="0"/>
                                                  <w:marRight w:val="0"/>
                                                  <w:marTop w:val="0"/>
                                                  <w:marBottom w:val="420"/>
                                                  <w:divBdr>
                                                    <w:top w:val="none" w:sz="0" w:space="0" w:color="auto"/>
                                                    <w:left w:val="none" w:sz="0" w:space="0" w:color="auto"/>
                                                    <w:bottom w:val="none" w:sz="0" w:space="0" w:color="auto"/>
                                                    <w:right w:val="none" w:sz="0" w:space="0" w:color="auto"/>
                                                  </w:divBdr>
                                                  <w:divsChild>
                                                    <w:div w:id="247077580">
                                                      <w:marLeft w:val="0"/>
                                                      <w:marRight w:val="0"/>
                                                      <w:marTop w:val="0"/>
                                                      <w:marBottom w:val="0"/>
                                                      <w:divBdr>
                                                        <w:top w:val="none" w:sz="0" w:space="0" w:color="auto"/>
                                                        <w:left w:val="none" w:sz="0" w:space="0" w:color="auto"/>
                                                        <w:bottom w:val="none" w:sz="0" w:space="0" w:color="auto"/>
                                                        <w:right w:val="none" w:sz="0" w:space="0" w:color="auto"/>
                                                      </w:divBdr>
                                                      <w:divsChild>
                                                        <w:div w:id="165178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7737061">
      <w:bodyDiv w:val="1"/>
      <w:marLeft w:val="0"/>
      <w:marRight w:val="0"/>
      <w:marTop w:val="0"/>
      <w:marBottom w:val="0"/>
      <w:divBdr>
        <w:top w:val="none" w:sz="0" w:space="0" w:color="auto"/>
        <w:left w:val="none" w:sz="0" w:space="0" w:color="auto"/>
        <w:bottom w:val="none" w:sz="0" w:space="0" w:color="auto"/>
        <w:right w:val="none" w:sz="0" w:space="0" w:color="auto"/>
      </w:divBdr>
    </w:div>
    <w:div w:id="1917737575">
      <w:bodyDiv w:val="1"/>
      <w:marLeft w:val="0"/>
      <w:marRight w:val="0"/>
      <w:marTop w:val="0"/>
      <w:marBottom w:val="0"/>
      <w:divBdr>
        <w:top w:val="none" w:sz="0" w:space="0" w:color="auto"/>
        <w:left w:val="none" w:sz="0" w:space="0" w:color="auto"/>
        <w:bottom w:val="none" w:sz="0" w:space="0" w:color="auto"/>
        <w:right w:val="none" w:sz="0" w:space="0" w:color="auto"/>
      </w:divBdr>
    </w:div>
    <w:div w:id="1924950476">
      <w:bodyDiv w:val="1"/>
      <w:marLeft w:val="0"/>
      <w:marRight w:val="0"/>
      <w:marTop w:val="0"/>
      <w:marBottom w:val="0"/>
      <w:divBdr>
        <w:top w:val="none" w:sz="0" w:space="0" w:color="auto"/>
        <w:left w:val="none" w:sz="0" w:space="0" w:color="auto"/>
        <w:bottom w:val="none" w:sz="0" w:space="0" w:color="auto"/>
        <w:right w:val="none" w:sz="0" w:space="0" w:color="auto"/>
      </w:divBdr>
      <w:divsChild>
        <w:div w:id="1211115562">
          <w:marLeft w:val="0"/>
          <w:marRight w:val="0"/>
          <w:marTop w:val="0"/>
          <w:marBottom w:val="0"/>
          <w:divBdr>
            <w:top w:val="none" w:sz="0" w:space="0" w:color="auto"/>
            <w:left w:val="none" w:sz="0" w:space="0" w:color="auto"/>
            <w:bottom w:val="none" w:sz="0" w:space="0" w:color="auto"/>
            <w:right w:val="none" w:sz="0" w:space="0" w:color="auto"/>
          </w:divBdr>
          <w:divsChild>
            <w:div w:id="203639385">
              <w:marLeft w:val="0"/>
              <w:marRight w:val="0"/>
              <w:marTop w:val="0"/>
              <w:marBottom w:val="0"/>
              <w:divBdr>
                <w:top w:val="none" w:sz="0" w:space="0" w:color="auto"/>
                <w:left w:val="none" w:sz="0" w:space="0" w:color="auto"/>
                <w:bottom w:val="none" w:sz="0" w:space="0" w:color="auto"/>
                <w:right w:val="none" w:sz="0" w:space="0" w:color="auto"/>
              </w:divBdr>
              <w:divsChild>
                <w:div w:id="1213343937">
                  <w:marLeft w:val="0"/>
                  <w:marRight w:val="0"/>
                  <w:marTop w:val="0"/>
                  <w:marBottom w:val="0"/>
                  <w:divBdr>
                    <w:top w:val="none" w:sz="0" w:space="0" w:color="auto"/>
                    <w:left w:val="none" w:sz="0" w:space="0" w:color="auto"/>
                    <w:bottom w:val="none" w:sz="0" w:space="0" w:color="auto"/>
                    <w:right w:val="none" w:sz="0" w:space="0" w:color="auto"/>
                  </w:divBdr>
                  <w:divsChild>
                    <w:div w:id="1465387421">
                      <w:marLeft w:val="0"/>
                      <w:marRight w:val="0"/>
                      <w:marTop w:val="0"/>
                      <w:marBottom w:val="0"/>
                      <w:divBdr>
                        <w:top w:val="none" w:sz="0" w:space="0" w:color="auto"/>
                        <w:left w:val="none" w:sz="0" w:space="0" w:color="auto"/>
                        <w:bottom w:val="none" w:sz="0" w:space="0" w:color="auto"/>
                        <w:right w:val="none" w:sz="0" w:space="0" w:color="auto"/>
                      </w:divBdr>
                      <w:divsChild>
                        <w:div w:id="1331907375">
                          <w:marLeft w:val="0"/>
                          <w:marRight w:val="0"/>
                          <w:marTop w:val="0"/>
                          <w:marBottom w:val="0"/>
                          <w:divBdr>
                            <w:top w:val="none" w:sz="0" w:space="0" w:color="auto"/>
                            <w:left w:val="none" w:sz="0" w:space="0" w:color="auto"/>
                            <w:bottom w:val="none" w:sz="0" w:space="0" w:color="auto"/>
                            <w:right w:val="none" w:sz="0" w:space="0" w:color="auto"/>
                          </w:divBdr>
                          <w:divsChild>
                            <w:div w:id="1692029509">
                              <w:marLeft w:val="2700"/>
                              <w:marRight w:val="3960"/>
                              <w:marTop w:val="0"/>
                              <w:marBottom w:val="0"/>
                              <w:divBdr>
                                <w:top w:val="none" w:sz="0" w:space="0" w:color="auto"/>
                                <w:left w:val="none" w:sz="0" w:space="0" w:color="auto"/>
                                <w:bottom w:val="none" w:sz="0" w:space="0" w:color="auto"/>
                                <w:right w:val="none" w:sz="0" w:space="0" w:color="auto"/>
                              </w:divBdr>
                              <w:divsChild>
                                <w:div w:id="417941488">
                                  <w:marLeft w:val="0"/>
                                  <w:marRight w:val="0"/>
                                  <w:marTop w:val="0"/>
                                  <w:marBottom w:val="0"/>
                                  <w:divBdr>
                                    <w:top w:val="none" w:sz="0" w:space="0" w:color="auto"/>
                                    <w:left w:val="none" w:sz="0" w:space="0" w:color="auto"/>
                                    <w:bottom w:val="none" w:sz="0" w:space="0" w:color="auto"/>
                                    <w:right w:val="none" w:sz="0" w:space="0" w:color="auto"/>
                                  </w:divBdr>
                                  <w:divsChild>
                                    <w:div w:id="545534216">
                                      <w:marLeft w:val="0"/>
                                      <w:marRight w:val="0"/>
                                      <w:marTop w:val="0"/>
                                      <w:marBottom w:val="0"/>
                                      <w:divBdr>
                                        <w:top w:val="none" w:sz="0" w:space="0" w:color="auto"/>
                                        <w:left w:val="none" w:sz="0" w:space="0" w:color="auto"/>
                                        <w:bottom w:val="none" w:sz="0" w:space="0" w:color="auto"/>
                                        <w:right w:val="none" w:sz="0" w:space="0" w:color="auto"/>
                                      </w:divBdr>
                                      <w:divsChild>
                                        <w:div w:id="680395253">
                                          <w:marLeft w:val="0"/>
                                          <w:marRight w:val="0"/>
                                          <w:marTop w:val="0"/>
                                          <w:marBottom w:val="0"/>
                                          <w:divBdr>
                                            <w:top w:val="none" w:sz="0" w:space="0" w:color="auto"/>
                                            <w:left w:val="none" w:sz="0" w:space="0" w:color="auto"/>
                                            <w:bottom w:val="none" w:sz="0" w:space="0" w:color="auto"/>
                                            <w:right w:val="none" w:sz="0" w:space="0" w:color="auto"/>
                                          </w:divBdr>
                                          <w:divsChild>
                                            <w:div w:id="1585382268">
                                              <w:marLeft w:val="0"/>
                                              <w:marRight w:val="0"/>
                                              <w:marTop w:val="90"/>
                                              <w:marBottom w:val="0"/>
                                              <w:divBdr>
                                                <w:top w:val="none" w:sz="0" w:space="0" w:color="auto"/>
                                                <w:left w:val="none" w:sz="0" w:space="0" w:color="auto"/>
                                                <w:bottom w:val="none" w:sz="0" w:space="0" w:color="auto"/>
                                                <w:right w:val="none" w:sz="0" w:space="0" w:color="auto"/>
                                              </w:divBdr>
                                              <w:divsChild>
                                                <w:div w:id="1646741204">
                                                  <w:marLeft w:val="0"/>
                                                  <w:marRight w:val="0"/>
                                                  <w:marTop w:val="0"/>
                                                  <w:marBottom w:val="420"/>
                                                  <w:divBdr>
                                                    <w:top w:val="none" w:sz="0" w:space="0" w:color="auto"/>
                                                    <w:left w:val="none" w:sz="0" w:space="0" w:color="auto"/>
                                                    <w:bottom w:val="none" w:sz="0" w:space="0" w:color="auto"/>
                                                    <w:right w:val="none" w:sz="0" w:space="0" w:color="auto"/>
                                                  </w:divBdr>
                                                  <w:divsChild>
                                                    <w:div w:id="925381104">
                                                      <w:marLeft w:val="0"/>
                                                      <w:marRight w:val="0"/>
                                                      <w:marTop w:val="0"/>
                                                      <w:marBottom w:val="0"/>
                                                      <w:divBdr>
                                                        <w:top w:val="none" w:sz="0" w:space="0" w:color="auto"/>
                                                        <w:left w:val="none" w:sz="0" w:space="0" w:color="auto"/>
                                                        <w:bottom w:val="none" w:sz="0" w:space="0" w:color="auto"/>
                                                        <w:right w:val="none" w:sz="0" w:space="0" w:color="auto"/>
                                                      </w:divBdr>
                                                      <w:divsChild>
                                                        <w:div w:id="702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84040275">
      <w:bodyDiv w:val="1"/>
      <w:marLeft w:val="0"/>
      <w:marRight w:val="0"/>
      <w:marTop w:val="0"/>
      <w:marBottom w:val="0"/>
      <w:divBdr>
        <w:top w:val="none" w:sz="0" w:space="0" w:color="auto"/>
        <w:left w:val="none" w:sz="0" w:space="0" w:color="auto"/>
        <w:bottom w:val="none" w:sz="0" w:space="0" w:color="auto"/>
        <w:right w:val="none" w:sz="0" w:space="0" w:color="auto"/>
      </w:divBdr>
    </w:div>
    <w:div w:id="2004772420">
      <w:bodyDiv w:val="1"/>
      <w:marLeft w:val="0"/>
      <w:marRight w:val="0"/>
      <w:marTop w:val="0"/>
      <w:marBottom w:val="0"/>
      <w:divBdr>
        <w:top w:val="none" w:sz="0" w:space="0" w:color="auto"/>
        <w:left w:val="none" w:sz="0" w:space="0" w:color="auto"/>
        <w:bottom w:val="none" w:sz="0" w:space="0" w:color="auto"/>
        <w:right w:val="none" w:sz="0" w:space="0" w:color="auto"/>
      </w:divBdr>
    </w:div>
    <w:div w:id="21352455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bs.gov.au/reviews/subsidised-medicines-reviews-files/2024-post-market-review-framework.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bs.gov.au/info/reviews/review-of-cancer-related-surrogate-outcomes-used-for-pharmaceutical" TargetMode="External"/><Relationship Id="rId5" Type="http://schemas.openxmlformats.org/officeDocument/2006/relationships/webSettings" Target="webSettings.xml"/><Relationship Id="rId10" Type="http://schemas.openxmlformats.org/officeDocument/2006/relationships/hyperlink" Target="https://www.pbs.gov.au/info/reviews/pbs-restriction-changes-to-type-2-diabetes-mellitus-t2dm-medicines" TargetMode="External"/><Relationship Id="rId4" Type="http://schemas.openxmlformats.org/officeDocument/2006/relationships/settings" Target="settings.xml"/><Relationship Id="rId9" Type="http://schemas.openxmlformats.org/officeDocument/2006/relationships/hyperlink" Target="mailto:PBSpostmarket@health.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DFB1C-DBD2-4079-BC7A-5B15D3ACD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2932</Words>
  <Characters>16715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2024-10-16T03:35:00Z</dcterms:created>
  <dcterms:modified xsi:type="dcterms:W3CDTF">2024-10-16T03:35:00Z</dcterms:modified>
</cp:coreProperties>
</file>