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31886" w14:textId="206D6FEB" w:rsidR="002E3851" w:rsidRDefault="000D1DC6" w:rsidP="00D91D28">
      <w:pPr>
        <w:pStyle w:val="Heading1"/>
        <w:jc w:val="both"/>
      </w:pPr>
      <w:r w:rsidRPr="00BC6201">
        <w:t xml:space="preserve">Recommendations made by the PBAC – </w:t>
      </w:r>
      <w:r w:rsidR="009C4440">
        <w:t>November</w:t>
      </w:r>
      <w:r w:rsidR="00D91D28">
        <w:t xml:space="preserve"> 2024</w:t>
      </w:r>
      <w:r w:rsidR="00A843B6">
        <w:t xml:space="preserve"> </w:t>
      </w:r>
      <w:r w:rsidR="00D91D28">
        <w:t xml:space="preserve">meeting </w:t>
      </w:r>
      <w:r w:rsidR="00F25D17">
        <w:t xml:space="preserve"> </w:t>
      </w:r>
    </w:p>
    <w:p w14:paraId="11E23529" w14:textId="3F4186A9" w:rsidR="00B6156E" w:rsidRPr="00A62FCB" w:rsidRDefault="00B6156E" w:rsidP="00B6156E">
      <w:pPr>
        <w:pStyle w:val="Heading2"/>
        <w:rPr>
          <w:rFonts w:ascii="Open Sans" w:hAnsi="Open Sans" w:cs="Open Sans"/>
          <w:b w:val="0"/>
          <w:bCs w:val="0"/>
          <w:color w:val="auto"/>
          <w:sz w:val="20"/>
          <w:szCs w:val="20"/>
          <w:lang w:eastAsia="en-US"/>
        </w:rPr>
      </w:pPr>
      <w:r w:rsidRPr="00A62FCB">
        <w:rPr>
          <w:rFonts w:ascii="Open Sans" w:hAnsi="Open Sans" w:cs="Open Sans"/>
          <w:b w:val="0"/>
          <w:bCs w:val="0"/>
          <w:color w:val="auto"/>
          <w:sz w:val="20"/>
          <w:szCs w:val="20"/>
          <w:lang w:eastAsia="en-US"/>
        </w:rPr>
        <w:t xml:space="preserve">Last updated: 1 </w:t>
      </w:r>
      <w:r w:rsidR="00B021CC">
        <w:rPr>
          <w:rFonts w:ascii="Open Sans" w:hAnsi="Open Sans" w:cs="Open Sans"/>
          <w:b w:val="0"/>
          <w:bCs w:val="0"/>
          <w:color w:val="auto"/>
          <w:sz w:val="20"/>
          <w:szCs w:val="20"/>
          <w:lang w:eastAsia="en-US"/>
        </w:rPr>
        <w:t>February</w:t>
      </w:r>
      <w:r w:rsidRPr="00A62FCB">
        <w:rPr>
          <w:rFonts w:ascii="Open Sans" w:hAnsi="Open Sans" w:cs="Open Sans"/>
          <w:b w:val="0"/>
          <w:bCs w:val="0"/>
          <w:color w:val="auto"/>
          <w:sz w:val="20"/>
          <w:szCs w:val="20"/>
          <w:lang w:eastAsia="en-US"/>
        </w:rPr>
        <w:t xml:space="preserve"> 202</w:t>
      </w:r>
      <w:r w:rsidR="00B021CC">
        <w:rPr>
          <w:rFonts w:ascii="Open Sans" w:hAnsi="Open Sans" w:cs="Open Sans"/>
          <w:b w:val="0"/>
          <w:bCs w:val="0"/>
          <w:color w:val="auto"/>
          <w:sz w:val="20"/>
          <w:szCs w:val="20"/>
          <w:lang w:eastAsia="en-US"/>
        </w:rPr>
        <w:t>5</w:t>
      </w:r>
    </w:p>
    <w:p w14:paraId="796225F6" w14:textId="431C0AC7" w:rsidR="002E3851" w:rsidRDefault="00280D51" w:rsidP="003145D3">
      <w:pPr>
        <w:pStyle w:val="Heading2"/>
        <w:rPr>
          <w:rFonts w:eastAsiaTheme="majorEastAsia"/>
        </w:rPr>
      </w:pPr>
      <w:r>
        <w:rPr>
          <w:rFonts w:eastAsiaTheme="majorEastAsia"/>
        </w:rPr>
        <w:t>Nurse practitioner</w:t>
      </w:r>
      <w:r w:rsidR="00D91D28">
        <w:rPr>
          <w:rFonts w:eastAsiaTheme="majorEastAsia"/>
        </w:rPr>
        <w:t xml:space="preserve"> </w:t>
      </w:r>
      <w:r w:rsidR="000D1DC6">
        <w:rPr>
          <w:rFonts w:eastAsiaTheme="majorEastAsia"/>
        </w:rPr>
        <w:t xml:space="preserve">– </w:t>
      </w:r>
      <w:r w:rsidR="00560C3E">
        <w:rPr>
          <w:rFonts w:eastAsiaTheme="majorEastAsia"/>
        </w:rPr>
        <w:t xml:space="preserve">Continuing Therapy Only </w:t>
      </w:r>
      <w:r w:rsidR="000D1DC6">
        <w:rPr>
          <w:rFonts w:eastAsiaTheme="majorEastAsia"/>
        </w:rPr>
        <w:t xml:space="preserve">PBS listings </w:t>
      </w:r>
    </w:p>
    <w:p w14:paraId="1FA5570C" w14:textId="0BE993AC" w:rsidR="00876810" w:rsidRDefault="000D1DC6" w:rsidP="00036184">
      <w:pPr>
        <w:shd w:val="clear" w:color="auto" w:fill="FFFFFF"/>
        <w:spacing w:after="90" w:line="300" w:lineRule="atLeast"/>
        <w:rPr>
          <w:rFonts w:ascii="Open Sans" w:eastAsia="Times New Roman" w:hAnsi="Open Sans" w:cs="Open Sans"/>
          <w:sz w:val="20"/>
          <w:szCs w:val="20"/>
          <w:lang w:eastAsia="en-AU"/>
        </w:rPr>
      </w:pPr>
      <w:r w:rsidRPr="00C21C04">
        <w:rPr>
          <w:rFonts w:ascii="Open Sans" w:eastAsia="Times New Roman" w:hAnsi="Open Sans" w:cs="Open Sans"/>
          <w:sz w:val="20"/>
          <w:szCs w:val="20"/>
        </w:rPr>
        <w:t xml:space="preserve">At its </w:t>
      </w:r>
      <w:hyperlink r:id="rId8" w:history="1">
        <w:r w:rsidR="00313CF7" w:rsidRPr="00313CF7">
          <w:rPr>
            <w:rStyle w:val="Hyperlink"/>
            <w:rFonts w:ascii="Open Sans" w:eastAsia="Times New Roman" w:hAnsi="Open Sans" w:cs="Open Sans"/>
            <w:sz w:val="20"/>
            <w:szCs w:val="20"/>
            <w:lang w:eastAsia="en-AU"/>
          </w:rPr>
          <w:t>November 2024 meeting</w:t>
        </w:r>
      </w:hyperlink>
      <w:r w:rsidR="00313CF7" w:rsidRPr="00313CF7">
        <w:rPr>
          <w:rFonts w:ascii="Open Sans" w:eastAsia="Times New Roman" w:hAnsi="Open Sans" w:cs="Open Sans"/>
          <w:sz w:val="20"/>
          <w:szCs w:val="20"/>
          <w:lang w:eastAsia="en-AU"/>
        </w:rPr>
        <w:t xml:space="preserve">, the </w:t>
      </w:r>
      <w:r w:rsidR="00313CF7" w:rsidRPr="00C21C04">
        <w:rPr>
          <w:rFonts w:ascii="Open Sans" w:eastAsia="Times New Roman" w:hAnsi="Open Sans" w:cs="Open Sans"/>
          <w:sz w:val="20"/>
          <w:szCs w:val="20"/>
        </w:rPr>
        <w:t xml:space="preserve">Pharmaceutical Benefits Advisory Committee (PBAC) </w:t>
      </w:r>
      <w:r w:rsidR="00313CF7" w:rsidRPr="00313CF7">
        <w:rPr>
          <w:rFonts w:ascii="Open Sans" w:eastAsia="Times New Roman" w:hAnsi="Open Sans" w:cs="Open Sans"/>
          <w:sz w:val="20"/>
          <w:szCs w:val="20"/>
          <w:lang w:eastAsia="en-AU"/>
        </w:rPr>
        <w:t xml:space="preserve">considered </w:t>
      </w:r>
      <w:r w:rsidR="00280D51">
        <w:rPr>
          <w:rFonts w:ascii="Open Sans" w:eastAsia="Times New Roman" w:hAnsi="Open Sans" w:cs="Open Sans"/>
          <w:sz w:val="20"/>
          <w:szCs w:val="20"/>
          <w:lang w:eastAsia="en-AU"/>
        </w:rPr>
        <w:t>approximately</w:t>
      </w:r>
      <w:r w:rsidR="00313CF7" w:rsidRPr="00313CF7">
        <w:rPr>
          <w:rFonts w:ascii="Open Sans" w:eastAsia="Times New Roman" w:hAnsi="Open Sans" w:cs="Open Sans"/>
          <w:sz w:val="20"/>
          <w:szCs w:val="20"/>
          <w:lang w:eastAsia="en-AU"/>
        </w:rPr>
        <w:t xml:space="preserve"> 140 PBS medicines </w:t>
      </w:r>
      <w:r w:rsidR="00403980">
        <w:rPr>
          <w:rFonts w:ascii="Open Sans" w:eastAsia="Times New Roman" w:hAnsi="Open Sans" w:cs="Open Sans"/>
          <w:sz w:val="20"/>
          <w:szCs w:val="20"/>
          <w:lang w:eastAsia="en-AU"/>
        </w:rPr>
        <w:t xml:space="preserve">with restrictions </w:t>
      </w:r>
      <w:r w:rsidR="00313CF7" w:rsidRPr="00313CF7">
        <w:rPr>
          <w:rFonts w:ascii="Open Sans" w:eastAsia="Times New Roman" w:hAnsi="Open Sans" w:cs="Open Sans"/>
          <w:sz w:val="20"/>
          <w:szCs w:val="20"/>
          <w:lang w:eastAsia="en-AU"/>
        </w:rPr>
        <w:t>that contain an administrative note limiting nurse practitioner prescribing to continuing therapy only (CTO)</w:t>
      </w:r>
      <w:r w:rsidR="00C017FA" w:rsidRPr="00C017FA">
        <w:rPr>
          <w:rStyle w:val="FootnoteReference"/>
          <w:rFonts w:ascii="Open Sans" w:eastAsia="Times New Roman" w:hAnsi="Open Sans" w:cs="Open Sans"/>
          <w:sz w:val="20"/>
          <w:szCs w:val="20"/>
          <w:lang w:eastAsia="en-AU"/>
        </w:rPr>
        <w:t xml:space="preserve"> </w:t>
      </w:r>
      <w:r w:rsidR="00C017FA">
        <w:rPr>
          <w:rStyle w:val="FootnoteReference"/>
          <w:rFonts w:ascii="Open Sans" w:eastAsia="Times New Roman" w:hAnsi="Open Sans" w:cs="Open Sans"/>
          <w:sz w:val="20"/>
          <w:szCs w:val="20"/>
          <w:lang w:eastAsia="en-AU"/>
        </w:rPr>
        <w:footnoteReference w:id="1"/>
      </w:r>
      <w:r w:rsidR="00313CF7" w:rsidRPr="00313CF7">
        <w:rPr>
          <w:rFonts w:ascii="Open Sans" w:eastAsia="Times New Roman" w:hAnsi="Open Sans" w:cs="Open Sans"/>
          <w:sz w:val="20"/>
          <w:szCs w:val="20"/>
          <w:lang w:eastAsia="en-AU"/>
        </w:rPr>
        <w:t xml:space="preserve">. </w:t>
      </w:r>
    </w:p>
    <w:p w14:paraId="01190B04" w14:textId="21D8791F" w:rsidR="00876810" w:rsidRDefault="00876810" w:rsidP="00036184">
      <w:pPr>
        <w:shd w:val="clear" w:color="auto" w:fill="FFFFFF"/>
        <w:spacing w:after="90" w:line="300" w:lineRule="atLeast"/>
        <w:rPr>
          <w:rFonts w:ascii="Open Sans" w:eastAsia="Times New Roman" w:hAnsi="Open Sans" w:cs="Open Sans"/>
          <w:sz w:val="20"/>
          <w:szCs w:val="20"/>
          <w:lang w:eastAsia="en-AU"/>
        </w:rPr>
      </w:pPr>
      <w:r w:rsidRPr="00A31002">
        <w:rPr>
          <w:rFonts w:ascii="Open Sans" w:eastAsia="Times New Roman" w:hAnsi="Open Sans" w:cs="Open Sans"/>
          <w:sz w:val="20"/>
          <w:szCs w:val="20"/>
        </w:rPr>
        <w:t>The PBAC noted the purpose of reviewing the CTO requirements is to enable nurse practitioners to prescribe PBS subsidised medicines within their scope of practice and existing prescribing rights</w:t>
      </w:r>
      <w:r>
        <w:rPr>
          <w:rFonts w:ascii="Open Sans" w:eastAsia="Times New Roman" w:hAnsi="Open Sans" w:cs="Open Sans"/>
          <w:sz w:val="20"/>
          <w:szCs w:val="20"/>
        </w:rPr>
        <w:t>, which are</w:t>
      </w:r>
      <w:r w:rsidRPr="00A31002">
        <w:rPr>
          <w:rFonts w:ascii="Open Sans" w:eastAsia="Times New Roman" w:hAnsi="Open Sans" w:cs="Open Sans"/>
          <w:sz w:val="20"/>
          <w:szCs w:val="20"/>
        </w:rPr>
        <w:t xml:space="preserve"> determined by states and territories.</w:t>
      </w:r>
      <w:r w:rsidRPr="009D4238">
        <w:t xml:space="preserve"> </w:t>
      </w:r>
      <w:r>
        <w:rPr>
          <w:rFonts w:ascii="Open Sans" w:eastAsia="Times New Roman" w:hAnsi="Open Sans" w:cs="Open Sans"/>
          <w:sz w:val="20"/>
          <w:szCs w:val="20"/>
        </w:rPr>
        <w:t>S</w:t>
      </w:r>
      <w:r w:rsidRPr="009D4238">
        <w:rPr>
          <w:rFonts w:ascii="Open Sans" w:eastAsia="Times New Roman" w:hAnsi="Open Sans" w:cs="Open Sans"/>
          <w:sz w:val="20"/>
          <w:szCs w:val="20"/>
        </w:rPr>
        <w:t>cope of practice varies between individual nurse practitioners and the decision by an individual nurse practitioner to initiate or continue treatment with a particular medicine is influenced by that individual’s scope of practice and governed by professional standards as set by the Nursing and Midwifery Board of Australia and any state or territory law</w:t>
      </w:r>
      <w:r w:rsidR="00FF548C">
        <w:rPr>
          <w:rFonts w:ascii="Open Sans" w:eastAsia="Times New Roman" w:hAnsi="Open Sans" w:cs="Open Sans"/>
          <w:sz w:val="20"/>
          <w:szCs w:val="20"/>
        </w:rPr>
        <w:t>.</w:t>
      </w:r>
    </w:p>
    <w:p w14:paraId="73C8AF30" w14:textId="20829A02" w:rsidR="00876810" w:rsidRDefault="00876810" w:rsidP="00036184">
      <w:pPr>
        <w:shd w:val="clear" w:color="auto" w:fill="FFFFFF"/>
        <w:spacing w:after="90" w:line="300" w:lineRule="atLeast"/>
        <w:rPr>
          <w:rFonts w:ascii="Open Sans" w:eastAsia="Times New Roman" w:hAnsi="Open Sans" w:cs="Open Sans"/>
          <w:sz w:val="20"/>
          <w:szCs w:val="20"/>
          <w:lang w:eastAsia="en-AU"/>
        </w:rPr>
      </w:pPr>
      <w:r w:rsidRPr="00A65783">
        <w:rPr>
          <w:rFonts w:ascii="Open Sans" w:eastAsia="Times New Roman" w:hAnsi="Open Sans" w:cs="Open Sans"/>
          <w:sz w:val="20"/>
          <w:szCs w:val="20"/>
          <w:lang w:eastAsia="en-AU"/>
        </w:rPr>
        <w:t xml:space="preserve">The PBAC noted stakeholder feedback </w:t>
      </w:r>
      <w:r w:rsidR="00DD3FC3">
        <w:rPr>
          <w:rFonts w:ascii="Open Sans" w:eastAsia="Times New Roman" w:hAnsi="Open Sans" w:cs="Open Sans"/>
          <w:sz w:val="20"/>
          <w:szCs w:val="20"/>
          <w:lang w:eastAsia="en-AU"/>
        </w:rPr>
        <w:t xml:space="preserve">received through a consultation survey which </w:t>
      </w:r>
      <w:r w:rsidR="00DD3FC3" w:rsidRPr="00A65783">
        <w:rPr>
          <w:rFonts w:ascii="Open Sans" w:eastAsia="Times New Roman" w:hAnsi="Open Sans" w:cs="Open Sans"/>
          <w:sz w:val="20"/>
          <w:szCs w:val="20"/>
          <w:lang w:eastAsia="en-AU"/>
        </w:rPr>
        <w:t>highligh</w:t>
      </w:r>
      <w:r w:rsidR="00DD3FC3">
        <w:rPr>
          <w:rFonts w:ascii="Open Sans" w:eastAsia="Times New Roman" w:hAnsi="Open Sans" w:cs="Open Sans"/>
          <w:sz w:val="20"/>
          <w:szCs w:val="20"/>
          <w:lang w:eastAsia="en-AU"/>
        </w:rPr>
        <w:t>ted</w:t>
      </w:r>
      <w:r w:rsidRPr="00A65783">
        <w:rPr>
          <w:rFonts w:ascii="Open Sans" w:eastAsia="Times New Roman" w:hAnsi="Open Sans" w:cs="Open Sans"/>
          <w:sz w:val="20"/>
          <w:szCs w:val="20"/>
          <w:lang w:eastAsia="en-AU"/>
        </w:rPr>
        <w:t xml:space="preserve"> that CTO requirements for nurse practitioner prescribing </w:t>
      </w:r>
      <w:r>
        <w:rPr>
          <w:rFonts w:ascii="Open Sans" w:eastAsia="Times New Roman" w:hAnsi="Open Sans" w:cs="Open Sans"/>
          <w:sz w:val="20"/>
          <w:szCs w:val="20"/>
          <w:lang w:eastAsia="en-AU"/>
        </w:rPr>
        <w:t xml:space="preserve">of </w:t>
      </w:r>
      <w:r w:rsidRPr="00A65783">
        <w:rPr>
          <w:rFonts w:ascii="Open Sans" w:eastAsia="Times New Roman" w:hAnsi="Open Sans" w:cs="Open Sans"/>
          <w:sz w:val="20"/>
          <w:szCs w:val="20"/>
          <w:lang w:eastAsia="en-AU"/>
        </w:rPr>
        <w:t xml:space="preserve">PBS </w:t>
      </w:r>
      <w:r>
        <w:rPr>
          <w:rFonts w:ascii="Open Sans" w:eastAsia="Times New Roman" w:hAnsi="Open Sans" w:cs="Open Sans"/>
          <w:sz w:val="20"/>
          <w:szCs w:val="20"/>
          <w:lang w:eastAsia="en-AU"/>
        </w:rPr>
        <w:t xml:space="preserve">medicines </w:t>
      </w:r>
      <w:r w:rsidRPr="00A65783">
        <w:rPr>
          <w:rFonts w:ascii="Open Sans" w:eastAsia="Times New Roman" w:hAnsi="Open Sans" w:cs="Open Sans"/>
          <w:sz w:val="20"/>
          <w:szCs w:val="20"/>
          <w:lang w:eastAsia="en-AU"/>
        </w:rPr>
        <w:t>can lead to inefficient patient care and contribute to financial or administrative burden for patients.</w:t>
      </w:r>
      <w:r>
        <w:rPr>
          <w:rFonts w:ascii="Open Sans" w:eastAsia="Times New Roman" w:hAnsi="Open Sans" w:cs="Open Sans"/>
          <w:sz w:val="20"/>
          <w:szCs w:val="20"/>
          <w:lang w:eastAsia="en-AU"/>
        </w:rPr>
        <w:t xml:space="preserve"> </w:t>
      </w:r>
    </w:p>
    <w:p w14:paraId="43393F83" w14:textId="154E48DF" w:rsidR="000D1DC6" w:rsidRPr="00C21C04" w:rsidRDefault="00313CF7" w:rsidP="00036184">
      <w:pPr>
        <w:shd w:val="clear" w:color="auto" w:fill="FFFFFF"/>
        <w:spacing w:after="90" w:line="300" w:lineRule="atLeast"/>
        <w:rPr>
          <w:rFonts w:ascii="Open Sans" w:eastAsia="Times New Roman" w:hAnsi="Open Sans" w:cs="Open Sans"/>
          <w:sz w:val="20"/>
          <w:szCs w:val="20"/>
        </w:rPr>
      </w:pPr>
      <w:r w:rsidRPr="00313CF7">
        <w:rPr>
          <w:rFonts w:ascii="Open Sans" w:eastAsia="Times New Roman" w:hAnsi="Open Sans" w:cs="Open Sans"/>
          <w:sz w:val="20"/>
          <w:szCs w:val="20"/>
          <w:lang w:eastAsia="en-AU"/>
        </w:rPr>
        <w:t xml:space="preserve">The PBAC recommended removing the CTO administrative note from all PBS listings and provided advice on further </w:t>
      </w:r>
      <w:r w:rsidR="00403980">
        <w:rPr>
          <w:rFonts w:ascii="Open Sans" w:eastAsia="Times New Roman" w:hAnsi="Open Sans" w:cs="Open Sans"/>
          <w:sz w:val="20"/>
          <w:szCs w:val="20"/>
          <w:lang w:eastAsia="en-AU"/>
        </w:rPr>
        <w:t xml:space="preserve">conditions </w:t>
      </w:r>
      <w:r w:rsidRPr="00313CF7">
        <w:rPr>
          <w:rFonts w:ascii="Open Sans" w:eastAsia="Times New Roman" w:hAnsi="Open Sans" w:cs="Open Sans"/>
          <w:sz w:val="20"/>
          <w:szCs w:val="20"/>
          <w:lang w:eastAsia="en-AU"/>
        </w:rPr>
        <w:t>that should apply for certain</w:t>
      </w:r>
      <w:r w:rsidR="00403980">
        <w:rPr>
          <w:rFonts w:ascii="Open Sans" w:eastAsia="Times New Roman" w:hAnsi="Open Sans" w:cs="Open Sans"/>
          <w:sz w:val="20"/>
          <w:szCs w:val="20"/>
          <w:lang w:eastAsia="en-AU"/>
        </w:rPr>
        <w:t xml:space="preserve"> PBS</w:t>
      </w:r>
      <w:r w:rsidRPr="00313CF7">
        <w:rPr>
          <w:rFonts w:ascii="Open Sans" w:eastAsia="Times New Roman" w:hAnsi="Open Sans" w:cs="Open Sans"/>
          <w:sz w:val="20"/>
          <w:szCs w:val="20"/>
          <w:lang w:eastAsia="en-AU"/>
        </w:rPr>
        <w:t xml:space="preserve"> </w:t>
      </w:r>
      <w:r w:rsidRPr="00313CF7">
        <w:rPr>
          <w:rFonts w:ascii="Open Sans" w:eastAsia="Times New Roman" w:hAnsi="Open Sans" w:cs="Open Sans"/>
          <w:sz w:val="20"/>
          <w:szCs w:val="20"/>
        </w:rPr>
        <w:t>listings regarding nurse practitioner prescribing.</w:t>
      </w:r>
      <w:r w:rsidR="000D1DC6" w:rsidRPr="00C21C04">
        <w:rPr>
          <w:rFonts w:ascii="Open Sans" w:eastAsia="Times New Roman" w:hAnsi="Open Sans" w:cs="Open Sans"/>
          <w:sz w:val="20"/>
          <w:szCs w:val="20"/>
        </w:rPr>
        <w:t xml:space="preserve"> The PBAC made its recommendations with reference to its </w:t>
      </w:r>
      <w:r w:rsidR="00403980">
        <w:rPr>
          <w:rFonts w:ascii="Open Sans" w:eastAsia="Times New Roman" w:hAnsi="Open Sans" w:cs="Open Sans"/>
          <w:sz w:val="20"/>
          <w:szCs w:val="20"/>
        </w:rPr>
        <w:t xml:space="preserve">four </w:t>
      </w:r>
      <w:r w:rsidR="000D1DC6" w:rsidRPr="00C21C04">
        <w:rPr>
          <w:rFonts w:ascii="Open Sans" w:eastAsia="Times New Roman" w:hAnsi="Open Sans" w:cs="Open Sans"/>
          <w:sz w:val="20"/>
          <w:szCs w:val="20"/>
        </w:rPr>
        <w:t xml:space="preserve">general principles for determining PBS prescriber eligibility. </w:t>
      </w:r>
    </w:p>
    <w:p w14:paraId="30E2D6C7" w14:textId="68B3E293" w:rsidR="00FA3F15" w:rsidRDefault="00FA3F15" w:rsidP="00D349CF">
      <w:pPr>
        <w:spacing w:after="90" w:line="286" w:lineRule="atLeast"/>
        <w:ind w:right="147"/>
        <w:rPr>
          <w:rFonts w:ascii="Open Sans" w:eastAsia="Times New Roman" w:hAnsi="Open Sans" w:cs="Open Sans"/>
          <w:sz w:val="20"/>
          <w:szCs w:val="20"/>
        </w:rPr>
      </w:pPr>
      <w:r w:rsidRPr="00FA3F15">
        <w:rPr>
          <w:rFonts w:ascii="Open Sans" w:eastAsia="Times New Roman" w:hAnsi="Open Sans" w:cs="Open Sans"/>
          <w:sz w:val="20"/>
          <w:szCs w:val="20"/>
        </w:rPr>
        <w:t xml:space="preserve">The PBAC recommended that </w:t>
      </w:r>
      <w:r w:rsidR="00250E8E">
        <w:rPr>
          <w:rFonts w:ascii="Open Sans" w:eastAsia="Times New Roman" w:hAnsi="Open Sans" w:cs="Open Sans"/>
          <w:sz w:val="20"/>
          <w:szCs w:val="20"/>
        </w:rPr>
        <w:t>the</w:t>
      </w:r>
      <w:r w:rsidRPr="00FA3F15">
        <w:rPr>
          <w:rFonts w:ascii="Open Sans" w:eastAsia="Times New Roman" w:hAnsi="Open Sans" w:cs="Open Sans"/>
          <w:sz w:val="20"/>
          <w:szCs w:val="20"/>
        </w:rPr>
        <w:t xml:space="preserve"> PBS</w:t>
      </w:r>
      <w:r w:rsidR="00876810">
        <w:rPr>
          <w:rFonts w:ascii="Open Sans" w:eastAsia="Times New Roman" w:hAnsi="Open Sans" w:cs="Open Sans"/>
          <w:sz w:val="20"/>
          <w:szCs w:val="20"/>
        </w:rPr>
        <w:t xml:space="preserve"> restrictions for</w:t>
      </w:r>
      <w:r w:rsidR="00560C3E" w:rsidRPr="00560C3E">
        <w:rPr>
          <w:rFonts w:ascii="Open Sans" w:eastAsia="Times New Roman" w:hAnsi="Open Sans" w:cs="Open Sans"/>
          <w:sz w:val="20"/>
          <w:szCs w:val="20"/>
        </w:rPr>
        <w:t xml:space="preserve"> </w:t>
      </w:r>
      <w:r w:rsidR="00560C3E" w:rsidRPr="00FA3F15">
        <w:rPr>
          <w:rFonts w:ascii="Open Sans" w:eastAsia="Times New Roman" w:hAnsi="Open Sans" w:cs="Open Sans"/>
          <w:sz w:val="20"/>
          <w:szCs w:val="20"/>
        </w:rPr>
        <w:t>most of</w:t>
      </w:r>
      <w:r w:rsidR="00560C3E">
        <w:rPr>
          <w:rFonts w:ascii="Open Sans" w:eastAsia="Times New Roman" w:hAnsi="Open Sans" w:cs="Open Sans"/>
          <w:sz w:val="20"/>
          <w:szCs w:val="20"/>
        </w:rPr>
        <w:t xml:space="preserve"> the</w:t>
      </w:r>
      <w:r w:rsidRPr="00FA3F15">
        <w:rPr>
          <w:rFonts w:ascii="Open Sans" w:eastAsia="Times New Roman" w:hAnsi="Open Sans" w:cs="Open Sans"/>
          <w:sz w:val="20"/>
          <w:szCs w:val="20"/>
        </w:rPr>
        <w:t xml:space="preserve"> medicines</w:t>
      </w:r>
      <w:r w:rsidR="00186AFD">
        <w:rPr>
          <w:rFonts w:ascii="Open Sans" w:eastAsia="Times New Roman" w:hAnsi="Open Sans" w:cs="Open Sans"/>
          <w:sz w:val="20"/>
          <w:szCs w:val="20"/>
        </w:rPr>
        <w:t xml:space="preserve"> considered</w:t>
      </w:r>
      <w:r w:rsidRPr="00FA3F15">
        <w:rPr>
          <w:rFonts w:ascii="Open Sans" w:eastAsia="Times New Roman" w:hAnsi="Open Sans" w:cs="Open Sans"/>
          <w:sz w:val="20"/>
          <w:szCs w:val="20"/>
        </w:rPr>
        <w:t xml:space="preserve"> be amended to allow nurse practitioners to initiate and continue therapy</w:t>
      </w:r>
      <w:r w:rsidR="00876810">
        <w:rPr>
          <w:rFonts w:ascii="Open Sans" w:eastAsia="Times New Roman" w:hAnsi="Open Sans" w:cs="Open Sans"/>
          <w:sz w:val="20"/>
          <w:szCs w:val="20"/>
        </w:rPr>
        <w:t>,</w:t>
      </w:r>
      <w:r w:rsidRPr="00FA3F15">
        <w:rPr>
          <w:rFonts w:ascii="Open Sans" w:eastAsia="Times New Roman" w:hAnsi="Open Sans" w:cs="Open Sans"/>
          <w:sz w:val="20"/>
          <w:szCs w:val="20"/>
        </w:rPr>
        <w:t xml:space="preserve"> without any further conditions beyond those already specified in </w:t>
      </w:r>
      <w:r w:rsidR="00876810">
        <w:rPr>
          <w:rFonts w:ascii="Open Sans" w:eastAsia="Times New Roman" w:hAnsi="Open Sans" w:cs="Open Sans"/>
          <w:sz w:val="20"/>
          <w:szCs w:val="20"/>
        </w:rPr>
        <w:t xml:space="preserve">the </w:t>
      </w:r>
      <w:r w:rsidRPr="00FA3F15">
        <w:rPr>
          <w:rFonts w:ascii="Open Sans" w:eastAsia="Times New Roman" w:hAnsi="Open Sans" w:cs="Open Sans"/>
          <w:sz w:val="20"/>
          <w:szCs w:val="20"/>
        </w:rPr>
        <w:t>PBS restrictions</w:t>
      </w:r>
      <w:r>
        <w:rPr>
          <w:rFonts w:ascii="Open Sans" w:eastAsia="Times New Roman" w:hAnsi="Open Sans" w:cs="Open Sans"/>
          <w:sz w:val="20"/>
          <w:szCs w:val="20"/>
        </w:rPr>
        <w:t xml:space="preserve"> </w:t>
      </w:r>
      <w:r w:rsidR="000D1DC6" w:rsidRPr="00C21C04">
        <w:rPr>
          <w:rFonts w:ascii="Open Sans" w:eastAsia="Times New Roman" w:hAnsi="Open Sans" w:cs="Open Sans"/>
          <w:sz w:val="20"/>
          <w:szCs w:val="20"/>
        </w:rPr>
        <w:t xml:space="preserve">(Table 1). </w:t>
      </w:r>
    </w:p>
    <w:p w14:paraId="258E683F" w14:textId="65A137BD" w:rsidR="00FE299E" w:rsidRDefault="00945FE8" w:rsidP="00D349CF">
      <w:pPr>
        <w:spacing w:after="90" w:line="286" w:lineRule="atLeast"/>
        <w:ind w:right="147"/>
        <w:rPr>
          <w:rFonts w:ascii="Open Sans" w:eastAsia="Times New Roman" w:hAnsi="Open Sans" w:cs="Open Sans"/>
          <w:sz w:val="20"/>
          <w:szCs w:val="20"/>
          <w:lang w:eastAsia="en-AU"/>
        </w:rPr>
      </w:pPr>
      <w:r w:rsidRPr="00945FE8">
        <w:rPr>
          <w:rFonts w:ascii="Open Sans" w:eastAsia="Times New Roman" w:hAnsi="Open Sans" w:cs="Open Sans"/>
          <w:sz w:val="20"/>
          <w:szCs w:val="20"/>
          <w:lang w:eastAsia="en-AU"/>
        </w:rPr>
        <w:t xml:space="preserve">For </w:t>
      </w:r>
      <w:r w:rsidR="00D918DD">
        <w:rPr>
          <w:rFonts w:ascii="Open Sans" w:eastAsia="Times New Roman" w:hAnsi="Open Sans" w:cs="Open Sans"/>
          <w:sz w:val="20"/>
          <w:szCs w:val="20"/>
          <w:lang w:eastAsia="en-AU"/>
        </w:rPr>
        <w:t xml:space="preserve">approximately </w:t>
      </w:r>
      <w:r w:rsidR="00D918DD" w:rsidRPr="00D918DD">
        <w:rPr>
          <w:rFonts w:ascii="Open Sans" w:eastAsia="Times New Roman" w:hAnsi="Open Sans" w:cs="Open Sans"/>
          <w:sz w:val="20"/>
          <w:szCs w:val="20"/>
          <w:lang w:eastAsia="en-AU"/>
        </w:rPr>
        <w:t>40</w:t>
      </w:r>
      <w:r w:rsidRPr="00D918DD">
        <w:rPr>
          <w:rFonts w:ascii="Open Sans" w:eastAsia="Times New Roman" w:hAnsi="Open Sans" w:cs="Open Sans"/>
          <w:sz w:val="20"/>
          <w:szCs w:val="20"/>
          <w:lang w:eastAsia="en-AU"/>
        </w:rPr>
        <w:t xml:space="preserve"> medicines (</w:t>
      </w:r>
      <w:r w:rsidRPr="00945FE8">
        <w:rPr>
          <w:rFonts w:ascii="Open Sans" w:eastAsia="Times New Roman" w:hAnsi="Open Sans" w:cs="Open Sans"/>
          <w:sz w:val="20"/>
          <w:szCs w:val="20"/>
          <w:lang w:eastAsia="en-AU"/>
        </w:rPr>
        <w:t xml:space="preserve">Table 2), the PBAC recommended that nurse practitioners be permitted to initiate therapy where care of the patient is shared with a medical practitioner. </w:t>
      </w:r>
      <w:r w:rsidR="00403980">
        <w:rPr>
          <w:rFonts w:ascii="Open Sans" w:eastAsia="Times New Roman" w:hAnsi="Open Sans" w:cs="Open Sans"/>
          <w:sz w:val="20"/>
          <w:szCs w:val="20"/>
          <w:lang w:eastAsia="en-AU"/>
        </w:rPr>
        <w:t>The PBAC considered that</w:t>
      </w:r>
      <w:r w:rsidR="003E6CA8" w:rsidRPr="003E6CA8">
        <w:rPr>
          <w:rFonts w:ascii="Open Sans" w:eastAsia="Times New Roman" w:hAnsi="Open Sans" w:cs="Open Sans"/>
          <w:sz w:val="20"/>
          <w:szCs w:val="20"/>
          <w:lang w:eastAsia="en-AU"/>
        </w:rPr>
        <w:t xml:space="preserve"> </w:t>
      </w:r>
      <w:r w:rsidR="00403980">
        <w:rPr>
          <w:rFonts w:ascii="Open Sans" w:eastAsia="Times New Roman" w:hAnsi="Open Sans" w:cs="Open Sans"/>
          <w:sz w:val="20"/>
          <w:szCs w:val="20"/>
          <w:lang w:eastAsia="en-AU"/>
        </w:rPr>
        <w:t>P</w:t>
      </w:r>
      <w:r w:rsidR="003E6CA8" w:rsidRPr="003E6CA8">
        <w:rPr>
          <w:rFonts w:ascii="Open Sans" w:eastAsia="Times New Roman" w:hAnsi="Open Sans" w:cs="Open Sans"/>
          <w:sz w:val="20"/>
          <w:szCs w:val="20"/>
          <w:lang w:eastAsia="en-AU"/>
        </w:rPr>
        <w:t>rinciple 4 (</w:t>
      </w:r>
      <w:r w:rsidR="00403980">
        <w:rPr>
          <w:rFonts w:ascii="Open Sans" w:eastAsia="Times New Roman" w:hAnsi="Open Sans" w:cs="Open Sans"/>
          <w:sz w:val="20"/>
          <w:szCs w:val="20"/>
          <w:lang w:eastAsia="en-AU"/>
        </w:rPr>
        <w:t>‘</w:t>
      </w:r>
      <w:r w:rsidR="003E6CA8" w:rsidRPr="003E6CA8">
        <w:rPr>
          <w:rFonts w:ascii="Open Sans" w:eastAsia="Times New Roman" w:hAnsi="Open Sans" w:cs="Open Sans"/>
          <w:sz w:val="20"/>
          <w:szCs w:val="20"/>
          <w:lang w:eastAsia="en-AU"/>
        </w:rPr>
        <w:t>Health condition specific considerations</w:t>
      </w:r>
      <w:r w:rsidR="00403980">
        <w:rPr>
          <w:rFonts w:ascii="Open Sans" w:eastAsia="Times New Roman" w:hAnsi="Open Sans" w:cs="Open Sans"/>
          <w:sz w:val="20"/>
          <w:szCs w:val="20"/>
          <w:lang w:eastAsia="en-AU"/>
        </w:rPr>
        <w:t>’</w:t>
      </w:r>
      <w:r w:rsidR="00DA3017">
        <w:rPr>
          <w:rFonts w:ascii="Open Sans" w:eastAsia="Times New Roman" w:hAnsi="Open Sans" w:cs="Open Sans"/>
          <w:sz w:val="20"/>
          <w:szCs w:val="20"/>
          <w:lang w:eastAsia="en-AU"/>
        </w:rPr>
        <w:t>)</w:t>
      </w:r>
      <w:r w:rsidR="003E6CA8" w:rsidRPr="003E6CA8">
        <w:rPr>
          <w:rFonts w:ascii="Open Sans" w:eastAsia="Times New Roman" w:hAnsi="Open Sans" w:cs="Open Sans"/>
          <w:sz w:val="20"/>
          <w:szCs w:val="20"/>
          <w:lang w:eastAsia="en-AU"/>
        </w:rPr>
        <w:t xml:space="preserve"> </w:t>
      </w:r>
      <w:r w:rsidR="00403980">
        <w:rPr>
          <w:rFonts w:ascii="Open Sans" w:eastAsia="Times New Roman" w:hAnsi="Open Sans" w:cs="Open Sans"/>
          <w:sz w:val="20"/>
          <w:szCs w:val="20"/>
          <w:lang w:eastAsia="en-AU"/>
        </w:rPr>
        <w:t xml:space="preserve">applied </w:t>
      </w:r>
      <w:r w:rsidR="00876810">
        <w:rPr>
          <w:rFonts w:ascii="Open Sans" w:eastAsia="Times New Roman" w:hAnsi="Open Sans" w:cs="Open Sans"/>
          <w:sz w:val="20"/>
          <w:szCs w:val="20"/>
          <w:lang w:eastAsia="en-AU"/>
        </w:rPr>
        <w:t>in this context</w:t>
      </w:r>
      <w:r w:rsidR="00C017FA">
        <w:rPr>
          <w:rFonts w:ascii="Open Sans" w:eastAsia="Times New Roman" w:hAnsi="Open Sans" w:cs="Open Sans"/>
          <w:sz w:val="20"/>
          <w:szCs w:val="20"/>
          <w:lang w:eastAsia="en-AU"/>
        </w:rPr>
        <w:t>,</w:t>
      </w:r>
      <w:r w:rsidR="00876810">
        <w:rPr>
          <w:rFonts w:ascii="Open Sans" w:eastAsia="Times New Roman" w:hAnsi="Open Sans" w:cs="Open Sans"/>
          <w:sz w:val="20"/>
          <w:szCs w:val="20"/>
          <w:lang w:eastAsia="en-AU"/>
        </w:rPr>
        <w:t xml:space="preserve"> </w:t>
      </w:r>
      <w:r w:rsidR="00403980">
        <w:rPr>
          <w:rFonts w:ascii="Open Sans" w:eastAsia="Times New Roman" w:hAnsi="Open Sans" w:cs="Open Sans"/>
          <w:sz w:val="20"/>
          <w:szCs w:val="20"/>
          <w:lang w:eastAsia="en-AU"/>
        </w:rPr>
        <w:t xml:space="preserve">as </w:t>
      </w:r>
      <w:r w:rsidR="003E6CA8" w:rsidRPr="003E6CA8">
        <w:rPr>
          <w:rFonts w:ascii="Open Sans" w:eastAsia="Times New Roman" w:hAnsi="Open Sans" w:cs="Open Sans"/>
          <w:sz w:val="20"/>
          <w:szCs w:val="20"/>
          <w:lang w:eastAsia="en-AU"/>
        </w:rPr>
        <w:t>the</w:t>
      </w:r>
      <w:r w:rsidR="00876810">
        <w:rPr>
          <w:rFonts w:ascii="Open Sans" w:eastAsia="Times New Roman" w:hAnsi="Open Sans" w:cs="Open Sans"/>
          <w:sz w:val="20"/>
          <w:szCs w:val="20"/>
          <w:lang w:eastAsia="en-AU"/>
        </w:rPr>
        <w:t>se medicines are used to treat complex</w:t>
      </w:r>
      <w:r w:rsidR="003E6CA8" w:rsidRPr="003E6CA8">
        <w:rPr>
          <w:rFonts w:ascii="Open Sans" w:eastAsia="Times New Roman" w:hAnsi="Open Sans" w:cs="Open Sans"/>
          <w:sz w:val="20"/>
          <w:szCs w:val="20"/>
          <w:lang w:eastAsia="en-AU"/>
        </w:rPr>
        <w:t xml:space="preserve"> </w:t>
      </w:r>
      <w:r w:rsidR="00403980">
        <w:rPr>
          <w:rFonts w:ascii="Open Sans" w:eastAsia="Times New Roman" w:hAnsi="Open Sans" w:cs="Open Sans"/>
          <w:sz w:val="20"/>
          <w:szCs w:val="20"/>
          <w:lang w:eastAsia="en-AU"/>
        </w:rPr>
        <w:t xml:space="preserve">health </w:t>
      </w:r>
      <w:r w:rsidR="003E6CA8" w:rsidRPr="003E6CA8">
        <w:rPr>
          <w:rFonts w:ascii="Open Sans" w:eastAsia="Times New Roman" w:hAnsi="Open Sans" w:cs="Open Sans"/>
          <w:sz w:val="20"/>
          <w:szCs w:val="20"/>
          <w:lang w:eastAsia="en-AU"/>
        </w:rPr>
        <w:t xml:space="preserve">conditions and management </w:t>
      </w:r>
      <w:r w:rsidR="00DA3017">
        <w:rPr>
          <w:rFonts w:ascii="Open Sans" w:eastAsia="Times New Roman" w:hAnsi="Open Sans" w:cs="Open Sans"/>
          <w:sz w:val="20"/>
          <w:szCs w:val="20"/>
          <w:lang w:eastAsia="en-AU"/>
        </w:rPr>
        <w:t>generally</w:t>
      </w:r>
      <w:r w:rsidR="003E6CA8" w:rsidRPr="003E6CA8">
        <w:rPr>
          <w:rFonts w:ascii="Open Sans" w:eastAsia="Times New Roman" w:hAnsi="Open Sans" w:cs="Open Sans"/>
          <w:sz w:val="20"/>
          <w:szCs w:val="20"/>
          <w:lang w:eastAsia="en-AU"/>
        </w:rPr>
        <w:t xml:space="preserve"> require</w:t>
      </w:r>
      <w:r w:rsidR="001D4EB6">
        <w:rPr>
          <w:rFonts w:ascii="Open Sans" w:eastAsia="Times New Roman" w:hAnsi="Open Sans" w:cs="Open Sans"/>
          <w:sz w:val="20"/>
          <w:szCs w:val="20"/>
          <w:lang w:eastAsia="en-AU"/>
        </w:rPr>
        <w:t>s</w:t>
      </w:r>
      <w:r w:rsidR="003E6CA8" w:rsidRPr="003E6CA8">
        <w:rPr>
          <w:rFonts w:ascii="Open Sans" w:eastAsia="Times New Roman" w:hAnsi="Open Sans" w:cs="Open Sans"/>
          <w:sz w:val="20"/>
          <w:szCs w:val="20"/>
          <w:lang w:eastAsia="en-AU"/>
        </w:rPr>
        <w:t xml:space="preserve"> </w:t>
      </w:r>
      <w:r w:rsidR="00C017FA" w:rsidRPr="003E6CA8">
        <w:rPr>
          <w:rFonts w:ascii="Open Sans" w:eastAsia="Times New Roman" w:hAnsi="Open Sans" w:cs="Open Sans"/>
          <w:sz w:val="20"/>
          <w:szCs w:val="20"/>
          <w:lang w:eastAsia="en-AU"/>
        </w:rPr>
        <w:t>oversight</w:t>
      </w:r>
      <w:r w:rsidR="00C017FA">
        <w:rPr>
          <w:rFonts w:ascii="Open Sans" w:eastAsia="Times New Roman" w:hAnsi="Open Sans" w:cs="Open Sans"/>
          <w:sz w:val="20"/>
          <w:szCs w:val="20"/>
          <w:lang w:eastAsia="en-AU"/>
        </w:rPr>
        <w:t xml:space="preserve"> by a </w:t>
      </w:r>
      <w:r w:rsidR="00C017FA" w:rsidRPr="003E6CA8">
        <w:rPr>
          <w:rFonts w:ascii="Open Sans" w:eastAsia="Times New Roman" w:hAnsi="Open Sans" w:cs="Open Sans"/>
          <w:sz w:val="20"/>
          <w:szCs w:val="20"/>
          <w:lang w:eastAsia="en-AU"/>
        </w:rPr>
        <w:t xml:space="preserve">medical </w:t>
      </w:r>
      <w:r w:rsidR="003E6CA8" w:rsidRPr="003E6CA8">
        <w:rPr>
          <w:rFonts w:ascii="Open Sans" w:eastAsia="Times New Roman" w:hAnsi="Open Sans" w:cs="Open Sans"/>
          <w:sz w:val="20"/>
          <w:szCs w:val="20"/>
          <w:lang w:eastAsia="en-AU"/>
        </w:rPr>
        <w:t xml:space="preserve">specialist. The PBAC recognised that nurse practitioners managing these </w:t>
      </w:r>
      <w:r w:rsidR="00403980">
        <w:rPr>
          <w:rFonts w:ascii="Open Sans" w:eastAsia="Times New Roman" w:hAnsi="Open Sans" w:cs="Open Sans"/>
          <w:sz w:val="20"/>
          <w:szCs w:val="20"/>
          <w:lang w:eastAsia="en-AU"/>
        </w:rPr>
        <w:t xml:space="preserve">health </w:t>
      </w:r>
      <w:r w:rsidR="003E6CA8" w:rsidRPr="003E6CA8">
        <w:rPr>
          <w:rFonts w:ascii="Open Sans" w:eastAsia="Times New Roman" w:hAnsi="Open Sans" w:cs="Open Sans"/>
          <w:sz w:val="20"/>
          <w:szCs w:val="20"/>
          <w:lang w:eastAsia="en-AU"/>
        </w:rPr>
        <w:t>conditions are likely to be working in collaboration with a medical practitioner and/or specialist</w:t>
      </w:r>
      <w:r w:rsidR="00403980">
        <w:rPr>
          <w:rFonts w:ascii="Open Sans" w:eastAsia="Times New Roman" w:hAnsi="Open Sans" w:cs="Open Sans"/>
          <w:sz w:val="20"/>
          <w:szCs w:val="20"/>
          <w:lang w:eastAsia="en-AU"/>
        </w:rPr>
        <w:t>,</w:t>
      </w:r>
      <w:r w:rsidR="003E6CA8" w:rsidRPr="003E6CA8">
        <w:rPr>
          <w:rFonts w:ascii="Open Sans" w:eastAsia="Times New Roman" w:hAnsi="Open Sans" w:cs="Open Sans"/>
          <w:sz w:val="20"/>
          <w:szCs w:val="20"/>
          <w:lang w:eastAsia="en-AU"/>
        </w:rPr>
        <w:t xml:space="preserve"> and that allowing nurse practitioners to initiate treatment under shared care arrangements may provide greater accessibility to treatment </w:t>
      </w:r>
      <w:r w:rsidR="00403980">
        <w:rPr>
          <w:rFonts w:ascii="Open Sans" w:eastAsia="Times New Roman" w:hAnsi="Open Sans" w:cs="Open Sans"/>
          <w:sz w:val="20"/>
          <w:szCs w:val="20"/>
          <w:lang w:eastAsia="en-AU"/>
        </w:rPr>
        <w:t xml:space="preserve">for patients, </w:t>
      </w:r>
      <w:r w:rsidR="003E6CA8" w:rsidRPr="003E6CA8">
        <w:rPr>
          <w:rFonts w:ascii="Open Sans" w:eastAsia="Times New Roman" w:hAnsi="Open Sans" w:cs="Open Sans"/>
          <w:sz w:val="20"/>
          <w:szCs w:val="20"/>
          <w:lang w:eastAsia="en-AU"/>
        </w:rPr>
        <w:t>and more efficient healthcare delivery.</w:t>
      </w:r>
    </w:p>
    <w:p w14:paraId="73F8933D" w14:textId="5998F1CE" w:rsidR="00FE299E" w:rsidRDefault="00CE5591" w:rsidP="00876810">
      <w:pPr>
        <w:pStyle w:val="3Bodytext"/>
        <w:numPr>
          <w:ilvl w:val="0"/>
          <w:numId w:val="0"/>
        </w:numPr>
        <w:jc w:val="both"/>
        <w:rPr>
          <w:rFonts w:ascii="Open Sans" w:eastAsia="Times New Roman" w:hAnsi="Open Sans" w:cs="Open Sans"/>
          <w:sz w:val="20"/>
          <w:szCs w:val="20"/>
        </w:rPr>
      </w:pPr>
      <w:r w:rsidRPr="00CE5591">
        <w:rPr>
          <w:rFonts w:ascii="Open Sans" w:eastAsia="Times New Roman" w:hAnsi="Open Sans" w:cs="Open Sans"/>
          <w:sz w:val="20"/>
          <w:szCs w:val="20"/>
        </w:rPr>
        <w:lastRenderedPageBreak/>
        <w:t xml:space="preserve">For </w:t>
      </w:r>
      <w:r w:rsidR="00656F89">
        <w:rPr>
          <w:rFonts w:ascii="Open Sans" w:eastAsia="Times New Roman" w:hAnsi="Open Sans" w:cs="Open Sans"/>
          <w:sz w:val="20"/>
          <w:szCs w:val="20"/>
        </w:rPr>
        <w:t xml:space="preserve">some </w:t>
      </w:r>
      <w:r w:rsidRPr="00CE5591">
        <w:rPr>
          <w:rFonts w:ascii="Open Sans" w:eastAsia="Times New Roman" w:hAnsi="Open Sans" w:cs="Open Sans"/>
          <w:sz w:val="20"/>
          <w:szCs w:val="20"/>
        </w:rPr>
        <w:t>medicines</w:t>
      </w:r>
      <w:r>
        <w:rPr>
          <w:rFonts w:ascii="Open Sans" w:eastAsia="Times New Roman" w:hAnsi="Open Sans" w:cs="Open Sans"/>
          <w:sz w:val="20"/>
          <w:szCs w:val="20"/>
        </w:rPr>
        <w:t xml:space="preserve"> (Table 3)</w:t>
      </w:r>
      <w:r w:rsidRPr="00CE5591">
        <w:rPr>
          <w:rFonts w:ascii="Open Sans" w:eastAsia="Times New Roman" w:hAnsi="Open Sans" w:cs="Open Sans"/>
          <w:sz w:val="20"/>
          <w:szCs w:val="20"/>
        </w:rPr>
        <w:t xml:space="preserve">, the PBAC recommended that CTO requirements </w:t>
      </w:r>
      <w:r w:rsidR="00DA3017">
        <w:rPr>
          <w:rFonts w:ascii="Open Sans" w:eastAsia="Times New Roman" w:hAnsi="Open Sans" w:cs="Open Sans"/>
          <w:sz w:val="20"/>
          <w:szCs w:val="20"/>
        </w:rPr>
        <w:t>be retained</w:t>
      </w:r>
      <w:r w:rsidRPr="00CE5591">
        <w:rPr>
          <w:rFonts w:ascii="Open Sans" w:eastAsia="Times New Roman" w:hAnsi="Open Sans" w:cs="Open Sans"/>
          <w:sz w:val="20"/>
          <w:szCs w:val="20"/>
        </w:rPr>
        <w:t xml:space="preserve"> for nurse practitioner prescribing</w:t>
      </w:r>
      <w:r w:rsidR="00DA3017">
        <w:rPr>
          <w:rFonts w:ascii="Open Sans" w:eastAsia="Times New Roman" w:hAnsi="Open Sans" w:cs="Open Sans"/>
          <w:sz w:val="20"/>
          <w:szCs w:val="20"/>
        </w:rPr>
        <w:t xml:space="preserve"> through addition of</w:t>
      </w:r>
      <w:r w:rsidR="00876810">
        <w:rPr>
          <w:rFonts w:ascii="Open Sans" w:eastAsia="Times New Roman" w:hAnsi="Open Sans" w:cs="Open Sans"/>
          <w:sz w:val="20"/>
          <w:szCs w:val="20"/>
        </w:rPr>
        <w:t xml:space="preserve"> a PBS restriction criterion. </w:t>
      </w:r>
      <w:r w:rsidR="00AB608F" w:rsidRPr="00AB608F">
        <w:rPr>
          <w:rFonts w:ascii="Open Sans" w:eastAsia="Times New Roman" w:hAnsi="Open Sans" w:cs="Open Sans"/>
          <w:sz w:val="20"/>
          <w:szCs w:val="20"/>
        </w:rPr>
        <w:t xml:space="preserve">The PBAC considered that </w:t>
      </w:r>
      <w:r w:rsidR="00403980">
        <w:rPr>
          <w:rFonts w:ascii="Open Sans" w:eastAsia="Times New Roman" w:hAnsi="Open Sans" w:cs="Open Sans"/>
          <w:sz w:val="20"/>
          <w:szCs w:val="20"/>
        </w:rPr>
        <w:t xml:space="preserve">Principles 3 and 4 applied </w:t>
      </w:r>
      <w:r w:rsidR="00581CED">
        <w:rPr>
          <w:rFonts w:ascii="Open Sans" w:eastAsia="Times New Roman" w:hAnsi="Open Sans" w:cs="Open Sans"/>
          <w:sz w:val="20"/>
          <w:szCs w:val="20"/>
        </w:rPr>
        <w:t xml:space="preserve">in this context </w:t>
      </w:r>
      <w:r w:rsidR="00403980">
        <w:rPr>
          <w:rFonts w:ascii="Open Sans" w:eastAsia="Times New Roman" w:hAnsi="Open Sans" w:cs="Open Sans"/>
          <w:sz w:val="20"/>
          <w:szCs w:val="20"/>
        </w:rPr>
        <w:t xml:space="preserve">as </w:t>
      </w:r>
      <w:r w:rsidR="00B25961">
        <w:rPr>
          <w:rFonts w:ascii="Open Sans" w:eastAsia="Times New Roman" w:hAnsi="Open Sans" w:cs="Open Sans"/>
          <w:sz w:val="20"/>
          <w:szCs w:val="20"/>
        </w:rPr>
        <w:t>these medicines</w:t>
      </w:r>
      <w:r w:rsidR="00AB608F" w:rsidRPr="00AB608F">
        <w:rPr>
          <w:rFonts w:ascii="Open Sans" w:eastAsia="Times New Roman" w:hAnsi="Open Sans" w:cs="Open Sans"/>
          <w:sz w:val="20"/>
          <w:szCs w:val="20"/>
        </w:rPr>
        <w:t xml:space="preserve"> and the </w:t>
      </w:r>
      <w:r w:rsidR="00403980">
        <w:rPr>
          <w:rFonts w:ascii="Open Sans" w:eastAsia="Times New Roman" w:hAnsi="Open Sans" w:cs="Open Sans"/>
          <w:sz w:val="20"/>
          <w:szCs w:val="20"/>
        </w:rPr>
        <w:t xml:space="preserve">health </w:t>
      </w:r>
      <w:r w:rsidR="00AB608F" w:rsidRPr="00AB608F">
        <w:rPr>
          <w:rFonts w:ascii="Open Sans" w:eastAsia="Times New Roman" w:hAnsi="Open Sans" w:cs="Open Sans"/>
          <w:sz w:val="20"/>
          <w:szCs w:val="20"/>
        </w:rPr>
        <w:t xml:space="preserve">conditions </w:t>
      </w:r>
      <w:r w:rsidR="00581CED">
        <w:rPr>
          <w:rFonts w:ascii="Open Sans" w:eastAsia="Times New Roman" w:hAnsi="Open Sans" w:cs="Open Sans"/>
          <w:sz w:val="20"/>
          <w:szCs w:val="20"/>
        </w:rPr>
        <w:t>they are used to treat</w:t>
      </w:r>
      <w:r w:rsidR="00AB608F" w:rsidRPr="00AB608F">
        <w:rPr>
          <w:rFonts w:ascii="Open Sans" w:eastAsia="Times New Roman" w:hAnsi="Open Sans" w:cs="Open Sans"/>
          <w:sz w:val="20"/>
          <w:szCs w:val="20"/>
        </w:rPr>
        <w:t>, are complex</w:t>
      </w:r>
      <w:r w:rsidR="00403980">
        <w:rPr>
          <w:rFonts w:ascii="Open Sans" w:eastAsia="Times New Roman" w:hAnsi="Open Sans" w:cs="Open Sans"/>
          <w:sz w:val="20"/>
          <w:szCs w:val="20"/>
        </w:rPr>
        <w:t>.</w:t>
      </w:r>
      <w:r w:rsidR="00AB608F" w:rsidRPr="00AB608F">
        <w:rPr>
          <w:rFonts w:ascii="Open Sans" w:eastAsia="Times New Roman" w:hAnsi="Open Sans" w:cs="Open Sans"/>
          <w:sz w:val="20"/>
          <w:szCs w:val="20"/>
        </w:rPr>
        <w:t xml:space="preserve"> </w:t>
      </w:r>
      <w:r w:rsidR="00403980">
        <w:rPr>
          <w:rFonts w:ascii="Open Sans" w:eastAsia="Times New Roman" w:hAnsi="Open Sans" w:cs="Open Sans"/>
          <w:sz w:val="20"/>
          <w:szCs w:val="20"/>
        </w:rPr>
        <w:t>M</w:t>
      </w:r>
      <w:r w:rsidR="00AB608F" w:rsidRPr="00AB608F">
        <w:rPr>
          <w:rFonts w:ascii="Open Sans" w:eastAsia="Times New Roman" w:hAnsi="Open Sans" w:cs="Open Sans"/>
          <w:sz w:val="20"/>
          <w:szCs w:val="20"/>
        </w:rPr>
        <w:t xml:space="preserve">edical practitioners or medical specialists are likely to establish the diagnosis/treatment, but nurse practitioners may be required to prescribe continuing treatment. </w:t>
      </w:r>
      <w:r w:rsidR="00403980">
        <w:rPr>
          <w:rFonts w:ascii="Open Sans" w:eastAsia="Times New Roman" w:hAnsi="Open Sans" w:cs="Open Sans"/>
          <w:sz w:val="20"/>
          <w:szCs w:val="20"/>
        </w:rPr>
        <w:t>The PBS restrictions for m</w:t>
      </w:r>
      <w:r w:rsidR="00AB608F" w:rsidRPr="00AB608F">
        <w:rPr>
          <w:rFonts w:ascii="Open Sans" w:eastAsia="Times New Roman" w:hAnsi="Open Sans" w:cs="Open Sans"/>
          <w:sz w:val="20"/>
          <w:szCs w:val="20"/>
        </w:rPr>
        <w:t>any of these medicines already have criteria restricting treatment initiation to a specialist medical practitioner (‘specialist initiation’ medicine), and for some medicines (i.e. psychostimulants)</w:t>
      </w:r>
      <w:r w:rsidR="00403980">
        <w:rPr>
          <w:rFonts w:ascii="Open Sans" w:eastAsia="Times New Roman" w:hAnsi="Open Sans" w:cs="Open Sans"/>
          <w:sz w:val="20"/>
          <w:szCs w:val="20"/>
        </w:rPr>
        <w:t>,</w:t>
      </w:r>
      <w:r w:rsidR="00AB608F" w:rsidRPr="00AB608F">
        <w:rPr>
          <w:rFonts w:ascii="Open Sans" w:eastAsia="Times New Roman" w:hAnsi="Open Sans" w:cs="Open Sans"/>
          <w:sz w:val="20"/>
          <w:szCs w:val="20"/>
        </w:rPr>
        <w:t xml:space="preserve"> state and territory legislation currently prevents nurse practitioners from initiating treatment.</w:t>
      </w:r>
    </w:p>
    <w:p w14:paraId="5548ADAF" w14:textId="3FB71A53" w:rsidR="00876810" w:rsidRPr="00C21C04" w:rsidRDefault="00876810" w:rsidP="00DA3017">
      <w:pPr>
        <w:shd w:val="clear" w:color="auto" w:fill="FFFFFF"/>
        <w:spacing w:after="90" w:line="300" w:lineRule="atLeast"/>
        <w:rPr>
          <w:rFonts w:ascii="Open Sans" w:eastAsia="Times New Roman" w:hAnsi="Open Sans" w:cs="Open Sans"/>
          <w:sz w:val="20"/>
          <w:szCs w:val="20"/>
        </w:rPr>
      </w:pPr>
      <w:r w:rsidRPr="00C21C04">
        <w:rPr>
          <w:rFonts w:ascii="Open Sans" w:eastAsia="Times New Roman" w:hAnsi="Open Sans" w:cs="Open Sans"/>
          <w:sz w:val="20"/>
          <w:szCs w:val="20"/>
        </w:rPr>
        <w:t>The PBAC’s recommendations and rationale from the guidance principles are summarised in tables below.</w:t>
      </w:r>
    </w:p>
    <w:p w14:paraId="37F4D504" w14:textId="77777777" w:rsidR="000D1DC6" w:rsidRPr="00914D3A" w:rsidRDefault="000D1DC6" w:rsidP="000D1DC6">
      <w:pPr>
        <w:pStyle w:val="Heading2"/>
        <w:rPr>
          <w:rFonts w:eastAsiaTheme="majorEastAsia"/>
        </w:rPr>
      </w:pPr>
      <w:r w:rsidRPr="00914D3A">
        <w:rPr>
          <w:rFonts w:eastAsiaTheme="majorEastAsia"/>
        </w:rPr>
        <w:t xml:space="preserve">Implementation </w:t>
      </w:r>
    </w:p>
    <w:p w14:paraId="2C7B6BE1" w14:textId="17D71184" w:rsidR="00DA21DC" w:rsidRPr="00DA21DC" w:rsidRDefault="000D1DC6" w:rsidP="00DA21DC">
      <w:pPr>
        <w:spacing w:after="90" w:line="286" w:lineRule="atLeast"/>
        <w:ind w:right="147"/>
        <w:rPr>
          <w:rFonts w:ascii="Open Sans" w:eastAsia="Times New Roman" w:hAnsi="Open Sans" w:cs="Open Sans"/>
          <w:sz w:val="20"/>
          <w:szCs w:val="20"/>
        </w:rPr>
      </w:pPr>
      <w:r w:rsidRPr="00B6156E">
        <w:rPr>
          <w:rFonts w:ascii="Open Sans" w:eastAsia="Times New Roman" w:hAnsi="Open Sans" w:cs="Open Sans"/>
          <w:sz w:val="20"/>
          <w:szCs w:val="20"/>
        </w:rPr>
        <w:t xml:space="preserve">The PBAC’s recommendations are expected to be implemented in </w:t>
      </w:r>
      <w:r w:rsidR="00876810">
        <w:rPr>
          <w:rFonts w:ascii="Open Sans" w:eastAsia="Times New Roman" w:hAnsi="Open Sans" w:cs="Open Sans"/>
          <w:sz w:val="20"/>
          <w:szCs w:val="20"/>
        </w:rPr>
        <w:t>mid-</w:t>
      </w:r>
      <w:r w:rsidRPr="00B6156E">
        <w:rPr>
          <w:rFonts w:ascii="Open Sans" w:eastAsia="Times New Roman" w:hAnsi="Open Sans" w:cs="Open Sans"/>
          <w:sz w:val="20"/>
          <w:szCs w:val="20"/>
        </w:rPr>
        <w:t xml:space="preserve">2025 as part of routine monthly changes to the PBS schedule. </w:t>
      </w:r>
    </w:p>
    <w:p w14:paraId="0BC7AE7C" w14:textId="1999A0FA" w:rsidR="00DA21DC" w:rsidRPr="00B6156E" w:rsidRDefault="00DA21DC" w:rsidP="00DA21DC">
      <w:pPr>
        <w:spacing w:after="90" w:line="286" w:lineRule="atLeast"/>
        <w:ind w:right="147"/>
        <w:rPr>
          <w:rFonts w:ascii="Open Sans" w:eastAsia="Times New Roman" w:hAnsi="Open Sans" w:cs="Open Sans"/>
          <w:sz w:val="20"/>
          <w:szCs w:val="20"/>
        </w:rPr>
      </w:pPr>
      <w:r w:rsidRPr="00DA21DC">
        <w:rPr>
          <w:rFonts w:ascii="Open Sans" w:eastAsia="Times New Roman" w:hAnsi="Open Sans" w:cs="Open Sans"/>
          <w:sz w:val="20"/>
          <w:szCs w:val="20"/>
        </w:rPr>
        <w:t xml:space="preserve">The PBAC’s recommendations applied to PBS listings subject to a </w:t>
      </w:r>
      <w:r>
        <w:rPr>
          <w:rFonts w:ascii="Open Sans" w:eastAsia="Times New Roman" w:hAnsi="Open Sans" w:cs="Open Sans"/>
          <w:sz w:val="20"/>
          <w:szCs w:val="20"/>
        </w:rPr>
        <w:t>CTO</w:t>
      </w:r>
      <w:r w:rsidRPr="00DA21DC">
        <w:rPr>
          <w:rFonts w:ascii="Open Sans" w:eastAsia="Times New Roman" w:hAnsi="Open Sans" w:cs="Open Sans"/>
          <w:sz w:val="20"/>
          <w:szCs w:val="20"/>
        </w:rPr>
        <w:t xml:space="preserve"> administrative note a</w:t>
      </w:r>
      <w:r w:rsidR="00C017FA">
        <w:rPr>
          <w:rFonts w:ascii="Open Sans" w:eastAsia="Times New Roman" w:hAnsi="Open Sans" w:cs="Open Sans"/>
          <w:sz w:val="20"/>
          <w:szCs w:val="20"/>
        </w:rPr>
        <w:t xml:space="preserve">s </w:t>
      </w:r>
      <w:proofErr w:type="gramStart"/>
      <w:r w:rsidR="00C017FA">
        <w:rPr>
          <w:rFonts w:ascii="Open Sans" w:eastAsia="Times New Roman" w:hAnsi="Open Sans" w:cs="Open Sans"/>
          <w:sz w:val="20"/>
          <w:szCs w:val="20"/>
        </w:rPr>
        <w:t>a</w:t>
      </w:r>
      <w:r w:rsidRPr="00DA21DC">
        <w:rPr>
          <w:rFonts w:ascii="Open Sans" w:eastAsia="Times New Roman" w:hAnsi="Open Sans" w:cs="Open Sans"/>
          <w:sz w:val="20"/>
          <w:szCs w:val="20"/>
        </w:rPr>
        <w:t>t</w:t>
      </w:r>
      <w:proofErr w:type="gramEnd"/>
      <w:r w:rsidRPr="00DA21DC">
        <w:rPr>
          <w:rFonts w:ascii="Open Sans" w:eastAsia="Times New Roman" w:hAnsi="Open Sans" w:cs="Open Sans"/>
          <w:sz w:val="20"/>
          <w:szCs w:val="20"/>
        </w:rPr>
        <w:t xml:space="preserve"> </w:t>
      </w:r>
      <w:r>
        <w:rPr>
          <w:rFonts w:ascii="Open Sans" w:eastAsia="Times New Roman" w:hAnsi="Open Sans" w:cs="Open Sans"/>
          <w:sz w:val="20"/>
          <w:szCs w:val="20"/>
        </w:rPr>
        <w:t>November</w:t>
      </w:r>
      <w:r w:rsidRPr="00DA21DC">
        <w:rPr>
          <w:rFonts w:ascii="Open Sans" w:eastAsia="Times New Roman" w:hAnsi="Open Sans" w:cs="Open Sans"/>
          <w:sz w:val="20"/>
          <w:szCs w:val="20"/>
        </w:rPr>
        <w:t xml:space="preserve"> 2024. Some medicines are listed in more than one section of the Schedule or for more than one indication. PBS listings for the same medicine may have different conditions for prescribing. Medicines listed on the PBS are updated monthly and PBS prescribers should check the schedule regularly to ensure they prescribe in accordance with any restrictions specified in a listing.</w:t>
      </w:r>
    </w:p>
    <w:p w14:paraId="4E515FA0" w14:textId="77777777" w:rsidR="00B6156E" w:rsidRPr="00B6156E" w:rsidRDefault="00B6156E" w:rsidP="00D349CF">
      <w:pPr>
        <w:spacing w:after="90" w:line="286" w:lineRule="atLeast"/>
        <w:ind w:right="147"/>
        <w:rPr>
          <w:rFonts w:ascii="Open Sans" w:eastAsia="Times New Roman" w:hAnsi="Open Sans" w:cs="Open Sans"/>
          <w:sz w:val="20"/>
          <w:szCs w:val="20"/>
          <w:lang w:eastAsia="en-AU"/>
        </w:rPr>
      </w:pPr>
      <w:r w:rsidRPr="00B6156E">
        <w:rPr>
          <w:rFonts w:ascii="Open Sans" w:eastAsia="Times New Roman" w:hAnsi="Open Sans" w:cs="Open Sans"/>
          <w:sz w:val="20"/>
          <w:szCs w:val="20"/>
        </w:rPr>
        <w:t xml:space="preserve">More information can be found by visiting ‘Review of PBS items for prescribing by nurse practitioners and endorsed </w:t>
      </w:r>
      <w:proofErr w:type="gramStart"/>
      <w:r w:rsidRPr="00B6156E">
        <w:rPr>
          <w:rFonts w:ascii="Open Sans" w:eastAsia="Times New Roman" w:hAnsi="Open Sans" w:cs="Open Sans"/>
          <w:sz w:val="20"/>
          <w:szCs w:val="20"/>
        </w:rPr>
        <w:t>midwives‘ on</w:t>
      </w:r>
      <w:proofErr w:type="gramEnd"/>
      <w:r w:rsidRPr="00B6156E">
        <w:rPr>
          <w:rFonts w:ascii="Open Sans" w:eastAsia="Times New Roman" w:hAnsi="Open Sans" w:cs="Open Sans"/>
          <w:sz w:val="20"/>
          <w:szCs w:val="20"/>
        </w:rPr>
        <w:t xml:space="preserve"> the PBS website (</w:t>
      </w:r>
      <w:hyperlink r:id="rId9" w:history="1">
        <w:r w:rsidRPr="00B6156E">
          <w:rPr>
            <w:rStyle w:val="Hyperlink"/>
            <w:rFonts w:ascii="Open Sans" w:eastAsia="Times New Roman" w:hAnsi="Open Sans" w:cs="Open Sans"/>
            <w:sz w:val="20"/>
            <w:szCs w:val="20"/>
          </w:rPr>
          <w:t>www.pbs.gov.au</w:t>
        </w:r>
      </w:hyperlink>
      <w:r w:rsidRPr="00B6156E">
        <w:rPr>
          <w:rFonts w:ascii="Open Sans" w:eastAsia="Times New Roman" w:hAnsi="Open Sans" w:cs="Open Sans"/>
          <w:sz w:val="20"/>
          <w:szCs w:val="20"/>
        </w:rPr>
        <w:t xml:space="preserve">). </w:t>
      </w:r>
    </w:p>
    <w:p w14:paraId="510BD759" w14:textId="77777777" w:rsidR="00B6156E" w:rsidRPr="000D1DC6" w:rsidRDefault="00B6156E" w:rsidP="00B6156E">
      <w:pPr>
        <w:pStyle w:val="ListParagraph"/>
        <w:spacing w:after="0" w:line="240" w:lineRule="auto"/>
        <w:ind w:right="150"/>
        <w:rPr>
          <w:rFonts w:ascii="Open Sans" w:eastAsia="Times New Roman" w:hAnsi="Open Sans" w:cs="Open Sans"/>
          <w:sz w:val="20"/>
          <w:szCs w:val="20"/>
        </w:rPr>
      </w:pPr>
    </w:p>
    <w:p w14:paraId="390F026B" w14:textId="77777777" w:rsidR="001D4EB6" w:rsidRDefault="001D4EB6">
      <w:pPr>
        <w:rPr>
          <w:rFonts w:ascii="Arial Narrow" w:hAnsi="Arial Narrow"/>
          <w:b/>
          <w:bCs/>
          <w:lang w:eastAsia="en-AU"/>
        </w:rPr>
      </w:pPr>
      <w:bookmarkStart w:id="0" w:name="_Hlk182233600"/>
      <w:bookmarkStart w:id="1" w:name="_Hlk182233529"/>
      <w:r>
        <w:rPr>
          <w:rFonts w:ascii="Arial Narrow" w:hAnsi="Arial Narrow"/>
          <w:b/>
          <w:bCs/>
        </w:rPr>
        <w:br w:type="page"/>
      </w:r>
    </w:p>
    <w:p w14:paraId="43CAB339" w14:textId="506B2248" w:rsidR="00611CA9" w:rsidRPr="00611CA9" w:rsidRDefault="00611CA9" w:rsidP="00611CA9">
      <w:pPr>
        <w:pStyle w:val="3Bodytext"/>
        <w:numPr>
          <w:ilvl w:val="0"/>
          <w:numId w:val="0"/>
        </w:numPr>
        <w:jc w:val="both"/>
        <w:rPr>
          <w:rFonts w:ascii="Arial Narrow" w:hAnsi="Arial Narrow"/>
          <w:b/>
          <w:bCs/>
          <w:sz w:val="22"/>
        </w:rPr>
      </w:pPr>
      <w:r w:rsidRPr="00611CA9">
        <w:rPr>
          <w:rFonts w:ascii="Arial Narrow" w:hAnsi="Arial Narrow"/>
          <w:b/>
          <w:bCs/>
          <w:sz w:val="22"/>
        </w:rPr>
        <w:lastRenderedPageBreak/>
        <w:t xml:space="preserve">Table 1:  </w:t>
      </w:r>
      <w:r w:rsidR="00403980">
        <w:rPr>
          <w:rFonts w:ascii="Arial Narrow" w:hAnsi="Arial Narrow"/>
          <w:b/>
          <w:bCs/>
          <w:sz w:val="22"/>
        </w:rPr>
        <w:t>Summary of PBAC recommendations to remove</w:t>
      </w:r>
      <w:r w:rsidRPr="00611CA9">
        <w:rPr>
          <w:rFonts w:ascii="Arial Narrow" w:hAnsi="Arial Narrow"/>
          <w:b/>
          <w:bCs/>
          <w:sz w:val="22"/>
        </w:rPr>
        <w:t xml:space="preserve"> </w:t>
      </w:r>
      <w:r w:rsidR="00403980">
        <w:rPr>
          <w:rFonts w:ascii="Arial Narrow" w:hAnsi="Arial Narrow"/>
          <w:b/>
          <w:bCs/>
          <w:sz w:val="22"/>
        </w:rPr>
        <w:t xml:space="preserve">the </w:t>
      </w:r>
      <w:r w:rsidRPr="00611CA9">
        <w:rPr>
          <w:rFonts w:ascii="Arial Narrow" w:hAnsi="Arial Narrow"/>
          <w:b/>
          <w:bCs/>
          <w:sz w:val="22"/>
        </w:rPr>
        <w:t xml:space="preserve">CTO note </w:t>
      </w:r>
      <w:r w:rsidR="00403980">
        <w:rPr>
          <w:rFonts w:ascii="Arial Narrow" w:hAnsi="Arial Narrow"/>
          <w:b/>
          <w:bCs/>
          <w:sz w:val="22"/>
        </w:rPr>
        <w:t xml:space="preserve">from PBS medicine restrictions </w:t>
      </w:r>
      <w:r w:rsidR="00DA21DC">
        <w:rPr>
          <w:rFonts w:ascii="Arial Narrow" w:hAnsi="Arial Narrow"/>
          <w:b/>
          <w:bCs/>
          <w:sz w:val="22"/>
        </w:rPr>
        <w:t>and</w:t>
      </w:r>
      <w:r w:rsidRPr="00611CA9">
        <w:rPr>
          <w:rFonts w:ascii="Arial Narrow" w:hAnsi="Arial Narrow"/>
          <w:b/>
          <w:bCs/>
          <w:sz w:val="22"/>
        </w:rPr>
        <w:t xml:space="preserve"> permit nurse practitioner initiation of therapy</w:t>
      </w:r>
    </w:p>
    <w:tbl>
      <w:tblPr>
        <w:tblStyle w:val="TableGrid"/>
        <w:tblW w:w="0" w:type="auto"/>
        <w:tblInd w:w="-5" w:type="dxa"/>
        <w:tblLook w:val="04A0" w:firstRow="1" w:lastRow="0" w:firstColumn="1" w:lastColumn="0" w:noHBand="0" w:noVBand="1"/>
      </w:tblPr>
      <w:tblGrid>
        <w:gridCol w:w="4820"/>
        <w:gridCol w:w="4201"/>
      </w:tblGrid>
      <w:tr w:rsidR="00611CA9" w:rsidRPr="00611CA9" w14:paraId="4145BDD5" w14:textId="77777777" w:rsidTr="00CA37FA">
        <w:trPr>
          <w:tblHeader/>
        </w:trPr>
        <w:tc>
          <w:tcPr>
            <w:tcW w:w="4820" w:type="dxa"/>
          </w:tcPr>
          <w:p w14:paraId="524A767C" w14:textId="77777777" w:rsidR="00611CA9" w:rsidRPr="00611CA9" w:rsidRDefault="00611CA9" w:rsidP="00BE68FA">
            <w:pPr>
              <w:rPr>
                <w:rFonts w:ascii="Arial Narrow" w:hAnsi="Arial Narrow"/>
                <w:b/>
                <w:bCs/>
              </w:rPr>
            </w:pPr>
            <w:bookmarkStart w:id="2" w:name="_Hlk182212362"/>
            <w:bookmarkEnd w:id="0"/>
            <w:r w:rsidRPr="00611CA9">
              <w:rPr>
                <w:rFonts w:ascii="Arial Narrow" w:hAnsi="Arial Narrow"/>
                <w:b/>
                <w:bCs/>
              </w:rPr>
              <w:t>Topic, class or medicine name(s)</w:t>
            </w:r>
          </w:p>
        </w:tc>
        <w:tc>
          <w:tcPr>
            <w:tcW w:w="4201" w:type="dxa"/>
          </w:tcPr>
          <w:p w14:paraId="0DB058A7" w14:textId="22A1928A" w:rsidR="00611CA9" w:rsidRPr="00611CA9" w:rsidRDefault="00876810" w:rsidP="00BE68FA">
            <w:pPr>
              <w:jc w:val="center"/>
              <w:rPr>
                <w:rFonts w:ascii="Arial Narrow" w:hAnsi="Arial Narrow"/>
                <w:b/>
                <w:bCs/>
              </w:rPr>
            </w:pPr>
            <w:r>
              <w:rPr>
                <w:rFonts w:ascii="Arial Narrow" w:hAnsi="Arial Narrow"/>
                <w:b/>
                <w:bCs/>
              </w:rPr>
              <w:t xml:space="preserve">PBAC </w:t>
            </w:r>
            <w:r w:rsidR="00611CA9" w:rsidRPr="00611CA9">
              <w:rPr>
                <w:rFonts w:ascii="Arial Narrow" w:hAnsi="Arial Narrow"/>
                <w:b/>
                <w:bCs/>
              </w:rPr>
              <w:t>Consideration(s)</w:t>
            </w:r>
          </w:p>
        </w:tc>
      </w:tr>
      <w:tr w:rsidR="001D50DC" w:rsidRPr="00611CA9" w14:paraId="363D95F4" w14:textId="77777777" w:rsidTr="000701D9">
        <w:trPr>
          <w:trHeight w:val="1525"/>
        </w:trPr>
        <w:tc>
          <w:tcPr>
            <w:tcW w:w="4820" w:type="dxa"/>
          </w:tcPr>
          <w:p w14:paraId="2B9072F1" w14:textId="77777777" w:rsidR="001D50DC" w:rsidRPr="00611CA9" w:rsidRDefault="001D50DC" w:rsidP="00BE68FA">
            <w:pPr>
              <w:rPr>
                <w:rFonts w:ascii="Arial Narrow" w:hAnsi="Arial Narrow"/>
                <w:b/>
                <w:bCs/>
              </w:rPr>
            </w:pPr>
            <w:r w:rsidRPr="00611CA9">
              <w:rPr>
                <w:rFonts w:ascii="Arial Narrow" w:hAnsi="Arial Narrow"/>
                <w:b/>
                <w:bCs/>
              </w:rPr>
              <w:t>Cardiology</w:t>
            </w:r>
          </w:p>
          <w:p w14:paraId="55A72B1D" w14:textId="2C09A5FF" w:rsidR="001D50DC" w:rsidRPr="001D50DC" w:rsidRDefault="001D50DC" w:rsidP="00BE68FA">
            <w:pPr>
              <w:rPr>
                <w:rFonts w:ascii="Arial Narrow" w:hAnsi="Arial Narrow"/>
              </w:rPr>
            </w:pPr>
            <w:r w:rsidRPr="00611CA9">
              <w:rPr>
                <w:rFonts w:ascii="Arial Narrow" w:hAnsi="Arial Narrow"/>
              </w:rPr>
              <w:t xml:space="preserve">Heart failure: beta blockers (bisoprolol, carvedilol, metoprolol succinate, nebivolol), eplerenone, ivabradine, </w:t>
            </w:r>
            <w:bookmarkStart w:id="3" w:name="_Hlk179462813"/>
            <w:r w:rsidRPr="00611CA9">
              <w:rPr>
                <w:rFonts w:ascii="Arial Narrow" w:hAnsi="Arial Narrow"/>
              </w:rPr>
              <w:t>vericiguat</w:t>
            </w:r>
          </w:p>
          <w:bookmarkEnd w:id="3"/>
          <w:p w14:paraId="5F9643DE" w14:textId="05085427" w:rsidR="001D50DC" w:rsidRPr="00611CA9" w:rsidRDefault="001D50DC" w:rsidP="00BE68FA">
            <w:pPr>
              <w:rPr>
                <w:rFonts w:ascii="Arial Narrow" w:hAnsi="Arial Narrow"/>
                <w:vertAlign w:val="superscript"/>
              </w:rPr>
            </w:pPr>
            <w:r w:rsidRPr="00611CA9">
              <w:rPr>
                <w:rFonts w:ascii="Arial Narrow" w:hAnsi="Arial Narrow"/>
              </w:rPr>
              <w:t>Hypercholesterolaemia: ezetimibe, ezetimibe + statin FDCs</w:t>
            </w:r>
          </w:p>
        </w:tc>
        <w:tc>
          <w:tcPr>
            <w:tcW w:w="4201" w:type="dxa"/>
          </w:tcPr>
          <w:p w14:paraId="22B67DF5" w14:textId="4D5B0B74" w:rsidR="001D50DC" w:rsidRPr="00611CA9" w:rsidRDefault="001D50DC" w:rsidP="00BE68FA">
            <w:pPr>
              <w:rPr>
                <w:rFonts w:ascii="Arial Narrow" w:hAnsi="Arial Narrow"/>
              </w:rPr>
            </w:pPr>
            <w:r w:rsidRPr="00611CA9">
              <w:rPr>
                <w:rFonts w:ascii="Arial Narrow" w:hAnsi="Arial Narrow"/>
              </w:rPr>
              <w:t xml:space="preserve">High </w:t>
            </w:r>
            <w:r>
              <w:rPr>
                <w:rFonts w:ascii="Arial Narrow" w:hAnsi="Arial Narrow"/>
              </w:rPr>
              <w:t xml:space="preserve">number </w:t>
            </w:r>
            <w:r w:rsidRPr="00611CA9">
              <w:rPr>
                <w:rFonts w:ascii="Arial Narrow" w:hAnsi="Arial Narrow"/>
              </w:rPr>
              <w:t>of requests received from survey respondents.</w:t>
            </w:r>
          </w:p>
          <w:p w14:paraId="4E0ADF78" w14:textId="68098105" w:rsidR="001D50DC" w:rsidRPr="00611CA9" w:rsidRDefault="001D50DC" w:rsidP="00BE68FA">
            <w:pPr>
              <w:rPr>
                <w:rFonts w:ascii="Arial Narrow" w:hAnsi="Arial Narrow"/>
              </w:rPr>
            </w:pPr>
            <w:r w:rsidRPr="00611CA9">
              <w:rPr>
                <w:rFonts w:ascii="Arial Narrow" w:hAnsi="Arial Narrow"/>
              </w:rPr>
              <w:t>PBS restrictions for vericiguat requires treatment initiation to be by, or directed by</w:t>
            </w:r>
            <w:r>
              <w:rPr>
                <w:rFonts w:ascii="Arial Narrow" w:hAnsi="Arial Narrow"/>
              </w:rPr>
              <w:t>,</w:t>
            </w:r>
            <w:r w:rsidRPr="00611CA9">
              <w:rPr>
                <w:rFonts w:ascii="Arial Narrow" w:hAnsi="Arial Narrow"/>
              </w:rPr>
              <w:t xml:space="preserve"> a cardiologist.</w:t>
            </w:r>
          </w:p>
          <w:p w14:paraId="122BD2AB" w14:textId="77777777" w:rsidR="001D50DC" w:rsidRPr="00611CA9" w:rsidRDefault="001D50DC" w:rsidP="00BE68FA">
            <w:pPr>
              <w:rPr>
                <w:rFonts w:ascii="Arial Narrow" w:hAnsi="Arial Narrow"/>
              </w:rPr>
            </w:pPr>
            <w:r w:rsidRPr="00611CA9">
              <w:rPr>
                <w:rFonts w:ascii="Arial Narrow" w:hAnsi="Arial Narrow"/>
              </w:rPr>
              <w:t>Many nurse practitioners practice in heart failure clinics or have a clinical focus on cardiology.</w:t>
            </w:r>
          </w:p>
        </w:tc>
      </w:tr>
      <w:tr w:rsidR="00611CA9" w:rsidRPr="00611CA9" w14:paraId="4AB21DF6" w14:textId="77777777" w:rsidTr="00CA37FA">
        <w:tc>
          <w:tcPr>
            <w:tcW w:w="4820" w:type="dxa"/>
          </w:tcPr>
          <w:p w14:paraId="669797D7" w14:textId="77777777" w:rsidR="00611CA9" w:rsidRPr="00611CA9" w:rsidRDefault="00611CA9" w:rsidP="00BE68FA">
            <w:pPr>
              <w:rPr>
                <w:rFonts w:ascii="Arial Narrow" w:hAnsi="Arial Narrow"/>
                <w:b/>
                <w:bCs/>
              </w:rPr>
            </w:pPr>
            <w:r w:rsidRPr="00611CA9">
              <w:rPr>
                <w:rFonts w:ascii="Arial Narrow" w:hAnsi="Arial Narrow"/>
                <w:b/>
                <w:bCs/>
              </w:rPr>
              <w:t>Dermatology</w:t>
            </w:r>
          </w:p>
          <w:p w14:paraId="60A8F915" w14:textId="77777777" w:rsidR="00611CA9" w:rsidRPr="00611CA9" w:rsidRDefault="00611CA9" w:rsidP="00BE68FA">
            <w:pPr>
              <w:rPr>
                <w:rFonts w:ascii="Arial Narrow" w:hAnsi="Arial Narrow"/>
              </w:rPr>
            </w:pPr>
            <w:r w:rsidRPr="00611CA9">
              <w:rPr>
                <w:rFonts w:ascii="Arial Narrow" w:hAnsi="Arial Narrow"/>
              </w:rPr>
              <w:t>Acne: adapalene + benzoyl peroxide</w:t>
            </w:r>
          </w:p>
          <w:p w14:paraId="4D687CA2" w14:textId="77777777" w:rsidR="00611CA9" w:rsidRPr="00611CA9" w:rsidRDefault="00611CA9" w:rsidP="00BE68FA">
            <w:pPr>
              <w:rPr>
                <w:rFonts w:ascii="Arial Narrow" w:hAnsi="Arial Narrow"/>
              </w:rPr>
            </w:pPr>
          </w:p>
          <w:p w14:paraId="3C82432B" w14:textId="77777777" w:rsidR="00611CA9" w:rsidRPr="00611CA9" w:rsidRDefault="00611CA9" w:rsidP="00BE68FA">
            <w:pPr>
              <w:rPr>
                <w:rFonts w:ascii="Arial Narrow" w:hAnsi="Arial Narrow"/>
              </w:rPr>
            </w:pPr>
            <w:r w:rsidRPr="00611CA9">
              <w:rPr>
                <w:rFonts w:ascii="Arial Narrow" w:hAnsi="Arial Narrow"/>
              </w:rPr>
              <w:t xml:space="preserve">Topical corticosteroids: (moderate potency: betamethasone valerate (0.05%)), (high potency: betamethasone dipropionate (0.05%), mometasone furoate (0.1%), methylprednisolone (0.1%)) </w:t>
            </w:r>
          </w:p>
          <w:p w14:paraId="6C57AD2C" w14:textId="77777777" w:rsidR="00611CA9" w:rsidRPr="00611CA9" w:rsidRDefault="00611CA9" w:rsidP="00BE68FA">
            <w:pPr>
              <w:rPr>
                <w:rFonts w:ascii="Arial Narrow" w:hAnsi="Arial Narrow"/>
              </w:rPr>
            </w:pPr>
          </w:p>
          <w:p w14:paraId="7A9B680B" w14:textId="77777777" w:rsidR="00611CA9" w:rsidRPr="00611CA9" w:rsidRDefault="00611CA9" w:rsidP="00BE68FA">
            <w:pPr>
              <w:rPr>
                <w:rFonts w:ascii="Arial Narrow" w:hAnsi="Arial Narrow"/>
              </w:rPr>
            </w:pPr>
            <w:r w:rsidRPr="00611CA9">
              <w:rPr>
                <w:rFonts w:ascii="Arial Narrow" w:hAnsi="Arial Narrow"/>
              </w:rPr>
              <w:t>Psoriasis: calcipotriol + betamethasone (as dipropionate)</w:t>
            </w:r>
          </w:p>
        </w:tc>
        <w:tc>
          <w:tcPr>
            <w:tcW w:w="4201" w:type="dxa"/>
          </w:tcPr>
          <w:p w14:paraId="36F35FF7" w14:textId="275DE172" w:rsidR="00611CA9" w:rsidRPr="00611CA9" w:rsidRDefault="00611CA9" w:rsidP="00BE68FA">
            <w:pPr>
              <w:rPr>
                <w:rFonts w:ascii="Arial Narrow" w:hAnsi="Arial Narrow"/>
              </w:rPr>
            </w:pPr>
            <w:r w:rsidRPr="00611CA9">
              <w:rPr>
                <w:rFonts w:ascii="Arial Narrow" w:hAnsi="Arial Narrow"/>
              </w:rPr>
              <w:t>High priority area as identified by</w:t>
            </w:r>
            <w:r w:rsidR="00876810">
              <w:rPr>
                <w:rFonts w:ascii="Arial Narrow" w:hAnsi="Arial Narrow"/>
              </w:rPr>
              <w:t xml:space="preserve"> stakeholders</w:t>
            </w:r>
            <w:r w:rsidRPr="00611CA9">
              <w:rPr>
                <w:rFonts w:ascii="Arial Narrow" w:hAnsi="Arial Narrow"/>
              </w:rPr>
              <w:t>.</w:t>
            </w:r>
          </w:p>
          <w:p w14:paraId="31B544D9" w14:textId="77777777" w:rsidR="00611CA9" w:rsidRPr="00611CA9" w:rsidRDefault="00611CA9" w:rsidP="00BE68FA">
            <w:pPr>
              <w:rPr>
                <w:rFonts w:ascii="Arial Narrow" w:hAnsi="Arial Narrow"/>
              </w:rPr>
            </w:pPr>
          </w:p>
          <w:p w14:paraId="121F0291" w14:textId="77777777" w:rsidR="00611CA9" w:rsidRPr="00611CA9" w:rsidRDefault="00611CA9" w:rsidP="00BE68FA">
            <w:pPr>
              <w:rPr>
                <w:rFonts w:ascii="Arial Narrow" w:hAnsi="Arial Narrow"/>
              </w:rPr>
            </w:pPr>
            <w:r w:rsidRPr="00611CA9">
              <w:rPr>
                <w:rFonts w:ascii="Arial Narrow" w:hAnsi="Arial Narrow"/>
              </w:rPr>
              <w:t>Topical application - lower risk profile relative to systemic medicines.</w:t>
            </w:r>
          </w:p>
        </w:tc>
      </w:tr>
      <w:tr w:rsidR="00611CA9" w:rsidRPr="00611CA9" w14:paraId="671DA410" w14:textId="77777777" w:rsidTr="00CA37FA">
        <w:tc>
          <w:tcPr>
            <w:tcW w:w="4820" w:type="dxa"/>
          </w:tcPr>
          <w:p w14:paraId="2E34436E" w14:textId="77777777" w:rsidR="00611CA9" w:rsidRPr="00611CA9" w:rsidRDefault="00611CA9" w:rsidP="00BE68FA">
            <w:pPr>
              <w:rPr>
                <w:rFonts w:ascii="Arial Narrow" w:hAnsi="Arial Narrow"/>
                <w:b/>
                <w:bCs/>
              </w:rPr>
            </w:pPr>
            <w:r w:rsidRPr="00611CA9">
              <w:rPr>
                <w:rFonts w:ascii="Arial Narrow" w:hAnsi="Arial Narrow"/>
                <w:b/>
                <w:bCs/>
              </w:rPr>
              <w:t>Endocrinology</w:t>
            </w:r>
          </w:p>
          <w:p w14:paraId="26A0E0CA" w14:textId="432CE1EC" w:rsidR="00611CA9" w:rsidRPr="00611CA9" w:rsidRDefault="00611CA9" w:rsidP="00BE68FA">
            <w:pPr>
              <w:rPr>
                <w:rFonts w:ascii="Arial Narrow" w:hAnsi="Arial Narrow"/>
              </w:rPr>
            </w:pPr>
            <w:r w:rsidRPr="00611CA9">
              <w:rPr>
                <w:rFonts w:ascii="Arial Narrow" w:hAnsi="Arial Narrow"/>
              </w:rPr>
              <w:t xml:space="preserve">Diabetes: DPP4is (linagliptin, </w:t>
            </w:r>
            <w:proofErr w:type="spellStart"/>
            <w:r w:rsidRPr="00611CA9">
              <w:rPr>
                <w:rFonts w:ascii="Arial Narrow" w:hAnsi="Arial Narrow"/>
              </w:rPr>
              <w:t>saxagliptin</w:t>
            </w:r>
            <w:proofErr w:type="spellEnd"/>
            <w:r w:rsidRPr="00611CA9">
              <w:rPr>
                <w:rFonts w:ascii="Arial Narrow" w:hAnsi="Arial Narrow"/>
              </w:rPr>
              <w:t>, sitagliptin, vildagliptin), DPP4i + metformin FDCs, SGLT2is (empagliflozin, dapagliflozin), SGLT2is + metformin FDCs, SGLT2i + DPP4i FDCs</w:t>
            </w:r>
          </w:p>
        </w:tc>
        <w:tc>
          <w:tcPr>
            <w:tcW w:w="4201" w:type="dxa"/>
          </w:tcPr>
          <w:p w14:paraId="04DC5D5C" w14:textId="0EDA961C" w:rsidR="00611CA9" w:rsidRPr="00611CA9" w:rsidRDefault="00611CA9" w:rsidP="00BE68FA">
            <w:pPr>
              <w:rPr>
                <w:rFonts w:ascii="Arial Narrow" w:hAnsi="Arial Narrow"/>
              </w:rPr>
            </w:pPr>
            <w:r w:rsidRPr="00611CA9">
              <w:rPr>
                <w:rFonts w:ascii="Arial Narrow" w:hAnsi="Arial Narrow"/>
              </w:rPr>
              <w:t xml:space="preserve">Diabetes medicines were commonly cited </w:t>
            </w:r>
            <w:r w:rsidR="00403980">
              <w:rPr>
                <w:rFonts w:ascii="Arial Narrow" w:hAnsi="Arial Narrow"/>
              </w:rPr>
              <w:t xml:space="preserve">by </w:t>
            </w:r>
            <w:r w:rsidRPr="00611CA9">
              <w:rPr>
                <w:rFonts w:ascii="Arial Narrow" w:hAnsi="Arial Narrow"/>
              </w:rPr>
              <w:t>in survey</w:t>
            </w:r>
            <w:r w:rsidR="00DD3FC3">
              <w:rPr>
                <w:rFonts w:ascii="Arial Narrow" w:hAnsi="Arial Narrow"/>
              </w:rPr>
              <w:t xml:space="preserve"> respondents.</w:t>
            </w:r>
            <w:r w:rsidRPr="00611CA9">
              <w:rPr>
                <w:rFonts w:ascii="Arial Narrow" w:hAnsi="Arial Narrow"/>
              </w:rPr>
              <w:t xml:space="preserve"> </w:t>
            </w:r>
          </w:p>
          <w:p w14:paraId="14F639D6" w14:textId="77777777" w:rsidR="00611CA9" w:rsidRPr="00611CA9" w:rsidRDefault="00611CA9" w:rsidP="00BE68FA">
            <w:pPr>
              <w:rPr>
                <w:rFonts w:ascii="Arial Narrow" w:hAnsi="Arial Narrow"/>
              </w:rPr>
            </w:pPr>
          </w:p>
          <w:p w14:paraId="45158F0C" w14:textId="72BD5DCD" w:rsidR="00611CA9" w:rsidRPr="00611CA9" w:rsidRDefault="00611CA9" w:rsidP="00BE68FA">
            <w:pPr>
              <w:rPr>
                <w:rFonts w:ascii="Arial Narrow" w:hAnsi="Arial Narrow"/>
              </w:rPr>
            </w:pPr>
            <w:r w:rsidRPr="00611CA9">
              <w:rPr>
                <w:rFonts w:ascii="Arial Narrow" w:hAnsi="Arial Narrow"/>
              </w:rPr>
              <w:t>Consistency with other PBS medicines for diabetes that nurse practitioners can already initiate (metformin, sulfonylureas, GLP1 RAs).</w:t>
            </w:r>
          </w:p>
        </w:tc>
      </w:tr>
      <w:tr w:rsidR="00611CA9" w:rsidRPr="00611CA9" w14:paraId="00B37F27" w14:textId="77777777" w:rsidTr="00CA37FA">
        <w:tc>
          <w:tcPr>
            <w:tcW w:w="4820" w:type="dxa"/>
          </w:tcPr>
          <w:p w14:paraId="772BD872" w14:textId="77777777" w:rsidR="00611CA9" w:rsidRPr="00611CA9" w:rsidRDefault="00611CA9" w:rsidP="00BE68FA">
            <w:pPr>
              <w:rPr>
                <w:rFonts w:ascii="Arial Narrow" w:hAnsi="Arial Narrow"/>
              </w:rPr>
            </w:pPr>
            <w:r w:rsidRPr="00611CA9">
              <w:rPr>
                <w:rFonts w:ascii="Arial Narrow" w:hAnsi="Arial Narrow"/>
              </w:rPr>
              <w:t>Hypothyroidism: levothyroxine</w:t>
            </w:r>
          </w:p>
        </w:tc>
        <w:tc>
          <w:tcPr>
            <w:tcW w:w="4201" w:type="dxa"/>
          </w:tcPr>
          <w:p w14:paraId="681B7710" w14:textId="0A419AA0" w:rsidR="00611CA9" w:rsidRPr="00611CA9" w:rsidRDefault="00DD3FC3" w:rsidP="00BE68FA">
            <w:pPr>
              <w:rPr>
                <w:rFonts w:ascii="Arial Narrow" w:hAnsi="Arial Narrow"/>
              </w:rPr>
            </w:pPr>
            <w:r>
              <w:rPr>
                <w:rFonts w:ascii="Arial Narrow" w:hAnsi="Arial Narrow"/>
              </w:rPr>
              <w:t>O</w:t>
            </w:r>
            <w:r w:rsidR="00611CA9" w:rsidRPr="00611CA9">
              <w:rPr>
                <w:rFonts w:ascii="Arial Narrow" w:hAnsi="Arial Narrow"/>
              </w:rPr>
              <w:t xml:space="preserve">ne </w:t>
            </w:r>
            <w:r w:rsidR="00DD01D3">
              <w:rPr>
                <w:rFonts w:ascii="Arial Narrow" w:hAnsi="Arial Narrow"/>
              </w:rPr>
              <w:t>survey respondent</w:t>
            </w:r>
            <w:r w:rsidR="00611CA9" w:rsidRPr="00611CA9">
              <w:rPr>
                <w:rFonts w:ascii="Arial Narrow" w:hAnsi="Arial Narrow"/>
              </w:rPr>
              <w:t xml:space="preserve"> </w:t>
            </w:r>
            <w:r>
              <w:rPr>
                <w:rFonts w:ascii="Arial Narrow" w:hAnsi="Arial Narrow"/>
              </w:rPr>
              <w:t xml:space="preserve">cited that </w:t>
            </w:r>
            <w:r w:rsidRPr="00611CA9">
              <w:rPr>
                <w:rFonts w:ascii="Arial Narrow" w:hAnsi="Arial Narrow"/>
              </w:rPr>
              <w:t xml:space="preserve">levothyroxine </w:t>
            </w:r>
            <w:r>
              <w:rPr>
                <w:rFonts w:ascii="Arial Narrow" w:hAnsi="Arial Narrow"/>
              </w:rPr>
              <w:t xml:space="preserve">is used to manage </w:t>
            </w:r>
            <w:r w:rsidR="00611CA9" w:rsidRPr="00611CA9">
              <w:rPr>
                <w:rFonts w:ascii="Arial Narrow" w:hAnsi="Arial Narrow"/>
              </w:rPr>
              <w:t xml:space="preserve">hypothyroidism </w:t>
            </w:r>
            <w:r>
              <w:rPr>
                <w:rFonts w:ascii="Arial Narrow" w:hAnsi="Arial Narrow"/>
              </w:rPr>
              <w:t>as</w:t>
            </w:r>
            <w:r w:rsidR="00611CA9" w:rsidRPr="00611CA9">
              <w:rPr>
                <w:rFonts w:ascii="Arial Narrow" w:hAnsi="Arial Narrow"/>
              </w:rPr>
              <w:t xml:space="preserve"> a side</w:t>
            </w:r>
            <w:r>
              <w:rPr>
                <w:rFonts w:ascii="Arial Narrow" w:hAnsi="Arial Narrow"/>
              </w:rPr>
              <w:t xml:space="preserve"> </w:t>
            </w:r>
            <w:r w:rsidR="00611CA9" w:rsidRPr="00611CA9">
              <w:rPr>
                <w:rFonts w:ascii="Arial Narrow" w:hAnsi="Arial Narrow"/>
              </w:rPr>
              <w:t>effect of immunotherapies.</w:t>
            </w:r>
          </w:p>
        </w:tc>
      </w:tr>
      <w:tr w:rsidR="00611CA9" w:rsidRPr="00611CA9" w14:paraId="3D3CFF2C" w14:textId="77777777" w:rsidTr="00CA37FA">
        <w:tc>
          <w:tcPr>
            <w:tcW w:w="4820" w:type="dxa"/>
          </w:tcPr>
          <w:p w14:paraId="0121A296" w14:textId="77777777" w:rsidR="00611CA9" w:rsidRPr="00611CA9" w:rsidRDefault="00611CA9" w:rsidP="00BE68FA">
            <w:pPr>
              <w:rPr>
                <w:rFonts w:ascii="Arial Narrow" w:hAnsi="Arial Narrow"/>
                <w:b/>
                <w:bCs/>
              </w:rPr>
            </w:pPr>
            <w:r w:rsidRPr="00611CA9">
              <w:rPr>
                <w:rFonts w:ascii="Arial Narrow" w:hAnsi="Arial Narrow"/>
                <w:b/>
                <w:bCs/>
              </w:rPr>
              <w:t>Gynaecology</w:t>
            </w:r>
          </w:p>
          <w:p w14:paraId="0266F671" w14:textId="77777777" w:rsidR="00611CA9" w:rsidRPr="00611CA9" w:rsidRDefault="00611CA9" w:rsidP="00BE68FA">
            <w:pPr>
              <w:rPr>
                <w:rFonts w:ascii="Arial Narrow" w:hAnsi="Arial Narrow"/>
              </w:rPr>
            </w:pPr>
            <w:r w:rsidRPr="00611CA9">
              <w:rPr>
                <w:rFonts w:ascii="Arial Narrow" w:hAnsi="Arial Narrow"/>
              </w:rPr>
              <w:t xml:space="preserve">Estrogens: </w:t>
            </w:r>
            <w:proofErr w:type="spellStart"/>
            <w:r w:rsidRPr="00611CA9">
              <w:rPr>
                <w:rFonts w:ascii="Arial Narrow" w:hAnsi="Arial Narrow"/>
              </w:rPr>
              <w:t>estradiol</w:t>
            </w:r>
            <w:proofErr w:type="spellEnd"/>
            <w:r w:rsidRPr="00611CA9">
              <w:rPr>
                <w:rFonts w:ascii="Arial Narrow" w:hAnsi="Arial Narrow"/>
              </w:rPr>
              <w:t xml:space="preserve"> (tablets, pessaries, gel, patches), estriol (cream, pessary)</w:t>
            </w:r>
          </w:p>
          <w:p w14:paraId="4308F087" w14:textId="77777777" w:rsidR="00611CA9" w:rsidRPr="00611CA9" w:rsidRDefault="00611CA9" w:rsidP="00BE68FA">
            <w:pPr>
              <w:rPr>
                <w:rFonts w:ascii="Arial Narrow" w:hAnsi="Arial Narrow"/>
              </w:rPr>
            </w:pPr>
          </w:p>
          <w:p w14:paraId="49004155" w14:textId="3E0A2881" w:rsidR="00611CA9" w:rsidRPr="00611CA9" w:rsidRDefault="00611CA9" w:rsidP="00BE68FA">
            <w:pPr>
              <w:rPr>
                <w:rFonts w:ascii="Arial Narrow" w:hAnsi="Arial Narrow"/>
              </w:rPr>
            </w:pPr>
            <w:r w:rsidRPr="00611CA9">
              <w:rPr>
                <w:rFonts w:ascii="Arial Narrow" w:hAnsi="Arial Narrow"/>
              </w:rPr>
              <w:t xml:space="preserve">Progestogens: norethisterone (5 mg), medroxyprogesterone (5 mg and 10 mg tablets), </w:t>
            </w:r>
            <w:proofErr w:type="spellStart"/>
            <w:r w:rsidR="002434BB">
              <w:rPr>
                <w:rFonts w:ascii="Arial Narrow" w:hAnsi="Arial Narrow"/>
              </w:rPr>
              <w:t>dienogest</w:t>
            </w:r>
            <w:proofErr w:type="spellEnd"/>
          </w:p>
          <w:p w14:paraId="29D735E4" w14:textId="77777777" w:rsidR="00611CA9" w:rsidRPr="00611CA9" w:rsidRDefault="00611CA9" w:rsidP="00BE68FA">
            <w:pPr>
              <w:rPr>
                <w:rFonts w:ascii="Arial Narrow" w:hAnsi="Arial Narrow"/>
              </w:rPr>
            </w:pPr>
            <w:r w:rsidRPr="00611CA9">
              <w:rPr>
                <w:rFonts w:ascii="Arial Narrow" w:hAnsi="Arial Narrow"/>
              </w:rPr>
              <w:t>Progestogen + estrogen combinations – patches</w:t>
            </w:r>
          </w:p>
        </w:tc>
        <w:tc>
          <w:tcPr>
            <w:tcW w:w="4201" w:type="dxa"/>
          </w:tcPr>
          <w:p w14:paraId="403B47C4" w14:textId="77777777" w:rsidR="00611CA9" w:rsidRPr="00611CA9" w:rsidRDefault="00611CA9" w:rsidP="00BE68FA">
            <w:pPr>
              <w:rPr>
                <w:rFonts w:ascii="Arial Narrow" w:hAnsi="Arial Narrow"/>
              </w:rPr>
            </w:pPr>
            <w:r w:rsidRPr="00611CA9">
              <w:rPr>
                <w:rFonts w:ascii="Arial Narrow" w:hAnsi="Arial Narrow"/>
              </w:rPr>
              <w:t>Many nurse practitioners cited a special interest in women’s health, including managing menopausal symptoms.</w:t>
            </w:r>
          </w:p>
        </w:tc>
      </w:tr>
      <w:tr w:rsidR="00611CA9" w:rsidRPr="00611CA9" w14:paraId="36378AA3" w14:textId="77777777" w:rsidTr="00CA37FA">
        <w:tc>
          <w:tcPr>
            <w:tcW w:w="4820" w:type="dxa"/>
          </w:tcPr>
          <w:p w14:paraId="68161412" w14:textId="77777777" w:rsidR="00611CA9" w:rsidRPr="00611CA9" w:rsidRDefault="00611CA9" w:rsidP="00BE68FA">
            <w:pPr>
              <w:rPr>
                <w:rFonts w:ascii="Arial Narrow" w:hAnsi="Arial Narrow"/>
                <w:b/>
                <w:bCs/>
              </w:rPr>
            </w:pPr>
            <w:r w:rsidRPr="00611CA9">
              <w:rPr>
                <w:rFonts w:ascii="Arial Narrow" w:hAnsi="Arial Narrow"/>
              </w:rPr>
              <w:t>Benign prostatic hyperplasia: dutasteride, dutasteride + tamsulosin</w:t>
            </w:r>
          </w:p>
        </w:tc>
        <w:tc>
          <w:tcPr>
            <w:tcW w:w="4201" w:type="dxa"/>
          </w:tcPr>
          <w:p w14:paraId="320CF59E" w14:textId="0A5F32DC" w:rsidR="00611CA9" w:rsidRPr="00611CA9" w:rsidRDefault="00611CA9" w:rsidP="00BE68FA">
            <w:pPr>
              <w:rPr>
                <w:rFonts w:ascii="Arial Narrow" w:hAnsi="Arial Narrow"/>
              </w:rPr>
            </w:pPr>
            <w:r w:rsidRPr="00611CA9">
              <w:rPr>
                <w:rFonts w:ascii="Arial Narrow" w:hAnsi="Arial Narrow"/>
              </w:rPr>
              <w:t>Consistency with prazosin (which has no Shared Care Model/CTO requirements).</w:t>
            </w:r>
          </w:p>
        </w:tc>
      </w:tr>
      <w:tr w:rsidR="00611CA9" w:rsidRPr="00611CA9" w14:paraId="6DB5FF4E" w14:textId="77777777" w:rsidTr="00CA37FA">
        <w:tc>
          <w:tcPr>
            <w:tcW w:w="4820" w:type="dxa"/>
          </w:tcPr>
          <w:p w14:paraId="0BCE59B2" w14:textId="77777777" w:rsidR="00611CA9" w:rsidRPr="00611CA9" w:rsidRDefault="00611CA9" w:rsidP="00BE68FA">
            <w:pPr>
              <w:rPr>
                <w:rFonts w:ascii="Arial Narrow" w:hAnsi="Arial Narrow"/>
                <w:b/>
                <w:bCs/>
              </w:rPr>
            </w:pPr>
            <w:r w:rsidRPr="00611CA9">
              <w:rPr>
                <w:rFonts w:ascii="Arial Narrow" w:hAnsi="Arial Narrow"/>
                <w:b/>
                <w:bCs/>
              </w:rPr>
              <w:t>Nephrology</w:t>
            </w:r>
          </w:p>
          <w:p w14:paraId="0653CA46" w14:textId="77777777" w:rsidR="00611CA9" w:rsidRPr="00611CA9" w:rsidRDefault="00611CA9" w:rsidP="00BE68FA">
            <w:pPr>
              <w:tabs>
                <w:tab w:val="left" w:pos="991"/>
              </w:tabs>
              <w:rPr>
                <w:rFonts w:ascii="Arial Narrow" w:hAnsi="Arial Narrow"/>
                <w:b/>
                <w:bCs/>
              </w:rPr>
            </w:pPr>
            <w:r w:rsidRPr="00611CA9">
              <w:rPr>
                <w:rFonts w:ascii="Arial Narrow" w:hAnsi="Arial Narrow"/>
              </w:rPr>
              <w:t xml:space="preserve">SGLT2is (chronic kidney disease indication), </w:t>
            </w:r>
            <w:proofErr w:type="spellStart"/>
            <w:r w:rsidRPr="00611CA9">
              <w:rPr>
                <w:rFonts w:ascii="Arial Narrow" w:hAnsi="Arial Narrow"/>
              </w:rPr>
              <w:t>finerenone</w:t>
            </w:r>
            <w:proofErr w:type="spellEnd"/>
          </w:p>
        </w:tc>
        <w:tc>
          <w:tcPr>
            <w:tcW w:w="4201" w:type="dxa"/>
          </w:tcPr>
          <w:p w14:paraId="57839347" w14:textId="012ECEBC" w:rsidR="00611CA9" w:rsidRPr="00611CA9" w:rsidRDefault="00611CA9" w:rsidP="00BE68FA">
            <w:pPr>
              <w:rPr>
                <w:rFonts w:ascii="Arial Narrow" w:hAnsi="Arial Narrow"/>
              </w:rPr>
            </w:pPr>
            <w:r w:rsidRPr="00611CA9">
              <w:rPr>
                <w:rFonts w:ascii="Arial Narrow" w:hAnsi="Arial Narrow"/>
              </w:rPr>
              <w:t>Consistency with SGLT2i for other indications (i.e. heart failure). Some nurse practitioners reported a scope of practice focusing on nephrology.</w:t>
            </w:r>
          </w:p>
        </w:tc>
      </w:tr>
      <w:tr w:rsidR="00611CA9" w:rsidRPr="00611CA9" w14:paraId="45ED31FE" w14:textId="77777777" w:rsidTr="00CA37FA">
        <w:tc>
          <w:tcPr>
            <w:tcW w:w="4820" w:type="dxa"/>
          </w:tcPr>
          <w:p w14:paraId="1B9A40E2" w14:textId="599BFDF9" w:rsidR="001D4EB6" w:rsidRPr="00611CA9" w:rsidRDefault="001D4EB6" w:rsidP="001D4EB6">
            <w:pPr>
              <w:rPr>
                <w:rFonts w:ascii="Arial Narrow" w:hAnsi="Arial Narrow"/>
                <w:b/>
                <w:bCs/>
              </w:rPr>
            </w:pPr>
            <w:r>
              <w:rPr>
                <w:rFonts w:ascii="Arial Narrow" w:hAnsi="Arial Narrow"/>
                <w:b/>
                <w:bCs/>
              </w:rPr>
              <w:t>Neurology</w:t>
            </w:r>
          </w:p>
          <w:p w14:paraId="7A103E7B" w14:textId="77777777" w:rsidR="00611CA9" w:rsidRPr="00611CA9" w:rsidRDefault="00611CA9" w:rsidP="00BE68FA">
            <w:pPr>
              <w:rPr>
                <w:rFonts w:ascii="Arial Narrow" w:hAnsi="Arial Narrow"/>
              </w:rPr>
            </w:pPr>
            <w:r w:rsidRPr="00611CA9">
              <w:rPr>
                <w:rFonts w:ascii="Arial Narrow" w:hAnsi="Arial Narrow"/>
              </w:rPr>
              <w:t xml:space="preserve">Anti-migraine: triptans, pizotifen, topiramate </w:t>
            </w:r>
          </w:p>
          <w:p w14:paraId="35048AC4" w14:textId="77777777" w:rsidR="00611CA9" w:rsidRPr="00611CA9" w:rsidRDefault="00611CA9" w:rsidP="00BE68FA">
            <w:pPr>
              <w:rPr>
                <w:rFonts w:ascii="Arial Narrow" w:hAnsi="Arial Narrow"/>
              </w:rPr>
            </w:pPr>
          </w:p>
          <w:p w14:paraId="0A4C57F9" w14:textId="77777777" w:rsidR="00611CA9" w:rsidRPr="00611CA9" w:rsidRDefault="00611CA9" w:rsidP="00BE68FA">
            <w:pPr>
              <w:rPr>
                <w:rFonts w:ascii="Arial Narrow" w:hAnsi="Arial Narrow"/>
              </w:rPr>
            </w:pPr>
            <w:r w:rsidRPr="00611CA9">
              <w:rPr>
                <w:rFonts w:ascii="Arial Narrow" w:hAnsi="Arial Narrow"/>
              </w:rPr>
              <w:t>Neuropathic pain: pregabalin</w:t>
            </w:r>
          </w:p>
        </w:tc>
        <w:tc>
          <w:tcPr>
            <w:tcW w:w="4201" w:type="dxa"/>
          </w:tcPr>
          <w:p w14:paraId="2DD7ABF9" w14:textId="77777777" w:rsidR="00611CA9" w:rsidRPr="00611CA9" w:rsidRDefault="00611CA9" w:rsidP="00BE68FA">
            <w:pPr>
              <w:rPr>
                <w:rFonts w:ascii="Arial Narrow" w:hAnsi="Arial Narrow"/>
              </w:rPr>
            </w:pPr>
            <w:r w:rsidRPr="00611CA9">
              <w:rPr>
                <w:rFonts w:ascii="Arial Narrow" w:hAnsi="Arial Narrow"/>
              </w:rPr>
              <w:t xml:space="preserve">Most triptans were down scheduled to Schedule 3 (pharmacist only medicines) in February 2021. </w:t>
            </w:r>
          </w:p>
        </w:tc>
      </w:tr>
      <w:tr w:rsidR="00611CA9" w:rsidRPr="00611CA9" w14:paraId="0D019B07" w14:textId="77777777" w:rsidTr="00EC073D">
        <w:trPr>
          <w:cantSplit/>
        </w:trPr>
        <w:tc>
          <w:tcPr>
            <w:tcW w:w="4820" w:type="dxa"/>
          </w:tcPr>
          <w:p w14:paraId="37A3C281" w14:textId="77777777" w:rsidR="00611CA9" w:rsidRPr="00611CA9" w:rsidRDefault="00611CA9" w:rsidP="00BE68FA">
            <w:pPr>
              <w:rPr>
                <w:rFonts w:ascii="Arial Narrow" w:hAnsi="Arial Narrow"/>
              </w:rPr>
            </w:pPr>
            <w:r w:rsidRPr="00611CA9">
              <w:rPr>
                <w:rFonts w:ascii="Arial Narrow" w:hAnsi="Arial Narrow"/>
              </w:rPr>
              <w:t>Alzheimer disease: donepezil, galantamine, rivastigmine, memantine</w:t>
            </w:r>
          </w:p>
        </w:tc>
        <w:tc>
          <w:tcPr>
            <w:tcW w:w="4201" w:type="dxa"/>
          </w:tcPr>
          <w:p w14:paraId="2069918D" w14:textId="7BBDA73C" w:rsidR="00611CA9" w:rsidRPr="00611CA9" w:rsidRDefault="00611CA9" w:rsidP="00BE68FA">
            <w:pPr>
              <w:rPr>
                <w:rFonts w:ascii="Arial Narrow" w:hAnsi="Arial Narrow"/>
              </w:rPr>
            </w:pPr>
            <w:r w:rsidRPr="00611CA9">
              <w:rPr>
                <w:rFonts w:ascii="Arial Narrow" w:hAnsi="Arial Narrow"/>
              </w:rPr>
              <w:t>PBS restrictions require that for initiation of therapy the condition must be confirmed by, or in consultation with, a specialist/consultant physician (including a psychiatrist).</w:t>
            </w:r>
          </w:p>
        </w:tc>
      </w:tr>
      <w:tr w:rsidR="00611CA9" w:rsidRPr="00611CA9" w14:paraId="69D380A1" w14:textId="77777777" w:rsidTr="00CA37FA">
        <w:tc>
          <w:tcPr>
            <w:tcW w:w="4820" w:type="dxa"/>
          </w:tcPr>
          <w:p w14:paraId="11A515FD" w14:textId="77777777" w:rsidR="00611CA9" w:rsidRPr="00611CA9" w:rsidRDefault="00611CA9" w:rsidP="00BE68FA">
            <w:pPr>
              <w:rPr>
                <w:rFonts w:ascii="Arial Narrow" w:hAnsi="Arial Narrow"/>
              </w:rPr>
            </w:pPr>
            <w:r w:rsidRPr="00611CA9">
              <w:rPr>
                <w:rFonts w:ascii="Arial Narrow" w:hAnsi="Arial Narrow"/>
              </w:rPr>
              <w:lastRenderedPageBreak/>
              <w:t>Hypnotics in a higher than standard quantity: nitrazepam, temazepam (insomnia indications in benzodiazepine dependence)</w:t>
            </w:r>
          </w:p>
        </w:tc>
        <w:tc>
          <w:tcPr>
            <w:tcW w:w="4201" w:type="dxa"/>
          </w:tcPr>
          <w:p w14:paraId="05495877" w14:textId="25D0D285" w:rsidR="00611CA9" w:rsidRPr="00611CA9" w:rsidRDefault="00611CA9" w:rsidP="00BE68FA">
            <w:pPr>
              <w:rPr>
                <w:rFonts w:ascii="Arial Narrow" w:hAnsi="Arial Narrow"/>
              </w:rPr>
            </w:pPr>
            <w:r w:rsidRPr="00611CA9">
              <w:rPr>
                <w:rFonts w:ascii="Arial Narrow" w:hAnsi="Arial Narrow"/>
              </w:rPr>
              <w:t>PBS restriction requires the patient to be in long</w:t>
            </w:r>
            <w:r w:rsidR="00DD3FC3">
              <w:rPr>
                <w:rFonts w:ascii="Arial Narrow" w:hAnsi="Arial Narrow"/>
              </w:rPr>
              <w:noBreakHyphen/>
            </w:r>
            <w:r w:rsidRPr="00611CA9">
              <w:rPr>
                <w:rFonts w:ascii="Arial Narrow" w:hAnsi="Arial Narrow"/>
              </w:rPr>
              <w:t>term nursing care (insomnia indication). Some nurse practitioners have a scope of practice focusing on aged care.</w:t>
            </w:r>
          </w:p>
        </w:tc>
      </w:tr>
      <w:tr w:rsidR="00611CA9" w:rsidRPr="00611CA9" w14:paraId="504EC5AA" w14:textId="77777777" w:rsidTr="00CA37FA">
        <w:tc>
          <w:tcPr>
            <w:tcW w:w="4820" w:type="dxa"/>
          </w:tcPr>
          <w:p w14:paraId="71FA918D" w14:textId="77777777" w:rsidR="00611CA9" w:rsidRPr="00611CA9" w:rsidRDefault="00611CA9" w:rsidP="00BE68FA">
            <w:pPr>
              <w:rPr>
                <w:rFonts w:ascii="Arial Narrow" w:hAnsi="Arial Narrow"/>
                <w:b/>
                <w:bCs/>
              </w:rPr>
            </w:pPr>
            <w:r w:rsidRPr="00611CA9">
              <w:rPr>
                <w:rFonts w:ascii="Arial Narrow" w:hAnsi="Arial Narrow"/>
                <w:b/>
                <w:bCs/>
              </w:rPr>
              <w:t>Psychotropics</w:t>
            </w:r>
          </w:p>
          <w:p w14:paraId="34AED219" w14:textId="77777777" w:rsidR="00611CA9" w:rsidRPr="00611CA9" w:rsidRDefault="00611CA9" w:rsidP="00BE68FA">
            <w:pPr>
              <w:rPr>
                <w:rFonts w:ascii="Arial Narrow" w:hAnsi="Arial Narrow"/>
              </w:rPr>
            </w:pPr>
            <w:r w:rsidRPr="00611CA9">
              <w:rPr>
                <w:rFonts w:ascii="Arial Narrow" w:hAnsi="Arial Narrow"/>
              </w:rPr>
              <w:t>Antidepressants: SNRIs (desvenlafaxine, venlafaxine, duloxetine), TCAs (amitriptyline, clomipramine,</w:t>
            </w:r>
            <w:r w:rsidRPr="00611CA9">
              <w:t xml:space="preserve"> </w:t>
            </w:r>
            <w:r w:rsidRPr="00611CA9">
              <w:rPr>
                <w:rFonts w:ascii="Arial Narrow" w:hAnsi="Arial Narrow"/>
              </w:rPr>
              <w:t xml:space="preserve">imipramine, </w:t>
            </w:r>
            <w:proofErr w:type="spellStart"/>
            <w:r w:rsidRPr="00611CA9">
              <w:rPr>
                <w:rFonts w:ascii="Arial Narrow" w:hAnsi="Arial Narrow"/>
              </w:rPr>
              <w:t>dosulepin</w:t>
            </w:r>
            <w:proofErr w:type="spellEnd"/>
            <w:r w:rsidRPr="00611CA9">
              <w:rPr>
                <w:rFonts w:ascii="Arial Narrow" w:hAnsi="Arial Narrow"/>
              </w:rPr>
              <w:t xml:space="preserve"> (dothiepin), nortriptyline), </w:t>
            </w:r>
          </w:p>
          <w:p w14:paraId="31BED6EF" w14:textId="77777777" w:rsidR="00611CA9" w:rsidRPr="00611CA9" w:rsidRDefault="00611CA9" w:rsidP="00BE68FA">
            <w:pPr>
              <w:rPr>
                <w:rFonts w:ascii="Arial Narrow" w:hAnsi="Arial Narrow"/>
              </w:rPr>
            </w:pPr>
            <w:r w:rsidRPr="00611CA9">
              <w:rPr>
                <w:rFonts w:ascii="Arial Narrow" w:hAnsi="Arial Narrow"/>
              </w:rPr>
              <w:t xml:space="preserve">Others: </w:t>
            </w:r>
            <w:proofErr w:type="spellStart"/>
            <w:r w:rsidRPr="00611CA9">
              <w:rPr>
                <w:rFonts w:ascii="Arial Narrow" w:hAnsi="Arial Narrow"/>
              </w:rPr>
              <w:t>mianserin</w:t>
            </w:r>
            <w:proofErr w:type="spellEnd"/>
            <w:r w:rsidRPr="00611CA9">
              <w:rPr>
                <w:rFonts w:ascii="Arial Narrow" w:hAnsi="Arial Narrow"/>
              </w:rPr>
              <w:t>, mirtazapine, moclobemide, reboxetine</w:t>
            </w:r>
          </w:p>
        </w:tc>
        <w:tc>
          <w:tcPr>
            <w:tcW w:w="4201" w:type="dxa"/>
          </w:tcPr>
          <w:p w14:paraId="01485E1A" w14:textId="77777777" w:rsidR="00611CA9" w:rsidRPr="00611CA9" w:rsidRDefault="00611CA9" w:rsidP="00BE68FA">
            <w:pPr>
              <w:rPr>
                <w:rFonts w:ascii="Arial Narrow" w:hAnsi="Arial Narrow"/>
              </w:rPr>
            </w:pPr>
            <w:r w:rsidRPr="00611CA9">
              <w:rPr>
                <w:rFonts w:ascii="Arial Narrow" w:hAnsi="Arial Narrow"/>
              </w:rPr>
              <w:t xml:space="preserve">Consistency with other anti-depressant classes that nurse practitioners can already initiate (selective serotonin reuptake inhibitors (SSRIs)). </w:t>
            </w:r>
          </w:p>
        </w:tc>
      </w:tr>
      <w:tr w:rsidR="00611CA9" w:rsidRPr="00611CA9" w14:paraId="7AABB2A6" w14:textId="77777777" w:rsidTr="00CA37FA">
        <w:trPr>
          <w:trHeight w:val="1157"/>
        </w:trPr>
        <w:tc>
          <w:tcPr>
            <w:tcW w:w="4820" w:type="dxa"/>
          </w:tcPr>
          <w:p w14:paraId="7901E9C4" w14:textId="77777777" w:rsidR="00611CA9" w:rsidRPr="00611CA9" w:rsidRDefault="00611CA9" w:rsidP="00BE68FA">
            <w:pPr>
              <w:rPr>
                <w:rFonts w:ascii="Arial Narrow" w:hAnsi="Arial Narrow"/>
                <w:b/>
                <w:bCs/>
              </w:rPr>
            </w:pPr>
            <w:r w:rsidRPr="00611CA9">
              <w:rPr>
                <w:rFonts w:ascii="Arial Narrow" w:hAnsi="Arial Narrow"/>
                <w:b/>
                <w:bCs/>
              </w:rPr>
              <w:t>Respiratory</w:t>
            </w:r>
          </w:p>
          <w:p w14:paraId="5971F5CB" w14:textId="77777777" w:rsidR="00611CA9" w:rsidRPr="00611CA9" w:rsidRDefault="00611CA9" w:rsidP="00BE68FA">
            <w:pPr>
              <w:rPr>
                <w:rFonts w:ascii="Arial Narrow" w:hAnsi="Arial Narrow"/>
              </w:rPr>
            </w:pPr>
            <w:r w:rsidRPr="00611CA9">
              <w:rPr>
                <w:rFonts w:ascii="Arial Narrow" w:hAnsi="Arial Narrow"/>
              </w:rPr>
              <w:t>Asthma: fluticasone propionate 50 mcg (children &lt;6), tiotropium (severe asthma in children 6-17 years), theophylline</w:t>
            </w:r>
          </w:p>
          <w:p w14:paraId="03EF54AD" w14:textId="77777777" w:rsidR="00611CA9" w:rsidRPr="00611CA9" w:rsidRDefault="00611CA9" w:rsidP="00BE68FA">
            <w:pPr>
              <w:rPr>
                <w:rFonts w:ascii="Arial Narrow" w:hAnsi="Arial Narrow"/>
              </w:rPr>
            </w:pPr>
          </w:p>
          <w:p w14:paraId="0F9021DB" w14:textId="77777777" w:rsidR="00611CA9" w:rsidRPr="00611CA9" w:rsidRDefault="00611CA9" w:rsidP="00BE68FA">
            <w:pPr>
              <w:rPr>
                <w:rFonts w:ascii="Arial Narrow" w:hAnsi="Arial Narrow"/>
              </w:rPr>
            </w:pPr>
            <w:r w:rsidRPr="00611CA9">
              <w:rPr>
                <w:rFonts w:ascii="Arial Narrow" w:hAnsi="Arial Narrow"/>
              </w:rPr>
              <w:t>COPD: triple combination inhalants</w:t>
            </w:r>
          </w:p>
        </w:tc>
        <w:tc>
          <w:tcPr>
            <w:tcW w:w="4201" w:type="dxa"/>
          </w:tcPr>
          <w:p w14:paraId="77EE0114" w14:textId="77777777" w:rsidR="00DB75D1" w:rsidRDefault="00611CA9" w:rsidP="00BE68FA">
            <w:pPr>
              <w:rPr>
                <w:rFonts w:ascii="Arial Narrow" w:hAnsi="Arial Narrow"/>
              </w:rPr>
            </w:pPr>
            <w:r w:rsidRPr="00611CA9">
              <w:rPr>
                <w:rFonts w:ascii="Arial Narrow" w:hAnsi="Arial Narrow"/>
              </w:rPr>
              <w:t>CTO note does not apply to fluticasone and tiotropium formulations when indicated for adults.</w:t>
            </w:r>
          </w:p>
          <w:p w14:paraId="276F7A18" w14:textId="57290B30" w:rsidR="00611CA9" w:rsidRPr="00611CA9" w:rsidRDefault="00DB75D1" w:rsidP="00BE68FA">
            <w:pPr>
              <w:rPr>
                <w:rFonts w:ascii="Arial Narrow" w:hAnsi="Arial Narrow"/>
              </w:rPr>
            </w:pPr>
            <w:r w:rsidRPr="00611CA9">
              <w:rPr>
                <w:rFonts w:ascii="Arial Narrow" w:hAnsi="Arial Narrow"/>
              </w:rPr>
              <w:t xml:space="preserve">PBS restrictions for </w:t>
            </w:r>
            <w:r>
              <w:rPr>
                <w:rFonts w:ascii="Arial Narrow" w:hAnsi="Arial Narrow"/>
              </w:rPr>
              <w:t xml:space="preserve">tiotropium </w:t>
            </w:r>
            <w:r w:rsidRPr="00611CA9">
              <w:rPr>
                <w:rFonts w:ascii="Arial Narrow" w:hAnsi="Arial Narrow"/>
              </w:rPr>
              <w:t xml:space="preserve">require treatment to be by, or </w:t>
            </w:r>
            <w:r>
              <w:rPr>
                <w:rFonts w:ascii="Arial Narrow" w:hAnsi="Arial Narrow"/>
              </w:rPr>
              <w:t>in consultation with certain specialist medical practitioners</w:t>
            </w:r>
            <w:r w:rsidRPr="00611CA9">
              <w:rPr>
                <w:rFonts w:ascii="Arial Narrow" w:hAnsi="Arial Narrow"/>
              </w:rPr>
              <w:t>.</w:t>
            </w:r>
          </w:p>
        </w:tc>
      </w:tr>
    </w:tbl>
    <w:bookmarkEnd w:id="1"/>
    <w:bookmarkEnd w:id="2"/>
    <w:p w14:paraId="27F17288" w14:textId="77777777" w:rsidR="00611CA9" w:rsidRDefault="00611CA9" w:rsidP="00611CA9">
      <w:pPr>
        <w:rPr>
          <w:rFonts w:ascii="Arial Narrow" w:hAnsi="Arial Narrow"/>
          <w:sz w:val="20"/>
          <w:szCs w:val="20"/>
        </w:rPr>
      </w:pPr>
      <w:r w:rsidRPr="00892B1B">
        <w:rPr>
          <w:rFonts w:ascii="Arial Narrow" w:hAnsi="Arial Narrow"/>
          <w:b/>
          <w:bCs/>
          <w:sz w:val="20"/>
          <w:szCs w:val="20"/>
        </w:rPr>
        <w:t>Abbreviations:</w:t>
      </w:r>
      <w:r w:rsidRPr="00892B1B">
        <w:rPr>
          <w:rFonts w:ascii="Arial Narrow" w:hAnsi="Arial Narrow"/>
          <w:sz w:val="20"/>
          <w:szCs w:val="20"/>
        </w:rPr>
        <w:t xml:space="preserve"> FDC =</w:t>
      </w:r>
      <w:r>
        <w:rPr>
          <w:rFonts w:ascii="Arial Narrow" w:hAnsi="Arial Narrow"/>
          <w:sz w:val="20"/>
          <w:szCs w:val="20"/>
        </w:rPr>
        <w:t xml:space="preserve"> fixed dose combination; </w:t>
      </w:r>
      <w:r w:rsidRPr="007B3141">
        <w:rPr>
          <w:rFonts w:ascii="Arial Narrow" w:hAnsi="Arial Narrow"/>
          <w:sz w:val="20"/>
          <w:szCs w:val="20"/>
        </w:rPr>
        <w:t>DPP4i</w:t>
      </w:r>
      <w:r>
        <w:rPr>
          <w:rFonts w:ascii="Arial Narrow" w:hAnsi="Arial Narrow"/>
          <w:sz w:val="20"/>
          <w:szCs w:val="20"/>
        </w:rPr>
        <w:t xml:space="preserve"> = </w:t>
      </w:r>
      <w:r w:rsidRPr="007B3141">
        <w:rPr>
          <w:rFonts w:ascii="Arial Narrow" w:hAnsi="Arial Narrow"/>
          <w:sz w:val="20"/>
          <w:szCs w:val="20"/>
        </w:rPr>
        <w:t>dipeptidyl peptidase-4 inhibitors</w:t>
      </w:r>
      <w:r>
        <w:rPr>
          <w:rFonts w:ascii="Arial Narrow" w:hAnsi="Arial Narrow"/>
          <w:sz w:val="20"/>
          <w:szCs w:val="20"/>
        </w:rPr>
        <w:t>;</w:t>
      </w:r>
      <w:r w:rsidRPr="007B3141">
        <w:rPr>
          <w:rFonts w:ascii="Arial Narrow" w:hAnsi="Arial Narrow"/>
          <w:sz w:val="20"/>
          <w:szCs w:val="20"/>
        </w:rPr>
        <w:t xml:space="preserve"> </w:t>
      </w:r>
      <w:r>
        <w:rPr>
          <w:rFonts w:ascii="Arial Narrow" w:hAnsi="Arial Narrow"/>
          <w:sz w:val="20"/>
          <w:szCs w:val="20"/>
        </w:rPr>
        <w:t xml:space="preserve">SGLT2i = </w:t>
      </w:r>
      <w:r w:rsidRPr="007B3141">
        <w:rPr>
          <w:rFonts w:ascii="Arial Narrow" w:hAnsi="Arial Narrow"/>
          <w:sz w:val="20"/>
          <w:szCs w:val="20"/>
        </w:rPr>
        <w:t>sodium-glucose cotransporter-2 inhibitors</w:t>
      </w:r>
      <w:r>
        <w:rPr>
          <w:rFonts w:ascii="Arial Narrow" w:hAnsi="Arial Narrow"/>
          <w:sz w:val="20"/>
          <w:szCs w:val="20"/>
        </w:rPr>
        <w:t xml:space="preserve">; GLP1-RA = </w:t>
      </w:r>
      <w:r w:rsidRPr="003E3852">
        <w:rPr>
          <w:rFonts w:ascii="Arial Narrow" w:hAnsi="Arial Narrow"/>
          <w:sz w:val="20"/>
          <w:szCs w:val="20"/>
        </w:rPr>
        <w:t>glucagon-like peptide-1 receptor agonist</w:t>
      </w:r>
      <w:r>
        <w:rPr>
          <w:rFonts w:ascii="Arial Narrow" w:hAnsi="Arial Narrow"/>
          <w:sz w:val="20"/>
          <w:szCs w:val="20"/>
        </w:rPr>
        <w:t xml:space="preserve">; </w:t>
      </w:r>
      <w:r w:rsidRPr="00125514">
        <w:rPr>
          <w:rFonts w:ascii="Arial Narrow" w:hAnsi="Arial Narrow"/>
          <w:sz w:val="20"/>
          <w:szCs w:val="20"/>
        </w:rPr>
        <w:t>GORD</w:t>
      </w:r>
      <w:r>
        <w:rPr>
          <w:rFonts w:ascii="Arial Narrow" w:hAnsi="Arial Narrow"/>
          <w:sz w:val="20"/>
          <w:szCs w:val="20"/>
        </w:rPr>
        <w:t xml:space="preserve"> = g</w:t>
      </w:r>
      <w:r w:rsidRPr="00AA1DD4">
        <w:rPr>
          <w:rFonts w:ascii="Arial Narrow" w:hAnsi="Arial Narrow"/>
          <w:sz w:val="20"/>
          <w:szCs w:val="20"/>
        </w:rPr>
        <w:t>astro-oesophageal reflux disease</w:t>
      </w:r>
      <w:r>
        <w:rPr>
          <w:rFonts w:ascii="Arial Narrow" w:hAnsi="Arial Narrow"/>
          <w:sz w:val="20"/>
          <w:szCs w:val="20"/>
        </w:rPr>
        <w:t xml:space="preserve">; </w:t>
      </w:r>
      <w:r w:rsidRPr="00AA1DD4">
        <w:rPr>
          <w:rFonts w:ascii="Arial Narrow" w:hAnsi="Arial Narrow"/>
          <w:sz w:val="20"/>
          <w:szCs w:val="20"/>
        </w:rPr>
        <w:t>SNRIs</w:t>
      </w:r>
      <w:r>
        <w:rPr>
          <w:rFonts w:ascii="Arial Narrow" w:hAnsi="Arial Narrow"/>
          <w:sz w:val="20"/>
          <w:szCs w:val="20"/>
        </w:rPr>
        <w:t xml:space="preserve"> = s</w:t>
      </w:r>
      <w:r w:rsidRPr="00892B1B">
        <w:rPr>
          <w:rFonts w:ascii="Arial Narrow" w:hAnsi="Arial Narrow"/>
          <w:sz w:val="20"/>
          <w:szCs w:val="20"/>
        </w:rPr>
        <w:t>erotonin and noradrenaline reuptake inhibitors</w:t>
      </w:r>
      <w:r>
        <w:rPr>
          <w:rFonts w:ascii="Arial Narrow" w:hAnsi="Arial Narrow"/>
          <w:sz w:val="20"/>
          <w:szCs w:val="20"/>
        </w:rPr>
        <w:t>; TCAs = t</w:t>
      </w:r>
      <w:r w:rsidRPr="00892B1B">
        <w:rPr>
          <w:rFonts w:ascii="Arial Narrow" w:hAnsi="Arial Narrow"/>
          <w:sz w:val="20"/>
          <w:szCs w:val="20"/>
        </w:rPr>
        <w:t>ricyclic antidepressants</w:t>
      </w:r>
      <w:r>
        <w:rPr>
          <w:rFonts w:ascii="Arial Narrow" w:hAnsi="Arial Narrow"/>
          <w:sz w:val="20"/>
          <w:szCs w:val="20"/>
        </w:rPr>
        <w:t>; COPD = chronic obstructive pulmonary disease</w:t>
      </w:r>
    </w:p>
    <w:p w14:paraId="73416F0A" w14:textId="6C742874" w:rsidR="00677E32" w:rsidRDefault="00677E32">
      <w:pPr>
        <w:rPr>
          <w:rFonts w:ascii="Arial Narrow" w:hAnsi="Arial Narrow"/>
          <w:b/>
          <w:bCs/>
          <w:lang w:eastAsia="en-AU"/>
        </w:rPr>
      </w:pPr>
      <w:bookmarkStart w:id="4" w:name="_Hlk182214706"/>
    </w:p>
    <w:p w14:paraId="72CCF9D3" w14:textId="351DFB2D" w:rsidR="000B2B7F" w:rsidRPr="000B2B7F" w:rsidRDefault="000B2B7F" w:rsidP="000B2B7F">
      <w:pPr>
        <w:pStyle w:val="3Bodytext"/>
        <w:numPr>
          <w:ilvl w:val="0"/>
          <w:numId w:val="0"/>
        </w:numPr>
        <w:jc w:val="both"/>
        <w:rPr>
          <w:rFonts w:ascii="Arial Narrow" w:hAnsi="Arial Narrow"/>
          <w:b/>
          <w:bCs/>
          <w:sz w:val="22"/>
        </w:rPr>
      </w:pPr>
      <w:r w:rsidRPr="000B2B7F">
        <w:rPr>
          <w:rFonts w:ascii="Arial Narrow" w:hAnsi="Arial Narrow"/>
          <w:b/>
          <w:bCs/>
          <w:sz w:val="22"/>
        </w:rPr>
        <w:t xml:space="preserve">Table 2:  </w:t>
      </w:r>
      <w:r w:rsidR="00876810">
        <w:rPr>
          <w:rFonts w:ascii="Arial Narrow" w:hAnsi="Arial Narrow"/>
          <w:b/>
          <w:bCs/>
          <w:sz w:val="22"/>
        </w:rPr>
        <w:t>Summary of PBAC recommendations to amend PBS restrictions for m</w:t>
      </w:r>
      <w:r w:rsidRPr="000B2B7F">
        <w:rPr>
          <w:rFonts w:ascii="Arial Narrow" w:hAnsi="Arial Narrow"/>
          <w:b/>
          <w:bCs/>
          <w:sz w:val="22"/>
        </w:rPr>
        <w:t>edicines with a CTO note</w:t>
      </w:r>
      <w:r w:rsidR="00195198">
        <w:rPr>
          <w:rFonts w:ascii="Arial Narrow" w:hAnsi="Arial Narrow"/>
          <w:b/>
          <w:bCs/>
          <w:sz w:val="22"/>
        </w:rPr>
        <w:t>:</w:t>
      </w:r>
      <w:r w:rsidRPr="000B2B7F">
        <w:rPr>
          <w:rFonts w:ascii="Arial Narrow" w:hAnsi="Arial Narrow"/>
          <w:b/>
          <w:bCs/>
          <w:sz w:val="22"/>
        </w:rPr>
        <w:t xml:space="preserve"> nurse practitioner prescribing (to initiate or continue treatment)</w:t>
      </w:r>
      <w:r w:rsidR="000C2C56">
        <w:rPr>
          <w:rFonts w:ascii="Arial Narrow" w:hAnsi="Arial Narrow"/>
          <w:b/>
          <w:bCs/>
          <w:sz w:val="22"/>
        </w:rPr>
        <w:t xml:space="preserve"> </w:t>
      </w:r>
      <w:r w:rsidR="00DD01D3">
        <w:rPr>
          <w:rFonts w:ascii="Arial Narrow" w:hAnsi="Arial Narrow"/>
          <w:b/>
          <w:bCs/>
          <w:sz w:val="22"/>
        </w:rPr>
        <w:t>where</w:t>
      </w:r>
      <w:r w:rsidRPr="000B2B7F">
        <w:rPr>
          <w:rFonts w:ascii="Arial Narrow" w:hAnsi="Arial Narrow"/>
          <w:b/>
          <w:bCs/>
          <w:sz w:val="22"/>
        </w:rPr>
        <w:t xml:space="preserve"> patient care is shared with a medical practitioner.</w:t>
      </w:r>
    </w:p>
    <w:tbl>
      <w:tblPr>
        <w:tblStyle w:val="TableGrid"/>
        <w:tblW w:w="9021" w:type="dxa"/>
        <w:tblInd w:w="-5" w:type="dxa"/>
        <w:tblLook w:val="04A0" w:firstRow="1" w:lastRow="0" w:firstColumn="1" w:lastColumn="0" w:noHBand="0" w:noVBand="1"/>
      </w:tblPr>
      <w:tblGrid>
        <w:gridCol w:w="5670"/>
        <w:gridCol w:w="3351"/>
      </w:tblGrid>
      <w:tr w:rsidR="000B2B7F" w:rsidRPr="000B2B7F" w14:paraId="73B973E7" w14:textId="77777777" w:rsidTr="00CA37FA">
        <w:trPr>
          <w:tblHeader/>
        </w:trPr>
        <w:tc>
          <w:tcPr>
            <w:tcW w:w="5670" w:type="dxa"/>
          </w:tcPr>
          <w:bookmarkEnd w:id="4"/>
          <w:p w14:paraId="3C990552" w14:textId="77777777" w:rsidR="000B2B7F" w:rsidRPr="000B2B7F" w:rsidRDefault="000B2B7F" w:rsidP="00BE68FA">
            <w:pPr>
              <w:rPr>
                <w:rFonts w:ascii="Arial Narrow" w:hAnsi="Arial Narrow"/>
                <w:b/>
                <w:bCs/>
              </w:rPr>
            </w:pPr>
            <w:r w:rsidRPr="000B2B7F">
              <w:rPr>
                <w:rFonts w:ascii="Arial Narrow" w:hAnsi="Arial Narrow"/>
                <w:b/>
                <w:bCs/>
              </w:rPr>
              <w:t>Topic, class or medicine name(s)</w:t>
            </w:r>
          </w:p>
        </w:tc>
        <w:tc>
          <w:tcPr>
            <w:tcW w:w="3351" w:type="dxa"/>
          </w:tcPr>
          <w:p w14:paraId="556DE365" w14:textId="0C0E43A4" w:rsidR="000B2B7F" w:rsidRPr="000B2B7F" w:rsidRDefault="00876810" w:rsidP="00BE68FA">
            <w:pPr>
              <w:jc w:val="center"/>
              <w:rPr>
                <w:rFonts w:ascii="Arial Narrow" w:hAnsi="Arial Narrow"/>
                <w:b/>
                <w:bCs/>
              </w:rPr>
            </w:pPr>
            <w:r>
              <w:rPr>
                <w:rFonts w:ascii="Arial Narrow" w:hAnsi="Arial Narrow"/>
                <w:b/>
                <w:bCs/>
              </w:rPr>
              <w:t xml:space="preserve">PBAC </w:t>
            </w:r>
            <w:r w:rsidR="000B2B7F" w:rsidRPr="000B2B7F">
              <w:rPr>
                <w:rFonts w:ascii="Arial Narrow" w:hAnsi="Arial Narrow"/>
                <w:b/>
                <w:bCs/>
              </w:rPr>
              <w:t>Consideration(s)</w:t>
            </w:r>
            <w:r w:rsidR="00403980">
              <w:rPr>
                <w:rFonts w:ascii="Arial Narrow" w:hAnsi="Arial Narrow"/>
                <w:b/>
                <w:bCs/>
              </w:rPr>
              <w:t>/</w:t>
            </w:r>
            <w:r w:rsidR="000C2C56">
              <w:rPr>
                <w:rFonts w:ascii="Arial Narrow" w:hAnsi="Arial Narrow"/>
                <w:b/>
                <w:bCs/>
              </w:rPr>
              <w:t>Rationale</w:t>
            </w:r>
            <w:r w:rsidR="00403980">
              <w:rPr>
                <w:rFonts w:ascii="Arial Narrow" w:hAnsi="Arial Narrow"/>
                <w:b/>
                <w:bCs/>
              </w:rPr>
              <w:t xml:space="preserve"> </w:t>
            </w:r>
          </w:p>
        </w:tc>
      </w:tr>
      <w:tr w:rsidR="000B2B7F" w:rsidRPr="000B2B7F" w14:paraId="2C9F68A6" w14:textId="77777777" w:rsidTr="00CA37FA">
        <w:tc>
          <w:tcPr>
            <w:tcW w:w="5670" w:type="dxa"/>
          </w:tcPr>
          <w:p w14:paraId="2CA0596F" w14:textId="77777777" w:rsidR="000B2B7F" w:rsidRPr="000B2B7F" w:rsidRDefault="000B2B7F" w:rsidP="00BE68FA">
            <w:pPr>
              <w:rPr>
                <w:rFonts w:ascii="Arial Narrow" w:hAnsi="Arial Narrow"/>
              </w:rPr>
            </w:pPr>
            <w:r w:rsidRPr="000B2B7F">
              <w:rPr>
                <w:rFonts w:ascii="Arial Narrow" w:hAnsi="Arial Narrow"/>
                <w:b/>
                <w:bCs/>
              </w:rPr>
              <w:t xml:space="preserve">Gastroenterology - </w:t>
            </w:r>
            <w:r w:rsidRPr="000B2B7F">
              <w:rPr>
                <w:rFonts w:ascii="Arial Narrow" w:hAnsi="Arial Narrow"/>
              </w:rPr>
              <w:t>Inflammatory disease:</w:t>
            </w:r>
          </w:p>
          <w:p w14:paraId="1E93BC30" w14:textId="77777777" w:rsidR="000B2B7F" w:rsidRPr="000B2B7F" w:rsidRDefault="000B2B7F" w:rsidP="000B2B7F">
            <w:pPr>
              <w:pStyle w:val="ListParagraph"/>
              <w:numPr>
                <w:ilvl w:val="0"/>
                <w:numId w:val="31"/>
              </w:numPr>
              <w:spacing w:after="120"/>
              <w:ind w:left="164" w:hanging="164"/>
              <w:contextualSpacing w:val="0"/>
              <w:rPr>
                <w:rFonts w:ascii="Arial Narrow" w:hAnsi="Arial Narrow"/>
                <w:b/>
                <w:bCs/>
              </w:rPr>
            </w:pPr>
            <w:r w:rsidRPr="000B2B7F">
              <w:rPr>
                <w:rFonts w:ascii="Arial Narrow" w:hAnsi="Arial Narrow"/>
              </w:rPr>
              <w:t>5</w:t>
            </w:r>
            <w:r w:rsidRPr="000B2B7F">
              <w:rPr>
                <w:rFonts w:ascii="Cambria Math" w:hAnsi="Cambria Math" w:cs="Cambria Math"/>
              </w:rPr>
              <w:t>‑</w:t>
            </w:r>
            <w:r w:rsidRPr="000B2B7F">
              <w:rPr>
                <w:rFonts w:ascii="Arial Narrow" w:hAnsi="Arial Narrow"/>
              </w:rPr>
              <w:t>Aminosalicylates (</w:t>
            </w:r>
            <w:proofErr w:type="spellStart"/>
            <w:r w:rsidRPr="000B2B7F">
              <w:rPr>
                <w:rFonts w:ascii="Arial Narrow" w:hAnsi="Arial Narrow"/>
              </w:rPr>
              <w:t>balsalazide</w:t>
            </w:r>
            <w:proofErr w:type="spellEnd"/>
            <w:r w:rsidRPr="000B2B7F">
              <w:rPr>
                <w:rFonts w:ascii="Arial Narrow" w:hAnsi="Arial Narrow"/>
              </w:rPr>
              <w:t xml:space="preserve">, </w:t>
            </w:r>
            <w:proofErr w:type="spellStart"/>
            <w:r w:rsidRPr="000B2B7F">
              <w:rPr>
                <w:rFonts w:ascii="Arial Narrow" w:hAnsi="Arial Narrow"/>
              </w:rPr>
              <w:t>mesalazine</w:t>
            </w:r>
            <w:proofErr w:type="spellEnd"/>
            <w:r w:rsidRPr="000B2B7F">
              <w:rPr>
                <w:rFonts w:ascii="Arial Narrow" w:hAnsi="Arial Narrow"/>
              </w:rPr>
              <w:t xml:space="preserve">, </w:t>
            </w:r>
            <w:proofErr w:type="spellStart"/>
            <w:r w:rsidRPr="000B2B7F">
              <w:rPr>
                <w:rFonts w:ascii="Arial Narrow" w:hAnsi="Arial Narrow"/>
              </w:rPr>
              <w:t>olsalazine</w:t>
            </w:r>
            <w:proofErr w:type="spellEnd"/>
            <w:r w:rsidRPr="000B2B7F">
              <w:rPr>
                <w:rFonts w:ascii="Arial Narrow" w:hAnsi="Arial Narrow"/>
              </w:rPr>
              <w:t>, sulfasalazine)</w:t>
            </w:r>
          </w:p>
          <w:p w14:paraId="24A72E25" w14:textId="77777777" w:rsidR="000B2B7F" w:rsidRPr="000B2B7F" w:rsidRDefault="000B2B7F" w:rsidP="000B2B7F">
            <w:pPr>
              <w:pStyle w:val="ListParagraph"/>
              <w:numPr>
                <w:ilvl w:val="0"/>
                <w:numId w:val="31"/>
              </w:numPr>
              <w:spacing w:after="120"/>
              <w:ind w:left="164" w:hanging="164"/>
              <w:contextualSpacing w:val="0"/>
              <w:rPr>
                <w:rFonts w:ascii="Arial Narrow" w:hAnsi="Arial Narrow"/>
              </w:rPr>
            </w:pPr>
            <w:r w:rsidRPr="000B2B7F">
              <w:rPr>
                <w:rFonts w:ascii="Arial Narrow" w:hAnsi="Arial Narrow"/>
              </w:rPr>
              <w:t>corticosteroid capsules, suppositories/enema/foam for Crohn disease/ulcerative colitis (hydrocortisone acetate, prednisolone, budesonide)</w:t>
            </w:r>
          </w:p>
        </w:tc>
        <w:tc>
          <w:tcPr>
            <w:tcW w:w="3351" w:type="dxa"/>
          </w:tcPr>
          <w:p w14:paraId="3CA1F777" w14:textId="77777777" w:rsidR="000B2B7F" w:rsidRPr="000B2B7F" w:rsidRDefault="000B2B7F" w:rsidP="00BE68FA">
            <w:pPr>
              <w:rPr>
                <w:rFonts w:ascii="Arial Narrow" w:hAnsi="Arial Narrow"/>
                <w:b/>
                <w:bCs/>
              </w:rPr>
            </w:pPr>
            <w:r w:rsidRPr="000B2B7F">
              <w:rPr>
                <w:rFonts w:ascii="Arial Narrow" w:hAnsi="Arial Narrow"/>
              </w:rPr>
              <w:t>Principle 4 - complex conditions where gastroenterologists are likely to oversee treatment.</w:t>
            </w:r>
          </w:p>
        </w:tc>
      </w:tr>
      <w:tr w:rsidR="000B2B7F" w:rsidRPr="000B2B7F" w14:paraId="66083C3A" w14:textId="77777777" w:rsidTr="00CA37FA">
        <w:tc>
          <w:tcPr>
            <w:tcW w:w="5670" w:type="dxa"/>
          </w:tcPr>
          <w:p w14:paraId="7A7E68AA" w14:textId="77777777" w:rsidR="000B2B7F" w:rsidRPr="000B2B7F" w:rsidRDefault="000B2B7F" w:rsidP="00BE68FA">
            <w:pPr>
              <w:rPr>
                <w:rFonts w:ascii="Arial Narrow" w:hAnsi="Arial Narrow"/>
                <w:b/>
                <w:bCs/>
              </w:rPr>
            </w:pPr>
            <w:r w:rsidRPr="000B2B7F">
              <w:rPr>
                <w:rFonts w:ascii="Arial Narrow" w:hAnsi="Arial Narrow"/>
                <w:b/>
                <w:bCs/>
              </w:rPr>
              <w:t>Neurology</w:t>
            </w:r>
          </w:p>
          <w:p w14:paraId="5E824315" w14:textId="77777777" w:rsidR="000B2B7F" w:rsidRPr="000B2B7F" w:rsidRDefault="000B2B7F" w:rsidP="00BE68FA">
            <w:pPr>
              <w:rPr>
                <w:rFonts w:ascii="Arial Narrow" w:hAnsi="Arial Narrow"/>
              </w:rPr>
            </w:pPr>
            <w:r w:rsidRPr="000B2B7F">
              <w:rPr>
                <w:rFonts w:ascii="Arial Narrow" w:hAnsi="Arial Narrow"/>
              </w:rPr>
              <w:t>Anti-epileptics:</w:t>
            </w:r>
          </w:p>
          <w:p w14:paraId="46546A40" w14:textId="77777777" w:rsidR="000B2B7F" w:rsidRPr="000B2B7F" w:rsidRDefault="000B2B7F" w:rsidP="000B2B7F">
            <w:pPr>
              <w:pStyle w:val="ListParagraph"/>
              <w:numPr>
                <w:ilvl w:val="0"/>
                <w:numId w:val="32"/>
              </w:numPr>
              <w:spacing w:after="120"/>
              <w:ind w:left="164" w:hanging="164"/>
              <w:contextualSpacing w:val="0"/>
              <w:rPr>
                <w:rFonts w:ascii="Arial Narrow" w:hAnsi="Arial Narrow"/>
              </w:rPr>
            </w:pPr>
            <w:r w:rsidRPr="000B2B7F">
              <w:rPr>
                <w:rFonts w:ascii="Arial Narrow" w:hAnsi="Arial Narrow"/>
              </w:rPr>
              <w:t>carbamazepine, clonazepam, large qty listing of nitrazepam (myoclonic epilepsy indication), ethosuximide, gabapentin, lacosamide (for idiopathic generalised epilepsy with primary generalised tonic-</w:t>
            </w:r>
            <w:proofErr w:type="spellStart"/>
            <w:r w:rsidRPr="000B2B7F">
              <w:rPr>
                <w:rFonts w:ascii="Arial Narrow" w:hAnsi="Arial Narrow"/>
              </w:rPr>
              <w:t>clonic</w:t>
            </w:r>
            <w:proofErr w:type="spellEnd"/>
            <w:r w:rsidRPr="000B2B7F">
              <w:rPr>
                <w:rFonts w:ascii="Arial Narrow" w:hAnsi="Arial Narrow"/>
              </w:rPr>
              <w:t xml:space="preserve"> seizures), lamotrigine, levetiracetam, oxcarbazepine, phenobarbital, phenytoin, primidone, </w:t>
            </w:r>
            <w:proofErr w:type="spellStart"/>
            <w:r w:rsidRPr="000B2B7F">
              <w:rPr>
                <w:rFonts w:ascii="Arial Narrow" w:hAnsi="Arial Narrow"/>
              </w:rPr>
              <w:t>sulthiame</w:t>
            </w:r>
            <w:proofErr w:type="spellEnd"/>
            <w:r w:rsidRPr="000B2B7F">
              <w:rPr>
                <w:rFonts w:ascii="Arial Narrow" w:hAnsi="Arial Narrow"/>
              </w:rPr>
              <w:t>, tiagabine, topiramate, valproate, vigabatrin, zonisamide</w:t>
            </w:r>
          </w:p>
        </w:tc>
        <w:tc>
          <w:tcPr>
            <w:tcW w:w="3351" w:type="dxa"/>
          </w:tcPr>
          <w:p w14:paraId="2F7CE920" w14:textId="2938D356" w:rsidR="000B2B7F" w:rsidRPr="000B2B7F" w:rsidRDefault="000B2B7F" w:rsidP="00BE68FA">
            <w:pPr>
              <w:rPr>
                <w:rFonts w:ascii="Arial Narrow" w:hAnsi="Arial Narrow"/>
                <w:b/>
                <w:bCs/>
              </w:rPr>
            </w:pPr>
            <w:r w:rsidRPr="000B2B7F">
              <w:rPr>
                <w:rFonts w:ascii="Arial Narrow" w:hAnsi="Arial Narrow"/>
              </w:rPr>
              <w:t>Principle 4 – complex condition where neurologists are likely to oversee</w:t>
            </w:r>
            <w:r w:rsidR="00876810">
              <w:rPr>
                <w:rFonts w:ascii="Arial Narrow" w:hAnsi="Arial Narrow"/>
              </w:rPr>
              <w:t xml:space="preserve"> treatment</w:t>
            </w:r>
            <w:r w:rsidRPr="000B2B7F">
              <w:rPr>
                <w:rFonts w:ascii="Arial Narrow" w:hAnsi="Arial Narrow"/>
              </w:rPr>
              <w:t>.</w:t>
            </w:r>
          </w:p>
        </w:tc>
      </w:tr>
      <w:tr w:rsidR="000B2B7F" w:rsidRPr="000B2B7F" w14:paraId="098F6086" w14:textId="77777777" w:rsidTr="00EC073D">
        <w:trPr>
          <w:cantSplit/>
        </w:trPr>
        <w:tc>
          <w:tcPr>
            <w:tcW w:w="5670" w:type="dxa"/>
          </w:tcPr>
          <w:p w14:paraId="64FB6179" w14:textId="77777777" w:rsidR="000B2B7F" w:rsidRPr="000B2B7F" w:rsidRDefault="000B2B7F" w:rsidP="00BE68FA">
            <w:pPr>
              <w:rPr>
                <w:rFonts w:ascii="Arial Narrow" w:hAnsi="Arial Narrow"/>
              </w:rPr>
            </w:pPr>
            <w:r w:rsidRPr="000B2B7F">
              <w:rPr>
                <w:rFonts w:ascii="Arial Narrow" w:hAnsi="Arial Narrow"/>
              </w:rPr>
              <w:t xml:space="preserve">Parkinson disease: </w:t>
            </w:r>
          </w:p>
          <w:p w14:paraId="1AD74816" w14:textId="77777777" w:rsidR="000B2B7F" w:rsidRPr="000B2B7F" w:rsidRDefault="000B2B7F" w:rsidP="000B2B7F">
            <w:pPr>
              <w:pStyle w:val="ListParagraph"/>
              <w:numPr>
                <w:ilvl w:val="0"/>
                <w:numId w:val="32"/>
              </w:numPr>
              <w:spacing w:after="120"/>
              <w:ind w:left="164" w:hanging="164"/>
              <w:contextualSpacing w:val="0"/>
              <w:rPr>
                <w:rFonts w:ascii="Arial Narrow" w:hAnsi="Arial Narrow"/>
              </w:rPr>
            </w:pPr>
            <w:r w:rsidRPr="000B2B7F">
              <w:rPr>
                <w:rFonts w:ascii="Arial Narrow" w:hAnsi="Arial Narrow"/>
              </w:rPr>
              <w:t xml:space="preserve">amantadine, cabergoline, entacapone, levodopa + </w:t>
            </w:r>
            <w:proofErr w:type="spellStart"/>
            <w:r w:rsidRPr="000B2B7F">
              <w:rPr>
                <w:rFonts w:ascii="Arial Narrow" w:hAnsi="Arial Narrow"/>
              </w:rPr>
              <w:t>benserazide</w:t>
            </w:r>
            <w:proofErr w:type="spellEnd"/>
            <w:r w:rsidRPr="000B2B7F">
              <w:rPr>
                <w:rFonts w:ascii="Arial Narrow" w:hAnsi="Arial Narrow"/>
              </w:rPr>
              <w:t xml:space="preserve">, levodopa + carbidopa, levodopa + carbidopa + entacapone, </w:t>
            </w:r>
            <w:proofErr w:type="spellStart"/>
            <w:r w:rsidRPr="000B2B7F">
              <w:rPr>
                <w:rFonts w:ascii="Arial Narrow" w:hAnsi="Arial Narrow"/>
              </w:rPr>
              <w:t>opicapone</w:t>
            </w:r>
            <w:proofErr w:type="spellEnd"/>
            <w:r w:rsidRPr="000B2B7F">
              <w:rPr>
                <w:rFonts w:ascii="Arial Narrow" w:hAnsi="Arial Narrow"/>
              </w:rPr>
              <w:t>, pramipexole, selegiline</w:t>
            </w:r>
          </w:p>
          <w:p w14:paraId="4FF52166" w14:textId="77777777" w:rsidR="000B2B7F" w:rsidRPr="000B2B7F" w:rsidRDefault="000B2B7F" w:rsidP="00BE68FA">
            <w:pPr>
              <w:rPr>
                <w:rFonts w:ascii="Arial Narrow" w:hAnsi="Arial Narrow"/>
                <w:b/>
                <w:bCs/>
              </w:rPr>
            </w:pPr>
            <w:r w:rsidRPr="000B2B7F">
              <w:rPr>
                <w:rFonts w:ascii="Arial Narrow" w:hAnsi="Arial Narrow"/>
              </w:rPr>
              <w:t>Other neurology related medicines:</w:t>
            </w:r>
          </w:p>
          <w:p w14:paraId="0A0F22BF" w14:textId="77777777" w:rsidR="000B2B7F" w:rsidRPr="000B2B7F" w:rsidRDefault="000B2B7F" w:rsidP="000B2B7F">
            <w:pPr>
              <w:pStyle w:val="ListParagraph"/>
              <w:numPr>
                <w:ilvl w:val="0"/>
                <w:numId w:val="32"/>
              </w:numPr>
              <w:spacing w:after="120"/>
              <w:ind w:left="164" w:hanging="164"/>
              <w:contextualSpacing w:val="0"/>
              <w:rPr>
                <w:rFonts w:ascii="Arial Narrow" w:hAnsi="Arial Narrow"/>
                <w:b/>
                <w:bCs/>
              </w:rPr>
            </w:pPr>
            <w:proofErr w:type="spellStart"/>
            <w:r w:rsidRPr="000B2B7F">
              <w:rPr>
                <w:rFonts w:ascii="Arial Narrow" w:hAnsi="Arial Narrow"/>
              </w:rPr>
              <w:t>riluzole</w:t>
            </w:r>
            <w:proofErr w:type="spellEnd"/>
            <w:r w:rsidRPr="000B2B7F">
              <w:rPr>
                <w:rFonts w:ascii="Arial Narrow" w:hAnsi="Arial Narrow"/>
              </w:rPr>
              <w:t>, tetrabenazine</w:t>
            </w:r>
          </w:p>
        </w:tc>
        <w:tc>
          <w:tcPr>
            <w:tcW w:w="3351" w:type="dxa"/>
          </w:tcPr>
          <w:p w14:paraId="01B4A0F4" w14:textId="77777777" w:rsidR="000B2B7F" w:rsidRPr="000B2B7F" w:rsidRDefault="000B2B7F" w:rsidP="00BE68FA">
            <w:pPr>
              <w:rPr>
                <w:rFonts w:ascii="Arial Narrow" w:hAnsi="Arial Narrow"/>
              </w:rPr>
            </w:pPr>
            <w:r w:rsidRPr="000B2B7F">
              <w:rPr>
                <w:rFonts w:ascii="Arial Narrow" w:hAnsi="Arial Narrow"/>
              </w:rPr>
              <w:t>Principle 4 – complex conditions where neurologist is likely to oversee treatment.</w:t>
            </w:r>
          </w:p>
        </w:tc>
      </w:tr>
      <w:tr w:rsidR="000B2B7F" w:rsidRPr="000B2B7F" w14:paraId="14AFB520" w14:textId="77777777" w:rsidTr="00CA37FA">
        <w:tc>
          <w:tcPr>
            <w:tcW w:w="5670" w:type="dxa"/>
          </w:tcPr>
          <w:p w14:paraId="5C76AAC7" w14:textId="77777777" w:rsidR="000B2B7F" w:rsidRPr="000B2B7F" w:rsidRDefault="000B2B7F" w:rsidP="00BE68FA">
            <w:pPr>
              <w:rPr>
                <w:rFonts w:ascii="Arial Narrow" w:hAnsi="Arial Narrow"/>
                <w:b/>
                <w:bCs/>
              </w:rPr>
            </w:pPr>
            <w:r w:rsidRPr="000B2B7F">
              <w:rPr>
                <w:rFonts w:ascii="Arial Narrow" w:hAnsi="Arial Narrow"/>
                <w:b/>
                <w:bCs/>
              </w:rPr>
              <w:lastRenderedPageBreak/>
              <w:t>Oncology</w:t>
            </w:r>
          </w:p>
          <w:p w14:paraId="4F828AAB" w14:textId="77777777" w:rsidR="000B2B7F" w:rsidRPr="000B2B7F" w:rsidRDefault="000B2B7F" w:rsidP="000B2B7F">
            <w:pPr>
              <w:pStyle w:val="ListParagraph"/>
              <w:numPr>
                <w:ilvl w:val="0"/>
                <w:numId w:val="33"/>
              </w:numPr>
              <w:spacing w:after="120"/>
              <w:ind w:left="164" w:hanging="164"/>
              <w:contextualSpacing w:val="0"/>
              <w:rPr>
                <w:rFonts w:ascii="Arial Narrow" w:hAnsi="Arial Narrow"/>
              </w:rPr>
            </w:pPr>
            <w:r w:rsidRPr="000B2B7F">
              <w:rPr>
                <w:rFonts w:ascii="Arial Narrow" w:hAnsi="Arial Narrow"/>
              </w:rPr>
              <w:t>denosumab</w:t>
            </w:r>
          </w:p>
          <w:p w14:paraId="5E0EB2BD" w14:textId="77777777" w:rsidR="000B2B7F" w:rsidRPr="000B2B7F" w:rsidRDefault="000B2B7F" w:rsidP="000B2B7F">
            <w:pPr>
              <w:pStyle w:val="ListParagraph"/>
              <w:numPr>
                <w:ilvl w:val="0"/>
                <w:numId w:val="33"/>
              </w:numPr>
              <w:spacing w:after="120"/>
              <w:ind w:left="164" w:hanging="164"/>
              <w:contextualSpacing w:val="0"/>
              <w:rPr>
                <w:rFonts w:ascii="Arial Narrow" w:hAnsi="Arial Narrow"/>
              </w:rPr>
            </w:pPr>
            <w:r w:rsidRPr="000B2B7F">
              <w:rPr>
                <w:rFonts w:ascii="Arial Narrow" w:hAnsi="Arial Narrow"/>
              </w:rPr>
              <w:t>ibandronate, tamoxifen (prevention of breast cancer indication)</w:t>
            </w:r>
          </w:p>
          <w:p w14:paraId="74EBD6B9" w14:textId="77777777" w:rsidR="000B2B7F" w:rsidRPr="000B2B7F" w:rsidRDefault="000B2B7F" w:rsidP="000B2B7F">
            <w:pPr>
              <w:pStyle w:val="ListParagraph"/>
              <w:numPr>
                <w:ilvl w:val="0"/>
                <w:numId w:val="33"/>
              </w:numPr>
              <w:spacing w:after="120"/>
              <w:ind w:left="164" w:hanging="164"/>
              <w:contextualSpacing w:val="0"/>
              <w:rPr>
                <w:rFonts w:ascii="Arial Narrow" w:hAnsi="Arial Narrow"/>
              </w:rPr>
            </w:pPr>
            <w:r w:rsidRPr="000B2B7F">
              <w:rPr>
                <w:rFonts w:ascii="Arial Narrow" w:hAnsi="Arial Narrow"/>
              </w:rPr>
              <w:t>larger quantity listings of temazepam and nitrazepam for late-stage malignant neoplasia</w:t>
            </w:r>
          </w:p>
        </w:tc>
        <w:tc>
          <w:tcPr>
            <w:tcW w:w="3351" w:type="dxa"/>
          </w:tcPr>
          <w:p w14:paraId="16995DC9" w14:textId="77777777" w:rsidR="000B2B7F" w:rsidRPr="000B2B7F" w:rsidRDefault="000B2B7F" w:rsidP="00BE68FA">
            <w:pPr>
              <w:rPr>
                <w:rFonts w:ascii="Arial Narrow" w:hAnsi="Arial Narrow"/>
                <w:b/>
                <w:bCs/>
              </w:rPr>
            </w:pPr>
            <w:r w:rsidRPr="000B2B7F">
              <w:rPr>
                <w:rFonts w:ascii="Arial Narrow" w:hAnsi="Arial Narrow"/>
              </w:rPr>
              <w:t>Principle 4 – complex conditions where oncologist expertise is likely needed to oversee treatment.</w:t>
            </w:r>
          </w:p>
        </w:tc>
      </w:tr>
    </w:tbl>
    <w:p w14:paraId="33C43C95" w14:textId="77777777" w:rsidR="000B2B7F" w:rsidRDefault="000B2B7F" w:rsidP="000B2B7F">
      <w:pPr>
        <w:pStyle w:val="3Bodytext"/>
        <w:numPr>
          <w:ilvl w:val="0"/>
          <w:numId w:val="0"/>
        </w:numPr>
        <w:jc w:val="both"/>
      </w:pPr>
    </w:p>
    <w:p w14:paraId="604FC637" w14:textId="1FB9E80B" w:rsidR="00BF587C" w:rsidRPr="00BF587C" w:rsidRDefault="00BF587C" w:rsidP="00BF587C">
      <w:pPr>
        <w:pStyle w:val="3Bodytext"/>
        <w:numPr>
          <w:ilvl w:val="0"/>
          <w:numId w:val="0"/>
        </w:numPr>
        <w:jc w:val="both"/>
        <w:rPr>
          <w:rFonts w:ascii="Arial Narrow" w:hAnsi="Arial Narrow"/>
          <w:b/>
          <w:bCs/>
          <w:sz w:val="22"/>
        </w:rPr>
      </w:pPr>
      <w:r w:rsidRPr="00BF587C">
        <w:rPr>
          <w:rFonts w:ascii="Arial Narrow" w:hAnsi="Arial Narrow"/>
          <w:b/>
          <w:bCs/>
          <w:sz w:val="22"/>
        </w:rPr>
        <w:t xml:space="preserve">Table 3:  </w:t>
      </w:r>
      <w:r w:rsidR="00876810">
        <w:rPr>
          <w:rFonts w:ascii="Arial Narrow" w:hAnsi="Arial Narrow"/>
          <w:b/>
          <w:bCs/>
          <w:sz w:val="22"/>
        </w:rPr>
        <w:t xml:space="preserve">Summary of PBAC recommendations for </w:t>
      </w:r>
      <w:r w:rsidR="000C2C56">
        <w:rPr>
          <w:rFonts w:ascii="Arial Narrow" w:hAnsi="Arial Narrow"/>
          <w:b/>
          <w:bCs/>
          <w:sz w:val="22"/>
        </w:rPr>
        <w:t>m</w:t>
      </w:r>
      <w:r w:rsidRPr="00BF587C">
        <w:rPr>
          <w:rFonts w:ascii="Arial Narrow" w:hAnsi="Arial Narrow"/>
          <w:b/>
          <w:bCs/>
          <w:sz w:val="22"/>
        </w:rPr>
        <w:t xml:space="preserve">edicines with a CTO note that are to retain the CTO requirement in the form of a PBS </w:t>
      </w:r>
      <w:r w:rsidR="00876810">
        <w:rPr>
          <w:rFonts w:ascii="Arial Narrow" w:hAnsi="Arial Narrow"/>
          <w:b/>
          <w:bCs/>
          <w:sz w:val="22"/>
        </w:rPr>
        <w:t xml:space="preserve">restriction </w:t>
      </w:r>
      <w:r w:rsidRPr="00BF587C">
        <w:rPr>
          <w:rFonts w:ascii="Arial Narrow" w:hAnsi="Arial Narrow"/>
          <w:b/>
          <w:bCs/>
          <w:sz w:val="22"/>
        </w:rPr>
        <w:t>treatment criterion.</w:t>
      </w:r>
    </w:p>
    <w:tbl>
      <w:tblPr>
        <w:tblStyle w:val="TableGrid"/>
        <w:tblW w:w="9072" w:type="dxa"/>
        <w:tblInd w:w="-5" w:type="dxa"/>
        <w:tblLook w:val="04A0" w:firstRow="1" w:lastRow="0" w:firstColumn="1" w:lastColumn="0" w:noHBand="0" w:noVBand="1"/>
      </w:tblPr>
      <w:tblGrid>
        <w:gridCol w:w="4820"/>
        <w:gridCol w:w="4252"/>
      </w:tblGrid>
      <w:tr w:rsidR="00BF587C" w:rsidRPr="00BF587C" w14:paraId="18D9E84C" w14:textId="77777777" w:rsidTr="00CA37FA">
        <w:trPr>
          <w:tblHeader/>
        </w:trPr>
        <w:tc>
          <w:tcPr>
            <w:tcW w:w="4820" w:type="dxa"/>
          </w:tcPr>
          <w:p w14:paraId="6F740D3C" w14:textId="77777777" w:rsidR="00BF587C" w:rsidRPr="00BF587C" w:rsidRDefault="00BF587C" w:rsidP="00BE68FA">
            <w:pPr>
              <w:rPr>
                <w:rFonts w:ascii="Arial Narrow" w:hAnsi="Arial Narrow"/>
                <w:b/>
                <w:bCs/>
              </w:rPr>
            </w:pPr>
            <w:r w:rsidRPr="00BF587C">
              <w:rPr>
                <w:rFonts w:ascii="Arial Narrow" w:hAnsi="Arial Narrow"/>
                <w:b/>
                <w:bCs/>
              </w:rPr>
              <w:t>Topic, class or medicine name(s)</w:t>
            </w:r>
          </w:p>
        </w:tc>
        <w:tc>
          <w:tcPr>
            <w:tcW w:w="4252" w:type="dxa"/>
          </w:tcPr>
          <w:p w14:paraId="522CB99F" w14:textId="46BE7C04" w:rsidR="00BF587C" w:rsidRPr="00BF587C" w:rsidRDefault="00876810" w:rsidP="00BE68FA">
            <w:pPr>
              <w:jc w:val="center"/>
              <w:rPr>
                <w:rFonts w:ascii="Arial Narrow" w:hAnsi="Arial Narrow"/>
                <w:b/>
                <w:bCs/>
              </w:rPr>
            </w:pPr>
            <w:r>
              <w:rPr>
                <w:rFonts w:ascii="Arial Narrow" w:hAnsi="Arial Narrow"/>
                <w:b/>
                <w:bCs/>
              </w:rPr>
              <w:t xml:space="preserve">PBAC </w:t>
            </w:r>
            <w:r w:rsidR="00BF587C" w:rsidRPr="00BF587C">
              <w:rPr>
                <w:rFonts w:ascii="Arial Narrow" w:hAnsi="Arial Narrow"/>
                <w:b/>
                <w:bCs/>
              </w:rPr>
              <w:t>Consideration(s)</w:t>
            </w:r>
            <w:r w:rsidR="00403980">
              <w:rPr>
                <w:rFonts w:ascii="Arial Narrow" w:hAnsi="Arial Narrow"/>
                <w:b/>
                <w:bCs/>
              </w:rPr>
              <w:t>/</w:t>
            </w:r>
            <w:r w:rsidR="000C2C56">
              <w:rPr>
                <w:rFonts w:ascii="Arial Narrow" w:hAnsi="Arial Narrow"/>
                <w:b/>
                <w:bCs/>
              </w:rPr>
              <w:t>Rationale</w:t>
            </w:r>
          </w:p>
        </w:tc>
      </w:tr>
      <w:tr w:rsidR="00BF587C" w:rsidRPr="00BF587C" w14:paraId="20AEBC3B" w14:textId="77777777" w:rsidTr="00CA37FA">
        <w:tc>
          <w:tcPr>
            <w:tcW w:w="4820" w:type="dxa"/>
          </w:tcPr>
          <w:p w14:paraId="7AB175C9" w14:textId="77777777" w:rsidR="00BF587C" w:rsidRPr="00BF587C" w:rsidRDefault="00BF587C" w:rsidP="00BE68FA">
            <w:pPr>
              <w:rPr>
                <w:rFonts w:ascii="Arial Narrow" w:hAnsi="Arial Narrow"/>
                <w:b/>
                <w:bCs/>
              </w:rPr>
            </w:pPr>
            <w:r w:rsidRPr="00BF587C">
              <w:rPr>
                <w:rFonts w:ascii="Arial Narrow" w:hAnsi="Arial Narrow"/>
                <w:b/>
                <w:bCs/>
              </w:rPr>
              <w:t>Cardiology</w:t>
            </w:r>
          </w:p>
          <w:p w14:paraId="030CC819" w14:textId="08AEA721" w:rsidR="00BF587C" w:rsidRPr="00BF587C" w:rsidRDefault="00BF587C" w:rsidP="00DB75D1">
            <w:pPr>
              <w:pStyle w:val="ListParagraph"/>
              <w:numPr>
                <w:ilvl w:val="0"/>
                <w:numId w:val="35"/>
              </w:numPr>
              <w:spacing w:after="120"/>
              <w:ind w:left="164" w:hanging="142"/>
              <w:contextualSpacing w:val="0"/>
            </w:pPr>
            <w:r w:rsidRPr="00BF587C">
              <w:rPr>
                <w:rFonts w:ascii="Arial Narrow" w:hAnsi="Arial Narrow"/>
              </w:rPr>
              <w:t>minoxidil</w:t>
            </w:r>
          </w:p>
        </w:tc>
        <w:tc>
          <w:tcPr>
            <w:tcW w:w="4252" w:type="dxa"/>
          </w:tcPr>
          <w:p w14:paraId="1C651457" w14:textId="77777777" w:rsidR="00BF587C" w:rsidRPr="00BF587C" w:rsidRDefault="00BF587C" w:rsidP="00BE68FA">
            <w:pPr>
              <w:rPr>
                <w:rFonts w:ascii="Arial Narrow" w:hAnsi="Arial Narrow"/>
              </w:rPr>
            </w:pPr>
            <w:r w:rsidRPr="00BF587C">
              <w:rPr>
                <w:rFonts w:ascii="Arial Narrow" w:hAnsi="Arial Narrow"/>
              </w:rPr>
              <w:t xml:space="preserve">‘Specialist initiation’ </w:t>
            </w:r>
            <w:proofErr w:type="gramStart"/>
            <w:r w:rsidRPr="00BF587C">
              <w:rPr>
                <w:rFonts w:ascii="Arial Narrow" w:hAnsi="Arial Narrow"/>
              </w:rPr>
              <w:t>medicine;</w:t>
            </w:r>
            <w:proofErr w:type="gramEnd"/>
            <w:r w:rsidRPr="00BF587C">
              <w:rPr>
                <w:rFonts w:ascii="Arial Narrow" w:hAnsi="Arial Narrow"/>
              </w:rPr>
              <w:t xml:space="preserve"> </w:t>
            </w:r>
          </w:p>
          <w:p w14:paraId="6CCA1C5B" w14:textId="77777777" w:rsidR="00BF587C" w:rsidRPr="00BF587C" w:rsidRDefault="00BF587C" w:rsidP="00BE68FA">
            <w:pPr>
              <w:rPr>
                <w:rFonts w:ascii="Arial Narrow" w:hAnsi="Arial Narrow"/>
              </w:rPr>
            </w:pPr>
            <w:r w:rsidRPr="00BF587C">
              <w:rPr>
                <w:rFonts w:ascii="Arial Narrow" w:hAnsi="Arial Narrow"/>
              </w:rPr>
              <w:t>Principle 4 - complex condition (severe refractory hypertension) requiring cardiologist expertise.</w:t>
            </w:r>
          </w:p>
        </w:tc>
      </w:tr>
      <w:tr w:rsidR="00BF587C" w:rsidRPr="00BF587C" w14:paraId="450A51D6" w14:textId="77777777" w:rsidTr="00CA37FA">
        <w:tc>
          <w:tcPr>
            <w:tcW w:w="4820" w:type="dxa"/>
          </w:tcPr>
          <w:p w14:paraId="6A77EFEF" w14:textId="77777777" w:rsidR="00BF587C" w:rsidRPr="00BF587C" w:rsidRDefault="00BF587C" w:rsidP="00BE68FA">
            <w:pPr>
              <w:rPr>
                <w:rFonts w:ascii="Arial Narrow" w:hAnsi="Arial Narrow"/>
                <w:b/>
                <w:bCs/>
              </w:rPr>
            </w:pPr>
            <w:r w:rsidRPr="00BF587C">
              <w:rPr>
                <w:rFonts w:ascii="Arial Narrow" w:hAnsi="Arial Narrow"/>
                <w:b/>
                <w:bCs/>
              </w:rPr>
              <w:t>Endocrinology</w:t>
            </w:r>
          </w:p>
          <w:p w14:paraId="163C8F20" w14:textId="77777777" w:rsidR="00BF587C" w:rsidRPr="00BF587C" w:rsidRDefault="00BF587C" w:rsidP="00BE68FA">
            <w:pPr>
              <w:rPr>
                <w:rFonts w:ascii="Arial Narrow" w:hAnsi="Arial Narrow"/>
              </w:rPr>
            </w:pPr>
            <w:r w:rsidRPr="00BF587C">
              <w:rPr>
                <w:rFonts w:ascii="Arial Narrow" w:hAnsi="Arial Narrow"/>
              </w:rPr>
              <w:t>Hypothyroidism:</w:t>
            </w:r>
          </w:p>
          <w:p w14:paraId="2C4B764C" w14:textId="77777777" w:rsidR="00BF587C" w:rsidRPr="00BF587C" w:rsidRDefault="00BF587C" w:rsidP="00BF587C">
            <w:pPr>
              <w:pStyle w:val="ListParagraph"/>
              <w:numPr>
                <w:ilvl w:val="0"/>
                <w:numId w:val="35"/>
              </w:numPr>
              <w:spacing w:after="120"/>
              <w:ind w:left="164" w:hanging="142"/>
              <w:contextualSpacing w:val="0"/>
              <w:rPr>
                <w:rFonts w:ascii="Arial Narrow" w:hAnsi="Arial Narrow"/>
              </w:rPr>
            </w:pPr>
            <w:r w:rsidRPr="00BF587C">
              <w:rPr>
                <w:rFonts w:ascii="Arial Narrow" w:hAnsi="Arial Narrow"/>
              </w:rPr>
              <w:t xml:space="preserve">liothyronine (thyroid cancer, hypothyroidism with levothyroxine intolerance/resistance) </w:t>
            </w:r>
          </w:p>
          <w:p w14:paraId="660619DF" w14:textId="77777777" w:rsidR="00BF587C" w:rsidRPr="00BF587C" w:rsidRDefault="00BF587C" w:rsidP="00BE68FA">
            <w:pPr>
              <w:ind w:left="22"/>
              <w:rPr>
                <w:rFonts w:ascii="Arial Narrow" w:hAnsi="Arial Narrow"/>
              </w:rPr>
            </w:pPr>
            <w:r w:rsidRPr="00BF587C">
              <w:rPr>
                <w:rFonts w:ascii="Arial Narrow" w:hAnsi="Arial Narrow"/>
              </w:rPr>
              <w:t>Hyperthyroidism:</w:t>
            </w:r>
          </w:p>
          <w:p w14:paraId="131B7F2B" w14:textId="77777777" w:rsidR="00BF587C" w:rsidRPr="00BF587C" w:rsidRDefault="00BF587C" w:rsidP="00BF587C">
            <w:pPr>
              <w:pStyle w:val="ListParagraph"/>
              <w:numPr>
                <w:ilvl w:val="0"/>
                <w:numId w:val="34"/>
              </w:numPr>
              <w:spacing w:after="120"/>
              <w:ind w:left="164" w:hanging="142"/>
              <w:contextualSpacing w:val="0"/>
              <w:rPr>
                <w:rFonts w:ascii="Arial Narrow" w:hAnsi="Arial Narrow"/>
              </w:rPr>
            </w:pPr>
            <w:r w:rsidRPr="00BF587C">
              <w:rPr>
                <w:rFonts w:ascii="Arial Narrow" w:hAnsi="Arial Narrow"/>
              </w:rPr>
              <w:t>carbimazole</w:t>
            </w:r>
          </w:p>
          <w:p w14:paraId="20EA5177" w14:textId="77777777" w:rsidR="00BF587C" w:rsidRPr="00BF587C" w:rsidRDefault="00BF587C" w:rsidP="00BF587C">
            <w:pPr>
              <w:pStyle w:val="ListParagraph"/>
              <w:numPr>
                <w:ilvl w:val="0"/>
                <w:numId w:val="34"/>
              </w:numPr>
              <w:spacing w:after="120"/>
              <w:ind w:left="164" w:hanging="142"/>
              <w:contextualSpacing w:val="0"/>
              <w:rPr>
                <w:rFonts w:ascii="Arial Narrow" w:hAnsi="Arial Narrow"/>
              </w:rPr>
            </w:pPr>
            <w:r w:rsidRPr="00BF587C">
              <w:rPr>
                <w:rFonts w:ascii="Arial Narrow" w:hAnsi="Arial Narrow"/>
              </w:rPr>
              <w:t>propylthiouracil</w:t>
            </w:r>
          </w:p>
        </w:tc>
        <w:tc>
          <w:tcPr>
            <w:tcW w:w="4252" w:type="dxa"/>
          </w:tcPr>
          <w:p w14:paraId="58440896" w14:textId="77777777" w:rsidR="00BF587C" w:rsidRPr="00BF587C" w:rsidRDefault="00BF587C" w:rsidP="00BE68FA">
            <w:pPr>
              <w:rPr>
                <w:rFonts w:ascii="Arial Narrow" w:hAnsi="Arial Narrow"/>
              </w:rPr>
            </w:pPr>
            <w:r w:rsidRPr="00BF587C">
              <w:rPr>
                <w:rFonts w:ascii="Arial Narrow" w:hAnsi="Arial Narrow"/>
              </w:rPr>
              <w:t>Principle 4 - complex conditions likely to require endocrinologists/medical practitioners’ expertise.</w:t>
            </w:r>
          </w:p>
        </w:tc>
      </w:tr>
      <w:tr w:rsidR="00BF587C" w:rsidRPr="00BF587C" w14:paraId="0D8F3DD9" w14:textId="77777777" w:rsidTr="00CA37FA">
        <w:tc>
          <w:tcPr>
            <w:tcW w:w="4820" w:type="dxa"/>
          </w:tcPr>
          <w:p w14:paraId="37F2556F" w14:textId="77777777" w:rsidR="00BF587C" w:rsidRPr="00BF587C" w:rsidRDefault="00BF587C" w:rsidP="00BE68FA">
            <w:pPr>
              <w:rPr>
                <w:rFonts w:ascii="Arial Narrow" w:hAnsi="Arial Narrow"/>
              </w:rPr>
            </w:pPr>
            <w:r w:rsidRPr="00BF587C">
              <w:rPr>
                <w:rFonts w:ascii="Arial Narrow" w:hAnsi="Arial Narrow"/>
              </w:rPr>
              <w:t>Other endocrinology medicines:</w:t>
            </w:r>
          </w:p>
          <w:p w14:paraId="66C4633B" w14:textId="77777777" w:rsidR="00BF587C" w:rsidRPr="00BF587C" w:rsidRDefault="00BF587C" w:rsidP="00BF587C">
            <w:pPr>
              <w:pStyle w:val="ListParagraph"/>
              <w:numPr>
                <w:ilvl w:val="0"/>
                <w:numId w:val="36"/>
              </w:numPr>
              <w:spacing w:after="120"/>
              <w:ind w:left="164" w:hanging="142"/>
              <w:contextualSpacing w:val="0"/>
              <w:rPr>
                <w:rFonts w:ascii="Arial Narrow" w:hAnsi="Arial Narrow"/>
              </w:rPr>
            </w:pPr>
            <w:r w:rsidRPr="00BF587C">
              <w:rPr>
                <w:rFonts w:ascii="Arial Narrow" w:hAnsi="Arial Narrow"/>
              </w:rPr>
              <w:t>calcitonin salmon</w:t>
            </w:r>
          </w:p>
          <w:p w14:paraId="171FBB75" w14:textId="77777777" w:rsidR="00BF587C" w:rsidRPr="00BF587C" w:rsidRDefault="00BF587C" w:rsidP="00BF587C">
            <w:pPr>
              <w:pStyle w:val="ListParagraph"/>
              <w:numPr>
                <w:ilvl w:val="0"/>
                <w:numId w:val="36"/>
              </w:numPr>
              <w:spacing w:after="120"/>
              <w:ind w:left="164" w:hanging="142"/>
              <w:contextualSpacing w:val="0"/>
              <w:rPr>
                <w:rFonts w:ascii="Arial Narrow" w:hAnsi="Arial Narrow"/>
              </w:rPr>
            </w:pPr>
            <w:r w:rsidRPr="00BF587C">
              <w:rPr>
                <w:rFonts w:ascii="Arial Narrow" w:hAnsi="Arial Narrow"/>
              </w:rPr>
              <w:t>phenoxybenzamine</w:t>
            </w:r>
          </w:p>
        </w:tc>
        <w:tc>
          <w:tcPr>
            <w:tcW w:w="4252" w:type="dxa"/>
          </w:tcPr>
          <w:p w14:paraId="376735FF" w14:textId="77777777" w:rsidR="00BF587C" w:rsidRPr="00BF587C" w:rsidRDefault="00BF587C" w:rsidP="00BE68FA">
            <w:pPr>
              <w:rPr>
                <w:rFonts w:ascii="Arial Narrow" w:hAnsi="Arial Narrow"/>
              </w:rPr>
            </w:pPr>
            <w:r w:rsidRPr="00BF587C">
              <w:rPr>
                <w:rFonts w:ascii="Arial Narrow" w:hAnsi="Arial Narrow"/>
              </w:rPr>
              <w:t>Principle 4 - complex conditions where specialist medical practitioners are likely to establish the diagnosis/treatment.</w:t>
            </w:r>
          </w:p>
        </w:tc>
      </w:tr>
      <w:tr w:rsidR="00BF587C" w:rsidRPr="00BF587C" w14:paraId="668AB294" w14:textId="77777777" w:rsidTr="00CA37FA">
        <w:tc>
          <w:tcPr>
            <w:tcW w:w="4820" w:type="dxa"/>
          </w:tcPr>
          <w:p w14:paraId="4B4468E0" w14:textId="77777777" w:rsidR="00BF587C" w:rsidRPr="00BF587C" w:rsidRDefault="00BF587C" w:rsidP="00BE68FA">
            <w:pPr>
              <w:rPr>
                <w:rFonts w:ascii="Arial Narrow" w:hAnsi="Arial Narrow"/>
                <w:b/>
                <w:bCs/>
              </w:rPr>
            </w:pPr>
            <w:r w:rsidRPr="00BF587C">
              <w:rPr>
                <w:rFonts w:ascii="Arial Narrow" w:hAnsi="Arial Narrow"/>
                <w:b/>
                <w:bCs/>
              </w:rPr>
              <w:t>Gastroenterology</w:t>
            </w:r>
          </w:p>
          <w:p w14:paraId="1A783850" w14:textId="77777777" w:rsidR="00BF587C" w:rsidRPr="00BF587C" w:rsidRDefault="00BF587C" w:rsidP="00BF587C">
            <w:pPr>
              <w:pStyle w:val="ListParagraph"/>
              <w:numPr>
                <w:ilvl w:val="0"/>
                <w:numId w:val="36"/>
              </w:numPr>
              <w:spacing w:after="120"/>
              <w:ind w:left="164" w:hanging="164"/>
              <w:contextualSpacing w:val="0"/>
              <w:rPr>
                <w:rFonts w:ascii="Arial Narrow" w:hAnsi="Arial Narrow"/>
              </w:rPr>
            </w:pPr>
            <w:r w:rsidRPr="00BF587C">
              <w:rPr>
                <w:rFonts w:ascii="Arial Narrow" w:hAnsi="Arial Narrow"/>
              </w:rPr>
              <w:t>esomeprazole 40 mg (non-GORD indications)</w:t>
            </w:r>
          </w:p>
          <w:p w14:paraId="11150DDD" w14:textId="77777777" w:rsidR="00BF587C" w:rsidRPr="00BF587C" w:rsidRDefault="00BF587C" w:rsidP="00BF587C">
            <w:pPr>
              <w:pStyle w:val="ListParagraph"/>
              <w:numPr>
                <w:ilvl w:val="0"/>
                <w:numId w:val="36"/>
              </w:numPr>
              <w:spacing w:after="120"/>
              <w:ind w:left="164" w:hanging="164"/>
              <w:contextualSpacing w:val="0"/>
              <w:rPr>
                <w:rFonts w:ascii="Arial Narrow" w:hAnsi="Arial Narrow"/>
              </w:rPr>
            </w:pPr>
            <w:proofErr w:type="spellStart"/>
            <w:r w:rsidRPr="00BF587C">
              <w:rPr>
                <w:rFonts w:ascii="Arial Narrow" w:hAnsi="Arial Narrow"/>
              </w:rPr>
              <w:t>obeticholic</w:t>
            </w:r>
            <w:proofErr w:type="spellEnd"/>
            <w:r w:rsidRPr="00BF587C">
              <w:rPr>
                <w:rFonts w:ascii="Arial Narrow" w:hAnsi="Arial Narrow"/>
              </w:rPr>
              <w:t xml:space="preserve"> acid</w:t>
            </w:r>
          </w:p>
          <w:p w14:paraId="6FC17E9F" w14:textId="77777777" w:rsidR="00BF587C" w:rsidRPr="00BF587C" w:rsidRDefault="00BF587C" w:rsidP="00BF587C">
            <w:pPr>
              <w:pStyle w:val="ListParagraph"/>
              <w:numPr>
                <w:ilvl w:val="0"/>
                <w:numId w:val="36"/>
              </w:numPr>
              <w:spacing w:after="120"/>
              <w:ind w:left="164" w:hanging="164"/>
              <w:contextualSpacing w:val="0"/>
              <w:rPr>
                <w:rFonts w:ascii="Arial Narrow" w:hAnsi="Arial Narrow"/>
              </w:rPr>
            </w:pPr>
            <w:r w:rsidRPr="00BF587C">
              <w:rPr>
                <w:rFonts w:ascii="Arial Narrow" w:hAnsi="Arial Narrow"/>
              </w:rPr>
              <w:t>pancreatic extract</w:t>
            </w:r>
          </w:p>
          <w:p w14:paraId="6D238176" w14:textId="77777777" w:rsidR="00BF587C" w:rsidRPr="00BF587C" w:rsidRDefault="00BF587C" w:rsidP="00BF587C">
            <w:pPr>
              <w:pStyle w:val="ListParagraph"/>
              <w:numPr>
                <w:ilvl w:val="0"/>
                <w:numId w:val="36"/>
              </w:numPr>
              <w:spacing w:after="120"/>
              <w:ind w:left="164" w:hanging="164"/>
              <w:contextualSpacing w:val="0"/>
              <w:rPr>
                <w:rFonts w:ascii="Arial Narrow" w:hAnsi="Arial Narrow"/>
              </w:rPr>
            </w:pPr>
            <w:proofErr w:type="spellStart"/>
            <w:r w:rsidRPr="00BF587C">
              <w:rPr>
                <w:rFonts w:ascii="Arial Narrow" w:hAnsi="Arial Narrow"/>
              </w:rPr>
              <w:t>trientine</w:t>
            </w:r>
            <w:proofErr w:type="spellEnd"/>
            <w:r w:rsidRPr="00BF587C">
              <w:rPr>
                <w:rFonts w:ascii="Arial Narrow" w:hAnsi="Arial Narrow"/>
              </w:rPr>
              <w:t xml:space="preserve"> dihydrochloride </w:t>
            </w:r>
          </w:p>
          <w:p w14:paraId="25CB88A3" w14:textId="77777777" w:rsidR="00BF587C" w:rsidRPr="00BF587C" w:rsidRDefault="00BF587C" w:rsidP="00BF587C">
            <w:pPr>
              <w:pStyle w:val="ListParagraph"/>
              <w:numPr>
                <w:ilvl w:val="0"/>
                <w:numId w:val="36"/>
              </w:numPr>
              <w:spacing w:after="120"/>
              <w:ind w:left="164" w:hanging="164"/>
              <w:contextualSpacing w:val="0"/>
              <w:rPr>
                <w:rFonts w:ascii="Arial Narrow" w:hAnsi="Arial Narrow"/>
              </w:rPr>
            </w:pPr>
            <w:r w:rsidRPr="00BF587C">
              <w:rPr>
                <w:rFonts w:ascii="Arial Narrow" w:hAnsi="Arial Narrow"/>
              </w:rPr>
              <w:t>ursodeoxycholic acid</w:t>
            </w:r>
          </w:p>
        </w:tc>
        <w:tc>
          <w:tcPr>
            <w:tcW w:w="4252" w:type="dxa"/>
          </w:tcPr>
          <w:p w14:paraId="0C45A2FE" w14:textId="77777777" w:rsidR="00BF587C" w:rsidRPr="00BF587C" w:rsidRDefault="00BF587C" w:rsidP="00BE68FA">
            <w:pPr>
              <w:rPr>
                <w:rFonts w:ascii="Arial Narrow" w:hAnsi="Arial Narrow"/>
              </w:rPr>
            </w:pPr>
            <w:r w:rsidRPr="00BF587C">
              <w:rPr>
                <w:rFonts w:ascii="Arial Narrow" w:hAnsi="Arial Narrow"/>
              </w:rPr>
              <w:t xml:space="preserve">Principle 4 - complex conditions where specialist medical practitioners are best placed to establish the diagnosis; </w:t>
            </w:r>
            <w:proofErr w:type="spellStart"/>
            <w:r w:rsidRPr="00BF587C">
              <w:rPr>
                <w:rFonts w:ascii="Arial Narrow" w:hAnsi="Arial Narrow"/>
              </w:rPr>
              <w:t>trientine</w:t>
            </w:r>
            <w:proofErr w:type="spellEnd"/>
            <w:r w:rsidRPr="00BF587C">
              <w:rPr>
                <w:rFonts w:ascii="Arial Narrow" w:hAnsi="Arial Narrow"/>
              </w:rPr>
              <w:t xml:space="preserve"> dihydrochloride is ‘specialist initiation’ only</w:t>
            </w:r>
          </w:p>
        </w:tc>
      </w:tr>
      <w:tr w:rsidR="00BF587C" w:rsidRPr="00BF587C" w14:paraId="3453FD1C" w14:textId="77777777" w:rsidTr="00CA37FA">
        <w:tc>
          <w:tcPr>
            <w:tcW w:w="4820" w:type="dxa"/>
          </w:tcPr>
          <w:p w14:paraId="71F1BC77" w14:textId="77777777" w:rsidR="00BF587C" w:rsidRPr="00BF587C" w:rsidRDefault="00BF587C" w:rsidP="00BE68FA">
            <w:pPr>
              <w:rPr>
                <w:rFonts w:ascii="Arial Narrow" w:hAnsi="Arial Narrow"/>
                <w:b/>
                <w:bCs/>
              </w:rPr>
            </w:pPr>
            <w:r w:rsidRPr="00BF587C">
              <w:rPr>
                <w:rFonts w:ascii="Arial Narrow" w:hAnsi="Arial Narrow"/>
                <w:b/>
                <w:bCs/>
              </w:rPr>
              <w:t>Miscellaneous</w:t>
            </w:r>
          </w:p>
          <w:p w14:paraId="61D8263A" w14:textId="77777777" w:rsidR="00BF587C" w:rsidRPr="00BF587C" w:rsidRDefault="00BF587C" w:rsidP="00BF587C">
            <w:pPr>
              <w:pStyle w:val="ListParagraph"/>
              <w:numPr>
                <w:ilvl w:val="0"/>
                <w:numId w:val="37"/>
              </w:numPr>
              <w:spacing w:after="120"/>
              <w:ind w:left="164" w:hanging="142"/>
              <w:contextualSpacing w:val="0"/>
              <w:rPr>
                <w:rFonts w:ascii="Arial Narrow" w:hAnsi="Arial Narrow"/>
              </w:rPr>
            </w:pPr>
            <w:r w:rsidRPr="00BF587C">
              <w:rPr>
                <w:rFonts w:ascii="Arial Narrow" w:hAnsi="Arial Narrow"/>
              </w:rPr>
              <w:t>acetazolamide</w:t>
            </w:r>
          </w:p>
          <w:p w14:paraId="3C3F68CB" w14:textId="77777777" w:rsidR="00BF587C" w:rsidRPr="00BF587C" w:rsidRDefault="00BF587C" w:rsidP="00BF587C">
            <w:pPr>
              <w:pStyle w:val="ListParagraph"/>
              <w:numPr>
                <w:ilvl w:val="0"/>
                <w:numId w:val="37"/>
              </w:numPr>
              <w:spacing w:after="120"/>
              <w:ind w:left="164" w:hanging="142"/>
              <w:contextualSpacing w:val="0"/>
              <w:rPr>
                <w:rFonts w:ascii="Arial Narrow" w:hAnsi="Arial Narrow"/>
              </w:rPr>
            </w:pPr>
            <w:r w:rsidRPr="00BF587C">
              <w:rPr>
                <w:rFonts w:ascii="Arial Narrow" w:hAnsi="Arial Narrow"/>
              </w:rPr>
              <w:t>pamidronate (Paget disease)</w:t>
            </w:r>
          </w:p>
          <w:p w14:paraId="67A418E6" w14:textId="77777777" w:rsidR="00BF587C" w:rsidRPr="00BF587C" w:rsidRDefault="00BF587C" w:rsidP="00BF587C">
            <w:pPr>
              <w:pStyle w:val="ListParagraph"/>
              <w:numPr>
                <w:ilvl w:val="0"/>
                <w:numId w:val="37"/>
              </w:numPr>
              <w:spacing w:after="120"/>
              <w:ind w:left="164" w:hanging="142"/>
              <w:contextualSpacing w:val="0"/>
              <w:rPr>
                <w:rFonts w:ascii="Arial Narrow" w:hAnsi="Arial Narrow"/>
              </w:rPr>
            </w:pPr>
            <w:r w:rsidRPr="00BF587C">
              <w:rPr>
                <w:rFonts w:ascii="Arial Narrow" w:hAnsi="Arial Narrow"/>
              </w:rPr>
              <w:t>risedronate</w:t>
            </w:r>
          </w:p>
          <w:p w14:paraId="1D5C11A3" w14:textId="77777777" w:rsidR="00BF587C" w:rsidRPr="00BF587C" w:rsidRDefault="00BF587C" w:rsidP="00BE68FA">
            <w:pPr>
              <w:ind w:left="22"/>
              <w:rPr>
                <w:rFonts w:ascii="Arial Narrow" w:hAnsi="Arial Narrow"/>
              </w:rPr>
            </w:pPr>
            <w:r w:rsidRPr="00BF587C">
              <w:rPr>
                <w:rFonts w:ascii="Arial Narrow" w:hAnsi="Arial Narrow"/>
              </w:rPr>
              <w:t>Systemic corticosteroids:</w:t>
            </w:r>
          </w:p>
          <w:p w14:paraId="701D6B23" w14:textId="77777777" w:rsidR="00BF587C" w:rsidRPr="00BF587C" w:rsidRDefault="00BF587C" w:rsidP="00BF587C">
            <w:pPr>
              <w:pStyle w:val="ListParagraph"/>
              <w:numPr>
                <w:ilvl w:val="0"/>
                <w:numId w:val="37"/>
              </w:numPr>
              <w:spacing w:after="120"/>
              <w:ind w:left="164" w:hanging="142"/>
              <w:contextualSpacing w:val="0"/>
              <w:rPr>
                <w:rFonts w:ascii="Arial Narrow" w:hAnsi="Arial Narrow"/>
              </w:rPr>
            </w:pPr>
            <w:r w:rsidRPr="00BF587C">
              <w:rPr>
                <w:rFonts w:ascii="Arial Narrow" w:hAnsi="Arial Narrow"/>
              </w:rPr>
              <w:t>cortisone acetate</w:t>
            </w:r>
          </w:p>
          <w:p w14:paraId="33A3FE26" w14:textId="77777777" w:rsidR="00BF587C" w:rsidRPr="00BF587C" w:rsidRDefault="00BF587C" w:rsidP="00BF587C">
            <w:pPr>
              <w:pStyle w:val="ListParagraph"/>
              <w:numPr>
                <w:ilvl w:val="0"/>
                <w:numId w:val="37"/>
              </w:numPr>
              <w:spacing w:after="120"/>
              <w:ind w:left="164" w:hanging="142"/>
              <w:contextualSpacing w:val="0"/>
              <w:rPr>
                <w:rFonts w:ascii="Arial Narrow" w:hAnsi="Arial Narrow"/>
              </w:rPr>
            </w:pPr>
            <w:r w:rsidRPr="00BF587C">
              <w:rPr>
                <w:rFonts w:ascii="Arial Narrow" w:hAnsi="Arial Narrow"/>
              </w:rPr>
              <w:t>fludrocortisone acetate</w:t>
            </w:r>
          </w:p>
          <w:p w14:paraId="3559C8F4" w14:textId="77777777" w:rsidR="00BF587C" w:rsidRPr="00BF587C" w:rsidRDefault="00BF587C" w:rsidP="00BF587C">
            <w:pPr>
              <w:pStyle w:val="ListParagraph"/>
              <w:numPr>
                <w:ilvl w:val="0"/>
                <w:numId w:val="37"/>
              </w:numPr>
              <w:spacing w:after="120"/>
              <w:ind w:left="164" w:hanging="142"/>
              <w:contextualSpacing w:val="0"/>
              <w:rPr>
                <w:rFonts w:ascii="Arial Narrow" w:hAnsi="Arial Narrow"/>
              </w:rPr>
            </w:pPr>
            <w:r w:rsidRPr="00BF587C">
              <w:rPr>
                <w:rFonts w:ascii="Arial Narrow" w:hAnsi="Arial Narrow"/>
              </w:rPr>
              <w:t xml:space="preserve"> hydrocortisone</w:t>
            </w:r>
          </w:p>
        </w:tc>
        <w:tc>
          <w:tcPr>
            <w:tcW w:w="4252" w:type="dxa"/>
          </w:tcPr>
          <w:p w14:paraId="507F079D" w14:textId="77777777" w:rsidR="00BF587C" w:rsidRPr="00BF587C" w:rsidRDefault="00BF587C" w:rsidP="00BE68FA">
            <w:pPr>
              <w:rPr>
                <w:rFonts w:ascii="Arial Narrow" w:hAnsi="Arial Narrow"/>
              </w:rPr>
            </w:pPr>
            <w:r w:rsidRPr="00BF587C">
              <w:rPr>
                <w:rFonts w:ascii="Arial Narrow" w:hAnsi="Arial Narrow"/>
              </w:rPr>
              <w:t>Principle 4 - complex conditions where medical practitioners are likely to establish diagnosis/treatment.</w:t>
            </w:r>
          </w:p>
        </w:tc>
      </w:tr>
      <w:tr w:rsidR="00BF587C" w:rsidRPr="00BF587C" w14:paraId="17AFB4A6" w14:textId="77777777" w:rsidTr="00EC073D">
        <w:trPr>
          <w:cantSplit/>
        </w:trPr>
        <w:tc>
          <w:tcPr>
            <w:tcW w:w="4820" w:type="dxa"/>
          </w:tcPr>
          <w:p w14:paraId="1521E44E" w14:textId="77777777" w:rsidR="00BF587C" w:rsidRPr="00BF587C" w:rsidRDefault="00BF587C" w:rsidP="00BE68FA">
            <w:pPr>
              <w:rPr>
                <w:rFonts w:ascii="Arial Narrow" w:hAnsi="Arial Narrow"/>
                <w:b/>
                <w:bCs/>
              </w:rPr>
            </w:pPr>
            <w:r w:rsidRPr="00BF587C">
              <w:rPr>
                <w:rFonts w:ascii="Arial Narrow" w:hAnsi="Arial Narrow"/>
                <w:b/>
                <w:bCs/>
              </w:rPr>
              <w:lastRenderedPageBreak/>
              <w:t>Nephrology</w:t>
            </w:r>
          </w:p>
          <w:p w14:paraId="4C47E59C" w14:textId="226CC760" w:rsidR="00BF587C" w:rsidRPr="00BF587C" w:rsidRDefault="00BF587C" w:rsidP="00DB75D1">
            <w:pPr>
              <w:pStyle w:val="ListParagraph"/>
              <w:numPr>
                <w:ilvl w:val="0"/>
                <w:numId w:val="38"/>
              </w:numPr>
              <w:spacing w:after="120"/>
              <w:ind w:left="164" w:hanging="142"/>
              <w:contextualSpacing w:val="0"/>
              <w:rPr>
                <w:rFonts w:ascii="Arial Narrow" w:hAnsi="Arial Narrow"/>
              </w:rPr>
            </w:pPr>
            <w:proofErr w:type="spellStart"/>
            <w:r w:rsidRPr="00BF587C">
              <w:rPr>
                <w:rFonts w:ascii="Arial Narrow" w:hAnsi="Arial Narrow"/>
              </w:rPr>
              <w:t>patiromer</w:t>
            </w:r>
            <w:proofErr w:type="spellEnd"/>
          </w:p>
        </w:tc>
        <w:tc>
          <w:tcPr>
            <w:tcW w:w="4252" w:type="dxa"/>
          </w:tcPr>
          <w:p w14:paraId="7D407F70" w14:textId="77777777" w:rsidR="00BF587C" w:rsidRPr="00BF587C" w:rsidRDefault="00BF587C" w:rsidP="00BE68FA">
            <w:pPr>
              <w:rPr>
                <w:rFonts w:ascii="Arial Narrow" w:hAnsi="Arial Narrow"/>
              </w:rPr>
            </w:pPr>
            <w:r w:rsidRPr="00BF587C">
              <w:rPr>
                <w:rFonts w:ascii="Arial Narrow" w:hAnsi="Arial Narrow"/>
              </w:rPr>
              <w:t xml:space="preserve">‘Specialist initiation’ </w:t>
            </w:r>
            <w:proofErr w:type="gramStart"/>
            <w:r w:rsidRPr="00BF587C">
              <w:rPr>
                <w:rFonts w:ascii="Arial Narrow" w:hAnsi="Arial Narrow"/>
              </w:rPr>
              <w:t>medicines;</w:t>
            </w:r>
            <w:proofErr w:type="gramEnd"/>
            <w:r w:rsidRPr="00BF587C">
              <w:rPr>
                <w:rFonts w:ascii="Arial Narrow" w:hAnsi="Arial Narrow"/>
              </w:rPr>
              <w:t xml:space="preserve"> </w:t>
            </w:r>
          </w:p>
          <w:p w14:paraId="2E65EFDD" w14:textId="77777777" w:rsidR="00BF587C" w:rsidRPr="00BF587C" w:rsidRDefault="00BF587C" w:rsidP="00BE68FA">
            <w:pPr>
              <w:rPr>
                <w:rFonts w:ascii="Arial Narrow" w:hAnsi="Arial Narrow"/>
              </w:rPr>
            </w:pPr>
            <w:r w:rsidRPr="00BF587C">
              <w:rPr>
                <w:rFonts w:ascii="Arial Narrow" w:hAnsi="Arial Narrow"/>
              </w:rPr>
              <w:t>Principle 4 - complex condition requiring specialist medical practitioner expertise.</w:t>
            </w:r>
          </w:p>
        </w:tc>
      </w:tr>
      <w:tr w:rsidR="00BF587C" w:rsidRPr="00BF587C" w14:paraId="183F3834" w14:textId="77777777" w:rsidTr="00CA37FA">
        <w:tc>
          <w:tcPr>
            <w:tcW w:w="4820" w:type="dxa"/>
          </w:tcPr>
          <w:p w14:paraId="4AB20318" w14:textId="77777777" w:rsidR="00BF587C" w:rsidRPr="00BF587C" w:rsidRDefault="00BF587C" w:rsidP="00BE68FA">
            <w:pPr>
              <w:rPr>
                <w:rFonts w:ascii="Arial Narrow" w:hAnsi="Arial Narrow"/>
                <w:b/>
                <w:bCs/>
              </w:rPr>
            </w:pPr>
            <w:r w:rsidRPr="00BF587C">
              <w:rPr>
                <w:rFonts w:ascii="Arial Narrow" w:hAnsi="Arial Narrow"/>
                <w:b/>
                <w:bCs/>
              </w:rPr>
              <w:t>Neurology</w:t>
            </w:r>
          </w:p>
          <w:p w14:paraId="2A2D91CD" w14:textId="77777777" w:rsidR="00BF587C" w:rsidRPr="00BF587C" w:rsidRDefault="00BF587C" w:rsidP="00BE68FA">
            <w:pPr>
              <w:rPr>
                <w:rFonts w:ascii="Arial Narrow" w:hAnsi="Arial Narrow"/>
              </w:rPr>
            </w:pPr>
            <w:r w:rsidRPr="00BF587C">
              <w:rPr>
                <w:rFonts w:ascii="Arial Narrow" w:hAnsi="Arial Narrow"/>
              </w:rPr>
              <w:t xml:space="preserve">Anti-epileptics: </w:t>
            </w:r>
          </w:p>
          <w:p w14:paraId="313F3665" w14:textId="77777777" w:rsidR="00BF587C" w:rsidRPr="00BF587C" w:rsidRDefault="00BF587C" w:rsidP="00BF587C">
            <w:pPr>
              <w:pStyle w:val="ListParagraph"/>
              <w:numPr>
                <w:ilvl w:val="0"/>
                <w:numId w:val="39"/>
              </w:numPr>
              <w:spacing w:after="120"/>
              <w:ind w:left="164" w:hanging="142"/>
              <w:contextualSpacing w:val="0"/>
              <w:rPr>
                <w:rFonts w:ascii="Arial Narrow" w:hAnsi="Arial Narrow"/>
              </w:rPr>
            </w:pPr>
            <w:r w:rsidRPr="00BF587C">
              <w:rPr>
                <w:rFonts w:ascii="Arial Narrow" w:hAnsi="Arial Narrow"/>
              </w:rPr>
              <w:t>brivaracetam</w:t>
            </w:r>
          </w:p>
          <w:p w14:paraId="6116A11F" w14:textId="77777777" w:rsidR="00BF587C" w:rsidRPr="00BF587C" w:rsidRDefault="00BF587C" w:rsidP="00BF587C">
            <w:pPr>
              <w:pStyle w:val="ListParagraph"/>
              <w:numPr>
                <w:ilvl w:val="0"/>
                <w:numId w:val="39"/>
              </w:numPr>
              <w:spacing w:after="120"/>
              <w:ind w:left="164" w:hanging="142"/>
              <w:contextualSpacing w:val="0"/>
              <w:rPr>
                <w:rFonts w:ascii="Arial Narrow" w:hAnsi="Arial Narrow"/>
              </w:rPr>
            </w:pPr>
            <w:r w:rsidRPr="00BF587C">
              <w:rPr>
                <w:rFonts w:ascii="Arial Narrow" w:hAnsi="Arial Narrow"/>
              </w:rPr>
              <w:t>lacosamide (intractable partial epileptic seizures)</w:t>
            </w:r>
          </w:p>
          <w:p w14:paraId="3C3019B3" w14:textId="77777777" w:rsidR="00BF587C" w:rsidRPr="00BF587C" w:rsidRDefault="00BF587C" w:rsidP="00BF587C">
            <w:pPr>
              <w:pStyle w:val="ListParagraph"/>
              <w:numPr>
                <w:ilvl w:val="0"/>
                <w:numId w:val="39"/>
              </w:numPr>
              <w:spacing w:after="120"/>
              <w:ind w:left="164" w:hanging="142"/>
              <w:contextualSpacing w:val="0"/>
              <w:rPr>
                <w:rFonts w:ascii="Arial Narrow" w:hAnsi="Arial Narrow"/>
              </w:rPr>
            </w:pPr>
            <w:proofErr w:type="spellStart"/>
            <w:r w:rsidRPr="00BF587C">
              <w:rPr>
                <w:rFonts w:ascii="Arial Narrow" w:hAnsi="Arial Narrow"/>
              </w:rPr>
              <w:t>perampanel</w:t>
            </w:r>
            <w:proofErr w:type="spellEnd"/>
          </w:p>
        </w:tc>
        <w:tc>
          <w:tcPr>
            <w:tcW w:w="4252" w:type="dxa"/>
          </w:tcPr>
          <w:p w14:paraId="1C56B009" w14:textId="77777777" w:rsidR="00BF587C" w:rsidRPr="00BF587C" w:rsidRDefault="00BF587C" w:rsidP="00BE68FA">
            <w:pPr>
              <w:rPr>
                <w:rFonts w:ascii="Arial Narrow" w:hAnsi="Arial Narrow"/>
              </w:rPr>
            </w:pPr>
            <w:r w:rsidRPr="00BF587C">
              <w:rPr>
                <w:rFonts w:ascii="Arial Narrow" w:hAnsi="Arial Narrow"/>
              </w:rPr>
              <w:t xml:space="preserve">‘Specialist initiation’ </w:t>
            </w:r>
            <w:proofErr w:type="gramStart"/>
            <w:r w:rsidRPr="00BF587C">
              <w:rPr>
                <w:rFonts w:ascii="Arial Narrow" w:hAnsi="Arial Narrow"/>
              </w:rPr>
              <w:t>medicines;</w:t>
            </w:r>
            <w:proofErr w:type="gramEnd"/>
          </w:p>
          <w:p w14:paraId="44AC121A" w14:textId="77777777" w:rsidR="00BF587C" w:rsidRPr="00BF587C" w:rsidRDefault="00BF587C" w:rsidP="00BE68FA">
            <w:pPr>
              <w:rPr>
                <w:rFonts w:ascii="Arial Narrow" w:hAnsi="Arial Narrow"/>
              </w:rPr>
            </w:pPr>
            <w:r w:rsidRPr="00BF587C">
              <w:rPr>
                <w:rFonts w:ascii="Arial Narrow" w:hAnsi="Arial Narrow"/>
              </w:rPr>
              <w:t xml:space="preserve">Principle 4 – complex condition where specialist medical practitioners are likely to oversee or escalate treatment. </w:t>
            </w:r>
          </w:p>
        </w:tc>
      </w:tr>
      <w:tr w:rsidR="00BF587C" w:rsidRPr="00BF587C" w14:paraId="15FE5D29" w14:textId="77777777" w:rsidTr="00CA37FA">
        <w:tc>
          <w:tcPr>
            <w:tcW w:w="4820" w:type="dxa"/>
          </w:tcPr>
          <w:p w14:paraId="4C5BE4AD" w14:textId="77777777" w:rsidR="00BF587C" w:rsidRPr="00BF587C" w:rsidRDefault="00BF587C" w:rsidP="00BE68FA">
            <w:pPr>
              <w:rPr>
                <w:rFonts w:ascii="Arial Narrow" w:hAnsi="Arial Narrow"/>
              </w:rPr>
            </w:pPr>
            <w:r w:rsidRPr="00BF587C">
              <w:rPr>
                <w:rFonts w:ascii="Arial Narrow" w:hAnsi="Arial Narrow"/>
              </w:rPr>
              <w:t>Mood stabilisers:</w:t>
            </w:r>
          </w:p>
          <w:p w14:paraId="7C60AD1E" w14:textId="77777777" w:rsidR="00BF587C" w:rsidRPr="00BF587C" w:rsidRDefault="00BF587C" w:rsidP="00BF587C">
            <w:pPr>
              <w:pStyle w:val="ListParagraph"/>
              <w:numPr>
                <w:ilvl w:val="0"/>
                <w:numId w:val="40"/>
              </w:numPr>
              <w:spacing w:after="120"/>
              <w:ind w:left="164" w:hanging="164"/>
              <w:contextualSpacing w:val="0"/>
              <w:rPr>
                <w:rFonts w:ascii="Arial Narrow" w:hAnsi="Arial Narrow"/>
              </w:rPr>
            </w:pPr>
            <w:r w:rsidRPr="00BF587C">
              <w:rPr>
                <w:rFonts w:ascii="Arial Narrow" w:hAnsi="Arial Narrow"/>
              </w:rPr>
              <w:t>lithium carbonate</w:t>
            </w:r>
          </w:p>
        </w:tc>
        <w:tc>
          <w:tcPr>
            <w:tcW w:w="4252" w:type="dxa"/>
          </w:tcPr>
          <w:p w14:paraId="23DE43CC" w14:textId="77777777" w:rsidR="00BF587C" w:rsidRPr="00BF587C" w:rsidRDefault="00BF587C" w:rsidP="00BE68FA">
            <w:pPr>
              <w:rPr>
                <w:rFonts w:ascii="Arial Narrow" w:hAnsi="Arial Narrow"/>
              </w:rPr>
            </w:pPr>
            <w:r w:rsidRPr="00BF587C">
              <w:rPr>
                <w:rFonts w:ascii="Arial Narrow" w:hAnsi="Arial Narrow"/>
              </w:rPr>
              <w:t>Principle 3 – medicine specific considerations e.g. drug monitoring</w:t>
            </w:r>
          </w:p>
          <w:p w14:paraId="20DBB22B" w14:textId="77777777" w:rsidR="00BF587C" w:rsidRPr="00BF587C" w:rsidRDefault="00BF587C" w:rsidP="00BE68FA">
            <w:pPr>
              <w:rPr>
                <w:rFonts w:ascii="Arial Narrow" w:hAnsi="Arial Narrow"/>
              </w:rPr>
            </w:pPr>
          </w:p>
          <w:p w14:paraId="274ED2EC" w14:textId="77777777" w:rsidR="00BF587C" w:rsidRPr="00BF587C" w:rsidRDefault="00BF587C" w:rsidP="00BE68FA">
            <w:pPr>
              <w:rPr>
                <w:rFonts w:ascii="Arial Narrow" w:hAnsi="Arial Narrow"/>
              </w:rPr>
            </w:pPr>
            <w:r w:rsidRPr="00BF587C">
              <w:rPr>
                <w:rFonts w:ascii="Arial Narrow" w:hAnsi="Arial Narrow"/>
              </w:rPr>
              <w:t>Principle 4 – complex condition and psychiatrist expertise likely required to establish diagnosis/treatment.</w:t>
            </w:r>
          </w:p>
        </w:tc>
      </w:tr>
      <w:tr w:rsidR="00BF587C" w:rsidRPr="00BF587C" w14:paraId="192D0822" w14:textId="77777777" w:rsidTr="00CA37FA">
        <w:tc>
          <w:tcPr>
            <w:tcW w:w="4820" w:type="dxa"/>
          </w:tcPr>
          <w:p w14:paraId="5A48B4ED" w14:textId="77777777" w:rsidR="00BF587C" w:rsidRPr="00BF587C" w:rsidRDefault="00BF587C" w:rsidP="00BE68FA">
            <w:pPr>
              <w:rPr>
                <w:rFonts w:ascii="Arial Narrow" w:hAnsi="Arial Narrow"/>
              </w:rPr>
            </w:pPr>
            <w:r w:rsidRPr="00BF587C">
              <w:rPr>
                <w:rFonts w:ascii="Arial Narrow" w:hAnsi="Arial Narrow"/>
              </w:rPr>
              <w:t>Psychostimulants:</w:t>
            </w:r>
          </w:p>
          <w:p w14:paraId="3251C96E" w14:textId="77777777" w:rsidR="00BF587C" w:rsidRPr="00BF587C" w:rsidRDefault="00BF587C" w:rsidP="00BF587C">
            <w:pPr>
              <w:pStyle w:val="ListParagraph"/>
              <w:numPr>
                <w:ilvl w:val="0"/>
                <w:numId w:val="40"/>
              </w:numPr>
              <w:spacing w:after="120"/>
              <w:ind w:left="164" w:hanging="164"/>
              <w:contextualSpacing w:val="0"/>
              <w:rPr>
                <w:rFonts w:ascii="Arial Narrow" w:hAnsi="Arial Narrow"/>
              </w:rPr>
            </w:pPr>
            <w:proofErr w:type="spellStart"/>
            <w:r w:rsidRPr="00BF587C">
              <w:rPr>
                <w:rFonts w:ascii="Arial Narrow" w:hAnsi="Arial Narrow"/>
              </w:rPr>
              <w:t>dexamfetamine</w:t>
            </w:r>
            <w:proofErr w:type="spellEnd"/>
          </w:p>
          <w:p w14:paraId="06A958EE" w14:textId="77777777" w:rsidR="00BF587C" w:rsidRPr="00BF587C" w:rsidRDefault="00BF587C" w:rsidP="00BF587C">
            <w:pPr>
              <w:pStyle w:val="ListParagraph"/>
              <w:numPr>
                <w:ilvl w:val="0"/>
                <w:numId w:val="40"/>
              </w:numPr>
              <w:spacing w:after="120"/>
              <w:ind w:left="164" w:hanging="164"/>
              <w:contextualSpacing w:val="0"/>
              <w:rPr>
                <w:rFonts w:ascii="Arial Narrow" w:hAnsi="Arial Narrow"/>
              </w:rPr>
            </w:pPr>
            <w:proofErr w:type="spellStart"/>
            <w:r w:rsidRPr="00BF587C">
              <w:rPr>
                <w:rFonts w:ascii="Arial Narrow" w:hAnsi="Arial Narrow"/>
              </w:rPr>
              <w:t>lisdexamfetamine</w:t>
            </w:r>
            <w:proofErr w:type="spellEnd"/>
          </w:p>
          <w:p w14:paraId="29C55F61" w14:textId="77777777" w:rsidR="00BF587C" w:rsidRPr="00BF587C" w:rsidRDefault="00BF587C" w:rsidP="00BF587C">
            <w:pPr>
              <w:pStyle w:val="ListParagraph"/>
              <w:numPr>
                <w:ilvl w:val="0"/>
                <w:numId w:val="40"/>
              </w:numPr>
              <w:spacing w:after="120"/>
              <w:ind w:left="164" w:hanging="164"/>
              <w:contextualSpacing w:val="0"/>
              <w:rPr>
                <w:rFonts w:ascii="Arial Narrow" w:hAnsi="Arial Narrow"/>
              </w:rPr>
            </w:pPr>
            <w:r w:rsidRPr="00BF587C">
              <w:rPr>
                <w:rFonts w:ascii="Arial Narrow" w:hAnsi="Arial Narrow"/>
              </w:rPr>
              <w:t>methylphenidate</w:t>
            </w:r>
          </w:p>
        </w:tc>
        <w:tc>
          <w:tcPr>
            <w:tcW w:w="4252" w:type="dxa"/>
          </w:tcPr>
          <w:p w14:paraId="13E8D991" w14:textId="77777777" w:rsidR="00BF587C" w:rsidRPr="00BF587C" w:rsidRDefault="00BF587C" w:rsidP="00BE68FA">
            <w:pPr>
              <w:rPr>
                <w:rFonts w:ascii="Arial Narrow" w:hAnsi="Arial Narrow"/>
              </w:rPr>
            </w:pPr>
            <w:r w:rsidRPr="00BF587C">
              <w:rPr>
                <w:rFonts w:ascii="Arial Narrow" w:hAnsi="Arial Narrow"/>
              </w:rPr>
              <w:t>Principle 3 – medicine specific considerations (Schedule 8 - Controlled drug, risk of diversion/addiction, state/territory legislation restrictions on initiation by nurse practitioners)</w:t>
            </w:r>
          </w:p>
          <w:p w14:paraId="66EF5488" w14:textId="77777777" w:rsidR="00BF587C" w:rsidRPr="00BF587C" w:rsidRDefault="00BF587C" w:rsidP="00BE68FA">
            <w:pPr>
              <w:rPr>
                <w:rFonts w:ascii="Arial Narrow" w:hAnsi="Arial Narrow"/>
              </w:rPr>
            </w:pPr>
          </w:p>
          <w:p w14:paraId="068AE2D7" w14:textId="77777777" w:rsidR="00BF587C" w:rsidRPr="00BF587C" w:rsidRDefault="00BF587C" w:rsidP="00BE68FA">
            <w:pPr>
              <w:rPr>
                <w:rFonts w:ascii="Arial Narrow" w:hAnsi="Arial Narrow"/>
              </w:rPr>
            </w:pPr>
            <w:r w:rsidRPr="00BF587C">
              <w:rPr>
                <w:rFonts w:ascii="Arial Narrow" w:hAnsi="Arial Narrow"/>
              </w:rPr>
              <w:t>Principle 4 – complex condition and specialist medical practitioner is likely required to establish diagnosis/treatment.</w:t>
            </w:r>
          </w:p>
        </w:tc>
      </w:tr>
    </w:tbl>
    <w:p w14:paraId="407162A4" w14:textId="77777777" w:rsidR="002E3851" w:rsidRPr="002356CF" w:rsidRDefault="002E3851" w:rsidP="002E3851">
      <w:pPr>
        <w:rPr>
          <w:rFonts w:ascii="Arial" w:hAnsi="Arial" w:cs="Arial"/>
        </w:rPr>
      </w:pPr>
    </w:p>
    <w:sectPr w:rsidR="002E3851" w:rsidRPr="002356CF">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DC9AA" w14:textId="77777777" w:rsidR="004F5519" w:rsidRDefault="004F5519" w:rsidP="002E3851">
      <w:pPr>
        <w:spacing w:after="0" w:line="240" w:lineRule="auto"/>
      </w:pPr>
      <w:r>
        <w:separator/>
      </w:r>
    </w:p>
  </w:endnote>
  <w:endnote w:type="continuationSeparator" w:id="0">
    <w:p w14:paraId="10482103" w14:textId="77777777" w:rsidR="004F5519" w:rsidRDefault="004F5519" w:rsidP="002E3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B676A" w14:textId="1205BD9D" w:rsidR="002E3851" w:rsidRDefault="002E3851" w:rsidP="00EF19E0">
    <w:pPr>
      <w:pStyle w:val="Footer"/>
      <w:jc w:val="center"/>
    </w:pPr>
    <w:r w:rsidRPr="00EF19E0">
      <w:rPr>
        <w:sz w:val="16"/>
        <w:szCs w:val="16"/>
      </w:rPr>
      <w:t xml:space="preserve">Department of Health and Aged Care – </w:t>
    </w:r>
    <w:r w:rsidR="006F1D48" w:rsidRPr="00EF19E0">
      <w:rPr>
        <w:sz w:val="16"/>
        <w:szCs w:val="16"/>
      </w:rPr>
      <w:t xml:space="preserve">Review of </w:t>
    </w:r>
    <w:r w:rsidR="008D47D4">
      <w:rPr>
        <w:sz w:val="16"/>
        <w:szCs w:val="16"/>
      </w:rPr>
      <w:t>nurse practitioner</w:t>
    </w:r>
    <w:r w:rsidR="008D47D4" w:rsidRPr="00EF19E0">
      <w:rPr>
        <w:sz w:val="16"/>
        <w:szCs w:val="16"/>
      </w:rPr>
      <w:t xml:space="preserve"> </w:t>
    </w:r>
    <w:r w:rsidR="00400D6E">
      <w:rPr>
        <w:sz w:val="16"/>
        <w:szCs w:val="16"/>
      </w:rPr>
      <w:t xml:space="preserve">Continuing Therapy Only </w:t>
    </w:r>
    <w:r w:rsidR="00CD47B5">
      <w:rPr>
        <w:sz w:val="16"/>
        <w:szCs w:val="16"/>
      </w:rPr>
      <w:t>PBS</w:t>
    </w:r>
    <w:r w:rsidR="006F1D48" w:rsidRPr="00EF19E0">
      <w:rPr>
        <w:sz w:val="16"/>
        <w:szCs w:val="16"/>
      </w:rPr>
      <w:t xml:space="preserve"> listings</w:t>
    </w:r>
    <w:r w:rsidR="00400D6E">
      <w:rPr>
        <w:sz w:val="16"/>
        <w:szCs w:val="16"/>
      </w:rPr>
      <w:t xml:space="preserve"> </w:t>
    </w:r>
    <w:sdt>
      <w:sdtPr>
        <w:rPr>
          <w:sz w:val="16"/>
          <w:szCs w:val="16"/>
        </w:rPr>
        <w:id w:val="-183903453"/>
        <w:docPartObj>
          <w:docPartGallery w:val="Page Numbers (Bottom of Page)"/>
          <w:docPartUnique/>
        </w:docPartObj>
      </w:sdtPr>
      <w:sdtEndPr>
        <w:rPr>
          <w:sz w:val="22"/>
          <w:szCs w:val="22"/>
        </w:rPr>
      </w:sdtEndPr>
      <w:sdtContent>
        <w:r w:rsidR="00DF5FCD" w:rsidRPr="00EF19E0">
          <w:rPr>
            <w:sz w:val="16"/>
            <w:szCs w:val="16"/>
          </w:rPr>
          <w:t xml:space="preserve"> –</w:t>
        </w:r>
        <w:r w:rsidR="002675CA">
          <w:rPr>
            <w:sz w:val="16"/>
            <w:szCs w:val="16"/>
          </w:rPr>
          <w:t xml:space="preserve"> </w:t>
        </w:r>
        <w:r w:rsidR="00611CA9">
          <w:rPr>
            <w:sz w:val="16"/>
            <w:szCs w:val="16"/>
          </w:rPr>
          <w:t>Novembe</w:t>
        </w:r>
        <w:r w:rsidR="004C0B8A" w:rsidRPr="00EF19E0">
          <w:rPr>
            <w:sz w:val="16"/>
            <w:szCs w:val="16"/>
          </w:rPr>
          <w:t>r</w:t>
        </w:r>
        <w:r w:rsidR="00DF5FCD" w:rsidRPr="00EF19E0">
          <w:rPr>
            <w:sz w:val="16"/>
            <w:szCs w:val="16"/>
          </w:rPr>
          <w:t xml:space="preserve"> 2024</w:t>
        </w:r>
        <w:r w:rsidR="002675CA">
          <w:rPr>
            <w:sz w:val="16"/>
            <w:szCs w:val="16"/>
          </w:rPr>
          <w:t xml:space="preserve"> PBAC</w:t>
        </w:r>
        <w:r w:rsidR="00DF5FCD" w:rsidRPr="00EF19E0">
          <w:rPr>
            <w:sz w:val="16"/>
            <w:szCs w:val="16"/>
          </w:rPr>
          <w:t xml:space="preserve"> meeting</w:t>
        </w:r>
        <w:r w:rsidR="00EF19E0">
          <w:rPr>
            <w:sz w:val="16"/>
            <w:szCs w:val="16"/>
          </w:rPr>
          <w:t xml:space="preserve">        </w:t>
        </w:r>
        <w:r w:rsidR="0060240A">
          <w:rPr>
            <w:sz w:val="16"/>
            <w:szCs w:val="16"/>
          </w:rPr>
          <w:t xml:space="preserve">   </w:t>
        </w:r>
        <w:r w:rsidR="00EF19E0">
          <w:rPr>
            <w:sz w:val="16"/>
            <w:szCs w:val="16"/>
          </w:rPr>
          <w:t xml:space="preserve">          </w:t>
        </w:r>
        <w:r w:rsidRPr="002E3851">
          <w:tab/>
        </w:r>
        <w:r w:rsidR="00D918DD">
          <w:tab/>
        </w:r>
        <w:r w:rsidR="00EF19E0">
          <w:t xml:space="preserve">  </w:t>
        </w:r>
        <w:r w:rsidRPr="002E3851">
          <w:fldChar w:fldCharType="begin"/>
        </w:r>
        <w:r w:rsidRPr="002E3851">
          <w:instrText xml:space="preserve"> PAGE   \* MERGEFORMAT </w:instrText>
        </w:r>
        <w:r w:rsidRPr="002E3851">
          <w:fldChar w:fldCharType="separate"/>
        </w:r>
        <w:r w:rsidRPr="002E3851">
          <w:t>4</w:t>
        </w:r>
        <w:r w:rsidRPr="002E3851">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BCC06" w14:textId="77777777" w:rsidR="004F5519" w:rsidRDefault="004F5519" w:rsidP="002E3851">
      <w:pPr>
        <w:spacing w:after="0" w:line="240" w:lineRule="auto"/>
      </w:pPr>
      <w:r>
        <w:separator/>
      </w:r>
    </w:p>
  </w:footnote>
  <w:footnote w:type="continuationSeparator" w:id="0">
    <w:p w14:paraId="6ECE362C" w14:textId="77777777" w:rsidR="004F5519" w:rsidRDefault="004F5519" w:rsidP="002E3851">
      <w:pPr>
        <w:spacing w:after="0" w:line="240" w:lineRule="auto"/>
      </w:pPr>
      <w:r>
        <w:continuationSeparator/>
      </w:r>
    </w:p>
  </w:footnote>
  <w:footnote w:id="1">
    <w:p w14:paraId="626D0870" w14:textId="601F4300" w:rsidR="00C017FA" w:rsidRDefault="00C017FA" w:rsidP="00C017FA">
      <w:pPr>
        <w:pStyle w:val="FootnoteText"/>
      </w:pPr>
      <w:r>
        <w:rPr>
          <w:rStyle w:val="FootnoteReference"/>
        </w:rPr>
        <w:footnoteRef/>
      </w:r>
      <w:r>
        <w:t xml:space="preserve"> </w:t>
      </w:r>
      <w:r w:rsidRPr="00876810">
        <w:t>For prescribing by nurse practitioners as continuing therapy only, where the treatment of, and prescribing of medicine for, a patient has been initiated by a medical practitioner.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FA93C" w14:textId="7CF314C7" w:rsidR="002E3851" w:rsidRDefault="002E3851">
    <w:pPr>
      <w:pStyle w:val="Header"/>
    </w:pPr>
    <w:r>
      <w:rPr>
        <w:noProof/>
        <w:lang w:eastAsia="en-AU"/>
      </w:rPr>
      <w:drawing>
        <wp:inline distT="0" distB="0" distL="0" distR="0" wp14:anchorId="14710BDC" wp14:editId="1B52D2A2">
          <wp:extent cx="5731510" cy="937137"/>
          <wp:effectExtent l="0" t="0" r="254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31510" cy="937137"/>
                  </a:xfrm>
                  <a:prstGeom prst="rect">
                    <a:avLst/>
                  </a:prstGeom>
                  <a:ln>
                    <a:noFill/>
                  </a:ln>
                  <a:extLst>
                    <a:ext uri="{53640926-AAD7-44D8-BBD7-CCE9431645EC}">
                      <a14:shadowObscured xmlns:a14="http://schemas.microsoft.com/office/drawing/2010/main"/>
                    </a:ext>
                  </a:extLst>
                </pic:spPr>
              </pic:pic>
            </a:graphicData>
          </a:graphic>
        </wp:inline>
      </w:drawing>
    </w:r>
  </w:p>
  <w:p w14:paraId="5A4D62C0" w14:textId="77777777" w:rsidR="004A0822" w:rsidRDefault="004A08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51AD1"/>
    <w:multiLevelType w:val="hybridMultilevel"/>
    <w:tmpl w:val="68E48C6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0D2361"/>
    <w:multiLevelType w:val="hybridMultilevel"/>
    <w:tmpl w:val="9866258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39574DA"/>
    <w:multiLevelType w:val="hybridMultilevel"/>
    <w:tmpl w:val="1A4A0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B93FDA"/>
    <w:multiLevelType w:val="hybridMultilevel"/>
    <w:tmpl w:val="840AD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9C0404"/>
    <w:multiLevelType w:val="hybridMultilevel"/>
    <w:tmpl w:val="A09E7CCA"/>
    <w:lvl w:ilvl="0" w:tplc="B1D6E7E8">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E37ACE"/>
    <w:multiLevelType w:val="hybridMultilevel"/>
    <w:tmpl w:val="2A88E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5D016B"/>
    <w:multiLevelType w:val="hybridMultilevel"/>
    <w:tmpl w:val="2E1093B2"/>
    <w:lvl w:ilvl="0" w:tplc="B3369A28">
      <w:start w:val="1"/>
      <w:numFmt w:val="bullet"/>
      <w:lvlText w:val="•"/>
      <w:lvlJc w:val="left"/>
      <w:pPr>
        <w:tabs>
          <w:tab w:val="num" w:pos="720"/>
        </w:tabs>
        <w:ind w:left="720" w:hanging="360"/>
      </w:pPr>
      <w:rPr>
        <w:rFonts w:ascii="Arial" w:hAnsi="Arial" w:hint="default"/>
      </w:rPr>
    </w:lvl>
    <w:lvl w:ilvl="1" w:tplc="5E96034E" w:tentative="1">
      <w:start w:val="1"/>
      <w:numFmt w:val="bullet"/>
      <w:lvlText w:val="•"/>
      <w:lvlJc w:val="left"/>
      <w:pPr>
        <w:tabs>
          <w:tab w:val="num" w:pos="1440"/>
        </w:tabs>
        <w:ind w:left="1440" w:hanging="360"/>
      </w:pPr>
      <w:rPr>
        <w:rFonts w:ascii="Arial" w:hAnsi="Arial" w:hint="default"/>
      </w:rPr>
    </w:lvl>
    <w:lvl w:ilvl="2" w:tplc="FFA0384A" w:tentative="1">
      <w:start w:val="1"/>
      <w:numFmt w:val="bullet"/>
      <w:lvlText w:val="•"/>
      <w:lvlJc w:val="left"/>
      <w:pPr>
        <w:tabs>
          <w:tab w:val="num" w:pos="2160"/>
        </w:tabs>
        <w:ind w:left="2160" w:hanging="360"/>
      </w:pPr>
      <w:rPr>
        <w:rFonts w:ascii="Arial" w:hAnsi="Arial" w:hint="default"/>
      </w:rPr>
    </w:lvl>
    <w:lvl w:ilvl="3" w:tplc="E32C9DF6" w:tentative="1">
      <w:start w:val="1"/>
      <w:numFmt w:val="bullet"/>
      <w:lvlText w:val="•"/>
      <w:lvlJc w:val="left"/>
      <w:pPr>
        <w:tabs>
          <w:tab w:val="num" w:pos="2880"/>
        </w:tabs>
        <w:ind w:left="2880" w:hanging="360"/>
      </w:pPr>
      <w:rPr>
        <w:rFonts w:ascii="Arial" w:hAnsi="Arial" w:hint="default"/>
      </w:rPr>
    </w:lvl>
    <w:lvl w:ilvl="4" w:tplc="64A465E8" w:tentative="1">
      <w:start w:val="1"/>
      <w:numFmt w:val="bullet"/>
      <w:lvlText w:val="•"/>
      <w:lvlJc w:val="left"/>
      <w:pPr>
        <w:tabs>
          <w:tab w:val="num" w:pos="3600"/>
        </w:tabs>
        <w:ind w:left="3600" w:hanging="360"/>
      </w:pPr>
      <w:rPr>
        <w:rFonts w:ascii="Arial" w:hAnsi="Arial" w:hint="default"/>
      </w:rPr>
    </w:lvl>
    <w:lvl w:ilvl="5" w:tplc="0AC44BAA" w:tentative="1">
      <w:start w:val="1"/>
      <w:numFmt w:val="bullet"/>
      <w:lvlText w:val="•"/>
      <w:lvlJc w:val="left"/>
      <w:pPr>
        <w:tabs>
          <w:tab w:val="num" w:pos="4320"/>
        </w:tabs>
        <w:ind w:left="4320" w:hanging="360"/>
      </w:pPr>
      <w:rPr>
        <w:rFonts w:ascii="Arial" w:hAnsi="Arial" w:hint="default"/>
      </w:rPr>
    </w:lvl>
    <w:lvl w:ilvl="6" w:tplc="4D10DBDC" w:tentative="1">
      <w:start w:val="1"/>
      <w:numFmt w:val="bullet"/>
      <w:lvlText w:val="•"/>
      <w:lvlJc w:val="left"/>
      <w:pPr>
        <w:tabs>
          <w:tab w:val="num" w:pos="5040"/>
        </w:tabs>
        <w:ind w:left="5040" w:hanging="360"/>
      </w:pPr>
      <w:rPr>
        <w:rFonts w:ascii="Arial" w:hAnsi="Arial" w:hint="default"/>
      </w:rPr>
    </w:lvl>
    <w:lvl w:ilvl="7" w:tplc="2D7079F8" w:tentative="1">
      <w:start w:val="1"/>
      <w:numFmt w:val="bullet"/>
      <w:lvlText w:val="•"/>
      <w:lvlJc w:val="left"/>
      <w:pPr>
        <w:tabs>
          <w:tab w:val="num" w:pos="5760"/>
        </w:tabs>
        <w:ind w:left="5760" w:hanging="360"/>
      </w:pPr>
      <w:rPr>
        <w:rFonts w:ascii="Arial" w:hAnsi="Arial" w:hint="default"/>
      </w:rPr>
    </w:lvl>
    <w:lvl w:ilvl="8" w:tplc="8E8C07A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ED87230"/>
    <w:multiLevelType w:val="hybridMultilevel"/>
    <w:tmpl w:val="B626440E"/>
    <w:lvl w:ilvl="0" w:tplc="5332032E">
      <w:start w:val="1"/>
      <w:numFmt w:val="bullet"/>
      <w:lvlText w:val="•"/>
      <w:lvlJc w:val="left"/>
      <w:pPr>
        <w:tabs>
          <w:tab w:val="num" w:pos="720"/>
        </w:tabs>
        <w:ind w:left="720" w:hanging="360"/>
      </w:pPr>
      <w:rPr>
        <w:rFonts w:ascii="Arial" w:hAnsi="Arial" w:hint="default"/>
      </w:rPr>
    </w:lvl>
    <w:lvl w:ilvl="1" w:tplc="522E0D10">
      <w:numFmt w:val="bullet"/>
      <w:lvlText w:val="o"/>
      <w:lvlJc w:val="left"/>
      <w:pPr>
        <w:tabs>
          <w:tab w:val="num" w:pos="1440"/>
        </w:tabs>
        <w:ind w:left="1440" w:hanging="360"/>
      </w:pPr>
      <w:rPr>
        <w:rFonts w:ascii="Courier New" w:hAnsi="Courier New" w:hint="default"/>
      </w:rPr>
    </w:lvl>
    <w:lvl w:ilvl="2" w:tplc="6AAE3220" w:tentative="1">
      <w:start w:val="1"/>
      <w:numFmt w:val="bullet"/>
      <w:lvlText w:val="•"/>
      <w:lvlJc w:val="left"/>
      <w:pPr>
        <w:tabs>
          <w:tab w:val="num" w:pos="2160"/>
        </w:tabs>
        <w:ind w:left="2160" w:hanging="360"/>
      </w:pPr>
      <w:rPr>
        <w:rFonts w:ascii="Arial" w:hAnsi="Arial" w:hint="default"/>
      </w:rPr>
    </w:lvl>
    <w:lvl w:ilvl="3" w:tplc="813A097E" w:tentative="1">
      <w:start w:val="1"/>
      <w:numFmt w:val="bullet"/>
      <w:lvlText w:val="•"/>
      <w:lvlJc w:val="left"/>
      <w:pPr>
        <w:tabs>
          <w:tab w:val="num" w:pos="2880"/>
        </w:tabs>
        <w:ind w:left="2880" w:hanging="360"/>
      </w:pPr>
      <w:rPr>
        <w:rFonts w:ascii="Arial" w:hAnsi="Arial" w:hint="default"/>
      </w:rPr>
    </w:lvl>
    <w:lvl w:ilvl="4" w:tplc="7F426E9A" w:tentative="1">
      <w:start w:val="1"/>
      <w:numFmt w:val="bullet"/>
      <w:lvlText w:val="•"/>
      <w:lvlJc w:val="left"/>
      <w:pPr>
        <w:tabs>
          <w:tab w:val="num" w:pos="3600"/>
        </w:tabs>
        <w:ind w:left="3600" w:hanging="360"/>
      </w:pPr>
      <w:rPr>
        <w:rFonts w:ascii="Arial" w:hAnsi="Arial" w:hint="default"/>
      </w:rPr>
    </w:lvl>
    <w:lvl w:ilvl="5" w:tplc="7AFECE44" w:tentative="1">
      <w:start w:val="1"/>
      <w:numFmt w:val="bullet"/>
      <w:lvlText w:val="•"/>
      <w:lvlJc w:val="left"/>
      <w:pPr>
        <w:tabs>
          <w:tab w:val="num" w:pos="4320"/>
        </w:tabs>
        <w:ind w:left="4320" w:hanging="360"/>
      </w:pPr>
      <w:rPr>
        <w:rFonts w:ascii="Arial" w:hAnsi="Arial" w:hint="default"/>
      </w:rPr>
    </w:lvl>
    <w:lvl w:ilvl="6" w:tplc="8124E454" w:tentative="1">
      <w:start w:val="1"/>
      <w:numFmt w:val="bullet"/>
      <w:lvlText w:val="•"/>
      <w:lvlJc w:val="left"/>
      <w:pPr>
        <w:tabs>
          <w:tab w:val="num" w:pos="5040"/>
        </w:tabs>
        <w:ind w:left="5040" w:hanging="360"/>
      </w:pPr>
      <w:rPr>
        <w:rFonts w:ascii="Arial" w:hAnsi="Arial" w:hint="default"/>
      </w:rPr>
    </w:lvl>
    <w:lvl w:ilvl="7" w:tplc="28B4E564" w:tentative="1">
      <w:start w:val="1"/>
      <w:numFmt w:val="bullet"/>
      <w:lvlText w:val="•"/>
      <w:lvlJc w:val="left"/>
      <w:pPr>
        <w:tabs>
          <w:tab w:val="num" w:pos="5760"/>
        </w:tabs>
        <w:ind w:left="5760" w:hanging="360"/>
      </w:pPr>
      <w:rPr>
        <w:rFonts w:ascii="Arial" w:hAnsi="Arial" w:hint="default"/>
      </w:rPr>
    </w:lvl>
    <w:lvl w:ilvl="8" w:tplc="B750FB2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C913E3"/>
    <w:multiLevelType w:val="hybridMultilevel"/>
    <w:tmpl w:val="22EC2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B973D5"/>
    <w:multiLevelType w:val="hybridMultilevel"/>
    <w:tmpl w:val="E19CC5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4A57EBC"/>
    <w:multiLevelType w:val="hybridMultilevel"/>
    <w:tmpl w:val="7F7AF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207C97"/>
    <w:multiLevelType w:val="hybridMultilevel"/>
    <w:tmpl w:val="119E1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37262A"/>
    <w:multiLevelType w:val="hybridMultilevel"/>
    <w:tmpl w:val="C6787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402051"/>
    <w:multiLevelType w:val="hybridMultilevel"/>
    <w:tmpl w:val="414A424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8B64D25"/>
    <w:multiLevelType w:val="multilevel"/>
    <w:tmpl w:val="77A0A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0F07E83"/>
    <w:multiLevelType w:val="hybridMultilevel"/>
    <w:tmpl w:val="7A92D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384515F"/>
    <w:multiLevelType w:val="hybridMultilevel"/>
    <w:tmpl w:val="DB5C0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5F07D0"/>
    <w:multiLevelType w:val="hybridMultilevel"/>
    <w:tmpl w:val="DEC48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D9E7DFD"/>
    <w:multiLevelType w:val="hybridMultilevel"/>
    <w:tmpl w:val="764841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6BC2693"/>
    <w:multiLevelType w:val="multilevel"/>
    <w:tmpl w:val="35CA008C"/>
    <w:lvl w:ilvl="0">
      <w:start w:val="1"/>
      <w:numFmt w:val="bullet"/>
      <w:lvlText w:val=""/>
      <w:lvlJc w:val="left"/>
      <w:pPr>
        <w:tabs>
          <w:tab w:val="num" w:pos="785"/>
        </w:tabs>
        <w:ind w:left="785" w:hanging="360"/>
      </w:pPr>
      <w:rPr>
        <w:rFonts w:ascii="Symbol" w:hAnsi="Symbol" w:hint="default"/>
        <w:sz w:val="20"/>
      </w:rPr>
    </w:lvl>
    <w:lvl w:ilvl="1" w:tentative="1">
      <w:start w:val="1"/>
      <w:numFmt w:val="bullet"/>
      <w:lvlText w:val=""/>
      <w:lvlJc w:val="left"/>
      <w:pPr>
        <w:tabs>
          <w:tab w:val="num" w:pos="1505"/>
        </w:tabs>
        <w:ind w:left="1505" w:hanging="360"/>
      </w:pPr>
      <w:rPr>
        <w:rFonts w:ascii="Symbol" w:hAnsi="Symbol" w:hint="default"/>
        <w:sz w:val="20"/>
      </w:rPr>
    </w:lvl>
    <w:lvl w:ilvl="2" w:tentative="1">
      <w:start w:val="1"/>
      <w:numFmt w:val="bullet"/>
      <w:lvlText w:val=""/>
      <w:lvlJc w:val="left"/>
      <w:pPr>
        <w:tabs>
          <w:tab w:val="num" w:pos="2225"/>
        </w:tabs>
        <w:ind w:left="2225" w:hanging="360"/>
      </w:pPr>
      <w:rPr>
        <w:rFonts w:ascii="Symbol" w:hAnsi="Symbol" w:hint="default"/>
        <w:sz w:val="20"/>
      </w:rPr>
    </w:lvl>
    <w:lvl w:ilvl="3" w:tentative="1">
      <w:start w:val="1"/>
      <w:numFmt w:val="bullet"/>
      <w:lvlText w:val=""/>
      <w:lvlJc w:val="left"/>
      <w:pPr>
        <w:tabs>
          <w:tab w:val="num" w:pos="2945"/>
        </w:tabs>
        <w:ind w:left="2945" w:hanging="360"/>
      </w:pPr>
      <w:rPr>
        <w:rFonts w:ascii="Symbol" w:hAnsi="Symbol" w:hint="default"/>
        <w:sz w:val="20"/>
      </w:rPr>
    </w:lvl>
    <w:lvl w:ilvl="4" w:tentative="1">
      <w:start w:val="1"/>
      <w:numFmt w:val="bullet"/>
      <w:lvlText w:val=""/>
      <w:lvlJc w:val="left"/>
      <w:pPr>
        <w:tabs>
          <w:tab w:val="num" w:pos="3665"/>
        </w:tabs>
        <w:ind w:left="3665" w:hanging="360"/>
      </w:pPr>
      <w:rPr>
        <w:rFonts w:ascii="Symbol" w:hAnsi="Symbol" w:hint="default"/>
        <w:sz w:val="20"/>
      </w:rPr>
    </w:lvl>
    <w:lvl w:ilvl="5" w:tentative="1">
      <w:start w:val="1"/>
      <w:numFmt w:val="bullet"/>
      <w:lvlText w:val=""/>
      <w:lvlJc w:val="left"/>
      <w:pPr>
        <w:tabs>
          <w:tab w:val="num" w:pos="4385"/>
        </w:tabs>
        <w:ind w:left="4385" w:hanging="360"/>
      </w:pPr>
      <w:rPr>
        <w:rFonts w:ascii="Symbol" w:hAnsi="Symbol" w:hint="default"/>
        <w:sz w:val="20"/>
      </w:rPr>
    </w:lvl>
    <w:lvl w:ilvl="6" w:tentative="1">
      <w:start w:val="1"/>
      <w:numFmt w:val="bullet"/>
      <w:lvlText w:val=""/>
      <w:lvlJc w:val="left"/>
      <w:pPr>
        <w:tabs>
          <w:tab w:val="num" w:pos="5105"/>
        </w:tabs>
        <w:ind w:left="5105" w:hanging="360"/>
      </w:pPr>
      <w:rPr>
        <w:rFonts w:ascii="Symbol" w:hAnsi="Symbol" w:hint="default"/>
        <w:sz w:val="20"/>
      </w:rPr>
    </w:lvl>
    <w:lvl w:ilvl="7" w:tentative="1">
      <w:start w:val="1"/>
      <w:numFmt w:val="bullet"/>
      <w:lvlText w:val=""/>
      <w:lvlJc w:val="left"/>
      <w:pPr>
        <w:tabs>
          <w:tab w:val="num" w:pos="5825"/>
        </w:tabs>
        <w:ind w:left="5825" w:hanging="360"/>
      </w:pPr>
      <w:rPr>
        <w:rFonts w:ascii="Symbol" w:hAnsi="Symbol" w:hint="default"/>
        <w:sz w:val="20"/>
      </w:rPr>
    </w:lvl>
    <w:lvl w:ilvl="8" w:tentative="1">
      <w:start w:val="1"/>
      <w:numFmt w:val="bullet"/>
      <w:lvlText w:val=""/>
      <w:lvlJc w:val="left"/>
      <w:pPr>
        <w:tabs>
          <w:tab w:val="num" w:pos="6545"/>
        </w:tabs>
        <w:ind w:left="6545" w:hanging="360"/>
      </w:pPr>
      <w:rPr>
        <w:rFonts w:ascii="Symbol" w:hAnsi="Symbol" w:hint="default"/>
        <w:sz w:val="20"/>
      </w:rPr>
    </w:lvl>
  </w:abstractNum>
  <w:abstractNum w:abstractNumId="20" w15:restartNumberingAfterBreak="0">
    <w:nsid w:val="589066C6"/>
    <w:multiLevelType w:val="hybridMultilevel"/>
    <w:tmpl w:val="30D6FAB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15:restartNumberingAfterBreak="0">
    <w:nsid w:val="61E859FF"/>
    <w:multiLevelType w:val="hybridMultilevel"/>
    <w:tmpl w:val="999A1598"/>
    <w:lvl w:ilvl="0" w:tplc="B9209582">
      <w:start w:val="1"/>
      <w:numFmt w:val="bullet"/>
      <w:lvlText w:val=""/>
      <w:lvlJc w:val="left"/>
      <w:pPr>
        <w:ind w:left="1160" w:hanging="360"/>
      </w:pPr>
      <w:rPr>
        <w:rFonts w:ascii="Symbol" w:hAnsi="Symbol"/>
      </w:rPr>
    </w:lvl>
    <w:lvl w:ilvl="1" w:tplc="12D49930">
      <w:start w:val="1"/>
      <w:numFmt w:val="bullet"/>
      <w:lvlText w:val=""/>
      <w:lvlJc w:val="left"/>
      <w:pPr>
        <w:ind w:left="1160" w:hanging="360"/>
      </w:pPr>
      <w:rPr>
        <w:rFonts w:ascii="Symbol" w:hAnsi="Symbol"/>
      </w:rPr>
    </w:lvl>
    <w:lvl w:ilvl="2" w:tplc="63A400DA">
      <w:start w:val="1"/>
      <w:numFmt w:val="bullet"/>
      <w:lvlText w:val=""/>
      <w:lvlJc w:val="left"/>
      <w:pPr>
        <w:ind w:left="1160" w:hanging="360"/>
      </w:pPr>
      <w:rPr>
        <w:rFonts w:ascii="Symbol" w:hAnsi="Symbol"/>
      </w:rPr>
    </w:lvl>
    <w:lvl w:ilvl="3" w:tplc="2ADE0A06">
      <w:start w:val="1"/>
      <w:numFmt w:val="bullet"/>
      <w:lvlText w:val=""/>
      <w:lvlJc w:val="left"/>
      <w:pPr>
        <w:ind w:left="1160" w:hanging="360"/>
      </w:pPr>
      <w:rPr>
        <w:rFonts w:ascii="Symbol" w:hAnsi="Symbol"/>
      </w:rPr>
    </w:lvl>
    <w:lvl w:ilvl="4" w:tplc="F22E8E8E">
      <w:start w:val="1"/>
      <w:numFmt w:val="bullet"/>
      <w:lvlText w:val=""/>
      <w:lvlJc w:val="left"/>
      <w:pPr>
        <w:ind w:left="1160" w:hanging="360"/>
      </w:pPr>
      <w:rPr>
        <w:rFonts w:ascii="Symbol" w:hAnsi="Symbol"/>
      </w:rPr>
    </w:lvl>
    <w:lvl w:ilvl="5" w:tplc="76A2BEC6">
      <w:start w:val="1"/>
      <w:numFmt w:val="bullet"/>
      <w:lvlText w:val=""/>
      <w:lvlJc w:val="left"/>
      <w:pPr>
        <w:ind w:left="1160" w:hanging="360"/>
      </w:pPr>
      <w:rPr>
        <w:rFonts w:ascii="Symbol" w:hAnsi="Symbol"/>
      </w:rPr>
    </w:lvl>
    <w:lvl w:ilvl="6" w:tplc="2C0C44B4">
      <w:start w:val="1"/>
      <w:numFmt w:val="bullet"/>
      <w:lvlText w:val=""/>
      <w:lvlJc w:val="left"/>
      <w:pPr>
        <w:ind w:left="1160" w:hanging="360"/>
      </w:pPr>
      <w:rPr>
        <w:rFonts w:ascii="Symbol" w:hAnsi="Symbol"/>
      </w:rPr>
    </w:lvl>
    <w:lvl w:ilvl="7" w:tplc="0B30AD30">
      <w:start w:val="1"/>
      <w:numFmt w:val="bullet"/>
      <w:lvlText w:val=""/>
      <w:lvlJc w:val="left"/>
      <w:pPr>
        <w:ind w:left="1160" w:hanging="360"/>
      </w:pPr>
      <w:rPr>
        <w:rFonts w:ascii="Symbol" w:hAnsi="Symbol"/>
      </w:rPr>
    </w:lvl>
    <w:lvl w:ilvl="8" w:tplc="8C96E116">
      <w:start w:val="1"/>
      <w:numFmt w:val="bullet"/>
      <w:lvlText w:val=""/>
      <w:lvlJc w:val="left"/>
      <w:pPr>
        <w:ind w:left="1160" w:hanging="360"/>
      </w:pPr>
      <w:rPr>
        <w:rFonts w:ascii="Symbol" w:hAnsi="Symbol"/>
      </w:rPr>
    </w:lvl>
  </w:abstractNum>
  <w:abstractNum w:abstractNumId="22" w15:restartNumberingAfterBreak="0">
    <w:nsid w:val="64B71C7E"/>
    <w:multiLevelType w:val="hybridMultilevel"/>
    <w:tmpl w:val="AE9C2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54D0631"/>
    <w:multiLevelType w:val="hybridMultilevel"/>
    <w:tmpl w:val="582260FE"/>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8500EE1"/>
    <w:multiLevelType w:val="hybridMultilevel"/>
    <w:tmpl w:val="FCDE98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8AA15F3"/>
    <w:multiLevelType w:val="hybridMultilevel"/>
    <w:tmpl w:val="96547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9C16A8E"/>
    <w:multiLevelType w:val="hybridMultilevel"/>
    <w:tmpl w:val="13167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B142362"/>
    <w:multiLevelType w:val="hybridMultilevel"/>
    <w:tmpl w:val="5EC290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28" w15:restartNumberingAfterBreak="0">
    <w:nsid w:val="6CA82840"/>
    <w:multiLevelType w:val="hybridMultilevel"/>
    <w:tmpl w:val="C2582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EE87D01"/>
    <w:multiLevelType w:val="hybridMultilevel"/>
    <w:tmpl w:val="B34631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10D5A84"/>
    <w:multiLevelType w:val="hybridMultilevel"/>
    <w:tmpl w:val="F6E2D3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1231913"/>
    <w:multiLevelType w:val="hybridMultilevel"/>
    <w:tmpl w:val="26ACE1C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72684083"/>
    <w:multiLevelType w:val="hybridMultilevel"/>
    <w:tmpl w:val="05BA1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5410602"/>
    <w:multiLevelType w:val="hybridMultilevel"/>
    <w:tmpl w:val="1A28BF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59C306E"/>
    <w:multiLevelType w:val="hybridMultilevel"/>
    <w:tmpl w:val="588C7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84D033C"/>
    <w:multiLevelType w:val="multilevel"/>
    <w:tmpl w:val="CCBE1B64"/>
    <w:lvl w:ilvl="0">
      <w:start w:val="1"/>
      <w:numFmt w:val="decimal"/>
      <w:pStyle w:val="2-SectionHeading"/>
      <w:lvlText w:val="%1"/>
      <w:lvlJc w:val="left"/>
      <w:pPr>
        <w:ind w:left="720" w:hanging="720"/>
      </w:pPr>
      <w:rPr>
        <w:b/>
        <w:color w:val="auto"/>
      </w:rPr>
    </w:lvl>
    <w:lvl w:ilvl="1">
      <w:start w:val="1"/>
      <w:numFmt w:val="decimal"/>
      <w:pStyle w:val="3Bodytext"/>
      <w:lvlText w:val="%1.%2"/>
      <w:lvlJc w:val="left"/>
      <w:pPr>
        <w:ind w:left="720" w:hanging="720"/>
      </w:pPr>
      <w:rPr>
        <w:rFonts w:asciiTheme="minorHAnsi" w:hAnsiTheme="minorHAnsi" w:cstheme="minorHAnsi" w:hint="default"/>
        <w:b w:val="0"/>
        <w:bCs w:val="0"/>
        <w:i w:val="0"/>
        <w:iCs w:val="0"/>
        <w:color w:val="auto"/>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6" w15:restartNumberingAfterBreak="0">
    <w:nsid w:val="785828AE"/>
    <w:multiLevelType w:val="multilevel"/>
    <w:tmpl w:val="89587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86A4A17"/>
    <w:multiLevelType w:val="hybridMultilevel"/>
    <w:tmpl w:val="14F07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C256D04"/>
    <w:multiLevelType w:val="hybridMultilevel"/>
    <w:tmpl w:val="1EF85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D016BC3"/>
    <w:multiLevelType w:val="hybridMultilevel"/>
    <w:tmpl w:val="E4147A38"/>
    <w:lvl w:ilvl="0" w:tplc="1D18A5CA">
      <w:start w:val="1"/>
      <w:numFmt w:val="bullet"/>
      <w:lvlText w:val=""/>
      <w:lvlJc w:val="left"/>
      <w:pPr>
        <w:ind w:left="2160" w:hanging="360"/>
      </w:pPr>
      <w:rPr>
        <w:rFonts w:ascii="Symbol" w:hAnsi="Symbol"/>
      </w:rPr>
    </w:lvl>
    <w:lvl w:ilvl="1" w:tplc="BFCC7296">
      <w:start w:val="1"/>
      <w:numFmt w:val="bullet"/>
      <w:lvlText w:val=""/>
      <w:lvlJc w:val="left"/>
      <w:pPr>
        <w:ind w:left="2160" w:hanging="360"/>
      </w:pPr>
      <w:rPr>
        <w:rFonts w:ascii="Symbol" w:hAnsi="Symbol"/>
      </w:rPr>
    </w:lvl>
    <w:lvl w:ilvl="2" w:tplc="539ABEB2">
      <w:start w:val="1"/>
      <w:numFmt w:val="bullet"/>
      <w:lvlText w:val=""/>
      <w:lvlJc w:val="left"/>
      <w:pPr>
        <w:ind w:left="2160" w:hanging="360"/>
      </w:pPr>
      <w:rPr>
        <w:rFonts w:ascii="Symbol" w:hAnsi="Symbol"/>
      </w:rPr>
    </w:lvl>
    <w:lvl w:ilvl="3" w:tplc="24787D7E">
      <w:start w:val="1"/>
      <w:numFmt w:val="bullet"/>
      <w:lvlText w:val=""/>
      <w:lvlJc w:val="left"/>
      <w:pPr>
        <w:ind w:left="2160" w:hanging="360"/>
      </w:pPr>
      <w:rPr>
        <w:rFonts w:ascii="Symbol" w:hAnsi="Symbol"/>
      </w:rPr>
    </w:lvl>
    <w:lvl w:ilvl="4" w:tplc="AB2C5E74">
      <w:start w:val="1"/>
      <w:numFmt w:val="bullet"/>
      <w:lvlText w:val=""/>
      <w:lvlJc w:val="left"/>
      <w:pPr>
        <w:ind w:left="2160" w:hanging="360"/>
      </w:pPr>
      <w:rPr>
        <w:rFonts w:ascii="Symbol" w:hAnsi="Symbol"/>
      </w:rPr>
    </w:lvl>
    <w:lvl w:ilvl="5" w:tplc="E66EACAA">
      <w:start w:val="1"/>
      <w:numFmt w:val="bullet"/>
      <w:lvlText w:val=""/>
      <w:lvlJc w:val="left"/>
      <w:pPr>
        <w:ind w:left="2160" w:hanging="360"/>
      </w:pPr>
      <w:rPr>
        <w:rFonts w:ascii="Symbol" w:hAnsi="Symbol"/>
      </w:rPr>
    </w:lvl>
    <w:lvl w:ilvl="6" w:tplc="973ECF8E">
      <w:start w:val="1"/>
      <w:numFmt w:val="bullet"/>
      <w:lvlText w:val=""/>
      <w:lvlJc w:val="left"/>
      <w:pPr>
        <w:ind w:left="2160" w:hanging="360"/>
      </w:pPr>
      <w:rPr>
        <w:rFonts w:ascii="Symbol" w:hAnsi="Symbol"/>
      </w:rPr>
    </w:lvl>
    <w:lvl w:ilvl="7" w:tplc="330CC3D2">
      <w:start w:val="1"/>
      <w:numFmt w:val="bullet"/>
      <w:lvlText w:val=""/>
      <w:lvlJc w:val="left"/>
      <w:pPr>
        <w:ind w:left="2160" w:hanging="360"/>
      </w:pPr>
      <w:rPr>
        <w:rFonts w:ascii="Symbol" w:hAnsi="Symbol"/>
      </w:rPr>
    </w:lvl>
    <w:lvl w:ilvl="8" w:tplc="FF86651A">
      <w:start w:val="1"/>
      <w:numFmt w:val="bullet"/>
      <w:lvlText w:val=""/>
      <w:lvlJc w:val="left"/>
      <w:pPr>
        <w:ind w:left="2160" w:hanging="360"/>
      </w:pPr>
      <w:rPr>
        <w:rFonts w:ascii="Symbol" w:hAnsi="Symbol"/>
      </w:rPr>
    </w:lvl>
  </w:abstractNum>
  <w:num w:numId="1" w16cid:durableId="1923444207">
    <w:abstractNumId w:val="38"/>
  </w:num>
  <w:num w:numId="2" w16cid:durableId="1306280192">
    <w:abstractNumId w:val="30"/>
  </w:num>
  <w:num w:numId="3" w16cid:durableId="890725674">
    <w:abstractNumId w:val="20"/>
  </w:num>
  <w:num w:numId="4" w16cid:durableId="748159009">
    <w:abstractNumId w:val="12"/>
  </w:num>
  <w:num w:numId="5" w16cid:durableId="1764646313">
    <w:abstractNumId w:val="26"/>
  </w:num>
  <w:num w:numId="6" w16cid:durableId="2079940783">
    <w:abstractNumId w:val="22"/>
  </w:num>
  <w:num w:numId="7" w16cid:durableId="335815680">
    <w:abstractNumId w:val="16"/>
  </w:num>
  <w:num w:numId="8" w16cid:durableId="1413308192">
    <w:abstractNumId w:val="21"/>
  </w:num>
  <w:num w:numId="9" w16cid:durableId="1244952406">
    <w:abstractNumId w:val="36"/>
  </w:num>
  <w:num w:numId="10" w16cid:durableId="1405377542">
    <w:abstractNumId w:val="33"/>
  </w:num>
  <w:num w:numId="11" w16cid:durableId="1142425831">
    <w:abstractNumId w:val="14"/>
  </w:num>
  <w:num w:numId="12" w16cid:durableId="1203716071">
    <w:abstractNumId w:val="6"/>
  </w:num>
  <w:num w:numId="13" w16cid:durableId="1746607933">
    <w:abstractNumId w:val="7"/>
  </w:num>
  <w:num w:numId="14" w16cid:durableId="1846749596">
    <w:abstractNumId w:val="27"/>
  </w:num>
  <w:num w:numId="15" w16cid:durableId="1661809180">
    <w:abstractNumId w:val="13"/>
  </w:num>
  <w:num w:numId="16" w16cid:durableId="2001497418">
    <w:abstractNumId w:val="39"/>
  </w:num>
  <w:num w:numId="17" w16cid:durableId="2069037651">
    <w:abstractNumId w:val="0"/>
  </w:num>
  <w:num w:numId="18" w16cid:durableId="1679652430">
    <w:abstractNumId w:val="1"/>
  </w:num>
  <w:num w:numId="19" w16cid:durableId="1471558028">
    <w:abstractNumId w:val="9"/>
  </w:num>
  <w:num w:numId="20" w16cid:durableId="1326200833">
    <w:abstractNumId w:val="25"/>
  </w:num>
  <w:num w:numId="21" w16cid:durableId="650407551">
    <w:abstractNumId w:val="37"/>
  </w:num>
  <w:num w:numId="22" w16cid:durableId="153882153">
    <w:abstractNumId w:val="19"/>
  </w:num>
  <w:num w:numId="23" w16cid:durableId="951474939">
    <w:abstractNumId w:val="11"/>
  </w:num>
  <w:num w:numId="24" w16cid:durableId="968826897">
    <w:abstractNumId w:val="31"/>
  </w:num>
  <w:num w:numId="25" w16cid:durableId="997271078">
    <w:abstractNumId w:val="5"/>
  </w:num>
  <w:num w:numId="26" w16cid:durableId="717166605">
    <w:abstractNumId w:val="3"/>
  </w:num>
  <w:num w:numId="27" w16cid:durableId="1586646935">
    <w:abstractNumId w:val="2"/>
  </w:num>
  <w:num w:numId="28" w16cid:durableId="889994929">
    <w:abstractNumId w:val="23"/>
  </w:num>
  <w:num w:numId="29" w16cid:durableId="2039773198">
    <w:abstractNumId w:val="29"/>
  </w:num>
  <w:num w:numId="30" w16cid:durableId="957570559">
    <w:abstractNumId w:val="35"/>
  </w:num>
  <w:num w:numId="31" w16cid:durableId="577834697">
    <w:abstractNumId w:val="34"/>
  </w:num>
  <w:num w:numId="32" w16cid:durableId="1820224752">
    <w:abstractNumId w:val="32"/>
  </w:num>
  <w:num w:numId="33" w16cid:durableId="1266578141">
    <w:abstractNumId w:val="17"/>
  </w:num>
  <w:num w:numId="34" w16cid:durableId="540361893">
    <w:abstractNumId w:val="10"/>
  </w:num>
  <w:num w:numId="35" w16cid:durableId="23596773">
    <w:abstractNumId w:val="4"/>
  </w:num>
  <w:num w:numId="36" w16cid:durableId="1414011146">
    <w:abstractNumId w:val="18"/>
  </w:num>
  <w:num w:numId="37" w16cid:durableId="857547502">
    <w:abstractNumId w:val="15"/>
  </w:num>
  <w:num w:numId="38" w16cid:durableId="89745103">
    <w:abstractNumId w:val="24"/>
  </w:num>
  <w:num w:numId="39" w16cid:durableId="1301617135">
    <w:abstractNumId w:val="8"/>
  </w:num>
  <w:num w:numId="40" w16cid:durableId="155106982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851"/>
    <w:rsid w:val="00001087"/>
    <w:rsid w:val="00005D23"/>
    <w:rsid w:val="00006646"/>
    <w:rsid w:val="00007170"/>
    <w:rsid w:val="00023BDF"/>
    <w:rsid w:val="00023E47"/>
    <w:rsid w:val="0002610C"/>
    <w:rsid w:val="0002665C"/>
    <w:rsid w:val="000304B6"/>
    <w:rsid w:val="00030DC5"/>
    <w:rsid w:val="0003106F"/>
    <w:rsid w:val="00036184"/>
    <w:rsid w:val="00036C47"/>
    <w:rsid w:val="000410F1"/>
    <w:rsid w:val="00042AD0"/>
    <w:rsid w:val="000437CE"/>
    <w:rsid w:val="0004439C"/>
    <w:rsid w:val="00050B0A"/>
    <w:rsid w:val="00051FD0"/>
    <w:rsid w:val="00052F48"/>
    <w:rsid w:val="000543F1"/>
    <w:rsid w:val="00054CD4"/>
    <w:rsid w:val="00065DB3"/>
    <w:rsid w:val="00066178"/>
    <w:rsid w:val="000674A8"/>
    <w:rsid w:val="00067706"/>
    <w:rsid w:val="000773E9"/>
    <w:rsid w:val="00077953"/>
    <w:rsid w:val="000817FD"/>
    <w:rsid w:val="00090761"/>
    <w:rsid w:val="00094144"/>
    <w:rsid w:val="000942F6"/>
    <w:rsid w:val="00096457"/>
    <w:rsid w:val="000973DF"/>
    <w:rsid w:val="000A0712"/>
    <w:rsid w:val="000A24D7"/>
    <w:rsid w:val="000A442D"/>
    <w:rsid w:val="000A5DFD"/>
    <w:rsid w:val="000B07B0"/>
    <w:rsid w:val="000B16EF"/>
    <w:rsid w:val="000B1EFB"/>
    <w:rsid w:val="000B2B7F"/>
    <w:rsid w:val="000B4A3B"/>
    <w:rsid w:val="000B521A"/>
    <w:rsid w:val="000C04E4"/>
    <w:rsid w:val="000C2C56"/>
    <w:rsid w:val="000C32F3"/>
    <w:rsid w:val="000C6357"/>
    <w:rsid w:val="000D1DC6"/>
    <w:rsid w:val="000D3868"/>
    <w:rsid w:val="000D6B0F"/>
    <w:rsid w:val="000E711A"/>
    <w:rsid w:val="000E7D04"/>
    <w:rsid w:val="000F4412"/>
    <w:rsid w:val="000F5D59"/>
    <w:rsid w:val="000F6640"/>
    <w:rsid w:val="000F6F81"/>
    <w:rsid w:val="001022CB"/>
    <w:rsid w:val="00102844"/>
    <w:rsid w:val="001028DD"/>
    <w:rsid w:val="00102B9E"/>
    <w:rsid w:val="00105CA2"/>
    <w:rsid w:val="00106F3F"/>
    <w:rsid w:val="00110557"/>
    <w:rsid w:val="001138CE"/>
    <w:rsid w:val="001154D1"/>
    <w:rsid w:val="00121975"/>
    <w:rsid w:val="00122ACC"/>
    <w:rsid w:val="001244CD"/>
    <w:rsid w:val="0012759A"/>
    <w:rsid w:val="001275B5"/>
    <w:rsid w:val="00127C79"/>
    <w:rsid w:val="0013317F"/>
    <w:rsid w:val="00133D51"/>
    <w:rsid w:val="00136B15"/>
    <w:rsid w:val="00141C6E"/>
    <w:rsid w:val="00143A36"/>
    <w:rsid w:val="00145349"/>
    <w:rsid w:val="00146956"/>
    <w:rsid w:val="00152FCB"/>
    <w:rsid w:val="00153820"/>
    <w:rsid w:val="00157DFD"/>
    <w:rsid w:val="00161DEC"/>
    <w:rsid w:val="001624DA"/>
    <w:rsid w:val="00162E2C"/>
    <w:rsid w:val="00186AFD"/>
    <w:rsid w:val="00187CCE"/>
    <w:rsid w:val="00190E33"/>
    <w:rsid w:val="00191775"/>
    <w:rsid w:val="00195198"/>
    <w:rsid w:val="00195C8B"/>
    <w:rsid w:val="001973C1"/>
    <w:rsid w:val="001A290C"/>
    <w:rsid w:val="001A5ABA"/>
    <w:rsid w:val="001A6D9A"/>
    <w:rsid w:val="001B02E8"/>
    <w:rsid w:val="001B28AA"/>
    <w:rsid w:val="001C2A9F"/>
    <w:rsid w:val="001C2F1E"/>
    <w:rsid w:val="001C4707"/>
    <w:rsid w:val="001C60A3"/>
    <w:rsid w:val="001C7D7C"/>
    <w:rsid w:val="001D2BA6"/>
    <w:rsid w:val="001D34D5"/>
    <w:rsid w:val="001D4A2E"/>
    <w:rsid w:val="001D4EB6"/>
    <w:rsid w:val="001D50DC"/>
    <w:rsid w:val="001E0463"/>
    <w:rsid w:val="001E4463"/>
    <w:rsid w:val="001E4BF3"/>
    <w:rsid w:val="001F570B"/>
    <w:rsid w:val="00203DF5"/>
    <w:rsid w:val="002105C6"/>
    <w:rsid w:val="00210B4E"/>
    <w:rsid w:val="00210DD8"/>
    <w:rsid w:val="00213A14"/>
    <w:rsid w:val="0021523A"/>
    <w:rsid w:val="00217F82"/>
    <w:rsid w:val="00220E7B"/>
    <w:rsid w:val="002226ED"/>
    <w:rsid w:val="002245B5"/>
    <w:rsid w:val="002356CF"/>
    <w:rsid w:val="00240EE4"/>
    <w:rsid w:val="002434BB"/>
    <w:rsid w:val="002437A4"/>
    <w:rsid w:val="00247491"/>
    <w:rsid w:val="00247515"/>
    <w:rsid w:val="00247AC8"/>
    <w:rsid w:val="00250E8E"/>
    <w:rsid w:val="00251F7F"/>
    <w:rsid w:val="00252F88"/>
    <w:rsid w:val="00254137"/>
    <w:rsid w:val="00261769"/>
    <w:rsid w:val="00263B0B"/>
    <w:rsid w:val="0026527A"/>
    <w:rsid w:val="00265E01"/>
    <w:rsid w:val="002675CA"/>
    <w:rsid w:val="00275C05"/>
    <w:rsid w:val="00277C1D"/>
    <w:rsid w:val="00280D51"/>
    <w:rsid w:val="00285018"/>
    <w:rsid w:val="00285B66"/>
    <w:rsid w:val="00285F1A"/>
    <w:rsid w:val="00286417"/>
    <w:rsid w:val="00287424"/>
    <w:rsid w:val="00293CD6"/>
    <w:rsid w:val="002967B3"/>
    <w:rsid w:val="002A6F8D"/>
    <w:rsid w:val="002B1E2B"/>
    <w:rsid w:val="002B6BD4"/>
    <w:rsid w:val="002C054A"/>
    <w:rsid w:val="002C08BE"/>
    <w:rsid w:val="002C4197"/>
    <w:rsid w:val="002C506D"/>
    <w:rsid w:val="002D3296"/>
    <w:rsid w:val="002D707C"/>
    <w:rsid w:val="002D79FD"/>
    <w:rsid w:val="002E3851"/>
    <w:rsid w:val="002E569F"/>
    <w:rsid w:val="002E6A28"/>
    <w:rsid w:val="002E73CB"/>
    <w:rsid w:val="002F29F3"/>
    <w:rsid w:val="002F44BC"/>
    <w:rsid w:val="002F5052"/>
    <w:rsid w:val="002F604C"/>
    <w:rsid w:val="002F6648"/>
    <w:rsid w:val="002F7E03"/>
    <w:rsid w:val="003014E4"/>
    <w:rsid w:val="00302CFD"/>
    <w:rsid w:val="00304A22"/>
    <w:rsid w:val="003053CC"/>
    <w:rsid w:val="00311314"/>
    <w:rsid w:val="00312125"/>
    <w:rsid w:val="00313CF7"/>
    <w:rsid w:val="003142CA"/>
    <w:rsid w:val="003145D3"/>
    <w:rsid w:val="003176BA"/>
    <w:rsid w:val="00321BD5"/>
    <w:rsid w:val="00322EE6"/>
    <w:rsid w:val="0032576D"/>
    <w:rsid w:val="003317F2"/>
    <w:rsid w:val="00331FB7"/>
    <w:rsid w:val="00332020"/>
    <w:rsid w:val="00332A9D"/>
    <w:rsid w:val="00335408"/>
    <w:rsid w:val="00335751"/>
    <w:rsid w:val="00335BE3"/>
    <w:rsid w:val="0034003D"/>
    <w:rsid w:val="00342057"/>
    <w:rsid w:val="003449C3"/>
    <w:rsid w:val="0034502F"/>
    <w:rsid w:val="00345584"/>
    <w:rsid w:val="00347640"/>
    <w:rsid w:val="00351908"/>
    <w:rsid w:val="003564D2"/>
    <w:rsid w:val="00356856"/>
    <w:rsid w:val="00356F43"/>
    <w:rsid w:val="00362A26"/>
    <w:rsid w:val="00366816"/>
    <w:rsid w:val="00366C0C"/>
    <w:rsid w:val="00372050"/>
    <w:rsid w:val="00375A7B"/>
    <w:rsid w:val="00380290"/>
    <w:rsid w:val="00380C9F"/>
    <w:rsid w:val="00381137"/>
    <w:rsid w:val="00381534"/>
    <w:rsid w:val="003817BE"/>
    <w:rsid w:val="00383B82"/>
    <w:rsid w:val="0038401B"/>
    <w:rsid w:val="00385CB8"/>
    <w:rsid w:val="003861F1"/>
    <w:rsid w:val="0039000C"/>
    <w:rsid w:val="003956F5"/>
    <w:rsid w:val="00396738"/>
    <w:rsid w:val="00397183"/>
    <w:rsid w:val="003A1AA5"/>
    <w:rsid w:val="003A1E0D"/>
    <w:rsid w:val="003A22B0"/>
    <w:rsid w:val="003A6581"/>
    <w:rsid w:val="003A67AA"/>
    <w:rsid w:val="003B2A03"/>
    <w:rsid w:val="003B30A6"/>
    <w:rsid w:val="003B59D1"/>
    <w:rsid w:val="003B698E"/>
    <w:rsid w:val="003C3B48"/>
    <w:rsid w:val="003C4676"/>
    <w:rsid w:val="003C7704"/>
    <w:rsid w:val="003C770C"/>
    <w:rsid w:val="003D652F"/>
    <w:rsid w:val="003D7D42"/>
    <w:rsid w:val="003E18F5"/>
    <w:rsid w:val="003E23E8"/>
    <w:rsid w:val="003E267B"/>
    <w:rsid w:val="003E5842"/>
    <w:rsid w:val="003E6780"/>
    <w:rsid w:val="003E6CA8"/>
    <w:rsid w:val="003E75AF"/>
    <w:rsid w:val="003F5083"/>
    <w:rsid w:val="003F53DB"/>
    <w:rsid w:val="003F65A0"/>
    <w:rsid w:val="00400D6E"/>
    <w:rsid w:val="00401E3D"/>
    <w:rsid w:val="00401FE9"/>
    <w:rsid w:val="00403980"/>
    <w:rsid w:val="00404F2A"/>
    <w:rsid w:val="00405C02"/>
    <w:rsid w:val="00406EE4"/>
    <w:rsid w:val="00412F38"/>
    <w:rsid w:val="00414BCC"/>
    <w:rsid w:val="004204A9"/>
    <w:rsid w:val="004218D5"/>
    <w:rsid w:val="0042451E"/>
    <w:rsid w:val="00425F3D"/>
    <w:rsid w:val="00431F3E"/>
    <w:rsid w:val="00433975"/>
    <w:rsid w:val="00433D87"/>
    <w:rsid w:val="00434C34"/>
    <w:rsid w:val="00435256"/>
    <w:rsid w:val="00436B36"/>
    <w:rsid w:val="00440423"/>
    <w:rsid w:val="004409D7"/>
    <w:rsid w:val="00442603"/>
    <w:rsid w:val="0044437F"/>
    <w:rsid w:val="00447BF5"/>
    <w:rsid w:val="00451C1D"/>
    <w:rsid w:val="00455E82"/>
    <w:rsid w:val="00457445"/>
    <w:rsid w:val="004608A0"/>
    <w:rsid w:val="0046228A"/>
    <w:rsid w:val="00462DB5"/>
    <w:rsid w:val="00466827"/>
    <w:rsid w:val="00472164"/>
    <w:rsid w:val="0047664B"/>
    <w:rsid w:val="00482106"/>
    <w:rsid w:val="00484E3F"/>
    <w:rsid w:val="0048769B"/>
    <w:rsid w:val="0049130D"/>
    <w:rsid w:val="0049165C"/>
    <w:rsid w:val="00495E3F"/>
    <w:rsid w:val="00497C48"/>
    <w:rsid w:val="004A0822"/>
    <w:rsid w:val="004A3015"/>
    <w:rsid w:val="004A3138"/>
    <w:rsid w:val="004A36EA"/>
    <w:rsid w:val="004A3FBE"/>
    <w:rsid w:val="004A4403"/>
    <w:rsid w:val="004A4C8C"/>
    <w:rsid w:val="004A4E2F"/>
    <w:rsid w:val="004A60B8"/>
    <w:rsid w:val="004B2D74"/>
    <w:rsid w:val="004B4A3C"/>
    <w:rsid w:val="004B5E69"/>
    <w:rsid w:val="004C0A2D"/>
    <w:rsid w:val="004C0B8A"/>
    <w:rsid w:val="004C0F53"/>
    <w:rsid w:val="004C5D20"/>
    <w:rsid w:val="004D0A95"/>
    <w:rsid w:val="004D273A"/>
    <w:rsid w:val="004D4320"/>
    <w:rsid w:val="004D7A41"/>
    <w:rsid w:val="004E2DCD"/>
    <w:rsid w:val="004E4C65"/>
    <w:rsid w:val="004E5FA8"/>
    <w:rsid w:val="004E7C32"/>
    <w:rsid w:val="004F3A0D"/>
    <w:rsid w:val="004F5519"/>
    <w:rsid w:val="004F5D6D"/>
    <w:rsid w:val="00506CFE"/>
    <w:rsid w:val="0051063F"/>
    <w:rsid w:val="005113D5"/>
    <w:rsid w:val="00512428"/>
    <w:rsid w:val="0051243C"/>
    <w:rsid w:val="005163E2"/>
    <w:rsid w:val="005171DC"/>
    <w:rsid w:val="005202C9"/>
    <w:rsid w:val="0052399A"/>
    <w:rsid w:val="00527188"/>
    <w:rsid w:val="00527481"/>
    <w:rsid w:val="00527D43"/>
    <w:rsid w:val="00530C6C"/>
    <w:rsid w:val="005332F5"/>
    <w:rsid w:val="00533850"/>
    <w:rsid w:val="00534BAC"/>
    <w:rsid w:val="005370B0"/>
    <w:rsid w:val="00537CC8"/>
    <w:rsid w:val="00542D31"/>
    <w:rsid w:val="00544D36"/>
    <w:rsid w:val="00553A97"/>
    <w:rsid w:val="005542BA"/>
    <w:rsid w:val="005542E3"/>
    <w:rsid w:val="00557335"/>
    <w:rsid w:val="00560C3E"/>
    <w:rsid w:val="00560C6A"/>
    <w:rsid w:val="00562120"/>
    <w:rsid w:val="00562266"/>
    <w:rsid w:val="005634F4"/>
    <w:rsid w:val="0056361F"/>
    <w:rsid w:val="0057224A"/>
    <w:rsid w:val="00572343"/>
    <w:rsid w:val="005724A9"/>
    <w:rsid w:val="00572F6E"/>
    <w:rsid w:val="00581CED"/>
    <w:rsid w:val="00582426"/>
    <w:rsid w:val="00583570"/>
    <w:rsid w:val="00591F91"/>
    <w:rsid w:val="00594193"/>
    <w:rsid w:val="005959C6"/>
    <w:rsid w:val="00597673"/>
    <w:rsid w:val="005A06F7"/>
    <w:rsid w:val="005A2E39"/>
    <w:rsid w:val="005A31A0"/>
    <w:rsid w:val="005A72DE"/>
    <w:rsid w:val="005A757D"/>
    <w:rsid w:val="005B081F"/>
    <w:rsid w:val="005B1EB4"/>
    <w:rsid w:val="005B2A19"/>
    <w:rsid w:val="005B42E4"/>
    <w:rsid w:val="005B475B"/>
    <w:rsid w:val="005B612F"/>
    <w:rsid w:val="005C044E"/>
    <w:rsid w:val="005C23B7"/>
    <w:rsid w:val="005C443B"/>
    <w:rsid w:val="005C6B28"/>
    <w:rsid w:val="005D050C"/>
    <w:rsid w:val="005D138D"/>
    <w:rsid w:val="005D25F5"/>
    <w:rsid w:val="005D37F9"/>
    <w:rsid w:val="005D6575"/>
    <w:rsid w:val="005E0338"/>
    <w:rsid w:val="005E794A"/>
    <w:rsid w:val="005F3891"/>
    <w:rsid w:val="005F3AB5"/>
    <w:rsid w:val="005F4429"/>
    <w:rsid w:val="005F5E96"/>
    <w:rsid w:val="005F7260"/>
    <w:rsid w:val="0060240A"/>
    <w:rsid w:val="00603F3C"/>
    <w:rsid w:val="00605DBD"/>
    <w:rsid w:val="00611CA9"/>
    <w:rsid w:val="00612577"/>
    <w:rsid w:val="006129A2"/>
    <w:rsid w:val="00615FF5"/>
    <w:rsid w:val="00621270"/>
    <w:rsid w:val="00621B9E"/>
    <w:rsid w:val="00621D94"/>
    <w:rsid w:val="006221BE"/>
    <w:rsid w:val="00622227"/>
    <w:rsid w:val="006248F8"/>
    <w:rsid w:val="00624AEC"/>
    <w:rsid w:val="00630176"/>
    <w:rsid w:val="006332FB"/>
    <w:rsid w:val="00635606"/>
    <w:rsid w:val="00640F94"/>
    <w:rsid w:val="00644B33"/>
    <w:rsid w:val="006540E1"/>
    <w:rsid w:val="0065604D"/>
    <w:rsid w:val="006562EA"/>
    <w:rsid w:val="00656F89"/>
    <w:rsid w:val="00662B03"/>
    <w:rsid w:val="00664BFD"/>
    <w:rsid w:val="006704FE"/>
    <w:rsid w:val="006716EB"/>
    <w:rsid w:val="00672979"/>
    <w:rsid w:val="00675AF8"/>
    <w:rsid w:val="00676F46"/>
    <w:rsid w:val="00677632"/>
    <w:rsid w:val="00677E32"/>
    <w:rsid w:val="0068720A"/>
    <w:rsid w:val="006935B6"/>
    <w:rsid w:val="0069366B"/>
    <w:rsid w:val="00694071"/>
    <w:rsid w:val="00695538"/>
    <w:rsid w:val="00695800"/>
    <w:rsid w:val="00697FEB"/>
    <w:rsid w:val="006A291D"/>
    <w:rsid w:val="006A56AC"/>
    <w:rsid w:val="006A72F0"/>
    <w:rsid w:val="006B0D2D"/>
    <w:rsid w:val="006B20DD"/>
    <w:rsid w:val="006B25D9"/>
    <w:rsid w:val="006B50D7"/>
    <w:rsid w:val="006B6FB6"/>
    <w:rsid w:val="006C14C4"/>
    <w:rsid w:val="006C1E52"/>
    <w:rsid w:val="006C24BC"/>
    <w:rsid w:val="006C556D"/>
    <w:rsid w:val="006C698C"/>
    <w:rsid w:val="006D1D9F"/>
    <w:rsid w:val="006D1F6F"/>
    <w:rsid w:val="006D7FF9"/>
    <w:rsid w:val="006E315C"/>
    <w:rsid w:val="006E3AB6"/>
    <w:rsid w:val="006E3EE2"/>
    <w:rsid w:val="006E4729"/>
    <w:rsid w:val="006E4B88"/>
    <w:rsid w:val="006E4F7B"/>
    <w:rsid w:val="006F1A41"/>
    <w:rsid w:val="006F1D48"/>
    <w:rsid w:val="006F69E2"/>
    <w:rsid w:val="00700C40"/>
    <w:rsid w:val="00700E19"/>
    <w:rsid w:val="00702541"/>
    <w:rsid w:val="00703231"/>
    <w:rsid w:val="0070426B"/>
    <w:rsid w:val="007108B8"/>
    <w:rsid w:val="007112BF"/>
    <w:rsid w:val="0071303D"/>
    <w:rsid w:val="00717BEC"/>
    <w:rsid w:val="00722961"/>
    <w:rsid w:val="00727AC2"/>
    <w:rsid w:val="00727ED2"/>
    <w:rsid w:val="00737FB7"/>
    <w:rsid w:val="0074015B"/>
    <w:rsid w:val="007404B6"/>
    <w:rsid w:val="007415F8"/>
    <w:rsid w:val="00744394"/>
    <w:rsid w:val="007454D3"/>
    <w:rsid w:val="00745C34"/>
    <w:rsid w:val="00745D4F"/>
    <w:rsid w:val="007514CC"/>
    <w:rsid w:val="007526BE"/>
    <w:rsid w:val="00754D6B"/>
    <w:rsid w:val="00755764"/>
    <w:rsid w:val="00762EC1"/>
    <w:rsid w:val="0077143B"/>
    <w:rsid w:val="00771C26"/>
    <w:rsid w:val="00771F58"/>
    <w:rsid w:val="00774D2A"/>
    <w:rsid w:val="00781BD6"/>
    <w:rsid w:val="007869C4"/>
    <w:rsid w:val="00787E0F"/>
    <w:rsid w:val="00790347"/>
    <w:rsid w:val="00792827"/>
    <w:rsid w:val="00792FF3"/>
    <w:rsid w:val="00796E42"/>
    <w:rsid w:val="00797C65"/>
    <w:rsid w:val="007A0BAD"/>
    <w:rsid w:val="007A21EE"/>
    <w:rsid w:val="007A3A1D"/>
    <w:rsid w:val="007A45FB"/>
    <w:rsid w:val="007A466B"/>
    <w:rsid w:val="007A5503"/>
    <w:rsid w:val="007A6801"/>
    <w:rsid w:val="007B2D01"/>
    <w:rsid w:val="007B37BF"/>
    <w:rsid w:val="007C1E26"/>
    <w:rsid w:val="007C24F0"/>
    <w:rsid w:val="007C40E4"/>
    <w:rsid w:val="007C4741"/>
    <w:rsid w:val="007C5F4A"/>
    <w:rsid w:val="007C63D5"/>
    <w:rsid w:val="007C65F5"/>
    <w:rsid w:val="007D187E"/>
    <w:rsid w:val="007D5E38"/>
    <w:rsid w:val="007E5568"/>
    <w:rsid w:val="007E6551"/>
    <w:rsid w:val="007F11A4"/>
    <w:rsid w:val="007F12BF"/>
    <w:rsid w:val="007F6830"/>
    <w:rsid w:val="00800FCC"/>
    <w:rsid w:val="00801651"/>
    <w:rsid w:val="00803925"/>
    <w:rsid w:val="008049BA"/>
    <w:rsid w:val="00804D18"/>
    <w:rsid w:val="00806364"/>
    <w:rsid w:val="00807BA8"/>
    <w:rsid w:val="008160CE"/>
    <w:rsid w:val="008207E0"/>
    <w:rsid w:val="00820991"/>
    <w:rsid w:val="00820CDF"/>
    <w:rsid w:val="008240AE"/>
    <w:rsid w:val="00826D9B"/>
    <w:rsid w:val="00826DD5"/>
    <w:rsid w:val="008351DD"/>
    <w:rsid w:val="00840BC5"/>
    <w:rsid w:val="00840CCE"/>
    <w:rsid w:val="00845B06"/>
    <w:rsid w:val="00845B71"/>
    <w:rsid w:val="00846CB5"/>
    <w:rsid w:val="0084743C"/>
    <w:rsid w:val="00850E0D"/>
    <w:rsid w:val="0085558C"/>
    <w:rsid w:val="008556D7"/>
    <w:rsid w:val="008577FA"/>
    <w:rsid w:val="00860F4B"/>
    <w:rsid w:val="00860F62"/>
    <w:rsid w:val="008667B2"/>
    <w:rsid w:val="008703BA"/>
    <w:rsid w:val="008704B6"/>
    <w:rsid w:val="00873E4F"/>
    <w:rsid w:val="00876810"/>
    <w:rsid w:val="00880FFC"/>
    <w:rsid w:val="0088264E"/>
    <w:rsid w:val="00884F0B"/>
    <w:rsid w:val="00885596"/>
    <w:rsid w:val="00890D0F"/>
    <w:rsid w:val="00895FEB"/>
    <w:rsid w:val="00897E26"/>
    <w:rsid w:val="008A436A"/>
    <w:rsid w:val="008B3929"/>
    <w:rsid w:val="008B5AB2"/>
    <w:rsid w:val="008C0AE4"/>
    <w:rsid w:val="008C1419"/>
    <w:rsid w:val="008C1573"/>
    <w:rsid w:val="008C2FCA"/>
    <w:rsid w:val="008C3932"/>
    <w:rsid w:val="008C3E88"/>
    <w:rsid w:val="008C7EDD"/>
    <w:rsid w:val="008D14B0"/>
    <w:rsid w:val="008D15CE"/>
    <w:rsid w:val="008D18CD"/>
    <w:rsid w:val="008D2365"/>
    <w:rsid w:val="008D47D4"/>
    <w:rsid w:val="008D681E"/>
    <w:rsid w:val="008E54BE"/>
    <w:rsid w:val="008E5594"/>
    <w:rsid w:val="008E7136"/>
    <w:rsid w:val="008F178A"/>
    <w:rsid w:val="008F38B9"/>
    <w:rsid w:val="008F49B1"/>
    <w:rsid w:val="009000EB"/>
    <w:rsid w:val="00900834"/>
    <w:rsid w:val="00900F2C"/>
    <w:rsid w:val="009032D1"/>
    <w:rsid w:val="00903EED"/>
    <w:rsid w:val="00905A84"/>
    <w:rsid w:val="00910CC3"/>
    <w:rsid w:val="00910F9E"/>
    <w:rsid w:val="0091253C"/>
    <w:rsid w:val="00914D3A"/>
    <w:rsid w:val="00921B18"/>
    <w:rsid w:val="00923F8B"/>
    <w:rsid w:val="00927BB9"/>
    <w:rsid w:val="009323E3"/>
    <w:rsid w:val="0093343B"/>
    <w:rsid w:val="00933881"/>
    <w:rsid w:val="00937B10"/>
    <w:rsid w:val="009406DB"/>
    <w:rsid w:val="00940E24"/>
    <w:rsid w:val="00943CF2"/>
    <w:rsid w:val="0094446D"/>
    <w:rsid w:val="009453E8"/>
    <w:rsid w:val="00945641"/>
    <w:rsid w:val="00945ED3"/>
    <w:rsid w:val="00945FE8"/>
    <w:rsid w:val="00946602"/>
    <w:rsid w:val="00946A44"/>
    <w:rsid w:val="009501C2"/>
    <w:rsid w:val="0095094D"/>
    <w:rsid w:val="00951036"/>
    <w:rsid w:val="009578EA"/>
    <w:rsid w:val="00957DEB"/>
    <w:rsid w:val="0096122D"/>
    <w:rsid w:val="00961A4E"/>
    <w:rsid w:val="0096618E"/>
    <w:rsid w:val="00967E0D"/>
    <w:rsid w:val="0097111A"/>
    <w:rsid w:val="009737AC"/>
    <w:rsid w:val="009753A5"/>
    <w:rsid w:val="00976917"/>
    <w:rsid w:val="00977A5D"/>
    <w:rsid w:val="009828EA"/>
    <w:rsid w:val="00984101"/>
    <w:rsid w:val="0098546E"/>
    <w:rsid w:val="00985B09"/>
    <w:rsid w:val="00986F6B"/>
    <w:rsid w:val="009925E6"/>
    <w:rsid w:val="009A14CC"/>
    <w:rsid w:val="009A1589"/>
    <w:rsid w:val="009A1794"/>
    <w:rsid w:val="009A46FB"/>
    <w:rsid w:val="009A5B94"/>
    <w:rsid w:val="009A7AAA"/>
    <w:rsid w:val="009B355D"/>
    <w:rsid w:val="009B3991"/>
    <w:rsid w:val="009B5B10"/>
    <w:rsid w:val="009B6420"/>
    <w:rsid w:val="009C0776"/>
    <w:rsid w:val="009C2125"/>
    <w:rsid w:val="009C4440"/>
    <w:rsid w:val="009C684C"/>
    <w:rsid w:val="009D28BF"/>
    <w:rsid w:val="009D4238"/>
    <w:rsid w:val="009D6D40"/>
    <w:rsid w:val="009E1FC9"/>
    <w:rsid w:val="009E295C"/>
    <w:rsid w:val="009E41A1"/>
    <w:rsid w:val="009F19A4"/>
    <w:rsid w:val="009F31EE"/>
    <w:rsid w:val="00A04F7B"/>
    <w:rsid w:val="00A10BD6"/>
    <w:rsid w:val="00A11985"/>
    <w:rsid w:val="00A11DE9"/>
    <w:rsid w:val="00A12295"/>
    <w:rsid w:val="00A148EC"/>
    <w:rsid w:val="00A225C3"/>
    <w:rsid w:val="00A22D55"/>
    <w:rsid w:val="00A22EE2"/>
    <w:rsid w:val="00A2703D"/>
    <w:rsid w:val="00A31002"/>
    <w:rsid w:val="00A31976"/>
    <w:rsid w:val="00A337CD"/>
    <w:rsid w:val="00A354D5"/>
    <w:rsid w:val="00A35C14"/>
    <w:rsid w:val="00A367E3"/>
    <w:rsid w:val="00A4001C"/>
    <w:rsid w:val="00A429B4"/>
    <w:rsid w:val="00A432BE"/>
    <w:rsid w:val="00A43CDF"/>
    <w:rsid w:val="00A45231"/>
    <w:rsid w:val="00A45305"/>
    <w:rsid w:val="00A45320"/>
    <w:rsid w:val="00A45884"/>
    <w:rsid w:val="00A475E3"/>
    <w:rsid w:val="00A47D4E"/>
    <w:rsid w:val="00A47F18"/>
    <w:rsid w:val="00A547F1"/>
    <w:rsid w:val="00A55079"/>
    <w:rsid w:val="00A61905"/>
    <w:rsid w:val="00A61F67"/>
    <w:rsid w:val="00A643FD"/>
    <w:rsid w:val="00A65783"/>
    <w:rsid w:val="00A67582"/>
    <w:rsid w:val="00A71026"/>
    <w:rsid w:val="00A73DC5"/>
    <w:rsid w:val="00A75FBE"/>
    <w:rsid w:val="00A77FF8"/>
    <w:rsid w:val="00A81E7B"/>
    <w:rsid w:val="00A843B6"/>
    <w:rsid w:val="00A85081"/>
    <w:rsid w:val="00A878EE"/>
    <w:rsid w:val="00A92BB7"/>
    <w:rsid w:val="00A957C3"/>
    <w:rsid w:val="00A96B3B"/>
    <w:rsid w:val="00A97374"/>
    <w:rsid w:val="00AA49F3"/>
    <w:rsid w:val="00AA58E8"/>
    <w:rsid w:val="00AA5AAC"/>
    <w:rsid w:val="00AB3165"/>
    <w:rsid w:val="00AB53AA"/>
    <w:rsid w:val="00AB608F"/>
    <w:rsid w:val="00AC343E"/>
    <w:rsid w:val="00AC6C83"/>
    <w:rsid w:val="00AD1472"/>
    <w:rsid w:val="00AD2AD9"/>
    <w:rsid w:val="00AD3C51"/>
    <w:rsid w:val="00AD3FFE"/>
    <w:rsid w:val="00AD54D7"/>
    <w:rsid w:val="00AD713D"/>
    <w:rsid w:val="00AE1278"/>
    <w:rsid w:val="00AE664E"/>
    <w:rsid w:val="00AF0A7B"/>
    <w:rsid w:val="00AF57D1"/>
    <w:rsid w:val="00AF582B"/>
    <w:rsid w:val="00AF7156"/>
    <w:rsid w:val="00B021CC"/>
    <w:rsid w:val="00B02C3B"/>
    <w:rsid w:val="00B03631"/>
    <w:rsid w:val="00B11B12"/>
    <w:rsid w:val="00B1385C"/>
    <w:rsid w:val="00B138E0"/>
    <w:rsid w:val="00B17003"/>
    <w:rsid w:val="00B17E54"/>
    <w:rsid w:val="00B25961"/>
    <w:rsid w:val="00B25A0A"/>
    <w:rsid w:val="00B30C81"/>
    <w:rsid w:val="00B30D97"/>
    <w:rsid w:val="00B314C1"/>
    <w:rsid w:val="00B3245A"/>
    <w:rsid w:val="00B3280E"/>
    <w:rsid w:val="00B32A99"/>
    <w:rsid w:val="00B3398B"/>
    <w:rsid w:val="00B4265A"/>
    <w:rsid w:val="00B47C73"/>
    <w:rsid w:val="00B56E1D"/>
    <w:rsid w:val="00B60B9A"/>
    <w:rsid w:val="00B6156E"/>
    <w:rsid w:val="00B61704"/>
    <w:rsid w:val="00B62086"/>
    <w:rsid w:val="00B6211E"/>
    <w:rsid w:val="00B6249C"/>
    <w:rsid w:val="00B6589F"/>
    <w:rsid w:val="00B72D97"/>
    <w:rsid w:val="00B734DC"/>
    <w:rsid w:val="00B737EF"/>
    <w:rsid w:val="00B740FA"/>
    <w:rsid w:val="00B750B5"/>
    <w:rsid w:val="00B8069C"/>
    <w:rsid w:val="00B80789"/>
    <w:rsid w:val="00B82035"/>
    <w:rsid w:val="00B83D2F"/>
    <w:rsid w:val="00B86CA3"/>
    <w:rsid w:val="00B91D1D"/>
    <w:rsid w:val="00B93C44"/>
    <w:rsid w:val="00B95292"/>
    <w:rsid w:val="00B95470"/>
    <w:rsid w:val="00B956D6"/>
    <w:rsid w:val="00B96206"/>
    <w:rsid w:val="00BA042A"/>
    <w:rsid w:val="00BA4E78"/>
    <w:rsid w:val="00BA6786"/>
    <w:rsid w:val="00BA6DBA"/>
    <w:rsid w:val="00BB0B1F"/>
    <w:rsid w:val="00BB4319"/>
    <w:rsid w:val="00BC1970"/>
    <w:rsid w:val="00BC2923"/>
    <w:rsid w:val="00BC321E"/>
    <w:rsid w:val="00BC365E"/>
    <w:rsid w:val="00BC479C"/>
    <w:rsid w:val="00BC4A72"/>
    <w:rsid w:val="00BC585C"/>
    <w:rsid w:val="00BC7501"/>
    <w:rsid w:val="00BD225C"/>
    <w:rsid w:val="00BD3866"/>
    <w:rsid w:val="00BD4267"/>
    <w:rsid w:val="00BD4C4C"/>
    <w:rsid w:val="00BD51FB"/>
    <w:rsid w:val="00BD7C84"/>
    <w:rsid w:val="00BE042B"/>
    <w:rsid w:val="00BE2B1A"/>
    <w:rsid w:val="00BE2FEC"/>
    <w:rsid w:val="00BE4A89"/>
    <w:rsid w:val="00BE4D3B"/>
    <w:rsid w:val="00BE5CC0"/>
    <w:rsid w:val="00BE6F89"/>
    <w:rsid w:val="00BF5119"/>
    <w:rsid w:val="00BF587C"/>
    <w:rsid w:val="00BF6F80"/>
    <w:rsid w:val="00BF736B"/>
    <w:rsid w:val="00C00D2B"/>
    <w:rsid w:val="00C00E72"/>
    <w:rsid w:val="00C017FA"/>
    <w:rsid w:val="00C06639"/>
    <w:rsid w:val="00C069A4"/>
    <w:rsid w:val="00C11995"/>
    <w:rsid w:val="00C176A2"/>
    <w:rsid w:val="00C176AE"/>
    <w:rsid w:val="00C2062B"/>
    <w:rsid w:val="00C20BB9"/>
    <w:rsid w:val="00C21C04"/>
    <w:rsid w:val="00C251A7"/>
    <w:rsid w:val="00C27AF8"/>
    <w:rsid w:val="00C31B69"/>
    <w:rsid w:val="00C34271"/>
    <w:rsid w:val="00C35350"/>
    <w:rsid w:val="00C35C41"/>
    <w:rsid w:val="00C4081D"/>
    <w:rsid w:val="00C43EA0"/>
    <w:rsid w:val="00C50117"/>
    <w:rsid w:val="00C50B03"/>
    <w:rsid w:val="00C512E3"/>
    <w:rsid w:val="00C51977"/>
    <w:rsid w:val="00C51D0B"/>
    <w:rsid w:val="00C51D68"/>
    <w:rsid w:val="00C554B8"/>
    <w:rsid w:val="00C577DA"/>
    <w:rsid w:val="00C60B01"/>
    <w:rsid w:val="00C615E5"/>
    <w:rsid w:val="00C61E11"/>
    <w:rsid w:val="00C65155"/>
    <w:rsid w:val="00C709D1"/>
    <w:rsid w:val="00C71592"/>
    <w:rsid w:val="00C76279"/>
    <w:rsid w:val="00C77603"/>
    <w:rsid w:val="00C77B14"/>
    <w:rsid w:val="00C82D35"/>
    <w:rsid w:val="00C83AB0"/>
    <w:rsid w:val="00C84C40"/>
    <w:rsid w:val="00C85B9A"/>
    <w:rsid w:val="00C8708A"/>
    <w:rsid w:val="00C916BF"/>
    <w:rsid w:val="00C93EA5"/>
    <w:rsid w:val="00C9459D"/>
    <w:rsid w:val="00CA37FA"/>
    <w:rsid w:val="00CA394E"/>
    <w:rsid w:val="00CA7822"/>
    <w:rsid w:val="00CA7CE8"/>
    <w:rsid w:val="00CB0291"/>
    <w:rsid w:val="00CC0D8E"/>
    <w:rsid w:val="00CC0EEA"/>
    <w:rsid w:val="00CC7771"/>
    <w:rsid w:val="00CD0A3C"/>
    <w:rsid w:val="00CD36F8"/>
    <w:rsid w:val="00CD3DD1"/>
    <w:rsid w:val="00CD47B5"/>
    <w:rsid w:val="00CD4F98"/>
    <w:rsid w:val="00CD5036"/>
    <w:rsid w:val="00CD5BC1"/>
    <w:rsid w:val="00CD5D80"/>
    <w:rsid w:val="00CD7AEC"/>
    <w:rsid w:val="00CE2A4A"/>
    <w:rsid w:val="00CE3566"/>
    <w:rsid w:val="00CE5591"/>
    <w:rsid w:val="00CF0ADA"/>
    <w:rsid w:val="00CF24BF"/>
    <w:rsid w:val="00CF3703"/>
    <w:rsid w:val="00CF4CEF"/>
    <w:rsid w:val="00CF5F7E"/>
    <w:rsid w:val="00CF6D0A"/>
    <w:rsid w:val="00D007E0"/>
    <w:rsid w:val="00D0310F"/>
    <w:rsid w:val="00D07A45"/>
    <w:rsid w:val="00D10ADA"/>
    <w:rsid w:val="00D1534E"/>
    <w:rsid w:val="00D15A09"/>
    <w:rsid w:val="00D15D48"/>
    <w:rsid w:val="00D212D9"/>
    <w:rsid w:val="00D21BF0"/>
    <w:rsid w:val="00D25501"/>
    <w:rsid w:val="00D25A08"/>
    <w:rsid w:val="00D25C91"/>
    <w:rsid w:val="00D25CF7"/>
    <w:rsid w:val="00D334F8"/>
    <w:rsid w:val="00D33B79"/>
    <w:rsid w:val="00D33EB3"/>
    <w:rsid w:val="00D349CF"/>
    <w:rsid w:val="00D3506C"/>
    <w:rsid w:val="00D3617F"/>
    <w:rsid w:val="00D36442"/>
    <w:rsid w:val="00D378C9"/>
    <w:rsid w:val="00D42595"/>
    <w:rsid w:val="00D51F0F"/>
    <w:rsid w:val="00D53599"/>
    <w:rsid w:val="00D56C06"/>
    <w:rsid w:val="00D60947"/>
    <w:rsid w:val="00D6099A"/>
    <w:rsid w:val="00D60AA2"/>
    <w:rsid w:val="00D655BC"/>
    <w:rsid w:val="00D656A8"/>
    <w:rsid w:val="00D66D4E"/>
    <w:rsid w:val="00D722F4"/>
    <w:rsid w:val="00D72D9D"/>
    <w:rsid w:val="00D743EC"/>
    <w:rsid w:val="00D745DD"/>
    <w:rsid w:val="00D746DA"/>
    <w:rsid w:val="00D74A27"/>
    <w:rsid w:val="00D8130F"/>
    <w:rsid w:val="00D90070"/>
    <w:rsid w:val="00D90C62"/>
    <w:rsid w:val="00D918DD"/>
    <w:rsid w:val="00D91997"/>
    <w:rsid w:val="00D91D28"/>
    <w:rsid w:val="00D92FB3"/>
    <w:rsid w:val="00D94AF1"/>
    <w:rsid w:val="00D95BB4"/>
    <w:rsid w:val="00D95F59"/>
    <w:rsid w:val="00DA21DC"/>
    <w:rsid w:val="00DA3017"/>
    <w:rsid w:val="00DA366C"/>
    <w:rsid w:val="00DA4E06"/>
    <w:rsid w:val="00DA6DC0"/>
    <w:rsid w:val="00DB1221"/>
    <w:rsid w:val="00DB1809"/>
    <w:rsid w:val="00DB1C73"/>
    <w:rsid w:val="00DB3C30"/>
    <w:rsid w:val="00DB64B5"/>
    <w:rsid w:val="00DB75D1"/>
    <w:rsid w:val="00DC2155"/>
    <w:rsid w:val="00DC39EB"/>
    <w:rsid w:val="00DC4B30"/>
    <w:rsid w:val="00DC4F5B"/>
    <w:rsid w:val="00DC56B5"/>
    <w:rsid w:val="00DD0097"/>
    <w:rsid w:val="00DD01D3"/>
    <w:rsid w:val="00DD084B"/>
    <w:rsid w:val="00DD0AF3"/>
    <w:rsid w:val="00DD30D0"/>
    <w:rsid w:val="00DD3DE5"/>
    <w:rsid w:val="00DD3DF7"/>
    <w:rsid w:val="00DD3FC3"/>
    <w:rsid w:val="00DD7799"/>
    <w:rsid w:val="00DE705C"/>
    <w:rsid w:val="00DF387B"/>
    <w:rsid w:val="00DF5FCD"/>
    <w:rsid w:val="00DF655A"/>
    <w:rsid w:val="00DF77FB"/>
    <w:rsid w:val="00E00049"/>
    <w:rsid w:val="00E00723"/>
    <w:rsid w:val="00E00FAD"/>
    <w:rsid w:val="00E06929"/>
    <w:rsid w:val="00E06C66"/>
    <w:rsid w:val="00E10908"/>
    <w:rsid w:val="00E15224"/>
    <w:rsid w:val="00E1578D"/>
    <w:rsid w:val="00E1793E"/>
    <w:rsid w:val="00E275B6"/>
    <w:rsid w:val="00E315D8"/>
    <w:rsid w:val="00E33292"/>
    <w:rsid w:val="00E35384"/>
    <w:rsid w:val="00E361CF"/>
    <w:rsid w:val="00E367CC"/>
    <w:rsid w:val="00E40AC4"/>
    <w:rsid w:val="00E43F02"/>
    <w:rsid w:val="00E47AB8"/>
    <w:rsid w:val="00E5318A"/>
    <w:rsid w:val="00E558D1"/>
    <w:rsid w:val="00E60D99"/>
    <w:rsid w:val="00E60F76"/>
    <w:rsid w:val="00E623C7"/>
    <w:rsid w:val="00E64550"/>
    <w:rsid w:val="00E66444"/>
    <w:rsid w:val="00E72FBB"/>
    <w:rsid w:val="00E73EC7"/>
    <w:rsid w:val="00E77562"/>
    <w:rsid w:val="00E8137B"/>
    <w:rsid w:val="00E82E37"/>
    <w:rsid w:val="00E83181"/>
    <w:rsid w:val="00E87000"/>
    <w:rsid w:val="00E92478"/>
    <w:rsid w:val="00E92D73"/>
    <w:rsid w:val="00E94AF7"/>
    <w:rsid w:val="00E971DA"/>
    <w:rsid w:val="00E97366"/>
    <w:rsid w:val="00EA117F"/>
    <w:rsid w:val="00EA1BBA"/>
    <w:rsid w:val="00EA273A"/>
    <w:rsid w:val="00EA32EF"/>
    <w:rsid w:val="00EA5FEB"/>
    <w:rsid w:val="00EA7B51"/>
    <w:rsid w:val="00EA7F36"/>
    <w:rsid w:val="00EB59D4"/>
    <w:rsid w:val="00EC01B7"/>
    <w:rsid w:val="00EC073D"/>
    <w:rsid w:val="00ED0C4F"/>
    <w:rsid w:val="00ED46F5"/>
    <w:rsid w:val="00ED6A99"/>
    <w:rsid w:val="00EE16E8"/>
    <w:rsid w:val="00EE1F4F"/>
    <w:rsid w:val="00EE3388"/>
    <w:rsid w:val="00EE5199"/>
    <w:rsid w:val="00EE6522"/>
    <w:rsid w:val="00EE7B78"/>
    <w:rsid w:val="00EF19E0"/>
    <w:rsid w:val="00EF47FB"/>
    <w:rsid w:val="00EF5286"/>
    <w:rsid w:val="00EF5E96"/>
    <w:rsid w:val="00EF5F4A"/>
    <w:rsid w:val="00F0004A"/>
    <w:rsid w:val="00F02788"/>
    <w:rsid w:val="00F02DC5"/>
    <w:rsid w:val="00F07793"/>
    <w:rsid w:val="00F10D38"/>
    <w:rsid w:val="00F12370"/>
    <w:rsid w:val="00F13810"/>
    <w:rsid w:val="00F162C3"/>
    <w:rsid w:val="00F16F57"/>
    <w:rsid w:val="00F21925"/>
    <w:rsid w:val="00F24E77"/>
    <w:rsid w:val="00F25D17"/>
    <w:rsid w:val="00F30A89"/>
    <w:rsid w:val="00F31176"/>
    <w:rsid w:val="00F36E52"/>
    <w:rsid w:val="00F4116F"/>
    <w:rsid w:val="00F44253"/>
    <w:rsid w:val="00F51112"/>
    <w:rsid w:val="00F52762"/>
    <w:rsid w:val="00F52884"/>
    <w:rsid w:val="00F54E1D"/>
    <w:rsid w:val="00F55B65"/>
    <w:rsid w:val="00F60621"/>
    <w:rsid w:val="00F65DBC"/>
    <w:rsid w:val="00F66FBB"/>
    <w:rsid w:val="00F67881"/>
    <w:rsid w:val="00F726FD"/>
    <w:rsid w:val="00F73A75"/>
    <w:rsid w:val="00F74E1A"/>
    <w:rsid w:val="00F75406"/>
    <w:rsid w:val="00F75659"/>
    <w:rsid w:val="00F7617B"/>
    <w:rsid w:val="00F820BC"/>
    <w:rsid w:val="00F861F5"/>
    <w:rsid w:val="00F90DAB"/>
    <w:rsid w:val="00F9730E"/>
    <w:rsid w:val="00FA05A7"/>
    <w:rsid w:val="00FA2F36"/>
    <w:rsid w:val="00FA3F15"/>
    <w:rsid w:val="00FA546D"/>
    <w:rsid w:val="00FA708F"/>
    <w:rsid w:val="00FB4815"/>
    <w:rsid w:val="00FC0C51"/>
    <w:rsid w:val="00FC7EB4"/>
    <w:rsid w:val="00FD429A"/>
    <w:rsid w:val="00FD6865"/>
    <w:rsid w:val="00FD72C6"/>
    <w:rsid w:val="00FD78E9"/>
    <w:rsid w:val="00FE299E"/>
    <w:rsid w:val="00FE3F8F"/>
    <w:rsid w:val="00FF071E"/>
    <w:rsid w:val="00FF34A2"/>
    <w:rsid w:val="00FF548C"/>
    <w:rsid w:val="00FF5B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D6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651"/>
  </w:style>
  <w:style w:type="paragraph" w:styleId="Heading1">
    <w:name w:val="heading 1"/>
    <w:basedOn w:val="Normal"/>
    <w:next w:val="Normal"/>
    <w:link w:val="Heading1Char"/>
    <w:uiPriority w:val="9"/>
    <w:qFormat/>
    <w:rsid w:val="006C24BC"/>
    <w:pPr>
      <w:keepNext/>
      <w:keepLines/>
      <w:spacing w:before="480" w:after="240"/>
      <w:outlineLvl w:val="0"/>
    </w:pPr>
    <w:rPr>
      <w:rFonts w:ascii="Arial" w:eastAsiaTheme="majorEastAsia" w:hAnsi="Arial" w:cstheme="majorBidi"/>
      <w:b/>
      <w:color w:val="2F5496" w:themeColor="accent1" w:themeShade="BF"/>
      <w:sz w:val="44"/>
      <w:szCs w:val="32"/>
    </w:rPr>
  </w:style>
  <w:style w:type="paragraph" w:styleId="Heading2">
    <w:name w:val="heading 2"/>
    <w:basedOn w:val="Normal"/>
    <w:link w:val="Heading2Char"/>
    <w:uiPriority w:val="9"/>
    <w:qFormat/>
    <w:rsid w:val="006C24BC"/>
    <w:pPr>
      <w:spacing w:before="100" w:beforeAutospacing="1" w:after="100" w:afterAutospacing="1" w:line="240" w:lineRule="auto"/>
      <w:outlineLvl w:val="1"/>
    </w:pPr>
    <w:rPr>
      <w:rFonts w:ascii="Arial" w:eastAsia="Times New Roman" w:hAnsi="Arial" w:cs="Times New Roman"/>
      <w:b/>
      <w:bCs/>
      <w:color w:val="008080"/>
      <w:sz w:val="32"/>
      <w:szCs w:val="36"/>
      <w:lang w:eastAsia="en-AU"/>
    </w:rPr>
  </w:style>
  <w:style w:type="paragraph" w:styleId="Heading3">
    <w:name w:val="heading 3"/>
    <w:basedOn w:val="Normal"/>
    <w:link w:val="Heading3Char"/>
    <w:uiPriority w:val="9"/>
    <w:qFormat/>
    <w:rsid w:val="006C24BC"/>
    <w:pPr>
      <w:spacing w:before="100" w:beforeAutospacing="1" w:after="100" w:afterAutospacing="1" w:line="240" w:lineRule="auto"/>
      <w:outlineLvl w:val="2"/>
    </w:pPr>
    <w:rPr>
      <w:rFonts w:ascii="Arial" w:eastAsia="Times New Roman" w:hAnsi="Arial" w:cs="Times New Roman"/>
      <w:b/>
      <w:bCs/>
      <w:i/>
      <w:color w:val="008080"/>
      <w:sz w:val="24"/>
      <w:szCs w:val="27"/>
      <w:lang w:eastAsia="en-AU"/>
    </w:rPr>
  </w:style>
  <w:style w:type="paragraph" w:styleId="Heading4">
    <w:name w:val="heading 4"/>
    <w:basedOn w:val="Normal"/>
    <w:next w:val="Normal"/>
    <w:link w:val="Heading4Char"/>
    <w:uiPriority w:val="9"/>
    <w:unhideWhenUsed/>
    <w:qFormat/>
    <w:rsid w:val="00E35384"/>
    <w:pPr>
      <w:keepNext/>
      <w:keepLines/>
      <w:spacing w:before="120" w:after="120"/>
      <w:outlineLvl w:val="3"/>
    </w:pPr>
    <w:rPr>
      <w:rFonts w:ascii="Arial" w:eastAsiaTheme="majorEastAsia" w:hAnsi="Arial" w:cstheme="majorBidi"/>
      <w:b/>
      <w:iCs/>
    </w:rPr>
  </w:style>
  <w:style w:type="paragraph" w:styleId="Heading5">
    <w:name w:val="heading 5"/>
    <w:basedOn w:val="Normal"/>
    <w:next w:val="Normal"/>
    <w:link w:val="Heading5Char"/>
    <w:uiPriority w:val="9"/>
    <w:semiHidden/>
    <w:unhideWhenUsed/>
    <w:qFormat/>
    <w:rsid w:val="005202C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38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3851"/>
  </w:style>
  <w:style w:type="paragraph" w:styleId="Footer">
    <w:name w:val="footer"/>
    <w:basedOn w:val="Normal"/>
    <w:link w:val="FooterChar"/>
    <w:uiPriority w:val="99"/>
    <w:unhideWhenUsed/>
    <w:rsid w:val="002E38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3851"/>
  </w:style>
  <w:style w:type="table" w:styleId="TableGrid">
    <w:name w:val="Table Grid"/>
    <w:basedOn w:val="TableNormal"/>
    <w:uiPriority w:val="39"/>
    <w:rsid w:val="002E6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47F1"/>
    <w:rPr>
      <w:color w:val="0563C1" w:themeColor="hyperlink"/>
      <w:u w:val="single"/>
    </w:rPr>
  </w:style>
  <w:style w:type="character" w:styleId="UnresolvedMention">
    <w:name w:val="Unresolved Mention"/>
    <w:basedOn w:val="DefaultParagraphFont"/>
    <w:uiPriority w:val="99"/>
    <w:semiHidden/>
    <w:unhideWhenUsed/>
    <w:rsid w:val="00A547F1"/>
    <w:rPr>
      <w:color w:val="605E5C"/>
      <w:shd w:val="clear" w:color="auto" w:fill="E1DFDD"/>
    </w:rPr>
  </w:style>
  <w:style w:type="character" w:styleId="CommentReference">
    <w:name w:val="annotation reference"/>
    <w:basedOn w:val="DefaultParagraphFont"/>
    <w:uiPriority w:val="99"/>
    <w:semiHidden/>
    <w:unhideWhenUsed/>
    <w:rsid w:val="00774D2A"/>
    <w:rPr>
      <w:sz w:val="16"/>
      <w:szCs w:val="16"/>
    </w:rPr>
  </w:style>
  <w:style w:type="paragraph" w:styleId="CommentText">
    <w:name w:val="annotation text"/>
    <w:basedOn w:val="Normal"/>
    <w:link w:val="CommentTextChar"/>
    <w:uiPriority w:val="99"/>
    <w:unhideWhenUsed/>
    <w:rsid w:val="00774D2A"/>
    <w:pPr>
      <w:spacing w:line="240" w:lineRule="auto"/>
    </w:pPr>
    <w:rPr>
      <w:sz w:val="20"/>
      <w:szCs w:val="20"/>
    </w:rPr>
  </w:style>
  <w:style w:type="character" w:customStyle="1" w:styleId="CommentTextChar">
    <w:name w:val="Comment Text Char"/>
    <w:basedOn w:val="DefaultParagraphFont"/>
    <w:link w:val="CommentText"/>
    <w:uiPriority w:val="99"/>
    <w:rsid w:val="00774D2A"/>
    <w:rPr>
      <w:sz w:val="20"/>
      <w:szCs w:val="20"/>
    </w:rPr>
  </w:style>
  <w:style w:type="paragraph" w:styleId="CommentSubject">
    <w:name w:val="annotation subject"/>
    <w:basedOn w:val="CommentText"/>
    <w:next w:val="CommentText"/>
    <w:link w:val="CommentSubjectChar"/>
    <w:uiPriority w:val="99"/>
    <w:semiHidden/>
    <w:unhideWhenUsed/>
    <w:rsid w:val="00774D2A"/>
    <w:rPr>
      <w:b/>
      <w:bCs/>
    </w:rPr>
  </w:style>
  <w:style w:type="character" w:customStyle="1" w:styleId="CommentSubjectChar">
    <w:name w:val="Comment Subject Char"/>
    <w:basedOn w:val="CommentTextChar"/>
    <w:link w:val="CommentSubject"/>
    <w:uiPriority w:val="99"/>
    <w:semiHidden/>
    <w:rsid w:val="00774D2A"/>
    <w:rPr>
      <w:b/>
      <w:bCs/>
      <w:sz w:val="20"/>
      <w:szCs w:val="20"/>
    </w:rPr>
  </w:style>
  <w:style w:type="paragraph" w:styleId="Revision">
    <w:name w:val="Revision"/>
    <w:hidden/>
    <w:uiPriority w:val="99"/>
    <w:semiHidden/>
    <w:rsid w:val="00BE2FEC"/>
    <w:pPr>
      <w:spacing w:after="0" w:line="240" w:lineRule="auto"/>
    </w:pPr>
  </w:style>
  <w:style w:type="paragraph" w:styleId="ListParagraph">
    <w:name w:val="List Paragraph"/>
    <w:aliases w:val="BulletPoints,Numbered para,Body Text Bullet Points,List Paragraph1,Bullet point,List Paragraph11,Recommendation,Section heading,Footnote,Bullets,CV text,Dot pt,F5 List Paragraph,FooterText,L,List Paragraph111,List Paragraph2,NAST Quote,列"/>
    <w:basedOn w:val="Normal"/>
    <w:link w:val="ListParagraphChar"/>
    <w:uiPriority w:val="34"/>
    <w:qFormat/>
    <w:rsid w:val="006E3AB6"/>
    <w:pPr>
      <w:ind w:left="720"/>
      <w:contextualSpacing/>
    </w:pPr>
  </w:style>
  <w:style w:type="character" w:customStyle="1" w:styleId="Heading2Char">
    <w:name w:val="Heading 2 Char"/>
    <w:basedOn w:val="DefaultParagraphFont"/>
    <w:link w:val="Heading2"/>
    <w:uiPriority w:val="9"/>
    <w:rsid w:val="006C24BC"/>
    <w:rPr>
      <w:rFonts w:ascii="Arial" w:eastAsia="Times New Roman" w:hAnsi="Arial" w:cs="Times New Roman"/>
      <w:b/>
      <w:bCs/>
      <w:color w:val="008080"/>
      <w:sz w:val="32"/>
      <w:szCs w:val="36"/>
      <w:lang w:eastAsia="en-AU"/>
    </w:rPr>
  </w:style>
  <w:style w:type="character" w:customStyle="1" w:styleId="Heading3Char">
    <w:name w:val="Heading 3 Char"/>
    <w:basedOn w:val="DefaultParagraphFont"/>
    <w:link w:val="Heading3"/>
    <w:uiPriority w:val="9"/>
    <w:rsid w:val="006C24BC"/>
    <w:rPr>
      <w:rFonts w:ascii="Arial" w:eastAsia="Times New Roman" w:hAnsi="Arial" w:cs="Times New Roman"/>
      <w:b/>
      <w:bCs/>
      <w:i/>
      <w:color w:val="008080"/>
      <w:sz w:val="24"/>
      <w:szCs w:val="27"/>
      <w:lang w:eastAsia="en-AU"/>
    </w:rPr>
  </w:style>
  <w:style w:type="paragraph" w:styleId="BodyText">
    <w:name w:val="Body Text"/>
    <w:basedOn w:val="Normal"/>
    <w:link w:val="BodyTextChar"/>
    <w:uiPriority w:val="99"/>
    <w:unhideWhenUsed/>
    <w:rsid w:val="007A0BA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BodyTextChar">
    <w:name w:val="Body Text Char"/>
    <w:basedOn w:val="DefaultParagraphFont"/>
    <w:link w:val="BodyText"/>
    <w:uiPriority w:val="99"/>
    <w:rsid w:val="007A0BAD"/>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7A0BAD"/>
    <w:rPr>
      <w:i/>
      <w:iCs/>
    </w:rPr>
  </w:style>
  <w:style w:type="paragraph" w:styleId="NormalWeb">
    <w:name w:val="Normal (Web)"/>
    <w:basedOn w:val="Normal"/>
    <w:uiPriority w:val="99"/>
    <w:semiHidden/>
    <w:unhideWhenUsed/>
    <w:rsid w:val="001973C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f0">
    <w:name w:val="pf0"/>
    <w:basedOn w:val="Normal"/>
    <w:rsid w:val="00E9736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E97366"/>
    <w:rPr>
      <w:rFonts w:ascii="Segoe UI" w:hAnsi="Segoe UI" w:cs="Segoe UI" w:hint="default"/>
      <w:b/>
      <w:bCs/>
      <w:sz w:val="18"/>
      <w:szCs w:val="18"/>
    </w:rPr>
  </w:style>
  <w:style w:type="character" w:customStyle="1" w:styleId="Heading5Char">
    <w:name w:val="Heading 5 Char"/>
    <w:basedOn w:val="DefaultParagraphFont"/>
    <w:link w:val="Heading5"/>
    <w:uiPriority w:val="9"/>
    <w:semiHidden/>
    <w:rsid w:val="005202C9"/>
    <w:rPr>
      <w:rFonts w:asciiTheme="majorHAnsi" w:eastAsiaTheme="majorEastAsia" w:hAnsiTheme="majorHAnsi" w:cstheme="majorBidi"/>
      <w:color w:val="2F5496" w:themeColor="accent1" w:themeShade="BF"/>
    </w:rPr>
  </w:style>
  <w:style w:type="character" w:customStyle="1" w:styleId="Heading1Char">
    <w:name w:val="Heading 1 Char"/>
    <w:basedOn w:val="DefaultParagraphFont"/>
    <w:link w:val="Heading1"/>
    <w:uiPriority w:val="9"/>
    <w:rsid w:val="006C24BC"/>
    <w:rPr>
      <w:rFonts w:ascii="Arial" w:eastAsiaTheme="majorEastAsia" w:hAnsi="Arial" w:cstheme="majorBidi"/>
      <w:b/>
      <w:color w:val="2F5496" w:themeColor="accent1" w:themeShade="BF"/>
      <w:sz w:val="44"/>
      <w:szCs w:val="32"/>
    </w:rPr>
  </w:style>
  <w:style w:type="character" w:styleId="EndnoteReference">
    <w:name w:val="endnote reference"/>
    <w:basedOn w:val="DefaultParagraphFont"/>
    <w:uiPriority w:val="99"/>
    <w:semiHidden/>
    <w:unhideWhenUsed/>
    <w:rsid w:val="00FD72C6"/>
    <w:rPr>
      <w:vertAlign w:val="superscript"/>
    </w:rPr>
  </w:style>
  <w:style w:type="character" w:customStyle="1" w:styleId="Heading4Char">
    <w:name w:val="Heading 4 Char"/>
    <w:basedOn w:val="DefaultParagraphFont"/>
    <w:link w:val="Heading4"/>
    <w:uiPriority w:val="9"/>
    <w:rsid w:val="00E35384"/>
    <w:rPr>
      <w:rFonts w:ascii="Arial" w:eastAsiaTheme="majorEastAsia" w:hAnsi="Arial" w:cstheme="majorBidi"/>
      <w:b/>
      <w:iCs/>
    </w:rPr>
  </w:style>
  <w:style w:type="table" w:customStyle="1" w:styleId="TableGrid1">
    <w:name w:val="Table Grid1"/>
    <w:basedOn w:val="TableNormal"/>
    <w:next w:val="TableGrid"/>
    <w:uiPriority w:val="39"/>
    <w:rsid w:val="00544D36"/>
    <w:pPr>
      <w:spacing w:after="0" w:line="240" w:lineRule="auto"/>
    </w:pPr>
    <w:rPr>
      <w:rFonts w:ascii="Times New Roman" w:hAnsi="Times New Roman" w:cs="Times New Roman"/>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544D36"/>
    <w:pPr>
      <w:spacing w:after="0" w:line="240" w:lineRule="auto"/>
    </w:pPr>
    <w:rPr>
      <w:rFonts w:ascii="Times New Roman" w:eastAsia="Times New Roman" w:hAnsi="Times New Roman" w:cs="Times New Roman"/>
      <w:sz w:val="20"/>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E1FC9"/>
    <w:pPr>
      <w:spacing w:after="0" w:line="240" w:lineRule="auto"/>
    </w:pPr>
    <w:rPr>
      <w:rFonts w:ascii="Times New Roman" w:eastAsia="Times New Roman" w:hAnsi="Times New Roman" w:cs="Times New Roman"/>
      <w:sz w:val="20"/>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13CF7"/>
    <w:rPr>
      <w:color w:val="954F72" w:themeColor="followedHyperlink"/>
      <w:u w:val="single"/>
    </w:rPr>
  </w:style>
  <w:style w:type="paragraph" w:customStyle="1" w:styleId="3Bodytext">
    <w:name w:val="3. Body text"/>
    <w:basedOn w:val="ListParagraph"/>
    <w:link w:val="3BodytextChar"/>
    <w:qFormat/>
    <w:rsid w:val="00611CA9"/>
    <w:pPr>
      <w:numPr>
        <w:ilvl w:val="1"/>
        <w:numId w:val="30"/>
      </w:numPr>
      <w:spacing w:after="120" w:line="240" w:lineRule="auto"/>
      <w:contextualSpacing w:val="0"/>
    </w:pPr>
    <w:rPr>
      <w:sz w:val="24"/>
      <w:lang w:eastAsia="en-AU"/>
    </w:rPr>
  </w:style>
  <w:style w:type="character" w:customStyle="1" w:styleId="3BodytextChar">
    <w:name w:val="3. Body text Char"/>
    <w:basedOn w:val="DefaultParagraphFont"/>
    <w:link w:val="3Bodytext"/>
    <w:rsid w:val="00611CA9"/>
    <w:rPr>
      <w:sz w:val="24"/>
      <w:lang w:eastAsia="en-AU"/>
    </w:rPr>
  </w:style>
  <w:style w:type="paragraph" w:customStyle="1" w:styleId="2-SectionHeading">
    <w:name w:val="2-Section Heading"/>
    <w:qFormat/>
    <w:rsid w:val="00611CA9"/>
    <w:pPr>
      <w:keepNext/>
      <w:numPr>
        <w:numId w:val="30"/>
      </w:numPr>
      <w:spacing w:before="240" w:after="120" w:line="240" w:lineRule="auto"/>
      <w:outlineLvl w:val="0"/>
    </w:pPr>
    <w:rPr>
      <w:rFonts w:eastAsia="Times New Roman" w:cs="Arial"/>
      <w:b/>
      <w:snapToGrid w:val="0"/>
      <w:sz w:val="32"/>
      <w:szCs w:val="32"/>
      <w:lang w:eastAsia="en-AU"/>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Bullets Char,CV text Char,Dot pt Char,L Char,列 Char"/>
    <w:basedOn w:val="DefaultParagraphFont"/>
    <w:link w:val="ListParagraph"/>
    <w:uiPriority w:val="34"/>
    <w:qFormat/>
    <w:rsid w:val="000B2B7F"/>
  </w:style>
  <w:style w:type="paragraph" w:styleId="FootnoteText">
    <w:name w:val="footnote text"/>
    <w:basedOn w:val="Normal"/>
    <w:link w:val="FootnoteTextChar"/>
    <w:uiPriority w:val="99"/>
    <w:semiHidden/>
    <w:unhideWhenUsed/>
    <w:rsid w:val="008768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6810"/>
    <w:rPr>
      <w:sz w:val="20"/>
      <w:szCs w:val="20"/>
    </w:rPr>
  </w:style>
  <w:style w:type="character" w:styleId="FootnoteReference">
    <w:name w:val="footnote reference"/>
    <w:basedOn w:val="DefaultParagraphFont"/>
    <w:uiPriority w:val="99"/>
    <w:semiHidden/>
    <w:unhideWhenUsed/>
    <w:rsid w:val="008768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7834">
      <w:bodyDiv w:val="1"/>
      <w:marLeft w:val="0"/>
      <w:marRight w:val="0"/>
      <w:marTop w:val="0"/>
      <w:marBottom w:val="0"/>
      <w:divBdr>
        <w:top w:val="none" w:sz="0" w:space="0" w:color="auto"/>
        <w:left w:val="none" w:sz="0" w:space="0" w:color="auto"/>
        <w:bottom w:val="none" w:sz="0" w:space="0" w:color="auto"/>
        <w:right w:val="none" w:sz="0" w:space="0" w:color="auto"/>
      </w:divBdr>
    </w:div>
    <w:div w:id="91433767">
      <w:bodyDiv w:val="1"/>
      <w:marLeft w:val="0"/>
      <w:marRight w:val="0"/>
      <w:marTop w:val="0"/>
      <w:marBottom w:val="0"/>
      <w:divBdr>
        <w:top w:val="none" w:sz="0" w:space="0" w:color="auto"/>
        <w:left w:val="none" w:sz="0" w:space="0" w:color="auto"/>
        <w:bottom w:val="none" w:sz="0" w:space="0" w:color="auto"/>
        <w:right w:val="none" w:sz="0" w:space="0" w:color="auto"/>
      </w:divBdr>
    </w:div>
    <w:div w:id="587036464">
      <w:bodyDiv w:val="1"/>
      <w:marLeft w:val="0"/>
      <w:marRight w:val="0"/>
      <w:marTop w:val="0"/>
      <w:marBottom w:val="0"/>
      <w:divBdr>
        <w:top w:val="none" w:sz="0" w:space="0" w:color="auto"/>
        <w:left w:val="none" w:sz="0" w:space="0" w:color="auto"/>
        <w:bottom w:val="none" w:sz="0" w:space="0" w:color="auto"/>
        <w:right w:val="none" w:sz="0" w:space="0" w:color="auto"/>
      </w:divBdr>
    </w:div>
    <w:div w:id="650643896">
      <w:bodyDiv w:val="1"/>
      <w:marLeft w:val="0"/>
      <w:marRight w:val="0"/>
      <w:marTop w:val="0"/>
      <w:marBottom w:val="0"/>
      <w:divBdr>
        <w:top w:val="none" w:sz="0" w:space="0" w:color="auto"/>
        <w:left w:val="none" w:sz="0" w:space="0" w:color="auto"/>
        <w:bottom w:val="none" w:sz="0" w:space="0" w:color="auto"/>
        <w:right w:val="none" w:sz="0" w:space="0" w:color="auto"/>
      </w:divBdr>
    </w:div>
    <w:div w:id="660082491">
      <w:bodyDiv w:val="1"/>
      <w:marLeft w:val="0"/>
      <w:marRight w:val="0"/>
      <w:marTop w:val="0"/>
      <w:marBottom w:val="0"/>
      <w:divBdr>
        <w:top w:val="none" w:sz="0" w:space="0" w:color="auto"/>
        <w:left w:val="none" w:sz="0" w:space="0" w:color="auto"/>
        <w:bottom w:val="none" w:sz="0" w:space="0" w:color="auto"/>
        <w:right w:val="none" w:sz="0" w:space="0" w:color="auto"/>
      </w:divBdr>
    </w:div>
    <w:div w:id="687831728">
      <w:bodyDiv w:val="1"/>
      <w:marLeft w:val="0"/>
      <w:marRight w:val="0"/>
      <w:marTop w:val="0"/>
      <w:marBottom w:val="0"/>
      <w:divBdr>
        <w:top w:val="none" w:sz="0" w:space="0" w:color="auto"/>
        <w:left w:val="none" w:sz="0" w:space="0" w:color="auto"/>
        <w:bottom w:val="none" w:sz="0" w:space="0" w:color="auto"/>
        <w:right w:val="none" w:sz="0" w:space="0" w:color="auto"/>
      </w:divBdr>
    </w:div>
    <w:div w:id="741760185">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sChild>
        <w:div w:id="1088845461">
          <w:marLeft w:val="547"/>
          <w:marRight w:val="0"/>
          <w:marTop w:val="0"/>
          <w:marBottom w:val="0"/>
          <w:divBdr>
            <w:top w:val="none" w:sz="0" w:space="0" w:color="auto"/>
            <w:left w:val="none" w:sz="0" w:space="0" w:color="auto"/>
            <w:bottom w:val="none" w:sz="0" w:space="0" w:color="auto"/>
            <w:right w:val="none" w:sz="0" w:space="0" w:color="auto"/>
          </w:divBdr>
        </w:div>
        <w:div w:id="444427486">
          <w:marLeft w:val="1267"/>
          <w:marRight w:val="0"/>
          <w:marTop w:val="0"/>
          <w:marBottom w:val="0"/>
          <w:divBdr>
            <w:top w:val="none" w:sz="0" w:space="0" w:color="auto"/>
            <w:left w:val="none" w:sz="0" w:space="0" w:color="auto"/>
            <w:bottom w:val="none" w:sz="0" w:space="0" w:color="auto"/>
            <w:right w:val="none" w:sz="0" w:space="0" w:color="auto"/>
          </w:divBdr>
        </w:div>
        <w:div w:id="1722246116">
          <w:marLeft w:val="1267"/>
          <w:marRight w:val="0"/>
          <w:marTop w:val="0"/>
          <w:marBottom w:val="0"/>
          <w:divBdr>
            <w:top w:val="none" w:sz="0" w:space="0" w:color="auto"/>
            <w:left w:val="none" w:sz="0" w:space="0" w:color="auto"/>
            <w:bottom w:val="none" w:sz="0" w:space="0" w:color="auto"/>
            <w:right w:val="none" w:sz="0" w:space="0" w:color="auto"/>
          </w:divBdr>
        </w:div>
        <w:div w:id="1437209505">
          <w:marLeft w:val="1267"/>
          <w:marRight w:val="0"/>
          <w:marTop w:val="0"/>
          <w:marBottom w:val="0"/>
          <w:divBdr>
            <w:top w:val="none" w:sz="0" w:space="0" w:color="auto"/>
            <w:left w:val="none" w:sz="0" w:space="0" w:color="auto"/>
            <w:bottom w:val="none" w:sz="0" w:space="0" w:color="auto"/>
            <w:right w:val="none" w:sz="0" w:space="0" w:color="auto"/>
          </w:divBdr>
        </w:div>
        <w:div w:id="1040277445">
          <w:marLeft w:val="1267"/>
          <w:marRight w:val="0"/>
          <w:marTop w:val="0"/>
          <w:marBottom w:val="0"/>
          <w:divBdr>
            <w:top w:val="none" w:sz="0" w:space="0" w:color="auto"/>
            <w:left w:val="none" w:sz="0" w:space="0" w:color="auto"/>
            <w:bottom w:val="none" w:sz="0" w:space="0" w:color="auto"/>
            <w:right w:val="none" w:sz="0" w:space="0" w:color="auto"/>
          </w:divBdr>
        </w:div>
      </w:divsChild>
    </w:div>
    <w:div w:id="903640735">
      <w:bodyDiv w:val="1"/>
      <w:marLeft w:val="0"/>
      <w:marRight w:val="0"/>
      <w:marTop w:val="0"/>
      <w:marBottom w:val="0"/>
      <w:divBdr>
        <w:top w:val="none" w:sz="0" w:space="0" w:color="auto"/>
        <w:left w:val="none" w:sz="0" w:space="0" w:color="auto"/>
        <w:bottom w:val="none" w:sz="0" w:space="0" w:color="auto"/>
        <w:right w:val="none" w:sz="0" w:space="0" w:color="auto"/>
      </w:divBdr>
    </w:div>
    <w:div w:id="1014922085">
      <w:bodyDiv w:val="1"/>
      <w:marLeft w:val="0"/>
      <w:marRight w:val="0"/>
      <w:marTop w:val="0"/>
      <w:marBottom w:val="0"/>
      <w:divBdr>
        <w:top w:val="none" w:sz="0" w:space="0" w:color="auto"/>
        <w:left w:val="none" w:sz="0" w:space="0" w:color="auto"/>
        <w:bottom w:val="none" w:sz="0" w:space="0" w:color="auto"/>
        <w:right w:val="none" w:sz="0" w:space="0" w:color="auto"/>
      </w:divBdr>
    </w:div>
    <w:div w:id="1031078771">
      <w:bodyDiv w:val="1"/>
      <w:marLeft w:val="0"/>
      <w:marRight w:val="0"/>
      <w:marTop w:val="0"/>
      <w:marBottom w:val="0"/>
      <w:divBdr>
        <w:top w:val="none" w:sz="0" w:space="0" w:color="auto"/>
        <w:left w:val="none" w:sz="0" w:space="0" w:color="auto"/>
        <w:bottom w:val="none" w:sz="0" w:space="0" w:color="auto"/>
        <w:right w:val="none" w:sz="0" w:space="0" w:color="auto"/>
      </w:divBdr>
    </w:div>
    <w:div w:id="1088773535">
      <w:bodyDiv w:val="1"/>
      <w:marLeft w:val="0"/>
      <w:marRight w:val="0"/>
      <w:marTop w:val="0"/>
      <w:marBottom w:val="0"/>
      <w:divBdr>
        <w:top w:val="none" w:sz="0" w:space="0" w:color="auto"/>
        <w:left w:val="none" w:sz="0" w:space="0" w:color="auto"/>
        <w:bottom w:val="none" w:sz="0" w:space="0" w:color="auto"/>
        <w:right w:val="none" w:sz="0" w:space="0" w:color="auto"/>
      </w:divBdr>
    </w:div>
    <w:div w:id="1321421990">
      <w:bodyDiv w:val="1"/>
      <w:marLeft w:val="0"/>
      <w:marRight w:val="0"/>
      <w:marTop w:val="0"/>
      <w:marBottom w:val="0"/>
      <w:divBdr>
        <w:top w:val="none" w:sz="0" w:space="0" w:color="auto"/>
        <w:left w:val="none" w:sz="0" w:space="0" w:color="auto"/>
        <w:bottom w:val="none" w:sz="0" w:space="0" w:color="auto"/>
        <w:right w:val="none" w:sz="0" w:space="0" w:color="auto"/>
      </w:divBdr>
    </w:div>
    <w:div w:id="1386375591">
      <w:bodyDiv w:val="1"/>
      <w:marLeft w:val="0"/>
      <w:marRight w:val="0"/>
      <w:marTop w:val="0"/>
      <w:marBottom w:val="0"/>
      <w:divBdr>
        <w:top w:val="none" w:sz="0" w:space="0" w:color="auto"/>
        <w:left w:val="none" w:sz="0" w:space="0" w:color="auto"/>
        <w:bottom w:val="none" w:sz="0" w:space="0" w:color="auto"/>
        <w:right w:val="none" w:sz="0" w:space="0" w:color="auto"/>
      </w:divBdr>
    </w:div>
    <w:div w:id="1684866577">
      <w:bodyDiv w:val="1"/>
      <w:marLeft w:val="0"/>
      <w:marRight w:val="0"/>
      <w:marTop w:val="0"/>
      <w:marBottom w:val="0"/>
      <w:divBdr>
        <w:top w:val="none" w:sz="0" w:space="0" w:color="auto"/>
        <w:left w:val="none" w:sz="0" w:space="0" w:color="auto"/>
        <w:bottom w:val="none" w:sz="0" w:space="0" w:color="auto"/>
        <w:right w:val="none" w:sz="0" w:space="0" w:color="auto"/>
      </w:divBdr>
    </w:div>
    <w:div w:id="1734233947">
      <w:bodyDiv w:val="1"/>
      <w:marLeft w:val="0"/>
      <w:marRight w:val="0"/>
      <w:marTop w:val="0"/>
      <w:marBottom w:val="0"/>
      <w:divBdr>
        <w:top w:val="none" w:sz="0" w:space="0" w:color="auto"/>
        <w:left w:val="none" w:sz="0" w:space="0" w:color="auto"/>
        <w:bottom w:val="none" w:sz="0" w:space="0" w:color="auto"/>
        <w:right w:val="none" w:sz="0" w:space="0" w:color="auto"/>
      </w:divBdr>
      <w:divsChild>
        <w:div w:id="1336031652">
          <w:marLeft w:val="360"/>
          <w:marRight w:val="0"/>
          <w:marTop w:val="200"/>
          <w:marBottom w:val="0"/>
          <w:divBdr>
            <w:top w:val="none" w:sz="0" w:space="0" w:color="auto"/>
            <w:left w:val="none" w:sz="0" w:space="0" w:color="auto"/>
            <w:bottom w:val="none" w:sz="0" w:space="0" w:color="auto"/>
            <w:right w:val="none" w:sz="0" w:space="0" w:color="auto"/>
          </w:divBdr>
        </w:div>
      </w:divsChild>
    </w:div>
    <w:div w:id="1916546008">
      <w:bodyDiv w:val="1"/>
      <w:marLeft w:val="0"/>
      <w:marRight w:val="0"/>
      <w:marTop w:val="0"/>
      <w:marBottom w:val="0"/>
      <w:divBdr>
        <w:top w:val="none" w:sz="0" w:space="0" w:color="auto"/>
        <w:left w:val="none" w:sz="0" w:space="0" w:color="auto"/>
        <w:bottom w:val="none" w:sz="0" w:space="0" w:color="auto"/>
        <w:right w:val="none" w:sz="0" w:space="0" w:color="auto"/>
      </w:divBdr>
    </w:div>
    <w:div w:id="19278835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bs.gov.au/info/industry/listing/elements/pbac-meetings/pbac-outcomes/recommendations-made-by-the-pbac-november-202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b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6003E-287C-444A-8FAB-37E868962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1911</Words>
  <Characters>10897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2025-01-06T02:23:00Z</dcterms:created>
  <dcterms:modified xsi:type="dcterms:W3CDTF">2025-01-23T01:31:00Z</dcterms:modified>
</cp:coreProperties>
</file>