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1886" w14:textId="6AA96706" w:rsidR="002E3851" w:rsidRDefault="000D1DC6" w:rsidP="00D91D28">
      <w:pPr>
        <w:pStyle w:val="Heading1"/>
        <w:jc w:val="both"/>
      </w:pPr>
      <w:r w:rsidRPr="00BC6201">
        <w:t xml:space="preserve">Recommendations made by the PBAC – </w:t>
      </w:r>
      <w:r w:rsidR="00A843B6">
        <w:t>September</w:t>
      </w:r>
      <w:r w:rsidR="00D91D28">
        <w:t xml:space="preserve"> 2024 </w:t>
      </w:r>
      <w:r w:rsidR="00A843B6">
        <w:t xml:space="preserve">intracycle </w:t>
      </w:r>
      <w:r w:rsidR="00D91D28">
        <w:t xml:space="preserve">meeting </w:t>
      </w:r>
      <w:r w:rsidR="00F25D17">
        <w:t xml:space="preserve"> </w:t>
      </w:r>
    </w:p>
    <w:p w14:paraId="11E23529" w14:textId="77777777" w:rsidR="00B6156E" w:rsidRPr="00A62FCB" w:rsidRDefault="00B6156E" w:rsidP="00B6156E">
      <w:pPr>
        <w:pStyle w:val="Heading2"/>
        <w:rPr>
          <w:rFonts w:ascii="Open Sans" w:hAnsi="Open Sans" w:cs="Open Sans"/>
          <w:b w:val="0"/>
          <w:bCs w:val="0"/>
          <w:color w:val="auto"/>
          <w:sz w:val="20"/>
          <w:szCs w:val="20"/>
          <w:lang w:eastAsia="en-US"/>
        </w:rPr>
      </w:pPr>
      <w:r w:rsidRPr="00A62FCB">
        <w:rPr>
          <w:rFonts w:ascii="Open Sans" w:hAnsi="Open Sans" w:cs="Open Sans"/>
          <w:b w:val="0"/>
          <w:bCs w:val="0"/>
          <w:color w:val="auto"/>
          <w:sz w:val="20"/>
          <w:szCs w:val="20"/>
          <w:lang w:eastAsia="en-US"/>
        </w:rPr>
        <w:t>Last updated: 1 November 2024</w:t>
      </w:r>
    </w:p>
    <w:p w14:paraId="796225F6" w14:textId="03E9D2D2" w:rsidR="002E3851" w:rsidRDefault="00A843B6" w:rsidP="003145D3">
      <w:pPr>
        <w:pStyle w:val="Heading2"/>
        <w:rPr>
          <w:rFonts w:eastAsiaTheme="majorEastAsia"/>
        </w:rPr>
      </w:pPr>
      <w:r>
        <w:rPr>
          <w:rFonts w:eastAsiaTheme="majorEastAsia"/>
        </w:rPr>
        <w:t>Endorsed midwi</w:t>
      </w:r>
      <w:r w:rsidR="00FC7EB4">
        <w:rPr>
          <w:rFonts w:eastAsiaTheme="majorEastAsia"/>
        </w:rPr>
        <w:t>fe</w:t>
      </w:r>
      <w:r w:rsidR="00D91D28">
        <w:rPr>
          <w:rFonts w:eastAsiaTheme="majorEastAsia"/>
        </w:rPr>
        <w:t xml:space="preserve"> </w:t>
      </w:r>
      <w:r w:rsidR="000D1DC6">
        <w:rPr>
          <w:rFonts w:eastAsiaTheme="majorEastAsia"/>
        </w:rPr>
        <w:t xml:space="preserve">– PBS listings </w:t>
      </w:r>
    </w:p>
    <w:p w14:paraId="43393F83" w14:textId="38FD85E4" w:rsidR="000D1DC6" w:rsidRPr="00C21C04" w:rsidRDefault="000D1DC6" w:rsidP="00D349CF">
      <w:pPr>
        <w:spacing w:after="90" w:line="286" w:lineRule="atLeast"/>
        <w:ind w:right="150"/>
        <w:rPr>
          <w:rFonts w:ascii="Open Sans" w:eastAsia="Times New Roman" w:hAnsi="Open Sans" w:cs="Open Sans"/>
          <w:sz w:val="20"/>
          <w:szCs w:val="20"/>
        </w:rPr>
      </w:pPr>
      <w:r w:rsidRPr="00C21C04">
        <w:rPr>
          <w:rFonts w:ascii="Open Sans" w:eastAsia="Times New Roman" w:hAnsi="Open Sans" w:cs="Open Sans"/>
          <w:sz w:val="20"/>
          <w:szCs w:val="20"/>
        </w:rPr>
        <w:t xml:space="preserve">At its </w:t>
      </w:r>
      <w:hyperlink r:id="rId7" w:history="1">
        <w:r w:rsidRPr="00C21C04">
          <w:rPr>
            <w:rStyle w:val="Hyperlink"/>
            <w:rFonts w:ascii="Open Sans" w:eastAsia="Times New Roman" w:hAnsi="Open Sans" w:cs="Open Sans"/>
            <w:sz w:val="20"/>
            <w:szCs w:val="20"/>
          </w:rPr>
          <w:t>September 2024 intracycle meeting</w:t>
        </w:r>
      </w:hyperlink>
      <w:r w:rsidRPr="00C21C04">
        <w:rPr>
          <w:rFonts w:ascii="Open Sans" w:eastAsia="Times New Roman" w:hAnsi="Open Sans" w:cs="Open Sans"/>
          <w:sz w:val="20"/>
          <w:szCs w:val="20"/>
        </w:rPr>
        <w:t>, the Pharmaceutical Benefits Advisory Committee (PBAC) considered approximately 50 medicines listed on the Pharmaceutical Benefits Scheme (PBS) identified through consultation that were requested for prescribing by endorsed midwives. The PBAC made its recommendations with reference to its general principles for determining PBS prescriber eligibility. The PBAC’s recommendations and rationale from the guidance principles are summarised in tables below.</w:t>
      </w:r>
    </w:p>
    <w:p w14:paraId="26996D5F" w14:textId="16BC7E97" w:rsidR="00C21C04" w:rsidRPr="00C21C04" w:rsidRDefault="000D1DC6" w:rsidP="00D349CF">
      <w:pPr>
        <w:spacing w:after="90" w:line="286" w:lineRule="atLeast"/>
        <w:ind w:right="147"/>
        <w:rPr>
          <w:rFonts w:ascii="Open Sans" w:eastAsia="Times New Roman" w:hAnsi="Open Sans" w:cs="Open Sans"/>
          <w:sz w:val="20"/>
          <w:szCs w:val="20"/>
        </w:rPr>
      </w:pPr>
      <w:r w:rsidRPr="00C21C04">
        <w:rPr>
          <w:rFonts w:ascii="Open Sans" w:eastAsia="Times New Roman" w:hAnsi="Open Sans" w:cs="Open Sans"/>
          <w:sz w:val="20"/>
          <w:szCs w:val="20"/>
        </w:rPr>
        <w:t>The PBAC recommended that PBS listings for over 30 medicines be amended to allow PBS prescribing by endorsed midwives without any further conditions beyond those that may already specified in PBS restrictions (Table 1). The PBAC considered that the midwifery/</w:t>
      </w:r>
      <w:r w:rsidR="00CD47B5" w:rsidRPr="00C21C04">
        <w:rPr>
          <w:rFonts w:ascii="Open Sans" w:eastAsia="Times New Roman" w:hAnsi="Open Sans" w:cs="Open Sans"/>
          <w:sz w:val="20"/>
          <w:szCs w:val="20"/>
        </w:rPr>
        <w:t xml:space="preserve"> </w:t>
      </w:r>
      <w:r w:rsidRPr="00C21C04">
        <w:rPr>
          <w:rFonts w:ascii="Open Sans" w:eastAsia="Times New Roman" w:hAnsi="Open Sans" w:cs="Open Sans"/>
          <w:sz w:val="20"/>
          <w:szCs w:val="20"/>
        </w:rPr>
        <w:t>obstetric</w:t>
      </w:r>
      <w:r w:rsidR="00C176A2">
        <w:rPr>
          <w:rFonts w:ascii="Open Sans" w:eastAsia="Times New Roman" w:hAnsi="Open Sans" w:cs="Open Sans"/>
          <w:sz w:val="20"/>
          <w:szCs w:val="20"/>
        </w:rPr>
        <w:t xml:space="preserve"> proposed uses</w:t>
      </w:r>
      <w:r w:rsidRPr="00C21C04">
        <w:rPr>
          <w:rFonts w:ascii="Open Sans" w:eastAsia="Times New Roman" w:hAnsi="Open Sans" w:cs="Open Sans"/>
          <w:sz w:val="20"/>
          <w:szCs w:val="20"/>
        </w:rPr>
        <w:t xml:space="preserve"> are likely to be covered by the existing PBS </w:t>
      </w:r>
      <w:proofErr w:type="gramStart"/>
      <w:r w:rsidRPr="00C21C04">
        <w:rPr>
          <w:rFonts w:ascii="Open Sans" w:eastAsia="Times New Roman" w:hAnsi="Open Sans" w:cs="Open Sans"/>
          <w:sz w:val="20"/>
          <w:szCs w:val="20"/>
        </w:rPr>
        <w:t>listings</w:t>
      </w:r>
      <w:r w:rsidR="00CD47B5" w:rsidRPr="00C21C04">
        <w:rPr>
          <w:rFonts w:ascii="Open Sans" w:eastAsia="Times New Roman" w:hAnsi="Open Sans" w:cs="Open Sans"/>
          <w:sz w:val="20"/>
          <w:szCs w:val="20"/>
        </w:rPr>
        <w:t>,</w:t>
      </w:r>
      <w:r w:rsidRPr="00C21C04">
        <w:rPr>
          <w:rFonts w:ascii="Open Sans" w:eastAsia="Times New Roman" w:hAnsi="Open Sans" w:cs="Open Sans"/>
          <w:sz w:val="20"/>
          <w:szCs w:val="20"/>
        </w:rPr>
        <w:t xml:space="preserve"> but</w:t>
      </w:r>
      <w:proofErr w:type="gramEnd"/>
      <w:r w:rsidRPr="00C21C04">
        <w:rPr>
          <w:rFonts w:ascii="Open Sans" w:eastAsia="Times New Roman" w:hAnsi="Open Sans" w:cs="Open Sans"/>
          <w:sz w:val="20"/>
          <w:szCs w:val="20"/>
        </w:rPr>
        <w:t xml:space="preserve"> reiterated that endorsed midwives should ensure that prescribing is in accordance with any PBS restrictions where specified.</w:t>
      </w:r>
      <w:r w:rsidR="00B62086" w:rsidRPr="00C21C04">
        <w:rPr>
          <w:rFonts w:ascii="Open Sans" w:eastAsia="Times New Roman" w:hAnsi="Open Sans" w:cs="Open Sans"/>
          <w:sz w:val="20"/>
          <w:szCs w:val="20"/>
        </w:rPr>
        <w:t xml:space="preserve"> </w:t>
      </w:r>
      <w:r w:rsidRPr="00C21C04">
        <w:rPr>
          <w:rFonts w:ascii="Open Sans" w:eastAsia="Times New Roman" w:hAnsi="Open Sans" w:cs="Open Sans"/>
          <w:sz w:val="20"/>
          <w:szCs w:val="20"/>
        </w:rPr>
        <w:t xml:space="preserve">For </w:t>
      </w:r>
      <w:r w:rsidR="00AB53AA" w:rsidRPr="00C21C04">
        <w:rPr>
          <w:rFonts w:ascii="Open Sans" w:eastAsia="Times New Roman" w:hAnsi="Open Sans" w:cs="Open Sans"/>
          <w:sz w:val="20"/>
          <w:szCs w:val="20"/>
        </w:rPr>
        <w:t xml:space="preserve">an additional </w:t>
      </w:r>
      <w:r w:rsidR="00CD47B5" w:rsidRPr="002675CA">
        <w:rPr>
          <w:rFonts w:ascii="Open Sans" w:eastAsia="Times New Roman" w:hAnsi="Open Sans" w:cs="Open Sans"/>
          <w:sz w:val="20"/>
          <w:szCs w:val="20"/>
        </w:rPr>
        <w:t>11</w:t>
      </w:r>
      <w:r w:rsidR="00AB53AA" w:rsidRPr="00C21C04">
        <w:rPr>
          <w:rFonts w:ascii="Open Sans" w:eastAsia="Times New Roman" w:hAnsi="Open Sans" w:cs="Open Sans"/>
          <w:sz w:val="20"/>
          <w:szCs w:val="20"/>
        </w:rPr>
        <w:t xml:space="preserve"> medicines</w:t>
      </w:r>
      <w:r w:rsidRPr="00C21C04">
        <w:rPr>
          <w:rFonts w:ascii="Open Sans" w:eastAsia="Times New Roman" w:hAnsi="Open Sans" w:cs="Open Sans"/>
          <w:sz w:val="20"/>
          <w:szCs w:val="20"/>
        </w:rPr>
        <w:t xml:space="preserve"> (Table </w:t>
      </w:r>
      <w:r w:rsidR="00914D3A" w:rsidRPr="00C21C04">
        <w:rPr>
          <w:rFonts w:ascii="Open Sans" w:eastAsia="Times New Roman" w:hAnsi="Open Sans" w:cs="Open Sans"/>
          <w:sz w:val="20"/>
          <w:szCs w:val="20"/>
        </w:rPr>
        <w:t>2</w:t>
      </w:r>
      <w:r w:rsidRPr="00C21C04">
        <w:rPr>
          <w:rFonts w:ascii="Open Sans" w:eastAsia="Times New Roman" w:hAnsi="Open Sans" w:cs="Open Sans"/>
          <w:sz w:val="20"/>
          <w:szCs w:val="20"/>
        </w:rPr>
        <w:t xml:space="preserve">), the PBAC recommended that endorsed midwives be added as authorised prescribers under certain circumstances (e.g. for continuing therapy only, where care of the patient is shared with a medical practitioner). The PBAC recommended that </w:t>
      </w:r>
      <w:r w:rsidR="00B6156E" w:rsidRPr="00C21C04">
        <w:rPr>
          <w:rFonts w:ascii="Open Sans" w:eastAsia="Times New Roman" w:hAnsi="Open Sans" w:cs="Open Sans"/>
          <w:sz w:val="20"/>
          <w:szCs w:val="20"/>
        </w:rPr>
        <w:t xml:space="preserve">endorsed midwives be added as authorised prescribers for several </w:t>
      </w:r>
      <w:r w:rsidRPr="00C21C04">
        <w:rPr>
          <w:rFonts w:ascii="Open Sans" w:eastAsia="Times New Roman" w:hAnsi="Open Sans" w:cs="Open Sans"/>
          <w:sz w:val="20"/>
          <w:szCs w:val="20"/>
        </w:rPr>
        <w:t xml:space="preserve">Prescriber Bag listings (included in Table </w:t>
      </w:r>
      <w:r w:rsidR="00914D3A" w:rsidRPr="00C21C04">
        <w:rPr>
          <w:rFonts w:ascii="Open Sans" w:eastAsia="Times New Roman" w:hAnsi="Open Sans" w:cs="Open Sans"/>
          <w:sz w:val="20"/>
          <w:szCs w:val="20"/>
        </w:rPr>
        <w:t>1</w:t>
      </w:r>
      <w:r w:rsidRPr="00C21C04">
        <w:rPr>
          <w:rFonts w:ascii="Open Sans" w:eastAsia="Times New Roman" w:hAnsi="Open Sans" w:cs="Open Sans"/>
          <w:sz w:val="20"/>
          <w:szCs w:val="20"/>
        </w:rPr>
        <w:t xml:space="preserve">). The PBAC noted that </w:t>
      </w:r>
      <w:r w:rsidR="00B6156E" w:rsidRPr="00C21C04">
        <w:rPr>
          <w:rFonts w:ascii="Open Sans" w:eastAsia="Times New Roman" w:hAnsi="Open Sans" w:cs="Open Sans"/>
          <w:sz w:val="20"/>
          <w:szCs w:val="20"/>
        </w:rPr>
        <w:t>some</w:t>
      </w:r>
      <w:r w:rsidRPr="00C21C04">
        <w:rPr>
          <w:rFonts w:ascii="Open Sans" w:eastAsia="Times New Roman" w:hAnsi="Open Sans" w:cs="Open Sans"/>
          <w:sz w:val="20"/>
          <w:szCs w:val="20"/>
        </w:rPr>
        <w:t xml:space="preserve"> medicines </w:t>
      </w:r>
      <w:r w:rsidR="00B6156E" w:rsidRPr="00C21C04">
        <w:rPr>
          <w:rFonts w:ascii="Open Sans" w:eastAsia="Times New Roman" w:hAnsi="Open Sans" w:cs="Open Sans"/>
          <w:sz w:val="20"/>
          <w:szCs w:val="20"/>
        </w:rPr>
        <w:t xml:space="preserve">requested by </w:t>
      </w:r>
      <w:r w:rsidRPr="00C21C04">
        <w:rPr>
          <w:rFonts w:ascii="Open Sans" w:eastAsia="Times New Roman" w:hAnsi="Open Sans" w:cs="Open Sans"/>
          <w:sz w:val="20"/>
          <w:szCs w:val="20"/>
        </w:rPr>
        <w:t xml:space="preserve">stakeholders for inclusion in the Prescriber Bag for endorsed midwives are not currently PBS-listed and would require a submission from a sponsor. </w:t>
      </w:r>
    </w:p>
    <w:p w14:paraId="3A044E28" w14:textId="0E6B1256" w:rsidR="000D1DC6" w:rsidRPr="00C21C04" w:rsidRDefault="000D1DC6" w:rsidP="00D349CF">
      <w:pPr>
        <w:spacing w:after="90" w:line="286" w:lineRule="atLeast"/>
        <w:ind w:right="147"/>
        <w:rPr>
          <w:rFonts w:ascii="Open Sans" w:eastAsia="Times New Roman" w:hAnsi="Open Sans" w:cs="Open Sans"/>
          <w:sz w:val="20"/>
          <w:szCs w:val="20"/>
        </w:rPr>
      </w:pPr>
      <w:r w:rsidRPr="00C21C04">
        <w:rPr>
          <w:rFonts w:ascii="Open Sans" w:eastAsia="Times New Roman" w:hAnsi="Open Sans" w:cs="Open Sans"/>
          <w:sz w:val="20"/>
          <w:szCs w:val="20"/>
        </w:rPr>
        <w:t xml:space="preserve">The PBAC did not recommend the addition of endorsed midwives as authorised prescribers </w:t>
      </w:r>
      <w:r w:rsidR="00AB53AA" w:rsidRPr="00C21C04">
        <w:rPr>
          <w:rFonts w:ascii="Open Sans" w:eastAsia="Times New Roman" w:hAnsi="Open Sans" w:cs="Open Sans"/>
          <w:sz w:val="20"/>
          <w:szCs w:val="20"/>
        </w:rPr>
        <w:t xml:space="preserve">for some medicines </w:t>
      </w:r>
      <w:r w:rsidR="00B6156E" w:rsidRPr="00C21C04">
        <w:rPr>
          <w:rFonts w:ascii="Open Sans" w:eastAsia="Times New Roman" w:hAnsi="Open Sans" w:cs="Open Sans"/>
          <w:sz w:val="20"/>
          <w:szCs w:val="20"/>
        </w:rPr>
        <w:t xml:space="preserve">(Table </w:t>
      </w:r>
      <w:r w:rsidR="00BC321E">
        <w:rPr>
          <w:rFonts w:ascii="Open Sans" w:eastAsia="Times New Roman" w:hAnsi="Open Sans" w:cs="Open Sans"/>
          <w:sz w:val="20"/>
          <w:szCs w:val="20"/>
        </w:rPr>
        <w:t>3</w:t>
      </w:r>
      <w:r w:rsidR="00B6156E" w:rsidRPr="00C21C04">
        <w:rPr>
          <w:rFonts w:ascii="Open Sans" w:eastAsia="Times New Roman" w:hAnsi="Open Sans" w:cs="Open Sans"/>
          <w:sz w:val="20"/>
          <w:szCs w:val="20"/>
        </w:rPr>
        <w:t xml:space="preserve">) </w:t>
      </w:r>
      <w:r w:rsidR="00AB53AA" w:rsidRPr="00C21C04">
        <w:rPr>
          <w:rFonts w:ascii="Open Sans" w:eastAsia="Times New Roman" w:hAnsi="Open Sans" w:cs="Open Sans"/>
          <w:sz w:val="20"/>
          <w:szCs w:val="20"/>
        </w:rPr>
        <w:t>due to the following reasons</w:t>
      </w:r>
      <w:r w:rsidRPr="00C21C04">
        <w:rPr>
          <w:rFonts w:ascii="Open Sans" w:eastAsia="Times New Roman" w:hAnsi="Open Sans" w:cs="Open Sans"/>
          <w:sz w:val="20"/>
          <w:szCs w:val="20"/>
        </w:rPr>
        <w:t>: where the proposed use is not Therapeutic Goods Administration (TGA) registered; the medicine is currently withdrawn from the market; or clinical guidelines do not support use of the medicine during pregnancy in favour of alternative medicines.</w:t>
      </w:r>
      <w:r w:rsidR="00BC321E">
        <w:rPr>
          <w:rFonts w:ascii="Open Sans" w:eastAsia="Times New Roman" w:hAnsi="Open Sans" w:cs="Open Sans"/>
          <w:sz w:val="20"/>
          <w:szCs w:val="20"/>
        </w:rPr>
        <w:t xml:space="preserve"> </w:t>
      </w:r>
      <w:r w:rsidR="00BC321E" w:rsidRPr="00C21C04">
        <w:rPr>
          <w:rFonts w:ascii="Open Sans" w:eastAsia="Times New Roman" w:hAnsi="Open Sans" w:cs="Open Sans"/>
          <w:sz w:val="20"/>
          <w:szCs w:val="20"/>
        </w:rPr>
        <w:t xml:space="preserve">Some requested medicines </w:t>
      </w:r>
      <w:r w:rsidR="00BC321E">
        <w:rPr>
          <w:rFonts w:ascii="Open Sans" w:eastAsia="Times New Roman" w:hAnsi="Open Sans" w:cs="Open Sans"/>
          <w:sz w:val="20"/>
          <w:szCs w:val="20"/>
        </w:rPr>
        <w:t xml:space="preserve">(Table 4) </w:t>
      </w:r>
      <w:r w:rsidR="00BC321E" w:rsidRPr="00C21C04">
        <w:rPr>
          <w:rFonts w:ascii="Open Sans" w:eastAsia="Times New Roman" w:hAnsi="Open Sans" w:cs="Open Sans"/>
          <w:sz w:val="20"/>
          <w:szCs w:val="20"/>
        </w:rPr>
        <w:t>were excluded from PBAC consideration if the</w:t>
      </w:r>
      <w:r w:rsidR="00B47C73">
        <w:rPr>
          <w:rFonts w:ascii="Open Sans" w:eastAsia="Times New Roman" w:hAnsi="Open Sans" w:cs="Open Sans"/>
          <w:sz w:val="20"/>
          <w:szCs w:val="20"/>
        </w:rPr>
        <w:t xml:space="preserve">y were </w:t>
      </w:r>
      <w:r w:rsidR="00B47C73" w:rsidRPr="00CC277F">
        <w:rPr>
          <w:rFonts w:ascii="Open Sans" w:eastAsia="Times New Roman" w:hAnsi="Open Sans" w:cs="Open Sans"/>
          <w:sz w:val="20"/>
          <w:szCs w:val="20"/>
        </w:rPr>
        <w:t>not already listed on the PBS, or the intended form, presentation or indication were not PBS-listed.</w:t>
      </w:r>
    </w:p>
    <w:p w14:paraId="37F4D504" w14:textId="77777777" w:rsidR="000D1DC6" w:rsidRPr="00914D3A" w:rsidRDefault="000D1DC6" w:rsidP="000D1DC6">
      <w:pPr>
        <w:pStyle w:val="Heading2"/>
        <w:rPr>
          <w:rFonts w:eastAsiaTheme="majorEastAsia"/>
        </w:rPr>
      </w:pPr>
      <w:r w:rsidRPr="00914D3A">
        <w:rPr>
          <w:rFonts w:eastAsiaTheme="majorEastAsia"/>
        </w:rPr>
        <w:t xml:space="preserve">Implementation </w:t>
      </w:r>
    </w:p>
    <w:p w14:paraId="23940FD5" w14:textId="234F2BD6" w:rsidR="000D1DC6" w:rsidRPr="00B6156E" w:rsidRDefault="000D1DC6" w:rsidP="00D349CF">
      <w:pPr>
        <w:spacing w:after="90" w:line="286" w:lineRule="atLeast"/>
        <w:ind w:right="147"/>
        <w:rPr>
          <w:rFonts w:ascii="Open Sans" w:eastAsia="Times New Roman" w:hAnsi="Open Sans" w:cs="Open Sans"/>
          <w:sz w:val="20"/>
          <w:szCs w:val="20"/>
        </w:rPr>
      </w:pPr>
      <w:r w:rsidRPr="00B6156E">
        <w:rPr>
          <w:rFonts w:ascii="Open Sans" w:eastAsia="Times New Roman" w:hAnsi="Open Sans" w:cs="Open Sans"/>
          <w:sz w:val="20"/>
          <w:szCs w:val="20"/>
        </w:rPr>
        <w:t xml:space="preserve">The PBAC’s recommendations are expected to be implemented in the first half of 2025 as part of routine monthly changes to the PBS schedule. </w:t>
      </w:r>
      <w:r w:rsidR="00A10BD6" w:rsidRPr="00B6156E">
        <w:rPr>
          <w:rFonts w:ascii="Open Sans" w:eastAsia="Times New Roman" w:hAnsi="Open Sans" w:cs="Open Sans"/>
          <w:sz w:val="20"/>
          <w:szCs w:val="20"/>
        </w:rPr>
        <w:t xml:space="preserve">PBS prescribers should check the schedule regularly to ensure they </w:t>
      </w:r>
      <w:r w:rsidR="00414BCC">
        <w:rPr>
          <w:rFonts w:ascii="Open Sans" w:eastAsia="Times New Roman" w:hAnsi="Open Sans" w:cs="Open Sans"/>
          <w:sz w:val="20"/>
          <w:szCs w:val="20"/>
        </w:rPr>
        <w:t xml:space="preserve">prescribe </w:t>
      </w:r>
      <w:r w:rsidR="00A10BD6" w:rsidRPr="00B6156E">
        <w:rPr>
          <w:rFonts w:ascii="Open Sans" w:eastAsia="Times New Roman" w:hAnsi="Open Sans" w:cs="Open Sans"/>
          <w:sz w:val="20"/>
          <w:szCs w:val="20"/>
        </w:rPr>
        <w:t>in accordance with any restrictions specified in a listing.</w:t>
      </w:r>
    </w:p>
    <w:p w14:paraId="4E515FA0" w14:textId="77777777" w:rsidR="00B6156E" w:rsidRPr="00B6156E" w:rsidRDefault="00B6156E" w:rsidP="00D349CF">
      <w:pPr>
        <w:spacing w:after="90" w:line="286" w:lineRule="atLeast"/>
        <w:ind w:right="147"/>
        <w:rPr>
          <w:rFonts w:ascii="Open Sans" w:eastAsia="Times New Roman" w:hAnsi="Open Sans" w:cs="Open Sans"/>
          <w:sz w:val="20"/>
          <w:szCs w:val="20"/>
          <w:lang w:eastAsia="en-AU"/>
        </w:rPr>
      </w:pPr>
      <w:r w:rsidRPr="00B6156E">
        <w:rPr>
          <w:rFonts w:ascii="Open Sans" w:eastAsia="Times New Roman" w:hAnsi="Open Sans" w:cs="Open Sans"/>
          <w:sz w:val="20"/>
          <w:szCs w:val="20"/>
        </w:rPr>
        <w:t xml:space="preserve">More information can be found by visiting ‘Review of PBS items for prescribing by nurse practitioners and endorsed </w:t>
      </w:r>
      <w:proofErr w:type="gramStart"/>
      <w:r w:rsidRPr="00B6156E">
        <w:rPr>
          <w:rFonts w:ascii="Open Sans" w:eastAsia="Times New Roman" w:hAnsi="Open Sans" w:cs="Open Sans"/>
          <w:sz w:val="20"/>
          <w:szCs w:val="20"/>
        </w:rPr>
        <w:t>midwives‘ on</w:t>
      </w:r>
      <w:proofErr w:type="gramEnd"/>
      <w:r w:rsidRPr="00B6156E">
        <w:rPr>
          <w:rFonts w:ascii="Open Sans" w:eastAsia="Times New Roman" w:hAnsi="Open Sans" w:cs="Open Sans"/>
          <w:sz w:val="20"/>
          <w:szCs w:val="20"/>
        </w:rPr>
        <w:t xml:space="preserve"> the PBS website (</w:t>
      </w:r>
      <w:hyperlink r:id="rId8" w:history="1">
        <w:r w:rsidRPr="00B6156E">
          <w:rPr>
            <w:rStyle w:val="Hyperlink"/>
            <w:rFonts w:ascii="Open Sans" w:eastAsia="Times New Roman" w:hAnsi="Open Sans" w:cs="Open Sans"/>
            <w:sz w:val="20"/>
            <w:szCs w:val="20"/>
          </w:rPr>
          <w:t>www.pbs.gov.au</w:t>
        </w:r>
      </w:hyperlink>
      <w:r w:rsidRPr="00B6156E">
        <w:rPr>
          <w:rFonts w:ascii="Open Sans" w:eastAsia="Times New Roman" w:hAnsi="Open Sans" w:cs="Open Sans"/>
          <w:sz w:val="20"/>
          <w:szCs w:val="20"/>
        </w:rPr>
        <w:t xml:space="preserve">). </w:t>
      </w:r>
    </w:p>
    <w:p w14:paraId="510BD759" w14:textId="77777777" w:rsidR="00B6156E" w:rsidRPr="000D1DC6" w:rsidRDefault="00B6156E" w:rsidP="00B6156E">
      <w:pPr>
        <w:pStyle w:val="ListParagraph"/>
        <w:spacing w:after="0" w:line="240" w:lineRule="auto"/>
        <w:ind w:right="150"/>
        <w:rPr>
          <w:rFonts w:ascii="Open Sans" w:eastAsia="Times New Roman" w:hAnsi="Open Sans" w:cs="Open Sans"/>
          <w:sz w:val="20"/>
          <w:szCs w:val="20"/>
        </w:rPr>
      </w:pPr>
    </w:p>
    <w:p w14:paraId="53A022FF" w14:textId="2BEAF7F4" w:rsidR="00544D36" w:rsidRPr="00544D36" w:rsidRDefault="00544D36" w:rsidP="00544D36">
      <w:pPr>
        <w:keepNext/>
        <w:spacing w:after="0" w:line="240" w:lineRule="auto"/>
        <w:rPr>
          <w:rFonts w:ascii="Arial" w:eastAsia="Times New Roman" w:hAnsi="Arial" w:cs="Arial"/>
          <w:b/>
          <w:bCs/>
          <w:color w:val="000000"/>
          <w:kern w:val="2"/>
          <w14:ligatures w14:val="standardContextual"/>
        </w:rPr>
      </w:pPr>
      <w:r w:rsidRPr="00544D36">
        <w:rPr>
          <w:rFonts w:ascii="Arial" w:eastAsia="Times New Roman" w:hAnsi="Arial" w:cs="Arial"/>
          <w:b/>
          <w:bCs/>
          <w:color w:val="000000"/>
          <w:kern w:val="2"/>
          <w14:ligatures w14:val="standardContextual"/>
        </w:rPr>
        <w:t xml:space="preserve">Table </w:t>
      </w:r>
      <w:r w:rsidR="000D1DC6">
        <w:rPr>
          <w:rFonts w:ascii="Arial" w:eastAsia="Times New Roman" w:hAnsi="Arial" w:cs="Arial"/>
          <w:b/>
          <w:bCs/>
          <w:color w:val="000000"/>
          <w:kern w:val="2"/>
          <w14:ligatures w14:val="standardContextual"/>
        </w:rPr>
        <w:t>1</w:t>
      </w:r>
      <w:r w:rsidRPr="00544D36">
        <w:rPr>
          <w:rFonts w:ascii="Arial" w:eastAsia="Times New Roman" w:hAnsi="Arial" w:cs="Arial"/>
          <w:b/>
          <w:bCs/>
          <w:color w:val="000000"/>
          <w:kern w:val="2"/>
          <w14:ligatures w14:val="standardContextual"/>
        </w:rPr>
        <w:t xml:space="preserve">: </w:t>
      </w:r>
      <w:r w:rsidR="006248F8" w:rsidRPr="00781BD6">
        <w:rPr>
          <w:rFonts w:ascii="Arial" w:eastAsia="Times New Roman" w:hAnsi="Arial" w:cs="Arial"/>
          <w:b/>
          <w:bCs/>
          <w:color w:val="000000"/>
          <w:kern w:val="2"/>
          <w14:ligatures w14:val="standardContextual"/>
        </w:rPr>
        <w:t xml:space="preserve">Medicines recommended by the PBAC for PBS prescribing by </w:t>
      </w:r>
      <w:r w:rsidR="00A11DE9">
        <w:rPr>
          <w:rFonts w:ascii="Arial" w:eastAsia="Times New Roman" w:hAnsi="Arial" w:cs="Arial"/>
          <w:b/>
          <w:bCs/>
          <w:color w:val="000000"/>
          <w:kern w:val="2"/>
          <w14:ligatures w14:val="standardContextual"/>
        </w:rPr>
        <w:t xml:space="preserve">an </w:t>
      </w:r>
      <w:r w:rsidR="006248F8" w:rsidRPr="00781BD6">
        <w:rPr>
          <w:rFonts w:ascii="Arial" w:eastAsia="Times New Roman" w:hAnsi="Arial" w:cs="Arial"/>
          <w:b/>
          <w:bCs/>
          <w:color w:val="000000"/>
          <w:kern w:val="2"/>
          <w14:ligatures w14:val="standardContextual"/>
        </w:rPr>
        <w:t>endorsed midwi</w:t>
      </w:r>
      <w:r w:rsidR="00A11DE9">
        <w:rPr>
          <w:rFonts w:ascii="Arial" w:eastAsia="Times New Roman" w:hAnsi="Arial" w:cs="Arial"/>
          <w:b/>
          <w:bCs/>
          <w:color w:val="000000"/>
          <w:kern w:val="2"/>
          <w14:ligatures w14:val="standardContextual"/>
        </w:rPr>
        <w:t>fe</w:t>
      </w:r>
    </w:p>
    <w:tbl>
      <w:tblPr>
        <w:tblStyle w:val="TableGrid1"/>
        <w:tblW w:w="5000" w:type="pct"/>
        <w:tblLook w:val="04A0" w:firstRow="1" w:lastRow="0" w:firstColumn="1" w:lastColumn="0" w:noHBand="0" w:noVBand="1"/>
      </w:tblPr>
      <w:tblGrid>
        <w:gridCol w:w="2546"/>
        <w:gridCol w:w="2979"/>
        <w:gridCol w:w="3491"/>
      </w:tblGrid>
      <w:tr w:rsidR="00544D36" w:rsidRPr="00544D36" w14:paraId="49FBA34D" w14:textId="77777777" w:rsidTr="00C51D68">
        <w:trPr>
          <w:trHeight w:val="369"/>
          <w:tblHeader/>
        </w:trPr>
        <w:tc>
          <w:tcPr>
            <w:tcW w:w="1412" w:type="pct"/>
            <w:tcBorders>
              <w:top w:val="single" w:sz="4" w:space="0" w:color="auto"/>
              <w:left w:val="single" w:sz="4" w:space="0" w:color="auto"/>
              <w:bottom w:val="single" w:sz="4" w:space="0" w:color="auto"/>
              <w:right w:val="single" w:sz="4" w:space="0" w:color="auto"/>
            </w:tcBorders>
            <w:hideMark/>
          </w:tcPr>
          <w:p w14:paraId="416B835A" w14:textId="77777777" w:rsidR="00544D36" w:rsidRPr="00544D36" w:rsidRDefault="00544D36" w:rsidP="00544D36">
            <w:pPr>
              <w:ind w:left="720" w:hanging="720"/>
              <w:rPr>
                <w:rFonts w:ascii="Arial Narrow" w:eastAsia="Calibri" w:hAnsi="Arial Narrow" w:cs="Arial"/>
                <w:b/>
                <w:bCs/>
                <w:sz w:val="22"/>
                <w:szCs w:val="22"/>
              </w:rPr>
            </w:pPr>
            <w:r w:rsidRPr="00544D36">
              <w:rPr>
                <w:rFonts w:ascii="Arial Narrow" w:eastAsia="Calibri" w:hAnsi="Arial Narrow" w:cs="Arial"/>
                <w:b/>
                <w:bCs/>
                <w:sz w:val="22"/>
                <w:szCs w:val="22"/>
              </w:rPr>
              <w:t>Medicine</w:t>
            </w:r>
          </w:p>
        </w:tc>
        <w:tc>
          <w:tcPr>
            <w:tcW w:w="1652" w:type="pct"/>
            <w:tcBorders>
              <w:top w:val="single" w:sz="4" w:space="0" w:color="auto"/>
              <w:left w:val="single" w:sz="4" w:space="0" w:color="auto"/>
              <w:bottom w:val="single" w:sz="4" w:space="0" w:color="auto"/>
              <w:right w:val="single" w:sz="4" w:space="0" w:color="auto"/>
            </w:tcBorders>
            <w:hideMark/>
          </w:tcPr>
          <w:p w14:paraId="549AF10E" w14:textId="77777777" w:rsidR="00544D36" w:rsidRPr="00544D36" w:rsidRDefault="00544D36" w:rsidP="00544D36">
            <w:pPr>
              <w:ind w:left="14" w:hanging="14"/>
              <w:rPr>
                <w:rFonts w:ascii="Arial Narrow" w:eastAsia="Calibri" w:hAnsi="Arial Narrow" w:cs="Arial"/>
                <w:b/>
                <w:bCs/>
                <w:sz w:val="22"/>
                <w:szCs w:val="22"/>
              </w:rPr>
            </w:pPr>
            <w:r w:rsidRPr="00544D36">
              <w:rPr>
                <w:rFonts w:ascii="Arial Narrow" w:eastAsia="Calibri" w:hAnsi="Arial Narrow" w:cs="Arial"/>
                <w:b/>
                <w:bCs/>
                <w:sz w:val="22"/>
                <w:szCs w:val="22"/>
              </w:rPr>
              <w:t>Relevant PBS restriction</w:t>
            </w:r>
          </w:p>
        </w:tc>
        <w:tc>
          <w:tcPr>
            <w:tcW w:w="1937" w:type="pct"/>
            <w:tcBorders>
              <w:top w:val="single" w:sz="4" w:space="0" w:color="auto"/>
              <w:left w:val="single" w:sz="4" w:space="0" w:color="auto"/>
              <w:bottom w:val="single" w:sz="4" w:space="0" w:color="auto"/>
              <w:right w:val="single" w:sz="4" w:space="0" w:color="auto"/>
            </w:tcBorders>
            <w:noWrap/>
            <w:hideMark/>
          </w:tcPr>
          <w:p w14:paraId="571E8C5D" w14:textId="77777777" w:rsidR="00544D36" w:rsidRPr="00544D36" w:rsidRDefault="00544D36" w:rsidP="00544D36">
            <w:pPr>
              <w:rPr>
                <w:rFonts w:ascii="Arial Narrow" w:eastAsia="Calibri" w:hAnsi="Arial Narrow" w:cs="Arial"/>
                <w:b/>
                <w:bCs/>
                <w:sz w:val="22"/>
                <w:szCs w:val="22"/>
              </w:rPr>
            </w:pPr>
            <w:r w:rsidRPr="00544D36">
              <w:rPr>
                <w:rFonts w:ascii="Arial Narrow" w:eastAsia="Calibri" w:hAnsi="Arial Narrow" w:cs="Arial"/>
                <w:b/>
                <w:bCs/>
                <w:sz w:val="22"/>
                <w:szCs w:val="22"/>
              </w:rPr>
              <w:t>Midwifery/obstetric purpose cited</w:t>
            </w:r>
          </w:p>
        </w:tc>
      </w:tr>
      <w:tr w:rsidR="00544D36" w:rsidRPr="00544D36" w14:paraId="0D89E4E4" w14:textId="77777777" w:rsidTr="00C25949">
        <w:trPr>
          <w:trHeight w:val="300"/>
        </w:trPr>
        <w:tc>
          <w:tcPr>
            <w:tcW w:w="5000" w:type="pct"/>
            <w:gridSpan w:val="3"/>
            <w:tcBorders>
              <w:top w:val="single" w:sz="4" w:space="0" w:color="auto"/>
              <w:left w:val="single" w:sz="4" w:space="0" w:color="auto"/>
              <w:bottom w:val="single" w:sz="4" w:space="0" w:color="auto"/>
              <w:right w:val="single" w:sz="4" w:space="0" w:color="auto"/>
            </w:tcBorders>
            <w:hideMark/>
          </w:tcPr>
          <w:p w14:paraId="55B4A0CE"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Anti-infectives</w:t>
            </w:r>
          </w:p>
        </w:tc>
      </w:tr>
      <w:tr w:rsidR="00544D36" w:rsidRPr="00544D36" w14:paraId="0094F029" w14:textId="77777777" w:rsidTr="00C51D68">
        <w:trPr>
          <w:trHeight w:val="488"/>
        </w:trPr>
        <w:tc>
          <w:tcPr>
            <w:tcW w:w="1412" w:type="pct"/>
            <w:tcBorders>
              <w:top w:val="single" w:sz="4" w:space="0" w:color="auto"/>
              <w:left w:val="single" w:sz="4" w:space="0" w:color="auto"/>
              <w:bottom w:val="single" w:sz="4" w:space="0" w:color="auto"/>
              <w:right w:val="single" w:sz="4" w:space="0" w:color="auto"/>
            </w:tcBorders>
            <w:hideMark/>
          </w:tcPr>
          <w:p w14:paraId="7E1EC170" w14:textId="77777777" w:rsidR="00544D36" w:rsidRPr="00544D36" w:rsidRDefault="00544D36" w:rsidP="00544D36">
            <w:pPr>
              <w:ind w:left="720" w:hanging="720"/>
              <w:rPr>
                <w:rFonts w:ascii="Arial Narrow" w:eastAsia="Calibri" w:hAnsi="Arial Narrow" w:cs="Arial"/>
                <w:sz w:val="22"/>
                <w:szCs w:val="22"/>
              </w:rPr>
            </w:pPr>
            <w:proofErr w:type="spellStart"/>
            <w:r w:rsidRPr="00544D36">
              <w:rPr>
                <w:rFonts w:ascii="Arial Narrow" w:eastAsia="Calibri" w:hAnsi="Arial Narrow" w:cs="Arial"/>
                <w:sz w:val="22"/>
                <w:szCs w:val="22"/>
              </w:rPr>
              <w:t>Aciclovir</w:t>
            </w:r>
            <w:proofErr w:type="spellEnd"/>
          </w:p>
        </w:tc>
        <w:tc>
          <w:tcPr>
            <w:tcW w:w="1652" w:type="pct"/>
            <w:vMerge w:val="restart"/>
            <w:tcBorders>
              <w:top w:val="single" w:sz="4" w:space="0" w:color="auto"/>
              <w:left w:val="single" w:sz="4" w:space="0" w:color="auto"/>
              <w:bottom w:val="single" w:sz="4" w:space="0" w:color="auto"/>
              <w:right w:val="single" w:sz="4" w:space="0" w:color="auto"/>
            </w:tcBorders>
            <w:hideMark/>
          </w:tcPr>
          <w:p w14:paraId="7CEFD1E1" w14:textId="590D153C"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Initial or recurrent moderate to severe genital herpes – episodic or suppressive therapy</w:t>
            </w:r>
          </w:p>
        </w:tc>
        <w:tc>
          <w:tcPr>
            <w:tcW w:w="1937" w:type="pct"/>
            <w:vMerge w:val="restart"/>
            <w:tcBorders>
              <w:top w:val="single" w:sz="4" w:space="0" w:color="auto"/>
              <w:left w:val="single" w:sz="4" w:space="0" w:color="auto"/>
              <w:bottom w:val="single" w:sz="4" w:space="0" w:color="auto"/>
              <w:right w:val="single" w:sz="4" w:space="0" w:color="auto"/>
            </w:tcBorders>
            <w:hideMark/>
          </w:tcPr>
          <w:p w14:paraId="1753B008" w14:textId="1E79FDE4"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Prevention of herpes outbreak from 36 weeks or treatment of existing outbreak</w:t>
            </w:r>
          </w:p>
        </w:tc>
      </w:tr>
      <w:tr w:rsidR="00544D36" w:rsidRPr="00544D36" w14:paraId="1337B599" w14:textId="77777777" w:rsidTr="00C51D68">
        <w:trPr>
          <w:trHeight w:val="441"/>
        </w:trPr>
        <w:tc>
          <w:tcPr>
            <w:tcW w:w="1412" w:type="pct"/>
            <w:tcBorders>
              <w:top w:val="single" w:sz="4" w:space="0" w:color="auto"/>
              <w:left w:val="single" w:sz="4" w:space="0" w:color="auto"/>
              <w:bottom w:val="single" w:sz="4" w:space="0" w:color="auto"/>
              <w:right w:val="single" w:sz="4" w:space="0" w:color="auto"/>
            </w:tcBorders>
            <w:hideMark/>
          </w:tcPr>
          <w:p w14:paraId="6CCE12C8"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Valaciclovir</w:t>
            </w:r>
          </w:p>
        </w:tc>
        <w:tc>
          <w:tcPr>
            <w:tcW w:w="1652" w:type="pct"/>
            <w:vMerge/>
            <w:tcBorders>
              <w:top w:val="single" w:sz="4" w:space="0" w:color="auto"/>
              <w:left w:val="single" w:sz="4" w:space="0" w:color="auto"/>
              <w:bottom w:val="single" w:sz="4" w:space="0" w:color="auto"/>
              <w:right w:val="single" w:sz="4" w:space="0" w:color="auto"/>
            </w:tcBorders>
            <w:vAlign w:val="center"/>
            <w:hideMark/>
          </w:tcPr>
          <w:p w14:paraId="38B38436" w14:textId="77777777" w:rsidR="00544D36" w:rsidRPr="00544D36" w:rsidRDefault="00544D36" w:rsidP="00544D36">
            <w:pPr>
              <w:rPr>
                <w:rFonts w:ascii="Arial Narrow" w:eastAsia="Calibri" w:hAnsi="Arial Narrow" w:cs="Arial"/>
                <w:sz w:val="22"/>
                <w:szCs w:val="22"/>
              </w:rPr>
            </w:pPr>
          </w:p>
        </w:tc>
        <w:tc>
          <w:tcPr>
            <w:tcW w:w="1937" w:type="pct"/>
            <w:vMerge/>
            <w:tcBorders>
              <w:top w:val="single" w:sz="4" w:space="0" w:color="auto"/>
              <w:left w:val="single" w:sz="4" w:space="0" w:color="auto"/>
              <w:bottom w:val="single" w:sz="4" w:space="0" w:color="auto"/>
              <w:right w:val="single" w:sz="4" w:space="0" w:color="auto"/>
            </w:tcBorders>
            <w:vAlign w:val="center"/>
            <w:hideMark/>
          </w:tcPr>
          <w:p w14:paraId="59E3CCE1" w14:textId="77777777" w:rsidR="00544D36" w:rsidRPr="00544D36" w:rsidRDefault="00544D36" w:rsidP="00544D36">
            <w:pPr>
              <w:rPr>
                <w:rFonts w:ascii="Arial Narrow" w:eastAsia="Calibri" w:hAnsi="Arial Narrow" w:cs="Arial"/>
                <w:sz w:val="22"/>
                <w:szCs w:val="22"/>
              </w:rPr>
            </w:pPr>
          </w:p>
        </w:tc>
      </w:tr>
      <w:tr w:rsidR="00544D36" w:rsidRPr="00544D36" w14:paraId="59599502" w14:textId="77777777" w:rsidTr="00C51D68">
        <w:trPr>
          <w:trHeight w:val="413"/>
        </w:trPr>
        <w:tc>
          <w:tcPr>
            <w:tcW w:w="1412" w:type="pct"/>
            <w:tcBorders>
              <w:top w:val="single" w:sz="4" w:space="0" w:color="auto"/>
              <w:left w:val="single" w:sz="4" w:space="0" w:color="auto"/>
              <w:bottom w:val="single" w:sz="4" w:space="0" w:color="auto"/>
              <w:right w:val="single" w:sz="4" w:space="0" w:color="auto"/>
            </w:tcBorders>
            <w:hideMark/>
          </w:tcPr>
          <w:p w14:paraId="5B3E6A99"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Amoxicillin + Clavulanic acid</w:t>
            </w:r>
          </w:p>
        </w:tc>
        <w:tc>
          <w:tcPr>
            <w:tcW w:w="1652" w:type="pct"/>
            <w:tcBorders>
              <w:top w:val="single" w:sz="4" w:space="0" w:color="auto"/>
              <w:left w:val="single" w:sz="4" w:space="0" w:color="auto"/>
              <w:bottom w:val="single" w:sz="4" w:space="0" w:color="auto"/>
              <w:right w:val="single" w:sz="4" w:space="0" w:color="auto"/>
            </w:tcBorders>
            <w:hideMark/>
          </w:tcPr>
          <w:p w14:paraId="048C5C62" w14:textId="65F48586"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Infection where resistance to amoxicillin is suspected or proven</w:t>
            </w:r>
          </w:p>
        </w:tc>
        <w:tc>
          <w:tcPr>
            <w:tcW w:w="1937" w:type="pct"/>
            <w:tcBorders>
              <w:top w:val="single" w:sz="4" w:space="0" w:color="auto"/>
              <w:left w:val="single" w:sz="4" w:space="0" w:color="auto"/>
              <w:bottom w:val="single" w:sz="4" w:space="0" w:color="auto"/>
              <w:right w:val="single" w:sz="4" w:space="0" w:color="auto"/>
            </w:tcBorders>
            <w:hideMark/>
          </w:tcPr>
          <w:p w14:paraId="17C0C531" w14:textId="61304DA9"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Post-natal perineal infection</w:t>
            </w:r>
          </w:p>
        </w:tc>
      </w:tr>
      <w:tr w:rsidR="00544D36" w:rsidRPr="00544D36" w14:paraId="71CBDADE" w14:textId="77777777" w:rsidTr="00C51D68">
        <w:trPr>
          <w:trHeight w:val="413"/>
        </w:trPr>
        <w:tc>
          <w:tcPr>
            <w:tcW w:w="1412" w:type="pct"/>
            <w:tcBorders>
              <w:top w:val="single" w:sz="4" w:space="0" w:color="auto"/>
              <w:left w:val="single" w:sz="4" w:space="0" w:color="auto"/>
              <w:bottom w:val="single" w:sz="4" w:space="0" w:color="auto"/>
              <w:right w:val="single" w:sz="4" w:space="0" w:color="auto"/>
            </w:tcBorders>
            <w:hideMark/>
          </w:tcPr>
          <w:p w14:paraId="5CB64E02"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Amoxicillin liquid</w:t>
            </w:r>
          </w:p>
        </w:tc>
        <w:tc>
          <w:tcPr>
            <w:tcW w:w="1652" w:type="pct"/>
            <w:tcBorders>
              <w:top w:val="single" w:sz="4" w:space="0" w:color="auto"/>
              <w:left w:val="single" w:sz="4" w:space="0" w:color="auto"/>
              <w:bottom w:val="single" w:sz="4" w:space="0" w:color="auto"/>
              <w:right w:val="single" w:sz="4" w:space="0" w:color="auto"/>
            </w:tcBorders>
            <w:hideMark/>
          </w:tcPr>
          <w:p w14:paraId="58DB8C39"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hideMark/>
          </w:tcPr>
          <w:p w14:paraId="799F5D51" w14:textId="44F2C281"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As an alternative dose form to solid oral dose forms in patients having difficulty swallowing a solid oral dose form</w:t>
            </w:r>
          </w:p>
        </w:tc>
      </w:tr>
      <w:tr w:rsidR="00544D36" w:rsidRPr="00544D36" w14:paraId="629CECFB" w14:textId="77777777" w:rsidTr="00C51D68">
        <w:trPr>
          <w:trHeight w:val="383"/>
        </w:trPr>
        <w:tc>
          <w:tcPr>
            <w:tcW w:w="1412" w:type="pct"/>
            <w:tcBorders>
              <w:top w:val="single" w:sz="4" w:space="0" w:color="auto"/>
              <w:left w:val="single" w:sz="4" w:space="0" w:color="auto"/>
              <w:bottom w:val="single" w:sz="4" w:space="0" w:color="auto"/>
              <w:right w:val="single" w:sz="4" w:space="0" w:color="auto"/>
            </w:tcBorders>
            <w:hideMark/>
          </w:tcPr>
          <w:p w14:paraId="34986CF6"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Azithromycin </w:t>
            </w:r>
          </w:p>
        </w:tc>
        <w:tc>
          <w:tcPr>
            <w:tcW w:w="1652" w:type="pct"/>
            <w:tcBorders>
              <w:top w:val="single" w:sz="4" w:space="0" w:color="auto"/>
              <w:left w:val="single" w:sz="4" w:space="0" w:color="auto"/>
              <w:bottom w:val="single" w:sz="4" w:space="0" w:color="auto"/>
              <w:right w:val="single" w:sz="4" w:space="0" w:color="auto"/>
            </w:tcBorders>
            <w:hideMark/>
          </w:tcPr>
          <w:p w14:paraId="5698EC03" w14:textId="70B340A4"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Urethritis or cervicitis due to chlamydia trachomatis</w:t>
            </w:r>
          </w:p>
        </w:tc>
        <w:tc>
          <w:tcPr>
            <w:tcW w:w="1937" w:type="pct"/>
            <w:tcBorders>
              <w:top w:val="single" w:sz="4" w:space="0" w:color="auto"/>
              <w:left w:val="single" w:sz="4" w:space="0" w:color="auto"/>
              <w:bottom w:val="single" w:sz="4" w:space="0" w:color="auto"/>
              <w:right w:val="single" w:sz="4" w:space="0" w:color="auto"/>
            </w:tcBorders>
            <w:noWrap/>
            <w:hideMark/>
          </w:tcPr>
          <w:p w14:paraId="43A31657" w14:textId="50C1E063"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Sexually transmitted infection</w:t>
            </w:r>
          </w:p>
        </w:tc>
      </w:tr>
      <w:tr w:rsidR="00544D36" w:rsidRPr="00544D36" w14:paraId="551EC998" w14:textId="77777777" w:rsidTr="00C51D68">
        <w:trPr>
          <w:trHeight w:val="549"/>
        </w:trPr>
        <w:tc>
          <w:tcPr>
            <w:tcW w:w="1412" w:type="pct"/>
            <w:tcBorders>
              <w:top w:val="single" w:sz="4" w:space="0" w:color="auto"/>
              <w:left w:val="single" w:sz="4" w:space="0" w:color="auto"/>
              <w:bottom w:val="single" w:sz="4" w:space="0" w:color="auto"/>
              <w:right w:val="single" w:sz="4" w:space="0" w:color="auto"/>
            </w:tcBorders>
          </w:tcPr>
          <w:p w14:paraId="393C502C" w14:textId="620488C2"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Benzylpenicillin 3</w:t>
            </w:r>
            <w:r w:rsidR="000E7D04" w:rsidRPr="00512428">
              <w:rPr>
                <w:rFonts w:ascii="Arial Narrow" w:eastAsia="Calibri" w:hAnsi="Arial Narrow" w:cs="Arial"/>
                <w:sz w:val="22"/>
                <w:szCs w:val="22"/>
              </w:rPr>
              <w:t xml:space="preserve"> </w:t>
            </w:r>
            <w:r w:rsidRPr="00544D36">
              <w:rPr>
                <w:rFonts w:ascii="Arial Narrow" w:eastAsia="Calibri" w:hAnsi="Arial Narrow" w:cs="Arial"/>
                <w:sz w:val="22"/>
                <w:szCs w:val="22"/>
              </w:rPr>
              <w:t>g injection</w:t>
            </w:r>
          </w:p>
        </w:tc>
        <w:tc>
          <w:tcPr>
            <w:tcW w:w="1652" w:type="pct"/>
            <w:tcBorders>
              <w:top w:val="single" w:sz="4" w:space="0" w:color="auto"/>
              <w:left w:val="single" w:sz="4" w:space="0" w:color="auto"/>
              <w:bottom w:val="single" w:sz="4" w:space="0" w:color="auto"/>
              <w:right w:val="single" w:sz="4" w:space="0" w:color="auto"/>
            </w:tcBorders>
          </w:tcPr>
          <w:p w14:paraId="59DC6C8B"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Prescriber bag listing</w:t>
            </w:r>
          </w:p>
        </w:tc>
        <w:tc>
          <w:tcPr>
            <w:tcW w:w="1937" w:type="pct"/>
            <w:tcBorders>
              <w:top w:val="single" w:sz="4" w:space="0" w:color="auto"/>
              <w:left w:val="single" w:sz="4" w:space="0" w:color="auto"/>
              <w:bottom w:val="single" w:sz="4" w:space="0" w:color="auto"/>
              <w:right w:val="single" w:sz="4" w:space="0" w:color="auto"/>
            </w:tcBorders>
          </w:tcPr>
          <w:p w14:paraId="783CF20D" w14:textId="6E4321E8"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First line management of suspected sepsis in labour, Group B streptococcus positivity in labour</w:t>
            </w:r>
          </w:p>
        </w:tc>
      </w:tr>
      <w:tr w:rsidR="00544D36" w:rsidRPr="00544D36" w14:paraId="2ABD4A31" w14:textId="77777777" w:rsidTr="00C51D68">
        <w:trPr>
          <w:trHeight w:val="549"/>
        </w:trPr>
        <w:tc>
          <w:tcPr>
            <w:tcW w:w="1412" w:type="pct"/>
            <w:tcBorders>
              <w:top w:val="single" w:sz="4" w:space="0" w:color="auto"/>
              <w:left w:val="single" w:sz="4" w:space="0" w:color="auto"/>
              <w:bottom w:val="single" w:sz="4" w:space="0" w:color="auto"/>
              <w:right w:val="single" w:sz="4" w:space="0" w:color="auto"/>
            </w:tcBorders>
            <w:hideMark/>
          </w:tcPr>
          <w:p w14:paraId="1928A337"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Cefalexin liquid</w:t>
            </w:r>
          </w:p>
        </w:tc>
        <w:tc>
          <w:tcPr>
            <w:tcW w:w="1652" w:type="pct"/>
            <w:tcBorders>
              <w:top w:val="single" w:sz="4" w:space="0" w:color="auto"/>
              <w:left w:val="single" w:sz="4" w:space="0" w:color="auto"/>
              <w:bottom w:val="single" w:sz="4" w:space="0" w:color="auto"/>
              <w:right w:val="single" w:sz="4" w:space="0" w:color="auto"/>
            </w:tcBorders>
            <w:hideMark/>
          </w:tcPr>
          <w:p w14:paraId="470A2409"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hideMark/>
          </w:tcPr>
          <w:p w14:paraId="6B1549CE" w14:textId="3192448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Mastitis - as an alternative dose form to solid oral dose forms in patients having difficulty swallowing a solid oral dose form</w:t>
            </w:r>
          </w:p>
        </w:tc>
      </w:tr>
      <w:tr w:rsidR="00544D36" w:rsidRPr="00544D36" w14:paraId="4649630A" w14:textId="77777777" w:rsidTr="00C51D68">
        <w:trPr>
          <w:trHeight w:val="569"/>
        </w:trPr>
        <w:tc>
          <w:tcPr>
            <w:tcW w:w="1412" w:type="pct"/>
            <w:tcBorders>
              <w:top w:val="single" w:sz="4" w:space="0" w:color="auto"/>
              <w:left w:val="single" w:sz="4" w:space="0" w:color="auto"/>
              <w:bottom w:val="single" w:sz="4" w:space="0" w:color="auto"/>
              <w:right w:val="single" w:sz="4" w:space="0" w:color="auto"/>
            </w:tcBorders>
            <w:hideMark/>
          </w:tcPr>
          <w:p w14:paraId="3AD3F213"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Cefazolin</w:t>
            </w:r>
          </w:p>
        </w:tc>
        <w:tc>
          <w:tcPr>
            <w:tcW w:w="1652" w:type="pct"/>
            <w:tcBorders>
              <w:top w:val="single" w:sz="4" w:space="0" w:color="auto"/>
              <w:left w:val="single" w:sz="4" w:space="0" w:color="auto"/>
              <w:bottom w:val="single" w:sz="4" w:space="0" w:color="auto"/>
              <w:right w:val="single" w:sz="4" w:space="0" w:color="auto"/>
            </w:tcBorders>
            <w:hideMark/>
          </w:tcPr>
          <w:p w14:paraId="6FFA862F" w14:textId="27C3C10D"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Infection where positive bacteriological evidence confirms that this antibiotic is an appropriate therapeutic agent</w:t>
            </w:r>
          </w:p>
        </w:tc>
        <w:tc>
          <w:tcPr>
            <w:tcW w:w="1937" w:type="pct"/>
            <w:tcBorders>
              <w:top w:val="single" w:sz="4" w:space="0" w:color="auto"/>
              <w:left w:val="single" w:sz="4" w:space="0" w:color="auto"/>
              <w:bottom w:val="single" w:sz="4" w:space="0" w:color="auto"/>
              <w:right w:val="single" w:sz="4" w:space="0" w:color="auto"/>
            </w:tcBorders>
            <w:hideMark/>
          </w:tcPr>
          <w:p w14:paraId="78FABD9F" w14:textId="18CBAB61"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Group B streptococcus positivity in labour</w:t>
            </w:r>
            <w:r w:rsidRPr="00544D36">
              <w:rPr>
                <w:rFonts w:ascii="Arial Narrow" w:eastAsia="Calibri" w:hAnsi="Arial Narrow" w:cs="Arial"/>
                <w:sz w:val="22"/>
                <w:szCs w:val="22"/>
              </w:rPr>
              <w:br/>
              <w:t>Mastitis</w:t>
            </w:r>
          </w:p>
        </w:tc>
      </w:tr>
      <w:tr w:rsidR="00544D36" w:rsidRPr="00544D36" w14:paraId="63E3EFE1" w14:textId="77777777" w:rsidTr="00C51D68">
        <w:trPr>
          <w:trHeight w:val="271"/>
        </w:trPr>
        <w:tc>
          <w:tcPr>
            <w:tcW w:w="1412" w:type="pct"/>
            <w:tcBorders>
              <w:top w:val="single" w:sz="4" w:space="0" w:color="auto"/>
              <w:left w:val="single" w:sz="4" w:space="0" w:color="auto"/>
              <w:bottom w:val="single" w:sz="4" w:space="0" w:color="auto"/>
              <w:right w:val="single" w:sz="4" w:space="0" w:color="auto"/>
            </w:tcBorders>
            <w:hideMark/>
          </w:tcPr>
          <w:p w14:paraId="08694E3A"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Ceftriaxone</w:t>
            </w:r>
          </w:p>
        </w:tc>
        <w:tc>
          <w:tcPr>
            <w:tcW w:w="1652" w:type="pct"/>
            <w:tcBorders>
              <w:top w:val="single" w:sz="4" w:space="0" w:color="auto"/>
              <w:left w:val="single" w:sz="4" w:space="0" w:color="auto"/>
              <w:bottom w:val="single" w:sz="4" w:space="0" w:color="auto"/>
              <w:right w:val="single" w:sz="4" w:space="0" w:color="auto"/>
            </w:tcBorders>
            <w:hideMark/>
          </w:tcPr>
          <w:p w14:paraId="4AEAC782" w14:textId="1BD1D1BD"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Infection where positive bacteriological evidence confirms that this antibiotic is an appropriate therapeutic agent</w:t>
            </w:r>
          </w:p>
        </w:tc>
        <w:tc>
          <w:tcPr>
            <w:tcW w:w="1937" w:type="pct"/>
            <w:tcBorders>
              <w:top w:val="single" w:sz="4" w:space="0" w:color="auto"/>
              <w:left w:val="single" w:sz="4" w:space="0" w:color="auto"/>
              <w:bottom w:val="single" w:sz="4" w:space="0" w:color="auto"/>
              <w:right w:val="single" w:sz="4" w:space="0" w:color="auto"/>
            </w:tcBorders>
            <w:hideMark/>
          </w:tcPr>
          <w:p w14:paraId="2BF4A829" w14:textId="1B72E1D8"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Sexually transmitted infection</w:t>
            </w:r>
          </w:p>
        </w:tc>
      </w:tr>
      <w:tr w:rsidR="00544D36" w:rsidRPr="00544D36" w14:paraId="5C12DAB6" w14:textId="77777777" w:rsidTr="00C51D68">
        <w:trPr>
          <w:trHeight w:val="333"/>
        </w:trPr>
        <w:tc>
          <w:tcPr>
            <w:tcW w:w="1412" w:type="pct"/>
            <w:tcBorders>
              <w:top w:val="single" w:sz="4" w:space="0" w:color="auto"/>
              <w:left w:val="single" w:sz="4" w:space="0" w:color="auto"/>
              <w:bottom w:val="single" w:sz="4" w:space="0" w:color="auto"/>
              <w:right w:val="single" w:sz="4" w:space="0" w:color="auto"/>
            </w:tcBorders>
            <w:hideMark/>
          </w:tcPr>
          <w:p w14:paraId="3A76736A"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Doxycycline </w:t>
            </w:r>
          </w:p>
        </w:tc>
        <w:tc>
          <w:tcPr>
            <w:tcW w:w="1652" w:type="pct"/>
            <w:tcBorders>
              <w:top w:val="single" w:sz="4" w:space="0" w:color="auto"/>
              <w:left w:val="single" w:sz="4" w:space="0" w:color="auto"/>
              <w:bottom w:val="single" w:sz="4" w:space="0" w:color="auto"/>
              <w:right w:val="single" w:sz="4" w:space="0" w:color="auto"/>
            </w:tcBorders>
            <w:hideMark/>
          </w:tcPr>
          <w:p w14:paraId="6D3679D4" w14:textId="77777777"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hideMark/>
          </w:tcPr>
          <w:p w14:paraId="5DECAF6D" w14:textId="33A0FB11"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Sexually transmitted infection</w:t>
            </w:r>
          </w:p>
        </w:tc>
      </w:tr>
      <w:tr w:rsidR="00544D36" w:rsidRPr="00544D36" w14:paraId="4170AFB1" w14:textId="77777777" w:rsidTr="00C51D68">
        <w:trPr>
          <w:trHeight w:val="315"/>
        </w:trPr>
        <w:tc>
          <w:tcPr>
            <w:tcW w:w="1412" w:type="pct"/>
            <w:tcBorders>
              <w:top w:val="single" w:sz="4" w:space="0" w:color="auto"/>
              <w:left w:val="single" w:sz="4" w:space="0" w:color="auto"/>
              <w:bottom w:val="single" w:sz="4" w:space="0" w:color="auto"/>
              <w:right w:val="single" w:sz="4" w:space="0" w:color="auto"/>
            </w:tcBorders>
            <w:hideMark/>
          </w:tcPr>
          <w:p w14:paraId="5A5D6A75"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Erythromycin</w:t>
            </w:r>
          </w:p>
        </w:tc>
        <w:tc>
          <w:tcPr>
            <w:tcW w:w="1652" w:type="pct"/>
            <w:tcBorders>
              <w:top w:val="single" w:sz="4" w:space="0" w:color="auto"/>
              <w:left w:val="single" w:sz="4" w:space="0" w:color="auto"/>
              <w:bottom w:val="single" w:sz="4" w:space="0" w:color="auto"/>
              <w:right w:val="single" w:sz="4" w:space="0" w:color="auto"/>
            </w:tcBorders>
            <w:hideMark/>
          </w:tcPr>
          <w:p w14:paraId="4CC9EB63"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noWrap/>
            <w:hideMark/>
          </w:tcPr>
          <w:p w14:paraId="7958097B" w14:textId="0F48108B"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Prolonged rupture of membranes</w:t>
            </w:r>
          </w:p>
        </w:tc>
      </w:tr>
      <w:tr w:rsidR="00544D36" w:rsidRPr="00544D36" w14:paraId="4E5C46A3" w14:textId="77777777" w:rsidTr="00C51D68">
        <w:trPr>
          <w:trHeight w:val="333"/>
        </w:trPr>
        <w:tc>
          <w:tcPr>
            <w:tcW w:w="1412" w:type="pct"/>
            <w:tcBorders>
              <w:top w:val="single" w:sz="4" w:space="0" w:color="auto"/>
              <w:left w:val="single" w:sz="4" w:space="0" w:color="auto"/>
              <w:bottom w:val="single" w:sz="4" w:space="0" w:color="auto"/>
              <w:right w:val="single" w:sz="4" w:space="0" w:color="auto"/>
            </w:tcBorders>
            <w:hideMark/>
          </w:tcPr>
          <w:p w14:paraId="1B10E475"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Flucloxacillin injection, oral liquid</w:t>
            </w:r>
          </w:p>
        </w:tc>
        <w:tc>
          <w:tcPr>
            <w:tcW w:w="1652" w:type="pct"/>
            <w:tcBorders>
              <w:top w:val="single" w:sz="4" w:space="0" w:color="auto"/>
              <w:left w:val="single" w:sz="4" w:space="0" w:color="auto"/>
              <w:bottom w:val="single" w:sz="4" w:space="0" w:color="auto"/>
              <w:right w:val="single" w:sz="4" w:space="0" w:color="auto"/>
            </w:tcBorders>
            <w:hideMark/>
          </w:tcPr>
          <w:p w14:paraId="72191718"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p w14:paraId="4797F592" w14:textId="5B67F41C"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Serious staphylococcal infection</w:t>
            </w:r>
          </w:p>
        </w:tc>
        <w:tc>
          <w:tcPr>
            <w:tcW w:w="1937" w:type="pct"/>
            <w:tcBorders>
              <w:top w:val="single" w:sz="4" w:space="0" w:color="auto"/>
              <w:left w:val="single" w:sz="4" w:space="0" w:color="auto"/>
              <w:bottom w:val="single" w:sz="4" w:space="0" w:color="auto"/>
              <w:right w:val="single" w:sz="4" w:space="0" w:color="auto"/>
            </w:tcBorders>
            <w:noWrap/>
            <w:hideMark/>
          </w:tcPr>
          <w:p w14:paraId="2BB4B3A3"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Mastitis</w:t>
            </w:r>
          </w:p>
        </w:tc>
      </w:tr>
      <w:tr w:rsidR="00544D36" w:rsidRPr="00544D36" w14:paraId="6E81B852" w14:textId="77777777" w:rsidTr="00C51D68">
        <w:trPr>
          <w:trHeight w:val="379"/>
        </w:trPr>
        <w:tc>
          <w:tcPr>
            <w:tcW w:w="1412" w:type="pct"/>
            <w:tcBorders>
              <w:top w:val="single" w:sz="4" w:space="0" w:color="auto"/>
              <w:left w:val="single" w:sz="4" w:space="0" w:color="auto"/>
              <w:bottom w:val="single" w:sz="4" w:space="0" w:color="auto"/>
              <w:right w:val="single" w:sz="4" w:space="0" w:color="auto"/>
            </w:tcBorders>
            <w:hideMark/>
          </w:tcPr>
          <w:p w14:paraId="450EAD90"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Metronidazole oral liquid, tablets</w:t>
            </w:r>
          </w:p>
        </w:tc>
        <w:tc>
          <w:tcPr>
            <w:tcW w:w="1652" w:type="pct"/>
            <w:tcBorders>
              <w:top w:val="single" w:sz="4" w:space="0" w:color="auto"/>
              <w:left w:val="single" w:sz="4" w:space="0" w:color="auto"/>
              <w:bottom w:val="single" w:sz="4" w:space="0" w:color="auto"/>
              <w:right w:val="single" w:sz="4" w:space="0" w:color="auto"/>
            </w:tcBorders>
          </w:tcPr>
          <w:p w14:paraId="5F2538B0"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Unrestricted benefit, </w:t>
            </w:r>
          </w:p>
          <w:p w14:paraId="31FCADCD" w14:textId="3E0CB5B5"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Anaerobic infections</w:t>
            </w:r>
          </w:p>
          <w:p w14:paraId="45A46099" w14:textId="77777777" w:rsidR="00544D36" w:rsidRPr="00544D36" w:rsidRDefault="00544D36" w:rsidP="00544D36">
            <w:pPr>
              <w:ind w:left="720" w:hanging="720"/>
              <w:rPr>
                <w:rFonts w:ascii="Arial Narrow" w:eastAsia="Calibri" w:hAnsi="Arial Narrow" w:cs="Arial"/>
                <w:sz w:val="22"/>
                <w:szCs w:val="22"/>
              </w:rPr>
            </w:pPr>
          </w:p>
        </w:tc>
        <w:tc>
          <w:tcPr>
            <w:tcW w:w="1937" w:type="pct"/>
            <w:tcBorders>
              <w:top w:val="single" w:sz="4" w:space="0" w:color="auto"/>
              <w:left w:val="single" w:sz="4" w:space="0" w:color="auto"/>
              <w:bottom w:val="single" w:sz="4" w:space="0" w:color="auto"/>
              <w:right w:val="single" w:sz="4" w:space="0" w:color="auto"/>
            </w:tcBorders>
            <w:noWrap/>
            <w:hideMark/>
          </w:tcPr>
          <w:p w14:paraId="4E1AA03A" w14:textId="0B1CF02F"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Bacterial vaginosis</w:t>
            </w:r>
          </w:p>
        </w:tc>
      </w:tr>
      <w:tr w:rsidR="00544D36" w:rsidRPr="00544D36" w14:paraId="3E51A25C" w14:textId="77777777" w:rsidTr="00C51D68">
        <w:trPr>
          <w:trHeight w:val="283"/>
        </w:trPr>
        <w:tc>
          <w:tcPr>
            <w:tcW w:w="1412" w:type="pct"/>
            <w:tcBorders>
              <w:top w:val="single" w:sz="4" w:space="0" w:color="auto"/>
              <w:left w:val="single" w:sz="4" w:space="0" w:color="auto"/>
              <w:bottom w:val="single" w:sz="4" w:space="0" w:color="auto"/>
              <w:right w:val="single" w:sz="4" w:space="0" w:color="auto"/>
            </w:tcBorders>
            <w:hideMark/>
          </w:tcPr>
          <w:p w14:paraId="0189072C"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Trimethoprim </w:t>
            </w:r>
          </w:p>
        </w:tc>
        <w:tc>
          <w:tcPr>
            <w:tcW w:w="1652" w:type="pct"/>
            <w:tcBorders>
              <w:top w:val="single" w:sz="4" w:space="0" w:color="auto"/>
              <w:left w:val="single" w:sz="4" w:space="0" w:color="auto"/>
              <w:bottom w:val="single" w:sz="4" w:space="0" w:color="auto"/>
              <w:right w:val="single" w:sz="4" w:space="0" w:color="auto"/>
            </w:tcBorders>
            <w:hideMark/>
          </w:tcPr>
          <w:p w14:paraId="00E4CD53"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noWrap/>
            <w:hideMark/>
          </w:tcPr>
          <w:p w14:paraId="64A58E51" w14:textId="54F27D64"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Urinary tract infection</w:t>
            </w:r>
          </w:p>
        </w:tc>
      </w:tr>
      <w:tr w:rsidR="00544D36" w:rsidRPr="00544D36" w14:paraId="426963FE" w14:textId="77777777" w:rsidTr="00C51D68">
        <w:trPr>
          <w:trHeight w:val="373"/>
        </w:trPr>
        <w:tc>
          <w:tcPr>
            <w:tcW w:w="1412" w:type="pct"/>
            <w:tcBorders>
              <w:top w:val="single" w:sz="4" w:space="0" w:color="auto"/>
              <w:left w:val="single" w:sz="4" w:space="0" w:color="auto"/>
              <w:bottom w:val="single" w:sz="4" w:space="0" w:color="auto"/>
              <w:right w:val="single" w:sz="4" w:space="0" w:color="auto"/>
            </w:tcBorders>
            <w:hideMark/>
          </w:tcPr>
          <w:p w14:paraId="5CCE8859"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Vancomycin injection</w:t>
            </w:r>
          </w:p>
        </w:tc>
        <w:tc>
          <w:tcPr>
            <w:tcW w:w="1652" w:type="pct"/>
            <w:tcBorders>
              <w:top w:val="single" w:sz="4" w:space="0" w:color="auto"/>
              <w:left w:val="single" w:sz="4" w:space="0" w:color="auto"/>
              <w:bottom w:val="single" w:sz="4" w:space="0" w:color="auto"/>
              <w:right w:val="single" w:sz="4" w:space="0" w:color="auto"/>
            </w:tcBorders>
            <w:hideMark/>
          </w:tcPr>
          <w:p w14:paraId="7A51B1DE" w14:textId="08A3AAF0"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Infection where treatment is initiated in a hospital</w:t>
            </w:r>
          </w:p>
        </w:tc>
        <w:tc>
          <w:tcPr>
            <w:tcW w:w="1937" w:type="pct"/>
            <w:tcBorders>
              <w:top w:val="single" w:sz="4" w:space="0" w:color="auto"/>
              <w:left w:val="single" w:sz="4" w:space="0" w:color="auto"/>
              <w:bottom w:val="single" w:sz="4" w:space="0" w:color="auto"/>
              <w:right w:val="single" w:sz="4" w:space="0" w:color="auto"/>
            </w:tcBorders>
            <w:hideMark/>
          </w:tcPr>
          <w:p w14:paraId="2B21954D" w14:textId="75C14CE0"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Group B streptococcus positivity in labour</w:t>
            </w:r>
          </w:p>
        </w:tc>
      </w:tr>
      <w:tr w:rsidR="00544D36" w:rsidRPr="00544D36" w14:paraId="5C723813" w14:textId="77777777" w:rsidTr="00C25949">
        <w:trPr>
          <w:trHeight w:val="251"/>
        </w:trPr>
        <w:tc>
          <w:tcPr>
            <w:tcW w:w="5000" w:type="pct"/>
            <w:gridSpan w:val="3"/>
            <w:tcBorders>
              <w:top w:val="single" w:sz="4" w:space="0" w:color="auto"/>
              <w:left w:val="single" w:sz="4" w:space="0" w:color="auto"/>
              <w:bottom w:val="single" w:sz="4" w:space="0" w:color="auto"/>
              <w:right w:val="single" w:sz="4" w:space="0" w:color="auto"/>
            </w:tcBorders>
            <w:hideMark/>
          </w:tcPr>
          <w:p w14:paraId="602DE9E1"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Contraceptives</w:t>
            </w:r>
          </w:p>
        </w:tc>
      </w:tr>
      <w:tr w:rsidR="00544D36" w:rsidRPr="00544D36" w14:paraId="0E993CE9" w14:textId="77777777" w:rsidTr="00C51D68">
        <w:trPr>
          <w:trHeight w:val="575"/>
        </w:trPr>
        <w:tc>
          <w:tcPr>
            <w:tcW w:w="1412" w:type="pct"/>
            <w:tcBorders>
              <w:top w:val="single" w:sz="4" w:space="0" w:color="auto"/>
              <w:left w:val="single" w:sz="4" w:space="0" w:color="auto"/>
              <w:bottom w:val="single" w:sz="4" w:space="0" w:color="auto"/>
              <w:right w:val="single" w:sz="4" w:space="0" w:color="auto"/>
            </w:tcBorders>
            <w:hideMark/>
          </w:tcPr>
          <w:p w14:paraId="24DE1ADA"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 xml:space="preserve">Norethisterone 350 mcg tablets </w:t>
            </w:r>
          </w:p>
        </w:tc>
        <w:tc>
          <w:tcPr>
            <w:tcW w:w="1652" w:type="pct"/>
            <w:tcBorders>
              <w:top w:val="single" w:sz="4" w:space="0" w:color="auto"/>
              <w:left w:val="single" w:sz="4" w:space="0" w:color="auto"/>
              <w:bottom w:val="single" w:sz="4" w:space="0" w:color="auto"/>
              <w:right w:val="single" w:sz="4" w:space="0" w:color="auto"/>
            </w:tcBorders>
            <w:hideMark/>
          </w:tcPr>
          <w:p w14:paraId="77B8F0E3"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hideMark/>
          </w:tcPr>
          <w:p w14:paraId="0CFE308D" w14:textId="13AF2EA1" w:rsidR="00544D36" w:rsidRPr="00544D36" w:rsidRDefault="00544D36" w:rsidP="00544D36">
            <w:pPr>
              <w:ind w:left="31" w:hanging="31"/>
              <w:rPr>
                <w:rFonts w:ascii="Arial Narrow" w:eastAsia="Calibri" w:hAnsi="Arial Narrow" w:cs="Arial"/>
                <w:sz w:val="22"/>
                <w:szCs w:val="22"/>
              </w:rPr>
            </w:pPr>
            <w:r w:rsidRPr="00544D36">
              <w:rPr>
                <w:rFonts w:ascii="Arial Narrow" w:eastAsia="Calibri" w:hAnsi="Arial Narrow" w:cs="Arial"/>
                <w:sz w:val="22"/>
                <w:szCs w:val="22"/>
              </w:rPr>
              <w:t>Contraception in breastfeeding mothers</w:t>
            </w:r>
          </w:p>
        </w:tc>
      </w:tr>
      <w:tr w:rsidR="00544D36" w:rsidRPr="00544D36" w14:paraId="3CA1EB76" w14:textId="77777777" w:rsidTr="00C51D68">
        <w:trPr>
          <w:trHeight w:val="524"/>
        </w:trPr>
        <w:tc>
          <w:tcPr>
            <w:tcW w:w="1412" w:type="pct"/>
            <w:tcBorders>
              <w:top w:val="single" w:sz="4" w:space="0" w:color="auto"/>
              <w:left w:val="single" w:sz="4" w:space="0" w:color="auto"/>
              <w:bottom w:val="single" w:sz="4" w:space="0" w:color="auto"/>
              <w:right w:val="single" w:sz="4" w:space="0" w:color="auto"/>
            </w:tcBorders>
            <w:hideMark/>
          </w:tcPr>
          <w:p w14:paraId="27C26627" w14:textId="77777777" w:rsidR="00544D36" w:rsidRPr="00544D36" w:rsidRDefault="00544D36" w:rsidP="00544D36">
            <w:pPr>
              <w:ind w:left="22" w:hanging="22"/>
              <w:rPr>
                <w:rFonts w:ascii="Arial Narrow" w:eastAsia="Calibri" w:hAnsi="Arial Narrow" w:cs="Arial"/>
                <w:sz w:val="22"/>
                <w:szCs w:val="22"/>
              </w:rPr>
            </w:pPr>
            <w:r w:rsidRPr="00544D36">
              <w:rPr>
                <w:rFonts w:ascii="Arial Narrow" w:eastAsia="Calibri" w:hAnsi="Arial Narrow" w:cs="Arial"/>
                <w:sz w:val="22"/>
                <w:szCs w:val="22"/>
              </w:rPr>
              <w:t xml:space="preserve">Medroxyprogesterone depot injection </w:t>
            </w:r>
          </w:p>
        </w:tc>
        <w:tc>
          <w:tcPr>
            <w:tcW w:w="1652" w:type="pct"/>
            <w:tcBorders>
              <w:top w:val="single" w:sz="4" w:space="0" w:color="auto"/>
              <w:left w:val="single" w:sz="4" w:space="0" w:color="auto"/>
              <w:bottom w:val="single" w:sz="4" w:space="0" w:color="auto"/>
              <w:right w:val="single" w:sz="4" w:space="0" w:color="auto"/>
            </w:tcBorders>
            <w:hideMark/>
          </w:tcPr>
          <w:p w14:paraId="67D59FC9"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noWrap/>
            <w:hideMark/>
          </w:tcPr>
          <w:p w14:paraId="095FD603"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Contraception </w:t>
            </w:r>
          </w:p>
        </w:tc>
      </w:tr>
      <w:tr w:rsidR="00544D36" w:rsidRPr="00544D36" w14:paraId="17E3A607" w14:textId="77777777" w:rsidTr="00C51D68">
        <w:trPr>
          <w:trHeight w:val="611"/>
        </w:trPr>
        <w:tc>
          <w:tcPr>
            <w:tcW w:w="1412" w:type="pct"/>
            <w:tcBorders>
              <w:top w:val="single" w:sz="4" w:space="0" w:color="auto"/>
              <w:left w:val="single" w:sz="4" w:space="0" w:color="auto"/>
              <w:bottom w:val="single" w:sz="4" w:space="0" w:color="auto"/>
              <w:right w:val="single" w:sz="4" w:space="0" w:color="auto"/>
            </w:tcBorders>
            <w:hideMark/>
          </w:tcPr>
          <w:p w14:paraId="2AD2D474" w14:textId="77777777" w:rsidR="00544D36" w:rsidRPr="00544D36" w:rsidRDefault="00544D36" w:rsidP="00544D36">
            <w:pPr>
              <w:ind w:left="22" w:hanging="22"/>
              <w:rPr>
                <w:rFonts w:ascii="Arial Narrow" w:eastAsia="Calibri" w:hAnsi="Arial Narrow" w:cs="Arial"/>
                <w:sz w:val="22"/>
                <w:szCs w:val="22"/>
              </w:rPr>
            </w:pPr>
            <w:r w:rsidRPr="00544D36">
              <w:rPr>
                <w:rFonts w:ascii="Arial Narrow" w:eastAsia="Calibri" w:hAnsi="Arial Narrow" w:cs="Arial"/>
                <w:sz w:val="22"/>
                <w:szCs w:val="22"/>
              </w:rPr>
              <w:t>Levonorgestrel 19.5 mg IUD (Kyleena)</w:t>
            </w:r>
          </w:p>
        </w:tc>
        <w:tc>
          <w:tcPr>
            <w:tcW w:w="1652" w:type="pct"/>
            <w:vMerge w:val="restart"/>
            <w:tcBorders>
              <w:top w:val="single" w:sz="4" w:space="0" w:color="auto"/>
              <w:left w:val="single" w:sz="4" w:space="0" w:color="auto"/>
              <w:bottom w:val="single" w:sz="4" w:space="0" w:color="auto"/>
              <w:right w:val="single" w:sz="4" w:space="0" w:color="auto"/>
            </w:tcBorders>
            <w:hideMark/>
          </w:tcPr>
          <w:p w14:paraId="752D1DA9"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Contraception</w:t>
            </w:r>
          </w:p>
        </w:tc>
        <w:tc>
          <w:tcPr>
            <w:tcW w:w="1937" w:type="pct"/>
            <w:vMerge w:val="restart"/>
            <w:tcBorders>
              <w:top w:val="single" w:sz="4" w:space="0" w:color="auto"/>
              <w:left w:val="single" w:sz="4" w:space="0" w:color="auto"/>
              <w:bottom w:val="single" w:sz="4" w:space="0" w:color="auto"/>
              <w:right w:val="single" w:sz="4" w:space="0" w:color="auto"/>
            </w:tcBorders>
            <w:noWrap/>
            <w:hideMark/>
          </w:tcPr>
          <w:p w14:paraId="5ED7CD16"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Contraception</w:t>
            </w:r>
          </w:p>
        </w:tc>
      </w:tr>
      <w:tr w:rsidR="00544D36" w:rsidRPr="00544D36" w14:paraId="6F817103" w14:textId="77777777" w:rsidTr="00C51D68">
        <w:trPr>
          <w:trHeight w:val="574"/>
        </w:trPr>
        <w:tc>
          <w:tcPr>
            <w:tcW w:w="1412" w:type="pct"/>
            <w:tcBorders>
              <w:top w:val="single" w:sz="4" w:space="0" w:color="auto"/>
              <w:left w:val="single" w:sz="4" w:space="0" w:color="auto"/>
              <w:bottom w:val="single" w:sz="4" w:space="0" w:color="auto"/>
              <w:right w:val="single" w:sz="4" w:space="0" w:color="auto"/>
            </w:tcBorders>
            <w:hideMark/>
          </w:tcPr>
          <w:p w14:paraId="136516A3" w14:textId="77777777" w:rsidR="00544D36" w:rsidRPr="00544D36" w:rsidRDefault="00544D36" w:rsidP="00544D36">
            <w:pPr>
              <w:ind w:left="22" w:hanging="22"/>
              <w:rPr>
                <w:rFonts w:ascii="Arial Narrow" w:eastAsia="Calibri" w:hAnsi="Arial Narrow" w:cs="Arial"/>
                <w:sz w:val="22"/>
                <w:szCs w:val="22"/>
              </w:rPr>
            </w:pPr>
            <w:r w:rsidRPr="00544D36">
              <w:rPr>
                <w:rFonts w:ascii="Arial Narrow" w:eastAsia="Calibri" w:hAnsi="Arial Narrow" w:cs="Arial"/>
                <w:sz w:val="22"/>
                <w:szCs w:val="22"/>
              </w:rPr>
              <w:lastRenderedPageBreak/>
              <w:t>Levonorgestrel 52 mg IUD (Mirena)</w:t>
            </w:r>
          </w:p>
        </w:tc>
        <w:tc>
          <w:tcPr>
            <w:tcW w:w="1652" w:type="pct"/>
            <w:vMerge/>
            <w:tcBorders>
              <w:top w:val="single" w:sz="4" w:space="0" w:color="auto"/>
              <w:left w:val="single" w:sz="4" w:space="0" w:color="auto"/>
              <w:bottom w:val="single" w:sz="4" w:space="0" w:color="auto"/>
              <w:right w:val="single" w:sz="4" w:space="0" w:color="auto"/>
            </w:tcBorders>
            <w:vAlign w:val="center"/>
            <w:hideMark/>
          </w:tcPr>
          <w:p w14:paraId="2822389E" w14:textId="77777777" w:rsidR="00544D36" w:rsidRPr="00544D36" w:rsidRDefault="00544D36" w:rsidP="00544D36">
            <w:pPr>
              <w:rPr>
                <w:rFonts w:ascii="Arial Narrow" w:eastAsia="Calibri" w:hAnsi="Arial Narrow" w:cs="Arial"/>
                <w:sz w:val="22"/>
                <w:szCs w:val="22"/>
              </w:rPr>
            </w:pPr>
          </w:p>
        </w:tc>
        <w:tc>
          <w:tcPr>
            <w:tcW w:w="1937" w:type="pct"/>
            <w:vMerge/>
            <w:tcBorders>
              <w:top w:val="single" w:sz="4" w:space="0" w:color="auto"/>
              <w:left w:val="single" w:sz="4" w:space="0" w:color="auto"/>
              <w:bottom w:val="single" w:sz="4" w:space="0" w:color="auto"/>
              <w:right w:val="single" w:sz="4" w:space="0" w:color="auto"/>
            </w:tcBorders>
            <w:vAlign w:val="center"/>
            <w:hideMark/>
          </w:tcPr>
          <w:p w14:paraId="43E2D13A" w14:textId="77777777" w:rsidR="00544D36" w:rsidRPr="00544D36" w:rsidRDefault="00544D36" w:rsidP="00544D36">
            <w:pPr>
              <w:rPr>
                <w:rFonts w:ascii="Arial Narrow" w:eastAsia="Calibri" w:hAnsi="Arial Narrow" w:cs="Arial"/>
                <w:sz w:val="22"/>
                <w:szCs w:val="22"/>
              </w:rPr>
            </w:pPr>
          </w:p>
        </w:tc>
      </w:tr>
      <w:tr w:rsidR="00544D36" w:rsidRPr="00544D36" w14:paraId="5A8BAA06" w14:textId="77777777" w:rsidTr="00C25949">
        <w:trPr>
          <w:trHeight w:val="221"/>
        </w:trPr>
        <w:tc>
          <w:tcPr>
            <w:tcW w:w="5000" w:type="pct"/>
            <w:gridSpan w:val="3"/>
            <w:tcBorders>
              <w:top w:val="single" w:sz="4" w:space="0" w:color="auto"/>
              <w:left w:val="single" w:sz="4" w:space="0" w:color="auto"/>
              <w:bottom w:val="single" w:sz="4" w:space="0" w:color="auto"/>
              <w:right w:val="single" w:sz="4" w:space="0" w:color="auto"/>
            </w:tcBorders>
            <w:hideMark/>
          </w:tcPr>
          <w:p w14:paraId="53D98337"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Pain relief</w:t>
            </w:r>
          </w:p>
        </w:tc>
      </w:tr>
      <w:tr w:rsidR="00544D36" w:rsidRPr="00544D36" w14:paraId="0ABEAE88" w14:textId="77777777" w:rsidTr="00C51D68">
        <w:trPr>
          <w:trHeight w:val="301"/>
        </w:trPr>
        <w:tc>
          <w:tcPr>
            <w:tcW w:w="1412" w:type="pct"/>
            <w:tcBorders>
              <w:top w:val="single" w:sz="4" w:space="0" w:color="auto"/>
              <w:left w:val="single" w:sz="4" w:space="0" w:color="auto"/>
              <w:bottom w:val="single" w:sz="4" w:space="0" w:color="auto"/>
              <w:right w:val="single" w:sz="4" w:space="0" w:color="auto"/>
            </w:tcBorders>
            <w:hideMark/>
          </w:tcPr>
          <w:p w14:paraId="3B06883D"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Diclofenac tablets</w:t>
            </w:r>
          </w:p>
        </w:tc>
        <w:tc>
          <w:tcPr>
            <w:tcW w:w="1652" w:type="pct"/>
            <w:tcBorders>
              <w:top w:val="single" w:sz="4" w:space="0" w:color="auto"/>
              <w:left w:val="single" w:sz="4" w:space="0" w:color="auto"/>
              <w:bottom w:val="single" w:sz="4" w:space="0" w:color="auto"/>
              <w:right w:val="single" w:sz="4" w:space="0" w:color="auto"/>
            </w:tcBorders>
            <w:hideMark/>
          </w:tcPr>
          <w:p w14:paraId="04A560C2"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noWrap/>
            <w:hideMark/>
          </w:tcPr>
          <w:p w14:paraId="577DA8B9" w14:textId="2072E0CF"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Pain and inflammation</w:t>
            </w:r>
          </w:p>
        </w:tc>
      </w:tr>
      <w:tr w:rsidR="00544D36" w:rsidRPr="00544D36" w14:paraId="592D736F" w14:textId="77777777" w:rsidTr="00C51D68">
        <w:trPr>
          <w:trHeight w:val="265"/>
        </w:trPr>
        <w:tc>
          <w:tcPr>
            <w:tcW w:w="1412" w:type="pct"/>
            <w:tcBorders>
              <w:top w:val="single" w:sz="4" w:space="0" w:color="auto"/>
              <w:left w:val="single" w:sz="4" w:space="0" w:color="auto"/>
              <w:bottom w:val="single" w:sz="4" w:space="0" w:color="auto"/>
              <w:right w:val="single" w:sz="4" w:space="0" w:color="auto"/>
            </w:tcBorders>
            <w:hideMark/>
          </w:tcPr>
          <w:p w14:paraId="503A4B68" w14:textId="77777777" w:rsidR="00544D36" w:rsidRPr="00544D36" w:rsidRDefault="00544D36" w:rsidP="00544D36">
            <w:pPr>
              <w:ind w:left="29" w:hanging="29"/>
              <w:rPr>
                <w:rFonts w:ascii="Arial Narrow" w:eastAsia="Calibri" w:hAnsi="Arial Narrow" w:cs="Arial"/>
                <w:sz w:val="22"/>
                <w:szCs w:val="22"/>
              </w:rPr>
            </w:pPr>
            <w:proofErr w:type="spellStart"/>
            <w:r w:rsidRPr="00544D36">
              <w:rPr>
                <w:rFonts w:ascii="Arial Narrow" w:eastAsia="Calibri" w:hAnsi="Arial Narrow" w:cs="Arial"/>
                <w:sz w:val="22"/>
                <w:szCs w:val="22"/>
              </w:rPr>
              <w:t>Indometacin</w:t>
            </w:r>
            <w:proofErr w:type="spellEnd"/>
            <w:r w:rsidRPr="00544D36">
              <w:rPr>
                <w:rFonts w:ascii="Arial Narrow" w:eastAsia="Calibri" w:hAnsi="Arial Narrow" w:cs="Arial"/>
                <w:sz w:val="22"/>
                <w:szCs w:val="22"/>
              </w:rPr>
              <w:t xml:space="preserve"> suppositories</w:t>
            </w:r>
          </w:p>
        </w:tc>
        <w:tc>
          <w:tcPr>
            <w:tcW w:w="1652" w:type="pct"/>
            <w:tcBorders>
              <w:top w:val="single" w:sz="4" w:space="0" w:color="auto"/>
              <w:left w:val="single" w:sz="4" w:space="0" w:color="auto"/>
              <w:bottom w:val="single" w:sz="4" w:space="0" w:color="auto"/>
              <w:right w:val="single" w:sz="4" w:space="0" w:color="auto"/>
            </w:tcBorders>
            <w:hideMark/>
          </w:tcPr>
          <w:p w14:paraId="676BB0DE"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tcBorders>
              <w:top w:val="single" w:sz="4" w:space="0" w:color="auto"/>
              <w:left w:val="single" w:sz="4" w:space="0" w:color="auto"/>
              <w:bottom w:val="single" w:sz="4" w:space="0" w:color="auto"/>
              <w:right w:val="single" w:sz="4" w:space="0" w:color="auto"/>
            </w:tcBorders>
            <w:noWrap/>
            <w:hideMark/>
          </w:tcPr>
          <w:p w14:paraId="296D178E" w14:textId="722736F1"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Pain and inflammation</w:t>
            </w:r>
          </w:p>
        </w:tc>
      </w:tr>
      <w:tr w:rsidR="00544D36" w:rsidRPr="00544D36" w14:paraId="1C41CA69" w14:textId="77777777" w:rsidTr="00C51D68">
        <w:trPr>
          <w:trHeight w:val="285"/>
        </w:trPr>
        <w:tc>
          <w:tcPr>
            <w:tcW w:w="1412" w:type="pct"/>
            <w:tcBorders>
              <w:top w:val="single" w:sz="4" w:space="0" w:color="auto"/>
              <w:left w:val="single" w:sz="4" w:space="0" w:color="auto"/>
              <w:bottom w:val="single" w:sz="4" w:space="0" w:color="auto"/>
              <w:right w:val="single" w:sz="4" w:space="0" w:color="auto"/>
            </w:tcBorders>
            <w:hideMark/>
          </w:tcPr>
          <w:p w14:paraId="3FB242CA"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Paracetamol + codeine</w:t>
            </w:r>
          </w:p>
        </w:tc>
        <w:tc>
          <w:tcPr>
            <w:tcW w:w="1652" w:type="pct"/>
            <w:tcBorders>
              <w:top w:val="single" w:sz="4" w:space="0" w:color="auto"/>
              <w:left w:val="single" w:sz="4" w:space="0" w:color="auto"/>
              <w:bottom w:val="single" w:sz="4" w:space="0" w:color="auto"/>
              <w:right w:val="single" w:sz="4" w:space="0" w:color="auto"/>
            </w:tcBorders>
            <w:hideMark/>
          </w:tcPr>
          <w:p w14:paraId="34B91494" w14:textId="09E165EC"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Short term acute severe pain</w:t>
            </w:r>
          </w:p>
        </w:tc>
        <w:tc>
          <w:tcPr>
            <w:tcW w:w="1937" w:type="pct"/>
            <w:tcBorders>
              <w:top w:val="single" w:sz="4" w:space="0" w:color="auto"/>
              <w:left w:val="single" w:sz="4" w:space="0" w:color="auto"/>
              <w:bottom w:val="single" w:sz="4" w:space="0" w:color="auto"/>
              <w:right w:val="single" w:sz="4" w:space="0" w:color="auto"/>
            </w:tcBorders>
            <w:noWrap/>
            <w:hideMark/>
          </w:tcPr>
          <w:p w14:paraId="3B573966"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Analgesia</w:t>
            </w:r>
          </w:p>
        </w:tc>
      </w:tr>
      <w:tr w:rsidR="00544D36" w:rsidRPr="00544D36" w14:paraId="6DFB453C" w14:textId="77777777" w:rsidTr="00C51D68">
        <w:trPr>
          <w:trHeight w:val="291"/>
        </w:trPr>
        <w:tc>
          <w:tcPr>
            <w:tcW w:w="1412" w:type="pct"/>
            <w:tcBorders>
              <w:top w:val="single" w:sz="4" w:space="0" w:color="auto"/>
              <w:left w:val="single" w:sz="4" w:space="0" w:color="auto"/>
              <w:bottom w:val="single" w:sz="4" w:space="0" w:color="auto"/>
              <w:right w:val="single" w:sz="4" w:space="0" w:color="auto"/>
            </w:tcBorders>
            <w:hideMark/>
          </w:tcPr>
          <w:p w14:paraId="22FED525"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Lidocaine 1% injection</w:t>
            </w:r>
          </w:p>
        </w:tc>
        <w:tc>
          <w:tcPr>
            <w:tcW w:w="1652" w:type="pct"/>
            <w:tcBorders>
              <w:top w:val="single" w:sz="4" w:space="0" w:color="auto"/>
              <w:left w:val="single" w:sz="4" w:space="0" w:color="auto"/>
              <w:bottom w:val="single" w:sz="4" w:space="0" w:color="auto"/>
              <w:right w:val="single" w:sz="4" w:space="0" w:color="auto"/>
            </w:tcBorders>
            <w:hideMark/>
          </w:tcPr>
          <w:p w14:paraId="2543AC5B"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Prescriber bag listing</w:t>
            </w:r>
          </w:p>
        </w:tc>
        <w:tc>
          <w:tcPr>
            <w:tcW w:w="1937" w:type="pct"/>
            <w:tcBorders>
              <w:top w:val="single" w:sz="4" w:space="0" w:color="auto"/>
              <w:left w:val="single" w:sz="4" w:space="0" w:color="auto"/>
              <w:bottom w:val="single" w:sz="4" w:space="0" w:color="auto"/>
              <w:right w:val="single" w:sz="4" w:space="0" w:color="auto"/>
            </w:tcBorders>
            <w:hideMark/>
          </w:tcPr>
          <w:p w14:paraId="3037F693" w14:textId="6573C245"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Local anaesthetic</w:t>
            </w:r>
          </w:p>
        </w:tc>
      </w:tr>
      <w:tr w:rsidR="00544D36" w:rsidRPr="00544D36" w14:paraId="090D11F6" w14:textId="77777777" w:rsidTr="00C25949">
        <w:trPr>
          <w:trHeight w:val="300"/>
        </w:trPr>
        <w:tc>
          <w:tcPr>
            <w:tcW w:w="5000" w:type="pct"/>
            <w:gridSpan w:val="3"/>
            <w:tcBorders>
              <w:top w:val="single" w:sz="4" w:space="0" w:color="auto"/>
              <w:left w:val="single" w:sz="4" w:space="0" w:color="auto"/>
              <w:bottom w:val="single" w:sz="4" w:space="0" w:color="auto"/>
              <w:right w:val="single" w:sz="4" w:space="0" w:color="auto"/>
            </w:tcBorders>
            <w:hideMark/>
          </w:tcPr>
          <w:p w14:paraId="5B9BF4D9"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Iron deficiency</w:t>
            </w:r>
          </w:p>
        </w:tc>
      </w:tr>
      <w:tr w:rsidR="00544D36" w:rsidRPr="00544D36" w14:paraId="53B25065" w14:textId="77777777" w:rsidTr="00C51D68">
        <w:trPr>
          <w:trHeight w:val="305"/>
        </w:trPr>
        <w:tc>
          <w:tcPr>
            <w:tcW w:w="1412" w:type="pct"/>
            <w:tcBorders>
              <w:top w:val="single" w:sz="4" w:space="0" w:color="auto"/>
              <w:left w:val="single" w:sz="4" w:space="0" w:color="auto"/>
              <w:bottom w:val="single" w:sz="4" w:space="0" w:color="auto"/>
              <w:right w:val="single" w:sz="4" w:space="0" w:color="auto"/>
            </w:tcBorders>
            <w:hideMark/>
          </w:tcPr>
          <w:p w14:paraId="5576B7C6" w14:textId="77777777" w:rsidR="00544D36" w:rsidRPr="00544D36" w:rsidRDefault="00544D36" w:rsidP="00544D36">
            <w:pPr>
              <w:ind w:left="22" w:hanging="22"/>
              <w:rPr>
                <w:rFonts w:ascii="Arial Narrow" w:eastAsia="Calibri" w:hAnsi="Arial Narrow" w:cs="Arial"/>
                <w:sz w:val="22"/>
                <w:szCs w:val="22"/>
              </w:rPr>
            </w:pPr>
            <w:r w:rsidRPr="00544D36">
              <w:rPr>
                <w:rFonts w:ascii="Arial Narrow" w:eastAsia="Calibri" w:hAnsi="Arial Narrow" w:cs="Arial"/>
                <w:sz w:val="22"/>
                <w:szCs w:val="22"/>
              </w:rPr>
              <w:t xml:space="preserve">Iron (as ferric </w:t>
            </w:r>
            <w:proofErr w:type="spellStart"/>
            <w:r w:rsidRPr="00544D36">
              <w:rPr>
                <w:rFonts w:ascii="Arial Narrow" w:eastAsia="Calibri" w:hAnsi="Arial Narrow" w:cs="Arial"/>
                <w:sz w:val="22"/>
                <w:szCs w:val="22"/>
              </w:rPr>
              <w:t>carboxymaltose</w:t>
            </w:r>
            <w:proofErr w:type="spellEnd"/>
            <w:r w:rsidRPr="00544D36">
              <w:rPr>
                <w:rFonts w:ascii="Arial Narrow" w:eastAsia="Calibri" w:hAnsi="Arial Narrow" w:cs="Arial"/>
                <w:sz w:val="22"/>
                <w:szCs w:val="22"/>
              </w:rPr>
              <w:t xml:space="preserve">) </w:t>
            </w:r>
          </w:p>
        </w:tc>
        <w:tc>
          <w:tcPr>
            <w:tcW w:w="1652" w:type="pct"/>
            <w:vMerge w:val="restart"/>
            <w:tcBorders>
              <w:top w:val="single" w:sz="4" w:space="0" w:color="auto"/>
              <w:left w:val="single" w:sz="4" w:space="0" w:color="auto"/>
              <w:bottom w:val="single" w:sz="4" w:space="0" w:color="auto"/>
              <w:right w:val="single" w:sz="4" w:space="0" w:color="auto"/>
            </w:tcBorders>
            <w:hideMark/>
          </w:tcPr>
          <w:p w14:paraId="4675039E" w14:textId="77777777"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1937" w:type="pct"/>
            <w:vMerge w:val="restart"/>
            <w:tcBorders>
              <w:top w:val="single" w:sz="4" w:space="0" w:color="auto"/>
              <w:left w:val="single" w:sz="4" w:space="0" w:color="auto"/>
              <w:bottom w:val="single" w:sz="4" w:space="0" w:color="auto"/>
              <w:right w:val="single" w:sz="4" w:space="0" w:color="auto"/>
            </w:tcBorders>
            <w:hideMark/>
          </w:tcPr>
          <w:p w14:paraId="2217E934" w14:textId="77777777" w:rsidR="00BA678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Iron deficient anaemia in pregnancy</w:t>
            </w:r>
            <w:r w:rsidR="00BA6786">
              <w:rPr>
                <w:rFonts w:ascii="Arial Narrow" w:eastAsia="Calibri" w:hAnsi="Arial Narrow" w:cs="Arial"/>
                <w:sz w:val="22"/>
                <w:szCs w:val="22"/>
              </w:rPr>
              <w:t xml:space="preserve"> </w:t>
            </w:r>
          </w:p>
          <w:p w14:paraId="12189254" w14:textId="25049E77" w:rsidR="00544D36" w:rsidRPr="00544D36" w:rsidRDefault="00544D36" w:rsidP="00544D36">
            <w:pPr>
              <w:ind w:left="30" w:hanging="30"/>
              <w:rPr>
                <w:rFonts w:ascii="Arial Narrow" w:eastAsia="Calibri" w:hAnsi="Arial Narrow" w:cs="Arial"/>
                <w:sz w:val="22"/>
                <w:szCs w:val="22"/>
              </w:rPr>
            </w:pPr>
            <w:r w:rsidRPr="00544D36">
              <w:rPr>
                <w:rFonts w:ascii="Arial Narrow" w:eastAsia="Calibri" w:hAnsi="Arial Narrow" w:cs="Arial"/>
                <w:sz w:val="22"/>
                <w:szCs w:val="22"/>
              </w:rPr>
              <w:t>Treatment of low iron postnatally following postpartum haemorrhage</w:t>
            </w:r>
          </w:p>
        </w:tc>
      </w:tr>
      <w:tr w:rsidR="00544D36" w:rsidRPr="00544D36" w14:paraId="45509139" w14:textId="77777777" w:rsidTr="00C51D68">
        <w:trPr>
          <w:trHeight w:val="365"/>
        </w:trPr>
        <w:tc>
          <w:tcPr>
            <w:tcW w:w="1412" w:type="pct"/>
            <w:tcBorders>
              <w:top w:val="single" w:sz="4" w:space="0" w:color="auto"/>
              <w:left w:val="single" w:sz="4" w:space="0" w:color="auto"/>
              <w:bottom w:val="single" w:sz="4" w:space="0" w:color="auto"/>
              <w:right w:val="single" w:sz="4" w:space="0" w:color="auto"/>
            </w:tcBorders>
            <w:hideMark/>
          </w:tcPr>
          <w:p w14:paraId="7AC30F26" w14:textId="77777777" w:rsidR="00544D36" w:rsidRPr="00544D36" w:rsidRDefault="00544D36" w:rsidP="00544D36">
            <w:pPr>
              <w:ind w:left="22" w:hanging="22"/>
              <w:rPr>
                <w:rFonts w:ascii="Arial Narrow" w:eastAsia="Calibri" w:hAnsi="Arial Narrow" w:cs="Arial"/>
                <w:sz w:val="22"/>
                <w:szCs w:val="22"/>
              </w:rPr>
            </w:pPr>
            <w:r w:rsidRPr="00544D36">
              <w:rPr>
                <w:rFonts w:ascii="Arial Narrow" w:eastAsia="Calibri" w:hAnsi="Arial Narrow" w:cs="Arial"/>
                <w:sz w:val="22"/>
                <w:szCs w:val="22"/>
              </w:rPr>
              <w:t>Iron (as polymaltose)</w:t>
            </w:r>
          </w:p>
        </w:tc>
        <w:tc>
          <w:tcPr>
            <w:tcW w:w="1652" w:type="pct"/>
            <w:vMerge/>
            <w:tcBorders>
              <w:top w:val="single" w:sz="4" w:space="0" w:color="auto"/>
              <w:left w:val="single" w:sz="4" w:space="0" w:color="auto"/>
              <w:bottom w:val="single" w:sz="4" w:space="0" w:color="auto"/>
              <w:right w:val="single" w:sz="4" w:space="0" w:color="auto"/>
            </w:tcBorders>
            <w:vAlign w:val="center"/>
            <w:hideMark/>
          </w:tcPr>
          <w:p w14:paraId="28292A8E" w14:textId="77777777" w:rsidR="00544D36" w:rsidRPr="00544D36" w:rsidRDefault="00544D36" w:rsidP="00544D36">
            <w:pPr>
              <w:rPr>
                <w:rFonts w:ascii="Arial Narrow" w:eastAsia="Calibri" w:hAnsi="Arial Narrow" w:cs="Arial"/>
                <w:sz w:val="22"/>
                <w:szCs w:val="22"/>
              </w:rPr>
            </w:pPr>
          </w:p>
        </w:tc>
        <w:tc>
          <w:tcPr>
            <w:tcW w:w="1937" w:type="pct"/>
            <w:vMerge/>
            <w:tcBorders>
              <w:top w:val="single" w:sz="4" w:space="0" w:color="auto"/>
              <w:left w:val="single" w:sz="4" w:space="0" w:color="auto"/>
              <w:bottom w:val="single" w:sz="4" w:space="0" w:color="auto"/>
              <w:right w:val="single" w:sz="4" w:space="0" w:color="auto"/>
            </w:tcBorders>
            <w:vAlign w:val="center"/>
            <w:hideMark/>
          </w:tcPr>
          <w:p w14:paraId="4E5245E7" w14:textId="77777777" w:rsidR="00544D36" w:rsidRPr="00544D36" w:rsidRDefault="00544D36" w:rsidP="00544D36">
            <w:pPr>
              <w:rPr>
                <w:rFonts w:ascii="Arial Narrow" w:eastAsia="Calibri" w:hAnsi="Arial Narrow" w:cs="Arial"/>
                <w:sz w:val="22"/>
                <w:szCs w:val="22"/>
              </w:rPr>
            </w:pPr>
          </w:p>
        </w:tc>
      </w:tr>
      <w:tr w:rsidR="00544D36" w:rsidRPr="00544D36" w14:paraId="345913C7" w14:textId="77777777" w:rsidTr="00C51D68">
        <w:trPr>
          <w:trHeight w:val="393"/>
        </w:trPr>
        <w:tc>
          <w:tcPr>
            <w:tcW w:w="1412" w:type="pct"/>
            <w:tcBorders>
              <w:top w:val="single" w:sz="4" w:space="0" w:color="auto"/>
              <w:left w:val="single" w:sz="4" w:space="0" w:color="auto"/>
              <w:bottom w:val="single" w:sz="4" w:space="0" w:color="auto"/>
              <w:right w:val="single" w:sz="4" w:space="0" w:color="auto"/>
            </w:tcBorders>
            <w:hideMark/>
          </w:tcPr>
          <w:p w14:paraId="3EE01D89" w14:textId="120402C6" w:rsidR="00B138E0" w:rsidRPr="00544D36" w:rsidRDefault="00544D36" w:rsidP="00B47C73">
            <w:pPr>
              <w:ind w:left="22" w:hanging="22"/>
              <w:rPr>
                <w:rFonts w:ascii="Arial Narrow" w:eastAsia="Calibri" w:hAnsi="Arial Narrow" w:cs="Arial"/>
                <w:sz w:val="22"/>
                <w:szCs w:val="22"/>
              </w:rPr>
            </w:pPr>
            <w:r w:rsidRPr="00544D36">
              <w:rPr>
                <w:rFonts w:ascii="Arial Narrow" w:eastAsia="Calibri" w:hAnsi="Arial Narrow" w:cs="Arial"/>
                <w:sz w:val="22"/>
                <w:szCs w:val="22"/>
              </w:rPr>
              <w:t>Ferrous fumarate</w:t>
            </w:r>
            <w:r w:rsidR="00B47C73">
              <w:rPr>
                <w:rFonts w:ascii="Arial Narrow" w:eastAsia="Calibri" w:hAnsi="Arial Narrow" w:cs="Arial"/>
                <w:sz w:val="22"/>
                <w:szCs w:val="22"/>
              </w:rPr>
              <w:t xml:space="preserve"> (including in combination with folic acid)</w:t>
            </w:r>
            <w:r w:rsidR="00B47C73" w:rsidRPr="00512428" w:rsidDel="00B47C73">
              <w:rPr>
                <w:rFonts w:ascii="Arial Narrow" w:eastAsia="Calibri" w:hAnsi="Arial Narrow" w:cs="Arial"/>
                <w:sz w:val="22"/>
                <w:szCs w:val="22"/>
              </w:rPr>
              <w:t xml:space="preserve"> </w:t>
            </w:r>
          </w:p>
        </w:tc>
        <w:tc>
          <w:tcPr>
            <w:tcW w:w="1652" w:type="pct"/>
            <w:tcBorders>
              <w:top w:val="single" w:sz="4" w:space="0" w:color="auto"/>
              <w:left w:val="single" w:sz="4" w:space="0" w:color="auto"/>
              <w:bottom w:val="single" w:sz="4" w:space="0" w:color="auto"/>
              <w:right w:val="single" w:sz="4" w:space="0" w:color="auto"/>
            </w:tcBorders>
            <w:hideMark/>
          </w:tcPr>
          <w:p w14:paraId="36D9E4D7" w14:textId="270FD312"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For treatment of a patient identifying as Aboriginal or Torres Strait Islander</w:t>
            </w:r>
          </w:p>
        </w:tc>
        <w:tc>
          <w:tcPr>
            <w:tcW w:w="1937" w:type="pct"/>
            <w:tcBorders>
              <w:top w:val="single" w:sz="4" w:space="0" w:color="auto"/>
              <w:left w:val="single" w:sz="4" w:space="0" w:color="auto"/>
              <w:bottom w:val="single" w:sz="4" w:space="0" w:color="auto"/>
              <w:right w:val="single" w:sz="4" w:space="0" w:color="auto"/>
            </w:tcBorders>
            <w:hideMark/>
          </w:tcPr>
          <w:p w14:paraId="602CDE4D" w14:textId="424EACB5"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Iron deficiency in someone identifying as Aboriginal or Torres Strait Islander who is pregnant</w:t>
            </w:r>
          </w:p>
        </w:tc>
      </w:tr>
      <w:tr w:rsidR="00544D36" w:rsidRPr="00544D36" w14:paraId="58C0D4A5" w14:textId="77777777" w:rsidTr="00C25949">
        <w:trPr>
          <w:trHeight w:val="300"/>
        </w:trPr>
        <w:tc>
          <w:tcPr>
            <w:tcW w:w="5000" w:type="pct"/>
            <w:gridSpan w:val="3"/>
            <w:tcBorders>
              <w:top w:val="single" w:sz="4" w:space="0" w:color="auto"/>
              <w:left w:val="single" w:sz="4" w:space="0" w:color="auto"/>
              <w:bottom w:val="single" w:sz="4" w:space="0" w:color="auto"/>
              <w:right w:val="single" w:sz="4" w:space="0" w:color="auto"/>
            </w:tcBorders>
            <w:hideMark/>
          </w:tcPr>
          <w:p w14:paraId="58589108"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Stomach acid suppression</w:t>
            </w:r>
          </w:p>
        </w:tc>
      </w:tr>
      <w:tr w:rsidR="00544D36" w:rsidRPr="00544D36" w14:paraId="6B55D219" w14:textId="77777777" w:rsidTr="00C51D68">
        <w:trPr>
          <w:trHeight w:val="429"/>
        </w:trPr>
        <w:tc>
          <w:tcPr>
            <w:tcW w:w="1412" w:type="pct"/>
            <w:tcBorders>
              <w:top w:val="single" w:sz="4" w:space="0" w:color="auto"/>
              <w:left w:val="single" w:sz="4" w:space="0" w:color="auto"/>
              <w:bottom w:val="single" w:sz="4" w:space="0" w:color="auto"/>
              <w:right w:val="single" w:sz="4" w:space="0" w:color="auto"/>
            </w:tcBorders>
            <w:hideMark/>
          </w:tcPr>
          <w:p w14:paraId="78AA97A1"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Omeprazole </w:t>
            </w:r>
          </w:p>
        </w:tc>
        <w:tc>
          <w:tcPr>
            <w:tcW w:w="1652" w:type="pct"/>
            <w:vMerge w:val="restart"/>
            <w:tcBorders>
              <w:top w:val="single" w:sz="4" w:space="0" w:color="auto"/>
              <w:left w:val="single" w:sz="4" w:space="0" w:color="auto"/>
              <w:bottom w:val="single" w:sz="4" w:space="0" w:color="auto"/>
              <w:right w:val="single" w:sz="4" w:space="0" w:color="auto"/>
            </w:tcBorders>
            <w:hideMark/>
          </w:tcPr>
          <w:p w14:paraId="4387E596" w14:textId="69CAB446"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Initial treatment or short-term maintenance treatment of gastro</w:t>
            </w:r>
            <w:r w:rsidR="00E73EC7">
              <w:rPr>
                <w:rFonts w:ascii="Arial Narrow" w:eastAsia="Calibri" w:hAnsi="Arial Narrow" w:cs="Arial"/>
                <w:sz w:val="22"/>
                <w:szCs w:val="22"/>
              </w:rPr>
              <w:noBreakHyphen/>
            </w:r>
            <w:r w:rsidRPr="00544D36">
              <w:rPr>
                <w:rFonts w:ascii="Arial Narrow" w:eastAsia="Calibri" w:hAnsi="Arial Narrow" w:cs="Arial"/>
                <w:sz w:val="22"/>
                <w:szCs w:val="22"/>
              </w:rPr>
              <w:t>oesophageal reflux disorder (GORD)</w:t>
            </w:r>
          </w:p>
        </w:tc>
        <w:tc>
          <w:tcPr>
            <w:tcW w:w="1937" w:type="pct"/>
            <w:vMerge w:val="restart"/>
            <w:tcBorders>
              <w:top w:val="single" w:sz="4" w:space="0" w:color="auto"/>
              <w:left w:val="single" w:sz="4" w:space="0" w:color="auto"/>
              <w:bottom w:val="single" w:sz="4" w:space="0" w:color="auto"/>
              <w:right w:val="single" w:sz="4" w:space="0" w:color="auto"/>
            </w:tcBorders>
            <w:hideMark/>
          </w:tcPr>
          <w:p w14:paraId="4F7F8D20" w14:textId="77777777" w:rsidR="00544D36" w:rsidRPr="00544D36" w:rsidRDefault="00544D36" w:rsidP="00544D36">
            <w:pPr>
              <w:ind w:left="31" w:hanging="11"/>
              <w:rPr>
                <w:rFonts w:ascii="Arial Narrow" w:eastAsia="Calibri" w:hAnsi="Arial Narrow" w:cs="Arial"/>
                <w:sz w:val="22"/>
                <w:szCs w:val="22"/>
              </w:rPr>
            </w:pPr>
            <w:r w:rsidRPr="00544D36">
              <w:rPr>
                <w:rFonts w:ascii="Arial Narrow" w:eastAsia="Calibri" w:hAnsi="Arial Narrow" w:cs="Arial"/>
                <w:sz w:val="22"/>
                <w:szCs w:val="22"/>
              </w:rPr>
              <w:t>GORD</w:t>
            </w:r>
          </w:p>
        </w:tc>
      </w:tr>
      <w:tr w:rsidR="00544D36" w:rsidRPr="00544D36" w14:paraId="28EC68DC" w14:textId="77777777" w:rsidTr="00C51D68">
        <w:trPr>
          <w:trHeight w:val="421"/>
        </w:trPr>
        <w:tc>
          <w:tcPr>
            <w:tcW w:w="1412" w:type="pct"/>
            <w:tcBorders>
              <w:top w:val="single" w:sz="4" w:space="0" w:color="auto"/>
              <w:left w:val="single" w:sz="4" w:space="0" w:color="auto"/>
              <w:bottom w:val="single" w:sz="4" w:space="0" w:color="auto"/>
              <w:right w:val="single" w:sz="4" w:space="0" w:color="auto"/>
            </w:tcBorders>
            <w:hideMark/>
          </w:tcPr>
          <w:p w14:paraId="566A023D"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Esomeprazole 20 mg</w:t>
            </w:r>
          </w:p>
        </w:tc>
        <w:tc>
          <w:tcPr>
            <w:tcW w:w="1652" w:type="pct"/>
            <w:vMerge/>
            <w:tcBorders>
              <w:top w:val="single" w:sz="4" w:space="0" w:color="auto"/>
              <w:left w:val="single" w:sz="4" w:space="0" w:color="auto"/>
              <w:bottom w:val="single" w:sz="4" w:space="0" w:color="auto"/>
              <w:right w:val="single" w:sz="4" w:space="0" w:color="auto"/>
            </w:tcBorders>
            <w:vAlign w:val="center"/>
            <w:hideMark/>
          </w:tcPr>
          <w:p w14:paraId="3BE4D36C" w14:textId="77777777" w:rsidR="00544D36" w:rsidRPr="00544D36" w:rsidRDefault="00544D36" w:rsidP="00544D36">
            <w:pPr>
              <w:rPr>
                <w:rFonts w:ascii="Arial Narrow" w:eastAsia="Calibri" w:hAnsi="Arial Narrow" w:cs="Arial"/>
                <w:sz w:val="22"/>
                <w:szCs w:val="22"/>
              </w:rPr>
            </w:pPr>
          </w:p>
        </w:tc>
        <w:tc>
          <w:tcPr>
            <w:tcW w:w="1937" w:type="pct"/>
            <w:vMerge/>
            <w:tcBorders>
              <w:top w:val="single" w:sz="4" w:space="0" w:color="auto"/>
              <w:left w:val="single" w:sz="4" w:space="0" w:color="auto"/>
              <w:bottom w:val="single" w:sz="4" w:space="0" w:color="auto"/>
              <w:right w:val="single" w:sz="4" w:space="0" w:color="auto"/>
            </w:tcBorders>
            <w:vAlign w:val="center"/>
            <w:hideMark/>
          </w:tcPr>
          <w:p w14:paraId="548FBA56" w14:textId="77777777" w:rsidR="00544D36" w:rsidRPr="00544D36" w:rsidRDefault="00544D36" w:rsidP="00544D36">
            <w:pPr>
              <w:rPr>
                <w:rFonts w:ascii="Arial Narrow" w:eastAsia="Calibri" w:hAnsi="Arial Narrow" w:cs="Arial"/>
                <w:sz w:val="22"/>
                <w:szCs w:val="22"/>
              </w:rPr>
            </w:pPr>
          </w:p>
        </w:tc>
      </w:tr>
      <w:tr w:rsidR="00544D36" w:rsidRPr="00544D36" w14:paraId="060A6FC1" w14:textId="77777777" w:rsidTr="00C25949">
        <w:trPr>
          <w:trHeight w:val="300"/>
        </w:trPr>
        <w:tc>
          <w:tcPr>
            <w:tcW w:w="5000" w:type="pct"/>
            <w:gridSpan w:val="3"/>
            <w:tcBorders>
              <w:top w:val="single" w:sz="4" w:space="0" w:color="auto"/>
              <w:left w:val="single" w:sz="4" w:space="0" w:color="auto"/>
              <w:bottom w:val="single" w:sz="4" w:space="0" w:color="auto"/>
              <w:right w:val="single" w:sz="4" w:space="0" w:color="auto"/>
            </w:tcBorders>
            <w:hideMark/>
          </w:tcPr>
          <w:p w14:paraId="107F7DD1"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Anti-emesis</w:t>
            </w:r>
          </w:p>
        </w:tc>
      </w:tr>
      <w:tr w:rsidR="00544D36" w:rsidRPr="00544D36" w14:paraId="664A82AD" w14:textId="77777777" w:rsidTr="00C51D68">
        <w:trPr>
          <w:trHeight w:val="309"/>
        </w:trPr>
        <w:tc>
          <w:tcPr>
            <w:tcW w:w="1412" w:type="pct"/>
            <w:tcBorders>
              <w:top w:val="single" w:sz="4" w:space="0" w:color="auto"/>
              <w:left w:val="single" w:sz="4" w:space="0" w:color="auto"/>
              <w:bottom w:val="single" w:sz="4" w:space="0" w:color="auto"/>
              <w:right w:val="single" w:sz="4" w:space="0" w:color="auto"/>
            </w:tcBorders>
            <w:hideMark/>
          </w:tcPr>
          <w:p w14:paraId="596DF4C3" w14:textId="77777777"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Prochlorperazine</w:t>
            </w:r>
          </w:p>
        </w:tc>
        <w:tc>
          <w:tcPr>
            <w:tcW w:w="1652" w:type="pct"/>
            <w:tcBorders>
              <w:top w:val="single" w:sz="4" w:space="0" w:color="auto"/>
              <w:left w:val="single" w:sz="4" w:space="0" w:color="auto"/>
              <w:bottom w:val="single" w:sz="4" w:space="0" w:color="auto"/>
              <w:right w:val="single" w:sz="4" w:space="0" w:color="auto"/>
            </w:tcBorders>
            <w:hideMark/>
          </w:tcPr>
          <w:p w14:paraId="6A53B8C6" w14:textId="517B439D" w:rsidR="00544D36" w:rsidRDefault="00544D36" w:rsidP="00C51D68">
            <w:pPr>
              <w:rPr>
                <w:rFonts w:ascii="Arial Narrow" w:eastAsia="Calibri" w:hAnsi="Arial Narrow" w:cs="Arial"/>
                <w:sz w:val="22"/>
                <w:szCs w:val="22"/>
              </w:rPr>
            </w:pPr>
            <w:r w:rsidRPr="00544D36">
              <w:rPr>
                <w:rFonts w:ascii="Arial Narrow" w:eastAsia="Calibri" w:hAnsi="Arial Narrow" w:cs="Arial"/>
                <w:sz w:val="22"/>
                <w:szCs w:val="22"/>
              </w:rPr>
              <w:t>Unrestricted benefit</w:t>
            </w:r>
            <w:r w:rsidR="00C51D68">
              <w:rPr>
                <w:rFonts w:ascii="Arial Narrow" w:eastAsia="Calibri" w:hAnsi="Arial Narrow" w:cs="Arial"/>
                <w:sz w:val="22"/>
                <w:szCs w:val="22"/>
              </w:rPr>
              <w:t xml:space="preserve"> </w:t>
            </w:r>
            <w:r w:rsidRPr="00544D36">
              <w:rPr>
                <w:rFonts w:ascii="Arial Narrow" w:eastAsia="Calibri" w:hAnsi="Arial Narrow" w:cs="Arial"/>
                <w:sz w:val="22"/>
                <w:szCs w:val="22"/>
              </w:rPr>
              <w:t>(General</w:t>
            </w:r>
            <w:r w:rsidR="00C51D68">
              <w:rPr>
                <w:rFonts w:ascii="Arial Narrow" w:eastAsia="Calibri" w:hAnsi="Arial Narrow" w:cs="Arial"/>
                <w:sz w:val="22"/>
                <w:szCs w:val="22"/>
              </w:rPr>
              <w:t xml:space="preserve"> </w:t>
            </w:r>
            <w:r w:rsidRPr="00544D36">
              <w:rPr>
                <w:rFonts w:ascii="Arial Narrow" w:eastAsia="Calibri" w:hAnsi="Arial Narrow" w:cs="Arial"/>
                <w:sz w:val="22"/>
                <w:szCs w:val="22"/>
              </w:rPr>
              <w:t>schedule)</w:t>
            </w:r>
          </w:p>
          <w:p w14:paraId="28E47F43" w14:textId="77777777" w:rsidR="00544D36" w:rsidRPr="00544D36" w:rsidRDefault="00544D36" w:rsidP="00C51D68">
            <w:pPr>
              <w:rPr>
                <w:rFonts w:ascii="Arial Narrow" w:eastAsia="Calibri" w:hAnsi="Arial Narrow" w:cs="Arial"/>
                <w:sz w:val="22"/>
                <w:szCs w:val="22"/>
              </w:rPr>
            </w:pPr>
            <w:r w:rsidRPr="00544D36">
              <w:rPr>
                <w:rFonts w:ascii="Arial Narrow" w:eastAsia="Calibri" w:hAnsi="Arial Narrow" w:cs="Arial"/>
                <w:sz w:val="22"/>
                <w:szCs w:val="22"/>
              </w:rPr>
              <w:t>Prescriber bag listings</w:t>
            </w:r>
          </w:p>
        </w:tc>
        <w:tc>
          <w:tcPr>
            <w:tcW w:w="1937" w:type="pct"/>
            <w:tcBorders>
              <w:top w:val="single" w:sz="4" w:space="0" w:color="auto"/>
              <w:left w:val="single" w:sz="4" w:space="0" w:color="auto"/>
              <w:bottom w:val="single" w:sz="4" w:space="0" w:color="auto"/>
              <w:right w:val="single" w:sz="4" w:space="0" w:color="auto"/>
            </w:tcBorders>
            <w:noWrap/>
            <w:hideMark/>
          </w:tcPr>
          <w:p w14:paraId="60F3066E"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Antiemetic</w:t>
            </w:r>
          </w:p>
        </w:tc>
      </w:tr>
      <w:tr w:rsidR="00544D36" w:rsidRPr="00544D36" w14:paraId="2D7A9A32" w14:textId="77777777" w:rsidTr="00C51D68">
        <w:trPr>
          <w:trHeight w:val="263"/>
        </w:trPr>
        <w:tc>
          <w:tcPr>
            <w:tcW w:w="1412" w:type="pct"/>
            <w:tcBorders>
              <w:top w:val="single" w:sz="4" w:space="0" w:color="auto"/>
              <w:left w:val="single" w:sz="4" w:space="0" w:color="auto"/>
              <w:bottom w:val="single" w:sz="4" w:space="0" w:color="auto"/>
              <w:right w:val="single" w:sz="4" w:space="0" w:color="auto"/>
            </w:tcBorders>
            <w:hideMark/>
          </w:tcPr>
          <w:p w14:paraId="53840315"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Promethazine </w:t>
            </w:r>
          </w:p>
        </w:tc>
        <w:tc>
          <w:tcPr>
            <w:tcW w:w="1652" w:type="pct"/>
            <w:tcBorders>
              <w:top w:val="single" w:sz="4" w:space="0" w:color="auto"/>
              <w:left w:val="single" w:sz="4" w:space="0" w:color="auto"/>
              <w:bottom w:val="single" w:sz="4" w:space="0" w:color="auto"/>
              <w:right w:val="single" w:sz="4" w:space="0" w:color="auto"/>
            </w:tcBorders>
            <w:hideMark/>
          </w:tcPr>
          <w:p w14:paraId="0A772D79" w14:textId="77777777" w:rsidR="00544D36" w:rsidRPr="00544D36" w:rsidRDefault="00544D36" w:rsidP="00C51D68">
            <w:pPr>
              <w:ind w:left="40" w:hanging="40"/>
              <w:rPr>
                <w:rFonts w:ascii="Arial Narrow" w:eastAsia="Calibri" w:hAnsi="Arial Narrow" w:cs="Arial"/>
                <w:sz w:val="22"/>
                <w:szCs w:val="22"/>
              </w:rPr>
            </w:pPr>
            <w:r w:rsidRPr="00544D36">
              <w:rPr>
                <w:rFonts w:ascii="Arial Narrow" w:eastAsia="Calibri" w:hAnsi="Arial Narrow" w:cs="Arial"/>
                <w:sz w:val="22"/>
                <w:szCs w:val="22"/>
              </w:rPr>
              <w:t>Unrestricted benefit (General schedule)</w:t>
            </w:r>
          </w:p>
          <w:p w14:paraId="19184391"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Prescriber bag listings</w:t>
            </w:r>
          </w:p>
        </w:tc>
        <w:tc>
          <w:tcPr>
            <w:tcW w:w="1937" w:type="pct"/>
            <w:tcBorders>
              <w:top w:val="single" w:sz="4" w:space="0" w:color="auto"/>
              <w:left w:val="single" w:sz="4" w:space="0" w:color="auto"/>
              <w:bottom w:val="single" w:sz="4" w:space="0" w:color="auto"/>
              <w:right w:val="single" w:sz="4" w:space="0" w:color="auto"/>
            </w:tcBorders>
            <w:noWrap/>
            <w:hideMark/>
          </w:tcPr>
          <w:p w14:paraId="52E4C586"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Antiemetic</w:t>
            </w:r>
          </w:p>
        </w:tc>
      </w:tr>
      <w:tr w:rsidR="00544D36" w:rsidRPr="00544D36" w14:paraId="124E1E61" w14:textId="77777777" w:rsidTr="00C25949">
        <w:trPr>
          <w:trHeight w:val="333"/>
        </w:trPr>
        <w:tc>
          <w:tcPr>
            <w:tcW w:w="5000" w:type="pct"/>
            <w:gridSpan w:val="3"/>
            <w:tcBorders>
              <w:top w:val="single" w:sz="4" w:space="0" w:color="auto"/>
              <w:left w:val="single" w:sz="4" w:space="0" w:color="auto"/>
              <w:bottom w:val="single" w:sz="4" w:space="0" w:color="auto"/>
              <w:right w:val="single" w:sz="4" w:space="0" w:color="auto"/>
            </w:tcBorders>
            <w:hideMark/>
          </w:tcPr>
          <w:p w14:paraId="537A34F3"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Lactation related</w:t>
            </w:r>
          </w:p>
        </w:tc>
      </w:tr>
      <w:tr w:rsidR="00544D36" w:rsidRPr="00544D36" w14:paraId="0959C360" w14:textId="77777777" w:rsidTr="00C51D68">
        <w:trPr>
          <w:trHeight w:val="231"/>
        </w:trPr>
        <w:tc>
          <w:tcPr>
            <w:tcW w:w="1412" w:type="pct"/>
            <w:tcBorders>
              <w:top w:val="single" w:sz="4" w:space="0" w:color="auto"/>
              <w:left w:val="single" w:sz="4" w:space="0" w:color="auto"/>
              <w:bottom w:val="single" w:sz="4" w:space="0" w:color="auto"/>
              <w:right w:val="single" w:sz="4" w:space="0" w:color="auto"/>
            </w:tcBorders>
            <w:hideMark/>
          </w:tcPr>
          <w:p w14:paraId="59F02962"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Cabergoline</w:t>
            </w:r>
          </w:p>
        </w:tc>
        <w:tc>
          <w:tcPr>
            <w:tcW w:w="1652" w:type="pct"/>
            <w:tcBorders>
              <w:top w:val="single" w:sz="4" w:space="0" w:color="auto"/>
              <w:left w:val="single" w:sz="4" w:space="0" w:color="auto"/>
              <w:bottom w:val="single" w:sz="4" w:space="0" w:color="auto"/>
              <w:right w:val="single" w:sz="4" w:space="0" w:color="auto"/>
            </w:tcBorders>
            <w:hideMark/>
          </w:tcPr>
          <w:p w14:paraId="6D706CA4" w14:textId="6D765B00" w:rsidR="00544D36" w:rsidRPr="00544D36" w:rsidRDefault="00544D36" w:rsidP="00544D36">
            <w:pPr>
              <w:ind w:firstLine="19"/>
              <w:rPr>
                <w:rFonts w:ascii="Arial Narrow" w:eastAsia="Calibri" w:hAnsi="Arial Narrow" w:cs="Arial"/>
                <w:sz w:val="22"/>
                <w:szCs w:val="22"/>
              </w:rPr>
            </w:pPr>
            <w:r w:rsidRPr="00544D36">
              <w:rPr>
                <w:rFonts w:ascii="Arial Narrow" w:eastAsia="Calibri" w:hAnsi="Arial Narrow" w:cs="Arial"/>
                <w:sz w:val="22"/>
                <w:szCs w:val="22"/>
              </w:rPr>
              <w:t>Prevention of the onset of lactation in the puerperium for medical reasons</w:t>
            </w:r>
          </w:p>
        </w:tc>
        <w:tc>
          <w:tcPr>
            <w:tcW w:w="1937" w:type="pct"/>
            <w:tcBorders>
              <w:top w:val="single" w:sz="4" w:space="0" w:color="auto"/>
              <w:left w:val="single" w:sz="4" w:space="0" w:color="auto"/>
              <w:bottom w:val="single" w:sz="4" w:space="0" w:color="auto"/>
              <w:right w:val="single" w:sz="4" w:space="0" w:color="auto"/>
            </w:tcBorders>
            <w:hideMark/>
          </w:tcPr>
          <w:p w14:paraId="0D04B9D4" w14:textId="7E775DA4" w:rsidR="00544D36" w:rsidRPr="00544D36" w:rsidRDefault="00544D36" w:rsidP="00544D36">
            <w:pPr>
              <w:ind w:firstLine="19"/>
              <w:rPr>
                <w:rFonts w:ascii="Arial Narrow" w:eastAsia="Calibri" w:hAnsi="Arial Narrow" w:cs="Arial"/>
                <w:sz w:val="22"/>
                <w:szCs w:val="22"/>
              </w:rPr>
            </w:pPr>
            <w:r w:rsidRPr="00544D36">
              <w:rPr>
                <w:rFonts w:ascii="Arial Narrow" w:eastAsia="Calibri" w:hAnsi="Arial Narrow" w:cs="Arial"/>
                <w:sz w:val="22"/>
                <w:szCs w:val="22"/>
              </w:rPr>
              <w:t>Suppression of lactation following stillbirth or neonatal death</w:t>
            </w:r>
          </w:p>
        </w:tc>
      </w:tr>
      <w:tr w:rsidR="00544D36" w:rsidRPr="00544D36" w14:paraId="11A692E1" w14:textId="77777777" w:rsidTr="00C25949">
        <w:trPr>
          <w:trHeight w:val="332"/>
        </w:trPr>
        <w:tc>
          <w:tcPr>
            <w:tcW w:w="5000" w:type="pct"/>
            <w:gridSpan w:val="3"/>
            <w:tcBorders>
              <w:top w:val="single" w:sz="4" w:space="0" w:color="auto"/>
              <w:left w:val="single" w:sz="4" w:space="0" w:color="auto"/>
              <w:bottom w:val="single" w:sz="4" w:space="0" w:color="auto"/>
              <w:right w:val="single" w:sz="4" w:space="0" w:color="auto"/>
            </w:tcBorders>
            <w:hideMark/>
          </w:tcPr>
          <w:p w14:paraId="53A8E6AE" w14:textId="77777777" w:rsidR="00544D36" w:rsidRPr="00544D36" w:rsidRDefault="00544D36" w:rsidP="00544D36">
            <w:pPr>
              <w:ind w:left="720" w:hanging="720"/>
              <w:rPr>
                <w:rFonts w:ascii="Arial Narrow" w:eastAsia="Calibri" w:hAnsi="Arial Narrow" w:cs="Arial"/>
                <w:b/>
                <w:bCs/>
                <w:i/>
                <w:iCs/>
                <w:sz w:val="22"/>
                <w:szCs w:val="22"/>
              </w:rPr>
            </w:pPr>
            <w:r w:rsidRPr="00544D36">
              <w:rPr>
                <w:rFonts w:ascii="Arial Narrow" w:eastAsia="Calibri" w:hAnsi="Arial Narrow" w:cs="Arial"/>
                <w:b/>
                <w:bCs/>
                <w:i/>
                <w:iCs/>
                <w:sz w:val="22"/>
                <w:szCs w:val="22"/>
              </w:rPr>
              <w:t>Miscellaneous</w:t>
            </w:r>
          </w:p>
        </w:tc>
      </w:tr>
      <w:tr w:rsidR="00544D36" w:rsidRPr="00544D36" w14:paraId="55B68849" w14:textId="77777777" w:rsidTr="00C51D68">
        <w:trPr>
          <w:trHeight w:val="309"/>
        </w:trPr>
        <w:tc>
          <w:tcPr>
            <w:tcW w:w="1412" w:type="pct"/>
            <w:tcBorders>
              <w:top w:val="single" w:sz="4" w:space="0" w:color="auto"/>
              <w:left w:val="single" w:sz="4" w:space="0" w:color="auto"/>
              <w:bottom w:val="single" w:sz="4" w:space="0" w:color="auto"/>
              <w:right w:val="single" w:sz="4" w:space="0" w:color="auto"/>
            </w:tcBorders>
            <w:hideMark/>
          </w:tcPr>
          <w:p w14:paraId="3E5D8A45"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 xml:space="preserve">Naloxone </w:t>
            </w:r>
          </w:p>
        </w:tc>
        <w:tc>
          <w:tcPr>
            <w:tcW w:w="1652" w:type="pct"/>
            <w:tcBorders>
              <w:top w:val="single" w:sz="4" w:space="0" w:color="auto"/>
              <w:left w:val="single" w:sz="4" w:space="0" w:color="auto"/>
              <w:bottom w:val="single" w:sz="4" w:space="0" w:color="auto"/>
              <w:right w:val="single" w:sz="4" w:space="0" w:color="auto"/>
            </w:tcBorders>
            <w:hideMark/>
          </w:tcPr>
          <w:p w14:paraId="258E4C50" w14:textId="77777777" w:rsidR="00544D36" w:rsidRPr="00544D36" w:rsidRDefault="00544D36" w:rsidP="00C51D68">
            <w:pPr>
              <w:ind w:left="40" w:hanging="40"/>
              <w:rPr>
                <w:rFonts w:ascii="Arial Narrow" w:eastAsia="Calibri" w:hAnsi="Arial Narrow" w:cs="Arial"/>
                <w:sz w:val="22"/>
                <w:szCs w:val="22"/>
              </w:rPr>
            </w:pPr>
            <w:r w:rsidRPr="00544D36">
              <w:rPr>
                <w:rFonts w:ascii="Arial Narrow" w:eastAsia="Calibri" w:hAnsi="Arial Narrow" w:cs="Arial"/>
                <w:sz w:val="22"/>
                <w:szCs w:val="22"/>
              </w:rPr>
              <w:t>Unrestricted benefit (General schedule)</w:t>
            </w:r>
          </w:p>
          <w:p w14:paraId="5F126B55" w14:textId="69FB2486"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Prescriber bag listings</w:t>
            </w:r>
          </w:p>
        </w:tc>
        <w:tc>
          <w:tcPr>
            <w:tcW w:w="1937" w:type="pct"/>
            <w:tcBorders>
              <w:top w:val="single" w:sz="4" w:space="0" w:color="auto"/>
              <w:left w:val="single" w:sz="4" w:space="0" w:color="auto"/>
              <w:bottom w:val="single" w:sz="4" w:space="0" w:color="auto"/>
              <w:right w:val="single" w:sz="4" w:space="0" w:color="auto"/>
            </w:tcBorders>
            <w:hideMark/>
          </w:tcPr>
          <w:p w14:paraId="60AC86A6" w14:textId="255C67DC"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Opioid overdose</w:t>
            </w:r>
          </w:p>
        </w:tc>
      </w:tr>
      <w:tr w:rsidR="00544D36" w:rsidRPr="00544D36" w14:paraId="28CF2135" w14:textId="77777777" w:rsidTr="00C51D68">
        <w:trPr>
          <w:trHeight w:val="359"/>
        </w:trPr>
        <w:tc>
          <w:tcPr>
            <w:tcW w:w="1412" w:type="pct"/>
            <w:tcBorders>
              <w:top w:val="single" w:sz="4" w:space="0" w:color="auto"/>
              <w:left w:val="single" w:sz="4" w:space="0" w:color="auto"/>
              <w:bottom w:val="single" w:sz="4" w:space="0" w:color="auto"/>
              <w:right w:val="single" w:sz="4" w:space="0" w:color="auto"/>
            </w:tcBorders>
            <w:hideMark/>
          </w:tcPr>
          <w:p w14:paraId="56974DA2" w14:textId="77777777" w:rsidR="00544D36" w:rsidRPr="00544D36" w:rsidRDefault="00544D36" w:rsidP="00544D36">
            <w:pPr>
              <w:ind w:left="720" w:hanging="720"/>
              <w:rPr>
                <w:rFonts w:ascii="Arial Narrow" w:eastAsia="Calibri" w:hAnsi="Arial Narrow" w:cs="Arial"/>
                <w:sz w:val="22"/>
                <w:szCs w:val="22"/>
              </w:rPr>
            </w:pPr>
            <w:r w:rsidRPr="00544D36">
              <w:rPr>
                <w:rFonts w:ascii="Arial Narrow" w:eastAsia="Calibri" w:hAnsi="Arial Narrow" w:cs="Arial"/>
                <w:sz w:val="22"/>
                <w:szCs w:val="22"/>
              </w:rPr>
              <w:t>Folic acid</w:t>
            </w:r>
          </w:p>
        </w:tc>
        <w:tc>
          <w:tcPr>
            <w:tcW w:w="1652" w:type="pct"/>
            <w:tcBorders>
              <w:top w:val="single" w:sz="4" w:space="0" w:color="auto"/>
              <w:left w:val="single" w:sz="4" w:space="0" w:color="auto"/>
              <w:bottom w:val="single" w:sz="4" w:space="0" w:color="auto"/>
              <w:right w:val="single" w:sz="4" w:space="0" w:color="auto"/>
            </w:tcBorders>
            <w:hideMark/>
          </w:tcPr>
          <w:p w14:paraId="058A1606" w14:textId="7F25D2A6"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For treatment of a patient identifying as Aboriginal or Torres Strait Islander</w:t>
            </w:r>
          </w:p>
        </w:tc>
        <w:tc>
          <w:tcPr>
            <w:tcW w:w="1937" w:type="pct"/>
            <w:tcBorders>
              <w:top w:val="single" w:sz="4" w:space="0" w:color="auto"/>
              <w:left w:val="single" w:sz="4" w:space="0" w:color="auto"/>
              <w:bottom w:val="single" w:sz="4" w:space="0" w:color="auto"/>
              <w:right w:val="single" w:sz="4" w:space="0" w:color="auto"/>
            </w:tcBorders>
            <w:hideMark/>
          </w:tcPr>
          <w:p w14:paraId="1D7B9350" w14:textId="678A803D" w:rsidR="00544D36" w:rsidRPr="00544D36" w:rsidRDefault="00544D36" w:rsidP="00544D36">
            <w:pPr>
              <w:rPr>
                <w:rFonts w:ascii="Arial Narrow" w:eastAsia="Calibri" w:hAnsi="Arial Narrow" w:cs="Arial"/>
                <w:sz w:val="22"/>
                <w:szCs w:val="22"/>
              </w:rPr>
            </w:pPr>
            <w:r w:rsidRPr="00544D36">
              <w:rPr>
                <w:rFonts w:ascii="Arial Narrow" w:eastAsia="Calibri" w:hAnsi="Arial Narrow" w:cs="Arial"/>
                <w:sz w:val="22"/>
                <w:szCs w:val="22"/>
              </w:rPr>
              <w:t>Folate deficiency in a pregnant patient identifying as Aboriginal or Torres Strait Islander</w:t>
            </w:r>
          </w:p>
        </w:tc>
      </w:tr>
    </w:tbl>
    <w:p w14:paraId="2D39AA20" w14:textId="77777777" w:rsidR="00544D36" w:rsidRPr="00544D36" w:rsidRDefault="00544D36" w:rsidP="00544D36">
      <w:pPr>
        <w:spacing w:after="90" w:line="300" w:lineRule="atLeast"/>
        <w:ind w:right="150"/>
        <w:rPr>
          <w:rFonts w:ascii="Open Sans" w:eastAsia="Times New Roman" w:hAnsi="Open Sans" w:cs="Open Sans"/>
          <w:lang w:eastAsia="en-AU"/>
        </w:rPr>
      </w:pPr>
    </w:p>
    <w:p w14:paraId="18404620" w14:textId="0AD17D76" w:rsidR="00544D36" w:rsidRPr="00544D36" w:rsidRDefault="00544D36" w:rsidP="00DE705C">
      <w:pPr>
        <w:keepNext/>
        <w:keepLines/>
        <w:spacing w:after="0" w:line="240" w:lineRule="auto"/>
        <w:rPr>
          <w:rFonts w:ascii="Arial" w:eastAsia="Calibri" w:hAnsi="Arial" w:cs="Arial"/>
          <w:b/>
          <w:bCs/>
          <w:color w:val="000000"/>
          <w:kern w:val="2"/>
          <w14:ligatures w14:val="standardContextual"/>
        </w:rPr>
      </w:pPr>
      <w:r w:rsidRPr="00544D36">
        <w:rPr>
          <w:rFonts w:ascii="Arial" w:eastAsia="Calibri" w:hAnsi="Arial" w:cs="Arial"/>
          <w:b/>
          <w:bCs/>
          <w:color w:val="000000"/>
          <w:kern w:val="2"/>
          <w14:ligatures w14:val="standardContextual"/>
        </w:rPr>
        <w:lastRenderedPageBreak/>
        <w:t xml:space="preserve">Table </w:t>
      </w:r>
      <w:r w:rsidR="000D1DC6">
        <w:rPr>
          <w:rFonts w:ascii="Arial" w:eastAsia="Calibri" w:hAnsi="Arial" w:cs="Arial"/>
          <w:b/>
          <w:bCs/>
          <w:color w:val="000000"/>
          <w:kern w:val="2"/>
          <w14:ligatures w14:val="standardContextual"/>
        </w:rPr>
        <w:t>2</w:t>
      </w:r>
      <w:r w:rsidRPr="00544D36">
        <w:rPr>
          <w:rFonts w:ascii="Arial" w:eastAsia="Calibri" w:hAnsi="Arial" w:cs="Arial"/>
          <w:b/>
          <w:bCs/>
          <w:color w:val="000000"/>
          <w:kern w:val="2"/>
          <w14:ligatures w14:val="standardContextual"/>
        </w:rPr>
        <w:t xml:space="preserve">: Medicines recommended by the PBAC for PBS prescribing by </w:t>
      </w:r>
      <w:r w:rsidR="00A11DE9">
        <w:rPr>
          <w:rFonts w:ascii="Arial" w:eastAsia="Calibri" w:hAnsi="Arial" w:cs="Arial"/>
          <w:b/>
          <w:bCs/>
          <w:color w:val="000000"/>
          <w:kern w:val="2"/>
          <w14:ligatures w14:val="standardContextual"/>
        </w:rPr>
        <w:t xml:space="preserve">an </w:t>
      </w:r>
      <w:r w:rsidRPr="00544D36">
        <w:rPr>
          <w:rFonts w:ascii="Arial" w:eastAsia="Calibri" w:hAnsi="Arial" w:cs="Arial"/>
          <w:b/>
          <w:bCs/>
          <w:color w:val="000000"/>
          <w:kern w:val="2"/>
          <w14:ligatures w14:val="standardContextual"/>
        </w:rPr>
        <w:t>endorsed midwi</w:t>
      </w:r>
      <w:r w:rsidR="00A11DE9">
        <w:rPr>
          <w:rFonts w:ascii="Arial" w:eastAsia="Calibri" w:hAnsi="Arial" w:cs="Arial"/>
          <w:b/>
          <w:bCs/>
          <w:color w:val="000000"/>
          <w:kern w:val="2"/>
          <w14:ligatures w14:val="standardContextual"/>
        </w:rPr>
        <w:t>fe</w:t>
      </w:r>
      <w:r w:rsidRPr="00544D36">
        <w:rPr>
          <w:rFonts w:ascii="Arial" w:eastAsia="Calibri" w:hAnsi="Arial" w:cs="Arial"/>
          <w:b/>
          <w:bCs/>
          <w:color w:val="000000"/>
          <w:kern w:val="2"/>
          <w14:ligatures w14:val="standardContextual"/>
        </w:rPr>
        <w:t xml:space="preserve"> under certain circumstances </w:t>
      </w:r>
    </w:p>
    <w:tbl>
      <w:tblPr>
        <w:tblStyle w:val="TableGrid11"/>
        <w:tblW w:w="5000" w:type="pct"/>
        <w:tblInd w:w="0" w:type="dxa"/>
        <w:tblLook w:val="04A0" w:firstRow="1" w:lastRow="0" w:firstColumn="1" w:lastColumn="0" w:noHBand="0" w:noVBand="1"/>
      </w:tblPr>
      <w:tblGrid>
        <w:gridCol w:w="2547"/>
        <w:gridCol w:w="2551"/>
        <w:gridCol w:w="3918"/>
      </w:tblGrid>
      <w:tr w:rsidR="00544D36" w:rsidRPr="00544D36" w14:paraId="235348A6" w14:textId="77777777" w:rsidTr="00372050">
        <w:trPr>
          <w:trHeight w:val="369"/>
          <w:tblHeader/>
        </w:trPr>
        <w:tc>
          <w:tcPr>
            <w:tcW w:w="2547" w:type="dxa"/>
            <w:tcBorders>
              <w:top w:val="single" w:sz="4" w:space="0" w:color="auto"/>
              <w:left w:val="single" w:sz="4" w:space="0" w:color="auto"/>
              <w:bottom w:val="single" w:sz="4" w:space="0" w:color="auto"/>
              <w:right w:val="single" w:sz="4" w:space="0" w:color="auto"/>
            </w:tcBorders>
            <w:hideMark/>
          </w:tcPr>
          <w:p w14:paraId="74CEEB73" w14:textId="77777777" w:rsidR="00544D36" w:rsidRPr="00544D36" w:rsidRDefault="00544D36" w:rsidP="00DE705C">
            <w:pPr>
              <w:keepNext/>
              <w:keepLines/>
              <w:spacing w:after="120"/>
              <w:rPr>
                <w:rFonts w:ascii="Arial Narrow" w:eastAsia="Calibri" w:hAnsi="Arial Narrow" w:cs="Arial"/>
                <w:b/>
                <w:bCs/>
                <w:sz w:val="22"/>
                <w:szCs w:val="22"/>
              </w:rPr>
            </w:pPr>
            <w:r w:rsidRPr="00544D36">
              <w:rPr>
                <w:rFonts w:ascii="Arial Narrow" w:eastAsia="Calibri" w:hAnsi="Arial Narrow" w:cs="Arial"/>
                <w:b/>
                <w:bCs/>
                <w:sz w:val="22"/>
                <w:szCs w:val="22"/>
              </w:rPr>
              <w:t>Medicine - purpose</w:t>
            </w:r>
          </w:p>
        </w:tc>
        <w:tc>
          <w:tcPr>
            <w:tcW w:w="2551" w:type="dxa"/>
            <w:tcBorders>
              <w:top w:val="single" w:sz="4" w:space="0" w:color="auto"/>
              <w:left w:val="single" w:sz="4" w:space="0" w:color="auto"/>
              <w:bottom w:val="single" w:sz="4" w:space="0" w:color="auto"/>
              <w:right w:val="single" w:sz="4" w:space="0" w:color="auto"/>
            </w:tcBorders>
            <w:hideMark/>
          </w:tcPr>
          <w:p w14:paraId="412B92F6" w14:textId="77777777" w:rsidR="00544D36" w:rsidRPr="00544D36" w:rsidRDefault="00544D36" w:rsidP="00DE705C">
            <w:pPr>
              <w:keepNext/>
              <w:keepLines/>
              <w:spacing w:after="120"/>
              <w:rPr>
                <w:rFonts w:ascii="Arial Narrow" w:eastAsia="Calibri" w:hAnsi="Arial Narrow" w:cs="Arial"/>
                <w:b/>
                <w:bCs/>
                <w:sz w:val="22"/>
                <w:szCs w:val="22"/>
              </w:rPr>
            </w:pPr>
            <w:r w:rsidRPr="00544D36">
              <w:rPr>
                <w:rFonts w:ascii="Arial Narrow" w:eastAsia="Calibri" w:hAnsi="Arial Narrow" w:cs="Arial"/>
                <w:b/>
                <w:bCs/>
                <w:sz w:val="22"/>
                <w:szCs w:val="22"/>
              </w:rPr>
              <w:t>Relevant PBS restriction</w:t>
            </w:r>
          </w:p>
        </w:tc>
        <w:tc>
          <w:tcPr>
            <w:tcW w:w="3918" w:type="dxa"/>
            <w:tcBorders>
              <w:top w:val="single" w:sz="4" w:space="0" w:color="auto"/>
              <w:left w:val="single" w:sz="4" w:space="0" w:color="auto"/>
              <w:bottom w:val="single" w:sz="4" w:space="0" w:color="auto"/>
              <w:right w:val="single" w:sz="4" w:space="0" w:color="auto"/>
            </w:tcBorders>
            <w:noWrap/>
            <w:hideMark/>
          </w:tcPr>
          <w:p w14:paraId="3FB1CEB2" w14:textId="74969762" w:rsidR="00544D36" w:rsidRPr="00544D36" w:rsidRDefault="00544D36" w:rsidP="00DE705C">
            <w:pPr>
              <w:keepNext/>
              <w:keepLines/>
              <w:spacing w:after="120"/>
              <w:ind w:left="40" w:hanging="40"/>
              <w:jc w:val="both"/>
              <w:rPr>
                <w:rFonts w:ascii="Arial Narrow" w:eastAsia="Calibri" w:hAnsi="Arial Narrow" w:cs="Arial"/>
                <w:b/>
                <w:bCs/>
                <w:sz w:val="22"/>
                <w:szCs w:val="22"/>
              </w:rPr>
            </w:pPr>
            <w:r w:rsidRPr="00544D36">
              <w:rPr>
                <w:rFonts w:ascii="Arial Narrow" w:eastAsia="Calibri" w:hAnsi="Arial Narrow" w:cs="Arial"/>
                <w:b/>
                <w:bCs/>
                <w:sz w:val="22"/>
                <w:szCs w:val="22"/>
              </w:rPr>
              <w:t xml:space="preserve">Circumstances </w:t>
            </w:r>
            <w:r w:rsidR="00372050">
              <w:rPr>
                <w:rFonts w:ascii="Arial Narrow" w:eastAsia="Calibri" w:hAnsi="Arial Narrow" w:cs="Arial"/>
                <w:b/>
                <w:bCs/>
                <w:sz w:val="22"/>
                <w:szCs w:val="22"/>
              </w:rPr>
              <w:t>and</w:t>
            </w:r>
            <w:r w:rsidRPr="00544D36">
              <w:rPr>
                <w:rFonts w:ascii="Arial Narrow" w:eastAsia="Calibri" w:hAnsi="Arial Narrow" w:cs="Arial"/>
                <w:b/>
                <w:bCs/>
                <w:sz w:val="22"/>
                <w:szCs w:val="22"/>
              </w:rPr>
              <w:t xml:space="preserve"> rationale </w:t>
            </w:r>
          </w:p>
        </w:tc>
      </w:tr>
      <w:tr w:rsidR="00544D36" w:rsidRPr="00544D36" w14:paraId="7FEECE21" w14:textId="77777777" w:rsidTr="00C25949">
        <w:trPr>
          <w:trHeight w:val="269"/>
        </w:trPr>
        <w:tc>
          <w:tcPr>
            <w:tcW w:w="9016" w:type="dxa"/>
            <w:gridSpan w:val="3"/>
            <w:tcBorders>
              <w:top w:val="single" w:sz="4" w:space="0" w:color="auto"/>
              <w:left w:val="single" w:sz="4" w:space="0" w:color="auto"/>
              <w:bottom w:val="single" w:sz="4" w:space="0" w:color="auto"/>
              <w:right w:val="single" w:sz="4" w:space="0" w:color="auto"/>
            </w:tcBorders>
            <w:hideMark/>
          </w:tcPr>
          <w:p w14:paraId="4D16D4CE" w14:textId="77777777" w:rsidR="00544D36" w:rsidRPr="00544D36" w:rsidRDefault="00544D36" w:rsidP="00DE705C">
            <w:pPr>
              <w:keepNext/>
              <w:keepLines/>
              <w:spacing w:after="120"/>
              <w:rPr>
                <w:rFonts w:ascii="Arial Narrow" w:eastAsia="Calibri" w:hAnsi="Arial Narrow" w:cs="Arial"/>
                <w:b/>
                <w:bCs/>
                <w:i/>
                <w:iCs/>
                <w:sz w:val="22"/>
                <w:szCs w:val="22"/>
              </w:rPr>
            </w:pPr>
            <w:r w:rsidRPr="00544D36">
              <w:rPr>
                <w:rFonts w:ascii="Arial Narrow" w:eastAsia="Calibri" w:hAnsi="Arial Narrow" w:cs="Arial"/>
                <w:b/>
                <w:bCs/>
                <w:i/>
                <w:iCs/>
                <w:sz w:val="22"/>
                <w:szCs w:val="22"/>
              </w:rPr>
              <w:t>Analgesia</w:t>
            </w:r>
          </w:p>
        </w:tc>
      </w:tr>
      <w:tr w:rsidR="00544D36" w:rsidRPr="00544D36" w14:paraId="3AF061CE" w14:textId="77777777" w:rsidTr="00372050">
        <w:trPr>
          <w:trHeight w:val="432"/>
        </w:trPr>
        <w:tc>
          <w:tcPr>
            <w:tcW w:w="2547" w:type="dxa"/>
            <w:tcBorders>
              <w:top w:val="single" w:sz="4" w:space="0" w:color="auto"/>
              <w:left w:val="single" w:sz="4" w:space="0" w:color="auto"/>
              <w:bottom w:val="single" w:sz="4" w:space="0" w:color="auto"/>
              <w:right w:val="single" w:sz="4" w:space="0" w:color="auto"/>
            </w:tcBorders>
            <w:hideMark/>
          </w:tcPr>
          <w:p w14:paraId="0766CC64" w14:textId="77777777" w:rsidR="00544D36" w:rsidRPr="00544D36" w:rsidRDefault="00544D36" w:rsidP="00544D36">
            <w:pPr>
              <w:spacing w:after="120"/>
              <w:ind w:left="22" w:hanging="22"/>
              <w:rPr>
                <w:rFonts w:ascii="Arial Narrow" w:eastAsia="Calibri" w:hAnsi="Arial Narrow" w:cs="Arial"/>
                <w:sz w:val="22"/>
                <w:szCs w:val="22"/>
              </w:rPr>
            </w:pPr>
            <w:r w:rsidRPr="00544D36">
              <w:rPr>
                <w:rFonts w:ascii="Arial Narrow" w:eastAsia="Calibri" w:hAnsi="Arial Narrow" w:cs="Arial"/>
                <w:sz w:val="22"/>
                <w:szCs w:val="22"/>
              </w:rPr>
              <w:t>Oxycodone 5 mg capsules, tablets, 10 units – acute post-operative pain</w:t>
            </w:r>
          </w:p>
        </w:tc>
        <w:tc>
          <w:tcPr>
            <w:tcW w:w="2551" w:type="dxa"/>
            <w:tcBorders>
              <w:top w:val="single" w:sz="4" w:space="0" w:color="auto"/>
              <w:left w:val="single" w:sz="4" w:space="0" w:color="auto"/>
              <w:bottom w:val="single" w:sz="4" w:space="0" w:color="auto"/>
              <w:right w:val="single" w:sz="4" w:space="0" w:color="auto"/>
            </w:tcBorders>
            <w:hideMark/>
          </w:tcPr>
          <w:p w14:paraId="0DBBCA4F"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Severe pain – acute, short term, where non-opioids are inadequate.</w:t>
            </w:r>
          </w:p>
        </w:tc>
        <w:tc>
          <w:tcPr>
            <w:tcW w:w="3918" w:type="dxa"/>
            <w:tcBorders>
              <w:top w:val="single" w:sz="4" w:space="0" w:color="auto"/>
              <w:left w:val="single" w:sz="4" w:space="0" w:color="auto"/>
              <w:bottom w:val="single" w:sz="4" w:space="0" w:color="auto"/>
              <w:right w:val="single" w:sz="4" w:space="0" w:color="auto"/>
            </w:tcBorders>
            <w:hideMark/>
          </w:tcPr>
          <w:p w14:paraId="4275ECAC" w14:textId="1FA65901" w:rsidR="00E1578D" w:rsidRDefault="00E1578D" w:rsidP="00544D36">
            <w:pPr>
              <w:spacing w:after="120"/>
              <w:jc w:val="both"/>
              <w:rPr>
                <w:rFonts w:ascii="Arial Narrow" w:eastAsia="Calibri" w:hAnsi="Arial Narrow" w:cs="Arial"/>
                <w:sz w:val="22"/>
                <w:szCs w:val="22"/>
              </w:rPr>
            </w:pPr>
            <w:r>
              <w:rPr>
                <w:rFonts w:ascii="Arial Narrow" w:eastAsia="Calibri" w:hAnsi="Arial Narrow" w:cs="Arial"/>
                <w:sz w:val="22"/>
                <w:szCs w:val="22"/>
              </w:rPr>
              <w:t>Principle 3</w:t>
            </w:r>
            <w:r w:rsidR="00372050">
              <w:rPr>
                <w:rFonts w:ascii="Arial Narrow" w:eastAsia="Calibri" w:hAnsi="Arial Narrow" w:cs="Arial"/>
                <w:sz w:val="22"/>
                <w:szCs w:val="22"/>
              </w:rPr>
              <w:t xml:space="preserve"> –</w:t>
            </w:r>
            <w:r>
              <w:rPr>
                <w:rFonts w:ascii="Arial Narrow" w:eastAsia="Calibri" w:hAnsi="Arial Narrow" w:cs="Arial"/>
                <w:sz w:val="22"/>
                <w:szCs w:val="22"/>
              </w:rPr>
              <w:t xml:space="preserve"> </w:t>
            </w:r>
            <w:r w:rsidRPr="00E1578D">
              <w:rPr>
                <w:rFonts w:ascii="Arial Narrow" w:eastAsia="Calibri" w:hAnsi="Arial Narrow" w:cs="Arial"/>
                <w:sz w:val="22"/>
                <w:szCs w:val="22"/>
              </w:rPr>
              <w:t>Medicine specific considerations</w:t>
            </w:r>
            <w:r w:rsidRPr="00544D36">
              <w:rPr>
                <w:rFonts w:ascii="Arial Narrow" w:eastAsia="Calibri" w:hAnsi="Arial Narrow" w:cs="Arial"/>
                <w:sz w:val="22"/>
                <w:szCs w:val="22"/>
              </w:rPr>
              <w:t xml:space="preserve"> </w:t>
            </w:r>
          </w:p>
          <w:p w14:paraId="172A784F" w14:textId="16D9F418" w:rsidR="00544D36" w:rsidRDefault="00544D36" w:rsidP="00544D36">
            <w:pPr>
              <w:spacing w:after="120"/>
              <w:jc w:val="both"/>
              <w:rPr>
                <w:rFonts w:ascii="Arial Narrow" w:eastAsia="Calibri" w:hAnsi="Arial Narrow" w:cs="Arial"/>
                <w:sz w:val="22"/>
                <w:szCs w:val="22"/>
              </w:rPr>
            </w:pPr>
            <w:r w:rsidRPr="00544D36">
              <w:rPr>
                <w:rFonts w:ascii="Arial Narrow" w:eastAsia="Calibri" w:hAnsi="Arial Narrow" w:cs="Arial"/>
                <w:sz w:val="22"/>
                <w:szCs w:val="22"/>
              </w:rPr>
              <w:t>Treatment must be shared with a medical practitioner to limit prescribing to the proposed purpose only (i.e. severe post-partum pain following surgery) and ensure there are not underlying medical concerns</w:t>
            </w:r>
            <w:r w:rsidR="00B47C73">
              <w:rPr>
                <w:rFonts w:ascii="Arial Narrow" w:eastAsia="Calibri" w:hAnsi="Arial Narrow" w:cs="Arial"/>
                <w:sz w:val="22"/>
                <w:szCs w:val="22"/>
              </w:rPr>
              <w:t>.</w:t>
            </w:r>
          </w:p>
          <w:p w14:paraId="784CF217" w14:textId="27748CCC" w:rsidR="00E1578D" w:rsidRPr="00544D36" w:rsidRDefault="00E1578D" w:rsidP="00544D36">
            <w:pPr>
              <w:spacing w:after="120"/>
              <w:jc w:val="both"/>
              <w:rPr>
                <w:rFonts w:ascii="Arial Narrow" w:eastAsia="Calibri" w:hAnsi="Arial Narrow" w:cs="Arial"/>
                <w:sz w:val="22"/>
                <w:szCs w:val="22"/>
              </w:rPr>
            </w:pPr>
          </w:p>
        </w:tc>
      </w:tr>
      <w:tr w:rsidR="00544D36" w:rsidRPr="00544D36" w14:paraId="08749C7B" w14:textId="77777777" w:rsidTr="00372050">
        <w:trPr>
          <w:trHeight w:val="410"/>
        </w:trPr>
        <w:tc>
          <w:tcPr>
            <w:tcW w:w="2547" w:type="dxa"/>
            <w:tcBorders>
              <w:top w:val="single" w:sz="4" w:space="0" w:color="auto"/>
              <w:left w:val="single" w:sz="4" w:space="0" w:color="auto"/>
              <w:bottom w:val="single" w:sz="4" w:space="0" w:color="auto"/>
              <w:right w:val="single" w:sz="4" w:space="0" w:color="auto"/>
            </w:tcBorders>
            <w:hideMark/>
          </w:tcPr>
          <w:p w14:paraId="32E4E2A5"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Tramadol 50 mg immediate release capsules – acute post-operative pain</w:t>
            </w:r>
          </w:p>
        </w:tc>
        <w:tc>
          <w:tcPr>
            <w:tcW w:w="2551" w:type="dxa"/>
            <w:tcBorders>
              <w:top w:val="single" w:sz="4" w:space="0" w:color="auto"/>
              <w:left w:val="single" w:sz="4" w:space="0" w:color="auto"/>
              <w:bottom w:val="single" w:sz="4" w:space="0" w:color="auto"/>
              <w:right w:val="single" w:sz="4" w:space="0" w:color="auto"/>
            </w:tcBorders>
            <w:hideMark/>
          </w:tcPr>
          <w:p w14:paraId="11D7A05F"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Severe pain – acute, short term, where non-opioids are inadequate.</w:t>
            </w:r>
          </w:p>
        </w:tc>
        <w:tc>
          <w:tcPr>
            <w:tcW w:w="3918" w:type="dxa"/>
            <w:tcBorders>
              <w:top w:val="single" w:sz="4" w:space="0" w:color="auto"/>
              <w:left w:val="single" w:sz="4" w:space="0" w:color="auto"/>
              <w:bottom w:val="single" w:sz="4" w:space="0" w:color="auto"/>
              <w:right w:val="single" w:sz="4" w:space="0" w:color="auto"/>
            </w:tcBorders>
            <w:noWrap/>
            <w:hideMark/>
          </w:tcPr>
          <w:p w14:paraId="18301A7B" w14:textId="12EF68C9" w:rsidR="00544D36" w:rsidRPr="00544D36" w:rsidRDefault="00544D36" w:rsidP="00544D36">
            <w:pPr>
              <w:spacing w:after="120"/>
              <w:jc w:val="both"/>
              <w:rPr>
                <w:rFonts w:ascii="Arial Narrow" w:eastAsia="Calibri" w:hAnsi="Arial Narrow" w:cs="Arial"/>
                <w:sz w:val="22"/>
                <w:szCs w:val="22"/>
              </w:rPr>
            </w:pPr>
            <w:r w:rsidRPr="00544D36">
              <w:rPr>
                <w:rFonts w:ascii="Arial Narrow" w:eastAsia="Calibri" w:hAnsi="Arial Narrow" w:cs="Arial"/>
                <w:sz w:val="22"/>
                <w:szCs w:val="22"/>
              </w:rPr>
              <w:t>As above for oxycodone</w:t>
            </w:r>
          </w:p>
        </w:tc>
      </w:tr>
      <w:tr w:rsidR="00544D36" w:rsidRPr="00544D36" w14:paraId="32DE0FEE" w14:textId="77777777" w:rsidTr="00C25949">
        <w:trPr>
          <w:trHeight w:val="311"/>
        </w:trPr>
        <w:tc>
          <w:tcPr>
            <w:tcW w:w="9016" w:type="dxa"/>
            <w:gridSpan w:val="3"/>
            <w:tcBorders>
              <w:top w:val="single" w:sz="4" w:space="0" w:color="auto"/>
              <w:left w:val="single" w:sz="4" w:space="0" w:color="auto"/>
              <w:bottom w:val="single" w:sz="4" w:space="0" w:color="auto"/>
              <w:right w:val="single" w:sz="4" w:space="0" w:color="auto"/>
            </w:tcBorders>
            <w:hideMark/>
          </w:tcPr>
          <w:p w14:paraId="7CA3CC35" w14:textId="77777777" w:rsidR="00544D36" w:rsidRPr="00544D36" w:rsidRDefault="00544D36" w:rsidP="00544D36">
            <w:pPr>
              <w:spacing w:after="120"/>
              <w:rPr>
                <w:rFonts w:ascii="Arial Narrow" w:eastAsia="Calibri" w:hAnsi="Arial Narrow" w:cs="Arial"/>
                <w:b/>
                <w:bCs/>
                <w:i/>
                <w:iCs/>
                <w:sz w:val="22"/>
                <w:szCs w:val="22"/>
              </w:rPr>
            </w:pPr>
            <w:r w:rsidRPr="00544D36">
              <w:rPr>
                <w:rFonts w:ascii="Arial Narrow" w:eastAsia="Calibri" w:hAnsi="Arial Narrow" w:cs="Arial"/>
                <w:b/>
                <w:bCs/>
                <w:i/>
                <w:iCs/>
                <w:sz w:val="22"/>
                <w:szCs w:val="22"/>
              </w:rPr>
              <w:t>Anti-infectives</w:t>
            </w:r>
          </w:p>
        </w:tc>
      </w:tr>
      <w:tr w:rsidR="00544D36" w:rsidRPr="00544D36" w14:paraId="3AE32165" w14:textId="77777777" w:rsidTr="00372050">
        <w:trPr>
          <w:trHeight w:val="410"/>
        </w:trPr>
        <w:tc>
          <w:tcPr>
            <w:tcW w:w="2547" w:type="dxa"/>
            <w:tcBorders>
              <w:top w:val="single" w:sz="4" w:space="0" w:color="auto"/>
              <w:left w:val="single" w:sz="4" w:space="0" w:color="auto"/>
              <w:bottom w:val="single" w:sz="4" w:space="0" w:color="auto"/>
              <w:right w:val="single" w:sz="4" w:space="0" w:color="auto"/>
            </w:tcBorders>
            <w:hideMark/>
          </w:tcPr>
          <w:p w14:paraId="0C15EEE9"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Benzylpenicillin 3 g - first line management of suspected sepsis in labour, GBS positivity in labour</w:t>
            </w:r>
          </w:p>
        </w:tc>
        <w:tc>
          <w:tcPr>
            <w:tcW w:w="2551" w:type="dxa"/>
            <w:tcBorders>
              <w:top w:val="single" w:sz="4" w:space="0" w:color="auto"/>
              <w:left w:val="single" w:sz="4" w:space="0" w:color="auto"/>
              <w:bottom w:val="single" w:sz="4" w:space="0" w:color="auto"/>
              <w:right w:val="single" w:sz="4" w:space="0" w:color="auto"/>
            </w:tcBorders>
            <w:hideMark/>
          </w:tcPr>
          <w:p w14:paraId="407B2521"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Unrestricted benefit (General schedule)</w:t>
            </w:r>
          </w:p>
        </w:tc>
        <w:tc>
          <w:tcPr>
            <w:tcW w:w="3918" w:type="dxa"/>
            <w:tcBorders>
              <w:top w:val="single" w:sz="4" w:space="0" w:color="auto"/>
              <w:left w:val="single" w:sz="4" w:space="0" w:color="auto"/>
              <w:bottom w:val="single" w:sz="4" w:space="0" w:color="auto"/>
              <w:right w:val="single" w:sz="4" w:space="0" w:color="auto"/>
            </w:tcBorders>
            <w:noWrap/>
            <w:hideMark/>
          </w:tcPr>
          <w:p w14:paraId="6282E49D" w14:textId="77777777" w:rsidR="00372050" w:rsidRDefault="00372050" w:rsidP="00544D36">
            <w:pPr>
              <w:spacing w:after="120"/>
              <w:jc w:val="both"/>
              <w:rPr>
                <w:rFonts w:ascii="Arial Narrow" w:eastAsia="Calibri" w:hAnsi="Arial Narrow" w:cs="Arial"/>
                <w:sz w:val="22"/>
                <w:szCs w:val="22"/>
              </w:rPr>
            </w:pPr>
            <w:r>
              <w:rPr>
                <w:rFonts w:ascii="Arial Narrow" w:eastAsia="Calibri" w:hAnsi="Arial Narrow" w:cs="Arial"/>
                <w:sz w:val="22"/>
                <w:szCs w:val="22"/>
              </w:rPr>
              <w:t xml:space="preserve">Principle 4 - </w:t>
            </w:r>
            <w:r w:rsidRPr="00E1578D">
              <w:rPr>
                <w:rFonts w:ascii="Arial Narrow" w:eastAsia="Calibri" w:hAnsi="Arial Narrow" w:cs="Arial"/>
                <w:sz w:val="22"/>
                <w:szCs w:val="22"/>
              </w:rPr>
              <w:t>Health condition specific considerations</w:t>
            </w:r>
            <w:r w:rsidRPr="00544D36">
              <w:rPr>
                <w:rFonts w:ascii="Arial Narrow" w:eastAsia="Calibri" w:hAnsi="Arial Narrow" w:cs="Arial"/>
                <w:sz w:val="22"/>
                <w:szCs w:val="22"/>
              </w:rPr>
              <w:t xml:space="preserve"> </w:t>
            </w:r>
          </w:p>
          <w:p w14:paraId="5AAE6F0E" w14:textId="4C292BD2" w:rsidR="00544D36" w:rsidRDefault="00544D36" w:rsidP="00544D36">
            <w:pPr>
              <w:spacing w:after="120"/>
              <w:jc w:val="both"/>
              <w:rPr>
                <w:rFonts w:ascii="Arial Narrow" w:eastAsia="Calibri" w:hAnsi="Arial Narrow" w:cs="Arial"/>
                <w:sz w:val="22"/>
                <w:szCs w:val="22"/>
              </w:rPr>
            </w:pPr>
            <w:r w:rsidRPr="00544D36">
              <w:rPr>
                <w:rFonts w:ascii="Arial Narrow" w:eastAsia="Calibri" w:hAnsi="Arial Narrow" w:cs="Arial"/>
                <w:sz w:val="22"/>
                <w:szCs w:val="22"/>
              </w:rPr>
              <w:t>Add a Caution note that patient care be shared with a medical practitioner when prescribed by a non-medical practitioner for suspected sepsis as a matter of urgency. The severity of the proposed use warrants medical practitioner involvement as prompt rapid escalation may be required</w:t>
            </w:r>
            <w:r w:rsidR="00B47C73">
              <w:rPr>
                <w:rFonts w:ascii="Arial Narrow" w:eastAsia="Calibri" w:hAnsi="Arial Narrow" w:cs="Arial"/>
                <w:sz w:val="22"/>
                <w:szCs w:val="22"/>
              </w:rPr>
              <w:t>.</w:t>
            </w:r>
          </w:p>
          <w:p w14:paraId="4F4C3D93" w14:textId="390761F4" w:rsidR="00E1578D" w:rsidRPr="00544D36" w:rsidRDefault="00E1578D" w:rsidP="00544D36">
            <w:pPr>
              <w:spacing w:after="120"/>
              <w:jc w:val="both"/>
              <w:rPr>
                <w:rFonts w:ascii="Arial Narrow" w:eastAsia="Calibri" w:hAnsi="Arial Narrow" w:cs="Arial"/>
                <w:sz w:val="22"/>
                <w:szCs w:val="22"/>
              </w:rPr>
            </w:pPr>
          </w:p>
        </w:tc>
      </w:tr>
      <w:tr w:rsidR="00544D36" w:rsidRPr="00544D36" w14:paraId="43B29256" w14:textId="77777777" w:rsidTr="00372050">
        <w:trPr>
          <w:trHeight w:val="275"/>
        </w:trPr>
        <w:tc>
          <w:tcPr>
            <w:tcW w:w="2547" w:type="dxa"/>
            <w:tcBorders>
              <w:top w:val="single" w:sz="4" w:space="0" w:color="auto"/>
              <w:left w:val="single" w:sz="4" w:space="0" w:color="auto"/>
              <w:bottom w:val="single" w:sz="4" w:space="0" w:color="auto"/>
              <w:right w:val="single" w:sz="4" w:space="0" w:color="auto"/>
            </w:tcBorders>
            <w:hideMark/>
          </w:tcPr>
          <w:p w14:paraId="3684F63C"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Gentamicin – first line management of suspected sepsis in labour</w:t>
            </w:r>
          </w:p>
        </w:tc>
        <w:tc>
          <w:tcPr>
            <w:tcW w:w="2551" w:type="dxa"/>
            <w:tcBorders>
              <w:top w:val="single" w:sz="4" w:space="0" w:color="auto"/>
              <w:left w:val="single" w:sz="4" w:space="0" w:color="auto"/>
              <w:bottom w:val="single" w:sz="4" w:space="0" w:color="auto"/>
              <w:right w:val="single" w:sz="4" w:space="0" w:color="auto"/>
            </w:tcBorders>
            <w:hideMark/>
          </w:tcPr>
          <w:p w14:paraId="25E72DC5" w14:textId="77777777"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Unrestricted benefit</w:t>
            </w:r>
          </w:p>
        </w:tc>
        <w:tc>
          <w:tcPr>
            <w:tcW w:w="3918" w:type="dxa"/>
            <w:tcBorders>
              <w:top w:val="single" w:sz="4" w:space="0" w:color="auto"/>
              <w:left w:val="single" w:sz="4" w:space="0" w:color="auto"/>
              <w:bottom w:val="single" w:sz="4" w:space="0" w:color="auto"/>
              <w:right w:val="single" w:sz="4" w:space="0" w:color="auto"/>
            </w:tcBorders>
            <w:hideMark/>
          </w:tcPr>
          <w:p w14:paraId="30D3AD78" w14:textId="58A26CEC" w:rsidR="00544D36" w:rsidRPr="00544D36" w:rsidRDefault="00544D36" w:rsidP="00544D36">
            <w:pPr>
              <w:spacing w:after="120"/>
              <w:rPr>
                <w:rFonts w:ascii="Arial Narrow" w:eastAsia="Calibri" w:hAnsi="Arial Narrow" w:cs="Arial"/>
                <w:sz w:val="22"/>
                <w:szCs w:val="22"/>
              </w:rPr>
            </w:pPr>
            <w:r w:rsidRPr="00544D36">
              <w:rPr>
                <w:rFonts w:ascii="Arial Narrow" w:eastAsia="Calibri" w:hAnsi="Arial Narrow" w:cs="Arial"/>
                <w:sz w:val="22"/>
                <w:szCs w:val="22"/>
              </w:rPr>
              <w:t>As above for benzylpenicillin</w:t>
            </w:r>
          </w:p>
        </w:tc>
      </w:tr>
      <w:tr w:rsidR="00544D36" w:rsidRPr="00544D36" w14:paraId="2E935807" w14:textId="77777777" w:rsidTr="00C25949">
        <w:trPr>
          <w:trHeight w:val="229"/>
        </w:trPr>
        <w:tc>
          <w:tcPr>
            <w:tcW w:w="9016" w:type="dxa"/>
            <w:gridSpan w:val="3"/>
            <w:tcBorders>
              <w:top w:val="single" w:sz="4" w:space="0" w:color="auto"/>
              <w:left w:val="single" w:sz="4" w:space="0" w:color="auto"/>
              <w:bottom w:val="single" w:sz="4" w:space="0" w:color="auto"/>
              <w:right w:val="single" w:sz="4" w:space="0" w:color="auto"/>
            </w:tcBorders>
            <w:hideMark/>
          </w:tcPr>
          <w:p w14:paraId="34A4BA7F" w14:textId="77777777" w:rsidR="00544D36" w:rsidRPr="00544D36" w:rsidRDefault="00544D36" w:rsidP="00544D36">
            <w:pPr>
              <w:spacing w:after="120"/>
              <w:rPr>
                <w:rFonts w:ascii="Arial Narrow" w:eastAsia="Calibri" w:hAnsi="Arial Narrow" w:cs="Arial"/>
                <w:b/>
                <w:bCs/>
                <w:i/>
                <w:iCs/>
                <w:sz w:val="22"/>
                <w:szCs w:val="22"/>
              </w:rPr>
            </w:pPr>
            <w:r w:rsidRPr="00544D36">
              <w:rPr>
                <w:rFonts w:ascii="Arial Narrow" w:eastAsia="Calibri" w:hAnsi="Arial Narrow" w:cs="Arial"/>
                <w:b/>
                <w:bCs/>
                <w:i/>
                <w:iCs/>
                <w:sz w:val="22"/>
                <w:szCs w:val="22"/>
              </w:rPr>
              <w:t>Anti-hypertensives</w:t>
            </w:r>
          </w:p>
        </w:tc>
      </w:tr>
      <w:tr w:rsidR="00544D36" w:rsidRPr="00544D36" w14:paraId="3E45C72A" w14:textId="77777777" w:rsidTr="00372050">
        <w:trPr>
          <w:trHeight w:val="275"/>
        </w:trPr>
        <w:tc>
          <w:tcPr>
            <w:tcW w:w="2547" w:type="dxa"/>
            <w:tcBorders>
              <w:top w:val="single" w:sz="4" w:space="0" w:color="auto"/>
              <w:left w:val="single" w:sz="4" w:space="0" w:color="auto"/>
              <w:bottom w:val="single" w:sz="4" w:space="0" w:color="auto"/>
              <w:right w:val="single" w:sz="4" w:space="0" w:color="auto"/>
            </w:tcBorders>
            <w:hideMark/>
          </w:tcPr>
          <w:p w14:paraId="65A4DFBB" w14:textId="77777777" w:rsidR="00544D36" w:rsidRPr="00544D36" w:rsidRDefault="00544D36" w:rsidP="00544D36">
            <w:pPr>
              <w:spacing w:after="120"/>
              <w:rPr>
                <w:rFonts w:ascii="Arial Narrow" w:eastAsia="Calibri" w:hAnsi="Arial Narrow" w:cs="Arial"/>
                <w:sz w:val="22"/>
                <w:szCs w:val="22"/>
              </w:rPr>
            </w:pPr>
            <w:r w:rsidRPr="00544D36">
              <w:rPr>
                <w:rFonts w:ascii="Arial Narrow" w:hAnsi="Arial Narrow" w:cs="Arial"/>
                <w:sz w:val="22"/>
                <w:szCs w:val="22"/>
              </w:rPr>
              <w:t>Labetalol - hypertension</w:t>
            </w:r>
          </w:p>
        </w:tc>
        <w:tc>
          <w:tcPr>
            <w:tcW w:w="2551" w:type="dxa"/>
            <w:tcBorders>
              <w:top w:val="single" w:sz="4" w:space="0" w:color="auto"/>
              <w:left w:val="single" w:sz="4" w:space="0" w:color="auto"/>
              <w:bottom w:val="single" w:sz="4" w:space="0" w:color="auto"/>
              <w:right w:val="single" w:sz="4" w:space="0" w:color="auto"/>
            </w:tcBorders>
            <w:hideMark/>
          </w:tcPr>
          <w:p w14:paraId="0127E4F3" w14:textId="77777777" w:rsidR="00544D36" w:rsidRPr="00544D36" w:rsidRDefault="00544D36" w:rsidP="00544D36">
            <w:pPr>
              <w:spacing w:after="120"/>
              <w:rPr>
                <w:rFonts w:ascii="Arial Narrow" w:hAnsi="Arial Narrow" w:cs="Arial"/>
                <w:sz w:val="22"/>
                <w:szCs w:val="22"/>
              </w:rPr>
            </w:pPr>
            <w:r w:rsidRPr="00544D36">
              <w:rPr>
                <w:rFonts w:ascii="Arial Narrow" w:hAnsi="Arial Narrow" w:cs="Arial"/>
                <w:sz w:val="22"/>
                <w:szCs w:val="22"/>
              </w:rPr>
              <w:t>Unrestricted benefit</w:t>
            </w:r>
          </w:p>
        </w:tc>
        <w:tc>
          <w:tcPr>
            <w:tcW w:w="3918" w:type="dxa"/>
            <w:tcBorders>
              <w:top w:val="single" w:sz="4" w:space="0" w:color="auto"/>
              <w:left w:val="single" w:sz="4" w:space="0" w:color="auto"/>
              <w:bottom w:val="single" w:sz="4" w:space="0" w:color="auto"/>
              <w:right w:val="single" w:sz="4" w:space="0" w:color="auto"/>
            </w:tcBorders>
            <w:hideMark/>
          </w:tcPr>
          <w:p w14:paraId="39B5D6A1" w14:textId="77777777" w:rsidR="00372050" w:rsidRDefault="00372050" w:rsidP="00544D36">
            <w:pPr>
              <w:spacing w:after="120"/>
              <w:jc w:val="both"/>
              <w:rPr>
                <w:rFonts w:ascii="Arial Narrow" w:hAnsi="Arial Narrow" w:cs="Arial"/>
                <w:sz w:val="22"/>
                <w:szCs w:val="22"/>
              </w:rPr>
            </w:pPr>
            <w:r w:rsidRPr="00E1578D">
              <w:rPr>
                <w:rFonts w:ascii="Arial Narrow" w:eastAsia="Calibri" w:hAnsi="Arial Narrow" w:cs="Arial"/>
                <w:sz w:val="22"/>
                <w:szCs w:val="22"/>
              </w:rPr>
              <w:t>Principle 4 - Health condition specific considerations</w:t>
            </w:r>
            <w:r w:rsidRPr="00544D36">
              <w:rPr>
                <w:rFonts w:ascii="Arial Narrow" w:hAnsi="Arial Narrow" w:cs="Arial"/>
                <w:sz w:val="22"/>
                <w:szCs w:val="22"/>
              </w:rPr>
              <w:t xml:space="preserve"> </w:t>
            </w:r>
          </w:p>
          <w:p w14:paraId="3AC97353" w14:textId="3E435F8F" w:rsidR="00544D36" w:rsidRDefault="00544D36" w:rsidP="00544D36">
            <w:pPr>
              <w:spacing w:after="120"/>
              <w:jc w:val="both"/>
              <w:rPr>
                <w:rFonts w:ascii="Arial Narrow" w:hAnsi="Arial Narrow" w:cs="Arial"/>
                <w:sz w:val="22"/>
                <w:szCs w:val="22"/>
              </w:rPr>
            </w:pPr>
            <w:r w:rsidRPr="00544D36">
              <w:rPr>
                <w:rFonts w:ascii="Arial Narrow" w:hAnsi="Arial Narrow" w:cs="Arial"/>
                <w:sz w:val="22"/>
                <w:szCs w:val="22"/>
              </w:rPr>
              <w:t>Continuing therapy only after initiation by a medical practitioner in the current pregnancy; treatment for this condition must be shared with a medical practitioner. To assist in ensuring the underlying causes(s) of the hypertension are investigated and treated appropriately before the commencement of drug therapy</w:t>
            </w:r>
            <w:r w:rsidR="00B47C73">
              <w:rPr>
                <w:rFonts w:ascii="Arial Narrow" w:hAnsi="Arial Narrow" w:cs="Arial"/>
                <w:sz w:val="22"/>
                <w:szCs w:val="22"/>
              </w:rPr>
              <w:t>.</w:t>
            </w:r>
          </w:p>
          <w:p w14:paraId="7286F3D9" w14:textId="2E4FD130" w:rsidR="00E1578D" w:rsidRPr="00544D36" w:rsidRDefault="00E1578D" w:rsidP="00544D36">
            <w:pPr>
              <w:spacing w:after="120"/>
              <w:jc w:val="both"/>
              <w:rPr>
                <w:rFonts w:ascii="Arial Narrow" w:eastAsia="Calibri" w:hAnsi="Arial Narrow" w:cs="Arial"/>
                <w:sz w:val="22"/>
                <w:szCs w:val="22"/>
              </w:rPr>
            </w:pPr>
          </w:p>
        </w:tc>
      </w:tr>
      <w:tr w:rsidR="00544D36" w:rsidRPr="00544D36" w14:paraId="3719114A" w14:textId="77777777" w:rsidTr="00372050">
        <w:trPr>
          <w:trHeight w:val="275"/>
        </w:trPr>
        <w:tc>
          <w:tcPr>
            <w:tcW w:w="2547" w:type="dxa"/>
            <w:tcBorders>
              <w:top w:val="single" w:sz="4" w:space="0" w:color="auto"/>
              <w:left w:val="single" w:sz="4" w:space="0" w:color="auto"/>
              <w:bottom w:val="single" w:sz="4" w:space="0" w:color="auto"/>
              <w:right w:val="single" w:sz="4" w:space="0" w:color="auto"/>
            </w:tcBorders>
            <w:hideMark/>
          </w:tcPr>
          <w:p w14:paraId="15F67AE4" w14:textId="77777777" w:rsidR="00544D36" w:rsidRPr="00544D36" w:rsidRDefault="00544D36" w:rsidP="00544D36">
            <w:pPr>
              <w:spacing w:after="120"/>
              <w:rPr>
                <w:rFonts w:ascii="Arial Narrow" w:eastAsia="Calibri" w:hAnsi="Arial Narrow" w:cs="Arial"/>
                <w:sz w:val="22"/>
                <w:szCs w:val="22"/>
              </w:rPr>
            </w:pPr>
            <w:r w:rsidRPr="00544D36">
              <w:rPr>
                <w:rFonts w:ascii="Arial Narrow" w:hAnsi="Arial Narrow" w:cs="Arial"/>
                <w:sz w:val="22"/>
                <w:szCs w:val="22"/>
              </w:rPr>
              <w:t>Methyldopa - hypertension</w:t>
            </w:r>
          </w:p>
        </w:tc>
        <w:tc>
          <w:tcPr>
            <w:tcW w:w="2551" w:type="dxa"/>
            <w:tcBorders>
              <w:top w:val="single" w:sz="4" w:space="0" w:color="auto"/>
              <w:left w:val="single" w:sz="4" w:space="0" w:color="auto"/>
              <w:bottom w:val="single" w:sz="4" w:space="0" w:color="auto"/>
              <w:right w:val="single" w:sz="4" w:space="0" w:color="auto"/>
            </w:tcBorders>
            <w:hideMark/>
          </w:tcPr>
          <w:p w14:paraId="2BD52E22" w14:textId="5C775E25" w:rsidR="00544D36" w:rsidRPr="00544D36" w:rsidRDefault="00544D36" w:rsidP="00544D36">
            <w:pPr>
              <w:spacing w:after="120"/>
              <w:rPr>
                <w:rFonts w:ascii="Arial Narrow" w:hAnsi="Arial Narrow" w:cs="Arial"/>
                <w:sz w:val="22"/>
                <w:szCs w:val="22"/>
              </w:rPr>
            </w:pPr>
            <w:r w:rsidRPr="00544D36">
              <w:rPr>
                <w:rFonts w:ascii="Arial Narrow" w:hAnsi="Arial Narrow" w:cs="Arial"/>
                <w:sz w:val="22"/>
                <w:szCs w:val="22"/>
              </w:rPr>
              <w:t>Hypertension in a pregnant patient</w:t>
            </w:r>
          </w:p>
        </w:tc>
        <w:tc>
          <w:tcPr>
            <w:tcW w:w="3918" w:type="dxa"/>
            <w:tcBorders>
              <w:top w:val="single" w:sz="4" w:space="0" w:color="auto"/>
              <w:left w:val="single" w:sz="4" w:space="0" w:color="auto"/>
              <w:bottom w:val="single" w:sz="4" w:space="0" w:color="auto"/>
              <w:right w:val="single" w:sz="4" w:space="0" w:color="auto"/>
            </w:tcBorders>
            <w:hideMark/>
          </w:tcPr>
          <w:p w14:paraId="2C5795C2" w14:textId="5CF632F8" w:rsidR="00544D36" w:rsidRPr="00544D36" w:rsidRDefault="00544D36" w:rsidP="00544D36">
            <w:pPr>
              <w:spacing w:after="120"/>
              <w:rPr>
                <w:rFonts w:ascii="Arial Narrow" w:eastAsia="Calibri" w:hAnsi="Arial Narrow" w:cs="Arial"/>
                <w:sz w:val="22"/>
                <w:szCs w:val="22"/>
              </w:rPr>
            </w:pPr>
            <w:r w:rsidRPr="00544D36">
              <w:rPr>
                <w:rFonts w:ascii="Arial Narrow" w:hAnsi="Arial Narrow" w:cs="Arial"/>
                <w:sz w:val="22"/>
                <w:szCs w:val="22"/>
              </w:rPr>
              <w:t>As above for labetalol</w:t>
            </w:r>
            <w:r w:rsidR="00B47C73">
              <w:rPr>
                <w:rFonts w:ascii="Arial Narrow" w:hAnsi="Arial Narrow" w:cs="Arial"/>
                <w:sz w:val="22"/>
                <w:szCs w:val="22"/>
              </w:rPr>
              <w:t>.</w:t>
            </w:r>
          </w:p>
        </w:tc>
      </w:tr>
      <w:tr w:rsidR="00544D36" w:rsidRPr="00544D36" w14:paraId="7057BAAD" w14:textId="77777777" w:rsidTr="00C25949">
        <w:trPr>
          <w:trHeight w:val="275"/>
        </w:trPr>
        <w:tc>
          <w:tcPr>
            <w:tcW w:w="9016" w:type="dxa"/>
            <w:gridSpan w:val="3"/>
            <w:tcBorders>
              <w:top w:val="single" w:sz="4" w:space="0" w:color="auto"/>
              <w:left w:val="single" w:sz="4" w:space="0" w:color="auto"/>
              <w:bottom w:val="single" w:sz="4" w:space="0" w:color="auto"/>
              <w:right w:val="single" w:sz="4" w:space="0" w:color="auto"/>
            </w:tcBorders>
            <w:hideMark/>
          </w:tcPr>
          <w:p w14:paraId="57B9073E" w14:textId="77777777" w:rsidR="00544D36" w:rsidRPr="00544D36" w:rsidRDefault="00544D36" w:rsidP="00544D36">
            <w:pPr>
              <w:spacing w:after="120"/>
              <w:rPr>
                <w:rFonts w:ascii="Arial Narrow" w:eastAsia="Calibri" w:hAnsi="Arial Narrow" w:cs="Arial"/>
                <w:b/>
                <w:bCs/>
                <w:i/>
                <w:iCs/>
                <w:sz w:val="22"/>
                <w:szCs w:val="22"/>
              </w:rPr>
            </w:pPr>
            <w:r w:rsidRPr="00544D36">
              <w:rPr>
                <w:rFonts w:ascii="Arial Narrow" w:eastAsia="Calibri" w:hAnsi="Arial Narrow" w:cs="Arial"/>
                <w:b/>
                <w:bCs/>
                <w:i/>
                <w:iCs/>
                <w:sz w:val="22"/>
                <w:szCs w:val="22"/>
              </w:rPr>
              <w:t>Miscellaneous</w:t>
            </w:r>
          </w:p>
        </w:tc>
      </w:tr>
      <w:tr w:rsidR="00544D36" w:rsidRPr="00544D36" w14:paraId="48C1372E" w14:textId="77777777" w:rsidTr="00372050">
        <w:trPr>
          <w:trHeight w:val="275"/>
        </w:trPr>
        <w:tc>
          <w:tcPr>
            <w:tcW w:w="2547" w:type="dxa"/>
            <w:tcBorders>
              <w:top w:val="single" w:sz="4" w:space="0" w:color="auto"/>
              <w:left w:val="single" w:sz="4" w:space="0" w:color="auto"/>
              <w:bottom w:val="single" w:sz="4" w:space="0" w:color="auto"/>
              <w:right w:val="single" w:sz="4" w:space="0" w:color="auto"/>
            </w:tcBorders>
            <w:hideMark/>
          </w:tcPr>
          <w:p w14:paraId="70A160ED" w14:textId="77777777" w:rsidR="00544D36" w:rsidRPr="00544D36" w:rsidRDefault="00544D36" w:rsidP="00544D36">
            <w:pPr>
              <w:spacing w:after="120"/>
              <w:rPr>
                <w:rFonts w:ascii="Arial Narrow" w:eastAsia="Calibri" w:hAnsi="Arial Narrow" w:cs="Arial"/>
                <w:sz w:val="22"/>
                <w:szCs w:val="22"/>
              </w:rPr>
            </w:pPr>
            <w:r w:rsidRPr="00544D36">
              <w:rPr>
                <w:rFonts w:ascii="Arial Narrow" w:hAnsi="Arial Narrow" w:cs="Arial"/>
                <w:sz w:val="22"/>
                <w:szCs w:val="22"/>
              </w:rPr>
              <w:t>Enoxaparin – thromboprophylaxis</w:t>
            </w:r>
          </w:p>
        </w:tc>
        <w:tc>
          <w:tcPr>
            <w:tcW w:w="2551" w:type="dxa"/>
            <w:tcBorders>
              <w:top w:val="single" w:sz="4" w:space="0" w:color="auto"/>
              <w:left w:val="single" w:sz="4" w:space="0" w:color="auto"/>
              <w:bottom w:val="single" w:sz="4" w:space="0" w:color="auto"/>
              <w:right w:val="single" w:sz="4" w:space="0" w:color="auto"/>
            </w:tcBorders>
            <w:hideMark/>
          </w:tcPr>
          <w:p w14:paraId="7A105B75" w14:textId="77777777" w:rsidR="00544D36" w:rsidRPr="00544D36" w:rsidRDefault="00544D36" w:rsidP="00544D36">
            <w:pPr>
              <w:spacing w:after="120"/>
              <w:rPr>
                <w:rFonts w:ascii="Arial Narrow" w:hAnsi="Arial Narrow" w:cs="Arial"/>
                <w:sz w:val="22"/>
                <w:szCs w:val="22"/>
              </w:rPr>
            </w:pPr>
            <w:r w:rsidRPr="00544D36">
              <w:rPr>
                <w:rFonts w:ascii="Arial Narrow" w:hAnsi="Arial Narrow" w:cs="Arial"/>
                <w:sz w:val="22"/>
                <w:szCs w:val="22"/>
              </w:rPr>
              <w:t>Unrestricted benefit</w:t>
            </w:r>
          </w:p>
        </w:tc>
        <w:tc>
          <w:tcPr>
            <w:tcW w:w="3918" w:type="dxa"/>
            <w:tcBorders>
              <w:top w:val="single" w:sz="4" w:space="0" w:color="auto"/>
              <w:left w:val="single" w:sz="4" w:space="0" w:color="auto"/>
              <w:bottom w:val="single" w:sz="4" w:space="0" w:color="auto"/>
              <w:right w:val="single" w:sz="4" w:space="0" w:color="auto"/>
            </w:tcBorders>
            <w:hideMark/>
          </w:tcPr>
          <w:p w14:paraId="296944F9" w14:textId="77777777" w:rsidR="00372050" w:rsidRDefault="00372050" w:rsidP="00544D36">
            <w:pPr>
              <w:spacing w:after="120"/>
              <w:jc w:val="both"/>
              <w:rPr>
                <w:rFonts w:ascii="Arial Narrow" w:hAnsi="Arial Narrow" w:cs="Arial"/>
                <w:sz w:val="22"/>
                <w:szCs w:val="22"/>
              </w:rPr>
            </w:pPr>
            <w:r w:rsidRPr="00E1578D">
              <w:rPr>
                <w:rFonts w:ascii="Arial Narrow" w:hAnsi="Arial Narrow" w:cs="Arial"/>
                <w:sz w:val="22"/>
                <w:szCs w:val="22"/>
              </w:rPr>
              <w:t>Principle 4 - Health condition specific considerations</w:t>
            </w:r>
            <w:r w:rsidRPr="00544D36">
              <w:rPr>
                <w:rFonts w:ascii="Arial Narrow" w:hAnsi="Arial Narrow" w:cs="Arial"/>
                <w:sz w:val="22"/>
                <w:szCs w:val="22"/>
              </w:rPr>
              <w:t xml:space="preserve"> </w:t>
            </w:r>
          </w:p>
          <w:p w14:paraId="3A2D4EA5" w14:textId="3BB1A73B" w:rsidR="00544D36" w:rsidRDefault="00544D36" w:rsidP="00544D36">
            <w:pPr>
              <w:spacing w:after="120"/>
              <w:jc w:val="both"/>
              <w:rPr>
                <w:rFonts w:ascii="Arial Narrow" w:hAnsi="Arial Narrow" w:cs="Arial"/>
                <w:sz w:val="22"/>
                <w:szCs w:val="22"/>
              </w:rPr>
            </w:pPr>
            <w:r w:rsidRPr="00544D36">
              <w:rPr>
                <w:rFonts w:ascii="Arial Narrow" w:hAnsi="Arial Narrow" w:cs="Arial"/>
                <w:sz w:val="22"/>
                <w:szCs w:val="22"/>
              </w:rPr>
              <w:lastRenderedPageBreak/>
              <w:t xml:space="preserve">Continuing therapy only; initiation by a medical practitioner for the current pregnancy/post-partum episode. Treatment must be shared with a medical practitioner to address the marked increased risk of thromboembolism in pregnancy/the post-partum period compared to that in a non-pregnant woman. </w:t>
            </w:r>
          </w:p>
          <w:p w14:paraId="60917EFA" w14:textId="5BE8A725" w:rsidR="00E1578D" w:rsidRPr="00544D36" w:rsidRDefault="00E1578D" w:rsidP="00544D36">
            <w:pPr>
              <w:spacing w:after="120"/>
              <w:jc w:val="both"/>
              <w:rPr>
                <w:rFonts w:ascii="Arial Narrow" w:hAnsi="Arial Narrow" w:cs="Arial"/>
                <w:sz w:val="22"/>
                <w:szCs w:val="22"/>
              </w:rPr>
            </w:pPr>
          </w:p>
        </w:tc>
      </w:tr>
      <w:tr w:rsidR="00544D36" w:rsidRPr="00544D36" w14:paraId="7462EBD0" w14:textId="77777777" w:rsidTr="00372050">
        <w:trPr>
          <w:trHeight w:val="275"/>
        </w:trPr>
        <w:tc>
          <w:tcPr>
            <w:tcW w:w="2547" w:type="dxa"/>
            <w:tcBorders>
              <w:top w:val="single" w:sz="4" w:space="0" w:color="auto"/>
              <w:left w:val="single" w:sz="4" w:space="0" w:color="auto"/>
              <w:bottom w:val="single" w:sz="4" w:space="0" w:color="auto"/>
              <w:right w:val="single" w:sz="4" w:space="0" w:color="auto"/>
            </w:tcBorders>
            <w:hideMark/>
          </w:tcPr>
          <w:p w14:paraId="376EAAF1" w14:textId="77777777" w:rsidR="00544D36" w:rsidRPr="00544D36" w:rsidRDefault="00544D36" w:rsidP="00544D36">
            <w:pPr>
              <w:spacing w:after="120"/>
              <w:rPr>
                <w:rFonts w:ascii="Arial Narrow" w:hAnsi="Arial Narrow" w:cs="Arial"/>
                <w:sz w:val="22"/>
                <w:szCs w:val="22"/>
              </w:rPr>
            </w:pPr>
            <w:r w:rsidRPr="00544D36">
              <w:rPr>
                <w:rFonts w:ascii="Arial Narrow" w:eastAsia="Calibri" w:hAnsi="Arial Narrow" w:cs="Arial"/>
                <w:sz w:val="22"/>
                <w:szCs w:val="22"/>
              </w:rPr>
              <w:lastRenderedPageBreak/>
              <w:t>Hydroxocobalamin – vitamin B12 deficiency</w:t>
            </w:r>
          </w:p>
        </w:tc>
        <w:tc>
          <w:tcPr>
            <w:tcW w:w="2551" w:type="dxa"/>
            <w:tcBorders>
              <w:top w:val="single" w:sz="4" w:space="0" w:color="auto"/>
              <w:left w:val="single" w:sz="4" w:space="0" w:color="auto"/>
              <w:bottom w:val="single" w:sz="4" w:space="0" w:color="auto"/>
              <w:right w:val="single" w:sz="4" w:space="0" w:color="auto"/>
            </w:tcBorders>
            <w:hideMark/>
          </w:tcPr>
          <w:p w14:paraId="4F240099" w14:textId="0A8B249F" w:rsidR="004C0B8A" w:rsidRPr="00512428" w:rsidRDefault="00544D36" w:rsidP="00372050">
            <w:pPr>
              <w:spacing w:after="120"/>
              <w:rPr>
                <w:rFonts w:ascii="Arial Narrow" w:eastAsia="Calibri" w:hAnsi="Arial Narrow" w:cs="Arial"/>
                <w:sz w:val="22"/>
                <w:szCs w:val="22"/>
              </w:rPr>
            </w:pPr>
            <w:r w:rsidRPr="00544D36">
              <w:rPr>
                <w:rFonts w:ascii="Arial Narrow" w:eastAsia="Calibri" w:hAnsi="Arial Narrow" w:cs="Arial"/>
                <w:sz w:val="22"/>
                <w:szCs w:val="22"/>
              </w:rPr>
              <w:t>Pernicious anaemia or proven vitamin B12 deficiencies other than pernicious anaemia in a patient identifying as Aboriginal or Torres Strait Islander.</w:t>
            </w:r>
          </w:p>
          <w:p w14:paraId="2BA0A11D" w14:textId="77777777" w:rsidR="004C0B8A" w:rsidRPr="00544D36" w:rsidRDefault="004C0B8A" w:rsidP="004C0B8A">
            <w:pPr>
              <w:rPr>
                <w:rFonts w:ascii="Arial Narrow" w:eastAsia="Calibri" w:hAnsi="Arial Narrow" w:cs="Arial"/>
                <w:sz w:val="22"/>
                <w:szCs w:val="22"/>
              </w:rPr>
            </w:pPr>
          </w:p>
        </w:tc>
        <w:tc>
          <w:tcPr>
            <w:tcW w:w="3918" w:type="dxa"/>
            <w:tcBorders>
              <w:top w:val="single" w:sz="4" w:space="0" w:color="auto"/>
              <w:left w:val="single" w:sz="4" w:space="0" w:color="auto"/>
              <w:bottom w:val="single" w:sz="4" w:space="0" w:color="auto"/>
              <w:right w:val="single" w:sz="4" w:space="0" w:color="auto"/>
            </w:tcBorders>
            <w:hideMark/>
          </w:tcPr>
          <w:p w14:paraId="0B950D33" w14:textId="77777777" w:rsidR="00372050" w:rsidRDefault="00372050" w:rsidP="00544D36">
            <w:pPr>
              <w:spacing w:after="120"/>
              <w:jc w:val="both"/>
              <w:rPr>
                <w:rFonts w:ascii="Arial Narrow" w:eastAsia="Calibri" w:hAnsi="Arial Narrow" w:cs="Arial"/>
                <w:sz w:val="22"/>
                <w:szCs w:val="22"/>
              </w:rPr>
            </w:pPr>
            <w:r w:rsidRPr="00E1578D">
              <w:rPr>
                <w:rFonts w:ascii="Arial Narrow" w:eastAsia="Calibri" w:hAnsi="Arial Narrow" w:cs="Arial"/>
                <w:sz w:val="22"/>
                <w:szCs w:val="22"/>
              </w:rPr>
              <w:t>Principle 4 - Health condition specific considerations</w:t>
            </w:r>
            <w:r w:rsidRPr="00544D36">
              <w:rPr>
                <w:rFonts w:ascii="Arial Narrow" w:eastAsia="Calibri" w:hAnsi="Arial Narrow" w:cs="Arial"/>
                <w:sz w:val="22"/>
                <w:szCs w:val="22"/>
              </w:rPr>
              <w:t xml:space="preserve"> </w:t>
            </w:r>
          </w:p>
          <w:p w14:paraId="472AA6BF" w14:textId="50FCC16B" w:rsidR="00544D36" w:rsidRDefault="00544D36" w:rsidP="00544D36">
            <w:pPr>
              <w:spacing w:after="120"/>
              <w:jc w:val="both"/>
              <w:rPr>
                <w:rFonts w:ascii="Arial Narrow" w:hAnsi="Arial Narrow" w:cs="Arial"/>
                <w:sz w:val="22"/>
                <w:szCs w:val="22"/>
              </w:rPr>
            </w:pPr>
            <w:r w:rsidRPr="00544D36">
              <w:rPr>
                <w:rFonts w:ascii="Arial Narrow" w:eastAsia="Calibri" w:hAnsi="Arial Narrow" w:cs="Arial"/>
                <w:sz w:val="22"/>
                <w:szCs w:val="22"/>
              </w:rPr>
              <w:t>Treatment must be shared with a medical practitioner to assist in ensuring that the underlying cause(s) of anaemia are investigated and treated appropriately.</w:t>
            </w:r>
            <w:r w:rsidRPr="00544D36">
              <w:rPr>
                <w:rFonts w:ascii="Arial Narrow" w:hAnsi="Arial Narrow" w:cs="Arial"/>
                <w:sz w:val="22"/>
                <w:szCs w:val="22"/>
              </w:rPr>
              <w:t xml:space="preserve"> </w:t>
            </w:r>
          </w:p>
          <w:p w14:paraId="4C51ACE7" w14:textId="570271D0" w:rsidR="00E1578D" w:rsidRPr="00544D36" w:rsidRDefault="00E1578D" w:rsidP="00544D36">
            <w:pPr>
              <w:spacing w:after="120"/>
              <w:jc w:val="both"/>
              <w:rPr>
                <w:rFonts w:ascii="Arial Narrow" w:eastAsia="Calibri" w:hAnsi="Arial Narrow" w:cs="Arial"/>
                <w:sz w:val="22"/>
                <w:szCs w:val="22"/>
              </w:rPr>
            </w:pPr>
          </w:p>
        </w:tc>
      </w:tr>
      <w:tr w:rsidR="00544D36" w:rsidRPr="00544D36" w14:paraId="3FD730F8" w14:textId="77777777" w:rsidTr="00372050">
        <w:tc>
          <w:tcPr>
            <w:tcW w:w="2547" w:type="dxa"/>
            <w:tcBorders>
              <w:top w:val="single" w:sz="4" w:space="0" w:color="auto"/>
              <w:left w:val="single" w:sz="4" w:space="0" w:color="auto"/>
              <w:bottom w:val="single" w:sz="4" w:space="0" w:color="auto"/>
              <w:right w:val="single" w:sz="4" w:space="0" w:color="auto"/>
            </w:tcBorders>
            <w:hideMark/>
          </w:tcPr>
          <w:p w14:paraId="11FD78DC" w14:textId="77777777" w:rsidR="00544D36" w:rsidRPr="00544D36" w:rsidRDefault="00544D36" w:rsidP="00544D36">
            <w:pPr>
              <w:keepNext/>
              <w:rPr>
                <w:rFonts w:ascii="Arial Narrow" w:hAnsi="Arial Narrow" w:cs="Arial"/>
                <w:bCs/>
                <w:color w:val="000000"/>
                <w:sz w:val="22"/>
                <w:szCs w:val="22"/>
              </w:rPr>
            </w:pPr>
            <w:r w:rsidRPr="00544D36">
              <w:rPr>
                <w:rFonts w:ascii="Arial Narrow" w:hAnsi="Arial Narrow" w:cs="Arial"/>
                <w:bCs/>
                <w:color w:val="000000"/>
                <w:sz w:val="22"/>
                <w:szCs w:val="22"/>
              </w:rPr>
              <w:t>Levothyroxine - hypothyroidism</w:t>
            </w:r>
          </w:p>
        </w:tc>
        <w:tc>
          <w:tcPr>
            <w:tcW w:w="2551" w:type="dxa"/>
            <w:tcBorders>
              <w:top w:val="single" w:sz="4" w:space="0" w:color="auto"/>
              <w:left w:val="single" w:sz="4" w:space="0" w:color="auto"/>
              <w:bottom w:val="single" w:sz="4" w:space="0" w:color="auto"/>
              <w:right w:val="single" w:sz="4" w:space="0" w:color="auto"/>
            </w:tcBorders>
            <w:hideMark/>
          </w:tcPr>
          <w:p w14:paraId="441251C9" w14:textId="77777777" w:rsidR="00544D36" w:rsidRPr="00544D36" w:rsidRDefault="00544D36" w:rsidP="00544D36">
            <w:pPr>
              <w:keepNext/>
              <w:rPr>
                <w:rFonts w:ascii="Arial Narrow" w:hAnsi="Arial Narrow" w:cs="Arial"/>
                <w:bCs/>
                <w:color w:val="000000"/>
                <w:sz w:val="22"/>
                <w:szCs w:val="22"/>
              </w:rPr>
            </w:pPr>
            <w:r w:rsidRPr="00544D36">
              <w:rPr>
                <w:rFonts w:ascii="Arial Narrow" w:hAnsi="Arial Narrow" w:cs="Arial"/>
                <w:bCs/>
                <w:color w:val="000000"/>
                <w:sz w:val="22"/>
                <w:szCs w:val="22"/>
              </w:rPr>
              <w:t>Unrestricted benefit</w:t>
            </w:r>
          </w:p>
        </w:tc>
        <w:tc>
          <w:tcPr>
            <w:tcW w:w="3918" w:type="dxa"/>
            <w:tcBorders>
              <w:top w:val="single" w:sz="4" w:space="0" w:color="auto"/>
              <w:left w:val="single" w:sz="4" w:space="0" w:color="auto"/>
              <w:bottom w:val="single" w:sz="4" w:space="0" w:color="auto"/>
              <w:right w:val="single" w:sz="4" w:space="0" w:color="auto"/>
            </w:tcBorders>
            <w:hideMark/>
          </w:tcPr>
          <w:p w14:paraId="65A40B5D" w14:textId="77777777" w:rsidR="00372050" w:rsidRDefault="00372050" w:rsidP="00544D36">
            <w:pPr>
              <w:keepNext/>
              <w:jc w:val="both"/>
              <w:rPr>
                <w:rFonts w:ascii="Arial Narrow" w:hAnsi="Arial Narrow" w:cs="Arial"/>
                <w:bCs/>
                <w:color w:val="000000"/>
                <w:sz w:val="22"/>
                <w:szCs w:val="22"/>
              </w:rPr>
            </w:pPr>
            <w:r w:rsidRPr="00E1578D">
              <w:rPr>
                <w:rFonts w:ascii="Arial Narrow" w:hAnsi="Arial Narrow" w:cs="Arial"/>
                <w:bCs/>
                <w:color w:val="000000"/>
                <w:sz w:val="22"/>
                <w:szCs w:val="22"/>
              </w:rPr>
              <w:t>Principle 4 - Health condition specific considerations</w:t>
            </w:r>
            <w:r w:rsidRPr="00544D36">
              <w:rPr>
                <w:rFonts w:ascii="Arial Narrow" w:hAnsi="Arial Narrow" w:cs="Arial"/>
                <w:bCs/>
                <w:color w:val="000000"/>
                <w:sz w:val="22"/>
                <w:szCs w:val="22"/>
              </w:rPr>
              <w:t xml:space="preserve"> </w:t>
            </w:r>
          </w:p>
          <w:p w14:paraId="5B7B3D80" w14:textId="351AF133" w:rsidR="00544D36" w:rsidRDefault="00544D36" w:rsidP="00544D36">
            <w:pPr>
              <w:keepNext/>
              <w:jc w:val="both"/>
              <w:rPr>
                <w:rFonts w:ascii="Arial Narrow" w:hAnsi="Arial Narrow" w:cs="Arial"/>
                <w:bCs/>
                <w:color w:val="000000"/>
                <w:sz w:val="22"/>
                <w:szCs w:val="22"/>
              </w:rPr>
            </w:pPr>
            <w:r w:rsidRPr="00544D36">
              <w:rPr>
                <w:rFonts w:ascii="Arial Narrow" w:hAnsi="Arial Narrow" w:cs="Arial"/>
                <w:bCs/>
                <w:color w:val="000000"/>
                <w:sz w:val="22"/>
                <w:szCs w:val="22"/>
              </w:rPr>
              <w:t>Continuing therapy only. Treatment must be shared with a medical practitioner to assist in ensuring the underlying causes of hypothyroidism are investigated and treated appropriately before the commencement of drug therapy.</w:t>
            </w:r>
          </w:p>
          <w:p w14:paraId="0DD858E6" w14:textId="161CB5C9" w:rsidR="00E1578D" w:rsidRPr="00544D36" w:rsidRDefault="00E1578D" w:rsidP="00544D36">
            <w:pPr>
              <w:keepNext/>
              <w:jc w:val="both"/>
              <w:rPr>
                <w:rFonts w:ascii="Arial Narrow" w:hAnsi="Arial Narrow" w:cs="Arial"/>
                <w:bCs/>
                <w:color w:val="000000"/>
                <w:sz w:val="22"/>
                <w:szCs w:val="22"/>
              </w:rPr>
            </w:pPr>
          </w:p>
        </w:tc>
      </w:tr>
      <w:tr w:rsidR="00544D36" w:rsidRPr="00544D36" w14:paraId="43EC9ADD" w14:textId="77777777" w:rsidTr="00372050">
        <w:tc>
          <w:tcPr>
            <w:tcW w:w="2547" w:type="dxa"/>
            <w:tcBorders>
              <w:top w:val="single" w:sz="4" w:space="0" w:color="auto"/>
              <w:left w:val="single" w:sz="4" w:space="0" w:color="auto"/>
              <w:bottom w:val="single" w:sz="4" w:space="0" w:color="auto"/>
              <w:right w:val="single" w:sz="4" w:space="0" w:color="auto"/>
            </w:tcBorders>
            <w:hideMark/>
          </w:tcPr>
          <w:p w14:paraId="3D7E6386" w14:textId="77777777" w:rsidR="00544D36" w:rsidRPr="00544D36" w:rsidRDefault="00544D36" w:rsidP="00544D36">
            <w:pPr>
              <w:keepNext/>
              <w:rPr>
                <w:rFonts w:ascii="Arial Narrow" w:hAnsi="Arial Narrow" w:cs="Arial"/>
                <w:bCs/>
                <w:color w:val="000000"/>
                <w:sz w:val="22"/>
                <w:szCs w:val="22"/>
              </w:rPr>
            </w:pPr>
            <w:r w:rsidRPr="00544D36">
              <w:rPr>
                <w:rFonts w:ascii="Arial Narrow" w:hAnsi="Arial Narrow" w:cs="Arial"/>
                <w:bCs/>
                <w:color w:val="000000"/>
                <w:sz w:val="22"/>
                <w:szCs w:val="22"/>
              </w:rPr>
              <w:t>Metformin - diabetes</w:t>
            </w:r>
          </w:p>
        </w:tc>
        <w:tc>
          <w:tcPr>
            <w:tcW w:w="2551" w:type="dxa"/>
            <w:tcBorders>
              <w:top w:val="single" w:sz="4" w:space="0" w:color="auto"/>
              <w:left w:val="single" w:sz="4" w:space="0" w:color="auto"/>
              <w:bottom w:val="single" w:sz="4" w:space="0" w:color="auto"/>
              <w:right w:val="single" w:sz="4" w:space="0" w:color="auto"/>
            </w:tcBorders>
            <w:hideMark/>
          </w:tcPr>
          <w:p w14:paraId="34BCE5D2" w14:textId="77777777" w:rsidR="00544D36" w:rsidRPr="00544D36" w:rsidRDefault="00544D36" w:rsidP="00544D36">
            <w:pPr>
              <w:keepNext/>
              <w:rPr>
                <w:rFonts w:ascii="Arial Narrow" w:hAnsi="Arial Narrow" w:cs="Arial"/>
                <w:bCs/>
                <w:color w:val="000000"/>
                <w:sz w:val="22"/>
                <w:szCs w:val="22"/>
              </w:rPr>
            </w:pPr>
            <w:r w:rsidRPr="00544D36">
              <w:rPr>
                <w:rFonts w:ascii="Arial Narrow" w:hAnsi="Arial Narrow" w:cs="Arial"/>
                <w:bCs/>
                <w:color w:val="000000"/>
                <w:sz w:val="22"/>
                <w:szCs w:val="22"/>
              </w:rPr>
              <w:t>Unrestricted benefit</w:t>
            </w:r>
          </w:p>
        </w:tc>
        <w:tc>
          <w:tcPr>
            <w:tcW w:w="3918" w:type="dxa"/>
            <w:tcBorders>
              <w:top w:val="single" w:sz="4" w:space="0" w:color="auto"/>
              <w:left w:val="single" w:sz="4" w:space="0" w:color="auto"/>
              <w:bottom w:val="single" w:sz="4" w:space="0" w:color="auto"/>
              <w:right w:val="single" w:sz="4" w:space="0" w:color="auto"/>
            </w:tcBorders>
            <w:hideMark/>
          </w:tcPr>
          <w:p w14:paraId="53439BE9" w14:textId="77777777" w:rsidR="00372050" w:rsidRDefault="00372050" w:rsidP="00544D36">
            <w:pPr>
              <w:keepNext/>
              <w:jc w:val="both"/>
              <w:rPr>
                <w:rFonts w:ascii="Arial Narrow" w:hAnsi="Arial Narrow" w:cs="Arial"/>
                <w:bCs/>
                <w:color w:val="000000"/>
                <w:sz w:val="22"/>
                <w:szCs w:val="22"/>
              </w:rPr>
            </w:pPr>
            <w:r w:rsidRPr="00E1578D">
              <w:rPr>
                <w:rFonts w:ascii="Arial Narrow" w:hAnsi="Arial Narrow" w:cs="Arial"/>
                <w:bCs/>
                <w:color w:val="000000"/>
                <w:sz w:val="22"/>
                <w:szCs w:val="22"/>
              </w:rPr>
              <w:t>Principle 4 - Health condition specific considerations</w:t>
            </w:r>
            <w:r w:rsidRPr="00544D36">
              <w:rPr>
                <w:rFonts w:ascii="Arial Narrow" w:hAnsi="Arial Narrow" w:cs="Arial"/>
                <w:bCs/>
                <w:color w:val="000000"/>
                <w:sz w:val="22"/>
                <w:szCs w:val="22"/>
              </w:rPr>
              <w:t xml:space="preserve"> </w:t>
            </w:r>
          </w:p>
          <w:p w14:paraId="19DBE2CC" w14:textId="417226B4" w:rsidR="00544D36" w:rsidRDefault="00544D36" w:rsidP="00544D36">
            <w:pPr>
              <w:keepNext/>
              <w:jc w:val="both"/>
              <w:rPr>
                <w:rFonts w:ascii="Arial Narrow" w:hAnsi="Arial Narrow" w:cs="Arial"/>
                <w:bCs/>
                <w:color w:val="000000"/>
                <w:sz w:val="22"/>
                <w:szCs w:val="22"/>
              </w:rPr>
            </w:pPr>
            <w:r w:rsidRPr="00544D36">
              <w:rPr>
                <w:rFonts w:ascii="Arial Narrow" w:hAnsi="Arial Narrow" w:cs="Arial"/>
                <w:bCs/>
                <w:color w:val="000000"/>
                <w:sz w:val="22"/>
                <w:szCs w:val="22"/>
              </w:rPr>
              <w:t>Continuing therapy only. Treatment must be shared with a medical practitioner to assist in ensuring the underlying causes of diabetes are investigated and treated appropriately before the commencement of drug therapy.</w:t>
            </w:r>
          </w:p>
          <w:p w14:paraId="4DC97078" w14:textId="419F334B" w:rsidR="00E1578D" w:rsidRPr="00544D36" w:rsidRDefault="00E1578D" w:rsidP="00544D36">
            <w:pPr>
              <w:keepNext/>
              <w:jc w:val="both"/>
              <w:rPr>
                <w:rFonts w:ascii="Arial Narrow" w:hAnsi="Arial Narrow" w:cs="Arial"/>
                <w:bCs/>
                <w:color w:val="000000"/>
                <w:sz w:val="22"/>
                <w:szCs w:val="22"/>
              </w:rPr>
            </w:pPr>
          </w:p>
        </w:tc>
      </w:tr>
      <w:tr w:rsidR="00544D36" w:rsidRPr="00544D36" w14:paraId="732D82D9" w14:textId="77777777" w:rsidTr="00372050">
        <w:tc>
          <w:tcPr>
            <w:tcW w:w="2547" w:type="dxa"/>
            <w:tcBorders>
              <w:top w:val="single" w:sz="4" w:space="0" w:color="auto"/>
              <w:left w:val="single" w:sz="4" w:space="0" w:color="auto"/>
              <w:bottom w:val="single" w:sz="4" w:space="0" w:color="auto"/>
              <w:right w:val="single" w:sz="4" w:space="0" w:color="auto"/>
            </w:tcBorders>
            <w:hideMark/>
          </w:tcPr>
          <w:p w14:paraId="66FDE002" w14:textId="77777777" w:rsidR="00544D36" w:rsidRPr="00544D36" w:rsidRDefault="00544D36" w:rsidP="00544D36">
            <w:pPr>
              <w:keepNext/>
              <w:rPr>
                <w:rFonts w:ascii="Arial Narrow" w:hAnsi="Arial Narrow" w:cs="Arial"/>
                <w:bCs/>
                <w:color w:val="000000"/>
                <w:sz w:val="22"/>
                <w:szCs w:val="22"/>
              </w:rPr>
            </w:pPr>
            <w:r w:rsidRPr="00544D36">
              <w:rPr>
                <w:rFonts w:ascii="Arial Narrow" w:hAnsi="Arial Narrow" w:cs="Arial"/>
                <w:bCs/>
                <w:color w:val="000000"/>
                <w:sz w:val="22"/>
                <w:szCs w:val="22"/>
              </w:rPr>
              <w:t>Temazepam – insomnia</w:t>
            </w:r>
          </w:p>
        </w:tc>
        <w:tc>
          <w:tcPr>
            <w:tcW w:w="2551" w:type="dxa"/>
            <w:tcBorders>
              <w:top w:val="single" w:sz="4" w:space="0" w:color="auto"/>
              <w:left w:val="single" w:sz="4" w:space="0" w:color="auto"/>
              <w:bottom w:val="single" w:sz="4" w:space="0" w:color="auto"/>
              <w:right w:val="single" w:sz="4" w:space="0" w:color="auto"/>
            </w:tcBorders>
            <w:hideMark/>
          </w:tcPr>
          <w:p w14:paraId="348790C2" w14:textId="77777777" w:rsidR="00544D36" w:rsidRPr="00544D36" w:rsidRDefault="00544D36" w:rsidP="00544D36">
            <w:pPr>
              <w:keepNext/>
              <w:rPr>
                <w:rFonts w:ascii="Arial Narrow" w:eastAsia="Calibri" w:hAnsi="Arial Narrow" w:cs="Arial"/>
                <w:bCs/>
                <w:color w:val="000000"/>
                <w:sz w:val="22"/>
                <w:szCs w:val="22"/>
              </w:rPr>
            </w:pPr>
            <w:r w:rsidRPr="00544D36">
              <w:rPr>
                <w:rFonts w:ascii="Arial Narrow" w:eastAsia="Calibri" w:hAnsi="Arial Narrow" w:cs="Arial"/>
                <w:bCs/>
                <w:color w:val="000000"/>
                <w:sz w:val="22"/>
                <w:szCs w:val="22"/>
              </w:rPr>
              <w:t>Unrestricted benefit</w:t>
            </w:r>
          </w:p>
        </w:tc>
        <w:tc>
          <w:tcPr>
            <w:tcW w:w="3918" w:type="dxa"/>
            <w:tcBorders>
              <w:top w:val="single" w:sz="4" w:space="0" w:color="auto"/>
              <w:left w:val="single" w:sz="4" w:space="0" w:color="auto"/>
              <w:bottom w:val="single" w:sz="4" w:space="0" w:color="auto"/>
              <w:right w:val="single" w:sz="4" w:space="0" w:color="auto"/>
            </w:tcBorders>
            <w:hideMark/>
          </w:tcPr>
          <w:p w14:paraId="4AAFD891" w14:textId="77777777" w:rsidR="00372050" w:rsidRDefault="00372050" w:rsidP="00544D36">
            <w:pPr>
              <w:keepNext/>
              <w:jc w:val="both"/>
              <w:rPr>
                <w:rFonts w:ascii="Arial Narrow" w:eastAsia="Calibri" w:hAnsi="Arial Narrow" w:cs="Arial"/>
                <w:bCs/>
                <w:color w:val="000000"/>
                <w:sz w:val="22"/>
                <w:szCs w:val="22"/>
              </w:rPr>
            </w:pPr>
            <w:r w:rsidRPr="00E1578D">
              <w:rPr>
                <w:rFonts w:ascii="Arial Narrow" w:eastAsia="Calibri" w:hAnsi="Arial Narrow" w:cs="Arial"/>
                <w:bCs/>
                <w:color w:val="000000"/>
                <w:sz w:val="22"/>
                <w:szCs w:val="22"/>
              </w:rPr>
              <w:t>Principle 3 - Medicine specific considerations</w:t>
            </w:r>
            <w:r w:rsidRPr="00544D36">
              <w:rPr>
                <w:rFonts w:ascii="Arial Narrow" w:eastAsia="Calibri" w:hAnsi="Arial Narrow" w:cs="Arial"/>
                <w:bCs/>
                <w:color w:val="000000"/>
                <w:sz w:val="22"/>
                <w:szCs w:val="22"/>
              </w:rPr>
              <w:t xml:space="preserve"> </w:t>
            </w:r>
          </w:p>
          <w:p w14:paraId="28BBE392" w14:textId="65DC2CCE" w:rsidR="00544D36" w:rsidRDefault="00544D36" w:rsidP="00544D36">
            <w:pPr>
              <w:keepNext/>
              <w:jc w:val="both"/>
              <w:rPr>
                <w:rFonts w:ascii="Arial Narrow" w:eastAsia="Calibri" w:hAnsi="Arial Narrow" w:cs="Arial"/>
                <w:bCs/>
                <w:color w:val="000000"/>
                <w:sz w:val="22"/>
                <w:szCs w:val="22"/>
              </w:rPr>
            </w:pPr>
            <w:r w:rsidRPr="00544D36">
              <w:rPr>
                <w:rFonts w:ascii="Arial Narrow" w:eastAsia="Calibri" w:hAnsi="Arial Narrow" w:cs="Arial"/>
                <w:bCs/>
                <w:color w:val="000000"/>
                <w:sz w:val="22"/>
                <w:szCs w:val="22"/>
              </w:rPr>
              <w:t>Treatment must be shared with a medical practitioner to assist in ensuring the underlying causes(s) are investigated and treated appropriately, as well to ensure short term use only.</w:t>
            </w:r>
          </w:p>
          <w:p w14:paraId="4FC928C2" w14:textId="04D53505" w:rsidR="00E1578D" w:rsidRPr="00544D36" w:rsidRDefault="00E1578D" w:rsidP="00544D36">
            <w:pPr>
              <w:keepNext/>
              <w:jc w:val="both"/>
              <w:rPr>
                <w:rFonts w:ascii="Arial Narrow" w:eastAsia="Calibri" w:hAnsi="Arial Narrow" w:cs="Arial"/>
                <w:bCs/>
                <w:color w:val="000000"/>
                <w:sz w:val="22"/>
                <w:szCs w:val="22"/>
              </w:rPr>
            </w:pPr>
          </w:p>
        </w:tc>
      </w:tr>
    </w:tbl>
    <w:p w14:paraId="3401C002" w14:textId="77777777" w:rsidR="00544D36" w:rsidRPr="00544D36" w:rsidRDefault="00544D36" w:rsidP="00544D36">
      <w:pPr>
        <w:spacing w:after="90" w:line="300" w:lineRule="atLeast"/>
        <w:ind w:right="150"/>
        <w:rPr>
          <w:rFonts w:ascii="Open Sans" w:eastAsia="Times New Roman" w:hAnsi="Open Sans" w:cs="Open Sans"/>
          <w:lang w:eastAsia="en-AU"/>
        </w:rPr>
      </w:pPr>
    </w:p>
    <w:p w14:paraId="422FEC43" w14:textId="604619BA" w:rsidR="00544D36" w:rsidRPr="00544D36" w:rsidRDefault="00544D36" w:rsidP="00A4001C">
      <w:pPr>
        <w:keepNext/>
        <w:keepLines/>
        <w:spacing w:after="0" w:line="240" w:lineRule="auto"/>
        <w:rPr>
          <w:rFonts w:ascii="Arial" w:eastAsia="Calibri" w:hAnsi="Arial" w:cs="Arial"/>
          <w:b/>
          <w:bCs/>
          <w:color w:val="000000"/>
          <w:kern w:val="2"/>
          <w14:ligatures w14:val="standardContextual"/>
        </w:rPr>
      </w:pPr>
      <w:r w:rsidRPr="00544D36">
        <w:rPr>
          <w:rFonts w:ascii="Arial" w:eastAsia="Calibri" w:hAnsi="Arial" w:cs="Arial"/>
          <w:b/>
          <w:bCs/>
          <w:color w:val="000000"/>
          <w:kern w:val="2"/>
          <w14:ligatures w14:val="standardContextual"/>
        </w:rPr>
        <w:t xml:space="preserve">Table </w:t>
      </w:r>
      <w:r w:rsidR="000D1DC6">
        <w:rPr>
          <w:rFonts w:ascii="Arial" w:eastAsia="Calibri" w:hAnsi="Arial" w:cs="Arial"/>
          <w:b/>
          <w:bCs/>
          <w:color w:val="000000"/>
          <w:kern w:val="2"/>
          <w14:ligatures w14:val="standardContextual"/>
        </w:rPr>
        <w:t>3</w:t>
      </w:r>
      <w:r w:rsidRPr="00544D36">
        <w:rPr>
          <w:rFonts w:ascii="Arial" w:eastAsia="Calibri" w:hAnsi="Arial" w:cs="Arial"/>
          <w:b/>
          <w:bCs/>
          <w:color w:val="000000"/>
          <w:kern w:val="2"/>
          <w14:ligatures w14:val="standardContextual"/>
        </w:rPr>
        <w:t xml:space="preserve">: Medicines not recommended by the PBAC for PBS prescribing by </w:t>
      </w:r>
      <w:r w:rsidR="00A11DE9">
        <w:rPr>
          <w:rFonts w:ascii="Arial" w:eastAsia="Calibri" w:hAnsi="Arial" w:cs="Arial"/>
          <w:b/>
          <w:bCs/>
          <w:color w:val="000000"/>
          <w:kern w:val="2"/>
          <w14:ligatures w14:val="standardContextual"/>
        </w:rPr>
        <w:t xml:space="preserve">an </w:t>
      </w:r>
      <w:r w:rsidRPr="00544D36">
        <w:rPr>
          <w:rFonts w:ascii="Arial" w:eastAsia="Calibri" w:hAnsi="Arial" w:cs="Arial"/>
          <w:b/>
          <w:bCs/>
          <w:color w:val="000000"/>
          <w:kern w:val="2"/>
          <w14:ligatures w14:val="standardContextual"/>
        </w:rPr>
        <w:t>endorsed midwi</w:t>
      </w:r>
      <w:r w:rsidR="00A11DE9">
        <w:rPr>
          <w:rFonts w:ascii="Arial" w:eastAsia="Calibri" w:hAnsi="Arial" w:cs="Arial"/>
          <w:b/>
          <w:bCs/>
          <w:color w:val="000000"/>
          <w:kern w:val="2"/>
          <w14:ligatures w14:val="standardContextual"/>
        </w:rPr>
        <w:t>f</w:t>
      </w:r>
      <w:r w:rsidRPr="00544D36">
        <w:rPr>
          <w:rFonts w:ascii="Arial" w:eastAsia="Calibri" w:hAnsi="Arial" w:cs="Arial"/>
          <w:b/>
          <w:bCs/>
          <w:color w:val="000000"/>
          <w:kern w:val="2"/>
          <w14:ligatures w14:val="standardContextual"/>
        </w:rPr>
        <w:t xml:space="preserve">e </w:t>
      </w:r>
    </w:p>
    <w:tbl>
      <w:tblPr>
        <w:tblStyle w:val="TableGrid1"/>
        <w:tblW w:w="5000" w:type="pct"/>
        <w:tblLook w:val="04A0" w:firstRow="1" w:lastRow="0" w:firstColumn="1" w:lastColumn="0" w:noHBand="0" w:noVBand="1"/>
      </w:tblPr>
      <w:tblGrid>
        <w:gridCol w:w="1837"/>
        <w:gridCol w:w="7179"/>
      </w:tblGrid>
      <w:tr w:rsidR="00544D36" w:rsidRPr="00544D36" w14:paraId="5D68D3D7" w14:textId="77777777" w:rsidTr="00D349CF">
        <w:trPr>
          <w:trHeight w:val="369"/>
          <w:tblHeader/>
        </w:trPr>
        <w:tc>
          <w:tcPr>
            <w:tcW w:w="1019" w:type="pct"/>
            <w:hideMark/>
          </w:tcPr>
          <w:p w14:paraId="43879085" w14:textId="77777777" w:rsidR="00544D36" w:rsidRPr="00544D36" w:rsidRDefault="00544D36" w:rsidP="00A4001C">
            <w:pPr>
              <w:keepNext/>
              <w:keepLines/>
              <w:numPr>
                <w:ilvl w:val="1"/>
                <w:numId w:val="0"/>
              </w:numPr>
              <w:ind w:left="720" w:hanging="720"/>
              <w:rPr>
                <w:rFonts w:ascii="Arial Narrow" w:eastAsia="Calibri" w:hAnsi="Arial Narrow" w:cs="Arial"/>
                <w:b/>
                <w:bCs/>
                <w:sz w:val="22"/>
                <w:szCs w:val="22"/>
              </w:rPr>
            </w:pPr>
            <w:r w:rsidRPr="00544D36">
              <w:rPr>
                <w:rFonts w:ascii="Arial Narrow" w:eastAsia="Calibri" w:hAnsi="Arial Narrow" w:cs="Arial"/>
                <w:b/>
                <w:bCs/>
                <w:sz w:val="22"/>
                <w:szCs w:val="22"/>
              </w:rPr>
              <w:t>Medicine</w:t>
            </w:r>
          </w:p>
        </w:tc>
        <w:tc>
          <w:tcPr>
            <w:tcW w:w="3981" w:type="pct"/>
            <w:noWrap/>
            <w:hideMark/>
          </w:tcPr>
          <w:p w14:paraId="42C01169" w14:textId="77777777" w:rsidR="00544D36" w:rsidRPr="00544D36" w:rsidRDefault="00544D36" w:rsidP="00A4001C">
            <w:pPr>
              <w:keepNext/>
              <w:keepLines/>
              <w:numPr>
                <w:ilvl w:val="1"/>
                <w:numId w:val="0"/>
              </w:numPr>
              <w:ind w:left="40" w:hanging="40"/>
              <w:rPr>
                <w:rFonts w:ascii="Arial Narrow" w:eastAsia="Calibri" w:hAnsi="Arial Narrow" w:cs="Arial"/>
                <w:b/>
                <w:bCs/>
                <w:sz w:val="22"/>
                <w:szCs w:val="22"/>
              </w:rPr>
            </w:pPr>
            <w:r w:rsidRPr="00544D36">
              <w:rPr>
                <w:rFonts w:ascii="Arial Narrow" w:eastAsia="Calibri" w:hAnsi="Arial Narrow" w:cs="Arial"/>
                <w:b/>
                <w:bCs/>
                <w:sz w:val="22"/>
                <w:szCs w:val="22"/>
              </w:rPr>
              <w:t>Reason</w:t>
            </w:r>
          </w:p>
        </w:tc>
      </w:tr>
      <w:tr w:rsidR="00544D36" w:rsidRPr="00544D36" w14:paraId="6D546824" w14:textId="77777777" w:rsidTr="00D74A27">
        <w:trPr>
          <w:trHeight w:val="432"/>
        </w:trPr>
        <w:tc>
          <w:tcPr>
            <w:tcW w:w="1019" w:type="pct"/>
          </w:tcPr>
          <w:p w14:paraId="1993D220" w14:textId="77777777" w:rsidR="00544D36" w:rsidRPr="00544D36" w:rsidRDefault="00544D36" w:rsidP="00A4001C">
            <w:pPr>
              <w:keepNext/>
              <w:keepLines/>
              <w:numPr>
                <w:ilvl w:val="1"/>
                <w:numId w:val="0"/>
              </w:numPr>
              <w:rPr>
                <w:rFonts w:ascii="Arial Narrow" w:eastAsia="Calibri" w:hAnsi="Arial Narrow" w:cs="Arial"/>
                <w:sz w:val="22"/>
                <w:szCs w:val="22"/>
              </w:rPr>
            </w:pPr>
            <w:r w:rsidRPr="00544D36">
              <w:rPr>
                <w:rFonts w:ascii="Arial Narrow" w:eastAsia="Calibri" w:hAnsi="Arial Narrow" w:cs="Arial"/>
                <w:sz w:val="22"/>
                <w:szCs w:val="22"/>
              </w:rPr>
              <w:t>Domperidone</w:t>
            </w:r>
          </w:p>
        </w:tc>
        <w:tc>
          <w:tcPr>
            <w:tcW w:w="3981" w:type="pct"/>
          </w:tcPr>
          <w:p w14:paraId="56F0C222" w14:textId="639379B9" w:rsidR="00544D36" w:rsidRPr="00544D36" w:rsidRDefault="00544D36" w:rsidP="00A4001C">
            <w:pPr>
              <w:keepNext/>
              <w:keepLines/>
              <w:numPr>
                <w:ilvl w:val="1"/>
                <w:numId w:val="0"/>
              </w:numPr>
              <w:rPr>
                <w:rFonts w:ascii="Arial Narrow" w:eastAsia="Calibri" w:hAnsi="Arial Narrow" w:cs="Arial"/>
                <w:sz w:val="22"/>
                <w:szCs w:val="22"/>
              </w:rPr>
            </w:pPr>
            <w:r w:rsidRPr="00544D36">
              <w:rPr>
                <w:rFonts w:ascii="Arial Narrow" w:eastAsia="Calibri" w:hAnsi="Arial Narrow" w:cs="Arial"/>
                <w:sz w:val="22"/>
                <w:szCs w:val="22"/>
              </w:rPr>
              <w:t>The proposed use (increase lactation post</w:t>
            </w:r>
            <w:r w:rsidR="007415F8">
              <w:rPr>
                <w:rFonts w:ascii="Arial Narrow" w:eastAsia="Calibri" w:hAnsi="Arial Narrow" w:cs="Arial"/>
                <w:sz w:val="22"/>
                <w:szCs w:val="22"/>
              </w:rPr>
              <w:t>-</w:t>
            </w:r>
            <w:r w:rsidRPr="00544D36">
              <w:rPr>
                <w:rFonts w:ascii="Arial Narrow" w:eastAsia="Calibri" w:hAnsi="Arial Narrow" w:cs="Arial"/>
                <w:sz w:val="22"/>
                <w:szCs w:val="22"/>
              </w:rPr>
              <w:t>partum) is not a TGA registered indication</w:t>
            </w:r>
          </w:p>
        </w:tc>
      </w:tr>
      <w:tr w:rsidR="00544D36" w:rsidRPr="00544D36" w14:paraId="2A7AEBED" w14:textId="77777777" w:rsidTr="00D74A27">
        <w:trPr>
          <w:trHeight w:val="410"/>
        </w:trPr>
        <w:tc>
          <w:tcPr>
            <w:tcW w:w="1019" w:type="pct"/>
          </w:tcPr>
          <w:p w14:paraId="6BB25640" w14:textId="57D20393" w:rsidR="00544D36" w:rsidRPr="00544D36" w:rsidRDefault="00544D36" w:rsidP="00A4001C">
            <w:pPr>
              <w:keepNext/>
              <w:keepLines/>
              <w:numPr>
                <w:ilvl w:val="1"/>
                <w:numId w:val="0"/>
              </w:numPr>
              <w:ind w:left="720" w:hanging="720"/>
              <w:rPr>
                <w:rFonts w:ascii="Arial Narrow" w:eastAsia="Calibri" w:hAnsi="Arial Narrow" w:cs="Arial"/>
                <w:sz w:val="22"/>
                <w:szCs w:val="22"/>
              </w:rPr>
            </w:pPr>
            <w:r w:rsidRPr="00544D36">
              <w:rPr>
                <w:rFonts w:ascii="Arial Narrow" w:eastAsia="Calibri" w:hAnsi="Arial Narrow" w:cs="Arial"/>
                <w:sz w:val="22"/>
                <w:szCs w:val="22"/>
              </w:rPr>
              <w:t>Terbutaline</w:t>
            </w:r>
            <w:r w:rsidR="00D74A27" w:rsidRPr="00512428">
              <w:rPr>
                <w:rFonts w:ascii="Arial Narrow" w:eastAsia="Calibri" w:hAnsi="Arial Narrow" w:cs="Arial"/>
                <w:sz w:val="22"/>
                <w:szCs w:val="22"/>
              </w:rPr>
              <w:t xml:space="preserve"> </w:t>
            </w:r>
            <w:r w:rsidRPr="00544D36">
              <w:rPr>
                <w:rFonts w:ascii="Arial Narrow" w:eastAsia="Calibri" w:hAnsi="Arial Narrow" w:cs="Arial"/>
                <w:sz w:val="22"/>
                <w:szCs w:val="22"/>
              </w:rPr>
              <w:t>injection</w:t>
            </w:r>
          </w:p>
        </w:tc>
        <w:tc>
          <w:tcPr>
            <w:tcW w:w="3981" w:type="pct"/>
            <w:noWrap/>
          </w:tcPr>
          <w:p w14:paraId="33A3B59C" w14:textId="461EA6BC" w:rsidR="00544D36" w:rsidRPr="00544D36" w:rsidRDefault="00544D36" w:rsidP="00A4001C">
            <w:pPr>
              <w:keepNext/>
              <w:keepLines/>
              <w:numPr>
                <w:ilvl w:val="1"/>
                <w:numId w:val="0"/>
              </w:numPr>
              <w:rPr>
                <w:rFonts w:ascii="Arial Narrow" w:eastAsia="Calibri" w:hAnsi="Arial Narrow" w:cs="Arial"/>
                <w:sz w:val="22"/>
                <w:szCs w:val="22"/>
              </w:rPr>
            </w:pPr>
            <w:r w:rsidRPr="00544D36">
              <w:rPr>
                <w:rFonts w:ascii="Arial Narrow" w:eastAsia="Calibri" w:hAnsi="Arial Narrow" w:cs="Arial"/>
                <w:sz w:val="22"/>
                <w:szCs w:val="22"/>
              </w:rPr>
              <w:t>The proposed use (tocolytic) is not a TGA registered indication</w:t>
            </w:r>
          </w:p>
        </w:tc>
      </w:tr>
      <w:tr w:rsidR="00544D36" w:rsidRPr="00544D36" w14:paraId="020A52FD" w14:textId="77777777" w:rsidTr="00D74A27">
        <w:trPr>
          <w:trHeight w:val="275"/>
        </w:trPr>
        <w:tc>
          <w:tcPr>
            <w:tcW w:w="1019" w:type="pct"/>
          </w:tcPr>
          <w:p w14:paraId="48B9BD29" w14:textId="77777777"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Ondansetron</w:t>
            </w:r>
          </w:p>
        </w:tc>
        <w:tc>
          <w:tcPr>
            <w:tcW w:w="3981" w:type="pct"/>
          </w:tcPr>
          <w:p w14:paraId="189AB479" w14:textId="26E1C9D3"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The proposed use (nausea/vomiting associated with pregnancy) is not a TGA registered indication</w:t>
            </w:r>
          </w:p>
        </w:tc>
      </w:tr>
      <w:tr w:rsidR="00544D36" w:rsidRPr="00544D36" w14:paraId="4C62FEEA" w14:textId="77777777" w:rsidTr="00D74A27">
        <w:trPr>
          <w:trHeight w:val="275"/>
        </w:trPr>
        <w:tc>
          <w:tcPr>
            <w:tcW w:w="1019" w:type="pct"/>
          </w:tcPr>
          <w:p w14:paraId="611E5CE5" w14:textId="52C3399E"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Ranitidine 300</w:t>
            </w:r>
            <w:r w:rsidR="004C0B8A" w:rsidRPr="00512428">
              <w:rPr>
                <w:rFonts w:ascii="Arial Narrow" w:eastAsia="Calibri" w:hAnsi="Arial Narrow" w:cs="Arial"/>
                <w:sz w:val="22"/>
                <w:szCs w:val="22"/>
              </w:rPr>
              <w:t xml:space="preserve"> </w:t>
            </w:r>
            <w:r w:rsidRPr="00544D36">
              <w:rPr>
                <w:rFonts w:ascii="Arial Narrow" w:eastAsia="Calibri" w:hAnsi="Arial Narrow" w:cs="Arial"/>
                <w:sz w:val="22"/>
                <w:szCs w:val="22"/>
              </w:rPr>
              <w:t>mg</w:t>
            </w:r>
          </w:p>
        </w:tc>
        <w:tc>
          <w:tcPr>
            <w:tcW w:w="3981" w:type="pct"/>
          </w:tcPr>
          <w:p w14:paraId="64DEA4BE" w14:textId="178B7EB0"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Medicine is currently withdrawn from the market</w:t>
            </w:r>
          </w:p>
        </w:tc>
      </w:tr>
      <w:tr w:rsidR="00544D36" w:rsidRPr="00544D36" w14:paraId="5F4FF701" w14:textId="77777777" w:rsidTr="00D74A27">
        <w:trPr>
          <w:trHeight w:val="275"/>
        </w:trPr>
        <w:tc>
          <w:tcPr>
            <w:tcW w:w="1019" w:type="pct"/>
          </w:tcPr>
          <w:p w14:paraId="0CDA3472" w14:textId="77777777"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lastRenderedPageBreak/>
              <w:t>Enalapril</w:t>
            </w:r>
          </w:p>
        </w:tc>
        <w:tc>
          <w:tcPr>
            <w:tcW w:w="3981" w:type="pct"/>
          </w:tcPr>
          <w:p w14:paraId="2A1AC04C" w14:textId="35D869AD"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Clinical guidelines do not support use of the medicine during pregnancy in favour of alternative medicines</w:t>
            </w:r>
          </w:p>
        </w:tc>
      </w:tr>
      <w:tr w:rsidR="00544D36" w:rsidRPr="00544D36" w14:paraId="5EE51568" w14:textId="77777777" w:rsidTr="00D74A27">
        <w:trPr>
          <w:trHeight w:val="275"/>
        </w:trPr>
        <w:tc>
          <w:tcPr>
            <w:tcW w:w="1019" w:type="pct"/>
          </w:tcPr>
          <w:p w14:paraId="19C3C193" w14:textId="77777777"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Pantoprazole</w:t>
            </w:r>
          </w:p>
        </w:tc>
        <w:tc>
          <w:tcPr>
            <w:tcW w:w="3981" w:type="pct"/>
          </w:tcPr>
          <w:p w14:paraId="05E5E093" w14:textId="4EB1F1DE" w:rsidR="00544D36" w:rsidRPr="00544D36" w:rsidRDefault="00544D36" w:rsidP="00544D36">
            <w:pPr>
              <w:numPr>
                <w:ilvl w:val="1"/>
                <w:numId w:val="0"/>
              </w:numPr>
              <w:rPr>
                <w:rFonts w:ascii="Arial Narrow" w:eastAsia="Calibri" w:hAnsi="Arial Narrow" w:cs="Arial"/>
                <w:sz w:val="22"/>
                <w:szCs w:val="22"/>
              </w:rPr>
            </w:pPr>
            <w:r w:rsidRPr="00544D36">
              <w:rPr>
                <w:rFonts w:ascii="Arial Narrow" w:eastAsia="Calibri" w:hAnsi="Arial Narrow" w:cs="Arial"/>
                <w:sz w:val="22"/>
                <w:szCs w:val="22"/>
              </w:rPr>
              <w:t>Clinical guidelines do not support use of the medicine during pregnancy in favour of alternative medicines</w:t>
            </w:r>
          </w:p>
        </w:tc>
      </w:tr>
    </w:tbl>
    <w:p w14:paraId="157324DB" w14:textId="77777777" w:rsidR="00544D36" w:rsidRPr="00544D36" w:rsidRDefault="00544D36" w:rsidP="00544D36">
      <w:pPr>
        <w:spacing w:after="90" w:line="300" w:lineRule="atLeast"/>
        <w:ind w:right="150"/>
        <w:rPr>
          <w:rFonts w:ascii="Open Sans" w:eastAsia="Times New Roman" w:hAnsi="Open Sans" w:cs="Open Sans"/>
          <w:sz w:val="20"/>
          <w:szCs w:val="20"/>
          <w:lang w:eastAsia="en-AU"/>
        </w:rPr>
      </w:pPr>
    </w:p>
    <w:p w14:paraId="3545B818" w14:textId="079F2CFC" w:rsidR="009E1FC9" w:rsidRPr="009E1FC9" w:rsidRDefault="009E1FC9" w:rsidP="009E1FC9">
      <w:pPr>
        <w:keepNext/>
        <w:spacing w:after="0" w:line="240" w:lineRule="auto"/>
        <w:rPr>
          <w:rFonts w:ascii="Arial" w:eastAsia="Times New Roman" w:hAnsi="Arial" w:cs="Arial"/>
          <w:b/>
          <w:bCs/>
          <w:color w:val="000000"/>
          <w:szCs w:val="24"/>
        </w:rPr>
      </w:pPr>
      <w:r w:rsidRPr="009E1FC9">
        <w:rPr>
          <w:rFonts w:ascii="Arial" w:eastAsia="Times New Roman" w:hAnsi="Arial" w:cs="Arial"/>
          <w:b/>
          <w:bCs/>
          <w:color w:val="000000"/>
          <w:szCs w:val="24"/>
        </w:rPr>
        <w:t>Table</w:t>
      </w:r>
      <w:r w:rsidRPr="003E18F5">
        <w:rPr>
          <w:rFonts w:ascii="Arial" w:eastAsia="Times New Roman" w:hAnsi="Arial" w:cs="Arial"/>
          <w:b/>
          <w:bCs/>
          <w:color w:val="000000"/>
          <w:szCs w:val="24"/>
        </w:rPr>
        <w:t xml:space="preserve"> </w:t>
      </w:r>
      <w:r w:rsidR="000D1DC6">
        <w:rPr>
          <w:rFonts w:ascii="Arial" w:eastAsia="Times New Roman" w:hAnsi="Arial" w:cs="Arial"/>
          <w:b/>
          <w:bCs/>
          <w:color w:val="000000"/>
          <w:szCs w:val="24"/>
        </w:rPr>
        <w:t>4</w:t>
      </w:r>
      <w:r w:rsidRPr="003E18F5">
        <w:rPr>
          <w:rFonts w:ascii="Arial" w:eastAsia="Times New Roman" w:hAnsi="Arial" w:cs="Arial"/>
          <w:b/>
          <w:bCs/>
          <w:color w:val="000000"/>
          <w:szCs w:val="24"/>
        </w:rPr>
        <w:t>:</w:t>
      </w:r>
      <w:r w:rsidRPr="009E1FC9">
        <w:rPr>
          <w:rFonts w:ascii="Arial" w:eastAsia="Times New Roman" w:hAnsi="Arial" w:cs="Arial"/>
          <w:b/>
          <w:bCs/>
          <w:color w:val="000000"/>
          <w:szCs w:val="24"/>
        </w:rPr>
        <w:t xml:space="preserve"> Medicines excluded from consideration for PBS prescribing by </w:t>
      </w:r>
      <w:r w:rsidR="00A11DE9">
        <w:rPr>
          <w:rFonts w:ascii="Arial" w:eastAsia="Times New Roman" w:hAnsi="Arial" w:cs="Arial"/>
          <w:b/>
          <w:bCs/>
          <w:color w:val="000000"/>
          <w:szCs w:val="24"/>
        </w:rPr>
        <w:t xml:space="preserve">an </w:t>
      </w:r>
      <w:r w:rsidRPr="009E1FC9">
        <w:rPr>
          <w:rFonts w:ascii="Arial" w:eastAsia="Times New Roman" w:hAnsi="Arial" w:cs="Arial"/>
          <w:b/>
          <w:bCs/>
          <w:color w:val="000000"/>
          <w:szCs w:val="24"/>
        </w:rPr>
        <w:t>endorsed midwi</w:t>
      </w:r>
      <w:r w:rsidR="00A11DE9">
        <w:rPr>
          <w:rFonts w:ascii="Arial" w:eastAsia="Times New Roman" w:hAnsi="Arial" w:cs="Arial"/>
          <w:b/>
          <w:bCs/>
          <w:color w:val="000000"/>
          <w:szCs w:val="24"/>
        </w:rPr>
        <w:t>fe</w:t>
      </w:r>
      <w:r w:rsidRPr="009E1FC9">
        <w:rPr>
          <w:rFonts w:ascii="Arial" w:eastAsia="Times New Roman" w:hAnsi="Arial" w:cs="Arial"/>
          <w:b/>
          <w:bCs/>
          <w:color w:val="000000"/>
          <w:szCs w:val="24"/>
        </w:rPr>
        <w:t xml:space="preserve"> due to not being PBS</w:t>
      </w:r>
      <w:r w:rsidRPr="009E1FC9">
        <w:rPr>
          <w:rFonts w:ascii="Arial" w:eastAsia="Times New Roman" w:hAnsi="Arial" w:cs="Arial"/>
          <w:b/>
          <w:bCs/>
          <w:color w:val="000000"/>
          <w:szCs w:val="24"/>
        </w:rPr>
        <w:noBreakHyphen/>
        <w:t xml:space="preserve">listed </w:t>
      </w:r>
    </w:p>
    <w:tbl>
      <w:tblPr>
        <w:tblStyle w:val="TableGrid2"/>
        <w:tblW w:w="5000" w:type="pct"/>
        <w:tblInd w:w="0" w:type="dxa"/>
        <w:tblLook w:val="04A0" w:firstRow="1" w:lastRow="0" w:firstColumn="1" w:lastColumn="0" w:noHBand="0" w:noVBand="1"/>
      </w:tblPr>
      <w:tblGrid>
        <w:gridCol w:w="3963"/>
        <w:gridCol w:w="5053"/>
      </w:tblGrid>
      <w:tr w:rsidR="009E1FC9" w:rsidRPr="00B47C73" w14:paraId="422F7F28" w14:textId="77777777" w:rsidTr="00E15224">
        <w:trPr>
          <w:trHeight w:val="327"/>
          <w:tblHeader/>
        </w:trPr>
        <w:tc>
          <w:tcPr>
            <w:tcW w:w="2198" w:type="pct"/>
            <w:tcBorders>
              <w:top w:val="single" w:sz="4" w:space="0" w:color="auto"/>
              <w:left w:val="single" w:sz="4" w:space="0" w:color="auto"/>
              <w:bottom w:val="single" w:sz="4" w:space="0" w:color="auto"/>
              <w:right w:val="single" w:sz="4" w:space="0" w:color="auto"/>
            </w:tcBorders>
            <w:hideMark/>
          </w:tcPr>
          <w:p w14:paraId="4EB4380D" w14:textId="77777777" w:rsidR="009E1FC9" w:rsidRPr="00B47C73" w:rsidRDefault="009E1FC9" w:rsidP="009E1FC9">
            <w:pPr>
              <w:ind w:left="720" w:hanging="720"/>
              <w:jc w:val="both"/>
              <w:rPr>
                <w:rFonts w:ascii="Arial Narrow" w:eastAsia="Calibri" w:hAnsi="Arial Narrow" w:cs="Arial"/>
                <w:b/>
                <w:bCs/>
                <w:sz w:val="22"/>
                <w:szCs w:val="22"/>
              </w:rPr>
            </w:pPr>
            <w:r w:rsidRPr="00B47C73">
              <w:rPr>
                <w:rFonts w:ascii="Arial Narrow" w:eastAsia="Calibri" w:hAnsi="Arial Narrow" w:cs="Arial"/>
                <w:b/>
                <w:bCs/>
                <w:sz w:val="22"/>
                <w:szCs w:val="22"/>
              </w:rPr>
              <w:t xml:space="preserve">Medication </w:t>
            </w:r>
          </w:p>
        </w:tc>
        <w:tc>
          <w:tcPr>
            <w:tcW w:w="2802" w:type="pct"/>
            <w:tcBorders>
              <w:top w:val="single" w:sz="4" w:space="0" w:color="auto"/>
              <w:left w:val="single" w:sz="4" w:space="0" w:color="auto"/>
              <w:bottom w:val="single" w:sz="4" w:space="0" w:color="auto"/>
              <w:right w:val="single" w:sz="4" w:space="0" w:color="auto"/>
            </w:tcBorders>
            <w:hideMark/>
          </w:tcPr>
          <w:p w14:paraId="72D72190" w14:textId="77777777" w:rsidR="009E1FC9" w:rsidRPr="00B47C73" w:rsidRDefault="009E1FC9" w:rsidP="009E1FC9">
            <w:pPr>
              <w:jc w:val="both"/>
              <w:rPr>
                <w:rFonts w:ascii="Arial Narrow" w:eastAsia="Calibri" w:hAnsi="Arial Narrow" w:cs="Arial"/>
                <w:b/>
                <w:bCs/>
                <w:sz w:val="22"/>
                <w:szCs w:val="22"/>
              </w:rPr>
            </w:pPr>
            <w:r w:rsidRPr="00B47C73">
              <w:rPr>
                <w:rFonts w:ascii="Arial Narrow" w:eastAsia="Calibri" w:hAnsi="Arial Narrow" w:cs="Arial"/>
                <w:b/>
                <w:bCs/>
                <w:sz w:val="22"/>
                <w:szCs w:val="22"/>
              </w:rPr>
              <w:t>Midwifery/obstetric indication</w:t>
            </w:r>
          </w:p>
        </w:tc>
      </w:tr>
      <w:tr w:rsidR="009E1FC9" w:rsidRPr="00B47C73" w14:paraId="1F1A4549" w14:textId="77777777" w:rsidTr="00E15224">
        <w:trPr>
          <w:trHeight w:val="233"/>
        </w:trPr>
        <w:tc>
          <w:tcPr>
            <w:tcW w:w="2198" w:type="pct"/>
            <w:tcBorders>
              <w:top w:val="single" w:sz="4" w:space="0" w:color="auto"/>
              <w:left w:val="single" w:sz="4" w:space="0" w:color="auto"/>
              <w:bottom w:val="single" w:sz="4" w:space="0" w:color="auto"/>
              <w:right w:val="single" w:sz="4" w:space="0" w:color="auto"/>
            </w:tcBorders>
            <w:hideMark/>
          </w:tcPr>
          <w:p w14:paraId="332E0676"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Chloramphenicol ointment</w:t>
            </w:r>
          </w:p>
        </w:tc>
        <w:tc>
          <w:tcPr>
            <w:tcW w:w="2802" w:type="pct"/>
            <w:tcBorders>
              <w:top w:val="single" w:sz="4" w:space="0" w:color="auto"/>
              <w:left w:val="single" w:sz="4" w:space="0" w:color="auto"/>
              <w:bottom w:val="single" w:sz="4" w:space="0" w:color="auto"/>
              <w:right w:val="single" w:sz="4" w:space="0" w:color="auto"/>
            </w:tcBorders>
            <w:hideMark/>
          </w:tcPr>
          <w:p w14:paraId="07BAAA0C"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Infection</w:t>
            </w:r>
          </w:p>
        </w:tc>
      </w:tr>
      <w:tr w:rsidR="009E1FC9" w:rsidRPr="00B47C73" w14:paraId="58381E1B" w14:textId="77777777" w:rsidTr="00E15224">
        <w:trPr>
          <w:trHeight w:val="281"/>
        </w:trPr>
        <w:tc>
          <w:tcPr>
            <w:tcW w:w="2198" w:type="pct"/>
            <w:tcBorders>
              <w:top w:val="single" w:sz="4" w:space="0" w:color="auto"/>
              <w:left w:val="single" w:sz="4" w:space="0" w:color="auto"/>
              <w:bottom w:val="single" w:sz="4" w:space="0" w:color="auto"/>
              <w:right w:val="single" w:sz="4" w:space="0" w:color="auto"/>
            </w:tcBorders>
            <w:hideMark/>
          </w:tcPr>
          <w:p w14:paraId="4DE0BA77"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Clindamycin vaginal cream, injection</w:t>
            </w:r>
          </w:p>
        </w:tc>
        <w:tc>
          <w:tcPr>
            <w:tcW w:w="2802" w:type="pct"/>
            <w:tcBorders>
              <w:top w:val="single" w:sz="4" w:space="0" w:color="auto"/>
              <w:left w:val="single" w:sz="4" w:space="0" w:color="auto"/>
              <w:bottom w:val="single" w:sz="4" w:space="0" w:color="auto"/>
              <w:right w:val="single" w:sz="4" w:space="0" w:color="auto"/>
            </w:tcBorders>
            <w:hideMark/>
          </w:tcPr>
          <w:p w14:paraId="415E42DE" w14:textId="1CC9A3A8"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Bacterial vaginosis</w:t>
            </w:r>
          </w:p>
        </w:tc>
      </w:tr>
      <w:tr w:rsidR="009E1FC9" w:rsidRPr="00B47C73" w14:paraId="64C9DD3F" w14:textId="77777777" w:rsidTr="00E15224">
        <w:trPr>
          <w:trHeight w:val="311"/>
        </w:trPr>
        <w:tc>
          <w:tcPr>
            <w:tcW w:w="2198" w:type="pct"/>
            <w:tcBorders>
              <w:top w:val="single" w:sz="4" w:space="0" w:color="auto"/>
              <w:left w:val="single" w:sz="4" w:space="0" w:color="auto"/>
              <w:bottom w:val="single" w:sz="4" w:space="0" w:color="auto"/>
              <w:right w:val="single" w:sz="4" w:space="0" w:color="auto"/>
            </w:tcBorders>
            <w:hideMark/>
          </w:tcPr>
          <w:p w14:paraId="7BE7DB61"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Clotrimazole cream</w:t>
            </w:r>
          </w:p>
        </w:tc>
        <w:tc>
          <w:tcPr>
            <w:tcW w:w="2802" w:type="pct"/>
            <w:tcBorders>
              <w:top w:val="single" w:sz="4" w:space="0" w:color="auto"/>
              <w:left w:val="single" w:sz="4" w:space="0" w:color="auto"/>
              <w:bottom w:val="single" w:sz="4" w:space="0" w:color="auto"/>
              <w:right w:val="single" w:sz="4" w:space="0" w:color="auto"/>
            </w:tcBorders>
            <w:hideMark/>
          </w:tcPr>
          <w:p w14:paraId="08D815D2"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Fungal infection</w:t>
            </w:r>
          </w:p>
        </w:tc>
      </w:tr>
      <w:tr w:rsidR="009E1FC9" w:rsidRPr="00B47C73" w14:paraId="4138480A" w14:textId="77777777" w:rsidTr="00E15224">
        <w:trPr>
          <w:trHeight w:val="272"/>
        </w:trPr>
        <w:tc>
          <w:tcPr>
            <w:tcW w:w="2198" w:type="pct"/>
            <w:tcBorders>
              <w:top w:val="single" w:sz="4" w:space="0" w:color="auto"/>
              <w:left w:val="single" w:sz="4" w:space="0" w:color="auto"/>
              <w:bottom w:val="single" w:sz="4" w:space="0" w:color="auto"/>
              <w:right w:val="single" w:sz="4" w:space="0" w:color="auto"/>
            </w:tcBorders>
            <w:hideMark/>
          </w:tcPr>
          <w:p w14:paraId="2F39B06D"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Combined oral contraceptive pills x 8</w:t>
            </w:r>
          </w:p>
        </w:tc>
        <w:tc>
          <w:tcPr>
            <w:tcW w:w="2802" w:type="pct"/>
            <w:tcBorders>
              <w:top w:val="single" w:sz="4" w:space="0" w:color="auto"/>
              <w:left w:val="single" w:sz="4" w:space="0" w:color="auto"/>
              <w:bottom w:val="single" w:sz="4" w:space="0" w:color="auto"/>
              <w:right w:val="single" w:sz="4" w:space="0" w:color="auto"/>
            </w:tcBorders>
            <w:hideMark/>
          </w:tcPr>
          <w:p w14:paraId="533206B6"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Contraception</w:t>
            </w:r>
          </w:p>
        </w:tc>
      </w:tr>
      <w:tr w:rsidR="009E1FC9" w:rsidRPr="00B47C73" w14:paraId="5190695E" w14:textId="77777777" w:rsidTr="00E15224">
        <w:trPr>
          <w:trHeight w:val="272"/>
        </w:trPr>
        <w:tc>
          <w:tcPr>
            <w:tcW w:w="2198" w:type="pct"/>
            <w:tcBorders>
              <w:top w:val="single" w:sz="4" w:space="0" w:color="auto"/>
              <w:left w:val="single" w:sz="4" w:space="0" w:color="auto"/>
              <w:bottom w:val="single" w:sz="4" w:space="0" w:color="auto"/>
              <w:right w:val="single" w:sz="4" w:space="0" w:color="auto"/>
            </w:tcBorders>
            <w:hideMark/>
          </w:tcPr>
          <w:p w14:paraId="27306BE5"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Copper IUD</w:t>
            </w:r>
          </w:p>
        </w:tc>
        <w:tc>
          <w:tcPr>
            <w:tcW w:w="2802" w:type="pct"/>
            <w:tcBorders>
              <w:top w:val="single" w:sz="4" w:space="0" w:color="auto"/>
              <w:left w:val="single" w:sz="4" w:space="0" w:color="auto"/>
              <w:bottom w:val="single" w:sz="4" w:space="0" w:color="auto"/>
              <w:right w:val="single" w:sz="4" w:space="0" w:color="auto"/>
            </w:tcBorders>
            <w:hideMark/>
          </w:tcPr>
          <w:p w14:paraId="07A7F5E1"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Contraception</w:t>
            </w:r>
          </w:p>
        </w:tc>
      </w:tr>
      <w:tr w:rsidR="009E1FC9" w:rsidRPr="00B47C73" w14:paraId="0A8B68F9" w14:textId="77777777" w:rsidTr="00E15224">
        <w:trPr>
          <w:trHeight w:val="300"/>
        </w:trPr>
        <w:tc>
          <w:tcPr>
            <w:tcW w:w="2198" w:type="pct"/>
            <w:tcBorders>
              <w:top w:val="single" w:sz="4" w:space="0" w:color="auto"/>
              <w:left w:val="single" w:sz="4" w:space="0" w:color="auto"/>
              <w:bottom w:val="single" w:sz="4" w:space="0" w:color="auto"/>
              <w:right w:val="single" w:sz="4" w:space="0" w:color="auto"/>
            </w:tcBorders>
            <w:hideMark/>
          </w:tcPr>
          <w:p w14:paraId="2C271091" w14:textId="47EEB34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 xml:space="preserve">Etonogestrel with </w:t>
            </w:r>
            <w:proofErr w:type="spellStart"/>
            <w:r w:rsidRPr="00B47C73">
              <w:rPr>
                <w:rFonts w:ascii="Arial Narrow" w:eastAsia="Calibri" w:hAnsi="Arial Narrow" w:cs="Arial"/>
                <w:sz w:val="22"/>
                <w:szCs w:val="22"/>
              </w:rPr>
              <w:t>ethinylestradiol</w:t>
            </w:r>
            <w:proofErr w:type="spellEnd"/>
            <w:r w:rsidRPr="00B47C73">
              <w:rPr>
                <w:rFonts w:ascii="Arial Narrow" w:eastAsia="Calibri" w:hAnsi="Arial Narrow" w:cs="Arial"/>
                <w:sz w:val="22"/>
                <w:szCs w:val="22"/>
              </w:rPr>
              <w:t xml:space="preserve"> vaginal ring</w:t>
            </w:r>
          </w:p>
        </w:tc>
        <w:tc>
          <w:tcPr>
            <w:tcW w:w="2802" w:type="pct"/>
            <w:tcBorders>
              <w:top w:val="single" w:sz="4" w:space="0" w:color="auto"/>
              <w:left w:val="single" w:sz="4" w:space="0" w:color="auto"/>
              <w:bottom w:val="single" w:sz="4" w:space="0" w:color="auto"/>
              <w:right w:val="single" w:sz="4" w:space="0" w:color="auto"/>
            </w:tcBorders>
            <w:hideMark/>
          </w:tcPr>
          <w:p w14:paraId="71B36736"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Contraception</w:t>
            </w:r>
          </w:p>
        </w:tc>
      </w:tr>
      <w:tr w:rsidR="009E1FC9" w:rsidRPr="00B47C73" w14:paraId="68F2FC3E" w14:textId="77777777" w:rsidTr="00E15224">
        <w:trPr>
          <w:trHeight w:val="432"/>
        </w:trPr>
        <w:tc>
          <w:tcPr>
            <w:tcW w:w="2198" w:type="pct"/>
            <w:tcBorders>
              <w:top w:val="single" w:sz="4" w:space="0" w:color="auto"/>
              <w:left w:val="single" w:sz="4" w:space="0" w:color="auto"/>
              <w:bottom w:val="single" w:sz="4" w:space="0" w:color="auto"/>
              <w:right w:val="single" w:sz="4" w:space="0" w:color="auto"/>
            </w:tcBorders>
            <w:hideMark/>
          </w:tcPr>
          <w:p w14:paraId="2146D0BB"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Ergometrine</w:t>
            </w:r>
          </w:p>
        </w:tc>
        <w:tc>
          <w:tcPr>
            <w:tcW w:w="2802" w:type="pct"/>
            <w:tcBorders>
              <w:top w:val="single" w:sz="4" w:space="0" w:color="auto"/>
              <w:left w:val="single" w:sz="4" w:space="0" w:color="auto"/>
              <w:bottom w:val="single" w:sz="4" w:space="0" w:color="auto"/>
              <w:right w:val="single" w:sz="4" w:space="0" w:color="auto"/>
            </w:tcBorders>
            <w:hideMark/>
          </w:tcPr>
          <w:p w14:paraId="34C25938"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Uterotonic</w:t>
            </w:r>
          </w:p>
          <w:p w14:paraId="1EE59788" w14:textId="7E9824C4"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Management of third stage of labour and post-partum haemorrhage</w:t>
            </w:r>
          </w:p>
        </w:tc>
      </w:tr>
      <w:tr w:rsidR="009E1FC9" w:rsidRPr="00B47C73" w14:paraId="1DCA2C79" w14:textId="77777777" w:rsidTr="00E15224">
        <w:trPr>
          <w:trHeight w:val="287"/>
        </w:trPr>
        <w:tc>
          <w:tcPr>
            <w:tcW w:w="2198" w:type="pct"/>
            <w:tcBorders>
              <w:top w:val="single" w:sz="4" w:space="0" w:color="auto"/>
              <w:left w:val="single" w:sz="4" w:space="0" w:color="auto"/>
              <w:bottom w:val="single" w:sz="4" w:space="0" w:color="auto"/>
              <w:right w:val="single" w:sz="4" w:space="0" w:color="auto"/>
            </w:tcBorders>
            <w:hideMark/>
          </w:tcPr>
          <w:p w14:paraId="4CC3CD6F" w14:textId="4951646C"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Fluconazole single tablet (</w:t>
            </w:r>
            <w:r w:rsidR="00372050" w:rsidRPr="00B47C73">
              <w:rPr>
                <w:rFonts w:ascii="Arial Narrow" w:eastAsia="Calibri" w:hAnsi="Arial Narrow" w:cs="Arial"/>
                <w:sz w:val="22"/>
                <w:szCs w:val="22"/>
              </w:rPr>
              <w:t xml:space="preserve">Pharmacist only medicine </w:t>
            </w:r>
            <w:r w:rsidR="00372050">
              <w:rPr>
                <w:rFonts w:ascii="Arial Narrow" w:eastAsia="Calibri" w:hAnsi="Arial Narrow" w:cs="Arial"/>
                <w:sz w:val="22"/>
                <w:szCs w:val="22"/>
              </w:rPr>
              <w:t>(</w:t>
            </w:r>
            <w:r w:rsidRPr="00B47C73">
              <w:rPr>
                <w:rFonts w:ascii="Arial Narrow" w:eastAsia="Calibri" w:hAnsi="Arial Narrow" w:cs="Arial"/>
                <w:sz w:val="22"/>
                <w:szCs w:val="22"/>
              </w:rPr>
              <w:t>Schedule 3</w:t>
            </w:r>
            <w:r w:rsidR="00372050">
              <w:rPr>
                <w:rFonts w:ascii="Arial Narrow" w:eastAsia="Calibri" w:hAnsi="Arial Narrow" w:cs="Arial"/>
                <w:sz w:val="22"/>
                <w:szCs w:val="22"/>
              </w:rPr>
              <w:t>))</w:t>
            </w:r>
          </w:p>
        </w:tc>
        <w:tc>
          <w:tcPr>
            <w:tcW w:w="2802" w:type="pct"/>
            <w:tcBorders>
              <w:top w:val="single" w:sz="4" w:space="0" w:color="auto"/>
              <w:left w:val="single" w:sz="4" w:space="0" w:color="auto"/>
              <w:bottom w:val="single" w:sz="4" w:space="0" w:color="auto"/>
              <w:right w:val="single" w:sz="4" w:space="0" w:color="auto"/>
            </w:tcBorders>
            <w:hideMark/>
          </w:tcPr>
          <w:p w14:paraId="0EACFF48"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Thrush</w:t>
            </w:r>
          </w:p>
        </w:tc>
      </w:tr>
      <w:tr w:rsidR="009E1FC9" w:rsidRPr="00B47C73" w14:paraId="5B3DEEE0" w14:textId="77777777" w:rsidTr="00E15224">
        <w:trPr>
          <w:trHeight w:val="277"/>
        </w:trPr>
        <w:tc>
          <w:tcPr>
            <w:tcW w:w="2198" w:type="pct"/>
            <w:tcBorders>
              <w:top w:val="single" w:sz="4" w:space="0" w:color="auto"/>
              <w:left w:val="single" w:sz="4" w:space="0" w:color="auto"/>
              <w:bottom w:val="single" w:sz="4" w:space="0" w:color="auto"/>
              <w:right w:val="single" w:sz="4" w:space="0" w:color="auto"/>
            </w:tcBorders>
            <w:hideMark/>
          </w:tcPr>
          <w:p w14:paraId="7018E416" w14:textId="52865FFF"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Levonorgestrel single tablet (Schedule 3)</w:t>
            </w:r>
          </w:p>
        </w:tc>
        <w:tc>
          <w:tcPr>
            <w:tcW w:w="2802" w:type="pct"/>
            <w:tcBorders>
              <w:top w:val="single" w:sz="4" w:space="0" w:color="auto"/>
              <w:left w:val="single" w:sz="4" w:space="0" w:color="auto"/>
              <w:bottom w:val="single" w:sz="4" w:space="0" w:color="auto"/>
              <w:right w:val="single" w:sz="4" w:space="0" w:color="auto"/>
            </w:tcBorders>
            <w:hideMark/>
          </w:tcPr>
          <w:p w14:paraId="05F320CC" w14:textId="2DC77102"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Emergency contraception</w:t>
            </w:r>
          </w:p>
        </w:tc>
      </w:tr>
      <w:tr w:rsidR="009E1FC9" w:rsidRPr="00B47C73" w14:paraId="5558C0BF" w14:textId="77777777" w:rsidTr="00E15224">
        <w:trPr>
          <w:trHeight w:val="187"/>
        </w:trPr>
        <w:tc>
          <w:tcPr>
            <w:tcW w:w="2198" w:type="pct"/>
            <w:tcBorders>
              <w:top w:val="single" w:sz="4" w:space="0" w:color="auto"/>
              <w:left w:val="single" w:sz="4" w:space="0" w:color="auto"/>
              <w:bottom w:val="single" w:sz="4" w:space="0" w:color="auto"/>
              <w:right w:val="single" w:sz="4" w:space="0" w:color="auto"/>
            </w:tcBorders>
            <w:hideMark/>
          </w:tcPr>
          <w:p w14:paraId="7201ED20"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Lignocaine with adrenaline</w:t>
            </w:r>
          </w:p>
        </w:tc>
        <w:tc>
          <w:tcPr>
            <w:tcW w:w="2802" w:type="pct"/>
            <w:tcBorders>
              <w:top w:val="single" w:sz="4" w:space="0" w:color="auto"/>
              <w:left w:val="single" w:sz="4" w:space="0" w:color="auto"/>
              <w:bottom w:val="single" w:sz="4" w:space="0" w:color="auto"/>
              <w:right w:val="single" w:sz="4" w:space="0" w:color="auto"/>
            </w:tcBorders>
            <w:hideMark/>
          </w:tcPr>
          <w:p w14:paraId="4EF2D817" w14:textId="574732AA"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Local anaesthetic</w:t>
            </w:r>
          </w:p>
        </w:tc>
      </w:tr>
      <w:tr w:rsidR="009E1FC9" w:rsidRPr="00B47C73" w14:paraId="4FAFB740" w14:textId="77777777" w:rsidTr="00E15224">
        <w:trPr>
          <w:trHeight w:val="276"/>
        </w:trPr>
        <w:tc>
          <w:tcPr>
            <w:tcW w:w="2198" w:type="pct"/>
            <w:tcBorders>
              <w:top w:val="single" w:sz="4" w:space="0" w:color="auto"/>
              <w:left w:val="single" w:sz="4" w:space="0" w:color="auto"/>
              <w:bottom w:val="single" w:sz="4" w:space="0" w:color="auto"/>
              <w:right w:val="single" w:sz="4" w:space="0" w:color="auto"/>
            </w:tcBorders>
            <w:hideMark/>
          </w:tcPr>
          <w:p w14:paraId="48E749C9"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Magnesium sulphate injection</w:t>
            </w:r>
          </w:p>
        </w:tc>
        <w:tc>
          <w:tcPr>
            <w:tcW w:w="2802" w:type="pct"/>
            <w:tcBorders>
              <w:top w:val="single" w:sz="4" w:space="0" w:color="auto"/>
              <w:left w:val="single" w:sz="4" w:space="0" w:color="auto"/>
              <w:bottom w:val="single" w:sz="4" w:space="0" w:color="auto"/>
              <w:right w:val="single" w:sz="4" w:space="0" w:color="auto"/>
            </w:tcBorders>
            <w:hideMark/>
          </w:tcPr>
          <w:p w14:paraId="6C067B29" w14:textId="616F94E6"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Anti-convulsant</w:t>
            </w:r>
          </w:p>
        </w:tc>
      </w:tr>
      <w:tr w:rsidR="009E1FC9" w:rsidRPr="00B47C73" w14:paraId="25B31DCE" w14:textId="77777777" w:rsidTr="00E15224">
        <w:trPr>
          <w:trHeight w:val="281"/>
        </w:trPr>
        <w:tc>
          <w:tcPr>
            <w:tcW w:w="2198" w:type="pct"/>
            <w:tcBorders>
              <w:top w:val="single" w:sz="4" w:space="0" w:color="auto"/>
              <w:left w:val="single" w:sz="4" w:space="0" w:color="auto"/>
              <w:bottom w:val="single" w:sz="4" w:space="0" w:color="auto"/>
              <w:right w:val="single" w:sz="4" w:space="0" w:color="auto"/>
            </w:tcBorders>
            <w:hideMark/>
          </w:tcPr>
          <w:p w14:paraId="2315E6B2" w14:textId="77777777" w:rsidR="009E1FC9" w:rsidRPr="00B47C73" w:rsidRDefault="009E1FC9" w:rsidP="009E1FC9">
            <w:pPr>
              <w:ind w:left="720" w:hanging="720"/>
              <w:rPr>
                <w:rFonts w:ascii="Arial Narrow" w:eastAsia="Calibri" w:hAnsi="Arial Narrow" w:cs="Arial"/>
                <w:sz w:val="22"/>
                <w:szCs w:val="22"/>
              </w:rPr>
            </w:pPr>
            <w:r w:rsidRPr="00B47C73">
              <w:rPr>
                <w:rFonts w:ascii="Arial Narrow" w:eastAsia="Calibri" w:hAnsi="Arial Narrow" w:cs="Arial"/>
                <w:sz w:val="22"/>
                <w:szCs w:val="22"/>
              </w:rPr>
              <w:t xml:space="preserve">Metronidazole injection </w:t>
            </w:r>
          </w:p>
        </w:tc>
        <w:tc>
          <w:tcPr>
            <w:tcW w:w="2802" w:type="pct"/>
            <w:tcBorders>
              <w:top w:val="single" w:sz="4" w:space="0" w:color="auto"/>
              <w:left w:val="single" w:sz="4" w:space="0" w:color="auto"/>
              <w:bottom w:val="single" w:sz="4" w:space="0" w:color="auto"/>
              <w:right w:val="single" w:sz="4" w:space="0" w:color="auto"/>
            </w:tcBorders>
            <w:hideMark/>
          </w:tcPr>
          <w:p w14:paraId="1A400957" w14:textId="10B02009"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First line management of suspected sepsis in labour</w:t>
            </w:r>
          </w:p>
        </w:tc>
      </w:tr>
      <w:tr w:rsidR="009E1FC9" w:rsidRPr="00B47C73" w14:paraId="63E79908" w14:textId="77777777" w:rsidTr="00E15224">
        <w:trPr>
          <w:trHeight w:val="259"/>
        </w:trPr>
        <w:tc>
          <w:tcPr>
            <w:tcW w:w="2198" w:type="pct"/>
            <w:tcBorders>
              <w:top w:val="single" w:sz="4" w:space="0" w:color="auto"/>
              <w:left w:val="single" w:sz="4" w:space="0" w:color="auto"/>
              <w:bottom w:val="single" w:sz="4" w:space="0" w:color="auto"/>
              <w:right w:val="single" w:sz="4" w:space="0" w:color="auto"/>
            </w:tcBorders>
            <w:hideMark/>
          </w:tcPr>
          <w:p w14:paraId="638B4173" w14:textId="081D8E89"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Miconazole oral gel (Schedule 3)</w:t>
            </w:r>
          </w:p>
        </w:tc>
        <w:tc>
          <w:tcPr>
            <w:tcW w:w="2802" w:type="pct"/>
            <w:tcBorders>
              <w:top w:val="single" w:sz="4" w:space="0" w:color="auto"/>
              <w:left w:val="single" w:sz="4" w:space="0" w:color="auto"/>
              <w:bottom w:val="single" w:sz="4" w:space="0" w:color="auto"/>
              <w:right w:val="single" w:sz="4" w:space="0" w:color="auto"/>
            </w:tcBorders>
            <w:hideMark/>
          </w:tcPr>
          <w:p w14:paraId="705ABBE8" w14:textId="4FC9C300"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Fungal infections of the nipple/breast</w:t>
            </w:r>
          </w:p>
        </w:tc>
      </w:tr>
      <w:tr w:rsidR="009E1FC9" w:rsidRPr="00B47C73" w14:paraId="5D72D93A" w14:textId="77777777" w:rsidTr="00E15224">
        <w:trPr>
          <w:trHeight w:val="221"/>
        </w:trPr>
        <w:tc>
          <w:tcPr>
            <w:tcW w:w="2198" w:type="pct"/>
            <w:tcBorders>
              <w:top w:val="single" w:sz="4" w:space="0" w:color="auto"/>
              <w:left w:val="single" w:sz="4" w:space="0" w:color="auto"/>
              <w:bottom w:val="single" w:sz="4" w:space="0" w:color="auto"/>
              <w:right w:val="single" w:sz="4" w:space="0" w:color="auto"/>
            </w:tcBorders>
            <w:hideMark/>
          </w:tcPr>
          <w:p w14:paraId="46E6BB85"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Mifepristone as the single drug</w:t>
            </w:r>
          </w:p>
        </w:tc>
        <w:tc>
          <w:tcPr>
            <w:tcW w:w="2802" w:type="pct"/>
            <w:tcBorders>
              <w:top w:val="single" w:sz="4" w:space="0" w:color="auto"/>
              <w:left w:val="single" w:sz="4" w:space="0" w:color="auto"/>
              <w:bottom w:val="single" w:sz="4" w:space="0" w:color="auto"/>
              <w:right w:val="single" w:sz="4" w:space="0" w:color="auto"/>
            </w:tcBorders>
            <w:hideMark/>
          </w:tcPr>
          <w:p w14:paraId="1CB4C193" w14:textId="0A4AA6A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Pregnancy termination</w:t>
            </w:r>
          </w:p>
        </w:tc>
      </w:tr>
      <w:tr w:rsidR="009E1FC9" w:rsidRPr="00B47C73" w14:paraId="17E3DEA6" w14:textId="77777777" w:rsidTr="00E15224">
        <w:trPr>
          <w:trHeight w:val="452"/>
        </w:trPr>
        <w:tc>
          <w:tcPr>
            <w:tcW w:w="2198" w:type="pct"/>
            <w:tcBorders>
              <w:top w:val="single" w:sz="4" w:space="0" w:color="auto"/>
              <w:left w:val="single" w:sz="4" w:space="0" w:color="auto"/>
              <w:bottom w:val="single" w:sz="4" w:space="0" w:color="auto"/>
              <w:right w:val="single" w:sz="4" w:space="0" w:color="auto"/>
            </w:tcBorders>
            <w:hideMark/>
          </w:tcPr>
          <w:p w14:paraId="1A046216"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Misoprostol as the single drug</w:t>
            </w:r>
          </w:p>
        </w:tc>
        <w:tc>
          <w:tcPr>
            <w:tcW w:w="2802" w:type="pct"/>
            <w:tcBorders>
              <w:top w:val="single" w:sz="4" w:space="0" w:color="auto"/>
              <w:left w:val="single" w:sz="4" w:space="0" w:color="auto"/>
              <w:bottom w:val="single" w:sz="4" w:space="0" w:color="auto"/>
              <w:right w:val="single" w:sz="4" w:space="0" w:color="auto"/>
            </w:tcBorders>
            <w:hideMark/>
          </w:tcPr>
          <w:p w14:paraId="35339B91" w14:textId="6CE80B5D"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Management of third stage of labour and post-partum haemorrhage</w:t>
            </w:r>
          </w:p>
        </w:tc>
      </w:tr>
      <w:tr w:rsidR="009E1FC9" w:rsidRPr="00B47C73" w14:paraId="35947A7B" w14:textId="77777777" w:rsidTr="00E15224">
        <w:trPr>
          <w:trHeight w:val="410"/>
        </w:trPr>
        <w:tc>
          <w:tcPr>
            <w:tcW w:w="2198" w:type="pct"/>
            <w:tcBorders>
              <w:top w:val="single" w:sz="4" w:space="0" w:color="auto"/>
              <w:left w:val="single" w:sz="4" w:space="0" w:color="auto"/>
              <w:bottom w:val="single" w:sz="4" w:space="0" w:color="auto"/>
              <w:right w:val="single" w:sz="4" w:space="0" w:color="auto"/>
            </w:tcBorders>
          </w:tcPr>
          <w:p w14:paraId="1BE13909"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Mupirocin ointment</w:t>
            </w:r>
          </w:p>
          <w:p w14:paraId="2A55C09F" w14:textId="77777777" w:rsidR="009E1FC9" w:rsidRPr="00B47C73" w:rsidRDefault="009E1FC9" w:rsidP="009E1FC9">
            <w:pPr>
              <w:ind w:left="720" w:hanging="720"/>
              <w:jc w:val="both"/>
              <w:rPr>
                <w:rFonts w:ascii="Arial Narrow" w:eastAsia="Calibri" w:hAnsi="Arial Narrow" w:cs="Arial"/>
                <w:sz w:val="22"/>
                <w:szCs w:val="22"/>
              </w:rPr>
            </w:pPr>
          </w:p>
        </w:tc>
        <w:tc>
          <w:tcPr>
            <w:tcW w:w="2802" w:type="pct"/>
            <w:tcBorders>
              <w:top w:val="single" w:sz="4" w:space="0" w:color="auto"/>
              <w:left w:val="single" w:sz="4" w:space="0" w:color="auto"/>
              <w:bottom w:val="single" w:sz="4" w:space="0" w:color="auto"/>
              <w:right w:val="single" w:sz="4" w:space="0" w:color="auto"/>
            </w:tcBorders>
            <w:hideMark/>
          </w:tcPr>
          <w:p w14:paraId="36CB7000" w14:textId="1D08DF8E"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Skin infection (ointment is RPBS listed for skin infection; PBS listing is for nasal infection)</w:t>
            </w:r>
          </w:p>
        </w:tc>
      </w:tr>
      <w:tr w:rsidR="009E1FC9" w:rsidRPr="00B47C73" w14:paraId="79DCAB3B" w14:textId="77777777" w:rsidTr="00E15224">
        <w:trPr>
          <w:trHeight w:val="279"/>
        </w:trPr>
        <w:tc>
          <w:tcPr>
            <w:tcW w:w="2198" w:type="pct"/>
            <w:tcBorders>
              <w:top w:val="single" w:sz="4" w:space="0" w:color="auto"/>
              <w:left w:val="single" w:sz="4" w:space="0" w:color="auto"/>
              <w:bottom w:val="single" w:sz="4" w:space="0" w:color="auto"/>
              <w:right w:val="single" w:sz="4" w:space="0" w:color="auto"/>
            </w:tcBorders>
            <w:hideMark/>
          </w:tcPr>
          <w:p w14:paraId="1C2B894B"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Nifedipine immediate release tablets</w:t>
            </w:r>
          </w:p>
        </w:tc>
        <w:tc>
          <w:tcPr>
            <w:tcW w:w="2802" w:type="pct"/>
            <w:tcBorders>
              <w:top w:val="single" w:sz="4" w:space="0" w:color="auto"/>
              <w:left w:val="single" w:sz="4" w:space="0" w:color="auto"/>
              <w:bottom w:val="single" w:sz="4" w:space="0" w:color="auto"/>
              <w:right w:val="single" w:sz="4" w:space="0" w:color="auto"/>
            </w:tcBorders>
            <w:hideMark/>
          </w:tcPr>
          <w:p w14:paraId="4D3EB619" w14:textId="78750C4C"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Anti-hypertensive</w:t>
            </w:r>
          </w:p>
        </w:tc>
      </w:tr>
      <w:tr w:rsidR="009E1FC9" w:rsidRPr="00B47C73" w14:paraId="786E0E51" w14:textId="77777777" w:rsidTr="00E15224">
        <w:trPr>
          <w:trHeight w:val="259"/>
        </w:trPr>
        <w:tc>
          <w:tcPr>
            <w:tcW w:w="2198" w:type="pct"/>
            <w:tcBorders>
              <w:top w:val="single" w:sz="4" w:space="0" w:color="auto"/>
              <w:left w:val="single" w:sz="4" w:space="0" w:color="auto"/>
              <w:bottom w:val="single" w:sz="4" w:space="0" w:color="auto"/>
              <w:right w:val="single" w:sz="4" w:space="0" w:color="auto"/>
            </w:tcBorders>
            <w:hideMark/>
          </w:tcPr>
          <w:p w14:paraId="21A1E195"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Nitrous oxide</w:t>
            </w:r>
          </w:p>
        </w:tc>
        <w:tc>
          <w:tcPr>
            <w:tcW w:w="2802" w:type="pct"/>
            <w:tcBorders>
              <w:top w:val="single" w:sz="4" w:space="0" w:color="auto"/>
              <w:left w:val="single" w:sz="4" w:space="0" w:color="auto"/>
              <w:bottom w:val="single" w:sz="4" w:space="0" w:color="auto"/>
              <w:right w:val="single" w:sz="4" w:space="0" w:color="auto"/>
            </w:tcBorders>
            <w:hideMark/>
          </w:tcPr>
          <w:p w14:paraId="5A57E160"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Analgesia</w:t>
            </w:r>
          </w:p>
        </w:tc>
      </w:tr>
      <w:tr w:rsidR="009E1FC9" w:rsidRPr="00B47C73" w14:paraId="0C3C1BCF" w14:textId="77777777" w:rsidTr="00E15224">
        <w:trPr>
          <w:trHeight w:val="277"/>
        </w:trPr>
        <w:tc>
          <w:tcPr>
            <w:tcW w:w="2198" w:type="pct"/>
            <w:tcBorders>
              <w:top w:val="single" w:sz="4" w:space="0" w:color="auto"/>
              <w:left w:val="single" w:sz="4" w:space="0" w:color="auto"/>
              <w:bottom w:val="single" w:sz="4" w:space="0" w:color="auto"/>
              <w:right w:val="single" w:sz="4" w:space="0" w:color="auto"/>
            </w:tcBorders>
            <w:hideMark/>
          </w:tcPr>
          <w:p w14:paraId="31282F97"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Nystatin vaginal cream, oral liquid</w:t>
            </w:r>
          </w:p>
        </w:tc>
        <w:tc>
          <w:tcPr>
            <w:tcW w:w="2802" w:type="pct"/>
            <w:tcBorders>
              <w:top w:val="single" w:sz="4" w:space="0" w:color="auto"/>
              <w:left w:val="single" w:sz="4" w:space="0" w:color="auto"/>
              <w:bottom w:val="single" w:sz="4" w:space="0" w:color="auto"/>
              <w:right w:val="single" w:sz="4" w:space="0" w:color="auto"/>
            </w:tcBorders>
            <w:hideMark/>
          </w:tcPr>
          <w:p w14:paraId="6DB67890" w14:textId="7F746EA9"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Vaginal thrush, nipple thrush</w:t>
            </w:r>
          </w:p>
        </w:tc>
      </w:tr>
      <w:tr w:rsidR="009E1FC9" w:rsidRPr="00B47C73" w14:paraId="17735D1D" w14:textId="77777777" w:rsidTr="00E15224">
        <w:trPr>
          <w:trHeight w:val="281"/>
        </w:trPr>
        <w:tc>
          <w:tcPr>
            <w:tcW w:w="2198" w:type="pct"/>
            <w:tcBorders>
              <w:top w:val="single" w:sz="4" w:space="0" w:color="auto"/>
              <w:left w:val="single" w:sz="4" w:space="0" w:color="auto"/>
              <w:bottom w:val="single" w:sz="4" w:space="0" w:color="auto"/>
              <w:right w:val="single" w:sz="4" w:space="0" w:color="auto"/>
            </w:tcBorders>
            <w:hideMark/>
          </w:tcPr>
          <w:p w14:paraId="79039276"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Oseltamivir</w:t>
            </w:r>
          </w:p>
        </w:tc>
        <w:tc>
          <w:tcPr>
            <w:tcW w:w="2802" w:type="pct"/>
            <w:tcBorders>
              <w:top w:val="single" w:sz="4" w:space="0" w:color="auto"/>
              <w:left w:val="single" w:sz="4" w:space="0" w:color="auto"/>
              <w:bottom w:val="single" w:sz="4" w:space="0" w:color="auto"/>
              <w:right w:val="single" w:sz="4" w:space="0" w:color="auto"/>
            </w:tcBorders>
            <w:hideMark/>
          </w:tcPr>
          <w:p w14:paraId="1916B6E6" w14:textId="30C63871"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Viral infection</w:t>
            </w:r>
          </w:p>
        </w:tc>
      </w:tr>
      <w:tr w:rsidR="009E1FC9" w:rsidRPr="00B47C73" w14:paraId="33367C57" w14:textId="77777777" w:rsidTr="00E15224">
        <w:trPr>
          <w:trHeight w:val="410"/>
        </w:trPr>
        <w:tc>
          <w:tcPr>
            <w:tcW w:w="2198" w:type="pct"/>
            <w:tcBorders>
              <w:top w:val="single" w:sz="4" w:space="0" w:color="auto"/>
              <w:left w:val="single" w:sz="4" w:space="0" w:color="auto"/>
              <w:bottom w:val="single" w:sz="4" w:space="0" w:color="auto"/>
              <w:right w:val="single" w:sz="4" w:space="0" w:color="auto"/>
            </w:tcBorders>
            <w:hideMark/>
          </w:tcPr>
          <w:p w14:paraId="3FC7E6EB"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Oxytocin</w:t>
            </w:r>
          </w:p>
        </w:tc>
        <w:tc>
          <w:tcPr>
            <w:tcW w:w="2802" w:type="pct"/>
            <w:tcBorders>
              <w:top w:val="single" w:sz="4" w:space="0" w:color="auto"/>
              <w:left w:val="single" w:sz="4" w:space="0" w:color="auto"/>
              <w:bottom w:val="single" w:sz="4" w:space="0" w:color="auto"/>
              <w:right w:val="single" w:sz="4" w:space="0" w:color="auto"/>
            </w:tcBorders>
            <w:hideMark/>
          </w:tcPr>
          <w:p w14:paraId="72F2A6DA" w14:textId="3F700205"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Anti-haemorrhagic</w:t>
            </w:r>
          </w:p>
          <w:p w14:paraId="61F7DF19" w14:textId="470A51C8"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Management of third stage of labour</w:t>
            </w:r>
          </w:p>
          <w:p w14:paraId="7D369D1E" w14:textId="71F048EF"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Post-partum haemorrhage</w:t>
            </w:r>
          </w:p>
        </w:tc>
      </w:tr>
      <w:tr w:rsidR="009E1FC9" w:rsidRPr="00B47C73" w14:paraId="56D06D66" w14:textId="77777777" w:rsidTr="00E15224">
        <w:trPr>
          <w:trHeight w:val="410"/>
        </w:trPr>
        <w:tc>
          <w:tcPr>
            <w:tcW w:w="2198" w:type="pct"/>
            <w:tcBorders>
              <w:top w:val="single" w:sz="4" w:space="0" w:color="auto"/>
              <w:left w:val="single" w:sz="4" w:space="0" w:color="auto"/>
              <w:bottom w:val="single" w:sz="4" w:space="0" w:color="auto"/>
              <w:right w:val="single" w:sz="4" w:space="0" w:color="auto"/>
            </w:tcBorders>
            <w:hideMark/>
          </w:tcPr>
          <w:p w14:paraId="4C4CD392"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Oxytocin with ergometrine</w:t>
            </w:r>
          </w:p>
        </w:tc>
        <w:tc>
          <w:tcPr>
            <w:tcW w:w="2802" w:type="pct"/>
            <w:tcBorders>
              <w:top w:val="single" w:sz="4" w:space="0" w:color="auto"/>
              <w:left w:val="single" w:sz="4" w:space="0" w:color="auto"/>
              <w:bottom w:val="single" w:sz="4" w:space="0" w:color="auto"/>
              <w:right w:val="single" w:sz="4" w:space="0" w:color="auto"/>
            </w:tcBorders>
            <w:hideMark/>
          </w:tcPr>
          <w:p w14:paraId="3A5D6A32" w14:textId="2A2AEC84"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Management of third stage of labour</w:t>
            </w:r>
          </w:p>
          <w:p w14:paraId="2CBFD80E" w14:textId="4BC048D0"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Post-partum haemorrhage</w:t>
            </w:r>
          </w:p>
        </w:tc>
      </w:tr>
      <w:tr w:rsidR="009E1FC9" w:rsidRPr="00B47C73" w14:paraId="05F5D0ED" w14:textId="77777777" w:rsidTr="00E15224">
        <w:trPr>
          <w:trHeight w:val="275"/>
        </w:trPr>
        <w:tc>
          <w:tcPr>
            <w:tcW w:w="2198" w:type="pct"/>
            <w:tcBorders>
              <w:top w:val="single" w:sz="4" w:space="0" w:color="auto"/>
              <w:left w:val="single" w:sz="4" w:space="0" w:color="auto"/>
              <w:bottom w:val="single" w:sz="4" w:space="0" w:color="auto"/>
              <w:right w:val="single" w:sz="4" w:space="0" w:color="auto"/>
            </w:tcBorders>
            <w:hideMark/>
          </w:tcPr>
          <w:p w14:paraId="1501B381" w14:textId="77777777" w:rsidR="009E1FC9" w:rsidRPr="00B47C73" w:rsidRDefault="009E1FC9" w:rsidP="009E1FC9">
            <w:pPr>
              <w:ind w:left="720" w:hanging="720"/>
              <w:jc w:val="both"/>
              <w:rPr>
                <w:rFonts w:ascii="Arial Narrow" w:eastAsia="Calibri" w:hAnsi="Arial Narrow" w:cs="Arial"/>
                <w:sz w:val="22"/>
                <w:szCs w:val="22"/>
              </w:rPr>
            </w:pPr>
            <w:proofErr w:type="spellStart"/>
            <w:r w:rsidRPr="00B47C73">
              <w:rPr>
                <w:rFonts w:ascii="Arial Narrow" w:eastAsia="Calibri" w:hAnsi="Arial Narrow" w:cs="Arial"/>
                <w:sz w:val="22"/>
                <w:szCs w:val="22"/>
              </w:rPr>
              <w:t>Phytomenadione</w:t>
            </w:r>
            <w:proofErr w:type="spellEnd"/>
            <w:r w:rsidRPr="00B47C73">
              <w:rPr>
                <w:rFonts w:ascii="Arial Narrow" w:eastAsia="Calibri" w:hAnsi="Arial Narrow" w:cs="Arial"/>
                <w:sz w:val="22"/>
                <w:szCs w:val="22"/>
              </w:rPr>
              <w:t xml:space="preserve"> paediatric formulation</w:t>
            </w:r>
          </w:p>
        </w:tc>
        <w:tc>
          <w:tcPr>
            <w:tcW w:w="2802" w:type="pct"/>
            <w:tcBorders>
              <w:top w:val="single" w:sz="4" w:space="0" w:color="auto"/>
              <w:left w:val="single" w:sz="4" w:space="0" w:color="auto"/>
              <w:bottom w:val="single" w:sz="4" w:space="0" w:color="auto"/>
              <w:right w:val="single" w:sz="4" w:space="0" w:color="auto"/>
            </w:tcBorders>
            <w:hideMark/>
          </w:tcPr>
          <w:p w14:paraId="7D502058" w14:textId="2AB62AA1"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Prevention of haemolytic disease of the foetus and newborn</w:t>
            </w:r>
          </w:p>
        </w:tc>
      </w:tr>
      <w:tr w:rsidR="009E1FC9" w:rsidRPr="00B47C73" w14:paraId="32223861" w14:textId="77777777" w:rsidTr="00E15224">
        <w:trPr>
          <w:trHeight w:val="275"/>
        </w:trPr>
        <w:tc>
          <w:tcPr>
            <w:tcW w:w="2198" w:type="pct"/>
            <w:tcBorders>
              <w:top w:val="single" w:sz="4" w:space="0" w:color="auto"/>
              <w:left w:val="single" w:sz="4" w:space="0" w:color="auto"/>
              <w:bottom w:val="single" w:sz="4" w:space="0" w:color="auto"/>
              <w:right w:val="single" w:sz="4" w:space="0" w:color="auto"/>
            </w:tcBorders>
            <w:hideMark/>
          </w:tcPr>
          <w:p w14:paraId="425CB870" w14:textId="70F1C986" w:rsidR="009E1FC9" w:rsidRPr="00B47C73" w:rsidRDefault="009E1FC9" w:rsidP="009E1FC9">
            <w:pPr>
              <w:jc w:val="both"/>
              <w:rPr>
                <w:rFonts w:ascii="Arial Narrow" w:eastAsia="Calibri" w:hAnsi="Arial Narrow" w:cs="Arial"/>
                <w:sz w:val="22"/>
                <w:szCs w:val="22"/>
              </w:rPr>
            </w:pPr>
            <w:r w:rsidRPr="00B47C73">
              <w:rPr>
                <w:rFonts w:ascii="Arial Narrow" w:eastAsia="Calibri" w:hAnsi="Arial Narrow" w:cs="Arial"/>
                <w:sz w:val="22"/>
                <w:szCs w:val="22"/>
              </w:rPr>
              <w:t>Promethazine liquid, tablets (Schedule 3)</w:t>
            </w:r>
          </w:p>
        </w:tc>
        <w:tc>
          <w:tcPr>
            <w:tcW w:w="2802" w:type="pct"/>
            <w:tcBorders>
              <w:top w:val="single" w:sz="4" w:space="0" w:color="auto"/>
              <w:left w:val="single" w:sz="4" w:space="0" w:color="auto"/>
              <w:bottom w:val="single" w:sz="4" w:space="0" w:color="auto"/>
              <w:right w:val="single" w:sz="4" w:space="0" w:color="auto"/>
            </w:tcBorders>
            <w:hideMark/>
          </w:tcPr>
          <w:p w14:paraId="7A1C7E32" w14:textId="2F9A40B9"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Anti-emetic</w:t>
            </w:r>
          </w:p>
        </w:tc>
      </w:tr>
      <w:tr w:rsidR="009E1FC9" w:rsidRPr="00B47C73" w14:paraId="36504AE3" w14:textId="77777777" w:rsidTr="00E15224">
        <w:trPr>
          <w:trHeight w:val="275"/>
        </w:trPr>
        <w:tc>
          <w:tcPr>
            <w:tcW w:w="2198" w:type="pct"/>
            <w:tcBorders>
              <w:top w:val="single" w:sz="4" w:space="0" w:color="auto"/>
              <w:left w:val="single" w:sz="4" w:space="0" w:color="auto"/>
              <w:bottom w:val="single" w:sz="4" w:space="0" w:color="auto"/>
              <w:right w:val="single" w:sz="4" w:space="0" w:color="auto"/>
            </w:tcBorders>
            <w:hideMark/>
          </w:tcPr>
          <w:p w14:paraId="65D9B096"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Prostaglandin E2</w:t>
            </w:r>
          </w:p>
        </w:tc>
        <w:tc>
          <w:tcPr>
            <w:tcW w:w="2802" w:type="pct"/>
            <w:tcBorders>
              <w:top w:val="single" w:sz="4" w:space="0" w:color="auto"/>
              <w:left w:val="single" w:sz="4" w:space="0" w:color="auto"/>
              <w:bottom w:val="single" w:sz="4" w:space="0" w:color="auto"/>
              <w:right w:val="single" w:sz="4" w:space="0" w:color="auto"/>
            </w:tcBorders>
            <w:hideMark/>
          </w:tcPr>
          <w:p w14:paraId="6B58520A" w14:textId="4BB1B453"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Cervical ripening</w:t>
            </w:r>
          </w:p>
        </w:tc>
      </w:tr>
      <w:tr w:rsidR="009E1FC9" w:rsidRPr="00B47C73" w14:paraId="1F42A983" w14:textId="77777777" w:rsidTr="00E15224">
        <w:trPr>
          <w:trHeight w:val="275"/>
        </w:trPr>
        <w:tc>
          <w:tcPr>
            <w:tcW w:w="2198" w:type="pct"/>
            <w:tcBorders>
              <w:top w:val="single" w:sz="4" w:space="0" w:color="auto"/>
              <w:left w:val="single" w:sz="4" w:space="0" w:color="auto"/>
              <w:bottom w:val="single" w:sz="4" w:space="0" w:color="auto"/>
              <w:right w:val="single" w:sz="4" w:space="0" w:color="auto"/>
            </w:tcBorders>
            <w:hideMark/>
          </w:tcPr>
          <w:p w14:paraId="4155A6AE" w14:textId="77777777" w:rsidR="009E1FC9" w:rsidRPr="00B47C73" w:rsidRDefault="009E1FC9" w:rsidP="009E1FC9">
            <w:pPr>
              <w:ind w:left="720" w:hanging="720"/>
              <w:jc w:val="both"/>
              <w:rPr>
                <w:rFonts w:ascii="Arial Narrow" w:eastAsia="Calibri" w:hAnsi="Arial Narrow" w:cs="Arial"/>
                <w:sz w:val="22"/>
                <w:szCs w:val="22"/>
              </w:rPr>
            </w:pPr>
            <w:r w:rsidRPr="00B47C73">
              <w:rPr>
                <w:rFonts w:ascii="Arial Narrow" w:eastAsia="Calibri" w:hAnsi="Arial Narrow" w:cs="Arial"/>
                <w:sz w:val="22"/>
                <w:szCs w:val="22"/>
              </w:rPr>
              <w:t>Pyridoxine (vitamin B6)</w:t>
            </w:r>
          </w:p>
        </w:tc>
        <w:tc>
          <w:tcPr>
            <w:tcW w:w="2802" w:type="pct"/>
            <w:tcBorders>
              <w:top w:val="single" w:sz="4" w:space="0" w:color="auto"/>
              <w:left w:val="single" w:sz="4" w:space="0" w:color="auto"/>
              <w:bottom w:val="single" w:sz="4" w:space="0" w:color="auto"/>
              <w:right w:val="single" w:sz="4" w:space="0" w:color="auto"/>
            </w:tcBorders>
            <w:hideMark/>
          </w:tcPr>
          <w:p w14:paraId="0DE82E3E"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Unstated</w:t>
            </w:r>
          </w:p>
        </w:tc>
      </w:tr>
      <w:tr w:rsidR="009E1FC9" w:rsidRPr="00B47C73" w14:paraId="1D5EE337" w14:textId="77777777" w:rsidTr="00E15224">
        <w:trPr>
          <w:trHeight w:val="357"/>
        </w:trPr>
        <w:tc>
          <w:tcPr>
            <w:tcW w:w="2198" w:type="pct"/>
            <w:tcBorders>
              <w:top w:val="single" w:sz="4" w:space="0" w:color="auto"/>
              <w:left w:val="single" w:sz="4" w:space="0" w:color="auto"/>
              <w:bottom w:val="single" w:sz="4" w:space="0" w:color="auto"/>
              <w:right w:val="single" w:sz="4" w:space="0" w:color="auto"/>
            </w:tcBorders>
            <w:hideMark/>
          </w:tcPr>
          <w:p w14:paraId="5B6DC7C7" w14:textId="77777777"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Tranexamic acid injection</w:t>
            </w:r>
          </w:p>
        </w:tc>
        <w:tc>
          <w:tcPr>
            <w:tcW w:w="2802" w:type="pct"/>
            <w:tcBorders>
              <w:top w:val="single" w:sz="4" w:space="0" w:color="auto"/>
              <w:left w:val="single" w:sz="4" w:space="0" w:color="auto"/>
              <w:bottom w:val="single" w:sz="4" w:space="0" w:color="auto"/>
              <w:right w:val="single" w:sz="4" w:space="0" w:color="auto"/>
            </w:tcBorders>
            <w:hideMark/>
          </w:tcPr>
          <w:p w14:paraId="1D95F82F" w14:textId="7B5FBA0D" w:rsidR="009E1FC9" w:rsidRPr="00B47C73" w:rsidRDefault="009E1FC9" w:rsidP="009E1FC9">
            <w:pPr>
              <w:rPr>
                <w:rFonts w:ascii="Arial Narrow" w:eastAsia="Calibri" w:hAnsi="Arial Narrow" w:cs="Arial"/>
                <w:sz w:val="22"/>
                <w:szCs w:val="22"/>
              </w:rPr>
            </w:pPr>
            <w:r w:rsidRPr="00B47C73">
              <w:rPr>
                <w:rFonts w:ascii="Arial Narrow" w:eastAsia="Calibri" w:hAnsi="Arial Narrow" w:cs="Arial"/>
                <w:sz w:val="22"/>
                <w:szCs w:val="22"/>
              </w:rPr>
              <w:t>Post-partum haemorrhage</w:t>
            </w:r>
          </w:p>
        </w:tc>
      </w:tr>
    </w:tbl>
    <w:p w14:paraId="407162A4" w14:textId="77777777" w:rsidR="002E3851" w:rsidRPr="002356CF" w:rsidRDefault="002E3851" w:rsidP="002E3851">
      <w:pPr>
        <w:rPr>
          <w:rFonts w:ascii="Arial" w:hAnsi="Arial" w:cs="Arial"/>
        </w:rPr>
      </w:pPr>
    </w:p>
    <w:sectPr w:rsidR="002E3851" w:rsidRPr="002356C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4C9F3" w14:textId="77777777" w:rsidR="00A73DC5" w:rsidRDefault="00A73DC5" w:rsidP="002E3851">
      <w:pPr>
        <w:spacing w:after="0" w:line="240" w:lineRule="auto"/>
      </w:pPr>
      <w:r>
        <w:separator/>
      </w:r>
    </w:p>
  </w:endnote>
  <w:endnote w:type="continuationSeparator" w:id="0">
    <w:p w14:paraId="6BEDF8CD" w14:textId="77777777" w:rsidR="00A73DC5" w:rsidRDefault="00A73DC5" w:rsidP="002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676A" w14:textId="0E980A58" w:rsidR="002E3851" w:rsidRDefault="002E3851" w:rsidP="00EF19E0">
    <w:pPr>
      <w:pStyle w:val="Footer"/>
      <w:jc w:val="center"/>
    </w:pPr>
    <w:r w:rsidRPr="00EF19E0">
      <w:rPr>
        <w:sz w:val="16"/>
        <w:szCs w:val="16"/>
      </w:rPr>
      <w:t xml:space="preserve">Department of Health and Aged Care – </w:t>
    </w:r>
    <w:r w:rsidR="006F1D48" w:rsidRPr="00EF19E0">
      <w:rPr>
        <w:sz w:val="16"/>
        <w:szCs w:val="16"/>
      </w:rPr>
      <w:t xml:space="preserve">Review of </w:t>
    </w:r>
    <w:r w:rsidR="004C0B8A" w:rsidRPr="00EF19E0">
      <w:rPr>
        <w:sz w:val="16"/>
        <w:szCs w:val="16"/>
      </w:rPr>
      <w:t xml:space="preserve">endorsed midwife </w:t>
    </w:r>
    <w:r w:rsidR="00CD47B5">
      <w:rPr>
        <w:sz w:val="16"/>
        <w:szCs w:val="16"/>
      </w:rPr>
      <w:t>PBS</w:t>
    </w:r>
    <w:r w:rsidR="006F1D48" w:rsidRPr="00EF19E0">
      <w:rPr>
        <w:sz w:val="16"/>
        <w:szCs w:val="16"/>
      </w:rPr>
      <w:t xml:space="preserve"> listings</w:t>
    </w:r>
    <w:sdt>
      <w:sdtPr>
        <w:rPr>
          <w:sz w:val="16"/>
          <w:szCs w:val="16"/>
        </w:rPr>
        <w:id w:val="-183903453"/>
        <w:docPartObj>
          <w:docPartGallery w:val="Page Numbers (Bottom of Page)"/>
          <w:docPartUnique/>
        </w:docPartObj>
      </w:sdtPr>
      <w:sdtEndPr>
        <w:rPr>
          <w:sz w:val="22"/>
          <w:szCs w:val="22"/>
        </w:rPr>
      </w:sdtEndPr>
      <w:sdtContent>
        <w:r w:rsidR="00DF5FCD" w:rsidRPr="00EF19E0">
          <w:rPr>
            <w:sz w:val="16"/>
            <w:szCs w:val="16"/>
          </w:rPr>
          <w:t xml:space="preserve"> –</w:t>
        </w:r>
        <w:r w:rsidR="002675CA">
          <w:rPr>
            <w:sz w:val="16"/>
            <w:szCs w:val="16"/>
          </w:rPr>
          <w:t xml:space="preserve"> </w:t>
        </w:r>
        <w:r w:rsidR="004C0B8A" w:rsidRPr="00EF19E0">
          <w:rPr>
            <w:sz w:val="16"/>
            <w:szCs w:val="16"/>
          </w:rPr>
          <w:t>September</w:t>
        </w:r>
        <w:r w:rsidR="00DF5FCD" w:rsidRPr="00EF19E0">
          <w:rPr>
            <w:sz w:val="16"/>
            <w:szCs w:val="16"/>
          </w:rPr>
          <w:t xml:space="preserve"> 2024</w:t>
        </w:r>
        <w:r w:rsidR="002675CA">
          <w:rPr>
            <w:sz w:val="16"/>
            <w:szCs w:val="16"/>
          </w:rPr>
          <w:t xml:space="preserve"> PBAC</w:t>
        </w:r>
        <w:r w:rsidR="00DF5FCD" w:rsidRPr="00EF19E0">
          <w:rPr>
            <w:sz w:val="16"/>
            <w:szCs w:val="16"/>
          </w:rPr>
          <w:t xml:space="preserve"> </w:t>
        </w:r>
        <w:r w:rsidR="004C0B8A" w:rsidRPr="00EF19E0">
          <w:rPr>
            <w:sz w:val="16"/>
            <w:szCs w:val="16"/>
          </w:rPr>
          <w:t>intracycle</w:t>
        </w:r>
        <w:r w:rsidR="00DF5FCD" w:rsidRPr="00EF19E0">
          <w:rPr>
            <w:sz w:val="16"/>
            <w:szCs w:val="16"/>
          </w:rPr>
          <w:t xml:space="preserve"> meeting</w:t>
        </w:r>
        <w:r w:rsidR="00EF19E0">
          <w:rPr>
            <w:sz w:val="16"/>
            <w:szCs w:val="16"/>
          </w:rPr>
          <w:t xml:space="preserve">        </w:t>
        </w:r>
        <w:r w:rsidR="0060240A">
          <w:rPr>
            <w:sz w:val="16"/>
            <w:szCs w:val="16"/>
          </w:rPr>
          <w:t xml:space="preserve">   </w:t>
        </w:r>
        <w:r w:rsidR="00EF19E0">
          <w:rPr>
            <w:sz w:val="16"/>
            <w:szCs w:val="16"/>
          </w:rPr>
          <w:t xml:space="preserve">          </w:t>
        </w:r>
        <w:r w:rsidRPr="002E3851">
          <w:tab/>
        </w:r>
        <w:r w:rsidR="00EF19E0">
          <w:t xml:space="preserve">  </w:t>
        </w:r>
        <w:r w:rsidRPr="002E3851">
          <w:fldChar w:fldCharType="begin"/>
        </w:r>
        <w:r w:rsidRPr="002E3851">
          <w:instrText xml:space="preserve"> PAGE   \* MERGEFORMAT </w:instrText>
        </w:r>
        <w:r w:rsidRPr="002E3851">
          <w:fldChar w:fldCharType="separate"/>
        </w:r>
        <w:r w:rsidRPr="002E3851">
          <w:t>4</w:t>
        </w:r>
        <w:r w:rsidRPr="002E38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F36D2" w14:textId="77777777" w:rsidR="00A73DC5" w:rsidRDefault="00A73DC5" w:rsidP="002E3851">
      <w:pPr>
        <w:spacing w:after="0" w:line="240" w:lineRule="auto"/>
      </w:pPr>
      <w:r>
        <w:separator/>
      </w:r>
    </w:p>
  </w:footnote>
  <w:footnote w:type="continuationSeparator" w:id="0">
    <w:p w14:paraId="722184C9" w14:textId="77777777" w:rsidR="00A73DC5" w:rsidRDefault="00A73DC5" w:rsidP="002E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A93C" w14:textId="7CF314C7" w:rsidR="002E3851" w:rsidRDefault="002E3851">
    <w:pPr>
      <w:pStyle w:val="Header"/>
    </w:pPr>
    <w:r>
      <w:rPr>
        <w:noProof/>
        <w:lang w:eastAsia="en-AU"/>
      </w:rPr>
      <w:drawing>
        <wp:inline distT="0" distB="0" distL="0" distR="0" wp14:anchorId="14710BDC" wp14:editId="1B52D2A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p w14:paraId="5A4D62C0" w14:textId="77777777" w:rsidR="004A0822" w:rsidRDefault="004A0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AD1"/>
    <w:multiLevelType w:val="hybridMultilevel"/>
    <w:tmpl w:val="68E48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D2361"/>
    <w:multiLevelType w:val="hybridMultilevel"/>
    <w:tmpl w:val="98662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9574DA"/>
    <w:multiLevelType w:val="hybridMultilevel"/>
    <w:tmpl w:val="1A4A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3FDA"/>
    <w:multiLevelType w:val="hybridMultilevel"/>
    <w:tmpl w:val="840A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37ACE"/>
    <w:multiLevelType w:val="hybridMultilevel"/>
    <w:tmpl w:val="2A88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D016B"/>
    <w:multiLevelType w:val="hybridMultilevel"/>
    <w:tmpl w:val="2E1093B2"/>
    <w:lvl w:ilvl="0" w:tplc="B3369A28">
      <w:start w:val="1"/>
      <w:numFmt w:val="bullet"/>
      <w:lvlText w:val="•"/>
      <w:lvlJc w:val="left"/>
      <w:pPr>
        <w:tabs>
          <w:tab w:val="num" w:pos="720"/>
        </w:tabs>
        <w:ind w:left="720" w:hanging="360"/>
      </w:pPr>
      <w:rPr>
        <w:rFonts w:ascii="Arial" w:hAnsi="Arial" w:hint="default"/>
      </w:rPr>
    </w:lvl>
    <w:lvl w:ilvl="1" w:tplc="5E96034E" w:tentative="1">
      <w:start w:val="1"/>
      <w:numFmt w:val="bullet"/>
      <w:lvlText w:val="•"/>
      <w:lvlJc w:val="left"/>
      <w:pPr>
        <w:tabs>
          <w:tab w:val="num" w:pos="1440"/>
        </w:tabs>
        <w:ind w:left="1440" w:hanging="360"/>
      </w:pPr>
      <w:rPr>
        <w:rFonts w:ascii="Arial" w:hAnsi="Arial" w:hint="default"/>
      </w:rPr>
    </w:lvl>
    <w:lvl w:ilvl="2" w:tplc="FFA0384A" w:tentative="1">
      <w:start w:val="1"/>
      <w:numFmt w:val="bullet"/>
      <w:lvlText w:val="•"/>
      <w:lvlJc w:val="left"/>
      <w:pPr>
        <w:tabs>
          <w:tab w:val="num" w:pos="2160"/>
        </w:tabs>
        <w:ind w:left="2160" w:hanging="360"/>
      </w:pPr>
      <w:rPr>
        <w:rFonts w:ascii="Arial" w:hAnsi="Arial" w:hint="default"/>
      </w:rPr>
    </w:lvl>
    <w:lvl w:ilvl="3" w:tplc="E32C9DF6" w:tentative="1">
      <w:start w:val="1"/>
      <w:numFmt w:val="bullet"/>
      <w:lvlText w:val="•"/>
      <w:lvlJc w:val="left"/>
      <w:pPr>
        <w:tabs>
          <w:tab w:val="num" w:pos="2880"/>
        </w:tabs>
        <w:ind w:left="2880" w:hanging="360"/>
      </w:pPr>
      <w:rPr>
        <w:rFonts w:ascii="Arial" w:hAnsi="Arial" w:hint="default"/>
      </w:rPr>
    </w:lvl>
    <w:lvl w:ilvl="4" w:tplc="64A465E8" w:tentative="1">
      <w:start w:val="1"/>
      <w:numFmt w:val="bullet"/>
      <w:lvlText w:val="•"/>
      <w:lvlJc w:val="left"/>
      <w:pPr>
        <w:tabs>
          <w:tab w:val="num" w:pos="3600"/>
        </w:tabs>
        <w:ind w:left="3600" w:hanging="360"/>
      </w:pPr>
      <w:rPr>
        <w:rFonts w:ascii="Arial" w:hAnsi="Arial" w:hint="default"/>
      </w:rPr>
    </w:lvl>
    <w:lvl w:ilvl="5" w:tplc="0AC44BAA" w:tentative="1">
      <w:start w:val="1"/>
      <w:numFmt w:val="bullet"/>
      <w:lvlText w:val="•"/>
      <w:lvlJc w:val="left"/>
      <w:pPr>
        <w:tabs>
          <w:tab w:val="num" w:pos="4320"/>
        </w:tabs>
        <w:ind w:left="4320" w:hanging="360"/>
      </w:pPr>
      <w:rPr>
        <w:rFonts w:ascii="Arial" w:hAnsi="Arial" w:hint="default"/>
      </w:rPr>
    </w:lvl>
    <w:lvl w:ilvl="6" w:tplc="4D10DBDC" w:tentative="1">
      <w:start w:val="1"/>
      <w:numFmt w:val="bullet"/>
      <w:lvlText w:val="•"/>
      <w:lvlJc w:val="left"/>
      <w:pPr>
        <w:tabs>
          <w:tab w:val="num" w:pos="5040"/>
        </w:tabs>
        <w:ind w:left="5040" w:hanging="360"/>
      </w:pPr>
      <w:rPr>
        <w:rFonts w:ascii="Arial" w:hAnsi="Arial" w:hint="default"/>
      </w:rPr>
    </w:lvl>
    <w:lvl w:ilvl="7" w:tplc="2D7079F8" w:tentative="1">
      <w:start w:val="1"/>
      <w:numFmt w:val="bullet"/>
      <w:lvlText w:val="•"/>
      <w:lvlJc w:val="left"/>
      <w:pPr>
        <w:tabs>
          <w:tab w:val="num" w:pos="5760"/>
        </w:tabs>
        <w:ind w:left="5760" w:hanging="360"/>
      </w:pPr>
      <w:rPr>
        <w:rFonts w:ascii="Arial" w:hAnsi="Arial" w:hint="default"/>
      </w:rPr>
    </w:lvl>
    <w:lvl w:ilvl="8" w:tplc="8E8C07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D87230"/>
    <w:multiLevelType w:val="hybridMultilevel"/>
    <w:tmpl w:val="B626440E"/>
    <w:lvl w:ilvl="0" w:tplc="5332032E">
      <w:start w:val="1"/>
      <w:numFmt w:val="bullet"/>
      <w:lvlText w:val="•"/>
      <w:lvlJc w:val="left"/>
      <w:pPr>
        <w:tabs>
          <w:tab w:val="num" w:pos="720"/>
        </w:tabs>
        <w:ind w:left="720" w:hanging="360"/>
      </w:pPr>
      <w:rPr>
        <w:rFonts w:ascii="Arial" w:hAnsi="Arial" w:hint="default"/>
      </w:rPr>
    </w:lvl>
    <w:lvl w:ilvl="1" w:tplc="522E0D10">
      <w:numFmt w:val="bullet"/>
      <w:lvlText w:val="o"/>
      <w:lvlJc w:val="left"/>
      <w:pPr>
        <w:tabs>
          <w:tab w:val="num" w:pos="1440"/>
        </w:tabs>
        <w:ind w:left="1440" w:hanging="360"/>
      </w:pPr>
      <w:rPr>
        <w:rFonts w:ascii="Courier New" w:hAnsi="Courier New" w:hint="default"/>
      </w:rPr>
    </w:lvl>
    <w:lvl w:ilvl="2" w:tplc="6AAE3220" w:tentative="1">
      <w:start w:val="1"/>
      <w:numFmt w:val="bullet"/>
      <w:lvlText w:val="•"/>
      <w:lvlJc w:val="left"/>
      <w:pPr>
        <w:tabs>
          <w:tab w:val="num" w:pos="2160"/>
        </w:tabs>
        <w:ind w:left="2160" w:hanging="360"/>
      </w:pPr>
      <w:rPr>
        <w:rFonts w:ascii="Arial" w:hAnsi="Arial" w:hint="default"/>
      </w:rPr>
    </w:lvl>
    <w:lvl w:ilvl="3" w:tplc="813A097E" w:tentative="1">
      <w:start w:val="1"/>
      <w:numFmt w:val="bullet"/>
      <w:lvlText w:val="•"/>
      <w:lvlJc w:val="left"/>
      <w:pPr>
        <w:tabs>
          <w:tab w:val="num" w:pos="2880"/>
        </w:tabs>
        <w:ind w:left="2880" w:hanging="360"/>
      </w:pPr>
      <w:rPr>
        <w:rFonts w:ascii="Arial" w:hAnsi="Arial" w:hint="default"/>
      </w:rPr>
    </w:lvl>
    <w:lvl w:ilvl="4" w:tplc="7F426E9A" w:tentative="1">
      <w:start w:val="1"/>
      <w:numFmt w:val="bullet"/>
      <w:lvlText w:val="•"/>
      <w:lvlJc w:val="left"/>
      <w:pPr>
        <w:tabs>
          <w:tab w:val="num" w:pos="3600"/>
        </w:tabs>
        <w:ind w:left="3600" w:hanging="360"/>
      </w:pPr>
      <w:rPr>
        <w:rFonts w:ascii="Arial" w:hAnsi="Arial" w:hint="default"/>
      </w:rPr>
    </w:lvl>
    <w:lvl w:ilvl="5" w:tplc="7AFECE44" w:tentative="1">
      <w:start w:val="1"/>
      <w:numFmt w:val="bullet"/>
      <w:lvlText w:val="•"/>
      <w:lvlJc w:val="left"/>
      <w:pPr>
        <w:tabs>
          <w:tab w:val="num" w:pos="4320"/>
        </w:tabs>
        <w:ind w:left="4320" w:hanging="360"/>
      </w:pPr>
      <w:rPr>
        <w:rFonts w:ascii="Arial" w:hAnsi="Arial" w:hint="default"/>
      </w:rPr>
    </w:lvl>
    <w:lvl w:ilvl="6" w:tplc="8124E454" w:tentative="1">
      <w:start w:val="1"/>
      <w:numFmt w:val="bullet"/>
      <w:lvlText w:val="•"/>
      <w:lvlJc w:val="left"/>
      <w:pPr>
        <w:tabs>
          <w:tab w:val="num" w:pos="5040"/>
        </w:tabs>
        <w:ind w:left="5040" w:hanging="360"/>
      </w:pPr>
      <w:rPr>
        <w:rFonts w:ascii="Arial" w:hAnsi="Arial" w:hint="default"/>
      </w:rPr>
    </w:lvl>
    <w:lvl w:ilvl="7" w:tplc="28B4E564" w:tentative="1">
      <w:start w:val="1"/>
      <w:numFmt w:val="bullet"/>
      <w:lvlText w:val="•"/>
      <w:lvlJc w:val="left"/>
      <w:pPr>
        <w:tabs>
          <w:tab w:val="num" w:pos="5760"/>
        </w:tabs>
        <w:ind w:left="5760" w:hanging="360"/>
      </w:pPr>
      <w:rPr>
        <w:rFonts w:ascii="Arial" w:hAnsi="Arial" w:hint="default"/>
      </w:rPr>
    </w:lvl>
    <w:lvl w:ilvl="8" w:tplc="B750FB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B973D5"/>
    <w:multiLevelType w:val="hybridMultilevel"/>
    <w:tmpl w:val="E19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207C97"/>
    <w:multiLevelType w:val="hybridMultilevel"/>
    <w:tmpl w:val="119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262A"/>
    <w:multiLevelType w:val="hybridMultilevel"/>
    <w:tmpl w:val="C678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02051"/>
    <w:multiLevelType w:val="hybridMultilevel"/>
    <w:tmpl w:val="414A4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8B64D25"/>
    <w:multiLevelType w:val="multilevel"/>
    <w:tmpl w:val="77A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84515F"/>
    <w:multiLevelType w:val="hybridMultilevel"/>
    <w:tmpl w:val="DB5C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BC2693"/>
    <w:multiLevelType w:val="multilevel"/>
    <w:tmpl w:val="35CA00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4" w15:restartNumberingAfterBreak="0">
    <w:nsid w:val="589066C6"/>
    <w:multiLevelType w:val="hybridMultilevel"/>
    <w:tmpl w:val="30D6F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1E859FF"/>
    <w:multiLevelType w:val="hybridMultilevel"/>
    <w:tmpl w:val="999A1598"/>
    <w:lvl w:ilvl="0" w:tplc="B9209582">
      <w:start w:val="1"/>
      <w:numFmt w:val="bullet"/>
      <w:lvlText w:val=""/>
      <w:lvlJc w:val="left"/>
      <w:pPr>
        <w:ind w:left="1160" w:hanging="360"/>
      </w:pPr>
      <w:rPr>
        <w:rFonts w:ascii="Symbol" w:hAnsi="Symbol"/>
      </w:rPr>
    </w:lvl>
    <w:lvl w:ilvl="1" w:tplc="12D49930">
      <w:start w:val="1"/>
      <w:numFmt w:val="bullet"/>
      <w:lvlText w:val=""/>
      <w:lvlJc w:val="left"/>
      <w:pPr>
        <w:ind w:left="1160" w:hanging="360"/>
      </w:pPr>
      <w:rPr>
        <w:rFonts w:ascii="Symbol" w:hAnsi="Symbol"/>
      </w:rPr>
    </w:lvl>
    <w:lvl w:ilvl="2" w:tplc="63A400DA">
      <w:start w:val="1"/>
      <w:numFmt w:val="bullet"/>
      <w:lvlText w:val=""/>
      <w:lvlJc w:val="left"/>
      <w:pPr>
        <w:ind w:left="1160" w:hanging="360"/>
      </w:pPr>
      <w:rPr>
        <w:rFonts w:ascii="Symbol" w:hAnsi="Symbol"/>
      </w:rPr>
    </w:lvl>
    <w:lvl w:ilvl="3" w:tplc="2ADE0A06">
      <w:start w:val="1"/>
      <w:numFmt w:val="bullet"/>
      <w:lvlText w:val=""/>
      <w:lvlJc w:val="left"/>
      <w:pPr>
        <w:ind w:left="1160" w:hanging="360"/>
      </w:pPr>
      <w:rPr>
        <w:rFonts w:ascii="Symbol" w:hAnsi="Symbol"/>
      </w:rPr>
    </w:lvl>
    <w:lvl w:ilvl="4" w:tplc="F22E8E8E">
      <w:start w:val="1"/>
      <w:numFmt w:val="bullet"/>
      <w:lvlText w:val=""/>
      <w:lvlJc w:val="left"/>
      <w:pPr>
        <w:ind w:left="1160" w:hanging="360"/>
      </w:pPr>
      <w:rPr>
        <w:rFonts w:ascii="Symbol" w:hAnsi="Symbol"/>
      </w:rPr>
    </w:lvl>
    <w:lvl w:ilvl="5" w:tplc="76A2BEC6">
      <w:start w:val="1"/>
      <w:numFmt w:val="bullet"/>
      <w:lvlText w:val=""/>
      <w:lvlJc w:val="left"/>
      <w:pPr>
        <w:ind w:left="1160" w:hanging="360"/>
      </w:pPr>
      <w:rPr>
        <w:rFonts w:ascii="Symbol" w:hAnsi="Symbol"/>
      </w:rPr>
    </w:lvl>
    <w:lvl w:ilvl="6" w:tplc="2C0C44B4">
      <w:start w:val="1"/>
      <w:numFmt w:val="bullet"/>
      <w:lvlText w:val=""/>
      <w:lvlJc w:val="left"/>
      <w:pPr>
        <w:ind w:left="1160" w:hanging="360"/>
      </w:pPr>
      <w:rPr>
        <w:rFonts w:ascii="Symbol" w:hAnsi="Symbol"/>
      </w:rPr>
    </w:lvl>
    <w:lvl w:ilvl="7" w:tplc="0B30AD30">
      <w:start w:val="1"/>
      <w:numFmt w:val="bullet"/>
      <w:lvlText w:val=""/>
      <w:lvlJc w:val="left"/>
      <w:pPr>
        <w:ind w:left="1160" w:hanging="360"/>
      </w:pPr>
      <w:rPr>
        <w:rFonts w:ascii="Symbol" w:hAnsi="Symbol"/>
      </w:rPr>
    </w:lvl>
    <w:lvl w:ilvl="8" w:tplc="8C96E116">
      <w:start w:val="1"/>
      <w:numFmt w:val="bullet"/>
      <w:lvlText w:val=""/>
      <w:lvlJc w:val="left"/>
      <w:pPr>
        <w:ind w:left="1160" w:hanging="360"/>
      </w:pPr>
      <w:rPr>
        <w:rFonts w:ascii="Symbol" w:hAnsi="Symbol"/>
      </w:rPr>
    </w:lvl>
  </w:abstractNum>
  <w:abstractNum w:abstractNumId="16" w15:restartNumberingAfterBreak="0">
    <w:nsid w:val="64B71C7E"/>
    <w:multiLevelType w:val="hybridMultilevel"/>
    <w:tmpl w:val="AE9C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D0631"/>
    <w:multiLevelType w:val="hybridMultilevel"/>
    <w:tmpl w:val="582260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AA15F3"/>
    <w:multiLevelType w:val="hybridMultilevel"/>
    <w:tmpl w:val="965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16A8E"/>
    <w:multiLevelType w:val="hybridMultilevel"/>
    <w:tmpl w:val="1316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42362"/>
    <w:multiLevelType w:val="hybridMultilevel"/>
    <w:tmpl w:val="5EC29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6EE87D01"/>
    <w:multiLevelType w:val="hybridMultilevel"/>
    <w:tmpl w:val="B346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D5A84"/>
    <w:multiLevelType w:val="hybridMultilevel"/>
    <w:tmpl w:val="F6E2D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31913"/>
    <w:multiLevelType w:val="hybridMultilevel"/>
    <w:tmpl w:val="26ACE1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5410602"/>
    <w:multiLevelType w:val="hybridMultilevel"/>
    <w:tmpl w:val="1A28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5828AE"/>
    <w:multiLevelType w:val="multilevel"/>
    <w:tmpl w:val="8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6A4A17"/>
    <w:multiLevelType w:val="hybridMultilevel"/>
    <w:tmpl w:val="14F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256D04"/>
    <w:multiLevelType w:val="hybridMultilevel"/>
    <w:tmpl w:val="1EF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016BC3"/>
    <w:multiLevelType w:val="hybridMultilevel"/>
    <w:tmpl w:val="E4147A38"/>
    <w:lvl w:ilvl="0" w:tplc="1D18A5CA">
      <w:start w:val="1"/>
      <w:numFmt w:val="bullet"/>
      <w:lvlText w:val=""/>
      <w:lvlJc w:val="left"/>
      <w:pPr>
        <w:ind w:left="2160" w:hanging="360"/>
      </w:pPr>
      <w:rPr>
        <w:rFonts w:ascii="Symbol" w:hAnsi="Symbol"/>
      </w:rPr>
    </w:lvl>
    <w:lvl w:ilvl="1" w:tplc="BFCC7296">
      <w:start w:val="1"/>
      <w:numFmt w:val="bullet"/>
      <w:lvlText w:val=""/>
      <w:lvlJc w:val="left"/>
      <w:pPr>
        <w:ind w:left="2160" w:hanging="360"/>
      </w:pPr>
      <w:rPr>
        <w:rFonts w:ascii="Symbol" w:hAnsi="Symbol"/>
      </w:rPr>
    </w:lvl>
    <w:lvl w:ilvl="2" w:tplc="539ABEB2">
      <w:start w:val="1"/>
      <w:numFmt w:val="bullet"/>
      <w:lvlText w:val=""/>
      <w:lvlJc w:val="left"/>
      <w:pPr>
        <w:ind w:left="2160" w:hanging="360"/>
      </w:pPr>
      <w:rPr>
        <w:rFonts w:ascii="Symbol" w:hAnsi="Symbol"/>
      </w:rPr>
    </w:lvl>
    <w:lvl w:ilvl="3" w:tplc="24787D7E">
      <w:start w:val="1"/>
      <w:numFmt w:val="bullet"/>
      <w:lvlText w:val=""/>
      <w:lvlJc w:val="left"/>
      <w:pPr>
        <w:ind w:left="2160" w:hanging="360"/>
      </w:pPr>
      <w:rPr>
        <w:rFonts w:ascii="Symbol" w:hAnsi="Symbol"/>
      </w:rPr>
    </w:lvl>
    <w:lvl w:ilvl="4" w:tplc="AB2C5E74">
      <w:start w:val="1"/>
      <w:numFmt w:val="bullet"/>
      <w:lvlText w:val=""/>
      <w:lvlJc w:val="left"/>
      <w:pPr>
        <w:ind w:left="2160" w:hanging="360"/>
      </w:pPr>
      <w:rPr>
        <w:rFonts w:ascii="Symbol" w:hAnsi="Symbol"/>
      </w:rPr>
    </w:lvl>
    <w:lvl w:ilvl="5" w:tplc="E66EACAA">
      <w:start w:val="1"/>
      <w:numFmt w:val="bullet"/>
      <w:lvlText w:val=""/>
      <w:lvlJc w:val="left"/>
      <w:pPr>
        <w:ind w:left="2160" w:hanging="360"/>
      </w:pPr>
      <w:rPr>
        <w:rFonts w:ascii="Symbol" w:hAnsi="Symbol"/>
      </w:rPr>
    </w:lvl>
    <w:lvl w:ilvl="6" w:tplc="973ECF8E">
      <w:start w:val="1"/>
      <w:numFmt w:val="bullet"/>
      <w:lvlText w:val=""/>
      <w:lvlJc w:val="left"/>
      <w:pPr>
        <w:ind w:left="2160" w:hanging="360"/>
      </w:pPr>
      <w:rPr>
        <w:rFonts w:ascii="Symbol" w:hAnsi="Symbol"/>
      </w:rPr>
    </w:lvl>
    <w:lvl w:ilvl="7" w:tplc="330CC3D2">
      <w:start w:val="1"/>
      <w:numFmt w:val="bullet"/>
      <w:lvlText w:val=""/>
      <w:lvlJc w:val="left"/>
      <w:pPr>
        <w:ind w:left="2160" w:hanging="360"/>
      </w:pPr>
      <w:rPr>
        <w:rFonts w:ascii="Symbol" w:hAnsi="Symbol"/>
      </w:rPr>
    </w:lvl>
    <w:lvl w:ilvl="8" w:tplc="FF86651A">
      <w:start w:val="1"/>
      <w:numFmt w:val="bullet"/>
      <w:lvlText w:val=""/>
      <w:lvlJc w:val="left"/>
      <w:pPr>
        <w:ind w:left="2160" w:hanging="360"/>
      </w:pPr>
      <w:rPr>
        <w:rFonts w:ascii="Symbol" w:hAnsi="Symbol"/>
      </w:rPr>
    </w:lvl>
  </w:abstractNum>
  <w:num w:numId="1" w16cid:durableId="1923444207">
    <w:abstractNumId w:val="27"/>
  </w:num>
  <w:num w:numId="2" w16cid:durableId="1306280192">
    <w:abstractNumId w:val="22"/>
  </w:num>
  <w:num w:numId="3" w16cid:durableId="890725674">
    <w:abstractNumId w:val="14"/>
  </w:num>
  <w:num w:numId="4" w16cid:durableId="748159009">
    <w:abstractNumId w:val="9"/>
  </w:num>
  <w:num w:numId="5" w16cid:durableId="1764646313">
    <w:abstractNumId w:val="19"/>
  </w:num>
  <w:num w:numId="6" w16cid:durableId="2079940783">
    <w:abstractNumId w:val="16"/>
  </w:num>
  <w:num w:numId="7" w16cid:durableId="335815680">
    <w:abstractNumId w:val="12"/>
  </w:num>
  <w:num w:numId="8" w16cid:durableId="1413308192">
    <w:abstractNumId w:val="15"/>
  </w:num>
  <w:num w:numId="9" w16cid:durableId="1244952406">
    <w:abstractNumId w:val="25"/>
  </w:num>
  <w:num w:numId="10" w16cid:durableId="1405377542">
    <w:abstractNumId w:val="24"/>
  </w:num>
  <w:num w:numId="11" w16cid:durableId="1142425831">
    <w:abstractNumId w:val="11"/>
  </w:num>
  <w:num w:numId="12" w16cid:durableId="1203716071">
    <w:abstractNumId w:val="5"/>
  </w:num>
  <w:num w:numId="13" w16cid:durableId="1746607933">
    <w:abstractNumId w:val="6"/>
  </w:num>
  <w:num w:numId="14" w16cid:durableId="1846749596">
    <w:abstractNumId w:val="20"/>
  </w:num>
  <w:num w:numId="15" w16cid:durableId="1661809180">
    <w:abstractNumId w:val="10"/>
  </w:num>
  <w:num w:numId="16" w16cid:durableId="2001497418">
    <w:abstractNumId w:val="28"/>
  </w:num>
  <w:num w:numId="17" w16cid:durableId="2069037651">
    <w:abstractNumId w:val="0"/>
  </w:num>
  <w:num w:numId="18" w16cid:durableId="1679652430">
    <w:abstractNumId w:val="1"/>
  </w:num>
  <w:num w:numId="19" w16cid:durableId="1471558028">
    <w:abstractNumId w:val="7"/>
  </w:num>
  <w:num w:numId="20" w16cid:durableId="1326200833">
    <w:abstractNumId w:val="18"/>
  </w:num>
  <w:num w:numId="21" w16cid:durableId="650407551">
    <w:abstractNumId w:val="26"/>
  </w:num>
  <w:num w:numId="22" w16cid:durableId="153882153">
    <w:abstractNumId w:val="13"/>
  </w:num>
  <w:num w:numId="23" w16cid:durableId="951474939">
    <w:abstractNumId w:val="8"/>
  </w:num>
  <w:num w:numId="24" w16cid:durableId="968826897">
    <w:abstractNumId w:val="23"/>
  </w:num>
  <w:num w:numId="25" w16cid:durableId="997271078">
    <w:abstractNumId w:val="4"/>
  </w:num>
  <w:num w:numId="26" w16cid:durableId="717166605">
    <w:abstractNumId w:val="3"/>
  </w:num>
  <w:num w:numId="27" w16cid:durableId="1586646935">
    <w:abstractNumId w:val="2"/>
  </w:num>
  <w:num w:numId="28" w16cid:durableId="889994929">
    <w:abstractNumId w:val="17"/>
  </w:num>
  <w:num w:numId="29" w16cid:durableId="20397731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1"/>
    <w:rsid w:val="00001087"/>
    <w:rsid w:val="00005D23"/>
    <w:rsid w:val="00006646"/>
    <w:rsid w:val="00007170"/>
    <w:rsid w:val="00023BDF"/>
    <w:rsid w:val="00023E47"/>
    <w:rsid w:val="0002610C"/>
    <w:rsid w:val="0002665C"/>
    <w:rsid w:val="000304B6"/>
    <w:rsid w:val="00030DC5"/>
    <w:rsid w:val="0003106F"/>
    <w:rsid w:val="00036C47"/>
    <w:rsid w:val="000410F1"/>
    <w:rsid w:val="00042AD0"/>
    <w:rsid w:val="000437CE"/>
    <w:rsid w:val="0004439C"/>
    <w:rsid w:val="00050B0A"/>
    <w:rsid w:val="00051FD0"/>
    <w:rsid w:val="00052F48"/>
    <w:rsid w:val="00054CD4"/>
    <w:rsid w:val="00065DB3"/>
    <w:rsid w:val="00066178"/>
    <w:rsid w:val="000674A8"/>
    <w:rsid w:val="00067706"/>
    <w:rsid w:val="000773E9"/>
    <w:rsid w:val="00077953"/>
    <w:rsid w:val="000817FD"/>
    <w:rsid w:val="00090761"/>
    <w:rsid w:val="00094144"/>
    <w:rsid w:val="000942F6"/>
    <w:rsid w:val="00096457"/>
    <w:rsid w:val="000973DF"/>
    <w:rsid w:val="000A0712"/>
    <w:rsid w:val="000A24D7"/>
    <w:rsid w:val="000A442D"/>
    <w:rsid w:val="000A5DFD"/>
    <w:rsid w:val="000B07B0"/>
    <w:rsid w:val="000B16EF"/>
    <w:rsid w:val="000B1EFB"/>
    <w:rsid w:val="000B4A3B"/>
    <w:rsid w:val="000B521A"/>
    <w:rsid w:val="000C04E4"/>
    <w:rsid w:val="000C32F3"/>
    <w:rsid w:val="000C6357"/>
    <w:rsid w:val="000D1DC6"/>
    <w:rsid w:val="000D3868"/>
    <w:rsid w:val="000D6B0F"/>
    <w:rsid w:val="000E711A"/>
    <w:rsid w:val="000E7D04"/>
    <w:rsid w:val="000F4412"/>
    <w:rsid w:val="000F5D59"/>
    <w:rsid w:val="000F6640"/>
    <w:rsid w:val="000F6F81"/>
    <w:rsid w:val="001022CB"/>
    <w:rsid w:val="00102844"/>
    <w:rsid w:val="001028DD"/>
    <w:rsid w:val="00102B9E"/>
    <w:rsid w:val="00105CA2"/>
    <w:rsid w:val="00106F3F"/>
    <w:rsid w:val="00110557"/>
    <w:rsid w:val="001138CE"/>
    <w:rsid w:val="001154D1"/>
    <w:rsid w:val="00121975"/>
    <w:rsid w:val="00122ACC"/>
    <w:rsid w:val="001244CD"/>
    <w:rsid w:val="0012759A"/>
    <w:rsid w:val="00127C79"/>
    <w:rsid w:val="0013317F"/>
    <w:rsid w:val="00133D51"/>
    <w:rsid w:val="00136B15"/>
    <w:rsid w:val="00141C6E"/>
    <w:rsid w:val="00143A36"/>
    <w:rsid w:val="00145349"/>
    <w:rsid w:val="00146956"/>
    <w:rsid w:val="00152FCB"/>
    <w:rsid w:val="00153820"/>
    <w:rsid w:val="00157DFD"/>
    <w:rsid w:val="00161DEC"/>
    <w:rsid w:val="001624DA"/>
    <w:rsid w:val="00162E2C"/>
    <w:rsid w:val="00187CCE"/>
    <w:rsid w:val="00190E33"/>
    <w:rsid w:val="00191775"/>
    <w:rsid w:val="00195C8B"/>
    <w:rsid w:val="001973C1"/>
    <w:rsid w:val="001A290C"/>
    <w:rsid w:val="001A5ABA"/>
    <w:rsid w:val="001A6D9A"/>
    <w:rsid w:val="001B02E8"/>
    <w:rsid w:val="001B28AA"/>
    <w:rsid w:val="001C2A9F"/>
    <w:rsid w:val="001C2F1E"/>
    <w:rsid w:val="001C4707"/>
    <w:rsid w:val="001C60A3"/>
    <w:rsid w:val="001C7D7C"/>
    <w:rsid w:val="001D2BA6"/>
    <w:rsid w:val="001D34D5"/>
    <w:rsid w:val="001D4A2E"/>
    <w:rsid w:val="001E0463"/>
    <w:rsid w:val="001E4463"/>
    <w:rsid w:val="001E4BF3"/>
    <w:rsid w:val="001F570B"/>
    <w:rsid w:val="00203DF5"/>
    <w:rsid w:val="002105C6"/>
    <w:rsid w:val="00210B4E"/>
    <w:rsid w:val="00213A14"/>
    <w:rsid w:val="0021523A"/>
    <w:rsid w:val="00217F82"/>
    <w:rsid w:val="00220E7B"/>
    <w:rsid w:val="002226ED"/>
    <w:rsid w:val="002245B5"/>
    <w:rsid w:val="002356CF"/>
    <w:rsid w:val="00240EE4"/>
    <w:rsid w:val="002437A4"/>
    <w:rsid w:val="00247491"/>
    <w:rsid w:val="00247515"/>
    <w:rsid w:val="00247AC8"/>
    <w:rsid w:val="00251F7F"/>
    <w:rsid w:val="00252F88"/>
    <w:rsid w:val="00261769"/>
    <w:rsid w:val="00263B0B"/>
    <w:rsid w:val="0026527A"/>
    <w:rsid w:val="00265E01"/>
    <w:rsid w:val="002675CA"/>
    <w:rsid w:val="00275C05"/>
    <w:rsid w:val="00277C1D"/>
    <w:rsid w:val="00285018"/>
    <w:rsid w:val="00285B66"/>
    <w:rsid w:val="00285F1A"/>
    <w:rsid w:val="00286417"/>
    <w:rsid w:val="00287424"/>
    <w:rsid w:val="00293CD6"/>
    <w:rsid w:val="002967B3"/>
    <w:rsid w:val="002A6F8D"/>
    <w:rsid w:val="002B1E2B"/>
    <w:rsid w:val="002B6BD4"/>
    <w:rsid w:val="002C054A"/>
    <w:rsid w:val="002C08BE"/>
    <w:rsid w:val="002C4197"/>
    <w:rsid w:val="002C506D"/>
    <w:rsid w:val="002D3296"/>
    <w:rsid w:val="002D707C"/>
    <w:rsid w:val="002D79FD"/>
    <w:rsid w:val="002E3851"/>
    <w:rsid w:val="002E569F"/>
    <w:rsid w:val="002E6A28"/>
    <w:rsid w:val="002E73CB"/>
    <w:rsid w:val="002F29F3"/>
    <w:rsid w:val="002F44BC"/>
    <w:rsid w:val="002F5052"/>
    <w:rsid w:val="002F604C"/>
    <w:rsid w:val="002F6648"/>
    <w:rsid w:val="002F7E03"/>
    <w:rsid w:val="003014E4"/>
    <w:rsid w:val="00302CFD"/>
    <w:rsid w:val="00304A22"/>
    <w:rsid w:val="003053CC"/>
    <w:rsid w:val="00311314"/>
    <w:rsid w:val="00312125"/>
    <w:rsid w:val="003142CA"/>
    <w:rsid w:val="003145D3"/>
    <w:rsid w:val="003176BA"/>
    <w:rsid w:val="00321BD5"/>
    <w:rsid w:val="00322EE6"/>
    <w:rsid w:val="0032576D"/>
    <w:rsid w:val="003317F2"/>
    <w:rsid w:val="00331FB7"/>
    <w:rsid w:val="00332020"/>
    <w:rsid w:val="00332A9D"/>
    <w:rsid w:val="00335408"/>
    <w:rsid w:val="00335751"/>
    <w:rsid w:val="00335BE3"/>
    <w:rsid w:val="0034003D"/>
    <w:rsid w:val="00342057"/>
    <w:rsid w:val="003449C3"/>
    <w:rsid w:val="0034502F"/>
    <w:rsid w:val="00345584"/>
    <w:rsid w:val="00347640"/>
    <w:rsid w:val="00351908"/>
    <w:rsid w:val="003564D2"/>
    <w:rsid w:val="00356856"/>
    <w:rsid w:val="00356F43"/>
    <w:rsid w:val="00362A26"/>
    <w:rsid w:val="00366816"/>
    <w:rsid w:val="00366C0C"/>
    <w:rsid w:val="00372050"/>
    <w:rsid w:val="00375A7B"/>
    <w:rsid w:val="00380C9F"/>
    <w:rsid w:val="00381137"/>
    <w:rsid w:val="00381534"/>
    <w:rsid w:val="003817BE"/>
    <w:rsid w:val="00383B82"/>
    <w:rsid w:val="0038401B"/>
    <w:rsid w:val="00385CB8"/>
    <w:rsid w:val="003861F1"/>
    <w:rsid w:val="0039000C"/>
    <w:rsid w:val="003956F5"/>
    <w:rsid w:val="00396738"/>
    <w:rsid w:val="00397183"/>
    <w:rsid w:val="003A1AA5"/>
    <w:rsid w:val="003A1E0D"/>
    <w:rsid w:val="003A22B0"/>
    <w:rsid w:val="003A6581"/>
    <w:rsid w:val="003A67AA"/>
    <w:rsid w:val="003B2A03"/>
    <w:rsid w:val="003B30A6"/>
    <w:rsid w:val="003B59D1"/>
    <w:rsid w:val="003B698E"/>
    <w:rsid w:val="003C3B48"/>
    <w:rsid w:val="003C4676"/>
    <w:rsid w:val="003C7704"/>
    <w:rsid w:val="003C770C"/>
    <w:rsid w:val="003D652F"/>
    <w:rsid w:val="003D7D42"/>
    <w:rsid w:val="003E18F5"/>
    <w:rsid w:val="003E23E8"/>
    <w:rsid w:val="003E267B"/>
    <w:rsid w:val="003E5842"/>
    <w:rsid w:val="003E6780"/>
    <w:rsid w:val="003E75AF"/>
    <w:rsid w:val="003F5083"/>
    <w:rsid w:val="003F53DB"/>
    <w:rsid w:val="003F65A0"/>
    <w:rsid w:val="00401E3D"/>
    <w:rsid w:val="00401FE9"/>
    <w:rsid w:val="00404F2A"/>
    <w:rsid w:val="00405C02"/>
    <w:rsid w:val="00406EE4"/>
    <w:rsid w:val="00412F38"/>
    <w:rsid w:val="00414BCC"/>
    <w:rsid w:val="004218D5"/>
    <w:rsid w:val="0042451E"/>
    <w:rsid w:val="00425F3D"/>
    <w:rsid w:val="00431F3E"/>
    <w:rsid w:val="00433975"/>
    <w:rsid w:val="00433D87"/>
    <w:rsid w:val="00434C34"/>
    <w:rsid w:val="00435256"/>
    <w:rsid w:val="00436B36"/>
    <w:rsid w:val="00440423"/>
    <w:rsid w:val="004409D7"/>
    <w:rsid w:val="00442603"/>
    <w:rsid w:val="0044437F"/>
    <w:rsid w:val="00447BF5"/>
    <w:rsid w:val="00451C1D"/>
    <w:rsid w:val="00457445"/>
    <w:rsid w:val="004608A0"/>
    <w:rsid w:val="0046228A"/>
    <w:rsid w:val="00466827"/>
    <w:rsid w:val="00472164"/>
    <w:rsid w:val="0047664B"/>
    <w:rsid w:val="00482106"/>
    <w:rsid w:val="00484E3F"/>
    <w:rsid w:val="0048769B"/>
    <w:rsid w:val="0049130D"/>
    <w:rsid w:val="0049165C"/>
    <w:rsid w:val="00495E3F"/>
    <w:rsid w:val="00497C48"/>
    <w:rsid w:val="004A0822"/>
    <w:rsid w:val="004A3015"/>
    <w:rsid w:val="004A3138"/>
    <w:rsid w:val="004A36EA"/>
    <w:rsid w:val="004A4403"/>
    <w:rsid w:val="004A4C8C"/>
    <w:rsid w:val="004A60B8"/>
    <w:rsid w:val="004B2D74"/>
    <w:rsid w:val="004B4A3C"/>
    <w:rsid w:val="004B5E69"/>
    <w:rsid w:val="004C0A2D"/>
    <w:rsid w:val="004C0B8A"/>
    <w:rsid w:val="004C0F53"/>
    <w:rsid w:val="004C5D20"/>
    <w:rsid w:val="004D273A"/>
    <w:rsid w:val="004D4320"/>
    <w:rsid w:val="004D7A41"/>
    <w:rsid w:val="004E2DCD"/>
    <w:rsid w:val="004E4C65"/>
    <w:rsid w:val="004E5FA8"/>
    <w:rsid w:val="004E7C32"/>
    <w:rsid w:val="004F3A0D"/>
    <w:rsid w:val="004F5D6D"/>
    <w:rsid w:val="00506CFE"/>
    <w:rsid w:val="0051063F"/>
    <w:rsid w:val="005113D5"/>
    <w:rsid w:val="00512428"/>
    <w:rsid w:val="0051243C"/>
    <w:rsid w:val="005163E2"/>
    <w:rsid w:val="005171DC"/>
    <w:rsid w:val="005202C9"/>
    <w:rsid w:val="0052399A"/>
    <w:rsid w:val="00527188"/>
    <w:rsid w:val="00527481"/>
    <w:rsid w:val="00527D43"/>
    <w:rsid w:val="00530C6C"/>
    <w:rsid w:val="005332F5"/>
    <w:rsid w:val="00533850"/>
    <w:rsid w:val="00534BAC"/>
    <w:rsid w:val="005370B0"/>
    <w:rsid w:val="00537CC8"/>
    <w:rsid w:val="00542D31"/>
    <w:rsid w:val="00544D36"/>
    <w:rsid w:val="00553A97"/>
    <w:rsid w:val="005542BA"/>
    <w:rsid w:val="005542E3"/>
    <w:rsid w:val="00557335"/>
    <w:rsid w:val="00560C6A"/>
    <w:rsid w:val="00562120"/>
    <w:rsid w:val="00562266"/>
    <w:rsid w:val="005634F4"/>
    <w:rsid w:val="0056361F"/>
    <w:rsid w:val="0057224A"/>
    <w:rsid w:val="00572343"/>
    <w:rsid w:val="00572F6E"/>
    <w:rsid w:val="00582426"/>
    <w:rsid w:val="00583570"/>
    <w:rsid w:val="00591F91"/>
    <w:rsid w:val="00594193"/>
    <w:rsid w:val="005959C6"/>
    <w:rsid w:val="00597673"/>
    <w:rsid w:val="005A06F7"/>
    <w:rsid w:val="005A2E39"/>
    <w:rsid w:val="005A31A0"/>
    <w:rsid w:val="005A72DE"/>
    <w:rsid w:val="005A757D"/>
    <w:rsid w:val="005B081F"/>
    <w:rsid w:val="005B1EB4"/>
    <w:rsid w:val="005B2A19"/>
    <w:rsid w:val="005B42E4"/>
    <w:rsid w:val="005B475B"/>
    <w:rsid w:val="005B612F"/>
    <w:rsid w:val="005C044E"/>
    <w:rsid w:val="005C23B7"/>
    <w:rsid w:val="005C443B"/>
    <w:rsid w:val="005D138D"/>
    <w:rsid w:val="005D25F5"/>
    <w:rsid w:val="005D37F9"/>
    <w:rsid w:val="005D6575"/>
    <w:rsid w:val="005E0338"/>
    <w:rsid w:val="005E794A"/>
    <w:rsid w:val="005F3AB5"/>
    <w:rsid w:val="005F4429"/>
    <w:rsid w:val="005F5E96"/>
    <w:rsid w:val="005F7260"/>
    <w:rsid w:val="0060240A"/>
    <w:rsid w:val="00603F3C"/>
    <w:rsid w:val="00605DBD"/>
    <w:rsid w:val="00612577"/>
    <w:rsid w:val="006129A2"/>
    <w:rsid w:val="00615FF5"/>
    <w:rsid w:val="00621270"/>
    <w:rsid w:val="00621D94"/>
    <w:rsid w:val="006221BE"/>
    <w:rsid w:val="00622227"/>
    <w:rsid w:val="006248F8"/>
    <w:rsid w:val="00624AEC"/>
    <w:rsid w:val="00630176"/>
    <w:rsid w:val="00635606"/>
    <w:rsid w:val="00640F94"/>
    <w:rsid w:val="00644B33"/>
    <w:rsid w:val="006540E1"/>
    <w:rsid w:val="0065604D"/>
    <w:rsid w:val="006562EA"/>
    <w:rsid w:val="00662B03"/>
    <w:rsid w:val="00664BFD"/>
    <w:rsid w:val="006704FE"/>
    <w:rsid w:val="006716EB"/>
    <w:rsid w:val="00672979"/>
    <w:rsid w:val="00675AF8"/>
    <w:rsid w:val="00676F46"/>
    <w:rsid w:val="00677632"/>
    <w:rsid w:val="006935B6"/>
    <w:rsid w:val="0069366B"/>
    <w:rsid w:val="00694071"/>
    <w:rsid w:val="00695538"/>
    <w:rsid w:val="00697FEB"/>
    <w:rsid w:val="006A291D"/>
    <w:rsid w:val="006A56AC"/>
    <w:rsid w:val="006A72F0"/>
    <w:rsid w:val="006B0D2D"/>
    <w:rsid w:val="006B20DD"/>
    <w:rsid w:val="006B25D9"/>
    <w:rsid w:val="006B50D7"/>
    <w:rsid w:val="006B6FB6"/>
    <w:rsid w:val="006C14C4"/>
    <w:rsid w:val="006C1E52"/>
    <w:rsid w:val="006C24BC"/>
    <w:rsid w:val="006C556D"/>
    <w:rsid w:val="006C698C"/>
    <w:rsid w:val="006D1D9F"/>
    <w:rsid w:val="006D1F6F"/>
    <w:rsid w:val="006D7FF9"/>
    <w:rsid w:val="006E315C"/>
    <w:rsid w:val="006E3AB6"/>
    <w:rsid w:val="006E3EE2"/>
    <w:rsid w:val="006E4729"/>
    <w:rsid w:val="006E4B88"/>
    <w:rsid w:val="006E4F7B"/>
    <w:rsid w:val="006F1A41"/>
    <w:rsid w:val="006F1D48"/>
    <w:rsid w:val="006F69E2"/>
    <w:rsid w:val="00700C40"/>
    <w:rsid w:val="00700E19"/>
    <w:rsid w:val="00702541"/>
    <w:rsid w:val="00703231"/>
    <w:rsid w:val="0070426B"/>
    <w:rsid w:val="007108B8"/>
    <w:rsid w:val="007112BF"/>
    <w:rsid w:val="00717BEC"/>
    <w:rsid w:val="00722961"/>
    <w:rsid w:val="00727ED2"/>
    <w:rsid w:val="00737FB7"/>
    <w:rsid w:val="0074015B"/>
    <w:rsid w:val="007404B6"/>
    <w:rsid w:val="007415F8"/>
    <w:rsid w:val="00744394"/>
    <w:rsid w:val="007454D3"/>
    <w:rsid w:val="00745C34"/>
    <w:rsid w:val="00745D4F"/>
    <w:rsid w:val="007514CC"/>
    <w:rsid w:val="007526BE"/>
    <w:rsid w:val="00754D6B"/>
    <w:rsid w:val="00755764"/>
    <w:rsid w:val="00762EC1"/>
    <w:rsid w:val="0077143B"/>
    <w:rsid w:val="00771C26"/>
    <w:rsid w:val="00771F58"/>
    <w:rsid w:val="00774D2A"/>
    <w:rsid w:val="00781BD6"/>
    <w:rsid w:val="007869C4"/>
    <w:rsid w:val="00787E0F"/>
    <w:rsid w:val="00790347"/>
    <w:rsid w:val="00792827"/>
    <w:rsid w:val="00792FF3"/>
    <w:rsid w:val="00796E42"/>
    <w:rsid w:val="00797C65"/>
    <w:rsid w:val="007A0BAD"/>
    <w:rsid w:val="007A21EE"/>
    <w:rsid w:val="007A3A1D"/>
    <w:rsid w:val="007A45FB"/>
    <w:rsid w:val="007A466B"/>
    <w:rsid w:val="007A5503"/>
    <w:rsid w:val="007A6801"/>
    <w:rsid w:val="007B2D01"/>
    <w:rsid w:val="007B37BF"/>
    <w:rsid w:val="007C1E26"/>
    <w:rsid w:val="007C24F0"/>
    <w:rsid w:val="007C40E4"/>
    <w:rsid w:val="007C4741"/>
    <w:rsid w:val="007C5F4A"/>
    <w:rsid w:val="007C63D5"/>
    <w:rsid w:val="007C65F5"/>
    <w:rsid w:val="007D187E"/>
    <w:rsid w:val="007D5E38"/>
    <w:rsid w:val="007E5568"/>
    <w:rsid w:val="007E6551"/>
    <w:rsid w:val="007F11A4"/>
    <w:rsid w:val="007F12BF"/>
    <w:rsid w:val="007F6830"/>
    <w:rsid w:val="00800FCC"/>
    <w:rsid w:val="00801651"/>
    <w:rsid w:val="00803925"/>
    <w:rsid w:val="00804D18"/>
    <w:rsid w:val="00806364"/>
    <w:rsid w:val="00807BA8"/>
    <w:rsid w:val="008160CE"/>
    <w:rsid w:val="008207E0"/>
    <w:rsid w:val="00820991"/>
    <w:rsid w:val="00820CDF"/>
    <w:rsid w:val="008240AE"/>
    <w:rsid w:val="00826DD5"/>
    <w:rsid w:val="008351DD"/>
    <w:rsid w:val="00840BC5"/>
    <w:rsid w:val="00840CCE"/>
    <w:rsid w:val="00845B06"/>
    <w:rsid w:val="00845B71"/>
    <w:rsid w:val="00846CB5"/>
    <w:rsid w:val="0084743C"/>
    <w:rsid w:val="0085558C"/>
    <w:rsid w:val="008556D7"/>
    <w:rsid w:val="008577FA"/>
    <w:rsid w:val="00860F4B"/>
    <w:rsid w:val="00860F62"/>
    <w:rsid w:val="008667B2"/>
    <w:rsid w:val="008703BA"/>
    <w:rsid w:val="008704B6"/>
    <w:rsid w:val="0088264E"/>
    <w:rsid w:val="00884F0B"/>
    <w:rsid w:val="00885596"/>
    <w:rsid w:val="00890D0F"/>
    <w:rsid w:val="00895FEB"/>
    <w:rsid w:val="00897E26"/>
    <w:rsid w:val="008A436A"/>
    <w:rsid w:val="008B3929"/>
    <w:rsid w:val="008B5AB2"/>
    <w:rsid w:val="008C0AE4"/>
    <w:rsid w:val="008C1419"/>
    <w:rsid w:val="008C1573"/>
    <w:rsid w:val="008C2FCA"/>
    <w:rsid w:val="008C3932"/>
    <w:rsid w:val="008C3E88"/>
    <w:rsid w:val="008C7EDD"/>
    <w:rsid w:val="008D14B0"/>
    <w:rsid w:val="008D15CE"/>
    <w:rsid w:val="008D18CD"/>
    <w:rsid w:val="008D2365"/>
    <w:rsid w:val="008D681E"/>
    <w:rsid w:val="008E54BE"/>
    <w:rsid w:val="008E5594"/>
    <w:rsid w:val="008E7136"/>
    <w:rsid w:val="008F178A"/>
    <w:rsid w:val="008F38B9"/>
    <w:rsid w:val="008F49B1"/>
    <w:rsid w:val="009000EB"/>
    <w:rsid w:val="00900834"/>
    <w:rsid w:val="00900F2C"/>
    <w:rsid w:val="009032D1"/>
    <w:rsid w:val="00903EED"/>
    <w:rsid w:val="00905A84"/>
    <w:rsid w:val="00910CC3"/>
    <w:rsid w:val="00910F9E"/>
    <w:rsid w:val="0091253C"/>
    <w:rsid w:val="00914D3A"/>
    <w:rsid w:val="00921B18"/>
    <w:rsid w:val="00923F8B"/>
    <w:rsid w:val="00927BB9"/>
    <w:rsid w:val="009323E3"/>
    <w:rsid w:val="0093343B"/>
    <w:rsid w:val="00933881"/>
    <w:rsid w:val="00937B10"/>
    <w:rsid w:val="009406DB"/>
    <w:rsid w:val="00940E24"/>
    <w:rsid w:val="00943CF2"/>
    <w:rsid w:val="0094446D"/>
    <w:rsid w:val="009453E8"/>
    <w:rsid w:val="00945641"/>
    <w:rsid w:val="00945ED3"/>
    <w:rsid w:val="00946602"/>
    <w:rsid w:val="00946A44"/>
    <w:rsid w:val="009501C2"/>
    <w:rsid w:val="0095094D"/>
    <w:rsid w:val="00951036"/>
    <w:rsid w:val="009578EA"/>
    <w:rsid w:val="00957DEB"/>
    <w:rsid w:val="0096122D"/>
    <w:rsid w:val="00961A4E"/>
    <w:rsid w:val="0096618E"/>
    <w:rsid w:val="00967E0D"/>
    <w:rsid w:val="0097111A"/>
    <w:rsid w:val="009737AC"/>
    <w:rsid w:val="00976917"/>
    <w:rsid w:val="00977A5D"/>
    <w:rsid w:val="0098546E"/>
    <w:rsid w:val="00985B09"/>
    <w:rsid w:val="00986F6B"/>
    <w:rsid w:val="009925E6"/>
    <w:rsid w:val="009A1589"/>
    <w:rsid w:val="009A1794"/>
    <w:rsid w:val="009A46FB"/>
    <w:rsid w:val="009A5B94"/>
    <w:rsid w:val="009A7AAA"/>
    <w:rsid w:val="009B355D"/>
    <w:rsid w:val="009B3991"/>
    <w:rsid w:val="009B5B10"/>
    <w:rsid w:val="009B6420"/>
    <w:rsid w:val="009C2125"/>
    <w:rsid w:val="009C684C"/>
    <w:rsid w:val="009D28BF"/>
    <w:rsid w:val="009D6D40"/>
    <w:rsid w:val="009E1FC9"/>
    <w:rsid w:val="009E295C"/>
    <w:rsid w:val="009E41A1"/>
    <w:rsid w:val="009F19A4"/>
    <w:rsid w:val="009F31EE"/>
    <w:rsid w:val="00A04F7B"/>
    <w:rsid w:val="00A10BD6"/>
    <w:rsid w:val="00A11985"/>
    <w:rsid w:val="00A11DE9"/>
    <w:rsid w:val="00A12295"/>
    <w:rsid w:val="00A148EC"/>
    <w:rsid w:val="00A225C3"/>
    <w:rsid w:val="00A22EE2"/>
    <w:rsid w:val="00A2703D"/>
    <w:rsid w:val="00A31976"/>
    <w:rsid w:val="00A354D5"/>
    <w:rsid w:val="00A35C14"/>
    <w:rsid w:val="00A367E3"/>
    <w:rsid w:val="00A4001C"/>
    <w:rsid w:val="00A429B4"/>
    <w:rsid w:val="00A432BE"/>
    <w:rsid w:val="00A43CDF"/>
    <w:rsid w:val="00A45231"/>
    <w:rsid w:val="00A45305"/>
    <w:rsid w:val="00A45320"/>
    <w:rsid w:val="00A45884"/>
    <w:rsid w:val="00A475E3"/>
    <w:rsid w:val="00A47D4E"/>
    <w:rsid w:val="00A47F18"/>
    <w:rsid w:val="00A547F1"/>
    <w:rsid w:val="00A55079"/>
    <w:rsid w:val="00A61905"/>
    <w:rsid w:val="00A61F67"/>
    <w:rsid w:val="00A643FD"/>
    <w:rsid w:val="00A67582"/>
    <w:rsid w:val="00A71026"/>
    <w:rsid w:val="00A73DC5"/>
    <w:rsid w:val="00A75FBE"/>
    <w:rsid w:val="00A77FF8"/>
    <w:rsid w:val="00A81E7B"/>
    <w:rsid w:val="00A843B6"/>
    <w:rsid w:val="00A85081"/>
    <w:rsid w:val="00A878EE"/>
    <w:rsid w:val="00A92BB7"/>
    <w:rsid w:val="00A957C3"/>
    <w:rsid w:val="00A96B3B"/>
    <w:rsid w:val="00A97374"/>
    <w:rsid w:val="00AA49F3"/>
    <w:rsid w:val="00AA58E8"/>
    <w:rsid w:val="00AA5AAC"/>
    <w:rsid w:val="00AB3165"/>
    <w:rsid w:val="00AB53AA"/>
    <w:rsid w:val="00AC343E"/>
    <w:rsid w:val="00AC6C83"/>
    <w:rsid w:val="00AD1472"/>
    <w:rsid w:val="00AD2AD9"/>
    <w:rsid w:val="00AD3C51"/>
    <w:rsid w:val="00AD3FFE"/>
    <w:rsid w:val="00AD54D7"/>
    <w:rsid w:val="00AD713D"/>
    <w:rsid w:val="00AE1278"/>
    <w:rsid w:val="00AE664E"/>
    <w:rsid w:val="00AF0A7B"/>
    <w:rsid w:val="00AF57D1"/>
    <w:rsid w:val="00AF582B"/>
    <w:rsid w:val="00B02C3B"/>
    <w:rsid w:val="00B03631"/>
    <w:rsid w:val="00B11B12"/>
    <w:rsid w:val="00B1385C"/>
    <w:rsid w:val="00B138E0"/>
    <w:rsid w:val="00B17003"/>
    <w:rsid w:val="00B17E54"/>
    <w:rsid w:val="00B25A0A"/>
    <w:rsid w:val="00B30C81"/>
    <w:rsid w:val="00B30D97"/>
    <w:rsid w:val="00B3245A"/>
    <w:rsid w:val="00B3280E"/>
    <w:rsid w:val="00B32A99"/>
    <w:rsid w:val="00B3398B"/>
    <w:rsid w:val="00B4265A"/>
    <w:rsid w:val="00B47C73"/>
    <w:rsid w:val="00B56E1D"/>
    <w:rsid w:val="00B60B9A"/>
    <w:rsid w:val="00B6156E"/>
    <w:rsid w:val="00B61704"/>
    <w:rsid w:val="00B62086"/>
    <w:rsid w:val="00B6211E"/>
    <w:rsid w:val="00B6589F"/>
    <w:rsid w:val="00B72D97"/>
    <w:rsid w:val="00B734DC"/>
    <w:rsid w:val="00B737EF"/>
    <w:rsid w:val="00B740FA"/>
    <w:rsid w:val="00B750B5"/>
    <w:rsid w:val="00B8069C"/>
    <w:rsid w:val="00B80789"/>
    <w:rsid w:val="00B82035"/>
    <w:rsid w:val="00B83D2F"/>
    <w:rsid w:val="00B86CA3"/>
    <w:rsid w:val="00B91D1D"/>
    <w:rsid w:val="00B93C44"/>
    <w:rsid w:val="00B95292"/>
    <w:rsid w:val="00B95470"/>
    <w:rsid w:val="00B956D6"/>
    <w:rsid w:val="00B96206"/>
    <w:rsid w:val="00BA042A"/>
    <w:rsid w:val="00BA4E78"/>
    <w:rsid w:val="00BA6786"/>
    <w:rsid w:val="00BA6DBA"/>
    <w:rsid w:val="00BB0B1F"/>
    <w:rsid w:val="00BB4319"/>
    <w:rsid w:val="00BC1970"/>
    <w:rsid w:val="00BC2923"/>
    <w:rsid w:val="00BC321E"/>
    <w:rsid w:val="00BC365E"/>
    <w:rsid w:val="00BC479C"/>
    <w:rsid w:val="00BC4A72"/>
    <w:rsid w:val="00BC585C"/>
    <w:rsid w:val="00BC7501"/>
    <w:rsid w:val="00BD225C"/>
    <w:rsid w:val="00BD3866"/>
    <w:rsid w:val="00BD4267"/>
    <w:rsid w:val="00BD4C4C"/>
    <w:rsid w:val="00BD51FB"/>
    <w:rsid w:val="00BD7C84"/>
    <w:rsid w:val="00BE042B"/>
    <w:rsid w:val="00BE2B1A"/>
    <w:rsid w:val="00BE2FEC"/>
    <w:rsid w:val="00BE4A89"/>
    <w:rsid w:val="00BE4D3B"/>
    <w:rsid w:val="00BE5CC0"/>
    <w:rsid w:val="00BE6F89"/>
    <w:rsid w:val="00BF5119"/>
    <w:rsid w:val="00BF6F80"/>
    <w:rsid w:val="00BF736B"/>
    <w:rsid w:val="00C00D2B"/>
    <w:rsid w:val="00C00E72"/>
    <w:rsid w:val="00C06639"/>
    <w:rsid w:val="00C069A4"/>
    <w:rsid w:val="00C11995"/>
    <w:rsid w:val="00C176A2"/>
    <w:rsid w:val="00C176AE"/>
    <w:rsid w:val="00C2062B"/>
    <w:rsid w:val="00C20BB9"/>
    <w:rsid w:val="00C21C04"/>
    <w:rsid w:val="00C251A7"/>
    <w:rsid w:val="00C27AF8"/>
    <w:rsid w:val="00C31B69"/>
    <w:rsid w:val="00C34271"/>
    <w:rsid w:val="00C35350"/>
    <w:rsid w:val="00C35C41"/>
    <w:rsid w:val="00C4081D"/>
    <w:rsid w:val="00C43EA0"/>
    <w:rsid w:val="00C50117"/>
    <w:rsid w:val="00C50B03"/>
    <w:rsid w:val="00C512E3"/>
    <w:rsid w:val="00C51977"/>
    <w:rsid w:val="00C51D0B"/>
    <w:rsid w:val="00C51D68"/>
    <w:rsid w:val="00C554B8"/>
    <w:rsid w:val="00C577DA"/>
    <w:rsid w:val="00C60B01"/>
    <w:rsid w:val="00C615E5"/>
    <w:rsid w:val="00C61E11"/>
    <w:rsid w:val="00C65155"/>
    <w:rsid w:val="00C709D1"/>
    <w:rsid w:val="00C71592"/>
    <w:rsid w:val="00C76279"/>
    <w:rsid w:val="00C77603"/>
    <w:rsid w:val="00C77B14"/>
    <w:rsid w:val="00C82D35"/>
    <w:rsid w:val="00C83AB0"/>
    <w:rsid w:val="00C84C40"/>
    <w:rsid w:val="00C85B9A"/>
    <w:rsid w:val="00C8708A"/>
    <w:rsid w:val="00C916BF"/>
    <w:rsid w:val="00C93EA5"/>
    <w:rsid w:val="00C9459D"/>
    <w:rsid w:val="00CA394E"/>
    <w:rsid w:val="00CA7822"/>
    <w:rsid w:val="00CB0291"/>
    <w:rsid w:val="00CC0D8E"/>
    <w:rsid w:val="00CC0EEA"/>
    <w:rsid w:val="00CC7771"/>
    <w:rsid w:val="00CD0A3C"/>
    <w:rsid w:val="00CD36F8"/>
    <w:rsid w:val="00CD3DD1"/>
    <w:rsid w:val="00CD47B5"/>
    <w:rsid w:val="00CD4F98"/>
    <w:rsid w:val="00CD5036"/>
    <w:rsid w:val="00CD5BC1"/>
    <w:rsid w:val="00CD5D80"/>
    <w:rsid w:val="00CD7AEC"/>
    <w:rsid w:val="00CE2A4A"/>
    <w:rsid w:val="00CE3566"/>
    <w:rsid w:val="00CF0ADA"/>
    <w:rsid w:val="00CF24BF"/>
    <w:rsid w:val="00CF3703"/>
    <w:rsid w:val="00CF4CEF"/>
    <w:rsid w:val="00CF5F7E"/>
    <w:rsid w:val="00CF6D0A"/>
    <w:rsid w:val="00D007E0"/>
    <w:rsid w:val="00D0310F"/>
    <w:rsid w:val="00D07A45"/>
    <w:rsid w:val="00D10ADA"/>
    <w:rsid w:val="00D1534E"/>
    <w:rsid w:val="00D15A09"/>
    <w:rsid w:val="00D15D48"/>
    <w:rsid w:val="00D212D9"/>
    <w:rsid w:val="00D21BF0"/>
    <w:rsid w:val="00D25501"/>
    <w:rsid w:val="00D25A08"/>
    <w:rsid w:val="00D25C91"/>
    <w:rsid w:val="00D334F8"/>
    <w:rsid w:val="00D33B79"/>
    <w:rsid w:val="00D33EB3"/>
    <w:rsid w:val="00D349CF"/>
    <w:rsid w:val="00D3506C"/>
    <w:rsid w:val="00D3617F"/>
    <w:rsid w:val="00D36442"/>
    <w:rsid w:val="00D378C9"/>
    <w:rsid w:val="00D42595"/>
    <w:rsid w:val="00D51F0F"/>
    <w:rsid w:val="00D53599"/>
    <w:rsid w:val="00D60947"/>
    <w:rsid w:val="00D6099A"/>
    <w:rsid w:val="00D60AA2"/>
    <w:rsid w:val="00D656A8"/>
    <w:rsid w:val="00D66D4E"/>
    <w:rsid w:val="00D722F4"/>
    <w:rsid w:val="00D72D9D"/>
    <w:rsid w:val="00D743EC"/>
    <w:rsid w:val="00D745DD"/>
    <w:rsid w:val="00D746DA"/>
    <w:rsid w:val="00D74A27"/>
    <w:rsid w:val="00D90070"/>
    <w:rsid w:val="00D90C62"/>
    <w:rsid w:val="00D91997"/>
    <w:rsid w:val="00D91D28"/>
    <w:rsid w:val="00D92FB3"/>
    <w:rsid w:val="00D94AF1"/>
    <w:rsid w:val="00D95BB4"/>
    <w:rsid w:val="00D95F59"/>
    <w:rsid w:val="00DA4E06"/>
    <w:rsid w:val="00DA6DC0"/>
    <w:rsid w:val="00DB1221"/>
    <w:rsid w:val="00DB1809"/>
    <w:rsid w:val="00DB1C73"/>
    <w:rsid w:val="00DB3C30"/>
    <w:rsid w:val="00DB64B5"/>
    <w:rsid w:val="00DC2155"/>
    <w:rsid w:val="00DC39EB"/>
    <w:rsid w:val="00DC4B30"/>
    <w:rsid w:val="00DC4F5B"/>
    <w:rsid w:val="00DC56B5"/>
    <w:rsid w:val="00DD0097"/>
    <w:rsid w:val="00DD084B"/>
    <w:rsid w:val="00DD0AF3"/>
    <w:rsid w:val="00DD30D0"/>
    <w:rsid w:val="00DD3DE5"/>
    <w:rsid w:val="00DD3DF7"/>
    <w:rsid w:val="00DD7799"/>
    <w:rsid w:val="00DE705C"/>
    <w:rsid w:val="00DF387B"/>
    <w:rsid w:val="00DF5FCD"/>
    <w:rsid w:val="00DF655A"/>
    <w:rsid w:val="00DF77FB"/>
    <w:rsid w:val="00E00049"/>
    <w:rsid w:val="00E00723"/>
    <w:rsid w:val="00E00FAD"/>
    <w:rsid w:val="00E06929"/>
    <w:rsid w:val="00E06C66"/>
    <w:rsid w:val="00E10908"/>
    <w:rsid w:val="00E15224"/>
    <w:rsid w:val="00E1578D"/>
    <w:rsid w:val="00E1793E"/>
    <w:rsid w:val="00E275B6"/>
    <w:rsid w:val="00E315D8"/>
    <w:rsid w:val="00E33292"/>
    <w:rsid w:val="00E35384"/>
    <w:rsid w:val="00E361CF"/>
    <w:rsid w:val="00E367CC"/>
    <w:rsid w:val="00E40AC4"/>
    <w:rsid w:val="00E43F02"/>
    <w:rsid w:val="00E47AB8"/>
    <w:rsid w:val="00E5318A"/>
    <w:rsid w:val="00E558D1"/>
    <w:rsid w:val="00E60D99"/>
    <w:rsid w:val="00E60F76"/>
    <w:rsid w:val="00E623C7"/>
    <w:rsid w:val="00E64550"/>
    <w:rsid w:val="00E66444"/>
    <w:rsid w:val="00E72FBB"/>
    <w:rsid w:val="00E73EC7"/>
    <w:rsid w:val="00E77562"/>
    <w:rsid w:val="00E8137B"/>
    <w:rsid w:val="00E82E37"/>
    <w:rsid w:val="00E83181"/>
    <w:rsid w:val="00E87000"/>
    <w:rsid w:val="00E92478"/>
    <w:rsid w:val="00E92D73"/>
    <w:rsid w:val="00E94AF7"/>
    <w:rsid w:val="00E971DA"/>
    <w:rsid w:val="00E97366"/>
    <w:rsid w:val="00EA117F"/>
    <w:rsid w:val="00EA1BBA"/>
    <w:rsid w:val="00EA273A"/>
    <w:rsid w:val="00EA32EF"/>
    <w:rsid w:val="00EA5FEB"/>
    <w:rsid w:val="00EA7B51"/>
    <w:rsid w:val="00EA7F36"/>
    <w:rsid w:val="00EB59D4"/>
    <w:rsid w:val="00EC01B7"/>
    <w:rsid w:val="00ED0C4F"/>
    <w:rsid w:val="00ED46F5"/>
    <w:rsid w:val="00ED6A99"/>
    <w:rsid w:val="00EE16E8"/>
    <w:rsid w:val="00EE1F4F"/>
    <w:rsid w:val="00EE3388"/>
    <w:rsid w:val="00EE5199"/>
    <w:rsid w:val="00EE6522"/>
    <w:rsid w:val="00EE7B78"/>
    <w:rsid w:val="00EF19E0"/>
    <w:rsid w:val="00EF47FB"/>
    <w:rsid w:val="00EF5286"/>
    <w:rsid w:val="00EF5E96"/>
    <w:rsid w:val="00EF5F4A"/>
    <w:rsid w:val="00F0004A"/>
    <w:rsid w:val="00F02788"/>
    <w:rsid w:val="00F02DC5"/>
    <w:rsid w:val="00F07793"/>
    <w:rsid w:val="00F12370"/>
    <w:rsid w:val="00F13810"/>
    <w:rsid w:val="00F162C3"/>
    <w:rsid w:val="00F16F57"/>
    <w:rsid w:val="00F21925"/>
    <w:rsid w:val="00F24E77"/>
    <w:rsid w:val="00F25D17"/>
    <w:rsid w:val="00F30A89"/>
    <w:rsid w:val="00F31176"/>
    <w:rsid w:val="00F36E52"/>
    <w:rsid w:val="00F4116F"/>
    <w:rsid w:val="00F44253"/>
    <w:rsid w:val="00F51112"/>
    <w:rsid w:val="00F52762"/>
    <w:rsid w:val="00F52884"/>
    <w:rsid w:val="00F54E1D"/>
    <w:rsid w:val="00F55B65"/>
    <w:rsid w:val="00F65DBC"/>
    <w:rsid w:val="00F66FBB"/>
    <w:rsid w:val="00F67881"/>
    <w:rsid w:val="00F726FD"/>
    <w:rsid w:val="00F73A75"/>
    <w:rsid w:val="00F74E1A"/>
    <w:rsid w:val="00F75406"/>
    <w:rsid w:val="00F75659"/>
    <w:rsid w:val="00F7617B"/>
    <w:rsid w:val="00F820BC"/>
    <w:rsid w:val="00F861F5"/>
    <w:rsid w:val="00F90DAB"/>
    <w:rsid w:val="00F9730E"/>
    <w:rsid w:val="00FA05A7"/>
    <w:rsid w:val="00FA2F36"/>
    <w:rsid w:val="00FA546D"/>
    <w:rsid w:val="00FB4815"/>
    <w:rsid w:val="00FC0C51"/>
    <w:rsid w:val="00FC7EB4"/>
    <w:rsid w:val="00FD429A"/>
    <w:rsid w:val="00FD6865"/>
    <w:rsid w:val="00FD72C6"/>
    <w:rsid w:val="00FD78E9"/>
    <w:rsid w:val="00FE3F8F"/>
    <w:rsid w:val="00FF071E"/>
    <w:rsid w:val="00FF34A2"/>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51"/>
  </w:style>
  <w:style w:type="paragraph" w:styleId="Heading1">
    <w:name w:val="heading 1"/>
    <w:basedOn w:val="Normal"/>
    <w:next w:val="Normal"/>
    <w:link w:val="Heading1Char"/>
    <w:uiPriority w:val="9"/>
    <w:qFormat/>
    <w:rsid w:val="006C24BC"/>
    <w:pPr>
      <w:keepNext/>
      <w:keepLines/>
      <w:spacing w:before="480" w:after="240"/>
      <w:outlineLvl w:val="0"/>
    </w:pPr>
    <w:rPr>
      <w:rFonts w:ascii="Arial" w:eastAsiaTheme="majorEastAsia" w:hAnsi="Arial" w:cstheme="majorBidi"/>
      <w:b/>
      <w:color w:val="2F5496" w:themeColor="accent1" w:themeShade="BF"/>
      <w:sz w:val="44"/>
      <w:szCs w:val="32"/>
    </w:rPr>
  </w:style>
  <w:style w:type="paragraph" w:styleId="Heading2">
    <w:name w:val="heading 2"/>
    <w:basedOn w:val="Normal"/>
    <w:link w:val="Heading2Char"/>
    <w:uiPriority w:val="9"/>
    <w:qFormat/>
    <w:rsid w:val="006C24BC"/>
    <w:pPr>
      <w:spacing w:before="100" w:beforeAutospacing="1" w:after="100" w:afterAutospacing="1" w:line="240" w:lineRule="auto"/>
      <w:outlineLvl w:val="1"/>
    </w:pPr>
    <w:rPr>
      <w:rFonts w:ascii="Arial" w:eastAsia="Times New Roman" w:hAnsi="Arial" w:cs="Times New Roman"/>
      <w:b/>
      <w:bCs/>
      <w:color w:val="008080"/>
      <w:sz w:val="32"/>
      <w:szCs w:val="36"/>
      <w:lang w:eastAsia="en-AU"/>
    </w:rPr>
  </w:style>
  <w:style w:type="paragraph" w:styleId="Heading3">
    <w:name w:val="heading 3"/>
    <w:basedOn w:val="Normal"/>
    <w:link w:val="Heading3Char"/>
    <w:uiPriority w:val="9"/>
    <w:qFormat/>
    <w:rsid w:val="006C24BC"/>
    <w:pPr>
      <w:spacing w:before="100" w:beforeAutospacing="1" w:after="100" w:afterAutospacing="1" w:line="240" w:lineRule="auto"/>
      <w:outlineLvl w:val="2"/>
    </w:pPr>
    <w:rPr>
      <w:rFonts w:ascii="Arial" w:eastAsia="Times New Roman" w:hAnsi="Arial" w:cs="Times New Roman"/>
      <w:b/>
      <w:bCs/>
      <w:i/>
      <w:color w:val="008080"/>
      <w:sz w:val="24"/>
      <w:szCs w:val="27"/>
      <w:lang w:eastAsia="en-AU"/>
    </w:rPr>
  </w:style>
  <w:style w:type="paragraph" w:styleId="Heading4">
    <w:name w:val="heading 4"/>
    <w:basedOn w:val="Normal"/>
    <w:next w:val="Normal"/>
    <w:link w:val="Heading4Char"/>
    <w:uiPriority w:val="9"/>
    <w:unhideWhenUsed/>
    <w:qFormat/>
    <w:rsid w:val="00E35384"/>
    <w:pPr>
      <w:keepNext/>
      <w:keepLines/>
      <w:spacing w:before="120" w:after="12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5202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51"/>
  </w:style>
  <w:style w:type="paragraph" w:styleId="Footer">
    <w:name w:val="footer"/>
    <w:basedOn w:val="Normal"/>
    <w:link w:val="FooterChar"/>
    <w:uiPriority w:val="99"/>
    <w:unhideWhenUsed/>
    <w:rsid w:val="002E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51"/>
  </w:style>
  <w:style w:type="table" w:styleId="TableGrid">
    <w:name w:val="Table Grid"/>
    <w:basedOn w:val="TableNormal"/>
    <w:uiPriority w:val="39"/>
    <w:rsid w:val="002E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7F1"/>
    <w:rPr>
      <w:color w:val="0563C1" w:themeColor="hyperlink"/>
      <w:u w:val="single"/>
    </w:rPr>
  </w:style>
  <w:style w:type="character" w:styleId="UnresolvedMention">
    <w:name w:val="Unresolved Mention"/>
    <w:basedOn w:val="DefaultParagraphFont"/>
    <w:uiPriority w:val="99"/>
    <w:semiHidden/>
    <w:unhideWhenUsed/>
    <w:rsid w:val="00A547F1"/>
    <w:rPr>
      <w:color w:val="605E5C"/>
      <w:shd w:val="clear" w:color="auto" w:fill="E1DFDD"/>
    </w:rPr>
  </w:style>
  <w:style w:type="character" w:styleId="CommentReference">
    <w:name w:val="annotation reference"/>
    <w:basedOn w:val="DefaultParagraphFont"/>
    <w:uiPriority w:val="99"/>
    <w:semiHidden/>
    <w:unhideWhenUsed/>
    <w:rsid w:val="00774D2A"/>
    <w:rPr>
      <w:sz w:val="16"/>
      <w:szCs w:val="16"/>
    </w:rPr>
  </w:style>
  <w:style w:type="paragraph" w:styleId="CommentText">
    <w:name w:val="annotation text"/>
    <w:basedOn w:val="Normal"/>
    <w:link w:val="CommentTextChar"/>
    <w:uiPriority w:val="99"/>
    <w:unhideWhenUsed/>
    <w:rsid w:val="00774D2A"/>
    <w:pPr>
      <w:spacing w:line="240" w:lineRule="auto"/>
    </w:pPr>
    <w:rPr>
      <w:sz w:val="20"/>
      <w:szCs w:val="20"/>
    </w:rPr>
  </w:style>
  <w:style w:type="character" w:customStyle="1" w:styleId="CommentTextChar">
    <w:name w:val="Comment Text Char"/>
    <w:basedOn w:val="DefaultParagraphFont"/>
    <w:link w:val="CommentText"/>
    <w:uiPriority w:val="99"/>
    <w:rsid w:val="00774D2A"/>
    <w:rPr>
      <w:sz w:val="20"/>
      <w:szCs w:val="20"/>
    </w:rPr>
  </w:style>
  <w:style w:type="paragraph" w:styleId="CommentSubject">
    <w:name w:val="annotation subject"/>
    <w:basedOn w:val="CommentText"/>
    <w:next w:val="CommentText"/>
    <w:link w:val="CommentSubjectChar"/>
    <w:uiPriority w:val="99"/>
    <w:semiHidden/>
    <w:unhideWhenUsed/>
    <w:rsid w:val="00774D2A"/>
    <w:rPr>
      <w:b/>
      <w:bCs/>
    </w:rPr>
  </w:style>
  <w:style w:type="character" w:customStyle="1" w:styleId="CommentSubjectChar">
    <w:name w:val="Comment Subject Char"/>
    <w:basedOn w:val="CommentTextChar"/>
    <w:link w:val="CommentSubject"/>
    <w:uiPriority w:val="99"/>
    <w:semiHidden/>
    <w:rsid w:val="00774D2A"/>
    <w:rPr>
      <w:b/>
      <w:bCs/>
      <w:sz w:val="20"/>
      <w:szCs w:val="20"/>
    </w:rPr>
  </w:style>
  <w:style w:type="paragraph" w:styleId="Revision">
    <w:name w:val="Revision"/>
    <w:hidden/>
    <w:uiPriority w:val="99"/>
    <w:semiHidden/>
    <w:rsid w:val="00BE2FEC"/>
    <w:pPr>
      <w:spacing w:after="0" w:line="240" w:lineRule="auto"/>
    </w:pPr>
  </w:style>
  <w:style w:type="paragraph" w:styleId="ListParagraph">
    <w:name w:val="List Paragraph"/>
    <w:basedOn w:val="Normal"/>
    <w:uiPriority w:val="34"/>
    <w:qFormat/>
    <w:rsid w:val="006E3AB6"/>
    <w:pPr>
      <w:ind w:left="720"/>
      <w:contextualSpacing/>
    </w:pPr>
  </w:style>
  <w:style w:type="character" w:customStyle="1" w:styleId="Heading2Char">
    <w:name w:val="Heading 2 Char"/>
    <w:basedOn w:val="DefaultParagraphFont"/>
    <w:link w:val="Heading2"/>
    <w:uiPriority w:val="9"/>
    <w:rsid w:val="006C24BC"/>
    <w:rPr>
      <w:rFonts w:ascii="Arial" w:eastAsia="Times New Roman" w:hAnsi="Arial" w:cs="Times New Roman"/>
      <w:b/>
      <w:bCs/>
      <w:color w:val="008080"/>
      <w:sz w:val="32"/>
      <w:szCs w:val="36"/>
      <w:lang w:eastAsia="en-AU"/>
    </w:rPr>
  </w:style>
  <w:style w:type="character" w:customStyle="1" w:styleId="Heading3Char">
    <w:name w:val="Heading 3 Char"/>
    <w:basedOn w:val="DefaultParagraphFont"/>
    <w:link w:val="Heading3"/>
    <w:uiPriority w:val="9"/>
    <w:rsid w:val="006C24BC"/>
    <w:rPr>
      <w:rFonts w:ascii="Arial" w:eastAsia="Times New Roman" w:hAnsi="Arial" w:cs="Times New Roman"/>
      <w:b/>
      <w:bCs/>
      <w:i/>
      <w:color w:val="008080"/>
      <w:sz w:val="24"/>
      <w:szCs w:val="27"/>
      <w:lang w:eastAsia="en-AU"/>
    </w:rPr>
  </w:style>
  <w:style w:type="paragraph" w:styleId="BodyText">
    <w:name w:val="Body Text"/>
    <w:basedOn w:val="Normal"/>
    <w:link w:val="BodyTextChar"/>
    <w:uiPriority w:val="99"/>
    <w:unhideWhenUsed/>
    <w:rsid w:val="007A0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A0BAD"/>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0BAD"/>
    <w:rPr>
      <w:i/>
      <w:iCs/>
    </w:rPr>
  </w:style>
  <w:style w:type="paragraph" w:styleId="NormalWeb">
    <w:name w:val="Normal (Web)"/>
    <w:basedOn w:val="Normal"/>
    <w:uiPriority w:val="99"/>
    <w:semiHidden/>
    <w:unhideWhenUsed/>
    <w:rsid w:val="00197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E973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97366"/>
    <w:rPr>
      <w:rFonts w:ascii="Segoe UI" w:hAnsi="Segoe UI" w:cs="Segoe UI" w:hint="default"/>
      <w:b/>
      <w:bCs/>
      <w:sz w:val="18"/>
      <w:szCs w:val="18"/>
    </w:rPr>
  </w:style>
  <w:style w:type="character" w:customStyle="1" w:styleId="Heading5Char">
    <w:name w:val="Heading 5 Char"/>
    <w:basedOn w:val="DefaultParagraphFont"/>
    <w:link w:val="Heading5"/>
    <w:uiPriority w:val="9"/>
    <w:semiHidden/>
    <w:rsid w:val="005202C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6C24BC"/>
    <w:rPr>
      <w:rFonts w:ascii="Arial" w:eastAsiaTheme="majorEastAsia" w:hAnsi="Arial" w:cstheme="majorBidi"/>
      <w:b/>
      <w:color w:val="2F5496" w:themeColor="accent1" w:themeShade="BF"/>
      <w:sz w:val="44"/>
      <w:szCs w:val="32"/>
    </w:rPr>
  </w:style>
  <w:style w:type="character" w:styleId="EndnoteReference">
    <w:name w:val="endnote reference"/>
    <w:basedOn w:val="DefaultParagraphFont"/>
    <w:uiPriority w:val="99"/>
    <w:semiHidden/>
    <w:unhideWhenUsed/>
    <w:rsid w:val="00FD72C6"/>
    <w:rPr>
      <w:vertAlign w:val="superscript"/>
    </w:rPr>
  </w:style>
  <w:style w:type="character" w:customStyle="1" w:styleId="Heading4Char">
    <w:name w:val="Heading 4 Char"/>
    <w:basedOn w:val="DefaultParagraphFont"/>
    <w:link w:val="Heading4"/>
    <w:uiPriority w:val="9"/>
    <w:rsid w:val="00E35384"/>
    <w:rPr>
      <w:rFonts w:ascii="Arial" w:eastAsiaTheme="majorEastAsia" w:hAnsi="Arial" w:cstheme="majorBidi"/>
      <w:b/>
      <w:iCs/>
    </w:rPr>
  </w:style>
  <w:style w:type="table" w:customStyle="1" w:styleId="TableGrid1">
    <w:name w:val="Table Grid1"/>
    <w:basedOn w:val="TableNormal"/>
    <w:next w:val="TableGrid"/>
    <w:uiPriority w:val="39"/>
    <w:rsid w:val="00544D36"/>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4D3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1FC9"/>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34">
      <w:bodyDiv w:val="1"/>
      <w:marLeft w:val="0"/>
      <w:marRight w:val="0"/>
      <w:marTop w:val="0"/>
      <w:marBottom w:val="0"/>
      <w:divBdr>
        <w:top w:val="none" w:sz="0" w:space="0" w:color="auto"/>
        <w:left w:val="none" w:sz="0" w:space="0" w:color="auto"/>
        <w:bottom w:val="none" w:sz="0" w:space="0" w:color="auto"/>
        <w:right w:val="none" w:sz="0" w:space="0" w:color="auto"/>
      </w:divBdr>
    </w:div>
    <w:div w:id="91433767">
      <w:bodyDiv w:val="1"/>
      <w:marLeft w:val="0"/>
      <w:marRight w:val="0"/>
      <w:marTop w:val="0"/>
      <w:marBottom w:val="0"/>
      <w:divBdr>
        <w:top w:val="none" w:sz="0" w:space="0" w:color="auto"/>
        <w:left w:val="none" w:sz="0" w:space="0" w:color="auto"/>
        <w:bottom w:val="none" w:sz="0" w:space="0" w:color="auto"/>
        <w:right w:val="none" w:sz="0" w:space="0" w:color="auto"/>
      </w:divBdr>
    </w:div>
    <w:div w:id="587036464">
      <w:bodyDiv w:val="1"/>
      <w:marLeft w:val="0"/>
      <w:marRight w:val="0"/>
      <w:marTop w:val="0"/>
      <w:marBottom w:val="0"/>
      <w:divBdr>
        <w:top w:val="none" w:sz="0" w:space="0" w:color="auto"/>
        <w:left w:val="none" w:sz="0" w:space="0" w:color="auto"/>
        <w:bottom w:val="none" w:sz="0" w:space="0" w:color="auto"/>
        <w:right w:val="none" w:sz="0" w:space="0" w:color="auto"/>
      </w:divBdr>
    </w:div>
    <w:div w:id="650643896">
      <w:bodyDiv w:val="1"/>
      <w:marLeft w:val="0"/>
      <w:marRight w:val="0"/>
      <w:marTop w:val="0"/>
      <w:marBottom w:val="0"/>
      <w:divBdr>
        <w:top w:val="none" w:sz="0" w:space="0" w:color="auto"/>
        <w:left w:val="none" w:sz="0" w:space="0" w:color="auto"/>
        <w:bottom w:val="none" w:sz="0" w:space="0" w:color="auto"/>
        <w:right w:val="none" w:sz="0" w:space="0" w:color="auto"/>
      </w:divBdr>
    </w:div>
    <w:div w:id="660082491">
      <w:bodyDiv w:val="1"/>
      <w:marLeft w:val="0"/>
      <w:marRight w:val="0"/>
      <w:marTop w:val="0"/>
      <w:marBottom w:val="0"/>
      <w:divBdr>
        <w:top w:val="none" w:sz="0" w:space="0" w:color="auto"/>
        <w:left w:val="none" w:sz="0" w:space="0" w:color="auto"/>
        <w:bottom w:val="none" w:sz="0" w:space="0" w:color="auto"/>
        <w:right w:val="none" w:sz="0" w:space="0" w:color="auto"/>
      </w:divBdr>
    </w:div>
    <w:div w:id="687831728">
      <w:bodyDiv w:val="1"/>
      <w:marLeft w:val="0"/>
      <w:marRight w:val="0"/>
      <w:marTop w:val="0"/>
      <w:marBottom w:val="0"/>
      <w:divBdr>
        <w:top w:val="none" w:sz="0" w:space="0" w:color="auto"/>
        <w:left w:val="none" w:sz="0" w:space="0" w:color="auto"/>
        <w:bottom w:val="none" w:sz="0" w:space="0" w:color="auto"/>
        <w:right w:val="none" w:sz="0" w:space="0" w:color="auto"/>
      </w:divBdr>
    </w:div>
    <w:div w:id="741760185">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sChild>
        <w:div w:id="1088845461">
          <w:marLeft w:val="547"/>
          <w:marRight w:val="0"/>
          <w:marTop w:val="0"/>
          <w:marBottom w:val="0"/>
          <w:divBdr>
            <w:top w:val="none" w:sz="0" w:space="0" w:color="auto"/>
            <w:left w:val="none" w:sz="0" w:space="0" w:color="auto"/>
            <w:bottom w:val="none" w:sz="0" w:space="0" w:color="auto"/>
            <w:right w:val="none" w:sz="0" w:space="0" w:color="auto"/>
          </w:divBdr>
        </w:div>
        <w:div w:id="444427486">
          <w:marLeft w:val="1267"/>
          <w:marRight w:val="0"/>
          <w:marTop w:val="0"/>
          <w:marBottom w:val="0"/>
          <w:divBdr>
            <w:top w:val="none" w:sz="0" w:space="0" w:color="auto"/>
            <w:left w:val="none" w:sz="0" w:space="0" w:color="auto"/>
            <w:bottom w:val="none" w:sz="0" w:space="0" w:color="auto"/>
            <w:right w:val="none" w:sz="0" w:space="0" w:color="auto"/>
          </w:divBdr>
        </w:div>
        <w:div w:id="1722246116">
          <w:marLeft w:val="1267"/>
          <w:marRight w:val="0"/>
          <w:marTop w:val="0"/>
          <w:marBottom w:val="0"/>
          <w:divBdr>
            <w:top w:val="none" w:sz="0" w:space="0" w:color="auto"/>
            <w:left w:val="none" w:sz="0" w:space="0" w:color="auto"/>
            <w:bottom w:val="none" w:sz="0" w:space="0" w:color="auto"/>
            <w:right w:val="none" w:sz="0" w:space="0" w:color="auto"/>
          </w:divBdr>
        </w:div>
        <w:div w:id="1437209505">
          <w:marLeft w:val="1267"/>
          <w:marRight w:val="0"/>
          <w:marTop w:val="0"/>
          <w:marBottom w:val="0"/>
          <w:divBdr>
            <w:top w:val="none" w:sz="0" w:space="0" w:color="auto"/>
            <w:left w:val="none" w:sz="0" w:space="0" w:color="auto"/>
            <w:bottom w:val="none" w:sz="0" w:space="0" w:color="auto"/>
            <w:right w:val="none" w:sz="0" w:space="0" w:color="auto"/>
          </w:divBdr>
        </w:div>
        <w:div w:id="1040277445">
          <w:marLeft w:val="1267"/>
          <w:marRight w:val="0"/>
          <w:marTop w:val="0"/>
          <w:marBottom w:val="0"/>
          <w:divBdr>
            <w:top w:val="none" w:sz="0" w:space="0" w:color="auto"/>
            <w:left w:val="none" w:sz="0" w:space="0" w:color="auto"/>
            <w:bottom w:val="none" w:sz="0" w:space="0" w:color="auto"/>
            <w:right w:val="none" w:sz="0" w:space="0" w:color="auto"/>
          </w:divBdr>
        </w:div>
      </w:divsChild>
    </w:div>
    <w:div w:id="903640735">
      <w:bodyDiv w:val="1"/>
      <w:marLeft w:val="0"/>
      <w:marRight w:val="0"/>
      <w:marTop w:val="0"/>
      <w:marBottom w:val="0"/>
      <w:divBdr>
        <w:top w:val="none" w:sz="0" w:space="0" w:color="auto"/>
        <w:left w:val="none" w:sz="0" w:space="0" w:color="auto"/>
        <w:bottom w:val="none" w:sz="0" w:space="0" w:color="auto"/>
        <w:right w:val="none" w:sz="0" w:space="0" w:color="auto"/>
      </w:divBdr>
    </w:div>
    <w:div w:id="1014922085">
      <w:bodyDiv w:val="1"/>
      <w:marLeft w:val="0"/>
      <w:marRight w:val="0"/>
      <w:marTop w:val="0"/>
      <w:marBottom w:val="0"/>
      <w:divBdr>
        <w:top w:val="none" w:sz="0" w:space="0" w:color="auto"/>
        <w:left w:val="none" w:sz="0" w:space="0" w:color="auto"/>
        <w:bottom w:val="none" w:sz="0" w:space="0" w:color="auto"/>
        <w:right w:val="none" w:sz="0" w:space="0" w:color="auto"/>
      </w:divBdr>
    </w:div>
    <w:div w:id="1031078771">
      <w:bodyDiv w:val="1"/>
      <w:marLeft w:val="0"/>
      <w:marRight w:val="0"/>
      <w:marTop w:val="0"/>
      <w:marBottom w:val="0"/>
      <w:divBdr>
        <w:top w:val="none" w:sz="0" w:space="0" w:color="auto"/>
        <w:left w:val="none" w:sz="0" w:space="0" w:color="auto"/>
        <w:bottom w:val="none" w:sz="0" w:space="0" w:color="auto"/>
        <w:right w:val="none" w:sz="0" w:space="0" w:color="auto"/>
      </w:divBdr>
    </w:div>
    <w:div w:id="1088773535">
      <w:bodyDiv w:val="1"/>
      <w:marLeft w:val="0"/>
      <w:marRight w:val="0"/>
      <w:marTop w:val="0"/>
      <w:marBottom w:val="0"/>
      <w:divBdr>
        <w:top w:val="none" w:sz="0" w:space="0" w:color="auto"/>
        <w:left w:val="none" w:sz="0" w:space="0" w:color="auto"/>
        <w:bottom w:val="none" w:sz="0" w:space="0" w:color="auto"/>
        <w:right w:val="none" w:sz="0" w:space="0" w:color="auto"/>
      </w:divBdr>
    </w:div>
    <w:div w:id="1321421990">
      <w:bodyDiv w:val="1"/>
      <w:marLeft w:val="0"/>
      <w:marRight w:val="0"/>
      <w:marTop w:val="0"/>
      <w:marBottom w:val="0"/>
      <w:divBdr>
        <w:top w:val="none" w:sz="0" w:space="0" w:color="auto"/>
        <w:left w:val="none" w:sz="0" w:space="0" w:color="auto"/>
        <w:bottom w:val="none" w:sz="0" w:space="0" w:color="auto"/>
        <w:right w:val="none" w:sz="0" w:space="0" w:color="auto"/>
      </w:divBdr>
    </w:div>
    <w:div w:id="1386375591">
      <w:bodyDiv w:val="1"/>
      <w:marLeft w:val="0"/>
      <w:marRight w:val="0"/>
      <w:marTop w:val="0"/>
      <w:marBottom w:val="0"/>
      <w:divBdr>
        <w:top w:val="none" w:sz="0" w:space="0" w:color="auto"/>
        <w:left w:val="none" w:sz="0" w:space="0" w:color="auto"/>
        <w:bottom w:val="none" w:sz="0" w:space="0" w:color="auto"/>
        <w:right w:val="none" w:sz="0" w:space="0" w:color="auto"/>
      </w:divBdr>
    </w:div>
    <w:div w:id="1684866577">
      <w:bodyDiv w:val="1"/>
      <w:marLeft w:val="0"/>
      <w:marRight w:val="0"/>
      <w:marTop w:val="0"/>
      <w:marBottom w:val="0"/>
      <w:divBdr>
        <w:top w:val="none" w:sz="0" w:space="0" w:color="auto"/>
        <w:left w:val="none" w:sz="0" w:space="0" w:color="auto"/>
        <w:bottom w:val="none" w:sz="0" w:space="0" w:color="auto"/>
        <w:right w:val="none" w:sz="0" w:space="0" w:color="auto"/>
      </w:divBdr>
    </w:div>
    <w:div w:id="1734233947">
      <w:bodyDiv w:val="1"/>
      <w:marLeft w:val="0"/>
      <w:marRight w:val="0"/>
      <w:marTop w:val="0"/>
      <w:marBottom w:val="0"/>
      <w:divBdr>
        <w:top w:val="none" w:sz="0" w:space="0" w:color="auto"/>
        <w:left w:val="none" w:sz="0" w:space="0" w:color="auto"/>
        <w:bottom w:val="none" w:sz="0" w:space="0" w:color="auto"/>
        <w:right w:val="none" w:sz="0" w:space="0" w:color="auto"/>
      </w:divBdr>
      <w:divsChild>
        <w:div w:id="1336031652">
          <w:marLeft w:val="360"/>
          <w:marRight w:val="0"/>
          <w:marTop w:val="200"/>
          <w:marBottom w:val="0"/>
          <w:divBdr>
            <w:top w:val="none" w:sz="0" w:space="0" w:color="auto"/>
            <w:left w:val="none" w:sz="0" w:space="0" w:color="auto"/>
            <w:bottom w:val="none" w:sz="0" w:space="0" w:color="auto"/>
            <w:right w:val="none" w:sz="0" w:space="0" w:color="auto"/>
          </w:divBdr>
        </w:div>
      </w:divsChild>
    </w:div>
    <w:div w:id="1916546008">
      <w:bodyDiv w:val="1"/>
      <w:marLeft w:val="0"/>
      <w:marRight w:val="0"/>
      <w:marTop w:val="0"/>
      <w:marBottom w:val="0"/>
      <w:divBdr>
        <w:top w:val="none" w:sz="0" w:space="0" w:color="auto"/>
        <w:left w:val="none" w:sz="0" w:space="0" w:color="auto"/>
        <w:bottom w:val="none" w:sz="0" w:space="0" w:color="auto"/>
        <w:right w:val="none" w:sz="0" w:space="0" w:color="auto"/>
      </w:divBdr>
    </w:div>
    <w:div w:id="192788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3" Type="http://schemas.openxmlformats.org/officeDocument/2006/relationships/settings" Target="settings.xml"/><Relationship Id="rId7" Type="http://schemas.openxmlformats.org/officeDocument/2006/relationships/hyperlink" Target="https://www.pbs.gov.au/info/industry/listing/elements/pbac-meetings/pbac-outcomes/recommendations-made-by-the-pbac-september-2024-intracycle-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11118</Characters>
  <Application>Microsoft Office Word</Application>
  <DocSecurity>0</DocSecurity>
  <Lines>444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2024-10-22T23:54:00Z</dcterms:created>
  <dcterms:modified xsi:type="dcterms:W3CDTF">2024-10-24T22:08:00Z</dcterms:modified>
</cp:coreProperties>
</file>