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8729" w14:textId="77777777" w:rsidR="008428E1" w:rsidRDefault="008428E1" w:rsidP="002E61EB">
      <w:pPr>
        <w:spacing w:after="240"/>
        <w:jc w:val="center"/>
        <w:rPr>
          <w:b/>
          <w:sz w:val="52"/>
          <w:szCs w:val="52"/>
        </w:rPr>
      </w:pPr>
    </w:p>
    <w:p w14:paraId="49E8D4F4" w14:textId="77777777" w:rsidR="008428E1" w:rsidRDefault="008428E1" w:rsidP="002E61EB">
      <w:pPr>
        <w:spacing w:after="240"/>
        <w:jc w:val="center"/>
        <w:rPr>
          <w:b/>
          <w:sz w:val="52"/>
          <w:szCs w:val="52"/>
        </w:rPr>
      </w:pPr>
    </w:p>
    <w:p w14:paraId="0A78DDD9" w14:textId="77777777" w:rsidR="008428E1" w:rsidRDefault="008428E1" w:rsidP="002E61EB">
      <w:pPr>
        <w:spacing w:after="240"/>
        <w:jc w:val="center"/>
        <w:rPr>
          <w:b/>
          <w:sz w:val="52"/>
          <w:szCs w:val="52"/>
        </w:rPr>
      </w:pPr>
    </w:p>
    <w:p w14:paraId="295F2240" w14:textId="77777777" w:rsidR="008428E1" w:rsidRDefault="008428E1" w:rsidP="002E61EB">
      <w:pPr>
        <w:spacing w:after="240"/>
        <w:jc w:val="center"/>
        <w:rPr>
          <w:b/>
          <w:sz w:val="52"/>
          <w:szCs w:val="52"/>
        </w:rPr>
      </w:pPr>
    </w:p>
    <w:p w14:paraId="35D06B2E" w14:textId="145520A2" w:rsidR="002E61EB" w:rsidRPr="00FE1642" w:rsidRDefault="002E61EB" w:rsidP="0020557E">
      <w:pPr>
        <w:spacing w:after="240"/>
        <w:jc w:val="center"/>
        <w:rPr>
          <w:b/>
          <w:sz w:val="52"/>
          <w:szCs w:val="52"/>
        </w:rPr>
      </w:pPr>
      <w:bookmarkStart w:id="0" w:name="_Hlk108003564"/>
      <w:r w:rsidRPr="00FE1642">
        <w:rPr>
          <w:b/>
          <w:sz w:val="52"/>
          <w:szCs w:val="52"/>
        </w:rPr>
        <w:t>Pharmaceutical Benefits Scheme</w:t>
      </w:r>
    </w:p>
    <w:p w14:paraId="17AC9217" w14:textId="77777777" w:rsidR="002E61EB" w:rsidRPr="00FE1642" w:rsidRDefault="002E61EB" w:rsidP="002E61EB">
      <w:pPr>
        <w:spacing w:before="480" w:after="240"/>
        <w:jc w:val="center"/>
        <w:rPr>
          <w:b/>
          <w:sz w:val="40"/>
          <w:szCs w:val="40"/>
        </w:rPr>
      </w:pPr>
      <w:r w:rsidRPr="00FE1642">
        <w:rPr>
          <w:b/>
          <w:sz w:val="40"/>
          <w:szCs w:val="40"/>
        </w:rPr>
        <w:t>Post-market Review</w:t>
      </w:r>
    </w:p>
    <w:p w14:paraId="646AB049" w14:textId="6AE07E3F" w:rsidR="00C56D46" w:rsidRPr="00C820C1" w:rsidRDefault="00C56D46" w:rsidP="00C56D46">
      <w:pPr>
        <w:spacing w:before="480" w:after="240"/>
        <w:jc w:val="center"/>
        <w:rPr>
          <w:b/>
          <w:color w:val="365F91" w:themeColor="accent1" w:themeShade="BF"/>
          <w:sz w:val="32"/>
          <w:szCs w:val="32"/>
        </w:rPr>
      </w:pPr>
      <w:r w:rsidRPr="00C820C1">
        <w:rPr>
          <w:b/>
          <w:color w:val="365F91" w:themeColor="accent1" w:themeShade="BF"/>
          <w:sz w:val="32"/>
          <w:szCs w:val="32"/>
        </w:rPr>
        <w:t xml:space="preserve">Post-market Review of </w:t>
      </w:r>
      <w:r w:rsidR="0020557E">
        <w:rPr>
          <w:b/>
          <w:color w:val="365F91" w:themeColor="accent1" w:themeShade="BF"/>
          <w:sz w:val="32"/>
          <w:szCs w:val="32"/>
        </w:rPr>
        <w:t>m</w:t>
      </w:r>
      <w:r w:rsidRPr="00C820C1">
        <w:rPr>
          <w:b/>
          <w:color w:val="365F91" w:themeColor="accent1" w:themeShade="BF"/>
          <w:sz w:val="32"/>
          <w:szCs w:val="32"/>
        </w:rPr>
        <w:t>edicines</w:t>
      </w:r>
      <w:r>
        <w:rPr>
          <w:b/>
          <w:color w:val="365F91" w:themeColor="accent1" w:themeShade="BF"/>
          <w:sz w:val="32"/>
          <w:szCs w:val="32"/>
        </w:rPr>
        <w:t xml:space="preserve"> </w:t>
      </w:r>
      <w:r w:rsidRPr="00C820C1">
        <w:rPr>
          <w:b/>
          <w:color w:val="365F91" w:themeColor="accent1" w:themeShade="BF"/>
          <w:sz w:val="32"/>
          <w:szCs w:val="32"/>
        </w:rPr>
        <w:t xml:space="preserve">for </w:t>
      </w:r>
      <w:r w:rsidR="0020557E">
        <w:rPr>
          <w:b/>
          <w:color w:val="365F91" w:themeColor="accent1" w:themeShade="BF"/>
          <w:sz w:val="32"/>
          <w:szCs w:val="32"/>
        </w:rPr>
        <w:t>s</w:t>
      </w:r>
      <w:r w:rsidRPr="00C820C1">
        <w:rPr>
          <w:b/>
          <w:color w:val="365F91" w:themeColor="accent1" w:themeShade="BF"/>
          <w:sz w:val="32"/>
          <w:szCs w:val="32"/>
        </w:rPr>
        <w:t xml:space="preserve">moking </w:t>
      </w:r>
      <w:r w:rsidR="0020557E">
        <w:rPr>
          <w:b/>
          <w:color w:val="365F91" w:themeColor="accent1" w:themeShade="BF"/>
          <w:sz w:val="32"/>
          <w:szCs w:val="32"/>
        </w:rPr>
        <w:t>c</w:t>
      </w:r>
      <w:r w:rsidRPr="00C820C1">
        <w:rPr>
          <w:b/>
          <w:color w:val="365F91" w:themeColor="accent1" w:themeShade="BF"/>
          <w:sz w:val="32"/>
          <w:szCs w:val="32"/>
        </w:rPr>
        <w:t xml:space="preserve">essation </w:t>
      </w:r>
    </w:p>
    <w:p w14:paraId="7309C685" w14:textId="77777777" w:rsidR="00BA01FC" w:rsidRDefault="00BA01FC" w:rsidP="002E61EB">
      <w:pPr>
        <w:spacing w:before="240"/>
        <w:jc w:val="center"/>
        <w:rPr>
          <w:b/>
          <w:i/>
          <w:color w:val="365F91" w:themeColor="accent1" w:themeShade="BF"/>
          <w:sz w:val="28"/>
          <w:szCs w:val="28"/>
        </w:rPr>
      </w:pPr>
    </w:p>
    <w:p w14:paraId="41CB104F" w14:textId="5911DA58" w:rsidR="002E61EB" w:rsidRPr="00FE1642" w:rsidRDefault="001B02B7" w:rsidP="002E61EB">
      <w:pPr>
        <w:spacing w:before="240"/>
        <w:jc w:val="center"/>
        <w:rPr>
          <w:b/>
          <w:i/>
          <w:color w:val="365F91" w:themeColor="accent1" w:themeShade="BF"/>
          <w:sz w:val="28"/>
          <w:szCs w:val="28"/>
        </w:rPr>
      </w:pPr>
      <w:r>
        <w:rPr>
          <w:b/>
          <w:i/>
          <w:color w:val="365F91" w:themeColor="accent1" w:themeShade="BF"/>
          <w:sz w:val="28"/>
          <w:szCs w:val="28"/>
        </w:rPr>
        <w:t>R</w:t>
      </w:r>
      <w:r w:rsidR="002E61EB" w:rsidRPr="00FE1642">
        <w:rPr>
          <w:b/>
          <w:i/>
          <w:color w:val="365F91" w:themeColor="accent1" w:themeShade="BF"/>
          <w:sz w:val="28"/>
          <w:szCs w:val="28"/>
        </w:rPr>
        <w:t xml:space="preserve">eport to </w:t>
      </w:r>
      <w:r w:rsidR="0020557E">
        <w:rPr>
          <w:b/>
          <w:i/>
          <w:color w:val="365F91" w:themeColor="accent1" w:themeShade="BF"/>
          <w:sz w:val="28"/>
          <w:szCs w:val="28"/>
        </w:rPr>
        <w:t xml:space="preserve">the </w:t>
      </w:r>
      <w:r w:rsidR="002E61EB" w:rsidRPr="00FE1642">
        <w:rPr>
          <w:b/>
          <w:i/>
          <w:color w:val="365F91" w:themeColor="accent1" w:themeShade="BF"/>
          <w:sz w:val="28"/>
          <w:szCs w:val="28"/>
        </w:rPr>
        <w:t>PBAC</w:t>
      </w:r>
    </w:p>
    <w:p w14:paraId="33E9FEC0" w14:textId="77777777" w:rsidR="00BA01FC" w:rsidRDefault="00BA01FC" w:rsidP="00BA01FC">
      <w:pPr>
        <w:spacing w:before="240"/>
        <w:rPr>
          <w:b/>
          <w:i/>
          <w:color w:val="365F91" w:themeColor="accent1" w:themeShade="BF"/>
          <w:sz w:val="28"/>
          <w:szCs w:val="28"/>
        </w:rPr>
      </w:pPr>
    </w:p>
    <w:p w14:paraId="64B84A4B" w14:textId="31D42DB3" w:rsidR="008428E1" w:rsidRDefault="000F482F" w:rsidP="008428E1">
      <w:pPr>
        <w:spacing w:before="240"/>
        <w:jc w:val="center"/>
        <w:rPr>
          <w:b/>
          <w:i/>
          <w:color w:val="365F91" w:themeColor="accent1" w:themeShade="BF"/>
          <w:sz w:val="28"/>
          <w:szCs w:val="28"/>
        </w:rPr>
      </w:pPr>
      <w:r>
        <w:rPr>
          <w:b/>
          <w:i/>
          <w:color w:val="365F91" w:themeColor="accent1" w:themeShade="BF"/>
          <w:sz w:val="28"/>
          <w:szCs w:val="28"/>
        </w:rPr>
        <w:t xml:space="preserve">Report </w:t>
      </w:r>
      <w:r w:rsidR="009D5758">
        <w:rPr>
          <w:b/>
          <w:i/>
          <w:color w:val="365F91" w:themeColor="accent1" w:themeShade="BF"/>
          <w:sz w:val="28"/>
          <w:szCs w:val="28"/>
        </w:rPr>
        <w:t>s</w:t>
      </w:r>
      <w:r w:rsidR="002E61EB" w:rsidRPr="00FE1642">
        <w:rPr>
          <w:b/>
          <w:i/>
          <w:color w:val="365F91" w:themeColor="accent1" w:themeShade="BF"/>
          <w:sz w:val="28"/>
          <w:szCs w:val="28"/>
        </w:rPr>
        <w:t>ummary</w:t>
      </w:r>
      <w:r>
        <w:rPr>
          <w:b/>
          <w:i/>
          <w:color w:val="365F91" w:themeColor="accent1" w:themeShade="BF"/>
          <w:sz w:val="28"/>
          <w:szCs w:val="28"/>
        </w:rPr>
        <w:t xml:space="preserve"> and </w:t>
      </w:r>
      <w:r w:rsidR="00E625FF">
        <w:rPr>
          <w:b/>
          <w:i/>
          <w:color w:val="365F91" w:themeColor="accent1" w:themeShade="BF"/>
          <w:sz w:val="28"/>
          <w:szCs w:val="28"/>
        </w:rPr>
        <w:t>‘</w:t>
      </w:r>
      <w:r w:rsidR="009D5758">
        <w:rPr>
          <w:b/>
          <w:i/>
          <w:color w:val="365F91" w:themeColor="accent1" w:themeShade="BF"/>
          <w:sz w:val="28"/>
          <w:szCs w:val="28"/>
        </w:rPr>
        <w:t>o</w:t>
      </w:r>
      <w:r>
        <w:rPr>
          <w:b/>
          <w:i/>
          <w:color w:val="365F91" w:themeColor="accent1" w:themeShade="BF"/>
          <w:sz w:val="28"/>
          <w:szCs w:val="28"/>
        </w:rPr>
        <w:t>ptions</w:t>
      </w:r>
      <w:r w:rsidR="00E625FF">
        <w:rPr>
          <w:b/>
          <w:i/>
          <w:color w:val="365F91" w:themeColor="accent1" w:themeShade="BF"/>
          <w:sz w:val="28"/>
          <w:szCs w:val="28"/>
        </w:rPr>
        <w:t>’</w:t>
      </w:r>
      <w:r>
        <w:rPr>
          <w:b/>
          <w:i/>
          <w:color w:val="365F91" w:themeColor="accent1" w:themeShade="BF"/>
          <w:sz w:val="28"/>
          <w:szCs w:val="28"/>
        </w:rPr>
        <w:t xml:space="preserve"> for PBAC consideration</w:t>
      </w:r>
    </w:p>
    <w:bookmarkEnd w:id="0"/>
    <w:p w14:paraId="216337B8" w14:textId="3AA5B174" w:rsidR="00C625C0" w:rsidRPr="008428E1" w:rsidRDefault="008428E1" w:rsidP="008428E1">
      <w:pPr>
        <w:spacing w:line="276" w:lineRule="auto"/>
        <w:rPr>
          <w:b/>
          <w:i/>
          <w:color w:val="365F91" w:themeColor="accent1" w:themeShade="BF"/>
          <w:sz w:val="28"/>
          <w:szCs w:val="28"/>
        </w:rPr>
      </w:pPr>
      <w:r>
        <w:rPr>
          <w:b/>
          <w:i/>
          <w:color w:val="365F91" w:themeColor="accent1" w:themeShade="BF"/>
          <w:sz w:val="28"/>
          <w:szCs w:val="28"/>
        </w:rPr>
        <w:br w:type="page"/>
      </w:r>
    </w:p>
    <w:sdt>
      <w:sdtPr>
        <w:rPr>
          <w:rFonts w:eastAsiaTheme="minorHAnsi" w:cstheme="minorHAnsi"/>
          <w:b w:val="0"/>
          <w:bCs w:val="0"/>
          <w:color w:val="auto"/>
          <w:sz w:val="24"/>
          <w:szCs w:val="22"/>
          <w:lang w:val="en-AU" w:eastAsia="en-AU"/>
        </w:rPr>
        <w:id w:val="-250509964"/>
        <w:docPartObj>
          <w:docPartGallery w:val="Table of Contents"/>
          <w:docPartUnique/>
        </w:docPartObj>
      </w:sdtPr>
      <w:sdtEndPr>
        <w:rPr>
          <w:noProof/>
        </w:rPr>
      </w:sdtEndPr>
      <w:sdtContent>
        <w:p w14:paraId="6E5EAE60" w14:textId="753C5C3D" w:rsidR="005F16EA" w:rsidRDefault="005F16EA" w:rsidP="00102F4E">
          <w:pPr>
            <w:pStyle w:val="TOCHeading"/>
          </w:pPr>
          <w:r>
            <w:t>Contents</w:t>
          </w:r>
        </w:p>
        <w:p w14:paraId="6EC5404C" w14:textId="1831AFA2" w:rsidR="00A14CEE" w:rsidRDefault="005F16EA">
          <w:pPr>
            <w:pStyle w:val="TOC1"/>
            <w:rPr>
              <w:rFonts w:eastAsiaTheme="minorEastAsia" w:cstheme="minorBidi"/>
              <w:noProof/>
              <w:sz w:val="22"/>
            </w:rPr>
          </w:pPr>
          <w:r>
            <w:fldChar w:fldCharType="begin"/>
          </w:r>
          <w:r>
            <w:instrText xml:space="preserve"> TOC \o "1-3" \h \z \u </w:instrText>
          </w:r>
          <w:r>
            <w:fldChar w:fldCharType="separate"/>
          </w:r>
          <w:hyperlink w:anchor="_Toc111710667" w:history="1">
            <w:r w:rsidR="00A14CEE" w:rsidRPr="00260574">
              <w:rPr>
                <w:rStyle w:val="Hyperlink"/>
                <w:noProof/>
              </w:rPr>
              <w:t>Abbreviations</w:t>
            </w:r>
            <w:r w:rsidR="00A14CEE">
              <w:rPr>
                <w:noProof/>
                <w:webHidden/>
              </w:rPr>
              <w:tab/>
            </w:r>
            <w:r w:rsidR="00A14CEE">
              <w:rPr>
                <w:noProof/>
                <w:webHidden/>
              </w:rPr>
              <w:fldChar w:fldCharType="begin"/>
            </w:r>
            <w:r w:rsidR="00A14CEE">
              <w:rPr>
                <w:noProof/>
                <w:webHidden/>
              </w:rPr>
              <w:instrText xml:space="preserve"> PAGEREF _Toc111710667 \h </w:instrText>
            </w:r>
            <w:r w:rsidR="00A14CEE">
              <w:rPr>
                <w:noProof/>
                <w:webHidden/>
              </w:rPr>
            </w:r>
            <w:r w:rsidR="00A14CEE">
              <w:rPr>
                <w:noProof/>
                <w:webHidden/>
              </w:rPr>
              <w:fldChar w:fldCharType="separate"/>
            </w:r>
            <w:r w:rsidR="001037FB">
              <w:rPr>
                <w:noProof/>
                <w:webHidden/>
              </w:rPr>
              <w:t>4</w:t>
            </w:r>
            <w:r w:rsidR="00A14CEE">
              <w:rPr>
                <w:noProof/>
                <w:webHidden/>
              </w:rPr>
              <w:fldChar w:fldCharType="end"/>
            </w:r>
          </w:hyperlink>
        </w:p>
        <w:p w14:paraId="2040A457" w14:textId="342A006D" w:rsidR="00A14CEE" w:rsidRDefault="00CB639E">
          <w:pPr>
            <w:pStyle w:val="TOC1"/>
            <w:rPr>
              <w:rFonts w:eastAsiaTheme="minorEastAsia" w:cstheme="minorBidi"/>
              <w:noProof/>
              <w:sz w:val="22"/>
            </w:rPr>
          </w:pPr>
          <w:hyperlink w:anchor="_Toc111710668" w:history="1">
            <w:r w:rsidR="00A14CEE" w:rsidRPr="00260574">
              <w:rPr>
                <w:rStyle w:val="Hyperlink"/>
                <w:noProof/>
              </w:rPr>
              <w:t>Acknowledgements</w:t>
            </w:r>
            <w:r w:rsidR="00A14CEE">
              <w:rPr>
                <w:noProof/>
                <w:webHidden/>
              </w:rPr>
              <w:tab/>
            </w:r>
            <w:r w:rsidR="00A14CEE">
              <w:rPr>
                <w:noProof/>
                <w:webHidden/>
              </w:rPr>
              <w:fldChar w:fldCharType="begin"/>
            </w:r>
            <w:r w:rsidR="00A14CEE">
              <w:rPr>
                <w:noProof/>
                <w:webHidden/>
              </w:rPr>
              <w:instrText xml:space="preserve"> PAGEREF _Toc111710668 \h </w:instrText>
            </w:r>
            <w:r w:rsidR="00A14CEE">
              <w:rPr>
                <w:noProof/>
                <w:webHidden/>
              </w:rPr>
            </w:r>
            <w:r w:rsidR="00A14CEE">
              <w:rPr>
                <w:noProof/>
                <w:webHidden/>
              </w:rPr>
              <w:fldChar w:fldCharType="separate"/>
            </w:r>
            <w:r w:rsidR="001037FB">
              <w:rPr>
                <w:noProof/>
                <w:webHidden/>
              </w:rPr>
              <w:t>5</w:t>
            </w:r>
            <w:r w:rsidR="00A14CEE">
              <w:rPr>
                <w:noProof/>
                <w:webHidden/>
              </w:rPr>
              <w:fldChar w:fldCharType="end"/>
            </w:r>
          </w:hyperlink>
        </w:p>
        <w:p w14:paraId="6AED537A" w14:textId="3DCBCE78" w:rsidR="00A14CEE" w:rsidRDefault="00CB639E">
          <w:pPr>
            <w:pStyle w:val="TOC1"/>
            <w:rPr>
              <w:rFonts w:eastAsiaTheme="minorEastAsia" w:cstheme="minorBidi"/>
              <w:noProof/>
              <w:sz w:val="22"/>
            </w:rPr>
          </w:pPr>
          <w:hyperlink w:anchor="_Toc111710669" w:history="1">
            <w:r w:rsidR="00A14CEE" w:rsidRPr="00260574">
              <w:rPr>
                <w:rStyle w:val="Hyperlink"/>
                <w:noProof/>
              </w:rPr>
              <w:t>Report summary</w:t>
            </w:r>
            <w:r w:rsidR="00A14CEE">
              <w:rPr>
                <w:noProof/>
                <w:webHidden/>
              </w:rPr>
              <w:tab/>
            </w:r>
            <w:r w:rsidR="00A14CEE">
              <w:rPr>
                <w:noProof/>
                <w:webHidden/>
              </w:rPr>
              <w:fldChar w:fldCharType="begin"/>
            </w:r>
            <w:r w:rsidR="00A14CEE">
              <w:rPr>
                <w:noProof/>
                <w:webHidden/>
              </w:rPr>
              <w:instrText xml:space="preserve"> PAGEREF _Toc111710669 \h </w:instrText>
            </w:r>
            <w:r w:rsidR="00A14CEE">
              <w:rPr>
                <w:noProof/>
                <w:webHidden/>
              </w:rPr>
            </w:r>
            <w:r w:rsidR="00A14CEE">
              <w:rPr>
                <w:noProof/>
                <w:webHidden/>
              </w:rPr>
              <w:fldChar w:fldCharType="separate"/>
            </w:r>
            <w:r w:rsidR="001037FB">
              <w:rPr>
                <w:noProof/>
                <w:webHidden/>
              </w:rPr>
              <w:t>6</w:t>
            </w:r>
            <w:r w:rsidR="00A14CEE">
              <w:rPr>
                <w:noProof/>
                <w:webHidden/>
              </w:rPr>
              <w:fldChar w:fldCharType="end"/>
            </w:r>
          </w:hyperlink>
        </w:p>
        <w:p w14:paraId="2DA8602A" w14:textId="341874E1" w:rsidR="00A14CEE" w:rsidRDefault="00CB639E" w:rsidP="00B8748C">
          <w:pPr>
            <w:pStyle w:val="TOC2"/>
            <w:rPr>
              <w:rFonts w:eastAsiaTheme="minorEastAsia" w:cstheme="minorBidi"/>
              <w:noProof/>
              <w:sz w:val="22"/>
            </w:rPr>
          </w:pPr>
          <w:hyperlink w:anchor="_Toc111710670" w:history="1">
            <w:r w:rsidR="00A14CEE" w:rsidRPr="00260574">
              <w:rPr>
                <w:rStyle w:val="Hyperlink"/>
                <w:noProof/>
              </w:rPr>
              <w:t>Background and context</w:t>
            </w:r>
            <w:r w:rsidR="00A14CEE">
              <w:rPr>
                <w:noProof/>
                <w:webHidden/>
              </w:rPr>
              <w:tab/>
            </w:r>
            <w:r w:rsidR="00A14CEE">
              <w:rPr>
                <w:noProof/>
                <w:webHidden/>
              </w:rPr>
              <w:fldChar w:fldCharType="begin"/>
            </w:r>
            <w:r w:rsidR="00A14CEE">
              <w:rPr>
                <w:noProof/>
                <w:webHidden/>
              </w:rPr>
              <w:instrText xml:space="preserve"> PAGEREF _Toc111710670 \h </w:instrText>
            </w:r>
            <w:r w:rsidR="00A14CEE">
              <w:rPr>
                <w:noProof/>
                <w:webHidden/>
              </w:rPr>
            </w:r>
            <w:r w:rsidR="00A14CEE">
              <w:rPr>
                <w:noProof/>
                <w:webHidden/>
              </w:rPr>
              <w:fldChar w:fldCharType="separate"/>
            </w:r>
            <w:r w:rsidR="001037FB">
              <w:rPr>
                <w:noProof/>
                <w:webHidden/>
              </w:rPr>
              <w:t>6</w:t>
            </w:r>
            <w:r w:rsidR="00A14CEE">
              <w:rPr>
                <w:noProof/>
                <w:webHidden/>
              </w:rPr>
              <w:fldChar w:fldCharType="end"/>
            </w:r>
          </w:hyperlink>
        </w:p>
        <w:p w14:paraId="2F7DF404" w14:textId="662E37A4" w:rsidR="00A14CEE" w:rsidRDefault="00CB639E" w:rsidP="00B8748C">
          <w:pPr>
            <w:pStyle w:val="TOC2"/>
            <w:rPr>
              <w:rFonts w:eastAsiaTheme="minorEastAsia" w:cstheme="minorBidi"/>
              <w:noProof/>
              <w:sz w:val="22"/>
            </w:rPr>
          </w:pPr>
          <w:hyperlink w:anchor="_Toc111710671" w:history="1">
            <w:r w:rsidR="00A14CEE" w:rsidRPr="00260574">
              <w:rPr>
                <w:rStyle w:val="Hyperlink"/>
                <w:noProof/>
              </w:rPr>
              <w:t>Review terms of reference</w:t>
            </w:r>
            <w:r w:rsidR="00A14CEE">
              <w:rPr>
                <w:noProof/>
                <w:webHidden/>
              </w:rPr>
              <w:tab/>
            </w:r>
            <w:r w:rsidR="00A14CEE">
              <w:rPr>
                <w:noProof/>
                <w:webHidden/>
              </w:rPr>
              <w:fldChar w:fldCharType="begin"/>
            </w:r>
            <w:r w:rsidR="00A14CEE">
              <w:rPr>
                <w:noProof/>
                <w:webHidden/>
              </w:rPr>
              <w:instrText xml:space="preserve"> PAGEREF _Toc111710671 \h </w:instrText>
            </w:r>
            <w:r w:rsidR="00A14CEE">
              <w:rPr>
                <w:noProof/>
                <w:webHidden/>
              </w:rPr>
            </w:r>
            <w:r w:rsidR="00A14CEE">
              <w:rPr>
                <w:noProof/>
                <w:webHidden/>
              </w:rPr>
              <w:fldChar w:fldCharType="separate"/>
            </w:r>
            <w:r w:rsidR="001037FB">
              <w:rPr>
                <w:noProof/>
                <w:webHidden/>
              </w:rPr>
              <w:t>7</w:t>
            </w:r>
            <w:r w:rsidR="00A14CEE">
              <w:rPr>
                <w:noProof/>
                <w:webHidden/>
              </w:rPr>
              <w:fldChar w:fldCharType="end"/>
            </w:r>
          </w:hyperlink>
        </w:p>
        <w:p w14:paraId="0E06FF3E" w14:textId="6BB5B547" w:rsidR="00A14CEE" w:rsidRDefault="00CB639E" w:rsidP="00B8748C">
          <w:pPr>
            <w:pStyle w:val="TOC2"/>
            <w:rPr>
              <w:rFonts w:eastAsiaTheme="minorEastAsia" w:cstheme="minorBidi"/>
              <w:noProof/>
              <w:sz w:val="22"/>
            </w:rPr>
          </w:pPr>
          <w:hyperlink w:anchor="_Toc111710672" w:history="1">
            <w:r w:rsidR="00A14CEE" w:rsidRPr="00260574">
              <w:rPr>
                <w:rStyle w:val="Hyperlink"/>
                <w:noProof/>
              </w:rPr>
              <w:t>Structure and approach to the report</w:t>
            </w:r>
            <w:r w:rsidR="00A14CEE">
              <w:rPr>
                <w:noProof/>
                <w:webHidden/>
              </w:rPr>
              <w:tab/>
            </w:r>
            <w:r w:rsidR="00A14CEE">
              <w:rPr>
                <w:noProof/>
                <w:webHidden/>
              </w:rPr>
              <w:fldChar w:fldCharType="begin"/>
            </w:r>
            <w:r w:rsidR="00A14CEE">
              <w:rPr>
                <w:noProof/>
                <w:webHidden/>
              </w:rPr>
              <w:instrText xml:space="preserve"> PAGEREF _Toc111710672 \h </w:instrText>
            </w:r>
            <w:r w:rsidR="00A14CEE">
              <w:rPr>
                <w:noProof/>
                <w:webHidden/>
              </w:rPr>
            </w:r>
            <w:r w:rsidR="00A14CEE">
              <w:rPr>
                <w:noProof/>
                <w:webHidden/>
              </w:rPr>
              <w:fldChar w:fldCharType="separate"/>
            </w:r>
            <w:r w:rsidR="001037FB">
              <w:rPr>
                <w:noProof/>
                <w:webHidden/>
              </w:rPr>
              <w:t>7</w:t>
            </w:r>
            <w:r w:rsidR="00A14CEE">
              <w:rPr>
                <w:noProof/>
                <w:webHidden/>
              </w:rPr>
              <w:fldChar w:fldCharType="end"/>
            </w:r>
          </w:hyperlink>
        </w:p>
        <w:p w14:paraId="3D7AB36F" w14:textId="34C684BC" w:rsidR="00A14CEE" w:rsidRDefault="00CB639E" w:rsidP="00B8748C">
          <w:pPr>
            <w:pStyle w:val="TOC2"/>
            <w:rPr>
              <w:rFonts w:eastAsiaTheme="minorEastAsia" w:cstheme="minorBidi"/>
              <w:noProof/>
              <w:sz w:val="22"/>
            </w:rPr>
          </w:pPr>
          <w:hyperlink w:anchor="_Toc111710673" w:history="1">
            <w:r w:rsidR="00A14CEE" w:rsidRPr="00260574">
              <w:rPr>
                <w:rStyle w:val="Hyperlink"/>
                <w:noProof/>
              </w:rPr>
              <w:t>Stakeholder consultation</w:t>
            </w:r>
            <w:r w:rsidR="00A14CEE">
              <w:rPr>
                <w:noProof/>
                <w:webHidden/>
              </w:rPr>
              <w:tab/>
            </w:r>
            <w:r w:rsidR="00A14CEE">
              <w:rPr>
                <w:noProof/>
                <w:webHidden/>
              </w:rPr>
              <w:fldChar w:fldCharType="begin"/>
            </w:r>
            <w:r w:rsidR="00A14CEE">
              <w:rPr>
                <w:noProof/>
                <w:webHidden/>
              </w:rPr>
              <w:instrText xml:space="preserve"> PAGEREF _Toc111710673 \h </w:instrText>
            </w:r>
            <w:r w:rsidR="00A14CEE">
              <w:rPr>
                <w:noProof/>
                <w:webHidden/>
              </w:rPr>
            </w:r>
            <w:r w:rsidR="00A14CEE">
              <w:rPr>
                <w:noProof/>
                <w:webHidden/>
              </w:rPr>
              <w:fldChar w:fldCharType="separate"/>
            </w:r>
            <w:r w:rsidR="001037FB">
              <w:rPr>
                <w:noProof/>
                <w:webHidden/>
              </w:rPr>
              <w:t>7</w:t>
            </w:r>
            <w:r w:rsidR="00A14CEE">
              <w:rPr>
                <w:noProof/>
                <w:webHidden/>
              </w:rPr>
              <w:fldChar w:fldCharType="end"/>
            </w:r>
          </w:hyperlink>
        </w:p>
        <w:p w14:paraId="27426EDC" w14:textId="09601736" w:rsidR="00A14CEE" w:rsidRDefault="00CB639E">
          <w:pPr>
            <w:pStyle w:val="TOC1"/>
            <w:rPr>
              <w:rFonts w:eastAsiaTheme="minorEastAsia" w:cstheme="minorBidi"/>
              <w:noProof/>
              <w:sz w:val="22"/>
            </w:rPr>
          </w:pPr>
          <w:hyperlink w:anchor="_Toc111710674" w:history="1">
            <w:r w:rsidR="00A14CEE" w:rsidRPr="00260574">
              <w:rPr>
                <w:rStyle w:val="Hyperlink"/>
                <w:noProof/>
              </w:rPr>
              <w:t>Key Review findings</w:t>
            </w:r>
            <w:r w:rsidR="00A14CEE">
              <w:rPr>
                <w:noProof/>
                <w:webHidden/>
              </w:rPr>
              <w:tab/>
            </w:r>
            <w:r w:rsidR="00A14CEE">
              <w:rPr>
                <w:noProof/>
                <w:webHidden/>
              </w:rPr>
              <w:fldChar w:fldCharType="begin"/>
            </w:r>
            <w:r w:rsidR="00A14CEE">
              <w:rPr>
                <w:noProof/>
                <w:webHidden/>
              </w:rPr>
              <w:instrText xml:space="preserve"> PAGEREF _Toc111710674 \h </w:instrText>
            </w:r>
            <w:r w:rsidR="00A14CEE">
              <w:rPr>
                <w:noProof/>
                <w:webHidden/>
              </w:rPr>
            </w:r>
            <w:r w:rsidR="00A14CEE">
              <w:rPr>
                <w:noProof/>
                <w:webHidden/>
              </w:rPr>
              <w:fldChar w:fldCharType="separate"/>
            </w:r>
            <w:r w:rsidR="001037FB">
              <w:rPr>
                <w:noProof/>
                <w:webHidden/>
              </w:rPr>
              <w:t>9</w:t>
            </w:r>
            <w:r w:rsidR="00A14CEE">
              <w:rPr>
                <w:noProof/>
                <w:webHidden/>
              </w:rPr>
              <w:fldChar w:fldCharType="end"/>
            </w:r>
          </w:hyperlink>
        </w:p>
        <w:p w14:paraId="3AA3B6FA" w14:textId="7FCE05A3" w:rsidR="00A14CEE" w:rsidRDefault="00CB639E" w:rsidP="00B8748C">
          <w:pPr>
            <w:pStyle w:val="TOC2"/>
            <w:rPr>
              <w:rFonts w:eastAsiaTheme="minorEastAsia" w:cstheme="minorBidi"/>
              <w:noProof/>
              <w:sz w:val="22"/>
            </w:rPr>
          </w:pPr>
          <w:hyperlink w:anchor="_Toc111710675" w:history="1">
            <w:r w:rsidR="00A14CEE" w:rsidRPr="00260574">
              <w:rPr>
                <w:rStyle w:val="Hyperlink"/>
                <w:noProof/>
              </w:rPr>
              <w:t>ToR 1: Comparison of prescribing restrictions and clinical guidelines</w:t>
            </w:r>
            <w:r w:rsidR="00A14CEE">
              <w:rPr>
                <w:noProof/>
                <w:webHidden/>
              </w:rPr>
              <w:tab/>
            </w:r>
            <w:r w:rsidR="00A14CEE">
              <w:rPr>
                <w:noProof/>
                <w:webHidden/>
              </w:rPr>
              <w:fldChar w:fldCharType="begin"/>
            </w:r>
            <w:r w:rsidR="00A14CEE">
              <w:rPr>
                <w:noProof/>
                <w:webHidden/>
              </w:rPr>
              <w:instrText xml:space="preserve"> PAGEREF _Toc111710675 \h </w:instrText>
            </w:r>
            <w:r w:rsidR="00A14CEE">
              <w:rPr>
                <w:noProof/>
                <w:webHidden/>
              </w:rPr>
            </w:r>
            <w:r w:rsidR="00A14CEE">
              <w:rPr>
                <w:noProof/>
                <w:webHidden/>
              </w:rPr>
              <w:fldChar w:fldCharType="separate"/>
            </w:r>
            <w:r w:rsidR="001037FB">
              <w:rPr>
                <w:noProof/>
                <w:webHidden/>
              </w:rPr>
              <w:t>9</w:t>
            </w:r>
            <w:r w:rsidR="00A14CEE">
              <w:rPr>
                <w:noProof/>
                <w:webHidden/>
              </w:rPr>
              <w:fldChar w:fldCharType="end"/>
            </w:r>
          </w:hyperlink>
        </w:p>
        <w:p w14:paraId="35AF727B" w14:textId="2FF5279F" w:rsidR="00A14CEE" w:rsidRDefault="00CB639E" w:rsidP="00B8748C">
          <w:pPr>
            <w:pStyle w:val="TOC3"/>
            <w:rPr>
              <w:rFonts w:eastAsiaTheme="minorEastAsia" w:cstheme="minorBidi"/>
              <w:noProof/>
              <w:sz w:val="22"/>
            </w:rPr>
          </w:pPr>
          <w:hyperlink w:anchor="_Toc111710676" w:history="1">
            <w:r w:rsidR="00A14CEE" w:rsidRPr="00260574">
              <w:rPr>
                <w:rStyle w:val="Hyperlink"/>
                <w:noProof/>
              </w:rPr>
              <w:t>1.1 Identify and compare relevant clinical guidelines including Australian, health service and international guidelines</w:t>
            </w:r>
            <w:r w:rsidR="00A14CEE">
              <w:rPr>
                <w:noProof/>
                <w:webHidden/>
              </w:rPr>
              <w:tab/>
            </w:r>
            <w:r w:rsidR="00A14CEE">
              <w:rPr>
                <w:noProof/>
                <w:webHidden/>
              </w:rPr>
              <w:fldChar w:fldCharType="begin"/>
            </w:r>
            <w:r w:rsidR="00A14CEE">
              <w:rPr>
                <w:noProof/>
                <w:webHidden/>
              </w:rPr>
              <w:instrText xml:space="preserve"> PAGEREF _Toc111710676 \h </w:instrText>
            </w:r>
            <w:r w:rsidR="00A14CEE">
              <w:rPr>
                <w:noProof/>
                <w:webHidden/>
              </w:rPr>
            </w:r>
            <w:r w:rsidR="00A14CEE">
              <w:rPr>
                <w:noProof/>
                <w:webHidden/>
              </w:rPr>
              <w:fldChar w:fldCharType="separate"/>
            </w:r>
            <w:r w:rsidR="001037FB">
              <w:rPr>
                <w:noProof/>
                <w:webHidden/>
              </w:rPr>
              <w:t>9</w:t>
            </w:r>
            <w:r w:rsidR="00A14CEE">
              <w:rPr>
                <w:noProof/>
                <w:webHidden/>
              </w:rPr>
              <w:fldChar w:fldCharType="end"/>
            </w:r>
          </w:hyperlink>
        </w:p>
        <w:p w14:paraId="26C7B479" w14:textId="259C9271" w:rsidR="00A14CEE" w:rsidRDefault="00CB639E" w:rsidP="00B8748C">
          <w:pPr>
            <w:pStyle w:val="TOC3"/>
            <w:rPr>
              <w:rFonts w:eastAsiaTheme="minorEastAsia" w:cstheme="minorBidi"/>
              <w:noProof/>
              <w:sz w:val="22"/>
            </w:rPr>
          </w:pPr>
          <w:hyperlink w:anchor="_Toc111710677" w:history="1">
            <w:r w:rsidR="00A14CEE" w:rsidRPr="00260574">
              <w:rPr>
                <w:rStyle w:val="Hyperlink"/>
                <w:noProof/>
              </w:rPr>
              <w:t>1.2 Compare TGA indications and PBS restrictions to the most clinically relevant clinical guidelines identified in 1.1</w:t>
            </w:r>
            <w:r w:rsidR="00A14CEE">
              <w:rPr>
                <w:noProof/>
                <w:webHidden/>
              </w:rPr>
              <w:tab/>
            </w:r>
            <w:r w:rsidR="00A14CEE">
              <w:rPr>
                <w:noProof/>
                <w:webHidden/>
              </w:rPr>
              <w:fldChar w:fldCharType="begin"/>
            </w:r>
            <w:r w:rsidR="00A14CEE">
              <w:rPr>
                <w:noProof/>
                <w:webHidden/>
              </w:rPr>
              <w:instrText xml:space="preserve"> PAGEREF _Toc111710677 \h </w:instrText>
            </w:r>
            <w:r w:rsidR="00A14CEE">
              <w:rPr>
                <w:noProof/>
                <w:webHidden/>
              </w:rPr>
            </w:r>
            <w:r w:rsidR="00A14CEE">
              <w:rPr>
                <w:noProof/>
                <w:webHidden/>
              </w:rPr>
              <w:fldChar w:fldCharType="separate"/>
            </w:r>
            <w:r w:rsidR="001037FB">
              <w:rPr>
                <w:noProof/>
                <w:webHidden/>
              </w:rPr>
              <w:t>10</w:t>
            </w:r>
            <w:r w:rsidR="00A14CEE">
              <w:rPr>
                <w:noProof/>
                <w:webHidden/>
              </w:rPr>
              <w:fldChar w:fldCharType="end"/>
            </w:r>
          </w:hyperlink>
        </w:p>
        <w:p w14:paraId="56634CFD" w14:textId="6A4D35D5" w:rsidR="00A14CEE" w:rsidRDefault="00CB639E" w:rsidP="00B8748C">
          <w:pPr>
            <w:pStyle w:val="TOC3"/>
            <w:rPr>
              <w:rFonts w:eastAsiaTheme="minorEastAsia" w:cstheme="minorBidi"/>
              <w:noProof/>
              <w:sz w:val="22"/>
            </w:rPr>
          </w:pPr>
          <w:hyperlink w:anchor="_Toc111710678" w:history="1">
            <w:r w:rsidR="00A14CEE" w:rsidRPr="00260574">
              <w:rPr>
                <w:rStyle w:val="Hyperlink"/>
                <w:noProof/>
              </w:rPr>
              <w:t>1.3 Review the most commonly recommended clinical assessment measure used to evaluate the severity of nicotine dependence</w:t>
            </w:r>
            <w:r w:rsidR="00A14CEE">
              <w:rPr>
                <w:noProof/>
                <w:webHidden/>
              </w:rPr>
              <w:tab/>
            </w:r>
            <w:r w:rsidR="00A14CEE">
              <w:rPr>
                <w:noProof/>
                <w:webHidden/>
              </w:rPr>
              <w:fldChar w:fldCharType="begin"/>
            </w:r>
            <w:r w:rsidR="00A14CEE">
              <w:rPr>
                <w:noProof/>
                <w:webHidden/>
              </w:rPr>
              <w:instrText xml:space="preserve"> PAGEREF _Toc111710678 \h </w:instrText>
            </w:r>
            <w:r w:rsidR="00A14CEE">
              <w:rPr>
                <w:noProof/>
                <w:webHidden/>
              </w:rPr>
            </w:r>
            <w:r w:rsidR="00A14CEE">
              <w:rPr>
                <w:noProof/>
                <w:webHidden/>
              </w:rPr>
              <w:fldChar w:fldCharType="separate"/>
            </w:r>
            <w:r w:rsidR="001037FB">
              <w:rPr>
                <w:noProof/>
                <w:webHidden/>
              </w:rPr>
              <w:t>11</w:t>
            </w:r>
            <w:r w:rsidR="00A14CEE">
              <w:rPr>
                <w:noProof/>
                <w:webHidden/>
              </w:rPr>
              <w:fldChar w:fldCharType="end"/>
            </w:r>
          </w:hyperlink>
        </w:p>
        <w:p w14:paraId="3A8D673E" w14:textId="2316E6D9" w:rsidR="00A14CEE" w:rsidRDefault="00CB639E" w:rsidP="00B8748C">
          <w:pPr>
            <w:pStyle w:val="TOC3"/>
            <w:rPr>
              <w:rFonts w:eastAsiaTheme="minorEastAsia" w:cstheme="minorBidi"/>
              <w:noProof/>
              <w:sz w:val="22"/>
            </w:rPr>
          </w:pPr>
          <w:hyperlink w:anchor="_Toc111710679" w:history="1">
            <w:r w:rsidR="00A14CEE" w:rsidRPr="00260574">
              <w:rPr>
                <w:rStyle w:val="Hyperlink"/>
                <w:noProof/>
              </w:rPr>
              <w:t>1.4 Stakeholder views (forum and public consultations)</w:t>
            </w:r>
            <w:r w:rsidR="00A14CEE">
              <w:rPr>
                <w:noProof/>
                <w:webHidden/>
              </w:rPr>
              <w:tab/>
            </w:r>
            <w:r w:rsidR="00A14CEE">
              <w:rPr>
                <w:noProof/>
                <w:webHidden/>
              </w:rPr>
              <w:fldChar w:fldCharType="begin"/>
            </w:r>
            <w:r w:rsidR="00A14CEE">
              <w:rPr>
                <w:noProof/>
                <w:webHidden/>
              </w:rPr>
              <w:instrText xml:space="preserve"> PAGEREF _Toc111710679 \h </w:instrText>
            </w:r>
            <w:r w:rsidR="00A14CEE">
              <w:rPr>
                <w:noProof/>
                <w:webHidden/>
              </w:rPr>
            </w:r>
            <w:r w:rsidR="00A14CEE">
              <w:rPr>
                <w:noProof/>
                <w:webHidden/>
              </w:rPr>
              <w:fldChar w:fldCharType="separate"/>
            </w:r>
            <w:r w:rsidR="001037FB">
              <w:rPr>
                <w:noProof/>
                <w:webHidden/>
              </w:rPr>
              <w:t>11</w:t>
            </w:r>
            <w:r w:rsidR="00A14CEE">
              <w:rPr>
                <w:noProof/>
                <w:webHidden/>
              </w:rPr>
              <w:fldChar w:fldCharType="end"/>
            </w:r>
          </w:hyperlink>
        </w:p>
        <w:p w14:paraId="5DBE8D7D" w14:textId="3F95F6C2" w:rsidR="00A14CEE" w:rsidRDefault="00CB639E" w:rsidP="00B8748C">
          <w:pPr>
            <w:pStyle w:val="TOC2"/>
            <w:rPr>
              <w:rFonts w:eastAsiaTheme="minorEastAsia" w:cstheme="minorBidi"/>
              <w:noProof/>
              <w:sz w:val="22"/>
            </w:rPr>
          </w:pPr>
          <w:hyperlink w:anchor="_Toc111710680" w:history="1">
            <w:r w:rsidR="00A14CEE" w:rsidRPr="00260574">
              <w:rPr>
                <w:rStyle w:val="Hyperlink"/>
                <w:noProof/>
              </w:rPr>
              <w:t>ToR 2: Analysis of utilisation of PBS-listed medicines for smoking cessation</w:t>
            </w:r>
            <w:r w:rsidR="00A14CEE">
              <w:rPr>
                <w:noProof/>
                <w:webHidden/>
              </w:rPr>
              <w:tab/>
            </w:r>
            <w:r w:rsidR="00A14CEE">
              <w:rPr>
                <w:noProof/>
                <w:webHidden/>
              </w:rPr>
              <w:fldChar w:fldCharType="begin"/>
            </w:r>
            <w:r w:rsidR="00A14CEE">
              <w:rPr>
                <w:noProof/>
                <w:webHidden/>
              </w:rPr>
              <w:instrText xml:space="preserve"> PAGEREF _Toc111710680 \h </w:instrText>
            </w:r>
            <w:r w:rsidR="00A14CEE">
              <w:rPr>
                <w:noProof/>
                <w:webHidden/>
              </w:rPr>
            </w:r>
            <w:r w:rsidR="00A14CEE">
              <w:rPr>
                <w:noProof/>
                <w:webHidden/>
              </w:rPr>
              <w:fldChar w:fldCharType="separate"/>
            </w:r>
            <w:r w:rsidR="001037FB">
              <w:rPr>
                <w:noProof/>
                <w:webHidden/>
              </w:rPr>
              <w:t>11</w:t>
            </w:r>
            <w:r w:rsidR="00A14CEE">
              <w:rPr>
                <w:noProof/>
                <w:webHidden/>
              </w:rPr>
              <w:fldChar w:fldCharType="end"/>
            </w:r>
          </w:hyperlink>
        </w:p>
        <w:p w14:paraId="7246D7B0" w14:textId="6180E288" w:rsidR="00A14CEE" w:rsidRDefault="00CB639E" w:rsidP="00B8748C">
          <w:pPr>
            <w:pStyle w:val="TOC3"/>
            <w:rPr>
              <w:rFonts w:eastAsiaTheme="minorEastAsia" w:cstheme="minorBidi"/>
              <w:noProof/>
              <w:sz w:val="22"/>
            </w:rPr>
          </w:pPr>
          <w:hyperlink w:anchor="_Toc111710681" w:history="1">
            <w:r w:rsidR="00A14CEE" w:rsidRPr="00260574">
              <w:rPr>
                <w:rStyle w:val="Hyperlink"/>
                <w:noProof/>
              </w:rPr>
              <w:t>2.1 Describe the overall trends in the utilisation and cost of smoking cessation medicines in Australia</w:t>
            </w:r>
            <w:r w:rsidR="00A14CEE">
              <w:rPr>
                <w:noProof/>
                <w:webHidden/>
              </w:rPr>
              <w:tab/>
            </w:r>
            <w:r w:rsidR="00A14CEE">
              <w:rPr>
                <w:noProof/>
                <w:webHidden/>
              </w:rPr>
              <w:fldChar w:fldCharType="begin"/>
            </w:r>
            <w:r w:rsidR="00A14CEE">
              <w:rPr>
                <w:noProof/>
                <w:webHidden/>
              </w:rPr>
              <w:instrText xml:space="preserve"> PAGEREF _Toc111710681 \h </w:instrText>
            </w:r>
            <w:r w:rsidR="00A14CEE">
              <w:rPr>
                <w:noProof/>
                <w:webHidden/>
              </w:rPr>
            </w:r>
            <w:r w:rsidR="00A14CEE">
              <w:rPr>
                <w:noProof/>
                <w:webHidden/>
              </w:rPr>
              <w:fldChar w:fldCharType="separate"/>
            </w:r>
            <w:r w:rsidR="001037FB">
              <w:rPr>
                <w:noProof/>
                <w:webHidden/>
              </w:rPr>
              <w:t>11</w:t>
            </w:r>
            <w:r w:rsidR="00A14CEE">
              <w:rPr>
                <w:noProof/>
                <w:webHidden/>
              </w:rPr>
              <w:fldChar w:fldCharType="end"/>
            </w:r>
          </w:hyperlink>
        </w:p>
        <w:p w14:paraId="22CD6EA1" w14:textId="3D31A74B" w:rsidR="00A14CEE" w:rsidRDefault="00CB639E" w:rsidP="00B8748C">
          <w:pPr>
            <w:pStyle w:val="TOC3"/>
            <w:rPr>
              <w:rFonts w:eastAsiaTheme="minorEastAsia" w:cstheme="minorBidi"/>
              <w:noProof/>
              <w:sz w:val="22"/>
            </w:rPr>
          </w:pPr>
          <w:hyperlink w:anchor="_Toc111710682" w:history="1">
            <w:r w:rsidR="00A14CEE" w:rsidRPr="00260574">
              <w:rPr>
                <w:rStyle w:val="Hyperlink"/>
                <w:noProof/>
              </w:rPr>
              <w:t>2.2 Determine the prevalent and incident populations treated with PBS-listed medicines for smoking cessation</w:t>
            </w:r>
            <w:r w:rsidR="00A14CEE">
              <w:rPr>
                <w:noProof/>
                <w:webHidden/>
              </w:rPr>
              <w:tab/>
            </w:r>
            <w:r w:rsidR="00A14CEE">
              <w:rPr>
                <w:noProof/>
                <w:webHidden/>
              </w:rPr>
              <w:fldChar w:fldCharType="begin"/>
            </w:r>
            <w:r w:rsidR="00A14CEE">
              <w:rPr>
                <w:noProof/>
                <w:webHidden/>
              </w:rPr>
              <w:instrText xml:space="preserve"> PAGEREF _Toc111710682 \h </w:instrText>
            </w:r>
            <w:r w:rsidR="00A14CEE">
              <w:rPr>
                <w:noProof/>
                <w:webHidden/>
              </w:rPr>
            </w:r>
            <w:r w:rsidR="00A14CEE">
              <w:rPr>
                <w:noProof/>
                <w:webHidden/>
              </w:rPr>
              <w:fldChar w:fldCharType="separate"/>
            </w:r>
            <w:r w:rsidR="001037FB">
              <w:rPr>
                <w:noProof/>
                <w:webHidden/>
              </w:rPr>
              <w:t>12</w:t>
            </w:r>
            <w:r w:rsidR="00A14CEE">
              <w:rPr>
                <w:noProof/>
                <w:webHidden/>
              </w:rPr>
              <w:fldChar w:fldCharType="end"/>
            </w:r>
          </w:hyperlink>
        </w:p>
        <w:p w14:paraId="3E19DB59" w14:textId="531A1C52" w:rsidR="00A14CEE" w:rsidRDefault="00CB639E" w:rsidP="00B8748C">
          <w:pPr>
            <w:pStyle w:val="TOC3"/>
            <w:rPr>
              <w:rFonts w:eastAsiaTheme="minorEastAsia" w:cstheme="minorBidi"/>
              <w:noProof/>
              <w:sz w:val="22"/>
            </w:rPr>
          </w:pPr>
          <w:hyperlink w:anchor="_Toc111710683" w:history="1">
            <w:r w:rsidR="00A14CEE" w:rsidRPr="00260574">
              <w:rPr>
                <w:rStyle w:val="Hyperlink"/>
                <w:noProof/>
              </w:rPr>
              <w:t>2.3 Provide the most recent statistics on the prevalence of smoking in Australia</w:t>
            </w:r>
            <w:r w:rsidR="00A14CEE">
              <w:rPr>
                <w:noProof/>
                <w:webHidden/>
              </w:rPr>
              <w:tab/>
            </w:r>
            <w:r w:rsidR="00A14CEE">
              <w:rPr>
                <w:noProof/>
                <w:webHidden/>
              </w:rPr>
              <w:fldChar w:fldCharType="begin"/>
            </w:r>
            <w:r w:rsidR="00A14CEE">
              <w:rPr>
                <w:noProof/>
                <w:webHidden/>
              </w:rPr>
              <w:instrText xml:space="preserve"> PAGEREF _Toc111710683 \h </w:instrText>
            </w:r>
            <w:r w:rsidR="00A14CEE">
              <w:rPr>
                <w:noProof/>
                <w:webHidden/>
              </w:rPr>
            </w:r>
            <w:r w:rsidR="00A14CEE">
              <w:rPr>
                <w:noProof/>
                <w:webHidden/>
              </w:rPr>
              <w:fldChar w:fldCharType="separate"/>
            </w:r>
            <w:r w:rsidR="001037FB">
              <w:rPr>
                <w:noProof/>
                <w:webHidden/>
              </w:rPr>
              <w:t>12</w:t>
            </w:r>
            <w:r w:rsidR="00A14CEE">
              <w:rPr>
                <w:noProof/>
                <w:webHidden/>
              </w:rPr>
              <w:fldChar w:fldCharType="end"/>
            </w:r>
          </w:hyperlink>
        </w:p>
        <w:p w14:paraId="0100BC67" w14:textId="17CFEEBC" w:rsidR="00A14CEE" w:rsidRDefault="00CB639E" w:rsidP="00B8748C">
          <w:pPr>
            <w:pStyle w:val="TOC3"/>
            <w:rPr>
              <w:rFonts w:eastAsiaTheme="minorEastAsia" w:cstheme="minorBidi"/>
              <w:noProof/>
              <w:sz w:val="22"/>
            </w:rPr>
          </w:pPr>
          <w:hyperlink w:anchor="_Toc111710684" w:history="1">
            <w:r w:rsidR="00A14CEE" w:rsidRPr="00260574">
              <w:rPr>
                <w:rStyle w:val="Hyperlink"/>
                <w:noProof/>
              </w:rPr>
              <w:t>2.4 Prevalence of smoking cessation therapies under the PBS in specific populations</w:t>
            </w:r>
            <w:r w:rsidR="00A14CEE">
              <w:rPr>
                <w:noProof/>
                <w:webHidden/>
              </w:rPr>
              <w:tab/>
            </w:r>
            <w:r w:rsidR="00A14CEE">
              <w:rPr>
                <w:noProof/>
                <w:webHidden/>
              </w:rPr>
              <w:fldChar w:fldCharType="begin"/>
            </w:r>
            <w:r w:rsidR="00A14CEE">
              <w:rPr>
                <w:noProof/>
                <w:webHidden/>
              </w:rPr>
              <w:instrText xml:space="preserve"> PAGEREF _Toc111710684 \h </w:instrText>
            </w:r>
            <w:r w:rsidR="00A14CEE">
              <w:rPr>
                <w:noProof/>
                <w:webHidden/>
              </w:rPr>
            </w:r>
            <w:r w:rsidR="00A14CEE">
              <w:rPr>
                <w:noProof/>
                <w:webHidden/>
              </w:rPr>
              <w:fldChar w:fldCharType="separate"/>
            </w:r>
            <w:r w:rsidR="001037FB">
              <w:rPr>
                <w:noProof/>
                <w:webHidden/>
              </w:rPr>
              <w:t>12</w:t>
            </w:r>
            <w:r w:rsidR="00A14CEE">
              <w:rPr>
                <w:noProof/>
                <w:webHidden/>
              </w:rPr>
              <w:fldChar w:fldCharType="end"/>
            </w:r>
          </w:hyperlink>
        </w:p>
        <w:p w14:paraId="14487172" w14:textId="50B962BD" w:rsidR="00A14CEE" w:rsidRDefault="00CB639E" w:rsidP="00B8748C">
          <w:pPr>
            <w:pStyle w:val="TOC3"/>
            <w:rPr>
              <w:rFonts w:eastAsiaTheme="minorEastAsia" w:cstheme="minorBidi"/>
              <w:noProof/>
              <w:sz w:val="22"/>
            </w:rPr>
          </w:pPr>
          <w:hyperlink w:anchor="_Toc111710685" w:history="1">
            <w:r w:rsidR="00A14CEE" w:rsidRPr="00260574">
              <w:rPr>
                <w:rStyle w:val="Hyperlink"/>
                <w:noProof/>
              </w:rPr>
              <w:t>2.5 Estimates of specific populations of interest with access to smoking cessation therapies under the PBS</w:t>
            </w:r>
            <w:r w:rsidR="00A14CEE">
              <w:rPr>
                <w:noProof/>
                <w:webHidden/>
              </w:rPr>
              <w:tab/>
            </w:r>
            <w:r w:rsidR="00A14CEE">
              <w:rPr>
                <w:noProof/>
                <w:webHidden/>
              </w:rPr>
              <w:fldChar w:fldCharType="begin"/>
            </w:r>
            <w:r w:rsidR="00A14CEE">
              <w:rPr>
                <w:noProof/>
                <w:webHidden/>
              </w:rPr>
              <w:instrText xml:space="preserve"> PAGEREF _Toc111710685 \h </w:instrText>
            </w:r>
            <w:r w:rsidR="00A14CEE">
              <w:rPr>
                <w:noProof/>
                <w:webHidden/>
              </w:rPr>
            </w:r>
            <w:r w:rsidR="00A14CEE">
              <w:rPr>
                <w:noProof/>
                <w:webHidden/>
              </w:rPr>
              <w:fldChar w:fldCharType="separate"/>
            </w:r>
            <w:r w:rsidR="001037FB">
              <w:rPr>
                <w:noProof/>
                <w:webHidden/>
              </w:rPr>
              <w:t>13</w:t>
            </w:r>
            <w:r w:rsidR="00A14CEE">
              <w:rPr>
                <w:noProof/>
                <w:webHidden/>
              </w:rPr>
              <w:fldChar w:fldCharType="end"/>
            </w:r>
          </w:hyperlink>
        </w:p>
        <w:p w14:paraId="3A34D478" w14:textId="74F791FA" w:rsidR="00A14CEE" w:rsidRDefault="00CB639E" w:rsidP="00B8748C">
          <w:pPr>
            <w:pStyle w:val="TOC3"/>
            <w:rPr>
              <w:rFonts w:eastAsiaTheme="minorEastAsia" w:cstheme="minorBidi"/>
              <w:noProof/>
              <w:sz w:val="22"/>
            </w:rPr>
          </w:pPr>
          <w:hyperlink w:anchor="_Toc111710686" w:history="1">
            <w:r w:rsidR="00A14CEE" w:rsidRPr="00260574">
              <w:rPr>
                <w:rStyle w:val="Hyperlink"/>
                <w:noProof/>
              </w:rPr>
              <w:t>2.6 Number of therapies and length of treatment with smoking cessation medicines</w:t>
            </w:r>
            <w:r w:rsidR="00A14CEE">
              <w:rPr>
                <w:noProof/>
                <w:webHidden/>
              </w:rPr>
              <w:tab/>
            </w:r>
            <w:r w:rsidR="00A14CEE">
              <w:rPr>
                <w:noProof/>
                <w:webHidden/>
              </w:rPr>
              <w:fldChar w:fldCharType="begin"/>
            </w:r>
            <w:r w:rsidR="00A14CEE">
              <w:rPr>
                <w:noProof/>
                <w:webHidden/>
              </w:rPr>
              <w:instrText xml:space="preserve"> PAGEREF _Toc111710686 \h </w:instrText>
            </w:r>
            <w:r w:rsidR="00A14CEE">
              <w:rPr>
                <w:noProof/>
                <w:webHidden/>
              </w:rPr>
            </w:r>
            <w:r w:rsidR="00A14CEE">
              <w:rPr>
                <w:noProof/>
                <w:webHidden/>
              </w:rPr>
              <w:fldChar w:fldCharType="separate"/>
            </w:r>
            <w:r w:rsidR="001037FB">
              <w:rPr>
                <w:noProof/>
                <w:webHidden/>
              </w:rPr>
              <w:t>13</w:t>
            </w:r>
            <w:r w:rsidR="00A14CEE">
              <w:rPr>
                <w:noProof/>
                <w:webHidden/>
              </w:rPr>
              <w:fldChar w:fldCharType="end"/>
            </w:r>
          </w:hyperlink>
        </w:p>
        <w:p w14:paraId="17C7CB76" w14:textId="43026861" w:rsidR="00A14CEE" w:rsidRDefault="00CB639E" w:rsidP="00B8748C">
          <w:pPr>
            <w:pStyle w:val="TOC3"/>
            <w:rPr>
              <w:rFonts w:eastAsiaTheme="minorEastAsia" w:cstheme="minorBidi"/>
              <w:noProof/>
              <w:sz w:val="22"/>
            </w:rPr>
          </w:pPr>
          <w:hyperlink w:anchor="_Toc111710687" w:history="1">
            <w:r w:rsidR="00A14CEE" w:rsidRPr="00260574">
              <w:rPr>
                <w:rStyle w:val="Hyperlink"/>
                <w:noProof/>
              </w:rPr>
              <w:t>2.7 Use of counselling services</w:t>
            </w:r>
            <w:r w:rsidR="00A14CEE">
              <w:rPr>
                <w:noProof/>
                <w:webHidden/>
              </w:rPr>
              <w:tab/>
            </w:r>
            <w:r w:rsidR="00A14CEE">
              <w:rPr>
                <w:noProof/>
                <w:webHidden/>
              </w:rPr>
              <w:fldChar w:fldCharType="begin"/>
            </w:r>
            <w:r w:rsidR="00A14CEE">
              <w:rPr>
                <w:noProof/>
                <w:webHidden/>
              </w:rPr>
              <w:instrText xml:space="preserve"> PAGEREF _Toc111710687 \h </w:instrText>
            </w:r>
            <w:r w:rsidR="00A14CEE">
              <w:rPr>
                <w:noProof/>
                <w:webHidden/>
              </w:rPr>
            </w:r>
            <w:r w:rsidR="00A14CEE">
              <w:rPr>
                <w:noProof/>
                <w:webHidden/>
              </w:rPr>
              <w:fldChar w:fldCharType="separate"/>
            </w:r>
            <w:r w:rsidR="001037FB">
              <w:rPr>
                <w:noProof/>
                <w:webHidden/>
              </w:rPr>
              <w:t>13</w:t>
            </w:r>
            <w:r w:rsidR="00A14CEE">
              <w:rPr>
                <w:noProof/>
                <w:webHidden/>
              </w:rPr>
              <w:fldChar w:fldCharType="end"/>
            </w:r>
          </w:hyperlink>
        </w:p>
        <w:p w14:paraId="66D53127" w14:textId="7F3E1CFF" w:rsidR="00A14CEE" w:rsidRDefault="00CB639E" w:rsidP="00B8748C">
          <w:pPr>
            <w:pStyle w:val="TOC3"/>
            <w:rPr>
              <w:rFonts w:eastAsiaTheme="minorEastAsia" w:cstheme="minorBidi"/>
              <w:noProof/>
              <w:sz w:val="22"/>
            </w:rPr>
          </w:pPr>
          <w:hyperlink w:anchor="_Toc111710688" w:history="1">
            <w:r w:rsidR="00A14CEE" w:rsidRPr="00260574">
              <w:rPr>
                <w:rStyle w:val="Hyperlink"/>
                <w:noProof/>
              </w:rPr>
              <w:t>2.8 Consistency with PBS restrictions</w:t>
            </w:r>
            <w:r w:rsidR="00A14CEE">
              <w:rPr>
                <w:noProof/>
                <w:webHidden/>
              </w:rPr>
              <w:tab/>
            </w:r>
            <w:r w:rsidR="00A14CEE">
              <w:rPr>
                <w:noProof/>
                <w:webHidden/>
              </w:rPr>
              <w:fldChar w:fldCharType="begin"/>
            </w:r>
            <w:r w:rsidR="00A14CEE">
              <w:rPr>
                <w:noProof/>
                <w:webHidden/>
              </w:rPr>
              <w:instrText xml:space="preserve"> PAGEREF _Toc111710688 \h </w:instrText>
            </w:r>
            <w:r w:rsidR="00A14CEE">
              <w:rPr>
                <w:noProof/>
                <w:webHidden/>
              </w:rPr>
            </w:r>
            <w:r w:rsidR="00A14CEE">
              <w:rPr>
                <w:noProof/>
                <w:webHidden/>
              </w:rPr>
              <w:fldChar w:fldCharType="separate"/>
            </w:r>
            <w:r w:rsidR="001037FB">
              <w:rPr>
                <w:noProof/>
                <w:webHidden/>
              </w:rPr>
              <w:t>13</w:t>
            </w:r>
            <w:r w:rsidR="00A14CEE">
              <w:rPr>
                <w:noProof/>
                <w:webHidden/>
              </w:rPr>
              <w:fldChar w:fldCharType="end"/>
            </w:r>
          </w:hyperlink>
        </w:p>
        <w:p w14:paraId="1BCB835B" w14:textId="3C4D0E83" w:rsidR="00A14CEE" w:rsidRDefault="00CB639E" w:rsidP="00B8748C">
          <w:pPr>
            <w:pStyle w:val="TOC3"/>
            <w:rPr>
              <w:rFonts w:eastAsiaTheme="minorEastAsia" w:cstheme="minorBidi"/>
              <w:noProof/>
              <w:sz w:val="22"/>
            </w:rPr>
          </w:pPr>
          <w:hyperlink w:anchor="_Toc111710689" w:history="1">
            <w:r w:rsidR="00A14CEE" w:rsidRPr="00260574">
              <w:rPr>
                <w:rStyle w:val="Hyperlink"/>
                <w:noProof/>
              </w:rPr>
              <w:t>2.9 Stakeholder views (forum and public consultations)</w:t>
            </w:r>
            <w:r w:rsidR="00A14CEE">
              <w:rPr>
                <w:noProof/>
                <w:webHidden/>
              </w:rPr>
              <w:tab/>
            </w:r>
            <w:r w:rsidR="00A14CEE">
              <w:rPr>
                <w:noProof/>
                <w:webHidden/>
              </w:rPr>
              <w:fldChar w:fldCharType="begin"/>
            </w:r>
            <w:r w:rsidR="00A14CEE">
              <w:rPr>
                <w:noProof/>
                <w:webHidden/>
              </w:rPr>
              <w:instrText xml:space="preserve"> PAGEREF _Toc111710689 \h </w:instrText>
            </w:r>
            <w:r w:rsidR="00A14CEE">
              <w:rPr>
                <w:noProof/>
                <w:webHidden/>
              </w:rPr>
            </w:r>
            <w:r w:rsidR="00A14CEE">
              <w:rPr>
                <w:noProof/>
                <w:webHidden/>
              </w:rPr>
              <w:fldChar w:fldCharType="separate"/>
            </w:r>
            <w:r w:rsidR="001037FB">
              <w:rPr>
                <w:noProof/>
                <w:webHidden/>
              </w:rPr>
              <w:t>14</w:t>
            </w:r>
            <w:r w:rsidR="00A14CEE">
              <w:rPr>
                <w:noProof/>
                <w:webHidden/>
              </w:rPr>
              <w:fldChar w:fldCharType="end"/>
            </w:r>
          </w:hyperlink>
        </w:p>
        <w:p w14:paraId="697AF9E5" w14:textId="757520F8" w:rsidR="00A14CEE" w:rsidRDefault="00CB639E" w:rsidP="00B8748C">
          <w:pPr>
            <w:pStyle w:val="TOC2"/>
            <w:rPr>
              <w:rFonts w:eastAsiaTheme="minorEastAsia" w:cstheme="minorBidi"/>
              <w:noProof/>
              <w:sz w:val="22"/>
            </w:rPr>
          </w:pPr>
          <w:hyperlink w:anchor="_Toc111710690" w:history="1">
            <w:r w:rsidR="00A14CEE" w:rsidRPr="00260574">
              <w:rPr>
                <w:rStyle w:val="Hyperlink"/>
                <w:noProof/>
              </w:rPr>
              <w:t>ToR 3: Efficacy and safety of nicotine replacement therapy, varenicline and bupropion for smoking cessation including combination therapies</w:t>
            </w:r>
            <w:r w:rsidR="00A14CEE">
              <w:rPr>
                <w:noProof/>
                <w:webHidden/>
              </w:rPr>
              <w:tab/>
            </w:r>
            <w:r w:rsidR="00A14CEE">
              <w:rPr>
                <w:noProof/>
                <w:webHidden/>
              </w:rPr>
              <w:fldChar w:fldCharType="begin"/>
            </w:r>
            <w:r w:rsidR="00A14CEE">
              <w:rPr>
                <w:noProof/>
                <w:webHidden/>
              </w:rPr>
              <w:instrText xml:space="preserve"> PAGEREF _Toc111710690 \h </w:instrText>
            </w:r>
            <w:r w:rsidR="00A14CEE">
              <w:rPr>
                <w:noProof/>
                <w:webHidden/>
              </w:rPr>
            </w:r>
            <w:r w:rsidR="00A14CEE">
              <w:rPr>
                <w:noProof/>
                <w:webHidden/>
              </w:rPr>
              <w:fldChar w:fldCharType="separate"/>
            </w:r>
            <w:r w:rsidR="001037FB">
              <w:rPr>
                <w:noProof/>
                <w:webHidden/>
              </w:rPr>
              <w:t>15</w:t>
            </w:r>
            <w:r w:rsidR="00A14CEE">
              <w:rPr>
                <w:noProof/>
                <w:webHidden/>
              </w:rPr>
              <w:fldChar w:fldCharType="end"/>
            </w:r>
          </w:hyperlink>
        </w:p>
        <w:p w14:paraId="2DD1BD1B" w14:textId="7BD988C1" w:rsidR="00A14CEE" w:rsidRDefault="00CB639E" w:rsidP="00B8748C">
          <w:pPr>
            <w:pStyle w:val="TOC3"/>
            <w:rPr>
              <w:rFonts w:eastAsiaTheme="minorEastAsia" w:cstheme="minorBidi"/>
              <w:noProof/>
              <w:sz w:val="22"/>
            </w:rPr>
          </w:pPr>
          <w:hyperlink w:anchor="_Toc111710691" w:history="1">
            <w:r w:rsidR="00A14CEE" w:rsidRPr="00260574">
              <w:rPr>
                <w:rStyle w:val="Hyperlink"/>
                <w:noProof/>
              </w:rPr>
              <w:t>3.1 Monotherapy in the general population</w:t>
            </w:r>
            <w:r w:rsidR="00A14CEE">
              <w:rPr>
                <w:noProof/>
                <w:webHidden/>
              </w:rPr>
              <w:tab/>
            </w:r>
            <w:r w:rsidR="00A14CEE">
              <w:rPr>
                <w:noProof/>
                <w:webHidden/>
              </w:rPr>
              <w:fldChar w:fldCharType="begin"/>
            </w:r>
            <w:r w:rsidR="00A14CEE">
              <w:rPr>
                <w:noProof/>
                <w:webHidden/>
              </w:rPr>
              <w:instrText xml:space="preserve"> PAGEREF _Toc111710691 \h </w:instrText>
            </w:r>
            <w:r w:rsidR="00A14CEE">
              <w:rPr>
                <w:noProof/>
                <w:webHidden/>
              </w:rPr>
            </w:r>
            <w:r w:rsidR="00A14CEE">
              <w:rPr>
                <w:noProof/>
                <w:webHidden/>
              </w:rPr>
              <w:fldChar w:fldCharType="separate"/>
            </w:r>
            <w:r w:rsidR="001037FB">
              <w:rPr>
                <w:noProof/>
                <w:webHidden/>
              </w:rPr>
              <w:t>15</w:t>
            </w:r>
            <w:r w:rsidR="00A14CEE">
              <w:rPr>
                <w:noProof/>
                <w:webHidden/>
              </w:rPr>
              <w:fldChar w:fldCharType="end"/>
            </w:r>
          </w:hyperlink>
        </w:p>
        <w:p w14:paraId="62507266" w14:textId="02BD4B86" w:rsidR="00A14CEE" w:rsidRDefault="00CB639E" w:rsidP="00B8748C">
          <w:pPr>
            <w:pStyle w:val="TOC3"/>
            <w:rPr>
              <w:rFonts w:eastAsiaTheme="minorEastAsia" w:cstheme="minorBidi"/>
              <w:noProof/>
              <w:sz w:val="22"/>
            </w:rPr>
          </w:pPr>
          <w:hyperlink w:anchor="_Toc111710692" w:history="1">
            <w:r w:rsidR="00A14CEE" w:rsidRPr="00260574">
              <w:rPr>
                <w:rStyle w:val="Hyperlink"/>
                <w:noProof/>
              </w:rPr>
              <w:t>3.2 Combination therapy in the general population</w:t>
            </w:r>
            <w:r w:rsidR="00A14CEE">
              <w:rPr>
                <w:noProof/>
                <w:webHidden/>
              </w:rPr>
              <w:tab/>
            </w:r>
            <w:r w:rsidR="00A14CEE">
              <w:rPr>
                <w:noProof/>
                <w:webHidden/>
              </w:rPr>
              <w:fldChar w:fldCharType="begin"/>
            </w:r>
            <w:r w:rsidR="00A14CEE">
              <w:rPr>
                <w:noProof/>
                <w:webHidden/>
              </w:rPr>
              <w:instrText xml:space="preserve"> PAGEREF _Toc111710692 \h </w:instrText>
            </w:r>
            <w:r w:rsidR="00A14CEE">
              <w:rPr>
                <w:noProof/>
                <w:webHidden/>
              </w:rPr>
            </w:r>
            <w:r w:rsidR="00A14CEE">
              <w:rPr>
                <w:noProof/>
                <w:webHidden/>
              </w:rPr>
              <w:fldChar w:fldCharType="separate"/>
            </w:r>
            <w:r w:rsidR="001037FB">
              <w:rPr>
                <w:noProof/>
                <w:webHidden/>
              </w:rPr>
              <w:t>21</w:t>
            </w:r>
            <w:r w:rsidR="00A14CEE">
              <w:rPr>
                <w:noProof/>
                <w:webHidden/>
              </w:rPr>
              <w:fldChar w:fldCharType="end"/>
            </w:r>
          </w:hyperlink>
        </w:p>
        <w:p w14:paraId="434198BC" w14:textId="2DFE0E7A" w:rsidR="00A14CEE" w:rsidRDefault="00CB639E" w:rsidP="00B8748C">
          <w:pPr>
            <w:pStyle w:val="TOC3"/>
            <w:rPr>
              <w:rFonts w:eastAsiaTheme="minorEastAsia" w:cstheme="minorBidi"/>
              <w:noProof/>
              <w:sz w:val="22"/>
            </w:rPr>
          </w:pPr>
          <w:hyperlink w:anchor="_Toc111710693" w:history="1">
            <w:r w:rsidR="00A14CEE" w:rsidRPr="00260574">
              <w:rPr>
                <w:rStyle w:val="Hyperlink"/>
                <w:noProof/>
              </w:rPr>
              <w:t>3.3 NRT dose, dosage form and length of therapy</w:t>
            </w:r>
            <w:r w:rsidR="00A14CEE">
              <w:rPr>
                <w:noProof/>
                <w:webHidden/>
              </w:rPr>
              <w:tab/>
            </w:r>
            <w:r w:rsidR="00A14CEE">
              <w:rPr>
                <w:noProof/>
                <w:webHidden/>
              </w:rPr>
              <w:fldChar w:fldCharType="begin"/>
            </w:r>
            <w:r w:rsidR="00A14CEE">
              <w:rPr>
                <w:noProof/>
                <w:webHidden/>
              </w:rPr>
              <w:instrText xml:space="preserve"> PAGEREF _Toc111710693 \h </w:instrText>
            </w:r>
            <w:r w:rsidR="00A14CEE">
              <w:rPr>
                <w:noProof/>
                <w:webHidden/>
              </w:rPr>
            </w:r>
            <w:r w:rsidR="00A14CEE">
              <w:rPr>
                <w:noProof/>
                <w:webHidden/>
              </w:rPr>
              <w:fldChar w:fldCharType="separate"/>
            </w:r>
            <w:r w:rsidR="001037FB">
              <w:rPr>
                <w:noProof/>
                <w:webHidden/>
              </w:rPr>
              <w:t>25</w:t>
            </w:r>
            <w:r w:rsidR="00A14CEE">
              <w:rPr>
                <w:noProof/>
                <w:webHidden/>
              </w:rPr>
              <w:fldChar w:fldCharType="end"/>
            </w:r>
          </w:hyperlink>
        </w:p>
        <w:p w14:paraId="468D2A6E" w14:textId="30E76978" w:rsidR="00A14CEE" w:rsidRDefault="00CB639E" w:rsidP="00B8748C">
          <w:pPr>
            <w:pStyle w:val="TOC3"/>
            <w:rPr>
              <w:rFonts w:eastAsiaTheme="minorEastAsia" w:cstheme="minorBidi"/>
              <w:noProof/>
              <w:sz w:val="22"/>
            </w:rPr>
          </w:pPr>
          <w:hyperlink w:anchor="_Toc111710694" w:history="1">
            <w:r w:rsidR="00A14CEE" w:rsidRPr="00260574">
              <w:rPr>
                <w:rStyle w:val="Hyperlink"/>
                <w:noProof/>
              </w:rPr>
              <w:t>3.4 Behavioural interventions in combination with pharmacotherapies</w:t>
            </w:r>
            <w:r w:rsidR="00A14CEE">
              <w:rPr>
                <w:noProof/>
                <w:webHidden/>
              </w:rPr>
              <w:tab/>
            </w:r>
            <w:r w:rsidR="00A14CEE">
              <w:rPr>
                <w:noProof/>
                <w:webHidden/>
              </w:rPr>
              <w:fldChar w:fldCharType="begin"/>
            </w:r>
            <w:r w:rsidR="00A14CEE">
              <w:rPr>
                <w:noProof/>
                <w:webHidden/>
              </w:rPr>
              <w:instrText xml:space="preserve"> PAGEREF _Toc111710694 \h </w:instrText>
            </w:r>
            <w:r w:rsidR="00A14CEE">
              <w:rPr>
                <w:noProof/>
                <w:webHidden/>
              </w:rPr>
            </w:r>
            <w:r w:rsidR="00A14CEE">
              <w:rPr>
                <w:noProof/>
                <w:webHidden/>
              </w:rPr>
              <w:fldChar w:fldCharType="separate"/>
            </w:r>
            <w:r w:rsidR="001037FB">
              <w:rPr>
                <w:noProof/>
                <w:webHidden/>
              </w:rPr>
              <w:t>30</w:t>
            </w:r>
            <w:r w:rsidR="00A14CEE">
              <w:rPr>
                <w:noProof/>
                <w:webHidden/>
              </w:rPr>
              <w:fldChar w:fldCharType="end"/>
            </w:r>
          </w:hyperlink>
        </w:p>
        <w:p w14:paraId="30A19867" w14:textId="1A4E323A" w:rsidR="00A14CEE" w:rsidRDefault="00CB639E" w:rsidP="00B8748C">
          <w:pPr>
            <w:pStyle w:val="TOC3"/>
            <w:rPr>
              <w:rFonts w:eastAsiaTheme="minorEastAsia" w:cstheme="minorBidi"/>
              <w:noProof/>
              <w:sz w:val="22"/>
            </w:rPr>
          </w:pPr>
          <w:hyperlink w:anchor="_Toc111710695" w:history="1">
            <w:r w:rsidR="00A14CEE" w:rsidRPr="00260574">
              <w:rPr>
                <w:rStyle w:val="Hyperlink"/>
                <w:noProof/>
              </w:rPr>
              <w:t>3.5 Use in populations with specific needs</w:t>
            </w:r>
            <w:r w:rsidR="00A14CEE">
              <w:rPr>
                <w:noProof/>
                <w:webHidden/>
              </w:rPr>
              <w:tab/>
            </w:r>
            <w:r w:rsidR="00A14CEE">
              <w:rPr>
                <w:noProof/>
                <w:webHidden/>
              </w:rPr>
              <w:fldChar w:fldCharType="begin"/>
            </w:r>
            <w:r w:rsidR="00A14CEE">
              <w:rPr>
                <w:noProof/>
                <w:webHidden/>
              </w:rPr>
              <w:instrText xml:space="preserve"> PAGEREF _Toc111710695 \h </w:instrText>
            </w:r>
            <w:r w:rsidR="00A14CEE">
              <w:rPr>
                <w:noProof/>
                <w:webHidden/>
              </w:rPr>
            </w:r>
            <w:r w:rsidR="00A14CEE">
              <w:rPr>
                <w:noProof/>
                <w:webHidden/>
              </w:rPr>
              <w:fldChar w:fldCharType="separate"/>
            </w:r>
            <w:r w:rsidR="001037FB">
              <w:rPr>
                <w:noProof/>
                <w:webHidden/>
              </w:rPr>
              <w:t>31</w:t>
            </w:r>
            <w:r w:rsidR="00A14CEE">
              <w:rPr>
                <w:noProof/>
                <w:webHidden/>
              </w:rPr>
              <w:fldChar w:fldCharType="end"/>
            </w:r>
          </w:hyperlink>
        </w:p>
        <w:p w14:paraId="4260641C" w14:textId="533BB26C" w:rsidR="00A14CEE" w:rsidRDefault="00CB639E" w:rsidP="00B8748C">
          <w:pPr>
            <w:pStyle w:val="TOC3"/>
            <w:rPr>
              <w:rFonts w:eastAsiaTheme="minorEastAsia" w:cstheme="minorBidi"/>
              <w:noProof/>
              <w:sz w:val="22"/>
            </w:rPr>
          </w:pPr>
          <w:hyperlink w:anchor="_Toc111710696" w:history="1">
            <w:r w:rsidR="00A14CEE" w:rsidRPr="00260574">
              <w:rPr>
                <w:rStyle w:val="Hyperlink"/>
                <w:noProof/>
              </w:rPr>
              <w:t>3.6 Stakeholder views (forum and public consultations)</w:t>
            </w:r>
            <w:r w:rsidR="00A14CEE">
              <w:rPr>
                <w:noProof/>
                <w:webHidden/>
              </w:rPr>
              <w:tab/>
            </w:r>
            <w:r w:rsidR="00A14CEE">
              <w:rPr>
                <w:noProof/>
                <w:webHidden/>
              </w:rPr>
              <w:fldChar w:fldCharType="begin"/>
            </w:r>
            <w:r w:rsidR="00A14CEE">
              <w:rPr>
                <w:noProof/>
                <w:webHidden/>
              </w:rPr>
              <w:instrText xml:space="preserve"> PAGEREF _Toc111710696 \h </w:instrText>
            </w:r>
            <w:r w:rsidR="00A14CEE">
              <w:rPr>
                <w:noProof/>
                <w:webHidden/>
              </w:rPr>
            </w:r>
            <w:r w:rsidR="00A14CEE">
              <w:rPr>
                <w:noProof/>
                <w:webHidden/>
              </w:rPr>
              <w:fldChar w:fldCharType="separate"/>
            </w:r>
            <w:r w:rsidR="001037FB">
              <w:rPr>
                <w:noProof/>
                <w:webHidden/>
              </w:rPr>
              <w:t>33</w:t>
            </w:r>
            <w:r w:rsidR="00A14CEE">
              <w:rPr>
                <w:noProof/>
                <w:webHidden/>
              </w:rPr>
              <w:fldChar w:fldCharType="end"/>
            </w:r>
          </w:hyperlink>
        </w:p>
        <w:p w14:paraId="06ED64F6" w14:textId="7E62EFC3" w:rsidR="00A14CEE" w:rsidRDefault="00CB639E" w:rsidP="00B8748C">
          <w:pPr>
            <w:pStyle w:val="TOC2"/>
            <w:rPr>
              <w:rFonts w:eastAsiaTheme="minorEastAsia" w:cstheme="minorBidi"/>
              <w:noProof/>
              <w:sz w:val="22"/>
            </w:rPr>
          </w:pPr>
          <w:hyperlink w:anchor="_Toc111710697" w:history="1">
            <w:r w:rsidR="00A14CEE" w:rsidRPr="00260574">
              <w:rPr>
                <w:rStyle w:val="Hyperlink"/>
                <w:noProof/>
              </w:rPr>
              <w:t>ToR 4: Cost-effectiveness review of specified combinations of smoking cessation medicines and estimates for the PBS</w:t>
            </w:r>
            <w:r w:rsidR="00A14CEE">
              <w:rPr>
                <w:noProof/>
                <w:webHidden/>
              </w:rPr>
              <w:tab/>
            </w:r>
            <w:r w:rsidR="00A14CEE">
              <w:rPr>
                <w:noProof/>
                <w:webHidden/>
              </w:rPr>
              <w:fldChar w:fldCharType="begin"/>
            </w:r>
            <w:r w:rsidR="00A14CEE">
              <w:rPr>
                <w:noProof/>
                <w:webHidden/>
              </w:rPr>
              <w:instrText xml:space="preserve"> PAGEREF _Toc111710697 \h </w:instrText>
            </w:r>
            <w:r w:rsidR="00A14CEE">
              <w:rPr>
                <w:noProof/>
                <w:webHidden/>
              </w:rPr>
            </w:r>
            <w:r w:rsidR="00A14CEE">
              <w:rPr>
                <w:noProof/>
                <w:webHidden/>
              </w:rPr>
              <w:fldChar w:fldCharType="separate"/>
            </w:r>
            <w:r w:rsidR="001037FB">
              <w:rPr>
                <w:noProof/>
                <w:webHidden/>
              </w:rPr>
              <w:t>34</w:t>
            </w:r>
            <w:r w:rsidR="00A14CEE">
              <w:rPr>
                <w:noProof/>
                <w:webHidden/>
              </w:rPr>
              <w:fldChar w:fldCharType="end"/>
            </w:r>
          </w:hyperlink>
        </w:p>
        <w:p w14:paraId="5C46DC3A" w14:textId="5204F5E2" w:rsidR="00A14CEE" w:rsidRDefault="00CB639E" w:rsidP="00B8748C">
          <w:pPr>
            <w:pStyle w:val="TOC3"/>
            <w:rPr>
              <w:rFonts w:eastAsiaTheme="minorEastAsia" w:cstheme="minorBidi"/>
              <w:noProof/>
              <w:sz w:val="22"/>
            </w:rPr>
          </w:pPr>
          <w:hyperlink w:anchor="_Toc111710698" w:history="1">
            <w:r w:rsidR="00A14CEE" w:rsidRPr="00260574">
              <w:rPr>
                <w:rStyle w:val="Hyperlink"/>
                <w:noProof/>
              </w:rPr>
              <w:t>4.1 Clinical evidence</w:t>
            </w:r>
            <w:r w:rsidR="00A14CEE">
              <w:rPr>
                <w:noProof/>
                <w:webHidden/>
              </w:rPr>
              <w:tab/>
            </w:r>
            <w:r w:rsidR="00A14CEE">
              <w:rPr>
                <w:noProof/>
                <w:webHidden/>
              </w:rPr>
              <w:fldChar w:fldCharType="begin"/>
            </w:r>
            <w:r w:rsidR="00A14CEE">
              <w:rPr>
                <w:noProof/>
                <w:webHidden/>
              </w:rPr>
              <w:instrText xml:space="preserve"> PAGEREF _Toc111710698 \h </w:instrText>
            </w:r>
            <w:r w:rsidR="00A14CEE">
              <w:rPr>
                <w:noProof/>
                <w:webHidden/>
              </w:rPr>
            </w:r>
            <w:r w:rsidR="00A14CEE">
              <w:rPr>
                <w:noProof/>
                <w:webHidden/>
              </w:rPr>
              <w:fldChar w:fldCharType="separate"/>
            </w:r>
            <w:r w:rsidR="001037FB">
              <w:rPr>
                <w:noProof/>
                <w:webHidden/>
              </w:rPr>
              <w:t>34</w:t>
            </w:r>
            <w:r w:rsidR="00A14CEE">
              <w:rPr>
                <w:noProof/>
                <w:webHidden/>
              </w:rPr>
              <w:fldChar w:fldCharType="end"/>
            </w:r>
          </w:hyperlink>
        </w:p>
        <w:p w14:paraId="257B7304" w14:textId="4723C42D" w:rsidR="00A14CEE" w:rsidRDefault="00CB639E" w:rsidP="00B8748C">
          <w:pPr>
            <w:pStyle w:val="TOC3"/>
            <w:rPr>
              <w:rFonts w:eastAsiaTheme="minorEastAsia" w:cstheme="minorBidi"/>
              <w:noProof/>
              <w:sz w:val="22"/>
            </w:rPr>
          </w:pPr>
          <w:hyperlink w:anchor="_Toc111710699" w:history="1">
            <w:r w:rsidR="00A14CEE" w:rsidRPr="00260574">
              <w:rPr>
                <w:rStyle w:val="Hyperlink"/>
                <w:noProof/>
              </w:rPr>
              <w:t>4.2 Economic evaluation</w:t>
            </w:r>
            <w:r w:rsidR="00A14CEE">
              <w:rPr>
                <w:noProof/>
                <w:webHidden/>
              </w:rPr>
              <w:tab/>
            </w:r>
            <w:r w:rsidR="00A14CEE">
              <w:rPr>
                <w:noProof/>
                <w:webHidden/>
              </w:rPr>
              <w:fldChar w:fldCharType="begin"/>
            </w:r>
            <w:r w:rsidR="00A14CEE">
              <w:rPr>
                <w:noProof/>
                <w:webHidden/>
              </w:rPr>
              <w:instrText xml:space="preserve"> PAGEREF _Toc111710699 \h </w:instrText>
            </w:r>
            <w:r w:rsidR="00A14CEE">
              <w:rPr>
                <w:noProof/>
                <w:webHidden/>
              </w:rPr>
            </w:r>
            <w:r w:rsidR="00A14CEE">
              <w:rPr>
                <w:noProof/>
                <w:webHidden/>
              </w:rPr>
              <w:fldChar w:fldCharType="separate"/>
            </w:r>
            <w:r w:rsidR="001037FB">
              <w:rPr>
                <w:noProof/>
                <w:webHidden/>
              </w:rPr>
              <w:t>35</w:t>
            </w:r>
            <w:r w:rsidR="00A14CEE">
              <w:rPr>
                <w:noProof/>
                <w:webHidden/>
              </w:rPr>
              <w:fldChar w:fldCharType="end"/>
            </w:r>
          </w:hyperlink>
        </w:p>
        <w:p w14:paraId="0BF8210B" w14:textId="57D60741" w:rsidR="00A14CEE" w:rsidRDefault="00CB639E" w:rsidP="00B8748C">
          <w:pPr>
            <w:pStyle w:val="TOC3"/>
            <w:rPr>
              <w:rFonts w:eastAsiaTheme="minorEastAsia" w:cstheme="minorBidi"/>
              <w:noProof/>
              <w:sz w:val="22"/>
            </w:rPr>
          </w:pPr>
          <w:hyperlink w:anchor="_Toc111710700" w:history="1">
            <w:r w:rsidR="00A14CEE" w:rsidRPr="00260574">
              <w:rPr>
                <w:rStyle w:val="Hyperlink"/>
                <w:noProof/>
              </w:rPr>
              <w:t>4.3 Predicted use and budget impact analysis</w:t>
            </w:r>
            <w:r w:rsidR="00A14CEE">
              <w:rPr>
                <w:noProof/>
                <w:webHidden/>
              </w:rPr>
              <w:tab/>
            </w:r>
            <w:r w:rsidR="00A14CEE">
              <w:rPr>
                <w:noProof/>
                <w:webHidden/>
              </w:rPr>
              <w:fldChar w:fldCharType="begin"/>
            </w:r>
            <w:r w:rsidR="00A14CEE">
              <w:rPr>
                <w:noProof/>
                <w:webHidden/>
              </w:rPr>
              <w:instrText xml:space="preserve"> PAGEREF _Toc111710700 \h </w:instrText>
            </w:r>
            <w:r w:rsidR="00A14CEE">
              <w:rPr>
                <w:noProof/>
                <w:webHidden/>
              </w:rPr>
            </w:r>
            <w:r w:rsidR="00A14CEE">
              <w:rPr>
                <w:noProof/>
                <w:webHidden/>
              </w:rPr>
              <w:fldChar w:fldCharType="separate"/>
            </w:r>
            <w:r w:rsidR="001037FB">
              <w:rPr>
                <w:noProof/>
                <w:webHidden/>
              </w:rPr>
              <w:t>35</w:t>
            </w:r>
            <w:r w:rsidR="00A14CEE">
              <w:rPr>
                <w:noProof/>
                <w:webHidden/>
              </w:rPr>
              <w:fldChar w:fldCharType="end"/>
            </w:r>
          </w:hyperlink>
        </w:p>
        <w:p w14:paraId="49186C80" w14:textId="044BFBC4" w:rsidR="00A14CEE" w:rsidRDefault="00CB639E" w:rsidP="00B8748C">
          <w:pPr>
            <w:pStyle w:val="TOC3"/>
            <w:rPr>
              <w:rFonts w:eastAsiaTheme="minorEastAsia" w:cstheme="minorBidi"/>
              <w:noProof/>
              <w:sz w:val="22"/>
            </w:rPr>
          </w:pPr>
          <w:hyperlink w:anchor="_Toc111710701" w:history="1">
            <w:r w:rsidR="00A14CEE" w:rsidRPr="00260574">
              <w:rPr>
                <w:rStyle w:val="Hyperlink"/>
                <w:noProof/>
              </w:rPr>
              <w:t>4.4 Stakeholder views (forum and public consultations)</w:t>
            </w:r>
            <w:r w:rsidR="00A14CEE">
              <w:rPr>
                <w:noProof/>
                <w:webHidden/>
              </w:rPr>
              <w:tab/>
            </w:r>
            <w:r w:rsidR="00A14CEE">
              <w:rPr>
                <w:noProof/>
                <w:webHidden/>
              </w:rPr>
              <w:fldChar w:fldCharType="begin"/>
            </w:r>
            <w:r w:rsidR="00A14CEE">
              <w:rPr>
                <w:noProof/>
                <w:webHidden/>
              </w:rPr>
              <w:instrText xml:space="preserve"> PAGEREF _Toc111710701 \h </w:instrText>
            </w:r>
            <w:r w:rsidR="00A14CEE">
              <w:rPr>
                <w:noProof/>
                <w:webHidden/>
              </w:rPr>
            </w:r>
            <w:r w:rsidR="00A14CEE">
              <w:rPr>
                <w:noProof/>
                <w:webHidden/>
              </w:rPr>
              <w:fldChar w:fldCharType="separate"/>
            </w:r>
            <w:r w:rsidR="001037FB">
              <w:rPr>
                <w:noProof/>
                <w:webHidden/>
              </w:rPr>
              <w:t>36</w:t>
            </w:r>
            <w:r w:rsidR="00A14CEE">
              <w:rPr>
                <w:noProof/>
                <w:webHidden/>
              </w:rPr>
              <w:fldChar w:fldCharType="end"/>
            </w:r>
          </w:hyperlink>
        </w:p>
        <w:p w14:paraId="49074B9B" w14:textId="7776C655" w:rsidR="00A14CEE" w:rsidRDefault="00CB639E">
          <w:pPr>
            <w:pStyle w:val="TOC1"/>
            <w:rPr>
              <w:rFonts w:eastAsiaTheme="minorEastAsia" w:cstheme="minorBidi"/>
              <w:noProof/>
              <w:sz w:val="22"/>
            </w:rPr>
          </w:pPr>
          <w:hyperlink w:anchor="_Toc111710702" w:history="1">
            <w:r w:rsidR="00A14CEE" w:rsidRPr="00260574">
              <w:rPr>
                <w:rStyle w:val="Hyperlink"/>
                <w:noProof/>
              </w:rPr>
              <w:t>Review ‘options’</w:t>
            </w:r>
            <w:r w:rsidR="00A14CEE">
              <w:rPr>
                <w:noProof/>
                <w:webHidden/>
              </w:rPr>
              <w:tab/>
            </w:r>
            <w:r w:rsidR="00A14CEE">
              <w:rPr>
                <w:noProof/>
                <w:webHidden/>
              </w:rPr>
              <w:fldChar w:fldCharType="begin"/>
            </w:r>
            <w:r w:rsidR="00A14CEE">
              <w:rPr>
                <w:noProof/>
                <w:webHidden/>
              </w:rPr>
              <w:instrText xml:space="preserve"> PAGEREF _Toc111710702 \h </w:instrText>
            </w:r>
            <w:r w:rsidR="00A14CEE">
              <w:rPr>
                <w:noProof/>
                <w:webHidden/>
              </w:rPr>
            </w:r>
            <w:r w:rsidR="00A14CEE">
              <w:rPr>
                <w:noProof/>
                <w:webHidden/>
              </w:rPr>
              <w:fldChar w:fldCharType="separate"/>
            </w:r>
            <w:r w:rsidR="001037FB">
              <w:rPr>
                <w:noProof/>
                <w:webHidden/>
              </w:rPr>
              <w:t>38</w:t>
            </w:r>
            <w:r w:rsidR="00A14CEE">
              <w:rPr>
                <w:noProof/>
                <w:webHidden/>
              </w:rPr>
              <w:fldChar w:fldCharType="end"/>
            </w:r>
          </w:hyperlink>
        </w:p>
        <w:p w14:paraId="37EC62BC" w14:textId="7C880F21" w:rsidR="00A14CEE" w:rsidRDefault="00CB639E" w:rsidP="00B8748C">
          <w:pPr>
            <w:pStyle w:val="TOC3"/>
            <w:rPr>
              <w:rFonts w:eastAsiaTheme="minorEastAsia" w:cstheme="minorBidi"/>
              <w:noProof/>
              <w:sz w:val="22"/>
            </w:rPr>
          </w:pPr>
          <w:hyperlink w:anchor="_Toc111710703" w:history="1">
            <w:r w:rsidR="00A14CEE" w:rsidRPr="00260574">
              <w:rPr>
                <w:rStyle w:val="Hyperlink"/>
                <w:noProof/>
              </w:rPr>
              <w:t>5.1 Option 1</w:t>
            </w:r>
            <w:r w:rsidR="00A14CEE">
              <w:rPr>
                <w:noProof/>
                <w:webHidden/>
              </w:rPr>
              <w:tab/>
            </w:r>
            <w:r w:rsidR="00A14CEE">
              <w:rPr>
                <w:noProof/>
                <w:webHidden/>
              </w:rPr>
              <w:fldChar w:fldCharType="begin"/>
            </w:r>
            <w:r w:rsidR="00A14CEE">
              <w:rPr>
                <w:noProof/>
                <w:webHidden/>
              </w:rPr>
              <w:instrText xml:space="preserve"> PAGEREF _Toc111710703 \h </w:instrText>
            </w:r>
            <w:r w:rsidR="00A14CEE">
              <w:rPr>
                <w:noProof/>
                <w:webHidden/>
              </w:rPr>
            </w:r>
            <w:r w:rsidR="00A14CEE">
              <w:rPr>
                <w:noProof/>
                <w:webHidden/>
              </w:rPr>
              <w:fldChar w:fldCharType="separate"/>
            </w:r>
            <w:r w:rsidR="001037FB">
              <w:rPr>
                <w:noProof/>
                <w:webHidden/>
              </w:rPr>
              <w:t>38</w:t>
            </w:r>
            <w:r w:rsidR="00A14CEE">
              <w:rPr>
                <w:noProof/>
                <w:webHidden/>
              </w:rPr>
              <w:fldChar w:fldCharType="end"/>
            </w:r>
          </w:hyperlink>
        </w:p>
        <w:p w14:paraId="02948F95" w14:textId="064EF069" w:rsidR="00A14CEE" w:rsidRDefault="00CB639E" w:rsidP="00B8748C">
          <w:pPr>
            <w:pStyle w:val="TOC3"/>
            <w:rPr>
              <w:rFonts w:eastAsiaTheme="minorEastAsia" w:cstheme="minorBidi"/>
              <w:noProof/>
              <w:sz w:val="22"/>
            </w:rPr>
          </w:pPr>
          <w:hyperlink w:anchor="_Toc111710704" w:history="1">
            <w:r w:rsidR="00A14CEE" w:rsidRPr="00260574">
              <w:rPr>
                <w:rStyle w:val="Hyperlink"/>
                <w:noProof/>
              </w:rPr>
              <w:t>5.2 Option 2</w:t>
            </w:r>
            <w:r w:rsidR="00A14CEE">
              <w:rPr>
                <w:noProof/>
                <w:webHidden/>
              </w:rPr>
              <w:tab/>
            </w:r>
            <w:r w:rsidR="00A14CEE">
              <w:rPr>
                <w:noProof/>
                <w:webHidden/>
              </w:rPr>
              <w:fldChar w:fldCharType="begin"/>
            </w:r>
            <w:r w:rsidR="00A14CEE">
              <w:rPr>
                <w:noProof/>
                <w:webHidden/>
              </w:rPr>
              <w:instrText xml:space="preserve"> PAGEREF _Toc111710704 \h </w:instrText>
            </w:r>
            <w:r w:rsidR="00A14CEE">
              <w:rPr>
                <w:noProof/>
                <w:webHidden/>
              </w:rPr>
            </w:r>
            <w:r w:rsidR="00A14CEE">
              <w:rPr>
                <w:noProof/>
                <w:webHidden/>
              </w:rPr>
              <w:fldChar w:fldCharType="separate"/>
            </w:r>
            <w:r w:rsidR="001037FB">
              <w:rPr>
                <w:noProof/>
                <w:webHidden/>
              </w:rPr>
              <w:t>39</w:t>
            </w:r>
            <w:r w:rsidR="00A14CEE">
              <w:rPr>
                <w:noProof/>
                <w:webHidden/>
              </w:rPr>
              <w:fldChar w:fldCharType="end"/>
            </w:r>
          </w:hyperlink>
        </w:p>
        <w:p w14:paraId="1854ECF8" w14:textId="7757115B" w:rsidR="00A14CEE" w:rsidRDefault="00CB639E" w:rsidP="00B8748C">
          <w:pPr>
            <w:pStyle w:val="TOC3"/>
            <w:rPr>
              <w:rFonts w:eastAsiaTheme="minorEastAsia" w:cstheme="minorBidi"/>
              <w:noProof/>
              <w:sz w:val="22"/>
            </w:rPr>
          </w:pPr>
          <w:hyperlink w:anchor="_Toc111710705" w:history="1">
            <w:r w:rsidR="00A14CEE" w:rsidRPr="00260574">
              <w:rPr>
                <w:rStyle w:val="Hyperlink"/>
                <w:noProof/>
              </w:rPr>
              <w:t>5.3 Option 3</w:t>
            </w:r>
            <w:r w:rsidR="00A14CEE">
              <w:rPr>
                <w:noProof/>
                <w:webHidden/>
              </w:rPr>
              <w:tab/>
            </w:r>
            <w:r w:rsidR="00A14CEE">
              <w:rPr>
                <w:noProof/>
                <w:webHidden/>
              </w:rPr>
              <w:fldChar w:fldCharType="begin"/>
            </w:r>
            <w:r w:rsidR="00A14CEE">
              <w:rPr>
                <w:noProof/>
                <w:webHidden/>
              </w:rPr>
              <w:instrText xml:space="preserve"> PAGEREF _Toc111710705 \h </w:instrText>
            </w:r>
            <w:r w:rsidR="00A14CEE">
              <w:rPr>
                <w:noProof/>
                <w:webHidden/>
              </w:rPr>
            </w:r>
            <w:r w:rsidR="00A14CEE">
              <w:rPr>
                <w:noProof/>
                <w:webHidden/>
              </w:rPr>
              <w:fldChar w:fldCharType="separate"/>
            </w:r>
            <w:r w:rsidR="001037FB">
              <w:rPr>
                <w:noProof/>
                <w:webHidden/>
              </w:rPr>
              <w:t>41</w:t>
            </w:r>
            <w:r w:rsidR="00A14CEE">
              <w:rPr>
                <w:noProof/>
                <w:webHidden/>
              </w:rPr>
              <w:fldChar w:fldCharType="end"/>
            </w:r>
          </w:hyperlink>
        </w:p>
        <w:p w14:paraId="0D13B586" w14:textId="0E6CF3B8" w:rsidR="00A14CEE" w:rsidRDefault="00CB639E" w:rsidP="00B8748C">
          <w:pPr>
            <w:pStyle w:val="TOC3"/>
            <w:rPr>
              <w:rFonts w:eastAsiaTheme="minorEastAsia" w:cstheme="minorBidi"/>
              <w:noProof/>
              <w:sz w:val="22"/>
            </w:rPr>
          </w:pPr>
          <w:hyperlink w:anchor="_Toc111710706" w:history="1">
            <w:r w:rsidR="00A14CEE" w:rsidRPr="00260574">
              <w:rPr>
                <w:rStyle w:val="Hyperlink"/>
                <w:noProof/>
              </w:rPr>
              <w:t>5.4 Option 4</w:t>
            </w:r>
            <w:r w:rsidR="00A14CEE">
              <w:rPr>
                <w:noProof/>
                <w:webHidden/>
              </w:rPr>
              <w:tab/>
            </w:r>
            <w:r w:rsidR="00A14CEE">
              <w:rPr>
                <w:noProof/>
                <w:webHidden/>
              </w:rPr>
              <w:fldChar w:fldCharType="begin"/>
            </w:r>
            <w:r w:rsidR="00A14CEE">
              <w:rPr>
                <w:noProof/>
                <w:webHidden/>
              </w:rPr>
              <w:instrText xml:space="preserve"> PAGEREF _Toc111710706 \h </w:instrText>
            </w:r>
            <w:r w:rsidR="00A14CEE">
              <w:rPr>
                <w:noProof/>
                <w:webHidden/>
              </w:rPr>
            </w:r>
            <w:r w:rsidR="00A14CEE">
              <w:rPr>
                <w:noProof/>
                <w:webHidden/>
              </w:rPr>
              <w:fldChar w:fldCharType="separate"/>
            </w:r>
            <w:r w:rsidR="001037FB">
              <w:rPr>
                <w:noProof/>
                <w:webHidden/>
              </w:rPr>
              <w:t>42</w:t>
            </w:r>
            <w:r w:rsidR="00A14CEE">
              <w:rPr>
                <w:noProof/>
                <w:webHidden/>
              </w:rPr>
              <w:fldChar w:fldCharType="end"/>
            </w:r>
          </w:hyperlink>
        </w:p>
        <w:p w14:paraId="48278E7A" w14:textId="02DF76AA" w:rsidR="00A14CEE" w:rsidRDefault="00CB639E" w:rsidP="00B8748C">
          <w:pPr>
            <w:pStyle w:val="TOC3"/>
            <w:rPr>
              <w:rFonts w:eastAsiaTheme="minorEastAsia" w:cstheme="minorBidi"/>
              <w:noProof/>
              <w:sz w:val="22"/>
            </w:rPr>
          </w:pPr>
          <w:hyperlink w:anchor="_Toc111710707" w:history="1">
            <w:r w:rsidR="00A14CEE" w:rsidRPr="00260574">
              <w:rPr>
                <w:rStyle w:val="Hyperlink"/>
                <w:noProof/>
              </w:rPr>
              <w:t>5.5 Option 5</w:t>
            </w:r>
            <w:r w:rsidR="00A14CEE">
              <w:rPr>
                <w:noProof/>
                <w:webHidden/>
              </w:rPr>
              <w:tab/>
            </w:r>
            <w:r w:rsidR="00A14CEE">
              <w:rPr>
                <w:noProof/>
                <w:webHidden/>
              </w:rPr>
              <w:fldChar w:fldCharType="begin"/>
            </w:r>
            <w:r w:rsidR="00A14CEE">
              <w:rPr>
                <w:noProof/>
                <w:webHidden/>
              </w:rPr>
              <w:instrText xml:space="preserve"> PAGEREF _Toc111710707 \h </w:instrText>
            </w:r>
            <w:r w:rsidR="00A14CEE">
              <w:rPr>
                <w:noProof/>
                <w:webHidden/>
              </w:rPr>
            </w:r>
            <w:r w:rsidR="00A14CEE">
              <w:rPr>
                <w:noProof/>
                <w:webHidden/>
              </w:rPr>
              <w:fldChar w:fldCharType="separate"/>
            </w:r>
            <w:r w:rsidR="001037FB">
              <w:rPr>
                <w:noProof/>
                <w:webHidden/>
              </w:rPr>
              <w:t>43</w:t>
            </w:r>
            <w:r w:rsidR="00A14CEE">
              <w:rPr>
                <w:noProof/>
                <w:webHidden/>
              </w:rPr>
              <w:fldChar w:fldCharType="end"/>
            </w:r>
          </w:hyperlink>
        </w:p>
        <w:p w14:paraId="3091AC06" w14:textId="6722BAC1" w:rsidR="00A14CEE" w:rsidRDefault="00CB639E" w:rsidP="00B8748C">
          <w:pPr>
            <w:pStyle w:val="TOC3"/>
            <w:rPr>
              <w:rFonts w:eastAsiaTheme="minorEastAsia" w:cstheme="minorBidi"/>
              <w:noProof/>
              <w:sz w:val="22"/>
            </w:rPr>
          </w:pPr>
          <w:hyperlink w:anchor="_Toc111710708" w:history="1">
            <w:r w:rsidR="00A14CEE" w:rsidRPr="00260574">
              <w:rPr>
                <w:rStyle w:val="Hyperlink"/>
                <w:noProof/>
              </w:rPr>
              <w:t>5.6 Option 6</w:t>
            </w:r>
            <w:r w:rsidR="00A14CEE">
              <w:rPr>
                <w:noProof/>
                <w:webHidden/>
              </w:rPr>
              <w:tab/>
            </w:r>
            <w:r w:rsidR="00A14CEE">
              <w:rPr>
                <w:noProof/>
                <w:webHidden/>
              </w:rPr>
              <w:fldChar w:fldCharType="begin"/>
            </w:r>
            <w:r w:rsidR="00A14CEE">
              <w:rPr>
                <w:noProof/>
                <w:webHidden/>
              </w:rPr>
              <w:instrText xml:space="preserve"> PAGEREF _Toc111710708 \h </w:instrText>
            </w:r>
            <w:r w:rsidR="00A14CEE">
              <w:rPr>
                <w:noProof/>
                <w:webHidden/>
              </w:rPr>
            </w:r>
            <w:r w:rsidR="00A14CEE">
              <w:rPr>
                <w:noProof/>
                <w:webHidden/>
              </w:rPr>
              <w:fldChar w:fldCharType="separate"/>
            </w:r>
            <w:r w:rsidR="001037FB">
              <w:rPr>
                <w:noProof/>
                <w:webHidden/>
              </w:rPr>
              <w:t>44</w:t>
            </w:r>
            <w:r w:rsidR="00A14CEE">
              <w:rPr>
                <w:noProof/>
                <w:webHidden/>
              </w:rPr>
              <w:fldChar w:fldCharType="end"/>
            </w:r>
          </w:hyperlink>
        </w:p>
        <w:p w14:paraId="5F812384" w14:textId="14C108CF" w:rsidR="00A14CEE" w:rsidRDefault="00CB639E">
          <w:pPr>
            <w:pStyle w:val="TOC1"/>
            <w:rPr>
              <w:rFonts w:eastAsiaTheme="minorEastAsia" w:cstheme="minorBidi"/>
              <w:noProof/>
              <w:sz w:val="22"/>
            </w:rPr>
          </w:pPr>
          <w:hyperlink w:anchor="_Toc111710709" w:history="1">
            <w:r w:rsidR="00A14CEE" w:rsidRPr="00260574">
              <w:rPr>
                <w:rStyle w:val="Hyperlink"/>
                <w:noProof/>
              </w:rPr>
              <w:t>References</w:t>
            </w:r>
            <w:r w:rsidR="00A14CEE">
              <w:rPr>
                <w:noProof/>
                <w:webHidden/>
              </w:rPr>
              <w:tab/>
            </w:r>
            <w:r w:rsidR="00A14CEE">
              <w:rPr>
                <w:noProof/>
                <w:webHidden/>
              </w:rPr>
              <w:fldChar w:fldCharType="begin"/>
            </w:r>
            <w:r w:rsidR="00A14CEE">
              <w:rPr>
                <w:noProof/>
                <w:webHidden/>
              </w:rPr>
              <w:instrText xml:space="preserve"> PAGEREF _Toc111710709 \h </w:instrText>
            </w:r>
            <w:r w:rsidR="00A14CEE">
              <w:rPr>
                <w:noProof/>
                <w:webHidden/>
              </w:rPr>
            </w:r>
            <w:r w:rsidR="00A14CEE">
              <w:rPr>
                <w:noProof/>
                <w:webHidden/>
              </w:rPr>
              <w:fldChar w:fldCharType="separate"/>
            </w:r>
            <w:r w:rsidR="001037FB">
              <w:rPr>
                <w:noProof/>
                <w:webHidden/>
              </w:rPr>
              <w:t>45</w:t>
            </w:r>
            <w:r w:rsidR="00A14CEE">
              <w:rPr>
                <w:noProof/>
                <w:webHidden/>
              </w:rPr>
              <w:fldChar w:fldCharType="end"/>
            </w:r>
          </w:hyperlink>
        </w:p>
        <w:p w14:paraId="783C67C6" w14:textId="3FF7C5B0" w:rsidR="00A14CEE" w:rsidRDefault="00CB639E">
          <w:pPr>
            <w:pStyle w:val="TOC1"/>
            <w:rPr>
              <w:rFonts w:eastAsiaTheme="minorEastAsia" w:cstheme="minorBidi"/>
              <w:noProof/>
              <w:sz w:val="22"/>
            </w:rPr>
          </w:pPr>
          <w:hyperlink w:anchor="_Toc111710710" w:history="1">
            <w:r w:rsidR="00A14CEE" w:rsidRPr="00260574">
              <w:rPr>
                <w:rStyle w:val="Hyperlink"/>
                <w:noProof/>
              </w:rPr>
              <w:t>Appendix A – Reference group members</w:t>
            </w:r>
            <w:r w:rsidR="00A14CEE">
              <w:rPr>
                <w:noProof/>
                <w:webHidden/>
              </w:rPr>
              <w:tab/>
            </w:r>
            <w:r w:rsidR="00A14CEE">
              <w:rPr>
                <w:noProof/>
                <w:webHidden/>
              </w:rPr>
              <w:fldChar w:fldCharType="begin"/>
            </w:r>
            <w:r w:rsidR="00A14CEE">
              <w:rPr>
                <w:noProof/>
                <w:webHidden/>
              </w:rPr>
              <w:instrText xml:space="preserve"> PAGEREF _Toc111710710 \h </w:instrText>
            </w:r>
            <w:r w:rsidR="00A14CEE">
              <w:rPr>
                <w:noProof/>
                <w:webHidden/>
              </w:rPr>
            </w:r>
            <w:r w:rsidR="00A14CEE">
              <w:rPr>
                <w:noProof/>
                <w:webHidden/>
              </w:rPr>
              <w:fldChar w:fldCharType="separate"/>
            </w:r>
            <w:r w:rsidR="001037FB">
              <w:rPr>
                <w:noProof/>
                <w:webHidden/>
              </w:rPr>
              <w:t>46</w:t>
            </w:r>
            <w:r w:rsidR="00A14CEE">
              <w:rPr>
                <w:noProof/>
                <w:webHidden/>
              </w:rPr>
              <w:fldChar w:fldCharType="end"/>
            </w:r>
          </w:hyperlink>
        </w:p>
        <w:p w14:paraId="415482F9" w14:textId="40661B8E" w:rsidR="005F16EA" w:rsidRDefault="005F16EA">
          <w:r>
            <w:rPr>
              <w:b/>
              <w:bCs/>
              <w:noProof/>
            </w:rPr>
            <w:fldChar w:fldCharType="end"/>
          </w:r>
        </w:p>
      </w:sdtContent>
    </w:sdt>
    <w:p w14:paraId="6C30E095" w14:textId="70C10061" w:rsidR="00D73E11" w:rsidRPr="00E16345" w:rsidRDefault="00236763" w:rsidP="00FF3A5C">
      <w:pPr>
        <w:pStyle w:val="Heading1"/>
        <w:spacing w:before="0"/>
        <w:rPr>
          <w:rFonts w:eastAsiaTheme="minorEastAsia" w:cs="Calibri"/>
          <w:b w:val="0"/>
          <w:szCs w:val="24"/>
          <w:lang w:val="en-US" w:eastAsia="en-US"/>
        </w:rPr>
      </w:pPr>
      <w:r w:rsidRPr="00FE1642">
        <w:br w:type="page"/>
      </w:r>
      <w:bookmarkStart w:id="1" w:name="_Toc481076737"/>
      <w:bookmarkStart w:id="2" w:name="_Toc111710667"/>
      <w:r w:rsidR="00D73E11" w:rsidRPr="00C06BDE">
        <w:lastRenderedPageBreak/>
        <w:t>Abbreviations</w:t>
      </w:r>
      <w:bookmarkEnd w:id="1"/>
      <w:bookmarkEnd w:id="2"/>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bbreviations"/>
        <w:tblDescription w:val="Abbreviations"/>
      </w:tblPr>
      <w:tblGrid>
        <w:gridCol w:w="2067"/>
        <w:gridCol w:w="6953"/>
      </w:tblGrid>
      <w:tr w:rsidR="00D02315" w:rsidRPr="00C176F2" w14:paraId="2A8C10DD" w14:textId="77777777" w:rsidTr="006E29DD">
        <w:trPr>
          <w:trHeight w:val="411"/>
          <w:tblHeader/>
        </w:trPr>
        <w:tc>
          <w:tcPr>
            <w:tcW w:w="1146" w:type="pct"/>
            <w:tcBorders>
              <w:left w:val="single" w:sz="2" w:space="0" w:color="auto"/>
              <w:bottom w:val="single" w:sz="4" w:space="0" w:color="auto"/>
            </w:tcBorders>
            <w:shd w:val="clear" w:color="auto" w:fill="auto"/>
            <w:hideMark/>
          </w:tcPr>
          <w:p w14:paraId="7B6529B9" w14:textId="77777777" w:rsidR="00D02315" w:rsidRPr="00780759" w:rsidRDefault="00D02315" w:rsidP="00637445">
            <w:pPr>
              <w:pStyle w:val="TableTextDusc"/>
              <w:rPr>
                <w:b/>
              </w:rPr>
            </w:pPr>
            <w:r w:rsidRPr="00780759">
              <w:rPr>
                <w:b/>
              </w:rPr>
              <w:t>Abbreviation</w:t>
            </w:r>
          </w:p>
        </w:tc>
        <w:tc>
          <w:tcPr>
            <w:tcW w:w="3854" w:type="pct"/>
            <w:tcBorders>
              <w:bottom w:val="single" w:sz="4" w:space="0" w:color="auto"/>
              <w:right w:val="single" w:sz="2" w:space="0" w:color="auto"/>
            </w:tcBorders>
            <w:shd w:val="clear" w:color="auto" w:fill="auto"/>
            <w:hideMark/>
          </w:tcPr>
          <w:p w14:paraId="72FE8D9F" w14:textId="77777777" w:rsidR="00D02315" w:rsidRPr="00780759" w:rsidRDefault="00D02315" w:rsidP="00637445">
            <w:pPr>
              <w:pStyle w:val="TableTextDusc"/>
              <w:rPr>
                <w:b/>
              </w:rPr>
            </w:pPr>
            <w:r w:rsidRPr="00780759">
              <w:rPr>
                <w:b/>
              </w:rPr>
              <w:t xml:space="preserve">Full Name / Wording </w:t>
            </w:r>
          </w:p>
        </w:tc>
      </w:tr>
      <w:tr w:rsidR="00637445" w:rsidRPr="00C7096A" w14:paraId="4ABA7726"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411"/>
        </w:trPr>
        <w:tc>
          <w:tcPr>
            <w:tcW w:w="1146" w:type="pct"/>
            <w:tcBorders>
              <w:top w:val="single" w:sz="4" w:space="0" w:color="auto"/>
              <w:left w:val="single" w:sz="4" w:space="0" w:color="auto"/>
              <w:bottom w:val="single" w:sz="4" w:space="0" w:color="auto"/>
              <w:right w:val="single" w:sz="4" w:space="0" w:color="auto"/>
            </w:tcBorders>
          </w:tcPr>
          <w:p w14:paraId="65017E0B" w14:textId="77777777" w:rsidR="00637445" w:rsidRPr="00C7096A" w:rsidRDefault="00637445" w:rsidP="00637445">
            <w:pPr>
              <w:spacing w:before="60" w:after="60"/>
              <w:rPr>
                <w:rFonts w:cs="Arial"/>
                <w:bCs/>
                <w:sz w:val="20"/>
                <w:szCs w:val="20"/>
              </w:rPr>
            </w:pPr>
            <w:r w:rsidRPr="00C7096A">
              <w:rPr>
                <w:rFonts w:cs="Arial"/>
                <w:bCs/>
                <w:sz w:val="20"/>
                <w:szCs w:val="20"/>
              </w:rPr>
              <w:t>ACT</w:t>
            </w:r>
          </w:p>
        </w:tc>
        <w:tc>
          <w:tcPr>
            <w:tcW w:w="3854" w:type="pct"/>
            <w:tcBorders>
              <w:top w:val="single" w:sz="4" w:space="0" w:color="auto"/>
              <w:left w:val="single" w:sz="4" w:space="0" w:color="auto"/>
              <w:bottom w:val="single" w:sz="4" w:space="0" w:color="auto"/>
              <w:right w:val="single" w:sz="4" w:space="0" w:color="auto"/>
            </w:tcBorders>
          </w:tcPr>
          <w:p w14:paraId="0162EA12" w14:textId="77777777" w:rsidR="00637445" w:rsidRPr="00C7096A" w:rsidRDefault="00637445" w:rsidP="00637445">
            <w:pPr>
              <w:spacing w:before="60" w:after="60"/>
              <w:rPr>
                <w:rFonts w:cs="Arial"/>
                <w:bCs/>
                <w:sz w:val="20"/>
                <w:szCs w:val="20"/>
              </w:rPr>
            </w:pPr>
            <w:bookmarkStart w:id="3" w:name="_Hlk107925731"/>
            <w:r>
              <w:rPr>
                <w:rFonts w:cs="Arial"/>
                <w:bCs/>
                <w:sz w:val="20"/>
                <w:szCs w:val="20"/>
              </w:rPr>
              <w:t>Australian Capital Territory</w:t>
            </w:r>
            <w:bookmarkEnd w:id="3"/>
          </w:p>
        </w:tc>
      </w:tr>
      <w:tr w:rsidR="00637445" w:rsidRPr="00C7096A" w14:paraId="744F78D9"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411"/>
        </w:trPr>
        <w:tc>
          <w:tcPr>
            <w:tcW w:w="1146" w:type="pct"/>
            <w:tcBorders>
              <w:top w:val="single" w:sz="4" w:space="0" w:color="auto"/>
              <w:left w:val="single" w:sz="4" w:space="0" w:color="auto"/>
              <w:bottom w:val="single" w:sz="4" w:space="0" w:color="auto"/>
              <w:right w:val="single" w:sz="4" w:space="0" w:color="auto"/>
            </w:tcBorders>
          </w:tcPr>
          <w:p w14:paraId="6E79D900" w14:textId="77777777" w:rsidR="00637445" w:rsidRPr="00C7096A" w:rsidRDefault="00637445" w:rsidP="00637445">
            <w:pPr>
              <w:spacing w:before="60" w:after="60"/>
              <w:rPr>
                <w:rFonts w:cs="Arial"/>
                <w:bCs/>
                <w:sz w:val="20"/>
                <w:szCs w:val="20"/>
              </w:rPr>
            </w:pPr>
            <w:r>
              <w:rPr>
                <w:rFonts w:cs="Arial"/>
                <w:bCs/>
                <w:sz w:val="20"/>
                <w:szCs w:val="20"/>
              </w:rPr>
              <w:t>AGREE</w:t>
            </w:r>
          </w:p>
        </w:tc>
        <w:tc>
          <w:tcPr>
            <w:tcW w:w="3854" w:type="pct"/>
            <w:tcBorders>
              <w:top w:val="single" w:sz="4" w:space="0" w:color="auto"/>
              <w:left w:val="single" w:sz="4" w:space="0" w:color="auto"/>
              <w:bottom w:val="single" w:sz="4" w:space="0" w:color="auto"/>
              <w:right w:val="single" w:sz="4" w:space="0" w:color="auto"/>
            </w:tcBorders>
          </w:tcPr>
          <w:p w14:paraId="5386C564" w14:textId="77777777" w:rsidR="00637445" w:rsidRPr="00C7096A" w:rsidRDefault="00637445" w:rsidP="00637445">
            <w:pPr>
              <w:spacing w:before="60" w:after="60"/>
              <w:rPr>
                <w:rFonts w:cs="Arial"/>
                <w:bCs/>
                <w:sz w:val="20"/>
                <w:szCs w:val="20"/>
              </w:rPr>
            </w:pPr>
            <w:r>
              <w:rPr>
                <w:rFonts w:cs="Arial"/>
                <w:bCs/>
                <w:sz w:val="20"/>
                <w:szCs w:val="20"/>
              </w:rPr>
              <w:t>Appraisal of Guidelines for Research and Evaluation</w:t>
            </w:r>
          </w:p>
        </w:tc>
      </w:tr>
      <w:tr w:rsidR="00637445" w14:paraId="45ECF439"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54E698E4" w14:textId="3325FC8A" w:rsidR="00637445" w:rsidRDefault="00637445" w:rsidP="00637445">
            <w:pPr>
              <w:spacing w:before="60" w:after="60"/>
              <w:rPr>
                <w:rFonts w:cs="Arial"/>
                <w:bCs/>
                <w:iCs/>
                <w:color w:val="000000"/>
                <w:sz w:val="20"/>
                <w:szCs w:val="20"/>
              </w:rPr>
            </w:pPr>
            <w:r>
              <w:rPr>
                <w:rFonts w:cs="Arial"/>
                <w:bCs/>
                <w:iCs/>
                <w:color w:val="000000"/>
                <w:sz w:val="20"/>
                <w:szCs w:val="20"/>
              </w:rPr>
              <w:t>AIHW</w:t>
            </w:r>
          </w:p>
        </w:tc>
        <w:tc>
          <w:tcPr>
            <w:tcW w:w="3854" w:type="pct"/>
            <w:tcBorders>
              <w:top w:val="single" w:sz="4" w:space="0" w:color="auto"/>
              <w:left w:val="single" w:sz="4" w:space="0" w:color="auto"/>
              <w:bottom w:val="single" w:sz="4" w:space="0" w:color="auto"/>
              <w:right w:val="single" w:sz="4" w:space="0" w:color="auto"/>
            </w:tcBorders>
          </w:tcPr>
          <w:p w14:paraId="2D844237" w14:textId="304F506D" w:rsidR="00637445" w:rsidRDefault="00637445" w:rsidP="00637445">
            <w:pPr>
              <w:spacing w:before="60" w:after="60"/>
              <w:rPr>
                <w:rFonts w:cs="Arial"/>
                <w:bCs/>
                <w:iCs/>
                <w:color w:val="000000"/>
                <w:sz w:val="20"/>
                <w:szCs w:val="20"/>
              </w:rPr>
            </w:pPr>
            <w:r w:rsidRPr="00637445">
              <w:rPr>
                <w:rFonts w:cs="Arial"/>
                <w:bCs/>
                <w:iCs/>
                <w:color w:val="000000"/>
                <w:sz w:val="20"/>
                <w:szCs w:val="20"/>
              </w:rPr>
              <w:t>Australian Institute of Health and Welfare</w:t>
            </w:r>
          </w:p>
        </w:tc>
      </w:tr>
      <w:tr w:rsidR="00E945DA" w14:paraId="5F4B50E2"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4279D99B" w14:textId="273E0E25" w:rsidR="00E945DA" w:rsidRDefault="00E945DA" w:rsidP="00637445">
            <w:pPr>
              <w:spacing w:before="60" w:after="60"/>
              <w:rPr>
                <w:rFonts w:cs="Arial"/>
                <w:bCs/>
                <w:iCs/>
                <w:color w:val="000000"/>
                <w:sz w:val="20"/>
                <w:szCs w:val="20"/>
              </w:rPr>
            </w:pPr>
            <w:r>
              <w:rPr>
                <w:rFonts w:cs="Arial"/>
                <w:bCs/>
                <w:iCs/>
                <w:color w:val="000000"/>
                <w:sz w:val="20"/>
                <w:szCs w:val="20"/>
              </w:rPr>
              <w:t>CER</w:t>
            </w:r>
          </w:p>
        </w:tc>
        <w:tc>
          <w:tcPr>
            <w:tcW w:w="3854" w:type="pct"/>
            <w:tcBorders>
              <w:top w:val="single" w:sz="4" w:space="0" w:color="auto"/>
              <w:left w:val="single" w:sz="4" w:space="0" w:color="auto"/>
              <w:bottom w:val="single" w:sz="4" w:space="0" w:color="auto"/>
              <w:right w:val="single" w:sz="4" w:space="0" w:color="auto"/>
            </w:tcBorders>
          </w:tcPr>
          <w:p w14:paraId="579DE447" w14:textId="1E727642" w:rsidR="00E945DA" w:rsidRPr="00637445" w:rsidRDefault="00E945DA" w:rsidP="00637445">
            <w:pPr>
              <w:spacing w:before="60" w:after="60"/>
              <w:rPr>
                <w:rFonts w:cs="Arial"/>
                <w:bCs/>
                <w:iCs/>
                <w:color w:val="000000"/>
                <w:sz w:val="20"/>
                <w:szCs w:val="20"/>
              </w:rPr>
            </w:pPr>
            <w:r>
              <w:rPr>
                <w:rFonts w:cs="Arial"/>
                <w:bCs/>
                <w:iCs/>
                <w:color w:val="000000"/>
                <w:sz w:val="20"/>
                <w:szCs w:val="20"/>
              </w:rPr>
              <w:t>C</w:t>
            </w:r>
            <w:r w:rsidRPr="00E945DA">
              <w:rPr>
                <w:rFonts w:cs="Arial"/>
                <w:bCs/>
                <w:iCs/>
                <w:color w:val="000000"/>
                <w:sz w:val="20"/>
                <w:szCs w:val="20"/>
              </w:rPr>
              <w:t>ost-effectiveness review</w:t>
            </w:r>
          </w:p>
        </w:tc>
      </w:tr>
      <w:tr w:rsidR="00E053C4" w14:paraId="0D4FAF60"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671021BD" w14:textId="095B8D47" w:rsidR="00E053C4" w:rsidRDefault="00E053C4" w:rsidP="00637445">
            <w:pPr>
              <w:spacing w:before="60" w:after="60"/>
              <w:rPr>
                <w:rFonts w:cs="Arial"/>
                <w:bCs/>
                <w:iCs/>
                <w:color w:val="000000"/>
                <w:sz w:val="20"/>
                <w:szCs w:val="20"/>
              </w:rPr>
            </w:pPr>
            <w:r>
              <w:rPr>
                <w:rFonts w:cs="Arial"/>
                <w:bCs/>
                <w:iCs/>
                <w:color w:val="000000"/>
                <w:sz w:val="20"/>
                <w:szCs w:val="20"/>
              </w:rPr>
              <w:t>DUSC</w:t>
            </w:r>
          </w:p>
        </w:tc>
        <w:tc>
          <w:tcPr>
            <w:tcW w:w="3854" w:type="pct"/>
            <w:tcBorders>
              <w:top w:val="single" w:sz="4" w:space="0" w:color="auto"/>
              <w:left w:val="single" w:sz="4" w:space="0" w:color="auto"/>
              <w:bottom w:val="single" w:sz="4" w:space="0" w:color="auto"/>
              <w:right w:val="single" w:sz="4" w:space="0" w:color="auto"/>
            </w:tcBorders>
          </w:tcPr>
          <w:p w14:paraId="70EB48AB" w14:textId="4C6A5B9D" w:rsidR="00E053C4" w:rsidRPr="00637445" w:rsidRDefault="00E053C4" w:rsidP="00637445">
            <w:pPr>
              <w:spacing w:before="60" w:after="60"/>
              <w:rPr>
                <w:rFonts w:cs="Arial"/>
                <w:bCs/>
                <w:iCs/>
                <w:color w:val="000000"/>
                <w:sz w:val="20"/>
                <w:szCs w:val="20"/>
              </w:rPr>
            </w:pPr>
            <w:r w:rsidRPr="00E053C4">
              <w:rPr>
                <w:rFonts w:cs="Arial"/>
                <w:bCs/>
                <w:iCs/>
                <w:color w:val="000000"/>
                <w:sz w:val="20"/>
                <w:szCs w:val="20"/>
              </w:rPr>
              <w:t>Drug Utilisation Sub</w:t>
            </w:r>
            <w:r w:rsidR="00155E83">
              <w:rPr>
                <w:rFonts w:cs="Arial"/>
                <w:bCs/>
                <w:iCs/>
                <w:color w:val="000000"/>
                <w:sz w:val="20"/>
                <w:szCs w:val="20"/>
              </w:rPr>
              <w:t>-</w:t>
            </w:r>
            <w:r w:rsidRPr="00E053C4">
              <w:rPr>
                <w:rFonts w:cs="Arial"/>
                <w:bCs/>
                <w:iCs/>
                <w:color w:val="000000"/>
                <w:sz w:val="20"/>
                <w:szCs w:val="20"/>
              </w:rPr>
              <w:t>Committee</w:t>
            </w:r>
          </w:p>
        </w:tc>
      </w:tr>
      <w:tr w:rsidR="005F0431" w14:paraId="261FA399"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12E521BB" w14:textId="14D48712" w:rsidR="005F0431" w:rsidRDefault="005F0431" w:rsidP="00637445">
            <w:pPr>
              <w:spacing w:before="60" w:after="60"/>
              <w:rPr>
                <w:rFonts w:cs="Arial"/>
                <w:bCs/>
                <w:iCs/>
                <w:color w:val="000000"/>
                <w:sz w:val="20"/>
                <w:szCs w:val="20"/>
              </w:rPr>
            </w:pPr>
            <w:r>
              <w:rPr>
                <w:rFonts w:cs="Arial"/>
                <w:bCs/>
                <w:iCs/>
                <w:color w:val="000000"/>
                <w:sz w:val="20"/>
                <w:szCs w:val="20"/>
              </w:rPr>
              <w:t>ESC</w:t>
            </w:r>
          </w:p>
        </w:tc>
        <w:tc>
          <w:tcPr>
            <w:tcW w:w="3854" w:type="pct"/>
            <w:tcBorders>
              <w:top w:val="single" w:sz="4" w:space="0" w:color="auto"/>
              <w:left w:val="single" w:sz="4" w:space="0" w:color="auto"/>
              <w:bottom w:val="single" w:sz="4" w:space="0" w:color="auto"/>
              <w:right w:val="single" w:sz="4" w:space="0" w:color="auto"/>
            </w:tcBorders>
          </w:tcPr>
          <w:p w14:paraId="7B4BCDB5" w14:textId="0E3DB78D" w:rsidR="005F0431" w:rsidRPr="00E053C4" w:rsidRDefault="005F0431" w:rsidP="00637445">
            <w:pPr>
              <w:spacing w:before="60" w:after="60"/>
              <w:rPr>
                <w:rFonts w:cs="Arial"/>
                <w:bCs/>
                <w:iCs/>
                <w:color w:val="000000"/>
                <w:sz w:val="20"/>
                <w:szCs w:val="20"/>
              </w:rPr>
            </w:pPr>
            <w:r>
              <w:rPr>
                <w:rFonts w:cs="Arial"/>
                <w:bCs/>
                <w:iCs/>
                <w:color w:val="000000"/>
                <w:sz w:val="20"/>
                <w:szCs w:val="20"/>
              </w:rPr>
              <w:t>Economics Sub-Committee</w:t>
            </w:r>
          </w:p>
        </w:tc>
      </w:tr>
      <w:tr w:rsidR="00637445" w14:paraId="7406BEBA"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2D0A5B63" w14:textId="77777777" w:rsidR="00637445" w:rsidRDefault="00637445" w:rsidP="00637445">
            <w:pPr>
              <w:spacing w:before="60" w:after="60"/>
              <w:rPr>
                <w:rFonts w:cs="Arial"/>
                <w:bCs/>
                <w:iCs/>
                <w:color w:val="000000"/>
                <w:sz w:val="20"/>
                <w:szCs w:val="20"/>
              </w:rPr>
            </w:pPr>
            <w:r>
              <w:rPr>
                <w:rFonts w:cs="Arial"/>
                <w:bCs/>
                <w:iCs/>
                <w:color w:val="000000"/>
                <w:sz w:val="20"/>
                <w:szCs w:val="20"/>
              </w:rPr>
              <w:t>eTG</w:t>
            </w:r>
          </w:p>
        </w:tc>
        <w:tc>
          <w:tcPr>
            <w:tcW w:w="3854" w:type="pct"/>
            <w:tcBorders>
              <w:top w:val="single" w:sz="4" w:space="0" w:color="auto"/>
              <w:left w:val="single" w:sz="4" w:space="0" w:color="auto"/>
              <w:bottom w:val="single" w:sz="4" w:space="0" w:color="auto"/>
              <w:right w:val="single" w:sz="4" w:space="0" w:color="auto"/>
            </w:tcBorders>
          </w:tcPr>
          <w:p w14:paraId="0160A781" w14:textId="77777777" w:rsidR="00637445" w:rsidRDefault="00637445" w:rsidP="00637445">
            <w:pPr>
              <w:spacing w:before="60" w:after="60"/>
              <w:rPr>
                <w:rFonts w:cs="Arial"/>
                <w:bCs/>
                <w:iCs/>
                <w:color w:val="000000"/>
                <w:sz w:val="20"/>
                <w:szCs w:val="20"/>
              </w:rPr>
            </w:pPr>
            <w:r>
              <w:rPr>
                <w:rFonts w:cs="Arial"/>
                <w:bCs/>
                <w:iCs/>
                <w:color w:val="000000"/>
                <w:sz w:val="20"/>
                <w:szCs w:val="20"/>
              </w:rPr>
              <w:t>Electronic Therapeutic Guidelines</w:t>
            </w:r>
          </w:p>
        </w:tc>
      </w:tr>
      <w:tr w:rsidR="009148D0" w14:paraId="11FF7D8F"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5A73CF7B" w14:textId="405BEB2C" w:rsidR="009148D0" w:rsidRDefault="00D240CA" w:rsidP="00637445">
            <w:pPr>
              <w:spacing w:before="60" w:after="60"/>
              <w:rPr>
                <w:rFonts w:cs="Arial"/>
                <w:bCs/>
                <w:iCs/>
                <w:color w:val="000000"/>
                <w:sz w:val="20"/>
                <w:szCs w:val="20"/>
              </w:rPr>
            </w:pPr>
            <w:r>
              <w:rPr>
                <w:rFonts w:cs="Arial"/>
                <w:bCs/>
                <w:iCs/>
                <w:color w:val="000000"/>
                <w:sz w:val="20"/>
                <w:szCs w:val="20"/>
              </w:rPr>
              <w:t>ICER</w:t>
            </w:r>
          </w:p>
        </w:tc>
        <w:tc>
          <w:tcPr>
            <w:tcW w:w="3854" w:type="pct"/>
            <w:tcBorders>
              <w:top w:val="single" w:sz="4" w:space="0" w:color="auto"/>
              <w:left w:val="single" w:sz="4" w:space="0" w:color="auto"/>
              <w:bottom w:val="single" w:sz="4" w:space="0" w:color="auto"/>
              <w:right w:val="single" w:sz="4" w:space="0" w:color="auto"/>
            </w:tcBorders>
          </w:tcPr>
          <w:p w14:paraId="27EB8950" w14:textId="714B872E" w:rsidR="009148D0" w:rsidRDefault="00D240CA" w:rsidP="00637445">
            <w:pPr>
              <w:spacing w:before="60" w:after="60"/>
              <w:rPr>
                <w:rFonts w:cs="Arial"/>
                <w:bCs/>
                <w:iCs/>
                <w:color w:val="000000"/>
                <w:sz w:val="20"/>
                <w:szCs w:val="20"/>
              </w:rPr>
            </w:pPr>
            <w:r>
              <w:rPr>
                <w:rFonts w:cs="Arial"/>
                <w:bCs/>
                <w:iCs/>
                <w:color w:val="000000"/>
                <w:sz w:val="20"/>
                <w:szCs w:val="20"/>
              </w:rPr>
              <w:t>I</w:t>
            </w:r>
            <w:r w:rsidR="009148D0" w:rsidRPr="009148D0">
              <w:rPr>
                <w:rFonts w:cs="Arial"/>
                <w:bCs/>
                <w:iCs/>
                <w:color w:val="000000"/>
                <w:sz w:val="20"/>
                <w:szCs w:val="20"/>
              </w:rPr>
              <w:t>ncremental cost-effectiveness ratio</w:t>
            </w:r>
          </w:p>
        </w:tc>
      </w:tr>
      <w:tr w:rsidR="00374A1B" w14:paraId="4A2F3481"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6C4B4BD9" w14:textId="37AE0339" w:rsidR="00374A1B" w:rsidRDefault="00374A1B" w:rsidP="00637445">
            <w:pPr>
              <w:spacing w:before="60" w:after="60"/>
              <w:rPr>
                <w:rFonts w:cs="Arial"/>
                <w:bCs/>
                <w:iCs/>
                <w:color w:val="000000"/>
                <w:sz w:val="20"/>
                <w:szCs w:val="20"/>
              </w:rPr>
            </w:pPr>
            <w:r>
              <w:rPr>
                <w:rFonts w:cs="Arial"/>
                <w:bCs/>
                <w:iCs/>
                <w:color w:val="000000"/>
                <w:sz w:val="20"/>
                <w:szCs w:val="20"/>
              </w:rPr>
              <w:t>MBS</w:t>
            </w:r>
          </w:p>
        </w:tc>
        <w:tc>
          <w:tcPr>
            <w:tcW w:w="3854" w:type="pct"/>
            <w:tcBorders>
              <w:top w:val="single" w:sz="4" w:space="0" w:color="auto"/>
              <w:left w:val="single" w:sz="4" w:space="0" w:color="auto"/>
              <w:bottom w:val="single" w:sz="4" w:space="0" w:color="auto"/>
              <w:right w:val="single" w:sz="4" w:space="0" w:color="auto"/>
            </w:tcBorders>
          </w:tcPr>
          <w:p w14:paraId="1FA9A517" w14:textId="0FFE07D7" w:rsidR="00374A1B" w:rsidRDefault="00374A1B" w:rsidP="00637445">
            <w:pPr>
              <w:spacing w:before="60" w:after="60"/>
              <w:rPr>
                <w:rFonts w:cs="Arial"/>
                <w:bCs/>
                <w:iCs/>
                <w:color w:val="000000"/>
                <w:sz w:val="20"/>
                <w:szCs w:val="20"/>
              </w:rPr>
            </w:pPr>
            <w:r w:rsidRPr="00374A1B">
              <w:rPr>
                <w:rFonts w:cs="Arial"/>
                <w:bCs/>
                <w:iCs/>
                <w:color w:val="000000"/>
                <w:sz w:val="20"/>
                <w:szCs w:val="20"/>
              </w:rPr>
              <w:t>Medicare Benefits Schedule</w:t>
            </w:r>
          </w:p>
        </w:tc>
      </w:tr>
      <w:tr w:rsidR="00637445" w14:paraId="4F8513B2"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0EE16066" w14:textId="7CA266C0" w:rsidR="00637445" w:rsidRDefault="00637445" w:rsidP="00637445">
            <w:pPr>
              <w:spacing w:before="60" w:after="60"/>
              <w:rPr>
                <w:rFonts w:cs="Arial"/>
                <w:bCs/>
                <w:iCs/>
                <w:color w:val="000000"/>
                <w:sz w:val="20"/>
                <w:szCs w:val="20"/>
              </w:rPr>
            </w:pPr>
            <w:r>
              <w:rPr>
                <w:rFonts w:cs="Arial"/>
                <w:bCs/>
                <w:iCs/>
                <w:color w:val="000000"/>
                <w:sz w:val="20"/>
                <w:szCs w:val="20"/>
              </w:rPr>
              <w:t>NDSHS</w:t>
            </w:r>
          </w:p>
        </w:tc>
        <w:tc>
          <w:tcPr>
            <w:tcW w:w="3854" w:type="pct"/>
            <w:tcBorders>
              <w:top w:val="single" w:sz="4" w:space="0" w:color="auto"/>
              <w:left w:val="single" w:sz="4" w:space="0" w:color="auto"/>
              <w:bottom w:val="single" w:sz="4" w:space="0" w:color="auto"/>
              <w:right w:val="single" w:sz="4" w:space="0" w:color="auto"/>
            </w:tcBorders>
          </w:tcPr>
          <w:p w14:paraId="773BE31F" w14:textId="56617391" w:rsidR="00637445" w:rsidRDefault="00637445" w:rsidP="00637445">
            <w:pPr>
              <w:spacing w:before="60" w:after="60"/>
              <w:rPr>
                <w:rFonts w:cs="Arial"/>
                <w:bCs/>
                <w:iCs/>
                <w:color w:val="000000"/>
                <w:sz w:val="20"/>
                <w:szCs w:val="20"/>
              </w:rPr>
            </w:pPr>
            <w:r w:rsidRPr="00637445">
              <w:rPr>
                <w:rFonts w:cs="Arial"/>
                <w:bCs/>
                <w:iCs/>
                <w:color w:val="000000"/>
                <w:sz w:val="20"/>
                <w:szCs w:val="20"/>
              </w:rPr>
              <w:t>National Drug Strategy Household Survey</w:t>
            </w:r>
          </w:p>
        </w:tc>
      </w:tr>
      <w:tr w:rsidR="0024607A" w14:paraId="5F664343"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1BD62FDF" w14:textId="4595DCAB" w:rsidR="0024607A" w:rsidRDefault="0024607A" w:rsidP="00637445">
            <w:pPr>
              <w:spacing w:before="60" w:after="60"/>
              <w:rPr>
                <w:rFonts w:cs="Arial"/>
                <w:bCs/>
                <w:iCs/>
                <w:color w:val="000000"/>
                <w:sz w:val="20"/>
                <w:szCs w:val="20"/>
              </w:rPr>
            </w:pPr>
            <w:r>
              <w:rPr>
                <w:rFonts w:cs="Arial"/>
                <w:bCs/>
                <w:iCs/>
                <w:color w:val="000000"/>
                <w:sz w:val="20"/>
                <w:szCs w:val="20"/>
              </w:rPr>
              <w:t>NMA</w:t>
            </w:r>
          </w:p>
        </w:tc>
        <w:tc>
          <w:tcPr>
            <w:tcW w:w="3854" w:type="pct"/>
            <w:tcBorders>
              <w:top w:val="single" w:sz="4" w:space="0" w:color="auto"/>
              <w:left w:val="single" w:sz="4" w:space="0" w:color="auto"/>
              <w:bottom w:val="single" w:sz="4" w:space="0" w:color="auto"/>
              <w:right w:val="single" w:sz="4" w:space="0" w:color="auto"/>
            </w:tcBorders>
          </w:tcPr>
          <w:p w14:paraId="02F72C2C" w14:textId="2E96FFCE" w:rsidR="0024607A" w:rsidRPr="00637445" w:rsidRDefault="0024607A" w:rsidP="00637445">
            <w:pPr>
              <w:spacing w:before="60" w:after="60"/>
              <w:rPr>
                <w:rFonts w:cs="Arial"/>
                <w:bCs/>
                <w:iCs/>
                <w:color w:val="000000"/>
                <w:sz w:val="20"/>
                <w:szCs w:val="20"/>
              </w:rPr>
            </w:pPr>
            <w:r>
              <w:rPr>
                <w:rFonts w:cs="Arial"/>
                <w:bCs/>
                <w:iCs/>
                <w:color w:val="000000"/>
                <w:sz w:val="20"/>
                <w:szCs w:val="20"/>
              </w:rPr>
              <w:t>N</w:t>
            </w:r>
            <w:r w:rsidRPr="0024607A">
              <w:rPr>
                <w:rFonts w:cs="Arial"/>
                <w:bCs/>
                <w:iCs/>
                <w:color w:val="000000"/>
                <w:sz w:val="20"/>
                <w:szCs w:val="20"/>
              </w:rPr>
              <w:t>etwork meta-analysis</w:t>
            </w:r>
          </w:p>
        </w:tc>
      </w:tr>
      <w:tr w:rsidR="00637445" w14:paraId="55B712D4"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07723E89" w14:textId="77777777" w:rsidR="00637445" w:rsidRDefault="00637445" w:rsidP="00637445">
            <w:pPr>
              <w:spacing w:before="60" w:after="60"/>
              <w:rPr>
                <w:rFonts w:cs="Arial"/>
                <w:bCs/>
                <w:iCs/>
                <w:color w:val="000000"/>
                <w:sz w:val="20"/>
                <w:szCs w:val="20"/>
              </w:rPr>
            </w:pPr>
            <w:r>
              <w:rPr>
                <w:rFonts w:cs="Arial"/>
                <w:bCs/>
                <w:iCs/>
                <w:color w:val="000000"/>
                <w:sz w:val="20"/>
                <w:szCs w:val="20"/>
              </w:rPr>
              <w:t>NRT</w:t>
            </w:r>
          </w:p>
        </w:tc>
        <w:tc>
          <w:tcPr>
            <w:tcW w:w="3854" w:type="pct"/>
            <w:tcBorders>
              <w:top w:val="single" w:sz="4" w:space="0" w:color="auto"/>
              <w:left w:val="single" w:sz="4" w:space="0" w:color="auto"/>
              <w:bottom w:val="single" w:sz="4" w:space="0" w:color="auto"/>
              <w:right w:val="single" w:sz="4" w:space="0" w:color="auto"/>
            </w:tcBorders>
          </w:tcPr>
          <w:p w14:paraId="44D5B615" w14:textId="1720DAF8" w:rsidR="00637445" w:rsidRDefault="00637445" w:rsidP="00637445">
            <w:pPr>
              <w:spacing w:before="60" w:after="60"/>
              <w:rPr>
                <w:rFonts w:cs="Arial"/>
                <w:bCs/>
                <w:iCs/>
                <w:color w:val="000000"/>
                <w:sz w:val="20"/>
                <w:szCs w:val="20"/>
              </w:rPr>
            </w:pPr>
            <w:r>
              <w:rPr>
                <w:rFonts w:cs="Arial"/>
                <w:bCs/>
                <w:iCs/>
                <w:color w:val="000000"/>
                <w:sz w:val="20"/>
                <w:szCs w:val="20"/>
              </w:rPr>
              <w:t xml:space="preserve">Nicotine </w:t>
            </w:r>
            <w:r w:rsidR="00155E83">
              <w:rPr>
                <w:rFonts w:cs="Arial"/>
                <w:bCs/>
                <w:iCs/>
                <w:color w:val="000000"/>
                <w:sz w:val="20"/>
                <w:szCs w:val="20"/>
              </w:rPr>
              <w:t>r</w:t>
            </w:r>
            <w:r>
              <w:rPr>
                <w:rFonts w:cs="Arial"/>
                <w:bCs/>
                <w:iCs/>
                <w:color w:val="000000"/>
                <w:sz w:val="20"/>
                <w:szCs w:val="20"/>
              </w:rPr>
              <w:t xml:space="preserve">eplacement </w:t>
            </w:r>
            <w:r w:rsidR="00155E83">
              <w:rPr>
                <w:rFonts w:cs="Arial"/>
                <w:bCs/>
                <w:iCs/>
                <w:color w:val="000000"/>
                <w:sz w:val="20"/>
                <w:szCs w:val="20"/>
              </w:rPr>
              <w:t>t</w:t>
            </w:r>
            <w:r>
              <w:rPr>
                <w:rFonts w:cs="Arial"/>
                <w:bCs/>
                <w:iCs/>
                <w:color w:val="000000"/>
                <w:sz w:val="20"/>
                <w:szCs w:val="20"/>
              </w:rPr>
              <w:t>herapy</w:t>
            </w:r>
          </w:p>
        </w:tc>
      </w:tr>
      <w:tr w:rsidR="00637445" w14:paraId="275A123A"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6B5A28A1" w14:textId="77777777" w:rsidR="00637445" w:rsidRDefault="00637445" w:rsidP="00637445">
            <w:pPr>
              <w:spacing w:before="60" w:after="60"/>
              <w:rPr>
                <w:rFonts w:cs="Arial"/>
                <w:bCs/>
                <w:iCs/>
                <w:color w:val="000000"/>
                <w:sz w:val="20"/>
                <w:szCs w:val="20"/>
              </w:rPr>
            </w:pPr>
            <w:r>
              <w:rPr>
                <w:rFonts w:cs="Arial"/>
                <w:bCs/>
                <w:iCs/>
                <w:color w:val="000000"/>
                <w:sz w:val="20"/>
                <w:szCs w:val="20"/>
              </w:rPr>
              <w:t>NSW</w:t>
            </w:r>
          </w:p>
        </w:tc>
        <w:tc>
          <w:tcPr>
            <w:tcW w:w="3854" w:type="pct"/>
            <w:tcBorders>
              <w:top w:val="single" w:sz="4" w:space="0" w:color="auto"/>
              <w:left w:val="single" w:sz="4" w:space="0" w:color="auto"/>
              <w:bottom w:val="single" w:sz="4" w:space="0" w:color="auto"/>
              <w:right w:val="single" w:sz="4" w:space="0" w:color="auto"/>
            </w:tcBorders>
          </w:tcPr>
          <w:p w14:paraId="7CD58B9D" w14:textId="77777777" w:rsidR="00637445" w:rsidRDefault="00637445" w:rsidP="00637445">
            <w:pPr>
              <w:spacing w:before="60" w:after="60"/>
              <w:rPr>
                <w:rFonts w:cs="Arial"/>
                <w:bCs/>
                <w:iCs/>
                <w:color w:val="000000"/>
                <w:sz w:val="20"/>
                <w:szCs w:val="20"/>
              </w:rPr>
            </w:pPr>
            <w:r>
              <w:rPr>
                <w:rFonts w:cs="Arial"/>
                <w:bCs/>
                <w:iCs/>
                <w:color w:val="000000"/>
                <w:sz w:val="20"/>
                <w:szCs w:val="20"/>
              </w:rPr>
              <w:t>New South Wales</w:t>
            </w:r>
          </w:p>
        </w:tc>
      </w:tr>
      <w:tr w:rsidR="00637445" w14:paraId="6E0E8D1F"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457A0F37" w14:textId="77777777" w:rsidR="00637445" w:rsidRDefault="00637445" w:rsidP="00637445">
            <w:pPr>
              <w:spacing w:before="60" w:after="60"/>
              <w:rPr>
                <w:rFonts w:cs="Arial"/>
                <w:bCs/>
                <w:iCs/>
                <w:color w:val="000000"/>
                <w:sz w:val="20"/>
                <w:szCs w:val="20"/>
              </w:rPr>
            </w:pPr>
            <w:r>
              <w:rPr>
                <w:rFonts w:cs="Arial"/>
                <w:bCs/>
                <w:iCs/>
                <w:color w:val="000000"/>
                <w:sz w:val="20"/>
                <w:szCs w:val="20"/>
              </w:rPr>
              <w:t>NZ</w:t>
            </w:r>
          </w:p>
        </w:tc>
        <w:tc>
          <w:tcPr>
            <w:tcW w:w="3854" w:type="pct"/>
            <w:tcBorders>
              <w:top w:val="single" w:sz="4" w:space="0" w:color="auto"/>
              <w:left w:val="single" w:sz="4" w:space="0" w:color="auto"/>
              <w:bottom w:val="single" w:sz="4" w:space="0" w:color="auto"/>
              <w:right w:val="single" w:sz="4" w:space="0" w:color="auto"/>
            </w:tcBorders>
          </w:tcPr>
          <w:p w14:paraId="76A68A24" w14:textId="77777777" w:rsidR="00637445" w:rsidRDefault="00637445" w:rsidP="00637445">
            <w:pPr>
              <w:spacing w:before="60" w:after="60"/>
              <w:rPr>
                <w:rFonts w:cs="Arial"/>
                <w:bCs/>
                <w:iCs/>
                <w:color w:val="000000"/>
                <w:sz w:val="20"/>
                <w:szCs w:val="20"/>
              </w:rPr>
            </w:pPr>
            <w:r>
              <w:rPr>
                <w:rFonts w:cs="Arial"/>
                <w:bCs/>
                <w:iCs/>
                <w:color w:val="000000"/>
                <w:sz w:val="20"/>
                <w:szCs w:val="20"/>
              </w:rPr>
              <w:t>New Zealand</w:t>
            </w:r>
          </w:p>
        </w:tc>
      </w:tr>
      <w:tr w:rsidR="00D30600" w14:paraId="4E5DE207"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236D2BB1" w14:textId="663F883E" w:rsidR="00D30600" w:rsidRDefault="00D30600" w:rsidP="00637445">
            <w:pPr>
              <w:spacing w:before="60" w:after="60"/>
              <w:rPr>
                <w:rFonts w:cs="Arial"/>
                <w:bCs/>
                <w:iCs/>
                <w:color w:val="000000"/>
                <w:sz w:val="20"/>
                <w:szCs w:val="20"/>
              </w:rPr>
            </w:pPr>
            <w:r>
              <w:rPr>
                <w:rFonts w:cs="Arial"/>
                <w:bCs/>
                <w:iCs/>
                <w:color w:val="000000"/>
                <w:sz w:val="20"/>
                <w:szCs w:val="20"/>
              </w:rPr>
              <w:t>OTC</w:t>
            </w:r>
          </w:p>
        </w:tc>
        <w:tc>
          <w:tcPr>
            <w:tcW w:w="3854" w:type="pct"/>
            <w:tcBorders>
              <w:top w:val="single" w:sz="4" w:space="0" w:color="auto"/>
              <w:left w:val="single" w:sz="4" w:space="0" w:color="auto"/>
              <w:bottom w:val="single" w:sz="4" w:space="0" w:color="auto"/>
              <w:right w:val="single" w:sz="4" w:space="0" w:color="auto"/>
            </w:tcBorders>
          </w:tcPr>
          <w:p w14:paraId="2E31FA59" w14:textId="2B43E60D" w:rsidR="00D30600" w:rsidRDefault="00D30600" w:rsidP="00637445">
            <w:pPr>
              <w:spacing w:before="60" w:after="60"/>
              <w:rPr>
                <w:rFonts w:cs="Arial"/>
                <w:bCs/>
                <w:iCs/>
                <w:color w:val="000000"/>
                <w:sz w:val="20"/>
                <w:szCs w:val="20"/>
              </w:rPr>
            </w:pPr>
            <w:r>
              <w:rPr>
                <w:rFonts w:cs="Arial"/>
                <w:bCs/>
                <w:iCs/>
                <w:color w:val="000000"/>
                <w:sz w:val="20"/>
                <w:szCs w:val="20"/>
              </w:rPr>
              <w:t>O</w:t>
            </w:r>
            <w:r w:rsidRPr="00D30600">
              <w:rPr>
                <w:rFonts w:cs="Arial"/>
                <w:bCs/>
                <w:iCs/>
                <w:color w:val="000000"/>
                <w:sz w:val="20"/>
                <w:szCs w:val="20"/>
              </w:rPr>
              <w:t>ver-the-counter</w:t>
            </w:r>
          </w:p>
        </w:tc>
      </w:tr>
      <w:tr w:rsidR="00637445" w14:paraId="2607D996"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3F48DCD1" w14:textId="77777777" w:rsidR="00637445" w:rsidRDefault="00637445" w:rsidP="00637445">
            <w:pPr>
              <w:spacing w:before="60" w:after="60"/>
              <w:rPr>
                <w:rFonts w:cs="Arial"/>
                <w:bCs/>
                <w:iCs/>
                <w:color w:val="000000"/>
                <w:sz w:val="20"/>
                <w:szCs w:val="20"/>
              </w:rPr>
            </w:pPr>
            <w:r>
              <w:rPr>
                <w:rFonts w:cs="Arial"/>
                <w:bCs/>
                <w:iCs/>
                <w:color w:val="000000"/>
                <w:sz w:val="20"/>
                <w:szCs w:val="20"/>
              </w:rPr>
              <w:t>PBAC</w:t>
            </w:r>
          </w:p>
        </w:tc>
        <w:tc>
          <w:tcPr>
            <w:tcW w:w="3854" w:type="pct"/>
            <w:tcBorders>
              <w:top w:val="single" w:sz="4" w:space="0" w:color="auto"/>
              <w:left w:val="single" w:sz="4" w:space="0" w:color="auto"/>
              <w:bottom w:val="single" w:sz="4" w:space="0" w:color="auto"/>
              <w:right w:val="single" w:sz="4" w:space="0" w:color="auto"/>
            </w:tcBorders>
          </w:tcPr>
          <w:p w14:paraId="694C0FD2" w14:textId="77777777" w:rsidR="00637445" w:rsidRDefault="00637445" w:rsidP="00637445">
            <w:pPr>
              <w:spacing w:before="60" w:after="60"/>
              <w:rPr>
                <w:rFonts w:cs="Arial"/>
                <w:bCs/>
                <w:iCs/>
                <w:color w:val="000000"/>
                <w:sz w:val="20"/>
                <w:szCs w:val="20"/>
              </w:rPr>
            </w:pPr>
            <w:r>
              <w:rPr>
                <w:rFonts w:cs="Arial"/>
                <w:bCs/>
                <w:iCs/>
                <w:color w:val="000000"/>
                <w:sz w:val="20"/>
                <w:szCs w:val="20"/>
              </w:rPr>
              <w:t>Pharmaceutical Benefits Advisory Committee</w:t>
            </w:r>
          </w:p>
        </w:tc>
      </w:tr>
      <w:tr w:rsidR="00637445" w14:paraId="30EA649A"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1633115B" w14:textId="77777777" w:rsidR="00637445" w:rsidRDefault="00637445" w:rsidP="00637445">
            <w:pPr>
              <w:spacing w:before="60" w:after="60"/>
              <w:rPr>
                <w:rFonts w:cs="Arial"/>
                <w:bCs/>
                <w:iCs/>
                <w:color w:val="000000"/>
                <w:sz w:val="20"/>
                <w:szCs w:val="20"/>
              </w:rPr>
            </w:pPr>
            <w:r>
              <w:rPr>
                <w:rFonts w:cs="Arial"/>
                <w:bCs/>
                <w:iCs/>
                <w:color w:val="000000"/>
                <w:sz w:val="20"/>
                <w:szCs w:val="20"/>
              </w:rPr>
              <w:t>PBS</w:t>
            </w:r>
          </w:p>
        </w:tc>
        <w:tc>
          <w:tcPr>
            <w:tcW w:w="3854" w:type="pct"/>
            <w:tcBorders>
              <w:top w:val="single" w:sz="4" w:space="0" w:color="auto"/>
              <w:left w:val="single" w:sz="4" w:space="0" w:color="auto"/>
              <w:bottom w:val="single" w:sz="4" w:space="0" w:color="auto"/>
              <w:right w:val="single" w:sz="4" w:space="0" w:color="auto"/>
            </w:tcBorders>
          </w:tcPr>
          <w:p w14:paraId="402D9CEF" w14:textId="77777777" w:rsidR="00637445" w:rsidRDefault="00637445" w:rsidP="00637445">
            <w:pPr>
              <w:spacing w:before="60" w:after="60"/>
              <w:rPr>
                <w:rFonts w:cs="Arial"/>
                <w:bCs/>
                <w:iCs/>
                <w:color w:val="000000"/>
                <w:sz w:val="20"/>
                <w:szCs w:val="20"/>
              </w:rPr>
            </w:pPr>
            <w:r>
              <w:rPr>
                <w:rFonts w:cs="Arial"/>
                <w:bCs/>
                <w:iCs/>
                <w:color w:val="000000"/>
                <w:sz w:val="20"/>
                <w:szCs w:val="20"/>
              </w:rPr>
              <w:t>Pharmaceutical Benefits Scheme</w:t>
            </w:r>
          </w:p>
        </w:tc>
      </w:tr>
      <w:tr w:rsidR="00637445" w14:paraId="37DB1976"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79C43369" w14:textId="24363326" w:rsidR="00637445" w:rsidRDefault="00637445" w:rsidP="00637445">
            <w:pPr>
              <w:spacing w:before="60" w:after="60"/>
              <w:rPr>
                <w:rFonts w:cs="Arial"/>
                <w:bCs/>
                <w:iCs/>
                <w:color w:val="000000"/>
                <w:sz w:val="20"/>
                <w:szCs w:val="20"/>
              </w:rPr>
            </w:pPr>
            <w:r w:rsidRPr="00637445">
              <w:rPr>
                <w:rFonts w:cs="Arial"/>
                <w:bCs/>
                <w:iCs/>
                <w:color w:val="000000"/>
                <w:sz w:val="20"/>
                <w:szCs w:val="20"/>
              </w:rPr>
              <w:t>PMR</w:t>
            </w:r>
          </w:p>
        </w:tc>
        <w:tc>
          <w:tcPr>
            <w:tcW w:w="3854" w:type="pct"/>
            <w:tcBorders>
              <w:top w:val="single" w:sz="4" w:space="0" w:color="auto"/>
              <w:left w:val="single" w:sz="4" w:space="0" w:color="auto"/>
              <w:bottom w:val="single" w:sz="4" w:space="0" w:color="auto"/>
              <w:right w:val="single" w:sz="4" w:space="0" w:color="auto"/>
            </w:tcBorders>
          </w:tcPr>
          <w:p w14:paraId="76F5340F" w14:textId="6E865A98" w:rsidR="00637445" w:rsidRDefault="00637445" w:rsidP="00637445">
            <w:pPr>
              <w:spacing w:before="60" w:after="60"/>
              <w:rPr>
                <w:rFonts w:cs="Arial"/>
                <w:bCs/>
                <w:iCs/>
                <w:color w:val="000000"/>
                <w:sz w:val="20"/>
                <w:szCs w:val="20"/>
              </w:rPr>
            </w:pPr>
            <w:r w:rsidRPr="00637445">
              <w:rPr>
                <w:rFonts w:cs="Arial"/>
                <w:bCs/>
                <w:iCs/>
                <w:color w:val="000000"/>
                <w:sz w:val="20"/>
                <w:szCs w:val="20"/>
              </w:rPr>
              <w:t>Post-</w:t>
            </w:r>
            <w:r w:rsidR="00155E83">
              <w:rPr>
                <w:rFonts w:cs="Arial"/>
                <w:bCs/>
                <w:iCs/>
                <w:color w:val="000000"/>
                <w:sz w:val="20"/>
                <w:szCs w:val="20"/>
              </w:rPr>
              <w:t>m</w:t>
            </w:r>
            <w:r w:rsidRPr="00637445">
              <w:rPr>
                <w:rFonts w:cs="Arial"/>
                <w:bCs/>
                <w:iCs/>
                <w:color w:val="000000"/>
                <w:sz w:val="20"/>
                <w:szCs w:val="20"/>
              </w:rPr>
              <w:t>arket Review</w:t>
            </w:r>
          </w:p>
        </w:tc>
      </w:tr>
      <w:tr w:rsidR="001A3AEA" w14:paraId="3C9AFBD6"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36BC56FF" w14:textId="1A74FE02" w:rsidR="001A3AEA" w:rsidRPr="00637445" w:rsidRDefault="001A3AEA" w:rsidP="00637445">
            <w:pPr>
              <w:spacing w:before="60" w:after="60"/>
              <w:rPr>
                <w:rFonts w:cs="Arial"/>
                <w:bCs/>
                <w:iCs/>
                <w:color w:val="000000"/>
                <w:sz w:val="20"/>
                <w:szCs w:val="20"/>
              </w:rPr>
            </w:pPr>
            <w:r>
              <w:rPr>
                <w:rFonts w:cs="Arial"/>
                <w:bCs/>
                <w:iCs/>
                <w:color w:val="000000"/>
                <w:sz w:val="20"/>
                <w:szCs w:val="20"/>
              </w:rPr>
              <w:t>QALY</w:t>
            </w:r>
          </w:p>
        </w:tc>
        <w:tc>
          <w:tcPr>
            <w:tcW w:w="3854" w:type="pct"/>
            <w:tcBorders>
              <w:top w:val="single" w:sz="4" w:space="0" w:color="auto"/>
              <w:left w:val="single" w:sz="4" w:space="0" w:color="auto"/>
              <w:bottom w:val="single" w:sz="4" w:space="0" w:color="auto"/>
              <w:right w:val="single" w:sz="4" w:space="0" w:color="auto"/>
            </w:tcBorders>
          </w:tcPr>
          <w:p w14:paraId="72623513" w14:textId="3DFE5411" w:rsidR="001A3AEA" w:rsidRPr="00637445" w:rsidRDefault="001A3AEA" w:rsidP="00637445">
            <w:pPr>
              <w:spacing w:before="60" w:after="60"/>
              <w:rPr>
                <w:rFonts w:cs="Arial"/>
                <w:bCs/>
                <w:iCs/>
                <w:color w:val="000000"/>
                <w:sz w:val="20"/>
                <w:szCs w:val="20"/>
              </w:rPr>
            </w:pPr>
            <w:r>
              <w:rPr>
                <w:rFonts w:cs="Arial"/>
                <w:bCs/>
                <w:iCs/>
                <w:color w:val="000000"/>
                <w:sz w:val="20"/>
                <w:szCs w:val="20"/>
              </w:rPr>
              <w:t>Q</w:t>
            </w:r>
            <w:r w:rsidRPr="001A3AEA">
              <w:rPr>
                <w:rFonts w:cs="Arial"/>
                <w:bCs/>
                <w:iCs/>
                <w:color w:val="000000"/>
                <w:sz w:val="20"/>
                <w:szCs w:val="20"/>
              </w:rPr>
              <w:t>uality-adjusted life-year</w:t>
            </w:r>
          </w:p>
        </w:tc>
      </w:tr>
      <w:tr w:rsidR="00637445" w14:paraId="5480261C"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464B630C" w14:textId="77777777" w:rsidR="00637445" w:rsidRDefault="00637445" w:rsidP="00637445">
            <w:pPr>
              <w:spacing w:before="60" w:after="60"/>
              <w:rPr>
                <w:rFonts w:cs="Arial"/>
                <w:bCs/>
                <w:iCs/>
                <w:color w:val="000000"/>
                <w:sz w:val="20"/>
                <w:szCs w:val="20"/>
              </w:rPr>
            </w:pPr>
            <w:r>
              <w:rPr>
                <w:rFonts w:cs="Arial"/>
                <w:bCs/>
                <w:iCs/>
                <w:color w:val="000000"/>
                <w:sz w:val="20"/>
                <w:szCs w:val="20"/>
              </w:rPr>
              <w:t>RACGP</w:t>
            </w:r>
          </w:p>
        </w:tc>
        <w:tc>
          <w:tcPr>
            <w:tcW w:w="3854" w:type="pct"/>
            <w:tcBorders>
              <w:top w:val="single" w:sz="4" w:space="0" w:color="auto"/>
              <w:left w:val="single" w:sz="4" w:space="0" w:color="auto"/>
              <w:bottom w:val="single" w:sz="4" w:space="0" w:color="auto"/>
              <w:right w:val="single" w:sz="4" w:space="0" w:color="auto"/>
            </w:tcBorders>
          </w:tcPr>
          <w:p w14:paraId="5523ABBC" w14:textId="77777777" w:rsidR="00637445" w:rsidRDefault="00637445" w:rsidP="00637445">
            <w:pPr>
              <w:spacing w:before="60" w:after="60"/>
              <w:rPr>
                <w:rFonts w:cs="Arial"/>
                <w:bCs/>
                <w:iCs/>
                <w:color w:val="000000"/>
                <w:sz w:val="20"/>
                <w:szCs w:val="20"/>
              </w:rPr>
            </w:pPr>
            <w:r>
              <w:rPr>
                <w:rFonts w:cs="Arial"/>
                <w:bCs/>
                <w:iCs/>
                <w:color w:val="000000"/>
                <w:sz w:val="20"/>
                <w:szCs w:val="20"/>
              </w:rPr>
              <w:t>Royal Australian College of General Practitioners</w:t>
            </w:r>
          </w:p>
        </w:tc>
      </w:tr>
      <w:tr w:rsidR="00637445" w14:paraId="22EF1CF1"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56EE0451" w14:textId="28204E06" w:rsidR="00637445" w:rsidRDefault="00637445" w:rsidP="00637445">
            <w:pPr>
              <w:spacing w:before="60" w:after="60"/>
              <w:rPr>
                <w:rFonts w:cs="Arial"/>
                <w:bCs/>
                <w:iCs/>
                <w:color w:val="000000"/>
                <w:sz w:val="20"/>
                <w:szCs w:val="20"/>
              </w:rPr>
            </w:pPr>
            <w:r>
              <w:rPr>
                <w:rFonts w:cs="Arial"/>
                <w:bCs/>
                <w:iCs/>
                <w:color w:val="000000"/>
                <w:sz w:val="20"/>
                <w:szCs w:val="20"/>
              </w:rPr>
              <w:t>RCT</w:t>
            </w:r>
          </w:p>
        </w:tc>
        <w:tc>
          <w:tcPr>
            <w:tcW w:w="3854" w:type="pct"/>
            <w:tcBorders>
              <w:top w:val="single" w:sz="4" w:space="0" w:color="auto"/>
              <w:left w:val="single" w:sz="4" w:space="0" w:color="auto"/>
              <w:bottom w:val="single" w:sz="4" w:space="0" w:color="auto"/>
              <w:right w:val="single" w:sz="4" w:space="0" w:color="auto"/>
            </w:tcBorders>
          </w:tcPr>
          <w:p w14:paraId="04288E7E" w14:textId="62840DC6" w:rsidR="00637445" w:rsidRDefault="00637445" w:rsidP="00F77C2B">
            <w:pPr>
              <w:spacing w:before="60" w:after="60"/>
              <w:rPr>
                <w:rFonts w:cs="Arial"/>
                <w:bCs/>
                <w:iCs/>
                <w:color w:val="000000"/>
                <w:sz w:val="20"/>
                <w:szCs w:val="20"/>
              </w:rPr>
            </w:pPr>
            <w:bookmarkStart w:id="4" w:name="_Hlk112066271"/>
            <w:r>
              <w:rPr>
                <w:rFonts w:cs="Arial"/>
                <w:bCs/>
                <w:iCs/>
                <w:color w:val="000000"/>
                <w:sz w:val="20"/>
                <w:szCs w:val="20"/>
              </w:rPr>
              <w:t>R</w:t>
            </w:r>
            <w:r w:rsidRPr="00637445">
              <w:rPr>
                <w:rFonts w:cs="Arial"/>
                <w:bCs/>
                <w:iCs/>
                <w:color w:val="000000"/>
                <w:sz w:val="20"/>
                <w:szCs w:val="20"/>
              </w:rPr>
              <w:t xml:space="preserve">andomised </w:t>
            </w:r>
            <w:r w:rsidR="00155E83">
              <w:rPr>
                <w:rFonts w:cs="Arial"/>
                <w:bCs/>
                <w:iCs/>
                <w:color w:val="000000"/>
                <w:sz w:val="20"/>
                <w:szCs w:val="20"/>
              </w:rPr>
              <w:t>c</w:t>
            </w:r>
            <w:r w:rsidRPr="00637445">
              <w:rPr>
                <w:rFonts w:cs="Arial"/>
                <w:bCs/>
                <w:iCs/>
                <w:color w:val="000000"/>
                <w:sz w:val="20"/>
                <w:szCs w:val="20"/>
              </w:rPr>
              <w:t xml:space="preserve">ontrolled </w:t>
            </w:r>
            <w:r w:rsidR="00155E83">
              <w:rPr>
                <w:rFonts w:cs="Arial"/>
                <w:bCs/>
                <w:iCs/>
                <w:color w:val="000000"/>
                <w:sz w:val="20"/>
                <w:szCs w:val="20"/>
              </w:rPr>
              <w:t>t</w:t>
            </w:r>
            <w:r w:rsidRPr="00637445">
              <w:rPr>
                <w:rFonts w:cs="Arial"/>
                <w:bCs/>
                <w:iCs/>
                <w:color w:val="000000"/>
                <w:sz w:val="20"/>
                <w:szCs w:val="20"/>
              </w:rPr>
              <w:t>rial</w:t>
            </w:r>
            <w:bookmarkEnd w:id="4"/>
          </w:p>
        </w:tc>
      </w:tr>
      <w:tr w:rsidR="00D240CA" w14:paraId="712F14CC"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758E4E01" w14:textId="03A37E47" w:rsidR="00D240CA" w:rsidRDefault="00D240CA" w:rsidP="00637445">
            <w:pPr>
              <w:spacing w:before="60" w:after="60"/>
              <w:rPr>
                <w:rFonts w:cs="Arial"/>
                <w:bCs/>
                <w:iCs/>
                <w:color w:val="000000"/>
                <w:sz w:val="20"/>
                <w:szCs w:val="20"/>
              </w:rPr>
            </w:pPr>
            <w:r>
              <w:rPr>
                <w:rFonts w:cs="Arial"/>
                <w:bCs/>
                <w:iCs/>
                <w:color w:val="000000"/>
                <w:sz w:val="20"/>
                <w:szCs w:val="20"/>
              </w:rPr>
              <w:t>RPBS</w:t>
            </w:r>
          </w:p>
        </w:tc>
        <w:tc>
          <w:tcPr>
            <w:tcW w:w="3854" w:type="pct"/>
            <w:tcBorders>
              <w:top w:val="single" w:sz="4" w:space="0" w:color="auto"/>
              <w:left w:val="single" w:sz="4" w:space="0" w:color="auto"/>
              <w:bottom w:val="single" w:sz="4" w:space="0" w:color="auto"/>
              <w:right w:val="single" w:sz="4" w:space="0" w:color="auto"/>
            </w:tcBorders>
          </w:tcPr>
          <w:p w14:paraId="6F537EA9" w14:textId="363DDC9B" w:rsidR="00D240CA" w:rsidRDefault="00D240CA" w:rsidP="00F77C2B">
            <w:pPr>
              <w:spacing w:before="60" w:after="60"/>
              <w:rPr>
                <w:rFonts w:cs="Arial"/>
                <w:bCs/>
                <w:iCs/>
                <w:color w:val="000000"/>
                <w:sz w:val="20"/>
                <w:szCs w:val="20"/>
              </w:rPr>
            </w:pPr>
            <w:r w:rsidRPr="00D240CA">
              <w:rPr>
                <w:rFonts w:cs="Arial"/>
                <w:bCs/>
                <w:iCs/>
                <w:color w:val="000000"/>
                <w:sz w:val="20"/>
                <w:szCs w:val="20"/>
              </w:rPr>
              <w:t>Repatriation Pharmaceutical Benefits Scheme</w:t>
            </w:r>
          </w:p>
        </w:tc>
      </w:tr>
      <w:tr w:rsidR="00637445" w:rsidRPr="004A45ED" w14:paraId="79BFDABE"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7FEEA511" w14:textId="77777777" w:rsidR="00637445" w:rsidRPr="003717F1" w:rsidRDefault="00637445" w:rsidP="00637445">
            <w:pPr>
              <w:spacing w:before="60" w:after="60"/>
              <w:rPr>
                <w:rFonts w:cs="Arial"/>
                <w:bCs/>
                <w:iCs/>
                <w:color w:val="000000"/>
                <w:sz w:val="20"/>
                <w:szCs w:val="20"/>
              </w:rPr>
            </w:pPr>
            <w:r>
              <w:rPr>
                <w:rFonts w:cs="Arial"/>
                <w:bCs/>
                <w:iCs/>
                <w:color w:val="000000"/>
                <w:sz w:val="20"/>
                <w:szCs w:val="20"/>
              </w:rPr>
              <w:t>TGA</w:t>
            </w:r>
          </w:p>
        </w:tc>
        <w:tc>
          <w:tcPr>
            <w:tcW w:w="3854" w:type="pct"/>
            <w:tcBorders>
              <w:top w:val="single" w:sz="4" w:space="0" w:color="auto"/>
              <w:left w:val="single" w:sz="4" w:space="0" w:color="auto"/>
              <w:bottom w:val="single" w:sz="4" w:space="0" w:color="auto"/>
              <w:right w:val="single" w:sz="4" w:space="0" w:color="auto"/>
            </w:tcBorders>
          </w:tcPr>
          <w:p w14:paraId="013F7032" w14:textId="77777777" w:rsidR="00637445" w:rsidRPr="004A45ED" w:rsidRDefault="00637445" w:rsidP="00637445">
            <w:pPr>
              <w:spacing w:before="60" w:after="60"/>
              <w:rPr>
                <w:rFonts w:cs="Arial"/>
                <w:bCs/>
                <w:iCs/>
                <w:color w:val="000000"/>
                <w:sz w:val="20"/>
                <w:szCs w:val="20"/>
              </w:rPr>
            </w:pPr>
            <w:r w:rsidRPr="004A45ED">
              <w:rPr>
                <w:rFonts w:cs="Arial"/>
                <w:bCs/>
                <w:iCs/>
                <w:color w:val="000000"/>
                <w:sz w:val="20"/>
                <w:szCs w:val="20"/>
              </w:rPr>
              <w:t>Therapeutic Goods Administration</w:t>
            </w:r>
          </w:p>
        </w:tc>
      </w:tr>
      <w:tr w:rsidR="00637445" w:rsidRPr="009566E4" w14:paraId="1BAE9D3C"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5037AE26" w14:textId="77777777"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ToR</w:t>
            </w:r>
          </w:p>
        </w:tc>
        <w:tc>
          <w:tcPr>
            <w:tcW w:w="3854" w:type="pct"/>
            <w:tcBorders>
              <w:top w:val="single" w:sz="4" w:space="0" w:color="auto"/>
              <w:left w:val="single" w:sz="4" w:space="0" w:color="auto"/>
              <w:bottom w:val="single" w:sz="4" w:space="0" w:color="auto"/>
              <w:right w:val="single" w:sz="4" w:space="0" w:color="auto"/>
            </w:tcBorders>
          </w:tcPr>
          <w:p w14:paraId="0320C83E" w14:textId="53F53DD8" w:rsidR="00637445" w:rsidRPr="009566E4" w:rsidRDefault="00CC2D13" w:rsidP="00637445">
            <w:pPr>
              <w:spacing w:before="60" w:after="60"/>
              <w:rPr>
                <w:rFonts w:cs="Arial"/>
                <w:bCs/>
                <w:iCs/>
                <w:color w:val="000000"/>
                <w:sz w:val="20"/>
                <w:szCs w:val="20"/>
              </w:rPr>
            </w:pPr>
            <w:r>
              <w:rPr>
                <w:rFonts w:cs="Arial"/>
                <w:bCs/>
                <w:iCs/>
                <w:color w:val="000000"/>
                <w:sz w:val="20"/>
                <w:szCs w:val="20"/>
              </w:rPr>
              <w:t>T</w:t>
            </w:r>
            <w:r w:rsidR="00637445" w:rsidRPr="009566E4">
              <w:rPr>
                <w:rFonts w:cs="Arial"/>
                <w:bCs/>
                <w:iCs/>
                <w:color w:val="000000"/>
                <w:sz w:val="20"/>
                <w:szCs w:val="20"/>
              </w:rPr>
              <w:t xml:space="preserve">erm of </w:t>
            </w:r>
            <w:r w:rsidR="00D53A80">
              <w:rPr>
                <w:rFonts w:cs="Arial"/>
                <w:bCs/>
                <w:iCs/>
                <w:color w:val="000000"/>
                <w:sz w:val="20"/>
                <w:szCs w:val="20"/>
              </w:rPr>
              <w:t>r</w:t>
            </w:r>
            <w:r w:rsidR="00637445" w:rsidRPr="009566E4">
              <w:rPr>
                <w:rFonts w:cs="Arial"/>
                <w:bCs/>
                <w:iCs/>
                <w:color w:val="000000"/>
                <w:sz w:val="20"/>
                <w:szCs w:val="20"/>
              </w:rPr>
              <w:t>eference</w:t>
            </w:r>
          </w:p>
        </w:tc>
      </w:tr>
      <w:tr w:rsidR="00637445" w:rsidRPr="009566E4" w14:paraId="25D84A2D"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14D2CECF" w14:textId="77777777"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UK</w:t>
            </w:r>
          </w:p>
        </w:tc>
        <w:tc>
          <w:tcPr>
            <w:tcW w:w="3854" w:type="pct"/>
            <w:tcBorders>
              <w:top w:val="single" w:sz="4" w:space="0" w:color="auto"/>
              <w:left w:val="single" w:sz="4" w:space="0" w:color="auto"/>
              <w:bottom w:val="single" w:sz="4" w:space="0" w:color="auto"/>
              <w:right w:val="single" w:sz="4" w:space="0" w:color="auto"/>
            </w:tcBorders>
          </w:tcPr>
          <w:p w14:paraId="765494AB" w14:textId="77777777"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United Kingdom</w:t>
            </w:r>
          </w:p>
        </w:tc>
      </w:tr>
      <w:tr w:rsidR="00637445" w:rsidRPr="009566E4" w14:paraId="13B48664"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75A2631B" w14:textId="77777777"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US</w:t>
            </w:r>
          </w:p>
        </w:tc>
        <w:tc>
          <w:tcPr>
            <w:tcW w:w="3854" w:type="pct"/>
            <w:tcBorders>
              <w:top w:val="single" w:sz="4" w:space="0" w:color="auto"/>
              <w:left w:val="single" w:sz="4" w:space="0" w:color="auto"/>
              <w:bottom w:val="single" w:sz="4" w:space="0" w:color="auto"/>
              <w:right w:val="single" w:sz="4" w:space="0" w:color="auto"/>
            </w:tcBorders>
          </w:tcPr>
          <w:p w14:paraId="71C0FCF0" w14:textId="77777777"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United States</w:t>
            </w:r>
          </w:p>
        </w:tc>
      </w:tr>
      <w:tr w:rsidR="00FF170B" w:rsidRPr="009566E4" w14:paraId="2832D213"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56F9D560" w14:textId="4D7DD33F" w:rsidR="00FF170B" w:rsidRPr="009566E4" w:rsidRDefault="00FF170B" w:rsidP="00637445">
            <w:pPr>
              <w:spacing w:before="60" w:after="60"/>
              <w:rPr>
                <w:rFonts w:cs="Arial"/>
                <w:bCs/>
                <w:iCs/>
                <w:color w:val="000000"/>
                <w:sz w:val="20"/>
                <w:szCs w:val="20"/>
              </w:rPr>
            </w:pPr>
            <w:r>
              <w:rPr>
                <w:rFonts w:cs="Arial"/>
                <w:bCs/>
                <w:iCs/>
                <w:color w:val="000000"/>
                <w:sz w:val="20"/>
                <w:szCs w:val="20"/>
              </w:rPr>
              <w:t>VAR</w:t>
            </w:r>
          </w:p>
        </w:tc>
        <w:tc>
          <w:tcPr>
            <w:tcW w:w="3854" w:type="pct"/>
            <w:tcBorders>
              <w:top w:val="single" w:sz="4" w:space="0" w:color="auto"/>
              <w:left w:val="single" w:sz="4" w:space="0" w:color="auto"/>
              <w:bottom w:val="single" w:sz="4" w:space="0" w:color="auto"/>
              <w:right w:val="single" w:sz="4" w:space="0" w:color="auto"/>
            </w:tcBorders>
          </w:tcPr>
          <w:p w14:paraId="497BA9ED" w14:textId="73C4FB2B" w:rsidR="00FF170B" w:rsidRPr="009566E4" w:rsidRDefault="00FF170B" w:rsidP="00637445">
            <w:pPr>
              <w:spacing w:before="60" w:after="60"/>
              <w:rPr>
                <w:rFonts w:cs="Arial"/>
                <w:bCs/>
                <w:iCs/>
                <w:color w:val="000000"/>
                <w:sz w:val="20"/>
                <w:szCs w:val="20"/>
              </w:rPr>
            </w:pPr>
            <w:r>
              <w:rPr>
                <w:rFonts w:cs="Arial"/>
                <w:bCs/>
                <w:iCs/>
                <w:color w:val="000000"/>
                <w:sz w:val="20"/>
                <w:szCs w:val="20"/>
              </w:rPr>
              <w:t>Varenicline</w:t>
            </w:r>
          </w:p>
        </w:tc>
      </w:tr>
      <w:tr w:rsidR="00637445" w:rsidRPr="009566E4" w14:paraId="727DB101" w14:textId="77777777" w:rsidTr="006E2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70"/>
        </w:trPr>
        <w:tc>
          <w:tcPr>
            <w:tcW w:w="1146" w:type="pct"/>
            <w:tcBorders>
              <w:top w:val="single" w:sz="4" w:space="0" w:color="auto"/>
              <w:left w:val="single" w:sz="4" w:space="0" w:color="auto"/>
              <w:bottom w:val="single" w:sz="4" w:space="0" w:color="auto"/>
              <w:right w:val="single" w:sz="4" w:space="0" w:color="auto"/>
            </w:tcBorders>
          </w:tcPr>
          <w:p w14:paraId="0DA6CF94" w14:textId="77777777"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WA</w:t>
            </w:r>
          </w:p>
        </w:tc>
        <w:tc>
          <w:tcPr>
            <w:tcW w:w="3854" w:type="pct"/>
            <w:tcBorders>
              <w:top w:val="single" w:sz="4" w:space="0" w:color="auto"/>
              <w:left w:val="single" w:sz="4" w:space="0" w:color="auto"/>
              <w:bottom w:val="single" w:sz="4" w:space="0" w:color="auto"/>
              <w:right w:val="single" w:sz="4" w:space="0" w:color="auto"/>
            </w:tcBorders>
          </w:tcPr>
          <w:p w14:paraId="53760A80" w14:textId="77777777" w:rsidR="00637445" w:rsidRPr="009566E4" w:rsidRDefault="00637445" w:rsidP="00637445">
            <w:pPr>
              <w:spacing w:before="60" w:after="60"/>
              <w:rPr>
                <w:rFonts w:cs="Arial"/>
                <w:bCs/>
                <w:iCs/>
                <w:color w:val="000000"/>
                <w:sz w:val="20"/>
                <w:szCs w:val="20"/>
              </w:rPr>
            </w:pPr>
            <w:r w:rsidRPr="009566E4">
              <w:rPr>
                <w:rFonts w:cs="Arial"/>
                <w:bCs/>
                <w:iCs/>
                <w:color w:val="000000"/>
                <w:sz w:val="20"/>
                <w:szCs w:val="20"/>
              </w:rPr>
              <w:t>Western Australia</w:t>
            </w:r>
          </w:p>
        </w:tc>
      </w:tr>
    </w:tbl>
    <w:p w14:paraId="42AAF89C" w14:textId="77777777" w:rsidR="00AE6136" w:rsidRPr="00780759" w:rsidRDefault="00565915" w:rsidP="00FF3A5C">
      <w:pPr>
        <w:pStyle w:val="Heading1"/>
        <w:spacing w:before="0"/>
      </w:pPr>
      <w:r>
        <w:br w:type="page"/>
      </w:r>
      <w:bookmarkStart w:id="5" w:name="_Toc503771649"/>
      <w:bookmarkStart w:id="6" w:name="_Toc64374374"/>
      <w:bookmarkStart w:id="7" w:name="_Toc111710668"/>
      <w:r w:rsidR="00AE6136" w:rsidRPr="00780759">
        <w:lastRenderedPageBreak/>
        <w:t>Acknowledgements</w:t>
      </w:r>
      <w:bookmarkEnd w:id="5"/>
      <w:bookmarkEnd w:id="6"/>
      <w:bookmarkEnd w:id="7"/>
    </w:p>
    <w:p w14:paraId="341049AC" w14:textId="77777777" w:rsidR="00AE6136" w:rsidRPr="006F6D83" w:rsidRDefault="00AE6136" w:rsidP="00523139">
      <w:pPr>
        <w:pStyle w:val="BodyText"/>
        <w:spacing w:after="120"/>
        <w:jc w:val="both"/>
      </w:pPr>
      <w:r w:rsidRPr="00780759">
        <w:t xml:space="preserve">The following organisations and staff have been involved in </w:t>
      </w:r>
      <w:r>
        <w:t>the preparation of this report:</w:t>
      </w:r>
    </w:p>
    <w:p w14:paraId="624371F8" w14:textId="6D739E62" w:rsidR="008726DB" w:rsidRPr="00780759" w:rsidRDefault="008726DB" w:rsidP="00523139">
      <w:pPr>
        <w:pStyle w:val="BodyText"/>
        <w:spacing w:before="240" w:after="120"/>
        <w:jc w:val="both"/>
        <w:rPr>
          <w:b/>
        </w:rPr>
      </w:pPr>
      <w:r>
        <w:rPr>
          <w:b/>
        </w:rPr>
        <w:t>The Centre for Health Economics Research and Evaluation (CHERE)</w:t>
      </w:r>
      <w:r w:rsidRPr="00780759">
        <w:rPr>
          <w:b/>
        </w:rPr>
        <w:t>:</w:t>
      </w:r>
    </w:p>
    <w:p w14:paraId="1E362241" w14:textId="6097B678" w:rsidR="008726DB" w:rsidRDefault="008726DB" w:rsidP="00523139">
      <w:pPr>
        <w:pStyle w:val="BodyText"/>
        <w:spacing w:before="120" w:after="120"/>
        <w:jc w:val="both"/>
      </w:pPr>
      <w:r>
        <w:t>A/Prof Tracey Laba</w:t>
      </w:r>
    </w:p>
    <w:p w14:paraId="373FFEBF" w14:textId="4652825F" w:rsidR="008726DB" w:rsidRDefault="008726DB" w:rsidP="00523139">
      <w:pPr>
        <w:pStyle w:val="BodyText"/>
        <w:spacing w:before="120" w:after="120"/>
        <w:jc w:val="both"/>
      </w:pPr>
      <w:r>
        <w:t>A/Prof Ruth Webster</w:t>
      </w:r>
    </w:p>
    <w:p w14:paraId="6660499B" w14:textId="55BCCB87" w:rsidR="008726DB" w:rsidRDefault="008726DB" w:rsidP="00523139">
      <w:pPr>
        <w:pStyle w:val="BodyText"/>
        <w:spacing w:before="120" w:after="120"/>
        <w:jc w:val="both"/>
      </w:pPr>
      <w:r>
        <w:t>Mussab Fagery</w:t>
      </w:r>
    </w:p>
    <w:p w14:paraId="46D8DFCC" w14:textId="056F5947" w:rsidR="008726DB" w:rsidRDefault="008726DB" w:rsidP="00523139">
      <w:pPr>
        <w:pStyle w:val="BodyText"/>
        <w:spacing w:before="120" w:after="120"/>
        <w:jc w:val="both"/>
      </w:pPr>
      <w:r>
        <w:t>Terence Khoo</w:t>
      </w:r>
    </w:p>
    <w:p w14:paraId="5B9D5C03" w14:textId="562B9963" w:rsidR="008726DB" w:rsidRDefault="008726DB" w:rsidP="00523139">
      <w:pPr>
        <w:pStyle w:val="BodyText"/>
        <w:spacing w:before="240" w:after="120"/>
        <w:jc w:val="both"/>
        <w:rPr>
          <w:b/>
        </w:rPr>
      </w:pPr>
      <w:r>
        <w:rPr>
          <w:b/>
        </w:rPr>
        <w:t>The University of South Australia (UniSA): Clinical and Health Sciences</w:t>
      </w:r>
    </w:p>
    <w:p w14:paraId="059E6B27" w14:textId="2C9EF78E" w:rsidR="008726DB" w:rsidRDefault="008726DB" w:rsidP="00523139">
      <w:pPr>
        <w:pStyle w:val="BodyText"/>
        <w:spacing w:before="120" w:after="120"/>
        <w:jc w:val="both"/>
      </w:pPr>
      <w:r>
        <w:t>Professor Libby Roughead</w:t>
      </w:r>
    </w:p>
    <w:p w14:paraId="30AA5777" w14:textId="4B278251" w:rsidR="008726DB" w:rsidRDefault="008726DB" w:rsidP="00523139">
      <w:pPr>
        <w:pStyle w:val="BodyText"/>
        <w:spacing w:before="120" w:after="120"/>
        <w:jc w:val="both"/>
      </w:pPr>
      <w:r>
        <w:t>Dr Svetla Gadzhanova</w:t>
      </w:r>
    </w:p>
    <w:p w14:paraId="0F9E9683" w14:textId="77777777" w:rsidR="00107221" w:rsidRPr="00107221" w:rsidRDefault="00107221" w:rsidP="00107221">
      <w:pPr>
        <w:spacing w:before="240" w:after="120"/>
        <w:jc w:val="both"/>
        <w:rPr>
          <w:rFonts w:ascii="Calibri" w:eastAsia="Calibri" w:hAnsi="Calibri" w:cs="Calibri"/>
          <w:b/>
          <w:bCs/>
        </w:rPr>
      </w:pPr>
      <w:r w:rsidRPr="00107221">
        <w:rPr>
          <w:rFonts w:ascii="Calibri" w:eastAsia="Calibri" w:hAnsi="Calibri" w:cs="Calibri"/>
          <w:b/>
          <w:bCs/>
        </w:rPr>
        <w:t xml:space="preserve">Monash University: Centre for Health Economics (CHE) </w:t>
      </w:r>
    </w:p>
    <w:p w14:paraId="5200DD08" w14:textId="77777777" w:rsidR="00107221" w:rsidRPr="00107221" w:rsidRDefault="00107221" w:rsidP="00B530FD">
      <w:pPr>
        <w:spacing w:after="120"/>
        <w:jc w:val="both"/>
        <w:rPr>
          <w:rFonts w:ascii="Calibri" w:eastAsia="Calibri" w:hAnsi="Calibri" w:cs="Calibri"/>
        </w:rPr>
      </w:pPr>
      <w:r w:rsidRPr="00107221">
        <w:rPr>
          <w:rFonts w:ascii="Calibri" w:eastAsia="Calibri" w:hAnsi="Calibri" w:cs="Calibri"/>
        </w:rPr>
        <w:t xml:space="preserve">A/Prof Dennis Petrie </w:t>
      </w:r>
    </w:p>
    <w:p w14:paraId="062C53A7" w14:textId="77777777" w:rsidR="00107221" w:rsidRPr="00107221" w:rsidRDefault="00107221" w:rsidP="00B530FD">
      <w:pPr>
        <w:spacing w:after="120"/>
        <w:jc w:val="both"/>
        <w:rPr>
          <w:rFonts w:ascii="Calibri" w:eastAsia="Calibri" w:hAnsi="Calibri" w:cs="Calibri"/>
        </w:rPr>
      </w:pPr>
      <w:r w:rsidRPr="00107221">
        <w:rPr>
          <w:rFonts w:ascii="Calibri" w:eastAsia="Calibri" w:hAnsi="Calibri" w:cs="Calibri"/>
        </w:rPr>
        <w:t>Peter Ghijben</w:t>
      </w:r>
    </w:p>
    <w:p w14:paraId="6D91D5AD" w14:textId="77777777" w:rsidR="00107221" w:rsidRPr="00107221" w:rsidRDefault="00107221" w:rsidP="00B530FD">
      <w:pPr>
        <w:spacing w:after="120"/>
        <w:jc w:val="both"/>
        <w:rPr>
          <w:rFonts w:ascii="Calibri" w:eastAsia="Calibri" w:hAnsi="Calibri" w:cs="Calibri"/>
        </w:rPr>
      </w:pPr>
      <w:r w:rsidRPr="00107221">
        <w:rPr>
          <w:rFonts w:ascii="Calibri" w:eastAsia="Calibri" w:hAnsi="Calibri" w:cs="Calibri"/>
        </w:rPr>
        <w:t>Jing Jing Li</w:t>
      </w:r>
    </w:p>
    <w:p w14:paraId="0EBF4DE7" w14:textId="77777777" w:rsidR="00107221" w:rsidRDefault="00107221" w:rsidP="00B530FD">
      <w:pPr>
        <w:spacing w:after="120"/>
        <w:jc w:val="both"/>
        <w:rPr>
          <w:rFonts w:ascii="Calibri" w:eastAsia="Calibri" w:hAnsi="Calibri" w:cs="Calibri"/>
        </w:rPr>
      </w:pPr>
      <w:r>
        <w:rPr>
          <w:rFonts w:ascii="Calibri" w:eastAsia="Calibri" w:hAnsi="Calibri" w:cs="Calibri"/>
        </w:rPr>
        <w:t>Dr Esa Chen</w:t>
      </w:r>
    </w:p>
    <w:p w14:paraId="5C1C5ABA" w14:textId="77777777" w:rsidR="00107221" w:rsidRDefault="00107221" w:rsidP="00B530FD">
      <w:pPr>
        <w:spacing w:after="120"/>
        <w:jc w:val="both"/>
        <w:rPr>
          <w:rFonts w:ascii="Calibri" w:eastAsia="Calibri" w:hAnsi="Calibri" w:cs="Calibri"/>
        </w:rPr>
      </w:pPr>
      <w:r>
        <w:rPr>
          <w:rFonts w:ascii="Calibri" w:eastAsia="Calibri" w:hAnsi="Calibri" w:cs="Calibri"/>
        </w:rPr>
        <w:t>Kah-Ling Sia</w:t>
      </w:r>
    </w:p>
    <w:p w14:paraId="46D17A2C" w14:textId="77777777" w:rsidR="00107221" w:rsidRDefault="00107221" w:rsidP="00B530FD">
      <w:pPr>
        <w:spacing w:after="120"/>
        <w:jc w:val="both"/>
        <w:rPr>
          <w:rFonts w:ascii="Calibri" w:eastAsia="Calibri" w:hAnsi="Calibri" w:cs="Calibri"/>
        </w:rPr>
      </w:pPr>
      <w:r>
        <w:rPr>
          <w:rFonts w:ascii="Calibri" w:eastAsia="Calibri" w:hAnsi="Calibri" w:cs="Calibri"/>
        </w:rPr>
        <w:t>Karinna Saxby</w:t>
      </w:r>
    </w:p>
    <w:p w14:paraId="6D48B356" w14:textId="77777777" w:rsidR="00107221" w:rsidRDefault="00107221" w:rsidP="00B530FD">
      <w:pPr>
        <w:spacing w:after="240"/>
        <w:jc w:val="both"/>
        <w:rPr>
          <w:rFonts w:ascii="Calibri" w:eastAsia="Calibri" w:hAnsi="Calibri" w:cs="Calibri"/>
        </w:rPr>
      </w:pPr>
      <w:r>
        <w:rPr>
          <w:rFonts w:ascii="Calibri" w:eastAsia="Calibri" w:hAnsi="Calibri" w:cs="Calibri"/>
        </w:rPr>
        <w:t>Andrew Ireland</w:t>
      </w:r>
    </w:p>
    <w:p w14:paraId="1914E3C7" w14:textId="5446D132" w:rsidR="00107221" w:rsidRDefault="00B530FD" w:rsidP="00B530FD">
      <w:pPr>
        <w:spacing w:after="120"/>
        <w:jc w:val="both"/>
        <w:rPr>
          <w:rFonts w:ascii="Calibri" w:eastAsia="Calibri" w:hAnsi="Calibri" w:cs="Calibri"/>
          <w:b/>
        </w:rPr>
      </w:pPr>
      <w:r>
        <w:rPr>
          <w:rFonts w:ascii="Calibri" w:eastAsia="Calibri" w:hAnsi="Calibri" w:cs="Calibri"/>
          <w:b/>
        </w:rPr>
        <w:t>University of New South Wales (</w:t>
      </w:r>
      <w:r w:rsidR="00107221">
        <w:rPr>
          <w:rFonts w:ascii="Calibri" w:eastAsia="Calibri" w:hAnsi="Calibri" w:cs="Calibri"/>
          <w:b/>
        </w:rPr>
        <w:t>UNSW</w:t>
      </w:r>
      <w:r>
        <w:rPr>
          <w:rFonts w:ascii="Calibri" w:eastAsia="Calibri" w:hAnsi="Calibri" w:cs="Calibri"/>
          <w:b/>
        </w:rPr>
        <w:t>)</w:t>
      </w:r>
      <w:r w:rsidR="00107221">
        <w:rPr>
          <w:rFonts w:ascii="Calibri" w:eastAsia="Calibri" w:hAnsi="Calibri" w:cs="Calibri"/>
          <w:b/>
        </w:rPr>
        <w:t>: National Drug and Alcohol Research Centre (NDARC)</w:t>
      </w:r>
    </w:p>
    <w:p w14:paraId="517314BF" w14:textId="77777777" w:rsidR="00107221" w:rsidRDefault="00107221" w:rsidP="00B530FD">
      <w:pPr>
        <w:spacing w:after="240"/>
        <w:jc w:val="both"/>
        <w:rPr>
          <w:rFonts w:ascii="Calibri" w:eastAsia="Calibri" w:hAnsi="Calibri" w:cs="Calibri"/>
        </w:rPr>
      </w:pPr>
      <w:r>
        <w:rPr>
          <w:rFonts w:ascii="Calibri" w:eastAsia="Calibri" w:hAnsi="Calibri" w:cs="Calibri"/>
        </w:rPr>
        <w:t>Dr Ryan Courtney</w:t>
      </w:r>
    </w:p>
    <w:p w14:paraId="494CA0CA" w14:textId="3C3CE19F" w:rsidR="00AE6136" w:rsidRPr="00780759" w:rsidRDefault="00AE6136" w:rsidP="00523139">
      <w:pPr>
        <w:pStyle w:val="BodyText"/>
        <w:spacing w:before="240" w:after="120"/>
        <w:jc w:val="both"/>
        <w:rPr>
          <w:b/>
        </w:rPr>
      </w:pPr>
      <w:r w:rsidRPr="00780759">
        <w:rPr>
          <w:b/>
        </w:rPr>
        <w:t xml:space="preserve">Expert </w:t>
      </w:r>
      <w:r w:rsidR="005563EC">
        <w:rPr>
          <w:b/>
        </w:rPr>
        <w:t>r</w:t>
      </w:r>
      <w:r w:rsidRPr="00780759">
        <w:rPr>
          <w:b/>
        </w:rPr>
        <w:t xml:space="preserve">eference </w:t>
      </w:r>
      <w:r w:rsidR="005563EC">
        <w:rPr>
          <w:b/>
        </w:rPr>
        <w:t>g</w:t>
      </w:r>
      <w:r w:rsidRPr="00780759">
        <w:rPr>
          <w:b/>
        </w:rPr>
        <w:t>roup:</w:t>
      </w:r>
    </w:p>
    <w:p w14:paraId="1BC1496A" w14:textId="34EA0078" w:rsidR="00AE6136" w:rsidRPr="00780759" w:rsidRDefault="00AE6136" w:rsidP="00523139">
      <w:pPr>
        <w:pStyle w:val="BodyText"/>
        <w:spacing w:before="120" w:after="120"/>
        <w:jc w:val="both"/>
      </w:pPr>
      <w:r w:rsidRPr="00780759">
        <w:t xml:space="preserve">Membership listed in Appendix A – Reference </w:t>
      </w:r>
      <w:r w:rsidR="00A81C41">
        <w:t>g</w:t>
      </w:r>
      <w:r w:rsidRPr="00780759">
        <w:t xml:space="preserve">roup </w:t>
      </w:r>
      <w:r w:rsidR="00A81C41">
        <w:t>m</w:t>
      </w:r>
      <w:r w:rsidRPr="00780759">
        <w:t>embers</w:t>
      </w:r>
    </w:p>
    <w:p w14:paraId="3022EF53" w14:textId="28501E5B" w:rsidR="00AE6136" w:rsidRDefault="00AE6136">
      <w:pPr>
        <w:spacing w:line="276" w:lineRule="auto"/>
      </w:pPr>
      <w:r>
        <w:br w:type="page"/>
      </w:r>
    </w:p>
    <w:p w14:paraId="72B6D23D" w14:textId="06A8570C" w:rsidR="00263780" w:rsidRPr="00263780" w:rsidRDefault="000F482F" w:rsidP="00FF3A5C">
      <w:pPr>
        <w:pStyle w:val="Heading1"/>
        <w:spacing w:before="0"/>
        <w:rPr>
          <w:sz w:val="24"/>
          <w:szCs w:val="24"/>
        </w:rPr>
      </w:pPr>
      <w:bookmarkStart w:id="8" w:name="_Toc111710669"/>
      <w:r>
        <w:lastRenderedPageBreak/>
        <w:t>Report</w:t>
      </w:r>
      <w:r w:rsidR="00B14CBF" w:rsidRPr="00FE1642">
        <w:t xml:space="preserve"> </w:t>
      </w:r>
      <w:r w:rsidR="004E2632">
        <w:t>s</w:t>
      </w:r>
      <w:r w:rsidR="00B14CBF" w:rsidRPr="00FE1642">
        <w:t>ummary</w:t>
      </w:r>
      <w:bookmarkEnd w:id="8"/>
    </w:p>
    <w:p w14:paraId="47192C68" w14:textId="5431FBE0" w:rsidR="00263780" w:rsidRPr="00E16345" w:rsidRDefault="00C1451B" w:rsidP="00523139">
      <w:pPr>
        <w:pStyle w:val="Heading2"/>
        <w:spacing w:before="240" w:after="120"/>
        <w:jc w:val="both"/>
        <w:rPr>
          <w:rFonts w:asciiTheme="minorHAnsi" w:hAnsiTheme="minorHAnsi" w:cstheme="minorHAnsi"/>
          <w:szCs w:val="24"/>
        </w:rPr>
      </w:pPr>
      <w:bookmarkStart w:id="9" w:name="_Toc111710670"/>
      <w:r w:rsidRPr="00C06BDE">
        <w:rPr>
          <w:rFonts w:asciiTheme="minorHAnsi" w:hAnsiTheme="minorHAnsi" w:cstheme="minorHAnsi"/>
          <w:sz w:val="32"/>
          <w:szCs w:val="32"/>
        </w:rPr>
        <w:t>Background and context</w:t>
      </w:r>
      <w:bookmarkEnd w:id="9"/>
      <w:r w:rsidRPr="00C06BDE">
        <w:rPr>
          <w:rFonts w:asciiTheme="minorHAnsi" w:hAnsiTheme="minorHAnsi" w:cstheme="minorHAnsi"/>
          <w:sz w:val="32"/>
          <w:szCs w:val="32"/>
        </w:rPr>
        <w:t xml:space="preserve"> </w:t>
      </w:r>
    </w:p>
    <w:p w14:paraId="0C8EB9FA" w14:textId="6270AB17" w:rsidR="00C56D46" w:rsidRDefault="00C56D46" w:rsidP="00523139">
      <w:pPr>
        <w:spacing w:before="120" w:after="120"/>
        <w:jc w:val="both"/>
      </w:pPr>
      <w:r w:rsidRPr="00C97F34">
        <w:t>Most tobacco smokers are addicted to nicotine. This addiction is a chronic disease state that is p</w:t>
      </w:r>
      <w:r w:rsidR="00317129">
        <w:t>rone to relapses and remissions</w:t>
      </w:r>
      <w:r>
        <w:t xml:space="preserve"> (1)</w:t>
      </w:r>
      <w:r w:rsidR="00317129">
        <w:t>.</w:t>
      </w:r>
      <w:r w:rsidR="004A0A14">
        <w:t xml:space="preserve"> The m</w:t>
      </w:r>
      <w:r w:rsidR="004A0A14" w:rsidRPr="004A0A14">
        <w:t>ajority of people who smoke begin smoking in their youth, and initiation during this period can be particularly detrimental as children and young people who are exposed to nicotine can become addicted at lower and more intermittent levels of tobacco consumption in comparison to adults</w:t>
      </w:r>
      <w:r w:rsidR="004A0A14">
        <w:t xml:space="preserve"> (2)</w:t>
      </w:r>
      <w:r w:rsidR="005563EC" w:rsidRPr="004A0A14">
        <w:t xml:space="preserve">. </w:t>
      </w:r>
      <w:r w:rsidR="004A0A14" w:rsidRPr="004A0A14">
        <w:t xml:space="preserve">Nicotine exposure during adolescence may also have damaging and long-term impacts on brain </w:t>
      </w:r>
      <w:r w:rsidR="005563EC" w:rsidRPr="004A0A14">
        <w:t>development and</w:t>
      </w:r>
      <w:r w:rsidR="004A0A14" w:rsidRPr="004A0A14">
        <w:t xml:space="preserve"> can lead to addiction that causes young people to continue smoking for longer and at higher intensities. These factors are strongly associated with tobacco-related disease and premature death</w:t>
      </w:r>
      <w:r w:rsidR="00974807">
        <w:t xml:space="preserve"> (3)</w:t>
      </w:r>
      <w:r w:rsidR="005563EC" w:rsidRPr="004A0A14">
        <w:t xml:space="preserve">. </w:t>
      </w:r>
    </w:p>
    <w:p w14:paraId="4A1EAADB" w14:textId="6562DFA5" w:rsidR="00201C11" w:rsidRDefault="0059710C" w:rsidP="00523139">
      <w:pPr>
        <w:jc w:val="both"/>
      </w:pPr>
      <w:r w:rsidRPr="009D5D82">
        <w:t xml:space="preserve">According to the 2019 National Drug Strategy Household Survey (NDSHS) conducted by the Australian Institute of Health and Welfare (AIHW), </w:t>
      </w:r>
      <w:r w:rsidR="009A3116" w:rsidRPr="009A3116">
        <w:t>11.0% of Australians aged 14 years and over smoked daily, a significant decrease from 24.3% in 1991.</w:t>
      </w:r>
      <w:r w:rsidR="00201C11">
        <w:t xml:space="preserve"> </w:t>
      </w:r>
      <w:r w:rsidR="00201C11" w:rsidRPr="009D5D82">
        <w:t xml:space="preserve">Despite </w:t>
      </w:r>
      <w:r w:rsidR="00201C11">
        <w:t>the long-term progress Australia has made in reducing smoking prevalence</w:t>
      </w:r>
      <w:r w:rsidR="00201C11" w:rsidRPr="009D5D82">
        <w:t xml:space="preserve">, tobacco remains </w:t>
      </w:r>
      <w:r w:rsidR="00201C11">
        <w:t>the leading</w:t>
      </w:r>
      <w:r w:rsidR="00201C11" w:rsidRPr="009D5D82">
        <w:t xml:space="preserve"> cause of death </w:t>
      </w:r>
      <w:r w:rsidR="00201C11">
        <w:t xml:space="preserve">and disability in Australia. </w:t>
      </w:r>
      <w:r w:rsidR="00201C11" w:rsidRPr="009D5D82">
        <w:t>In 2015, cigarette smoking was responsible for 9.3% of the total burden of disease and injury, and more than 1 in every 10 (21,000) deaths</w:t>
      </w:r>
      <w:r w:rsidR="00201C11">
        <w:t xml:space="preserve"> (4)</w:t>
      </w:r>
      <w:r w:rsidR="00201C11" w:rsidRPr="009D5D82">
        <w:t>.</w:t>
      </w:r>
    </w:p>
    <w:p w14:paraId="1D2AB282" w14:textId="1F10ACCD" w:rsidR="00201C11" w:rsidRDefault="00201C11" w:rsidP="00523139">
      <w:pPr>
        <w:spacing w:before="120" w:after="120"/>
        <w:jc w:val="both"/>
      </w:pPr>
      <w:r w:rsidRPr="00201C11">
        <w:t>Tobacco use compounds health and social inequalities and is a major contributor to poorer health status in socioeconomically disadvantaged populations. The most recent available estimates of the overall social (including health) costs of tobacco use in Australia were $137 billion in 2015-16, including $19.2</w:t>
      </w:r>
      <w:r>
        <w:t xml:space="preserve"> billion in tangible costs and $</w:t>
      </w:r>
      <w:r w:rsidRPr="00201C11">
        <w:t>117.7 billion in intangible costs</w:t>
      </w:r>
      <w:r>
        <w:t xml:space="preserve"> (5)</w:t>
      </w:r>
      <w:r w:rsidRPr="00201C11">
        <w:t>.</w:t>
      </w:r>
    </w:p>
    <w:p w14:paraId="0EE0231C" w14:textId="17608679" w:rsidR="00C56D46" w:rsidRPr="009D5D82" w:rsidRDefault="00C56D46" w:rsidP="00523139">
      <w:pPr>
        <w:spacing w:before="120" w:after="120"/>
        <w:jc w:val="both"/>
      </w:pPr>
      <w:r w:rsidRPr="009D5D82">
        <w:t>There are currently three pharmacological interventions for smoking cessation available on the Pharmaceutical Benefits Scheme (PBS): nicotine replacement therapy (NRT)</w:t>
      </w:r>
      <w:r w:rsidR="00201C11">
        <w:t xml:space="preserve"> (in patch, </w:t>
      </w:r>
      <w:r w:rsidR="005563EC">
        <w:t>gum,</w:t>
      </w:r>
      <w:r w:rsidR="00201C11">
        <w:t xml:space="preserve"> and lozenge form)</w:t>
      </w:r>
      <w:r w:rsidRPr="009D5D82">
        <w:t xml:space="preserve">, varenicline and bupropion. </w:t>
      </w:r>
    </w:p>
    <w:p w14:paraId="47AFB17A" w14:textId="77777777" w:rsidR="00C56D46" w:rsidRDefault="00C56D46" w:rsidP="00523139">
      <w:pPr>
        <w:spacing w:before="120" w:after="120"/>
        <w:jc w:val="both"/>
        <w:rPr>
          <w:rFonts w:eastAsia="MS Mincho" w:cs="Arial"/>
        </w:rPr>
      </w:pPr>
      <w:r>
        <w:rPr>
          <w:rFonts w:eastAsia="MS Mincho" w:cs="Arial"/>
        </w:rPr>
        <w:t>In the financial year for 2019/2020;</w:t>
      </w:r>
    </w:p>
    <w:p w14:paraId="3A387A06" w14:textId="6D137FC2" w:rsidR="00C56D46" w:rsidRPr="006B4D98" w:rsidRDefault="00C56D46" w:rsidP="00E625FF">
      <w:pPr>
        <w:pStyle w:val="ListParagraph"/>
        <w:numPr>
          <w:ilvl w:val="0"/>
          <w:numId w:val="10"/>
        </w:numPr>
        <w:jc w:val="both"/>
        <w:rPr>
          <w:rFonts w:eastAsia="MS Mincho" w:cs="Arial"/>
        </w:rPr>
      </w:pPr>
      <w:r w:rsidRPr="006B4D98">
        <w:rPr>
          <w:rFonts w:eastAsia="MS Mincho" w:cs="Arial"/>
        </w:rPr>
        <w:t>1.2% of the Australian population (265,544</w:t>
      </w:r>
      <w:r>
        <w:rPr>
          <w:rFonts w:eastAsia="MS Mincho" w:cs="Arial"/>
        </w:rPr>
        <w:t xml:space="preserve"> people</w:t>
      </w:r>
      <w:r w:rsidRPr="006B4D98">
        <w:rPr>
          <w:rFonts w:eastAsia="MS Mincho" w:cs="Arial"/>
        </w:rPr>
        <w:t>) were supplied 542,492 prescriptions for PBS</w:t>
      </w:r>
      <w:r w:rsidR="00107062">
        <w:rPr>
          <w:rFonts w:eastAsia="MS Mincho" w:cs="Arial"/>
        </w:rPr>
        <w:t>-</w:t>
      </w:r>
      <w:r w:rsidRPr="006B4D98">
        <w:rPr>
          <w:rFonts w:eastAsia="MS Mincho" w:cs="Arial"/>
        </w:rPr>
        <w:t>subsidised smoking cessation therapies.</w:t>
      </w:r>
    </w:p>
    <w:p w14:paraId="23AE16D1" w14:textId="20193156" w:rsidR="00C56D46" w:rsidRPr="006B4D98" w:rsidRDefault="00C56D46">
      <w:pPr>
        <w:pStyle w:val="ListParagraph"/>
        <w:numPr>
          <w:ilvl w:val="0"/>
          <w:numId w:val="10"/>
        </w:numPr>
        <w:jc w:val="both"/>
        <w:rPr>
          <w:rFonts w:eastAsia="MS Mincho" w:cs="Arial"/>
        </w:rPr>
      </w:pPr>
      <w:r w:rsidRPr="006B4D98">
        <w:rPr>
          <w:rFonts w:eastAsia="MS Mincho" w:cs="Arial"/>
        </w:rPr>
        <w:t>Three people per 1,000 in the Australian population (65,543</w:t>
      </w:r>
      <w:r>
        <w:rPr>
          <w:rFonts w:eastAsia="MS Mincho" w:cs="Arial"/>
        </w:rPr>
        <w:t xml:space="preserve"> people</w:t>
      </w:r>
      <w:r w:rsidRPr="006B4D98">
        <w:rPr>
          <w:rFonts w:eastAsia="MS Mincho" w:cs="Arial"/>
        </w:rPr>
        <w:t xml:space="preserve">) made their first ever attempt at quitting with </w:t>
      </w:r>
      <w:r w:rsidR="00107062">
        <w:rPr>
          <w:rFonts w:eastAsia="MS Mincho" w:cs="Arial"/>
        </w:rPr>
        <w:t xml:space="preserve">a </w:t>
      </w:r>
      <w:r w:rsidRPr="006B4D98">
        <w:rPr>
          <w:rFonts w:eastAsia="MS Mincho" w:cs="Arial"/>
        </w:rPr>
        <w:t>PBS</w:t>
      </w:r>
      <w:r w:rsidR="00107062">
        <w:rPr>
          <w:rFonts w:eastAsia="MS Mincho" w:cs="Arial"/>
        </w:rPr>
        <w:t>-</w:t>
      </w:r>
      <w:r w:rsidRPr="006B4D98">
        <w:rPr>
          <w:rFonts w:eastAsia="MS Mincho" w:cs="Arial"/>
        </w:rPr>
        <w:t>subsidised smoking cessation therapy.</w:t>
      </w:r>
    </w:p>
    <w:p w14:paraId="68AE1336" w14:textId="1D220AB5" w:rsidR="00C56D46" w:rsidRPr="006B4D98" w:rsidRDefault="00C56D46" w:rsidP="003520DC">
      <w:pPr>
        <w:pStyle w:val="ListParagraph"/>
        <w:numPr>
          <w:ilvl w:val="0"/>
          <w:numId w:val="10"/>
        </w:numPr>
        <w:spacing w:after="120"/>
        <w:contextualSpacing w:val="0"/>
        <w:jc w:val="both"/>
        <w:rPr>
          <w:rFonts w:eastAsia="MS Mincho" w:cs="Arial"/>
        </w:rPr>
      </w:pPr>
      <w:r w:rsidRPr="006B4D98">
        <w:rPr>
          <w:rFonts w:eastAsia="MS Mincho" w:cs="Arial"/>
        </w:rPr>
        <w:t>$36 million in R/PBS benefits w</w:t>
      </w:r>
      <w:r w:rsidR="00107062">
        <w:rPr>
          <w:rFonts w:eastAsia="MS Mincho" w:cs="Arial"/>
        </w:rPr>
        <w:t>ere</w:t>
      </w:r>
      <w:r w:rsidRPr="006B4D98">
        <w:rPr>
          <w:rFonts w:eastAsia="MS Mincho" w:cs="Arial"/>
        </w:rPr>
        <w:t xml:space="preserve"> paid for smoking cessation therap</w:t>
      </w:r>
      <w:r w:rsidR="00107062">
        <w:rPr>
          <w:rFonts w:eastAsia="MS Mincho" w:cs="Arial"/>
        </w:rPr>
        <w:t>ies</w:t>
      </w:r>
      <w:r w:rsidRPr="006B4D98">
        <w:rPr>
          <w:rFonts w:eastAsia="MS Mincho" w:cs="Arial"/>
        </w:rPr>
        <w:t>.</w:t>
      </w:r>
    </w:p>
    <w:p w14:paraId="7923DCCD" w14:textId="77777777" w:rsidR="00C56D46" w:rsidRPr="008B222D" w:rsidRDefault="00C56D46" w:rsidP="00523139">
      <w:pPr>
        <w:spacing w:before="120" w:after="120"/>
        <w:jc w:val="both"/>
      </w:pPr>
      <w:r w:rsidRPr="008B222D">
        <w:t xml:space="preserve">In July 2017, the Pharmaceutical Benefits Advisory Committee (PBAC) deferred a major submission for the listing of NRT in the form of gum and lozenges (2mg and 4mg strengths) on the PBS. The PBAC noted that the efficacy of nicotine lozenges and gum significantly improved when used in combination with nicotine patches, but that no evidence was provided in the submission about the cost-effectiveness of combination NRT. </w:t>
      </w:r>
    </w:p>
    <w:p w14:paraId="6FDA8AAC" w14:textId="77777777" w:rsidR="00C56D46" w:rsidRDefault="00C56D46" w:rsidP="00523139">
      <w:pPr>
        <w:spacing w:before="120" w:after="120"/>
        <w:jc w:val="both"/>
        <w:rPr>
          <w:rFonts w:eastAsia="MS Mincho" w:cs="Arial"/>
        </w:rPr>
      </w:pPr>
      <w:r w:rsidRPr="00233179">
        <w:rPr>
          <w:rFonts w:eastAsia="MS Mincho" w:cs="Arial"/>
        </w:rPr>
        <w:t xml:space="preserve">In March 2018, </w:t>
      </w:r>
      <w:r>
        <w:rPr>
          <w:rFonts w:eastAsia="MS Mincho" w:cs="Arial"/>
        </w:rPr>
        <w:t xml:space="preserve">the </w:t>
      </w:r>
      <w:r w:rsidRPr="00233179">
        <w:rPr>
          <w:rFonts w:eastAsia="MS Mincho" w:cs="Arial"/>
        </w:rPr>
        <w:t>PBAC recommended the listing of nicotine gum and lozenges as monotherapies</w:t>
      </w:r>
      <w:r>
        <w:rPr>
          <w:rFonts w:eastAsia="MS Mincho" w:cs="Arial"/>
        </w:rPr>
        <w:t xml:space="preserve"> </w:t>
      </w:r>
      <w:r w:rsidRPr="00233179">
        <w:rPr>
          <w:rFonts w:eastAsia="MS Mincho" w:cs="Arial"/>
        </w:rPr>
        <w:t>on the PBS for treating nicotine dependence. The PBAC considered that a broader review</w:t>
      </w:r>
      <w:r>
        <w:rPr>
          <w:rFonts w:eastAsia="MS Mincho" w:cs="Arial"/>
        </w:rPr>
        <w:t xml:space="preserve"> </w:t>
      </w:r>
      <w:r w:rsidRPr="00233179">
        <w:rPr>
          <w:rFonts w:eastAsia="MS Mincho" w:cs="Arial"/>
        </w:rPr>
        <w:t>of PBS-listed nicotine dependence treatments, in the context of the current clinical</w:t>
      </w:r>
      <w:r>
        <w:rPr>
          <w:rFonts w:eastAsia="MS Mincho" w:cs="Arial"/>
        </w:rPr>
        <w:t xml:space="preserve"> </w:t>
      </w:r>
      <w:r w:rsidRPr="00233179">
        <w:rPr>
          <w:rFonts w:eastAsia="MS Mincho" w:cs="Arial"/>
        </w:rPr>
        <w:t>guidelines, would help inform whether the current subsidy arrangements should be altered</w:t>
      </w:r>
      <w:r>
        <w:rPr>
          <w:rFonts w:eastAsia="MS Mincho" w:cs="Arial"/>
        </w:rPr>
        <w:t xml:space="preserve"> </w:t>
      </w:r>
      <w:r w:rsidRPr="00233179">
        <w:rPr>
          <w:rFonts w:eastAsia="MS Mincho" w:cs="Arial"/>
        </w:rPr>
        <w:t xml:space="preserve">to better support smoking cessation. </w:t>
      </w:r>
    </w:p>
    <w:p w14:paraId="22050FB1" w14:textId="585DEF32" w:rsidR="005563EC" w:rsidRDefault="00C56D46" w:rsidP="00523139">
      <w:pPr>
        <w:jc w:val="both"/>
        <w:rPr>
          <w:sz w:val="32"/>
          <w:szCs w:val="32"/>
        </w:rPr>
      </w:pPr>
      <w:r w:rsidRPr="00523139">
        <w:lastRenderedPageBreak/>
        <w:t xml:space="preserve">The </w:t>
      </w:r>
      <w:r w:rsidR="00155E83" w:rsidRPr="00523139">
        <w:t>P</w:t>
      </w:r>
      <w:r w:rsidRPr="00523139">
        <w:t xml:space="preserve">ost-market </w:t>
      </w:r>
      <w:r w:rsidR="00155E83" w:rsidRPr="00523139">
        <w:t>R</w:t>
      </w:r>
      <w:r w:rsidRPr="00523139">
        <w:t>eview</w:t>
      </w:r>
      <w:r w:rsidR="00301063" w:rsidRPr="00523139">
        <w:t xml:space="preserve"> (PMR)</w:t>
      </w:r>
      <w:r w:rsidRPr="00523139">
        <w:t xml:space="preserve"> </w:t>
      </w:r>
      <w:r w:rsidR="00E625FF" w:rsidRPr="00523139">
        <w:t xml:space="preserve">(“the Review”) </w:t>
      </w:r>
      <w:r w:rsidRPr="00523139">
        <w:t>of medicines for smoking cessation was approved by the Minister for Health on 18 September 2019.</w:t>
      </w:r>
      <w:bookmarkStart w:id="10" w:name="_Toc486853471"/>
    </w:p>
    <w:p w14:paraId="528971EB" w14:textId="038F0D36" w:rsidR="00862248" w:rsidRPr="00C06BDE" w:rsidRDefault="00862248" w:rsidP="00523139">
      <w:pPr>
        <w:pStyle w:val="Heading2"/>
        <w:spacing w:before="240" w:after="120"/>
        <w:rPr>
          <w:rFonts w:asciiTheme="minorHAnsi" w:hAnsiTheme="minorHAnsi" w:cstheme="minorHAnsi"/>
          <w:sz w:val="32"/>
          <w:szCs w:val="32"/>
        </w:rPr>
      </w:pPr>
      <w:bookmarkStart w:id="11" w:name="_Toc111710671"/>
      <w:r w:rsidRPr="00C06BDE">
        <w:rPr>
          <w:rFonts w:asciiTheme="minorHAnsi" w:hAnsiTheme="minorHAnsi" w:cstheme="minorHAnsi"/>
          <w:sz w:val="32"/>
          <w:szCs w:val="32"/>
        </w:rPr>
        <w:t xml:space="preserve">Review </w:t>
      </w:r>
      <w:r w:rsidR="00107062">
        <w:rPr>
          <w:rFonts w:asciiTheme="minorHAnsi" w:hAnsiTheme="minorHAnsi" w:cstheme="minorHAnsi"/>
          <w:sz w:val="32"/>
          <w:szCs w:val="32"/>
        </w:rPr>
        <w:t>t</w:t>
      </w:r>
      <w:r w:rsidRPr="00C06BDE">
        <w:rPr>
          <w:rFonts w:asciiTheme="minorHAnsi" w:hAnsiTheme="minorHAnsi" w:cstheme="minorHAnsi"/>
          <w:sz w:val="32"/>
          <w:szCs w:val="32"/>
        </w:rPr>
        <w:t xml:space="preserve">erms of </w:t>
      </w:r>
      <w:r w:rsidR="00107062">
        <w:rPr>
          <w:rFonts w:asciiTheme="minorHAnsi" w:hAnsiTheme="minorHAnsi" w:cstheme="minorHAnsi"/>
          <w:sz w:val="32"/>
          <w:szCs w:val="32"/>
        </w:rPr>
        <w:t>r</w:t>
      </w:r>
      <w:r w:rsidRPr="00C06BDE">
        <w:rPr>
          <w:rFonts w:asciiTheme="minorHAnsi" w:hAnsiTheme="minorHAnsi" w:cstheme="minorHAnsi"/>
          <w:sz w:val="32"/>
          <w:szCs w:val="32"/>
        </w:rPr>
        <w:t>eference</w:t>
      </w:r>
      <w:bookmarkEnd w:id="11"/>
      <w:r w:rsidRPr="00C06BDE">
        <w:rPr>
          <w:rFonts w:asciiTheme="minorHAnsi" w:hAnsiTheme="minorHAnsi" w:cstheme="minorHAnsi"/>
          <w:sz w:val="32"/>
          <w:szCs w:val="32"/>
        </w:rPr>
        <w:t xml:space="preserve"> </w:t>
      </w:r>
      <w:bookmarkEnd w:id="10"/>
    </w:p>
    <w:p w14:paraId="6A2D2422" w14:textId="34743289" w:rsidR="00862248" w:rsidRDefault="00D72F71" w:rsidP="00E625FF">
      <w:pPr>
        <w:spacing w:before="120" w:after="120"/>
        <w:jc w:val="both"/>
      </w:pPr>
      <w:r w:rsidRPr="00FE1642">
        <w:t xml:space="preserve">The </w:t>
      </w:r>
      <w:r w:rsidR="005E26CE">
        <w:t>PMR</w:t>
      </w:r>
      <w:r w:rsidRPr="00FE1642">
        <w:t xml:space="preserve"> of </w:t>
      </w:r>
      <w:r w:rsidR="00163BDB">
        <w:t xml:space="preserve">medicines for smoking cessation </w:t>
      </w:r>
      <w:r w:rsidR="00E625FF" w:rsidRPr="00FE1642">
        <w:t>consist</w:t>
      </w:r>
      <w:r w:rsidR="00CB639E">
        <w:t>ed</w:t>
      </w:r>
      <w:r w:rsidRPr="00FE1642">
        <w:t xml:space="preserve"> of four </w:t>
      </w:r>
      <w:r w:rsidR="00D53A80">
        <w:t>t</w:t>
      </w:r>
      <w:r w:rsidR="00301063">
        <w:t xml:space="preserve">erms of </w:t>
      </w:r>
      <w:r w:rsidR="00D53A80">
        <w:t>r</w:t>
      </w:r>
      <w:r w:rsidR="00301063">
        <w:t>eference (</w:t>
      </w:r>
      <w:r w:rsidRPr="00FE1642">
        <w:t>ToR</w:t>
      </w:r>
      <w:r w:rsidR="00BD46CE">
        <w:t>s</w:t>
      </w:r>
      <w:r w:rsidR="00301063">
        <w:t>)</w:t>
      </w:r>
      <w:r w:rsidRPr="00FE1642">
        <w:t xml:space="preserve">. </w:t>
      </w:r>
    </w:p>
    <w:p w14:paraId="297A5933" w14:textId="77777777" w:rsidR="00E625FF" w:rsidRPr="00797212" w:rsidRDefault="00E625FF" w:rsidP="00523139">
      <w:pPr>
        <w:numPr>
          <w:ilvl w:val="0"/>
          <w:numId w:val="76"/>
        </w:numPr>
        <w:shd w:val="clear" w:color="auto" w:fill="FFFFFF"/>
        <w:spacing w:before="120" w:after="0"/>
        <w:ind w:hanging="357"/>
        <w:jc w:val="both"/>
      </w:pPr>
      <w:r w:rsidRPr="00797212">
        <w:t>Collate the current clinical guidelines for medicines for smoking cessation and compare these to the Therapeutic Goods Administration (TGA) and PBS restrictions for these medicines.</w:t>
      </w:r>
    </w:p>
    <w:p w14:paraId="791C0261" w14:textId="30BE9050" w:rsidR="00E625FF" w:rsidRPr="00797212" w:rsidRDefault="00E625FF" w:rsidP="00523139">
      <w:pPr>
        <w:numPr>
          <w:ilvl w:val="0"/>
          <w:numId w:val="76"/>
        </w:numPr>
        <w:shd w:val="clear" w:color="auto" w:fill="FFFFFF"/>
        <w:spacing w:after="0"/>
        <w:ind w:hanging="357"/>
        <w:jc w:val="both"/>
      </w:pPr>
      <w:r w:rsidRPr="00797212">
        <w:t>Review the utilisation of PBS-listed medicines for smoking cessation including but not limited to patient demographics, time on treatment, and the proportion using PBS</w:t>
      </w:r>
      <w:r>
        <w:t>-</w:t>
      </w:r>
      <w:r w:rsidRPr="00797212">
        <w:t>subsidised combination treatment.</w:t>
      </w:r>
    </w:p>
    <w:p w14:paraId="5BEED234" w14:textId="4DD59E7E" w:rsidR="00E625FF" w:rsidRPr="00797212" w:rsidRDefault="00E625FF" w:rsidP="00523139">
      <w:pPr>
        <w:numPr>
          <w:ilvl w:val="0"/>
          <w:numId w:val="76"/>
        </w:numPr>
        <w:shd w:val="clear" w:color="auto" w:fill="FFFFFF"/>
        <w:spacing w:after="0"/>
        <w:ind w:hanging="357"/>
        <w:jc w:val="both"/>
      </w:pPr>
      <w:r w:rsidRPr="00797212">
        <w:t xml:space="preserve">Review the efficacy and safety of </w:t>
      </w:r>
      <w:r>
        <w:t>NRT</w:t>
      </w:r>
      <w:r w:rsidRPr="00797212">
        <w:t>, varenicline and bupropion for smoking cessation including combination therapies not currently PBS</w:t>
      </w:r>
      <w:r>
        <w:t>-</w:t>
      </w:r>
      <w:r w:rsidRPr="00797212">
        <w:t>subsidised.</w:t>
      </w:r>
    </w:p>
    <w:p w14:paraId="03904B37" w14:textId="71A1BF25" w:rsidR="00E625FF" w:rsidRPr="00FE1642" w:rsidRDefault="00E625FF" w:rsidP="00523139">
      <w:pPr>
        <w:numPr>
          <w:ilvl w:val="0"/>
          <w:numId w:val="76"/>
        </w:numPr>
        <w:shd w:val="clear" w:color="auto" w:fill="FFFFFF"/>
        <w:spacing w:after="120"/>
        <w:ind w:hanging="357"/>
        <w:jc w:val="both"/>
      </w:pPr>
      <w:r w:rsidRPr="00797212">
        <w:t>Subject to the findings of T</w:t>
      </w:r>
      <w:r>
        <w:t>oRs</w:t>
      </w:r>
      <w:r w:rsidRPr="00797212">
        <w:t xml:space="preserve"> 1, 2 and 3, review the cost-effectiveness of medicines for smoking cessation</w:t>
      </w:r>
      <w:r>
        <w:t>.</w:t>
      </w:r>
    </w:p>
    <w:p w14:paraId="6D0EF89E" w14:textId="243FB78D" w:rsidR="00D72F71" w:rsidRPr="00C06BDE" w:rsidRDefault="003E3132" w:rsidP="00523139">
      <w:pPr>
        <w:pStyle w:val="Heading2"/>
        <w:spacing w:before="240" w:after="120"/>
        <w:jc w:val="both"/>
        <w:rPr>
          <w:rFonts w:asciiTheme="minorHAnsi" w:hAnsiTheme="minorHAnsi" w:cstheme="minorHAnsi"/>
          <w:sz w:val="32"/>
          <w:szCs w:val="32"/>
        </w:rPr>
      </w:pPr>
      <w:bookmarkStart w:id="12" w:name="_Toc486853472"/>
      <w:bookmarkStart w:id="13" w:name="_Toc111710672"/>
      <w:r w:rsidRPr="00C06BDE">
        <w:rPr>
          <w:rFonts w:asciiTheme="minorHAnsi" w:hAnsiTheme="minorHAnsi" w:cstheme="minorHAnsi"/>
          <w:sz w:val="32"/>
          <w:szCs w:val="32"/>
        </w:rPr>
        <w:t>Structure and approach to</w:t>
      </w:r>
      <w:r w:rsidR="00D72F71" w:rsidRPr="00C06BDE">
        <w:rPr>
          <w:rFonts w:asciiTheme="minorHAnsi" w:hAnsiTheme="minorHAnsi" w:cstheme="minorHAnsi"/>
          <w:sz w:val="32"/>
          <w:szCs w:val="32"/>
        </w:rPr>
        <w:t xml:space="preserve"> the report</w:t>
      </w:r>
      <w:bookmarkEnd w:id="12"/>
      <w:bookmarkEnd w:id="13"/>
    </w:p>
    <w:p w14:paraId="0AA01669" w14:textId="21AEC789" w:rsidR="003E3132" w:rsidRPr="00780759" w:rsidRDefault="003E3132" w:rsidP="00523139">
      <w:pPr>
        <w:spacing w:before="120" w:after="120"/>
        <w:jc w:val="both"/>
      </w:pPr>
      <w:r w:rsidRPr="00780759">
        <w:t xml:space="preserve">This </w:t>
      </w:r>
      <w:r w:rsidR="004E2632">
        <w:t>r</w:t>
      </w:r>
      <w:r w:rsidRPr="00780759">
        <w:t xml:space="preserve">eport is presented in several parts, as briefly outlined below. The </w:t>
      </w:r>
      <w:r w:rsidR="004E2632">
        <w:t>report</w:t>
      </w:r>
      <w:r w:rsidRPr="00780759">
        <w:t xml:space="preserve"> has been structured in this way to address the ToRs of the Review.</w:t>
      </w:r>
    </w:p>
    <w:p w14:paraId="3A886574" w14:textId="4B9F521C" w:rsidR="003E3132" w:rsidRDefault="003E3132" w:rsidP="00523139">
      <w:pPr>
        <w:spacing w:before="120" w:after="120"/>
        <w:jc w:val="both"/>
      </w:pPr>
      <w:r>
        <w:rPr>
          <w:b/>
        </w:rPr>
        <w:t xml:space="preserve">Background: </w:t>
      </w:r>
      <w:r w:rsidRPr="00780759">
        <w:t xml:space="preserve">Provides the context for the Review, a </w:t>
      </w:r>
      <w:r>
        <w:t xml:space="preserve">brief description of nicotine </w:t>
      </w:r>
      <w:r w:rsidR="00BD46CE">
        <w:t>dependenc</w:t>
      </w:r>
      <w:r w:rsidR="00795743">
        <w:t xml:space="preserve">e and </w:t>
      </w:r>
      <w:r w:rsidRPr="00780759">
        <w:t>the listing history for PBS</w:t>
      </w:r>
      <w:r w:rsidR="00B32132">
        <w:t>-</w:t>
      </w:r>
      <w:r>
        <w:t>listed medicines for smoking cessation</w:t>
      </w:r>
      <w:r w:rsidR="005563EC" w:rsidRPr="00780759">
        <w:t xml:space="preserve">. </w:t>
      </w:r>
    </w:p>
    <w:p w14:paraId="36D9095B" w14:textId="525C928B" w:rsidR="00531122" w:rsidRPr="003C7BF6" w:rsidRDefault="007D1349" w:rsidP="00523139">
      <w:pPr>
        <w:spacing w:before="120" w:after="120"/>
        <w:jc w:val="both"/>
        <w:rPr>
          <w:b/>
        </w:rPr>
      </w:pPr>
      <w:r>
        <w:rPr>
          <w:b/>
        </w:rPr>
        <w:t>Report</w:t>
      </w:r>
      <w:r w:rsidR="00531122" w:rsidRPr="002A3447">
        <w:rPr>
          <w:b/>
        </w:rPr>
        <w:t xml:space="preserve"> </w:t>
      </w:r>
      <w:r w:rsidR="004E2632">
        <w:rPr>
          <w:b/>
        </w:rPr>
        <w:t>s</w:t>
      </w:r>
      <w:r w:rsidR="00531122" w:rsidRPr="002A3447">
        <w:rPr>
          <w:b/>
        </w:rPr>
        <w:t xml:space="preserve">ummary:  </w:t>
      </w:r>
      <w:r w:rsidR="00531122" w:rsidRPr="000821B8">
        <w:t>Provides</w:t>
      </w:r>
      <w:r w:rsidR="00531122">
        <w:t xml:space="preserve"> a summary of the key findings from the Review</w:t>
      </w:r>
      <w:r w:rsidR="00E625FF">
        <w:rPr>
          <w:szCs w:val="24"/>
        </w:rPr>
        <w:t xml:space="preserve"> and the ‘</w:t>
      </w:r>
      <w:r w:rsidR="00E625FF" w:rsidRPr="00E625FF">
        <w:t xml:space="preserve">options’ </w:t>
      </w:r>
      <w:r w:rsidR="00E625FF">
        <w:t>for the PBAC</w:t>
      </w:r>
      <w:r w:rsidR="00E625FF" w:rsidRPr="00E625FF">
        <w:t xml:space="preserve"> raised by the </w:t>
      </w:r>
      <w:r w:rsidR="005563EC">
        <w:t>r</w:t>
      </w:r>
      <w:r w:rsidR="00E625FF" w:rsidRPr="00E625FF">
        <w:t xml:space="preserve">eference </w:t>
      </w:r>
      <w:r w:rsidR="005563EC">
        <w:t>g</w:t>
      </w:r>
      <w:r w:rsidR="00E625FF" w:rsidRPr="00E625FF">
        <w:t>roup</w:t>
      </w:r>
    </w:p>
    <w:p w14:paraId="1DA8EC88" w14:textId="2000D19E" w:rsidR="003E3132" w:rsidRPr="00780759" w:rsidRDefault="003E3132" w:rsidP="00523139">
      <w:pPr>
        <w:spacing w:before="120" w:after="120"/>
        <w:jc w:val="both"/>
      </w:pPr>
      <w:r w:rsidRPr="00780759">
        <w:rPr>
          <w:b/>
        </w:rPr>
        <w:t>Section 1 – ToR 1:</w:t>
      </w:r>
      <w:r w:rsidRPr="00780759">
        <w:t xml:space="preserve"> </w:t>
      </w:r>
      <w:r w:rsidRPr="00225BD8">
        <w:t>Collate</w:t>
      </w:r>
      <w:r>
        <w:t>s</w:t>
      </w:r>
      <w:r w:rsidRPr="00225BD8">
        <w:t xml:space="preserve"> the current clinical guidelines for medicines for smoking cessation and compare</w:t>
      </w:r>
      <w:r>
        <w:t xml:space="preserve">s </w:t>
      </w:r>
      <w:r w:rsidRPr="00225BD8">
        <w:t>these to the T</w:t>
      </w:r>
      <w:r w:rsidR="001E70B0">
        <w:t>GA</w:t>
      </w:r>
      <w:r w:rsidRPr="00225BD8">
        <w:t xml:space="preserve"> and PBS restrictions for these</w:t>
      </w:r>
      <w:r>
        <w:t xml:space="preserve"> </w:t>
      </w:r>
      <w:r w:rsidRPr="00225BD8">
        <w:t>medicines.</w:t>
      </w:r>
    </w:p>
    <w:p w14:paraId="7486EBA1" w14:textId="26E4ABBB" w:rsidR="003E3132" w:rsidRPr="00780759" w:rsidRDefault="003E3132" w:rsidP="00523139">
      <w:pPr>
        <w:spacing w:before="120" w:after="120"/>
        <w:jc w:val="both"/>
      </w:pPr>
      <w:r w:rsidRPr="00780759">
        <w:rPr>
          <w:b/>
        </w:rPr>
        <w:t>Section 2 –</w:t>
      </w:r>
      <w:r w:rsidRPr="00780759">
        <w:t xml:space="preserve"> </w:t>
      </w:r>
      <w:r w:rsidRPr="00780759">
        <w:rPr>
          <w:b/>
        </w:rPr>
        <w:t>ToR</w:t>
      </w:r>
      <w:r w:rsidRPr="00780759">
        <w:t xml:space="preserve"> </w:t>
      </w:r>
      <w:r w:rsidRPr="00780759">
        <w:rPr>
          <w:b/>
        </w:rPr>
        <w:t>2</w:t>
      </w:r>
      <w:r w:rsidRPr="00780759">
        <w:t xml:space="preserve">: </w:t>
      </w:r>
      <w:r w:rsidRPr="00225BD8">
        <w:t>Review</w:t>
      </w:r>
      <w:r>
        <w:t>s</w:t>
      </w:r>
      <w:r w:rsidRPr="00225BD8">
        <w:t xml:space="preserve"> the utilisation of PBS-listed medicines for smoking cessation including but</w:t>
      </w:r>
      <w:r>
        <w:t xml:space="preserve"> </w:t>
      </w:r>
      <w:r w:rsidRPr="00225BD8">
        <w:t>not limited to patient demographics, time on treatment, and the proportion using PBS</w:t>
      </w:r>
      <w:r w:rsidR="00B32132">
        <w:t>-</w:t>
      </w:r>
      <w:r w:rsidRPr="00225BD8">
        <w:t>subsidised combination treatment.</w:t>
      </w:r>
    </w:p>
    <w:p w14:paraId="770A719A" w14:textId="446EBB42" w:rsidR="003E3132" w:rsidRDefault="003E3132" w:rsidP="00523139">
      <w:pPr>
        <w:spacing w:before="120" w:after="120"/>
        <w:jc w:val="both"/>
      </w:pPr>
      <w:r w:rsidRPr="00780759">
        <w:rPr>
          <w:b/>
        </w:rPr>
        <w:t>Section 3 – ToR 3:</w:t>
      </w:r>
      <w:r w:rsidRPr="00780759">
        <w:t xml:space="preserve"> </w:t>
      </w:r>
      <w:r w:rsidRPr="00ED3CCD">
        <w:t>Review</w:t>
      </w:r>
      <w:r>
        <w:t>s</w:t>
      </w:r>
      <w:r w:rsidRPr="00ED3CCD">
        <w:t xml:space="preserve"> the efficacy and safety of </w:t>
      </w:r>
      <w:r w:rsidR="005563EC">
        <w:t>NRT</w:t>
      </w:r>
      <w:r w:rsidRPr="00ED3CCD">
        <w:t>, varenicline and bupropion</w:t>
      </w:r>
      <w:r>
        <w:t xml:space="preserve"> </w:t>
      </w:r>
      <w:r w:rsidRPr="00ED3CCD">
        <w:t>for smoking cessation including combination therapies not currently PBS</w:t>
      </w:r>
      <w:r w:rsidR="00B32132">
        <w:t>-</w:t>
      </w:r>
      <w:r w:rsidRPr="00ED3CCD">
        <w:t>subsidised.</w:t>
      </w:r>
    </w:p>
    <w:p w14:paraId="66B5135C" w14:textId="1FAD2733" w:rsidR="003E3132" w:rsidRDefault="003E3132" w:rsidP="00523139">
      <w:pPr>
        <w:spacing w:before="120" w:after="120"/>
        <w:jc w:val="both"/>
      </w:pPr>
      <w:r w:rsidRPr="006B4D98">
        <w:rPr>
          <w:b/>
        </w:rPr>
        <w:t>Section 4 – ToR 4:</w:t>
      </w:r>
      <w:r w:rsidR="00114CF2">
        <w:rPr>
          <w:b/>
        </w:rPr>
        <w:t xml:space="preserve"> </w:t>
      </w:r>
      <w:r w:rsidR="00114CF2" w:rsidRPr="005B17E4">
        <w:rPr>
          <w:bCs/>
        </w:rPr>
        <w:t>Provides a</w:t>
      </w:r>
      <w:r w:rsidR="00114CF2" w:rsidRPr="00A713C1">
        <w:rPr>
          <w:bCs/>
        </w:rPr>
        <w:t xml:space="preserve"> c</w:t>
      </w:r>
      <w:r w:rsidR="008145C2" w:rsidRPr="00A713C1">
        <w:rPr>
          <w:bCs/>
        </w:rPr>
        <w:t>ost</w:t>
      </w:r>
      <w:r w:rsidR="008145C2" w:rsidRPr="008145C2">
        <w:t>-</w:t>
      </w:r>
      <w:r w:rsidR="008145C2">
        <w:t>e</w:t>
      </w:r>
      <w:r w:rsidR="008145C2" w:rsidRPr="008145C2">
        <w:t xml:space="preserve">ffectiveness </w:t>
      </w:r>
      <w:r w:rsidR="008145C2">
        <w:t>r</w:t>
      </w:r>
      <w:r w:rsidR="008145C2" w:rsidRPr="008145C2">
        <w:t xml:space="preserve">eview of </w:t>
      </w:r>
      <w:r w:rsidR="008145C2">
        <w:t>s</w:t>
      </w:r>
      <w:r w:rsidR="008145C2" w:rsidRPr="008145C2">
        <w:t xml:space="preserve">pecified </w:t>
      </w:r>
      <w:r w:rsidR="008145C2">
        <w:t>c</w:t>
      </w:r>
      <w:r w:rsidR="008145C2" w:rsidRPr="008145C2">
        <w:t xml:space="preserve">ombinations of </w:t>
      </w:r>
      <w:r w:rsidR="008145C2">
        <w:t>s</w:t>
      </w:r>
      <w:r w:rsidR="008145C2" w:rsidRPr="008145C2">
        <w:t xml:space="preserve">moking </w:t>
      </w:r>
      <w:r w:rsidR="008145C2">
        <w:t>c</w:t>
      </w:r>
      <w:r w:rsidR="008145C2" w:rsidRPr="008145C2">
        <w:t xml:space="preserve">essation </w:t>
      </w:r>
      <w:r w:rsidR="008145C2">
        <w:t>m</w:t>
      </w:r>
      <w:r w:rsidR="008145C2" w:rsidRPr="008145C2">
        <w:t xml:space="preserve">edicines and </w:t>
      </w:r>
      <w:r w:rsidR="008145C2">
        <w:t>e</w:t>
      </w:r>
      <w:r w:rsidR="008145C2" w:rsidRPr="008145C2">
        <w:t xml:space="preserve">stimates for the </w:t>
      </w:r>
      <w:r w:rsidR="008145C2">
        <w:t>PBS</w:t>
      </w:r>
      <w:r w:rsidR="0039116F">
        <w:t xml:space="preserve">. </w:t>
      </w:r>
    </w:p>
    <w:p w14:paraId="7FE90B95" w14:textId="348EE0AF" w:rsidR="001A5416" w:rsidRDefault="001A5416" w:rsidP="00523139">
      <w:pPr>
        <w:spacing w:before="120" w:after="120"/>
        <w:jc w:val="both"/>
      </w:pPr>
      <w:r>
        <w:t xml:space="preserve">Research questions were developed for each </w:t>
      </w:r>
      <w:r w:rsidR="003E3132">
        <w:t>ToR</w:t>
      </w:r>
      <w:r w:rsidR="00B32132">
        <w:t xml:space="preserve"> </w:t>
      </w:r>
      <w:r>
        <w:t>under the guidance of the review reference group. The research question</w:t>
      </w:r>
      <w:r w:rsidR="00BD46CE">
        <w:t>s</w:t>
      </w:r>
      <w:r>
        <w:t xml:space="preserve"> </w:t>
      </w:r>
      <w:r w:rsidR="00B32132">
        <w:t>examined</w:t>
      </w:r>
      <w:r>
        <w:t xml:space="preserve"> for each ToR are presented</w:t>
      </w:r>
      <w:r w:rsidR="00D1397F">
        <w:t xml:space="preserve"> under each ToR addressing the key findings below</w:t>
      </w:r>
      <w:r>
        <w:t>.</w:t>
      </w:r>
      <w:r w:rsidR="003E3132">
        <w:t xml:space="preserve"> The</w:t>
      </w:r>
      <w:r w:rsidR="004F24D3">
        <w:t xml:space="preserve"> </w:t>
      </w:r>
      <w:r w:rsidR="003E3132">
        <w:t>methodology for each ToR is presented in the relevant section of the report.</w:t>
      </w:r>
    </w:p>
    <w:p w14:paraId="5E3F6AD6" w14:textId="251C5934" w:rsidR="00D72F71" w:rsidRPr="00C06BDE" w:rsidRDefault="00D72F71" w:rsidP="00523139">
      <w:pPr>
        <w:pStyle w:val="Heading2"/>
        <w:spacing w:before="240" w:after="120"/>
        <w:jc w:val="both"/>
        <w:rPr>
          <w:rFonts w:asciiTheme="minorHAnsi" w:hAnsiTheme="minorHAnsi" w:cstheme="minorHAnsi"/>
          <w:sz w:val="32"/>
          <w:szCs w:val="32"/>
        </w:rPr>
      </w:pPr>
      <w:bookmarkStart w:id="14" w:name="_Toc111710673"/>
      <w:r w:rsidRPr="00C06BDE">
        <w:rPr>
          <w:rFonts w:asciiTheme="minorHAnsi" w:hAnsiTheme="minorHAnsi" w:cstheme="minorHAnsi"/>
          <w:sz w:val="32"/>
          <w:szCs w:val="32"/>
        </w:rPr>
        <w:t>Stakeholder consultation</w:t>
      </w:r>
      <w:bookmarkEnd w:id="14"/>
    </w:p>
    <w:p w14:paraId="41F28675" w14:textId="024B2E77" w:rsidR="00D72F71" w:rsidRPr="00FE1642" w:rsidRDefault="00D72F71" w:rsidP="00523139">
      <w:pPr>
        <w:spacing w:before="120" w:after="120"/>
        <w:jc w:val="both"/>
      </w:pPr>
      <w:r w:rsidRPr="00FE1642">
        <w:t xml:space="preserve">Opportunities for stakeholder consultation throughout the </w:t>
      </w:r>
      <w:r w:rsidR="005563EC">
        <w:t>PMR</w:t>
      </w:r>
      <w:r w:rsidRPr="00FE1642">
        <w:t xml:space="preserve"> included: </w:t>
      </w:r>
    </w:p>
    <w:p w14:paraId="101D13DE" w14:textId="194244A1" w:rsidR="00D72F71" w:rsidRPr="00FE1642" w:rsidRDefault="00B32132" w:rsidP="00F666D1">
      <w:pPr>
        <w:pStyle w:val="ListParagraph"/>
        <w:numPr>
          <w:ilvl w:val="0"/>
          <w:numId w:val="9"/>
        </w:numPr>
        <w:jc w:val="both"/>
      </w:pPr>
      <w:r>
        <w:t>Public</w:t>
      </w:r>
      <w:r w:rsidR="00152390">
        <w:t xml:space="preserve"> consultation on the draft ToR</w:t>
      </w:r>
      <w:r>
        <w:t>s</w:t>
      </w:r>
      <w:r w:rsidR="00E80BD5">
        <w:t xml:space="preserve">: </w:t>
      </w:r>
      <w:r w:rsidR="00797212" w:rsidRPr="00E80BD5">
        <w:t>closed on 25 November 2019</w:t>
      </w:r>
      <w:r w:rsidR="00F666D1" w:rsidRPr="00F666D1">
        <w:t>.</w:t>
      </w:r>
      <w:r w:rsidR="00F666D1">
        <w:t xml:space="preserve"> </w:t>
      </w:r>
      <w:r w:rsidR="00F666D1" w:rsidRPr="00F666D1">
        <w:t xml:space="preserve">Except where requested otherwise, submissions are published on the </w:t>
      </w:r>
      <w:hyperlink r:id="rId8" w:history="1">
        <w:r w:rsidR="00F666D1" w:rsidRPr="00F666D1">
          <w:rPr>
            <w:rStyle w:val="Hyperlink"/>
          </w:rPr>
          <w:t>Review’s website</w:t>
        </w:r>
      </w:hyperlink>
      <w:r w:rsidR="00F666D1" w:rsidRPr="00F666D1">
        <w:rPr>
          <w:u w:val="single"/>
        </w:rPr>
        <w:t>.</w:t>
      </w:r>
    </w:p>
    <w:p w14:paraId="468FEB90" w14:textId="125FFA22" w:rsidR="00D72F71" w:rsidRPr="00FE1642" w:rsidRDefault="0064001D" w:rsidP="005563EC">
      <w:pPr>
        <w:pStyle w:val="ListParagraph"/>
        <w:numPr>
          <w:ilvl w:val="0"/>
          <w:numId w:val="9"/>
        </w:numPr>
        <w:jc w:val="both"/>
      </w:pPr>
      <w:r>
        <w:lastRenderedPageBreak/>
        <w:t>Public</w:t>
      </w:r>
      <w:r w:rsidR="00D72F71" w:rsidRPr="00FE1642">
        <w:t xml:space="preserve"> submissions to the Review</w:t>
      </w:r>
      <w:r w:rsidR="00E80BD5">
        <w:t xml:space="preserve">: </w:t>
      </w:r>
      <w:r w:rsidR="00E80BD5" w:rsidRPr="00E80BD5">
        <w:t xml:space="preserve">closed on 1 May 2020. </w:t>
      </w:r>
      <w:r w:rsidR="00D72F71" w:rsidRPr="00FE1642">
        <w:t xml:space="preserve">Except where requested otherwise, submissions are published on the </w:t>
      </w:r>
      <w:hyperlink r:id="rId9" w:history="1">
        <w:r w:rsidR="003E3132" w:rsidRPr="004C37F2">
          <w:rPr>
            <w:rStyle w:val="Hyperlink"/>
          </w:rPr>
          <w:t>Review’s website</w:t>
        </w:r>
      </w:hyperlink>
      <w:r w:rsidR="003E3132">
        <w:rPr>
          <w:rStyle w:val="Hyperlink"/>
        </w:rPr>
        <w:t>.</w:t>
      </w:r>
    </w:p>
    <w:p w14:paraId="7BED6346" w14:textId="1958F472" w:rsidR="000C2E58" w:rsidRDefault="005563EC" w:rsidP="005563EC">
      <w:pPr>
        <w:pStyle w:val="ListParagraph"/>
        <w:numPr>
          <w:ilvl w:val="0"/>
          <w:numId w:val="9"/>
        </w:numPr>
        <w:jc w:val="both"/>
      </w:pPr>
      <w:r>
        <w:t>A s</w:t>
      </w:r>
      <w:r w:rsidRPr="00FE1642">
        <w:t xml:space="preserve">takeholder </w:t>
      </w:r>
      <w:r>
        <w:t>f</w:t>
      </w:r>
      <w:r w:rsidRPr="00FE1642">
        <w:t>orum</w:t>
      </w:r>
      <w:r w:rsidR="00D72F71" w:rsidRPr="00FE1642">
        <w:t xml:space="preserve"> held </w:t>
      </w:r>
      <w:r w:rsidR="003E3132">
        <w:t xml:space="preserve">via webinar </w:t>
      </w:r>
      <w:r w:rsidR="00D72F71" w:rsidRPr="00FE1642">
        <w:t>on</w:t>
      </w:r>
      <w:r w:rsidR="003E3132">
        <w:t xml:space="preserve"> 3 December 2020</w:t>
      </w:r>
      <w:r w:rsidR="00D72F71" w:rsidRPr="00FE1642">
        <w:t xml:space="preserve">. </w:t>
      </w:r>
      <w:r w:rsidR="00C5339C">
        <w:t>T</w:t>
      </w:r>
      <w:r w:rsidR="000C2E58">
        <w:t xml:space="preserve">he </w:t>
      </w:r>
      <w:r w:rsidR="00C5339C">
        <w:t>s</w:t>
      </w:r>
      <w:r w:rsidR="000C2E58" w:rsidRPr="00D26B78">
        <w:t xml:space="preserve">takeholder </w:t>
      </w:r>
      <w:r w:rsidR="00C5339C">
        <w:t>f</w:t>
      </w:r>
      <w:r w:rsidR="000C2E58" w:rsidRPr="00D26B78">
        <w:t xml:space="preserve">orum </w:t>
      </w:r>
      <w:r w:rsidR="00C5339C">
        <w:t>s</w:t>
      </w:r>
      <w:r w:rsidR="000C2E58" w:rsidRPr="00D26B78">
        <w:t xml:space="preserve">ummary is </w:t>
      </w:r>
      <w:r w:rsidR="000C2E58">
        <w:t xml:space="preserve">available on the </w:t>
      </w:r>
      <w:hyperlink r:id="rId10" w:history="1">
        <w:r w:rsidR="000C2E58" w:rsidRPr="004C37F2">
          <w:rPr>
            <w:rStyle w:val="Hyperlink"/>
          </w:rPr>
          <w:t>Review’s website</w:t>
        </w:r>
      </w:hyperlink>
      <w:r w:rsidR="003E3132">
        <w:rPr>
          <w:rStyle w:val="Hyperlink"/>
        </w:rPr>
        <w:t>.</w:t>
      </w:r>
    </w:p>
    <w:p w14:paraId="5563926F" w14:textId="7F365DCC" w:rsidR="00AE6136" w:rsidRDefault="0064001D" w:rsidP="005563EC">
      <w:pPr>
        <w:pStyle w:val="ListParagraph"/>
        <w:numPr>
          <w:ilvl w:val="0"/>
          <w:numId w:val="9"/>
        </w:numPr>
        <w:jc w:val="both"/>
      </w:pPr>
      <w:r>
        <w:t>Public</w:t>
      </w:r>
      <w:r w:rsidR="00EE053C">
        <w:t xml:space="preserve"> consultation on the draft report</w:t>
      </w:r>
      <w:r w:rsidR="00E80BD5">
        <w:t xml:space="preserve">: </w:t>
      </w:r>
      <w:r w:rsidR="00F666D1" w:rsidRPr="00F666D1">
        <w:t xml:space="preserve">closed on </w:t>
      </w:r>
      <w:r w:rsidR="00F666D1">
        <w:t>2</w:t>
      </w:r>
      <w:r w:rsidR="00F666D1" w:rsidRPr="00F666D1">
        <w:t xml:space="preserve"> </w:t>
      </w:r>
      <w:r w:rsidR="00F666D1">
        <w:t>July</w:t>
      </w:r>
      <w:r w:rsidR="00F666D1" w:rsidRPr="00F666D1">
        <w:t xml:space="preserve"> 202</w:t>
      </w:r>
      <w:r w:rsidR="00F666D1">
        <w:t>1.</w:t>
      </w:r>
    </w:p>
    <w:p w14:paraId="0E2EC26C" w14:textId="288FFE7C" w:rsidR="00EE053C" w:rsidRDefault="00AE6136" w:rsidP="00797212">
      <w:pPr>
        <w:spacing w:line="276" w:lineRule="auto"/>
      </w:pPr>
      <w:r>
        <w:br w:type="page"/>
      </w:r>
    </w:p>
    <w:p w14:paraId="1C3076EC" w14:textId="77777777" w:rsidR="009124A3" w:rsidRPr="0009206C" w:rsidRDefault="009124A3" w:rsidP="00FF3A5C">
      <w:pPr>
        <w:pStyle w:val="Heading1"/>
        <w:spacing w:before="0"/>
      </w:pPr>
      <w:bookmarkStart w:id="15" w:name="_Toc486853473"/>
      <w:bookmarkStart w:id="16" w:name="_Toc111710674"/>
      <w:r w:rsidRPr="0009206C">
        <w:lastRenderedPageBreak/>
        <w:t>Key Review findings</w:t>
      </w:r>
      <w:bookmarkEnd w:id="15"/>
      <w:bookmarkEnd w:id="16"/>
    </w:p>
    <w:p w14:paraId="01F3BC09" w14:textId="6466D91E" w:rsidR="00EE7D92" w:rsidRPr="002F3376" w:rsidRDefault="009124A3" w:rsidP="00523139">
      <w:pPr>
        <w:pStyle w:val="Heading2"/>
        <w:spacing w:before="240" w:after="120"/>
        <w:jc w:val="both"/>
        <w:rPr>
          <w:rFonts w:asciiTheme="minorHAnsi" w:hAnsiTheme="minorHAnsi" w:cstheme="minorHAnsi"/>
          <w:sz w:val="32"/>
          <w:szCs w:val="32"/>
        </w:rPr>
      </w:pPr>
      <w:bookmarkStart w:id="17" w:name="_Toc486853474"/>
      <w:bookmarkStart w:id="18" w:name="_Toc111710675"/>
      <w:r w:rsidRPr="00394F56">
        <w:rPr>
          <w:rFonts w:asciiTheme="minorHAnsi" w:hAnsiTheme="minorHAnsi" w:cstheme="minorHAnsi"/>
          <w:sz w:val="32"/>
          <w:szCs w:val="32"/>
        </w:rPr>
        <w:t>ToR 1: Comparison of prescribing restrictions and clinical guidelines</w:t>
      </w:r>
      <w:bookmarkEnd w:id="17"/>
      <w:bookmarkEnd w:id="18"/>
    </w:p>
    <w:p w14:paraId="1CFA0C6E" w14:textId="3306C4BB" w:rsidR="00EE7D92" w:rsidRPr="002F3376" w:rsidRDefault="003E3132" w:rsidP="002F3376">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rPr>
          <w:color w:val="365F91" w:themeColor="accent1" w:themeShade="BF"/>
        </w:rPr>
      </w:pPr>
      <w:r>
        <w:rPr>
          <w:i/>
          <w:iCs/>
          <w:color w:val="365F91" w:themeColor="accent1" w:themeShade="BF"/>
        </w:rPr>
        <w:t>Collate the</w:t>
      </w:r>
      <w:r w:rsidRPr="00021ACB">
        <w:t xml:space="preserve"> </w:t>
      </w:r>
      <w:r w:rsidRPr="00021ACB">
        <w:rPr>
          <w:i/>
          <w:iCs/>
          <w:color w:val="365F91" w:themeColor="accent1" w:themeShade="BF"/>
        </w:rPr>
        <w:t>current clinical guidelines for medicines for smoking cessation and compare these to the TGA and PBS restrictions for these medicines</w:t>
      </w:r>
    </w:p>
    <w:p w14:paraId="05B9A1D1" w14:textId="63B96A5F" w:rsidR="00646FA5" w:rsidRPr="00394F56" w:rsidRDefault="0009206C" w:rsidP="00523139">
      <w:pPr>
        <w:pStyle w:val="Heading3"/>
        <w:spacing w:before="120" w:after="120"/>
        <w:jc w:val="both"/>
      </w:pPr>
      <w:bookmarkStart w:id="19" w:name="_Toc111710676"/>
      <w:r w:rsidRPr="00394F56">
        <w:t xml:space="preserve">1.1 </w:t>
      </w:r>
      <w:r w:rsidR="00EE7D92" w:rsidRPr="00394F56">
        <w:t>I</w:t>
      </w:r>
      <w:r w:rsidR="00646FA5" w:rsidRPr="00394F56">
        <w:t>dentify and compare relevant clinical guidelines inclu</w:t>
      </w:r>
      <w:r w:rsidR="00394F56" w:rsidRPr="00394F56">
        <w:t xml:space="preserve">ding Australian, </w:t>
      </w:r>
      <w:r w:rsidR="005D0B0A">
        <w:t>h</w:t>
      </w:r>
      <w:r w:rsidR="00394F56" w:rsidRPr="00394F56">
        <w:t xml:space="preserve">ealth service </w:t>
      </w:r>
      <w:r w:rsidR="00646FA5" w:rsidRPr="00394F56">
        <w:t>and international guidelines</w:t>
      </w:r>
      <w:bookmarkEnd w:id="19"/>
      <w:r w:rsidR="00646FA5" w:rsidRPr="00394F56">
        <w:t xml:space="preserve"> </w:t>
      </w:r>
    </w:p>
    <w:p w14:paraId="3D817B5C" w14:textId="77777777" w:rsidR="00646FA5" w:rsidRPr="005E3296" w:rsidRDefault="00646FA5" w:rsidP="00FC7DC2">
      <w:pPr>
        <w:pStyle w:val="ListParagraph"/>
        <w:numPr>
          <w:ilvl w:val="0"/>
          <w:numId w:val="13"/>
        </w:numPr>
        <w:spacing w:before="200" w:after="20"/>
        <w:jc w:val="both"/>
      </w:pPr>
      <w:r>
        <w:t>Twelve</w:t>
      </w:r>
      <w:r w:rsidRPr="00E25851">
        <w:t xml:space="preserve"> </w:t>
      </w:r>
      <w:r w:rsidRPr="00206D6B">
        <w:t xml:space="preserve">national (Australian) and four international </w:t>
      </w:r>
      <w:r>
        <w:t>guidelines</w:t>
      </w:r>
      <w:r w:rsidRPr="00206D6B">
        <w:t xml:space="preserve"> were identified. </w:t>
      </w:r>
    </w:p>
    <w:p w14:paraId="2B66473F" w14:textId="62DCF78C" w:rsidR="00646FA5" w:rsidRPr="005E3296" w:rsidRDefault="00646FA5" w:rsidP="00FC7DC2">
      <w:pPr>
        <w:pStyle w:val="ListParagraph"/>
        <w:numPr>
          <w:ilvl w:val="0"/>
          <w:numId w:val="13"/>
        </w:numPr>
        <w:spacing w:before="200" w:after="20"/>
        <w:jc w:val="both"/>
      </w:pPr>
      <w:r w:rsidRPr="00206D6B">
        <w:t xml:space="preserve">National guidelines included </w:t>
      </w:r>
      <w:r>
        <w:t>three</w:t>
      </w:r>
      <w:r w:rsidRPr="00206D6B">
        <w:t xml:space="preserve"> country-level guidelines from the Royal Australian College of General Practitioners (RACGP)</w:t>
      </w:r>
      <w:r>
        <w:t xml:space="preserve">, </w:t>
      </w:r>
      <w:r w:rsidRPr="00206D6B">
        <w:t>the electronic Therapeutic Guidelines (eTG)</w:t>
      </w:r>
      <w:r>
        <w:t xml:space="preserve"> and Department of Health and Ageing</w:t>
      </w:r>
      <w:r w:rsidRPr="00206D6B">
        <w:t xml:space="preserve">, </w:t>
      </w:r>
      <w:r>
        <w:t>four</w:t>
      </w:r>
      <w:r w:rsidRPr="00206D6B">
        <w:t xml:space="preserve"> state</w:t>
      </w:r>
      <w:r>
        <w:t>-</w:t>
      </w:r>
      <w:r w:rsidRPr="00206D6B">
        <w:t>level Department of Health guidelines (</w:t>
      </w:r>
      <w:r>
        <w:t xml:space="preserve">Quit for New Life, </w:t>
      </w:r>
      <w:r w:rsidR="00DD32C3">
        <w:t>New South Wales [</w:t>
      </w:r>
      <w:r w:rsidRPr="00206D6B">
        <w:t>N</w:t>
      </w:r>
      <w:r>
        <w:t>SW</w:t>
      </w:r>
      <w:r w:rsidR="00DD32C3">
        <w:t>]</w:t>
      </w:r>
      <w:r>
        <w:t xml:space="preserve"> Health</w:t>
      </w:r>
      <w:r w:rsidRPr="00206D6B">
        <w:t xml:space="preserve">, Queensland </w:t>
      </w:r>
      <w:r>
        <w:t xml:space="preserve">Health </w:t>
      </w:r>
      <w:r w:rsidRPr="00206D6B">
        <w:t>and Western Australia</w:t>
      </w:r>
      <w:r w:rsidR="008726DB">
        <w:t xml:space="preserve"> [WA]</w:t>
      </w:r>
      <w:r>
        <w:t xml:space="preserve"> Department of Health</w:t>
      </w:r>
      <w:r w:rsidR="00DC3B4D">
        <w:rPr>
          <w:rStyle w:val="FootnoteReference"/>
        </w:rPr>
        <w:footnoteReference w:id="1"/>
      </w:r>
      <w:r w:rsidRPr="00206D6B">
        <w:t xml:space="preserve">), </w:t>
      </w:r>
      <w:r>
        <w:t>three</w:t>
      </w:r>
      <w:r w:rsidRPr="00206D6B">
        <w:t xml:space="preserve"> additional guidelines by Alfred Health</w:t>
      </w:r>
      <w:r>
        <w:t xml:space="preserve"> (June 2017 and Aug 2017 updated) and the Royal Women’s Hospital, Victoria (referred herein as the Women’s). T</w:t>
      </w:r>
      <w:r w:rsidRPr="00206D6B">
        <w:t>he Cancer Council</w:t>
      </w:r>
      <w:r>
        <w:t xml:space="preserve"> Victoria published a comprehensive review of smoking cessation, and whilst not a clinical guideline per se, has been included as a key document. </w:t>
      </w:r>
    </w:p>
    <w:p w14:paraId="0DC81907" w14:textId="5B32A3BD" w:rsidR="00646FA5" w:rsidRPr="00C77BD4" w:rsidRDefault="00646FA5" w:rsidP="00FC7DC2">
      <w:pPr>
        <w:pStyle w:val="ListParagraph"/>
        <w:numPr>
          <w:ilvl w:val="0"/>
          <w:numId w:val="13"/>
        </w:numPr>
        <w:spacing w:before="200" w:after="20"/>
        <w:jc w:val="both"/>
      </w:pPr>
      <w:r w:rsidRPr="00206D6B">
        <w:t>The international guidance documents included guidelines from New Zealand</w:t>
      </w:r>
      <w:r w:rsidR="00F666D1">
        <w:t xml:space="preserve"> (NZ)</w:t>
      </w:r>
      <w:r w:rsidRPr="00206D6B">
        <w:t xml:space="preserve">, </w:t>
      </w:r>
      <w:r w:rsidR="00D53A80">
        <w:t>the United Kingdom (</w:t>
      </w:r>
      <w:r w:rsidRPr="00206D6B">
        <w:t>UK</w:t>
      </w:r>
      <w:r w:rsidR="00D53A80">
        <w:t>)</w:t>
      </w:r>
      <w:r w:rsidRPr="00206D6B">
        <w:t xml:space="preserve">, Canada and </w:t>
      </w:r>
      <w:r>
        <w:t xml:space="preserve">the </w:t>
      </w:r>
      <w:r w:rsidR="00D53A80">
        <w:t>United States (US)</w:t>
      </w:r>
      <w:r w:rsidRPr="00206D6B">
        <w:t>.</w:t>
      </w:r>
    </w:p>
    <w:p w14:paraId="5074CC8D" w14:textId="072190D2" w:rsidR="00646FA5" w:rsidRDefault="00646FA5" w:rsidP="00FC7DC2">
      <w:pPr>
        <w:pStyle w:val="ListParagraph"/>
        <w:numPr>
          <w:ilvl w:val="0"/>
          <w:numId w:val="13"/>
        </w:numPr>
        <w:spacing w:before="200" w:after="20"/>
        <w:jc w:val="both"/>
      </w:pPr>
      <w:r w:rsidRPr="00D4527A">
        <w:t xml:space="preserve">The quality grading of evidence and strength of the </w:t>
      </w:r>
      <w:r>
        <w:t>guidelines</w:t>
      </w:r>
      <w:r w:rsidRPr="00D4527A">
        <w:t xml:space="preserve"> were assessed using the Appraisal of Guidelines for Research and Evaluation (AGREE) II instrument. </w:t>
      </w:r>
      <w:r>
        <w:t>Two national (RACGP and Cancer Council Victoria) and two international guidelines (</w:t>
      </w:r>
      <w:r w:rsidR="00D53A80">
        <w:t>NZ a</w:t>
      </w:r>
      <w:r>
        <w:t xml:space="preserve">nd UK) were assessed as higher quality. </w:t>
      </w:r>
      <w:r w:rsidRPr="00A96C26">
        <w:t xml:space="preserve">Several other national guidelines were also considered very good quality including </w:t>
      </w:r>
      <w:r w:rsidR="00DD32C3" w:rsidRPr="00DD32C3">
        <w:rPr>
          <w:bCs/>
        </w:rPr>
        <w:t>Australian Capital Territory</w:t>
      </w:r>
      <w:r w:rsidR="00DD32C3" w:rsidRPr="00DD32C3">
        <w:t xml:space="preserve"> </w:t>
      </w:r>
      <w:r w:rsidR="00DD32C3">
        <w:t>(</w:t>
      </w:r>
      <w:r>
        <w:t>ACT</w:t>
      </w:r>
      <w:r w:rsidR="00DD32C3">
        <w:t>)</w:t>
      </w:r>
      <w:r>
        <w:t xml:space="preserve"> Health, </w:t>
      </w:r>
      <w:r w:rsidR="00D53A80">
        <w:t>WA</w:t>
      </w:r>
      <w:r w:rsidRPr="00A96C26">
        <w:t xml:space="preserve"> Health</w:t>
      </w:r>
      <w:r w:rsidR="007A6372">
        <w:rPr>
          <w:rStyle w:val="FootnoteReference"/>
        </w:rPr>
        <w:t>1</w:t>
      </w:r>
      <w:r w:rsidRPr="00A96C26">
        <w:t>, NSW Health, Alfred Health (updated guidelines – 2020)</w:t>
      </w:r>
      <w:r>
        <w:t>, eTG, Department of Health and Ageing, and the Women’s</w:t>
      </w:r>
      <w:r w:rsidRPr="00A96C26">
        <w:t>, along with the remaining two international guidelines (Canada and US).</w:t>
      </w:r>
    </w:p>
    <w:p w14:paraId="2BD8211B" w14:textId="4DDAF64C" w:rsidR="00646FA5" w:rsidRPr="00401294" w:rsidRDefault="00646FA5" w:rsidP="00523139">
      <w:pPr>
        <w:pStyle w:val="ListParagraph"/>
        <w:numPr>
          <w:ilvl w:val="0"/>
          <w:numId w:val="13"/>
        </w:numPr>
        <w:spacing w:after="0"/>
        <w:ind w:left="357" w:hanging="357"/>
        <w:contextualSpacing w:val="0"/>
        <w:jc w:val="both"/>
      </w:pPr>
      <w:r w:rsidRPr="00401294">
        <w:t>Several similarities were apparent between the national and international guidelines</w:t>
      </w:r>
      <w:r>
        <w:t xml:space="preserve"> as follows</w:t>
      </w:r>
      <w:r w:rsidR="00C5339C">
        <w:t>:</w:t>
      </w:r>
      <w:r w:rsidRPr="00401294">
        <w:t xml:space="preserve"> </w:t>
      </w:r>
    </w:p>
    <w:p w14:paraId="1D7AC128" w14:textId="642790E2" w:rsidR="00646FA5" w:rsidRPr="00401294" w:rsidRDefault="00C5339C" w:rsidP="00FC7DC2">
      <w:pPr>
        <w:pStyle w:val="ListParagraph"/>
        <w:numPr>
          <w:ilvl w:val="1"/>
          <w:numId w:val="13"/>
        </w:numPr>
        <w:spacing w:before="200" w:after="20"/>
        <w:jc w:val="both"/>
      </w:pPr>
      <w:r>
        <w:t>A</w:t>
      </w:r>
      <w:r w:rsidR="00646FA5" w:rsidRPr="00401294">
        <w:t>pproach to smoking cessation, including choice of pharmacotherapy, should be tailored to the patient</w:t>
      </w:r>
      <w:r w:rsidR="00646FA5">
        <w:t xml:space="preserve"> including consideration of nicotine dependence, clinical suitability, and patient preference</w:t>
      </w:r>
      <w:r w:rsidR="00646FA5" w:rsidRPr="00401294">
        <w:t>.</w:t>
      </w:r>
    </w:p>
    <w:p w14:paraId="0950E5CA" w14:textId="77777777" w:rsidR="00646FA5" w:rsidRPr="00401294" w:rsidRDefault="00646FA5" w:rsidP="00FC7DC2">
      <w:pPr>
        <w:pStyle w:val="ListParagraph"/>
        <w:numPr>
          <w:ilvl w:val="1"/>
          <w:numId w:val="13"/>
        </w:numPr>
        <w:spacing w:before="200" w:after="20"/>
        <w:jc w:val="both"/>
      </w:pPr>
      <w:r w:rsidRPr="00401294">
        <w:t xml:space="preserve">Varenicline was considered </w:t>
      </w:r>
      <w:r>
        <w:t>more</w:t>
      </w:r>
      <w:r w:rsidRPr="00401294">
        <w:t xml:space="preserve"> effective</w:t>
      </w:r>
      <w:r>
        <w:t xml:space="preserve"> than NRT</w:t>
      </w:r>
      <w:r w:rsidRPr="00401294">
        <w:t xml:space="preserve"> monotherapy</w:t>
      </w:r>
      <w:r>
        <w:t xml:space="preserve"> and bupropion</w:t>
      </w:r>
      <w:r w:rsidRPr="00401294">
        <w:t>, and at least equivalent to combination NRT.</w:t>
      </w:r>
    </w:p>
    <w:p w14:paraId="7F8C2A14" w14:textId="5CEE0EAF" w:rsidR="00646FA5" w:rsidRPr="00401294" w:rsidRDefault="00646FA5" w:rsidP="00FC7DC2">
      <w:pPr>
        <w:pStyle w:val="ListParagraph"/>
        <w:numPr>
          <w:ilvl w:val="1"/>
          <w:numId w:val="13"/>
        </w:numPr>
        <w:spacing w:before="200" w:after="20"/>
        <w:jc w:val="both"/>
      </w:pPr>
      <w:r w:rsidRPr="00401294">
        <w:t xml:space="preserve">Combination NRT was </w:t>
      </w:r>
      <w:r>
        <w:t xml:space="preserve">considered </w:t>
      </w:r>
      <w:r w:rsidRPr="00401294">
        <w:t>more effective than NRT</w:t>
      </w:r>
      <w:r w:rsidR="00C5339C">
        <w:t xml:space="preserve"> monotherapy</w:t>
      </w:r>
      <w:r w:rsidRPr="00401294">
        <w:t xml:space="preserve"> or bupropion.</w:t>
      </w:r>
    </w:p>
    <w:p w14:paraId="3F374E35" w14:textId="0FB7FE52" w:rsidR="00646FA5" w:rsidRPr="00401294" w:rsidRDefault="00CC2D13" w:rsidP="00FC7DC2">
      <w:pPr>
        <w:pStyle w:val="ListParagraph"/>
        <w:numPr>
          <w:ilvl w:val="1"/>
          <w:numId w:val="13"/>
        </w:numPr>
        <w:spacing w:before="200" w:after="20"/>
        <w:jc w:val="both"/>
      </w:pPr>
      <w:r>
        <w:t xml:space="preserve">Any </w:t>
      </w:r>
      <w:r w:rsidRPr="00401294">
        <w:t>pharmacotherapy</w:t>
      </w:r>
      <w:r w:rsidR="00646FA5" w:rsidRPr="00401294">
        <w:t xml:space="preserve"> combined with behavioural support </w:t>
      </w:r>
      <w:r w:rsidR="00646FA5">
        <w:t>was considered</w:t>
      </w:r>
      <w:r w:rsidR="00646FA5" w:rsidRPr="00401294">
        <w:t xml:space="preserve"> more effective than pharmacotherapy alone.</w:t>
      </w:r>
    </w:p>
    <w:p w14:paraId="47C0145B" w14:textId="33B62E96" w:rsidR="00646FA5" w:rsidRPr="00401294" w:rsidRDefault="00646FA5" w:rsidP="00FC7DC2">
      <w:pPr>
        <w:pStyle w:val="ListParagraph"/>
        <w:numPr>
          <w:ilvl w:val="1"/>
          <w:numId w:val="13"/>
        </w:numPr>
        <w:spacing w:before="200" w:after="20"/>
        <w:jc w:val="both"/>
      </w:pPr>
      <w:r w:rsidRPr="00401294">
        <w:lastRenderedPageBreak/>
        <w:t>Referral to a specialised counselling service (</w:t>
      </w:r>
      <w:r w:rsidR="00C5339C" w:rsidRPr="00401294">
        <w:t>e.g.,</w:t>
      </w:r>
      <w:r w:rsidRPr="00401294">
        <w:t xml:space="preserve"> Quitline or similar trained smoking cessation counsellors) was recommended.</w:t>
      </w:r>
    </w:p>
    <w:p w14:paraId="2ED9BD61" w14:textId="6F25F041" w:rsidR="00646FA5" w:rsidRPr="00401294" w:rsidRDefault="00646FA5" w:rsidP="00FC7DC2">
      <w:pPr>
        <w:pStyle w:val="ListParagraph"/>
        <w:numPr>
          <w:ilvl w:val="1"/>
          <w:numId w:val="13"/>
        </w:numPr>
        <w:spacing w:before="200" w:after="20"/>
        <w:jc w:val="both"/>
      </w:pPr>
      <w:r w:rsidRPr="00401294">
        <w:t xml:space="preserve">Using appropriate dosing for NRT, proportional to the level of nicotine dependence, </w:t>
      </w:r>
      <w:r>
        <w:t>was</w:t>
      </w:r>
      <w:r w:rsidRPr="00401294">
        <w:t xml:space="preserve"> important, as </w:t>
      </w:r>
      <w:r>
        <w:t>wa</w:t>
      </w:r>
      <w:r w:rsidRPr="00401294">
        <w:t>s up</w:t>
      </w:r>
      <w:r>
        <w:t>-</w:t>
      </w:r>
      <w:r w:rsidRPr="00401294">
        <w:t xml:space="preserve">titrating the dose </w:t>
      </w:r>
      <w:r>
        <w:t xml:space="preserve">(including the option of double patching </w:t>
      </w:r>
      <w:r w:rsidR="00C5339C">
        <w:t>(i.e.,</w:t>
      </w:r>
      <w:r>
        <w:t xml:space="preserve"> adding an extra patch) </w:t>
      </w:r>
      <w:r w:rsidRPr="00401294">
        <w:t xml:space="preserve">if there </w:t>
      </w:r>
      <w:r>
        <w:t>wa</w:t>
      </w:r>
      <w:r w:rsidRPr="00401294">
        <w:t xml:space="preserve">s limited response. Under-dosing </w:t>
      </w:r>
      <w:r>
        <w:t>wa</w:t>
      </w:r>
      <w:r w:rsidRPr="00401294">
        <w:t xml:space="preserve">s </w:t>
      </w:r>
      <w:r>
        <w:t>considered</w:t>
      </w:r>
      <w:r w:rsidRPr="00401294">
        <w:t xml:space="preserve"> common and associated with risk of not achieving cessation.</w:t>
      </w:r>
    </w:p>
    <w:p w14:paraId="7242EF4D" w14:textId="2A28A71A" w:rsidR="00646FA5" w:rsidRPr="00401294" w:rsidRDefault="00646FA5" w:rsidP="00FC7DC2">
      <w:pPr>
        <w:pStyle w:val="ListParagraph"/>
        <w:numPr>
          <w:ilvl w:val="1"/>
          <w:numId w:val="13"/>
        </w:numPr>
        <w:spacing w:before="200" w:after="20"/>
        <w:jc w:val="both"/>
      </w:pPr>
      <w:r w:rsidRPr="00401294">
        <w:t xml:space="preserve">NRT should be used for </w:t>
      </w:r>
      <w:r>
        <w:t>8-</w:t>
      </w:r>
      <w:r w:rsidRPr="00401294">
        <w:t xml:space="preserve">12 weeks, varenicline for 12 weeks and bupropion for at least </w:t>
      </w:r>
      <w:r w:rsidR="006D1794">
        <w:t>seven</w:t>
      </w:r>
      <w:r w:rsidRPr="00401294">
        <w:t xml:space="preserve"> weeks. Some </w:t>
      </w:r>
      <w:r>
        <w:t xml:space="preserve">national and international </w:t>
      </w:r>
      <w:r w:rsidRPr="00401294">
        <w:t>guidelines allowed for a second course of NRT or varenicline, but not bupropion, to prevent relapse, or if complete abstinence was not achieved.</w:t>
      </w:r>
    </w:p>
    <w:p w14:paraId="0CE35E9A" w14:textId="60D2041C" w:rsidR="00646FA5" w:rsidRPr="00401294" w:rsidRDefault="00646FA5" w:rsidP="00FC7DC2">
      <w:pPr>
        <w:pStyle w:val="ListParagraph"/>
        <w:numPr>
          <w:ilvl w:val="1"/>
          <w:numId w:val="13"/>
        </w:numPr>
        <w:spacing w:before="200" w:after="20"/>
        <w:jc w:val="both"/>
      </w:pPr>
      <w:r w:rsidRPr="00401294">
        <w:t xml:space="preserve">NRT was considered appropriate for use in adolescents &gt; 12 years, patients with stable </w:t>
      </w:r>
      <w:r w:rsidR="00C5339C">
        <w:t>cardiovascular disease (</w:t>
      </w:r>
      <w:r w:rsidRPr="00401294">
        <w:t>CVD</w:t>
      </w:r>
      <w:r w:rsidR="00C5339C">
        <w:t>)</w:t>
      </w:r>
      <w:r w:rsidRPr="00401294">
        <w:t xml:space="preserve"> and pregnant women (although preference was to achieve smoking cessation without use of NRT in pregnant women).</w:t>
      </w:r>
    </w:p>
    <w:p w14:paraId="09B0F6B7" w14:textId="69859EA8" w:rsidR="00646FA5" w:rsidRPr="00401294" w:rsidRDefault="00646FA5" w:rsidP="00FC7DC2">
      <w:pPr>
        <w:pStyle w:val="ListParagraph"/>
        <w:numPr>
          <w:ilvl w:val="0"/>
          <w:numId w:val="13"/>
        </w:numPr>
        <w:spacing w:before="200" w:after="20"/>
        <w:jc w:val="both"/>
      </w:pPr>
      <w:r w:rsidRPr="00401294">
        <w:t>There were some discrepancies between various guidelines, particularly around the use of combinations of NRT, varenicline and bupropion</w:t>
      </w:r>
      <w:r w:rsidR="00C5339C">
        <w:t xml:space="preserve">. </w:t>
      </w:r>
      <w:r>
        <w:t>S</w:t>
      </w:r>
      <w:r w:rsidRPr="00401294">
        <w:t xml:space="preserve">ome guidelines </w:t>
      </w:r>
      <w:r>
        <w:t xml:space="preserve">recommended </w:t>
      </w:r>
      <w:r w:rsidRPr="00401294">
        <w:t>some or all combinations</w:t>
      </w:r>
      <w:r>
        <w:t>,</w:t>
      </w:r>
      <w:r w:rsidRPr="00401294">
        <w:t xml:space="preserve"> but </w:t>
      </w:r>
      <w:r>
        <w:t>UK</w:t>
      </w:r>
      <w:r w:rsidRPr="00401294">
        <w:t xml:space="preserve"> </w:t>
      </w:r>
      <w:r w:rsidR="00C5339C">
        <w:t xml:space="preserve">guidelines </w:t>
      </w:r>
      <w:r w:rsidRPr="00401294">
        <w:t>specifically recommend</w:t>
      </w:r>
      <w:r>
        <w:t>ed</w:t>
      </w:r>
      <w:r w:rsidRPr="00401294">
        <w:t xml:space="preserve"> against </w:t>
      </w:r>
      <w:r>
        <w:t>the combination of varenicline and bupropion</w:t>
      </w:r>
      <w:r w:rsidRPr="00401294">
        <w:t xml:space="preserve">. </w:t>
      </w:r>
    </w:p>
    <w:p w14:paraId="6E9C8EE8" w14:textId="1159CA4A" w:rsidR="00EE7D92" w:rsidRPr="002F3376" w:rsidRDefault="00646FA5" w:rsidP="00FC7DC2">
      <w:pPr>
        <w:pStyle w:val="ListParagraph"/>
        <w:numPr>
          <w:ilvl w:val="0"/>
          <w:numId w:val="13"/>
        </w:numPr>
        <w:spacing w:before="200" w:after="20"/>
        <w:jc w:val="both"/>
      </w:pPr>
      <w:r w:rsidRPr="00401294">
        <w:t>Differences were also seen in how nicotine dependence was assessed, particularly in relation to dosing of NRT. However, there was agreement on the overall principle that increased reliance on nicotine (whether measured by time to first cigarette, or number of cigarettes per day, or a combination of these) should trigger use of higher doses of NRT at the time of quitting.</w:t>
      </w:r>
    </w:p>
    <w:p w14:paraId="3AB6FD1D" w14:textId="7ADCA4E7" w:rsidR="00646FA5" w:rsidRPr="00394F56" w:rsidRDefault="0009206C" w:rsidP="00523139">
      <w:pPr>
        <w:pStyle w:val="Heading3"/>
        <w:spacing w:before="120" w:after="120"/>
        <w:jc w:val="both"/>
        <w:rPr>
          <w:rFonts w:eastAsiaTheme="minorEastAsia"/>
        </w:rPr>
      </w:pPr>
      <w:bookmarkStart w:id="20" w:name="_Toc111710677"/>
      <w:r w:rsidRPr="00394F56">
        <w:rPr>
          <w:rFonts w:eastAsiaTheme="minorEastAsia"/>
        </w:rPr>
        <w:t xml:space="preserve">1.2 </w:t>
      </w:r>
      <w:r w:rsidR="00646FA5" w:rsidRPr="00394F56">
        <w:rPr>
          <w:rFonts w:eastAsiaTheme="minorEastAsia"/>
        </w:rPr>
        <w:t xml:space="preserve">Compare TGA indications and PBS restrictions to the most clinically relevant clinical guidelines identified in </w:t>
      </w:r>
      <w:r w:rsidRPr="00394F56">
        <w:rPr>
          <w:rFonts w:eastAsiaTheme="minorEastAsia"/>
        </w:rPr>
        <w:t>1.1</w:t>
      </w:r>
      <w:bookmarkEnd w:id="20"/>
    </w:p>
    <w:p w14:paraId="191917DB" w14:textId="46249389" w:rsidR="00646FA5" w:rsidRDefault="00646FA5" w:rsidP="00523139">
      <w:pPr>
        <w:pStyle w:val="ListParagraph"/>
        <w:numPr>
          <w:ilvl w:val="0"/>
          <w:numId w:val="13"/>
        </w:numPr>
        <w:spacing w:before="120" w:after="0"/>
        <w:ind w:left="357" w:hanging="357"/>
        <w:contextualSpacing w:val="0"/>
        <w:jc w:val="both"/>
      </w:pPr>
      <w:r>
        <w:t xml:space="preserve">All </w:t>
      </w:r>
      <w:r w:rsidR="005D0B0A">
        <w:t>guideline</w:t>
      </w:r>
      <w:r>
        <w:t xml:space="preserve"> recommendations were within TGA indications for all therapies under consideration (NRT, bupropion and varenicline).</w:t>
      </w:r>
    </w:p>
    <w:p w14:paraId="72B4E99F" w14:textId="281D1A8C" w:rsidR="00646FA5" w:rsidRDefault="00646FA5" w:rsidP="005D0B0A">
      <w:pPr>
        <w:pStyle w:val="ListParagraph"/>
        <w:numPr>
          <w:ilvl w:val="0"/>
          <w:numId w:val="14"/>
        </w:numPr>
        <w:spacing w:before="200" w:after="20"/>
        <w:jc w:val="both"/>
      </w:pPr>
      <w:r w:rsidRPr="00814853">
        <w:t xml:space="preserve">The PBS listing </w:t>
      </w:r>
      <w:r>
        <w:t xml:space="preserve">for NRT does </w:t>
      </w:r>
      <w:r w:rsidRPr="00814853">
        <w:t xml:space="preserve">not </w:t>
      </w:r>
      <w:r w:rsidR="005D0B0A">
        <w:t>allow</w:t>
      </w:r>
      <w:r>
        <w:t xml:space="preserve"> for the use of </w:t>
      </w:r>
      <w:r w:rsidRPr="00814853">
        <w:t>two forms of NRT at once (</w:t>
      </w:r>
      <w:r w:rsidR="005D0B0A" w:rsidRPr="00814853">
        <w:t>i.e.,</w:t>
      </w:r>
      <w:r w:rsidRPr="00814853">
        <w:t xml:space="preserve"> no combination therapy)</w:t>
      </w:r>
      <w:r>
        <w:t xml:space="preserve"> which is inconsistent with all guidelines reviewed and TGA-approved dosing of NRT.</w:t>
      </w:r>
    </w:p>
    <w:p w14:paraId="21737A64" w14:textId="7F903C94" w:rsidR="00646FA5" w:rsidRDefault="00646FA5" w:rsidP="005D0B0A">
      <w:pPr>
        <w:pStyle w:val="ListParagraph"/>
        <w:numPr>
          <w:ilvl w:val="0"/>
          <w:numId w:val="14"/>
        </w:numPr>
        <w:spacing w:before="200" w:after="20"/>
        <w:jc w:val="both"/>
      </w:pPr>
      <w:r>
        <w:t>The PBS listings for varenicline and bupropion were consistent with guideline recommendations for use of these drugs as monotherapy. However, the PBS restriction</w:t>
      </w:r>
      <w:r w:rsidR="005D0B0A">
        <w:t xml:space="preserve"> </w:t>
      </w:r>
      <w:r>
        <w:t>requiring a six-month gap between initiating sequential quit attempts was not reflected in the guidelines.</w:t>
      </w:r>
    </w:p>
    <w:p w14:paraId="662B0B18" w14:textId="77777777" w:rsidR="00646FA5" w:rsidRDefault="00646FA5" w:rsidP="005D0B0A">
      <w:pPr>
        <w:pStyle w:val="ListParagraph"/>
        <w:numPr>
          <w:ilvl w:val="0"/>
          <w:numId w:val="14"/>
        </w:numPr>
        <w:spacing w:before="200" w:after="20"/>
        <w:jc w:val="both"/>
      </w:pPr>
      <w:r>
        <w:t>The PBS listings for varenicline and bupropion are inconsistent with the guidelines that support the use of these therapies in combination with another smoking cessation therapy. However, there was also discrepancy between guidelines as to whether these medications should be used in combination. The TGA indications do not preclude combination therapy.</w:t>
      </w:r>
    </w:p>
    <w:p w14:paraId="1C557D79" w14:textId="57D35489" w:rsidR="00646FA5" w:rsidRPr="004E1EE3" w:rsidRDefault="00285E7A" w:rsidP="005D0B0A">
      <w:pPr>
        <w:pStyle w:val="ListParagraph"/>
        <w:numPr>
          <w:ilvl w:val="0"/>
          <w:numId w:val="14"/>
        </w:numPr>
        <w:spacing w:before="200" w:after="20"/>
        <w:jc w:val="both"/>
      </w:pPr>
      <w:r>
        <w:t>‘</w:t>
      </w:r>
      <w:r w:rsidR="00646FA5">
        <w:t>Cut-down to quit</w:t>
      </w:r>
      <w:r>
        <w:t>’</w:t>
      </w:r>
      <w:r w:rsidR="00646FA5">
        <w:t xml:space="preserve"> and pre-quit use of NRT were TGA-approved and recommended strategies in most guidelines. This approach was not explicitly considered in the PBS restrictions, and may not be adequately accounted for within the allowable quantities and repeats.</w:t>
      </w:r>
    </w:p>
    <w:p w14:paraId="16BB5810" w14:textId="38E4E2E9" w:rsidR="00646FA5" w:rsidRPr="00604C6A" w:rsidRDefault="00646FA5" w:rsidP="005D0B0A">
      <w:pPr>
        <w:pStyle w:val="ListParagraph"/>
        <w:numPr>
          <w:ilvl w:val="0"/>
          <w:numId w:val="14"/>
        </w:numPr>
        <w:spacing w:before="200" w:after="20"/>
        <w:jc w:val="both"/>
      </w:pPr>
      <w:r>
        <w:t xml:space="preserve">Current PBS prescriptions for NRT do not allow for extension of a course of therapy beyond 12 weeks although several guidelines recommended extension of therapy if needed. The exception to this was for </w:t>
      </w:r>
      <w:r w:rsidR="00285E7A">
        <w:t xml:space="preserve">the </w:t>
      </w:r>
      <w:r>
        <w:t>Aboriginal and Torres Strait Islander population</w:t>
      </w:r>
      <w:r w:rsidR="00285E7A">
        <w:t xml:space="preserve"> </w:t>
      </w:r>
      <w:r>
        <w:lastRenderedPageBreak/>
        <w:t xml:space="preserve">where up to 24 weeks of </w:t>
      </w:r>
      <w:r w:rsidR="0081058F">
        <w:t>PBS</w:t>
      </w:r>
      <w:r w:rsidR="005D0B0A">
        <w:t>-</w:t>
      </w:r>
      <w:r w:rsidR="0081058F">
        <w:t xml:space="preserve">subsidised </w:t>
      </w:r>
      <w:r>
        <w:t xml:space="preserve">NRT were allowed. No guideline distinguished between </w:t>
      </w:r>
      <w:r w:rsidR="00285E7A">
        <w:t xml:space="preserve">the </w:t>
      </w:r>
      <w:r>
        <w:t>Aboriginal and Torres Strait Islander population and</w:t>
      </w:r>
      <w:r w:rsidR="00285E7A">
        <w:t xml:space="preserve"> the</w:t>
      </w:r>
      <w:r>
        <w:t xml:space="preserve"> general population regarding extension of therapy.</w:t>
      </w:r>
    </w:p>
    <w:p w14:paraId="2C2E0DC5" w14:textId="77777777" w:rsidR="00646FA5" w:rsidRPr="008E791E" w:rsidRDefault="00646FA5" w:rsidP="005D0B0A">
      <w:pPr>
        <w:pStyle w:val="ListParagraph"/>
        <w:numPr>
          <w:ilvl w:val="0"/>
          <w:numId w:val="14"/>
        </w:numPr>
        <w:spacing w:before="200" w:after="20"/>
        <w:jc w:val="both"/>
      </w:pPr>
      <w:r>
        <w:t>The allowable quantities for NRT patches in the current PBS restrictions do not account for ‘double-patching’ although several guidelines suggested that this may be useful for heavily dependent smokers.</w:t>
      </w:r>
    </w:p>
    <w:p w14:paraId="401FC4ED" w14:textId="7C7FB344" w:rsidR="00EE7D92" w:rsidRPr="002F3376" w:rsidRDefault="00646FA5" w:rsidP="005D0B0A">
      <w:pPr>
        <w:pStyle w:val="ListParagraph"/>
        <w:numPr>
          <w:ilvl w:val="0"/>
          <w:numId w:val="14"/>
        </w:numPr>
        <w:spacing w:before="200" w:after="20"/>
        <w:jc w:val="both"/>
      </w:pPr>
      <w:r>
        <w:t xml:space="preserve">Higher strength NRT patches were </w:t>
      </w:r>
      <w:r w:rsidR="00285E7A">
        <w:t>PBS-</w:t>
      </w:r>
      <w:r>
        <w:t>listed for Aboriginal and Torres Strait Islander</w:t>
      </w:r>
      <w:r w:rsidR="00285E7A">
        <w:t>s</w:t>
      </w:r>
      <w:r>
        <w:t xml:space="preserve"> but lower strength patches were not. This was inconsistent with the guidelines which do not indicate any evidence-based requirement for only higher strengths for Aboriginal and Torres Strait Islander</w:t>
      </w:r>
      <w:r w:rsidR="00285E7A">
        <w:t>s</w:t>
      </w:r>
      <w:r>
        <w:t>.</w:t>
      </w:r>
    </w:p>
    <w:p w14:paraId="220C511E" w14:textId="076EBB52" w:rsidR="00646FA5" w:rsidRPr="00394F56" w:rsidRDefault="0009206C" w:rsidP="00523139">
      <w:pPr>
        <w:pStyle w:val="Heading3"/>
        <w:spacing w:before="120" w:after="120"/>
        <w:jc w:val="both"/>
        <w:rPr>
          <w:rFonts w:eastAsiaTheme="minorEastAsia"/>
        </w:rPr>
      </w:pPr>
      <w:bookmarkStart w:id="21" w:name="_Toc111710678"/>
      <w:r w:rsidRPr="00394F56">
        <w:rPr>
          <w:rFonts w:eastAsiaTheme="minorEastAsia"/>
        </w:rPr>
        <w:t xml:space="preserve">1.3 </w:t>
      </w:r>
      <w:r w:rsidR="00646FA5" w:rsidRPr="00394F56">
        <w:rPr>
          <w:rFonts w:eastAsiaTheme="minorEastAsia"/>
        </w:rPr>
        <w:t>Review the most commonly recommended clinical assessment measure used to evaluate the severity of nicotine dependence</w:t>
      </w:r>
      <w:bookmarkEnd w:id="21"/>
    </w:p>
    <w:p w14:paraId="4D90A8AA" w14:textId="77777777" w:rsidR="00646FA5" w:rsidRDefault="00646FA5" w:rsidP="00523139">
      <w:pPr>
        <w:pStyle w:val="ListParagraph"/>
        <w:numPr>
          <w:ilvl w:val="0"/>
          <w:numId w:val="14"/>
        </w:numPr>
        <w:spacing w:before="200" w:after="20"/>
        <w:jc w:val="both"/>
      </w:pPr>
      <w:r>
        <w:t>Under-dosing of NRT was considered common and assessment of nicotine dependence was recommended prior to prescribing of pharmacotherapy.</w:t>
      </w:r>
    </w:p>
    <w:p w14:paraId="41A36783" w14:textId="77777777" w:rsidR="00646FA5" w:rsidRDefault="00646FA5" w:rsidP="00523139">
      <w:pPr>
        <w:pStyle w:val="ListParagraph"/>
        <w:numPr>
          <w:ilvl w:val="0"/>
          <w:numId w:val="14"/>
        </w:numPr>
        <w:spacing w:before="200" w:after="20"/>
        <w:jc w:val="both"/>
      </w:pPr>
      <w:r>
        <w:t>Clinical guidelines used a range of instruments to assess nicotine dependence including:</w:t>
      </w:r>
    </w:p>
    <w:p w14:paraId="34C6D9B1" w14:textId="77777777" w:rsidR="00646FA5" w:rsidRDefault="00646FA5" w:rsidP="00285E7A">
      <w:pPr>
        <w:pStyle w:val="ListParagraph"/>
        <w:numPr>
          <w:ilvl w:val="1"/>
          <w:numId w:val="13"/>
        </w:numPr>
        <w:spacing w:before="200" w:after="20"/>
        <w:jc w:val="both"/>
      </w:pPr>
      <w:r>
        <w:t xml:space="preserve">The Fagerstrӧm test which </w:t>
      </w:r>
      <w:r w:rsidRPr="00EE61D3">
        <w:t>tests psychological and physiological dependence</w:t>
      </w:r>
    </w:p>
    <w:p w14:paraId="4B9A319E" w14:textId="4A0D24A6" w:rsidR="00646FA5" w:rsidRDefault="00646FA5" w:rsidP="00523139">
      <w:pPr>
        <w:pStyle w:val="ListParagraph"/>
        <w:numPr>
          <w:ilvl w:val="1"/>
          <w:numId w:val="13"/>
        </w:numPr>
        <w:spacing w:before="200" w:after="20"/>
        <w:jc w:val="both"/>
      </w:pPr>
      <w:r>
        <w:t>A subset of two of the Fagerstrӧm questions – ‘how long until you have your first cigarette after waking?’, and ‘how many cigarettes a day do you smoke?’</w:t>
      </w:r>
    </w:p>
    <w:p w14:paraId="756E5DD3" w14:textId="77777777" w:rsidR="00646FA5" w:rsidRPr="001E1B31" w:rsidRDefault="00646FA5" w:rsidP="00523139">
      <w:pPr>
        <w:pStyle w:val="ListParagraph"/>
        <w:numPr>
          <w:ilvl w:val="1"/>
          <w:numId w:val="13"/>
        </w:numPr>
        <w:spacing w:before="200" w:after="20"/>
        <w:jc w:val="both"/>
      </w:pPr>
      <w:r>
        <w:t>Simply asking ‘how many cigarettes a day do you smoke?’</w:t>
      </w:r>
    </w:p>
    <w:p w14:paraId="6C2EF27B" w14:textId="7543D256" w:rsidR="00394F56" w:rsidRPr="00523139" w:rsidRDefault="0009206C" w:rsidP="00523139">
      <w:pPr>
        <w:pStyle w:val="Heading3"/>
        <w:spacing w:before="120" w:after="120"/>
        <w:jc w:val="both"/>
        <w:rPr>
          <w:rFonts w:eastAsiaTheme="minorEastAsia"/>
        </w:rPr>
      </w:pPr>
      <w:bookmarkStart w:id="22" w:name="_Toc66695666"/>
      <w:bookmarkStart w:id="23" w:name="_Toc111710679"/>
      <w:r w:rsidRPr="00523139">
        <w:rPr>
          <w:rFonts w:eastAsiaTheme="minorEastAsia"/>
        </w:rPr>
        <w:t xml:space="preserve">1.4 </w:t>
      </w:r>
      <w:r w:rsidR="00646FA5" w:rsidRPr="00523139">
        <w:rPr>
          <w:rFonts w:eastAsiaTheme="minorEastAsia"/>
        </w:rPr>
        <w:t>Stakeholder views (</w:t>
      </w:r>
      <w:r w:rsidR="00285E7A">
        <w:rPr>
          <w:rFonts w:eastAsiaTheme="minorEastAsia"/>
        </w:rPr>
        <w:t>f</w:t>
      </w:r>
      <w:r w:rsidR="00646FA5" w:rsidRPr="00523139">
        <w:rPr>
          <w:rFonts w:eastAsiaTheme="minorEastAsia"/>
        </w:rPr>
        <w:t>orum and public consultations)</w:t>
      </w:r>
      <w:bookmarkEnd w:id="22"/>
      <w:bookmarkEnd w:id="23"/>
    </w:p>
    <w:p w14:paraId="2B5DABED" w14:textId="77777777" w:rsidR="00646FA5" w:rsidRDefault="00646FA5" w:rsidP="00523139">
      <w:pPr>
        <w:spacing w:after="120"/>
        <w:jc w:val="both"/>
      </w:pPr>
      <w:r>
        <w:t>Initial consultation feedback recommended that health service guidelines be included in the evaluation of ToR 1, in addition to national and international guidelines. Based on this feedback several health service guidelines, including those published by Alfred Health and the Royal Women’s Hospital (Victoria), have been included in the evaluation of ToR 1. A review published by the Cancer Council Victoria was included as a ‘key document.’</w:t>
      </w:r>
    </w:p>
    <w:p w14:paraId="4399627D" w14:textId="77777777" w:rsidR="00646FA5" w:rsidRDefault="00646FA5" w:rsidP="00FC7DC2">
      <w:pPr>
        <w:jc w:val="both"/>
      </w:pPr>
      <w:r>
        <w:t>Stakeholders generally considered that the PBS restrictions should align with current clinical guidelines (such as the RACGP’s ‘</w:t>
      </w:r>
      <w:r w:rsidRPr="005B7BDC">
        <w:rPr>
          <w:bCs/>
          <w:kern w:val="36"/>
          <w:szCs w:val="24"/>
          <w:lang w:val="en"/>
        </w:rPr>
        <w:t>Supporting smoking cessation: A guide for health professionals</w:t>
      </w:r>
      <w:r>
        <w:rPr>
          <w:bCs/>
          <w:kern w:val="36"/>
          <w:szCs w:val="24"/>
          <w:lang w:val="en"/>
        </w:rPr>
        <w:t>’</w:t>
      </w:r>
      <w:r>
        <w:t xml:space="preserve">). </w:t>
      </w:r>
    </w:p>
    <w:p w14:paraId="6E642282" w14:textId="77777777" w:rsidR="00646FA5" w:rsidRDefault="00646FA5" w:rsidP="00523139">
      <w:pPr>
        <w:pStyle w:val="Bullet"/>
        <w:spacing w:before="120"/>
        <w:jc w:val="both"/>
        <w:rPr>
          <w:rFonts w:asciiTheme="minorHAnsi" w:eastAsiaTheme="minorHAnsi" w:hAnsiTheme="minorHAnsi" w:cstheme="minorHAnsi"/>
          <w:color w:val="auto"/>
          <w:sz w:val="24"/>
          <w:szCs w:val="22"/>
        </w:rPr>
      </w:pPr>
      <w:r w:rsidRPr="00F875E9">
        <w:rPr>
          <w:rFonts w:asciiTheme="minorHAnsi" w:eastAsiaTheme="minorHAnsi" w:hAnsiTheme="minorHAnsi" w:cstheme="minorHAnsi"/>
          <w:color w:val="auto"/>
          <w:sz w:val="24"/>
          <w:szCs w:val="22"/>
        </w:rPr>
        <w:t xml:space="preserve">Stakeholders considered </w:t>
      </w:r>
      <w:r>
        <w:rPr>
          <w:rFonts w:asciiTheme="minorHAnsi" w:eastAsiaTheme="minorHAnsi" w:hAnsiTheme="minorHAnsi" w:cstheme="minorHAnsi"/>
          <w:color w:val="auto"/>
          <w:sz w:val="24"/>
          <w:szCs w:val="22"/>
        </w:rPr>
        <w:t xml:space="preserve">it important to </w:t>
      </w:r>
      <w:r w:rsidRPr="00F875E9">
        <w:rPr>
          <w:rFonts w:asciiTheme="minorHAnsi" w:eastAsiaTheme="minorHAnsi" w:hAnsiTheme="minorHAnsi" w:cstheme="minorHAnsi"/>
          <w:color w:val="auto"/>
          <w:sz w:val="24"/>
          <w:szCs w:val="22"/>
        </w:rPr>
        <w:t>ensur</w:t>
      </w:r>
      <w:r>
        <w:rPr>
          <w:rFonts w:asciiTheme="minorHAnsi" w:eastAsiaTheme="minorHAnsi" w:hAnsiTheme="minorHAnsi" w:cstheme="minorHAnsi"/>
          <w:color w:val="auto"/>
          <w:sz w:val="24"/>
          <w:szCs w:val="22"/>
        </w:rPr>
        <w:t>e that</w:t>
      </w:r>
      <w:r w:rsidRPr="00F875E9">
        <w:rPr>
          <w:rFonts w:asciiTheme="minorHAnsi" w:eastAsiaTheme="minorHAnsi" w:hAnsiTheme="minorHAnsi" w:cstheme="minorHAnsi"/>
          <w:color w:val="auto"/>
          <w:sz w:val="24"/>
          <w:szCs w:val="22"/>
        </w:rPr>
        <w:t xml:space="preserve"> </w:t>
      </w:r>
      <w:r>
        <w:rPr>
          <w:rFonts w:asciiTheme="minorHAnsi" w:eastAsiaTheme="minorHAnsi" w:hAnsiTheme="minorHAnsi" w:cstheme="minorHAnsi"/>
          <w:color w:val="auto"/>
          <w:sz w:val="24"/>
          <w:szCs w:val="22"/>
        </w:rPr>
        <w:t xml:space="preserve">the </w:t>
      </w:r>
      <w:r w:rsidRPr="00F875E9">
        <w:rPr>
          <w:rFonts w:asciiTheme="minorHAnsi" w:eastAsiaTheme="minorHAnsi" w:hAnsiTheme="minorHAnsi" w:cstheme="minorHAnsi"/>
          <w:color w:val="auto"/>
          <w:sz w:val="24"/>
          <w:szCs w:val="22"/>
        </w:rPr>
        <w:t>availability of medic</w:t>
      </w:r>
      <w:r>
        <w:rPr>
          <w:rFonts w:asciiTheme="minorHAnsi" w:eastAsiaTheme="minorHAnsi" w:hAnsiTheme="minorHAnsi" w:cstheme="minorHAnsi"/>
          <w:color w:val="auto"/>
          <w:sz w:val="24"/>
          <w:szCs w:val="22"/>
        </w:rPr>
        <w:t>ines for smoking cessation</w:t>
      </w:r>
      <w:r w:rsidRPr="00F875E9">
        <w:rPr>
          <w:rFonts w:asciiTheme="minorHAnsi" w:eastAsiaTheme="minorHAnsi" w:hAnsiTheme="minorHAnsi" w:cstheme="minorHAnsi"/>
          <w:color w:val="auto"/>
          <w:sz w:val="24"/>
          <w:szCs w:val="22"/>
        </w:rPr>
        <w:t xml:space="preserve"> </w:t>
      </w:r>
      <w:r>
        <w:rPr>
          <w:rFonts w:asciiTheme="minorHAnsi" w:eastAsiaTheme="minorHAnsi" w:hAnsiTheme="minorHAnsi" w:cstheme="minorHAnsi"/>
          <w:color w:val="auto"/>
          <w:sz w:val="24"/>
          <w:szCs w:val="22"/>
        </w:rPr>
        <w:t>are subsidised</w:t>
      </w:r>
      <w:r w:rsidRPr="00F875E9">
        <w:rPr>
          <w:rFonts w:asciiTheme="minorHAnsi" w:eastAsiaTheme="minorHAnsi" w:hAnsiTheme="minorHAnsi" w:cstheme="minorHAnsi"/>
          <w:color w:val="auto"/>
          <w:sz w:val="24"/>
          <w:szCs w:val="22"/>
        </w:rPr>
        <w:t xml:space="preserve"> consistent with clinical guidelines to support people</w:t>
      </w:r>
      <w:r>
        <w:rPr>
          <w:rFonts w:asciiTheme="minorHAnsi" w:eastAsiaTheme="minorHAnsi" w:hAnsiTheme="minorHAnsi" w:cstheme="minorHAnsi"/>
          <w:color w:val="auto"/>
          <w:sz w:val="24"/>
          <w:szCs w:val="22"/>
        </w:rPr>
        <w:t xml:space="preserve"> </w:t>
      </w:r>
      <w:r w:rsidRPr="00F875E9">
        <w:rPr>
          <w:rFonts w:asciiTheme="minorHAnsi" w:eastAsiaTheme="minorHAnsi" w:hAnsiTheme="minorHAnsi" w:cstheme="minorHAnsi"/>
          <w:color w:val="auto"/>
          <w:sz w:val="24"/>
          <w:szCs w:val="22"/>
        </w:rPr>
        <w:t>to quit smoking.</w:t>
      </w:r>
    </w:p>
    <w:p w14:paraId="583F1926" w14:textId="30938B06" w:rsidR="00EE7D92" w:rsidRPr="002F3376" w:rsidRDefault="00446E80" w:rsidP="00807954">
      <w:pPr>
        <w:pStyle w:val="Heading2"/>
        <w:spacing w:before="240" w:after="120"/>
        <w:jc w:val="both"/>
        <w:rPr>
          <w:rFonts w:asciiTheme="minorHAnsi" w:hAnsiTheme="minorHAnsi" w:cstheme="minorHAnsi"/>
          <w:sz w:val="32"/>
          <w:szCs w:val="32"/>
        </w:rPr>
      </w:pPr>
      <w:bookmarkStart w:id="24" w:name="_Toc111710680"/>
      <w:r w:rsidRPr="00394F56">
        <w:rPr>
          <w:rFonts w:asciiTheme="minorHAnsi" w:hAnsiTheme="minorHAnsi" w:cstheme="minorHAnsi"/>
          <w:sz w:val="32"/>
          <w:szCs w:val="32"/>
        </w:rPr>
        <w:t xml:space="preserve">ToR 2: </w:t>
      </w:r>
      <w:r w:rsidR="0022146D" w:rsidRPr="00394F56">
        <w:rPr>
          <w:rFonts w:asciiTheme="minorHAnsi" w:hAnsiTheme="minorHAnsi" w:cstheme="minorHAnsi"/>
          <w:sz w:val="32"/>
          <w:szCs w:val="32"/>
        </w:rPr>
        <w:t>Analysis of utilisation of PBS-listed medicines for smoking cessation</w:t>
      </w:r>
      <w:bookmarkEnd w:id="24"/>
      <w:r w:rsidR="0022146D" w:rsidRPr="00394F56" w:rsidDel="0022146D">
        <w:rPr>
          <w:rFonts w:asciiTheme="minorHAnsi" w:hAnsiTheme="minorHAnsi" w:cstheme="minorHAnsi"/>
          <w:sz w:val="32"/>
          <w:szCs w:val="32"/>
        </w:rPr>
        <w:t xml:space="preserve"> </w:t>
      </w:r>
    </w:p>
    <w:p w14:paraId="2F14EDC3" w14:textId="45E92BDF" w:rsidR="00646FA5" w:rsidRPr="002F3376" w:rsidRDefault="0022146D" w:rsidP="002F3376">
      <w:pPr>
        <w:pBdr>
          <w:top w:val="single" w:sz="4" w:space="1" w:color="auto"/>
          <w:left w:val="single" w:sz="4" w:space="4" w:color="auto"/>
          <w:bottom w:val="single" w:sz="4" w:space="1" w:color="auto"/>
          <w:right w:val="single" w:sz="4" w:space="4" w:color="auto"/>
        </w:pBdr>
        <w:shd w:val="clear" w:color="auto" w:fill="F2F2F2" w:themeFill="background1" w:themeFillShade="F2"/>
        <w:rPr>
          <w:i/>
          <w:iCs/>
          <w:color w:val="365F91" w:themeColor="accent1" w:themeShade="BF"/>
        </w:rPr>
      </w:pPr>
      <w:r w:rsidRPr="0022146D">
        <w:rPr>
          <w:i/>
          <w:iCs/>
          <w:color w:val="365F91" w:themeColor="accent1" w:themeShade="BF"/>
        </w:rPr>
        <w:t>Review the utilisation of PBS-listed medicines for smoking cessation including but not limited to patient demographics, time on treatment, and the proportion using PBS</w:t>
      </w:r>
      <w:r w:rsidR="005D0B0A">
        <w:rPr>
          <w:i/>
          <w:iCs/>
          <w:color w:val="365F91" w:themeColor="accent1" w:themeShade="BF"/>
        </w:rPr>
        <w:t>-</w:t>
      </w:r>
      <w:r w:rsidRPr="0022146D">
        <w:rPr>
          <w:i/>
          <w:iCs/>
          <w:color w:val="365F91" w:themeColor="accent1" w:themeShade="BF"/>
        </w:rPr>
        <w:t>subsidised combination treatment.</w:t>
      </w:r>
    </w:p>
    <w:p w14:paraId="50F214E6" w14:textId="18FAD967" w:rsidR="00646FA5" w:rsidRPr="0009206C" w:rsidRDefault="0009206C" w:rsidP="00523139">
      <w:pPr>
        <w:pStyle w:val="Heading3"/>
        <w:spacing w:before="120" w:after="120"/>
        <w:jc w:val="both"/>
      </w:pPr>
      <w:bookmarkStart w:id="25" w:name="_Toc70404694"/>
      <w:bookmarkStart w:id="26" w:name="_Toc111710681"/>
      <w:r>
        <w:t xml:space="preserve">2.1 </w:t>
      </w:r>
      <w:r w:rsidR="00646FA5" w:rsidRPr="0009206C">
        <w:t>Describe the overall trends in the utilisation and cost of smoking cessation medicines in Australia</w:t>
      </w:r>
      <w:bookmarkEnd w:id="25"/>
      <w:bookmarkEnd w:id="26"/>
    </w:p>
    <w:p w14:paraId="7218AB32" w14:textId="77777777" w:rsidR="00646FA5" w:rsidRPr="00B56576" w:rsidRDefault="00646FA5" w:rsidP="00523139">
      <w:pPr>
        <w:spacing w:before="120" w:after="0"/>
        <w:jc w:val="both"/>
      </w:pPr>
      <w:r w:rsidRPr="00B56576">
        <w:t>In the financial year 2019/2020:</w:t>
      </w:r>
    </w:p>
    <w:p w14:paraId="376C8FBB" w14:textId="1D44E2F4" w:rsidR="00646FA5" w:rsidRPr="00B56576" w:rsidRDefault="00646FA5" w:rsidP="00285E7A">
      <w:pPr>
        <w:pStyle w:val="NoSpacing"/>
        <w:numPr>
          <w:ilvl w:val="0"/>
          <w:numId w:val="15"/>
        </w:numPr>
        <w:jc w:val="both"/>
        <w:rPr>
          <w:rFonts w:asciiTheme="minorHAnsi" w:hAnsiTheme="minorHAnsi" w:cstheme="minorHAnsi"/>
        </w:rPr>
      </w:pPr>
      <w:r w:rsidRPr="00B56576">
        <w:rPr>
          <w:rFonts w:asciiTheme="minorHAnsi" w:hAnsiTheme="minorHAnsi" w:cstheme="minorHAnsi"/>
        </w:rPr>
        <w:t>There were 542,492 prescriptions dispensed for PBS</w:t>
      </w:r>
      <w:r w:rsidR="005D0B0A">
        <w:rPr>
          <w:rFonts w:asciiTheme="minorHAnsi" w:hAnsiTheme="minorHAnsi" w:cstheme="minorHAnsi"/>
        </w:rPr>
        <w:t>-</w:t>
      </w:r>
      <w:r w:rsidRPr="00B56576">
        <w:rPr>
          <w:rFonts w:asciiTheme="minorHAnsi" w:hAnsiTheme="minorHAnsi" w:cstheme="minorHAnsi"/>
        </w:rPr>
        <w:t>subsidised smoking cessation therapies at a cost to the government of AUD 36 million (PBS benefits paid).</w:t>
      </w:r>
    </w:p>
    <w:p w14:paraId="5AD2C86E" w14:textId="437C6E5A" w:rsidR="00646FA5" w:rsidRPr="00B56576" w:rsidRDefault="00646FA5" w:rsidP="00285E7A">
      <w:pPr>
        <w:pStyle w:val="NoSpacing"/>
        <w:numPr>
          <w:ilvl w:val="0"/>
          <w:numId w:val="15"/>
        </w:numPr>
        <w:jc w:val="both"/>
        <w:rPr>
          <w:rFonts w:asciiTheme="minorHAnsi" w:hAnsiTheme="minorHAnsi" w:cstheme="minorHAnsi"/>
        </w:rPr>
      </w:pPr>
      <w:r w:rsidRPr="00B56576">
        <w:rPr>
          <w:rFonts w:asciiTheme="minorHAnsi" w:hAnsiTheme="minorHAnsi" w:cstheme="minorHAnsi"/>
        </w:rPr>
        <w:lastRenderedPageBreak/>
        <w:t xml:space="preserve">Varenicline was the most utilised smoking cessation therapy with 303,681 PBS prescriptions dispensed (56% of </w:t>
      </w:r>
      <w:r w:rsidR="00285E7A">
        <w:rPr>
          <w:rFonts w:asciiTheme="minorHAnsi" w:hAnsiTheme="minorHAnsi" w:cstheme="minorHAnsi"/>
        </w:rPr>
        <w:t xml:space="preserve">the </w:t>
      </w:r>
      <w:r w:rsidRPr="00B56576">
        <w:rPr>
          <w:rFonts w:asciiTheme="minorHAnsi" w:hAnsiTheme="minorHAnsi" w:cstheme="minorHAnsi"/>
        </w:rPr>
        <w:t>total market) followed by NRT with 233,544 PBS prescriptions (43% of</w:t>
      </w:r>
      <w:r w:rsidR="00D30600">
        <w:rPr>
          <w:rFonts w:asciiTheme="minorHAnsi" w:hAnsiTheme="minorHAnsi" w:cstheme="minorHAnsi"/>
        </w:rPr>
        <w:t xml:space="preserve"> the</w:t>
      </w:r>
      <w:r w:rsidRPr="00B56576">
        <w:rPr>
          <w:rFonts w:asciiTheme="minorHAnsi" w:hAnsiTheme="minorHAnsi" w:cstheme="minorHAnsi"/>
        </w:rPr>
        <w:t xml:space="preserve"> total market) and bupropion with 5,267 PBS prescriptions</w:t>
      </w:r>
      <w:r w:rsidR="003C0114">
        <w:rPr>
          <w:rFonts w:asciiTheme="minorHAnsi" w:hAnsiTheme="minorHAnsi" w:cstheme="minorHAnsi"/>
        </w:rPr>
        <w:t xml:space="preserve"> (&lt;1% of </w:t>
      </w:r>
      <w:r w:rsidR="00D30600">
        <w:rPr>
          <w:rFonts w:asciiTheme="minorHAnsi" w:hAnsiTheme="minorHAnsi" w:cstheme="minorHAnsi"/>
        </w:rPr>
        <w:t xml:space="preserve">the </w:t>
      </w:r>
      <w:r w:rsidR="003C0114">
        <w:rPr>
          <w:rFonts w:asciiTheme="minorHAnsi" w:hAnsiTheme="minorHAnsi" w:cstheme="minorHAnsi"/>
        </w:rPr>
        <w:t>total market)</w:t>
      </w:r>
      <w:r w:rsidRPr="00B56576">
        <w:rPr>
          <w:rFonts w:asciiTheme="minorHAnsi" w:hAnsiTheme="minorHAnsi" w:cstheme="minorHAnsi"/>
        </w:rPr>
        <w:t xml:space="preserve">. </w:t>
      </w:r>
    </w:p>
    <w:p w14:paraId="63601972" w14:textId="5743B6E2" w:rsidR="00646FA5" w:rsidRPr="00B56576" w:rsidRDefault="00646FA5" w:rsidP="00285E7A">
      <w:pPr>
        <w:pStyle w:val="NoSpacing"/>
        <w:numPr>
          <w:ilvl w:val="0"/>
          <w:numId w:val="15"/>
        </w:numPr>
        <w:jc w:val="both"/>
        <w:rPr>
          <w:rFonts w:asciiTheme="minorHAnsi" w:hAnsiTheme="minorHAnsi" w:cstheme="minorHAnsi"/>
        </w:rPr>
      </w:pPr>
      <w:r w:rsidRPr="00B56576">
        <w:rPr>
          <w:rFonts w:asciiTheme="minorHAnsi" w:hAnsiTheme="minorHAnsi" w:cstheme="minorHAnsi"/>
        </w:rPr>
        <w:t>PBS use of NRT represented 7% of all NRT use in Australia during 2019, suggesting that the majority of NRT products are obtained over-the</w:t>
      </w:r>
      <w:r w:rsidR="00D30600">
        <w:rPr>
          <w:rFonts w:asciiTheme="minorHAnsi" w:hAnsiTheme="minorHAnsi" w:cstheme="minorHAnsi"/>
        </w:rPr>
        <w:t>-</w:t>
      </w:r>
      <w:r w:rsidRPr="00B56576">
        <w:rPr>
          <w:rFonts w:asciiTheme="minorHAnsi" w:hAnsiTheme="minorHAnsi" w:cstheme="minorHAnsi"/>
        </w:rPr>
        <w:t>counter</w:t>
      </w:r>
      <w:r w:rsidR="00D30600">
        <w:rPr>
          <w:rFonts w:asciiTheme="minorHAnsi" w:hAnsiTheme="minorHAnsi" w:cstheme="minorHAnsi"/>
        </w:rPr>
        <w:t xml:space="preserve"> (OTC)</w:t>
      </w:r>
      <w:r w:rsidRPr="00B56576">
        <w:rPr>
          <w:rFonts w:asciiTheme="minorHAnsi" w:hAnsiTheme="minorHAnsi" w:cstheme="minorHAnsi"/>
        </w:rPr>
        <w:t xml:space="preserve">. </w:t>
      </w:r>
      <w:r w:rsidRPr="00B56576">
        <w:rPr>
          <w:rFonts w:asciiTheme="minorHAnsi" w:hAnsiTheme="minorHAnsi" w:cstheme="minorHAnsi"/>
          <w:color w:val="000000"/>
        </w:rPr>
        <w:t xml:space="preserve">NRT patches accounted for 94% of all NRT products subsidised under the PBS, </w:t>
      </w:r>
      <w:r w:rsidRPr="00B56576">
        <w:rPr>
          <w:rFonts w:asciiTheme="minorHAnsi" w:hAnsiTheme="minorHAnsi" w:cstheme="minorHAnsi"/>
        </w:rPr>
        <w:t xml:space="preserve">while the majority of NRT products sold </w:t>
      </w:r>
      <w:r w:rsidR="00D30600">
        <w:rPr>
          <w:rFonts w:asciiTheme="minorHAnsi" w:hAnsiTheme="minorHAnsi" w:cstheme="minorHAnsi"/>
        </w:rPr>
        <w:t>OTC</w:t>
      </w:r>
      <w:r w:rsidRPr="00B56576">
        <w:rPr>
          <w:rFonts w:asciiTheme="minorHAnsi" w:hAnsiTheme="minorHAnsi" w:cstheme="minorHAnsi"/>
        </w:rPr>
        <w:t xml:space="preserve"> were nicotine gums</w:t>
      </w:r>
      <w:r w:rsidR="00D30600" w:rsidRPr="00B56576">
        <w:rPr>
          <w:rFonts w:asciiTheme="minorHAnsi" w:hAnsiTheme="minorHAnsi" w:cstheme="minorHAnsi"/>
        </w:rPr>
        <w:t xml:space="preserve">. </w:t>
      </w:r>
    </w:p>
    <w:p w14:paraId="78BD236C" w14:textId="64B03092" w:rsidR="00646FA5" w:rsidRPr="00523139" w:rsidRDefault="00D30600" w:rsidP="00523139">
      <w:pPr>
        <w:pStyle w:val="Heading3"/>
        <w:spacing w:before="120" w:after="120"/>
        <w:jc w:val="both"/>
      </w:pPr>
      <w:bookmarkStart w:id="27" w:name="_Toc70404695"/>
      <w:bookmarkStart w:id="28" w:name="_Toc111710682"/>
      <w:r>
        <w:t xml:space="preserve">2.2 </w:t>
      </w:r>
      <w:r w:rsidR="00646FA5" w:rsidRPr="00D30600">
        <w:t>Determine the prevalent and incident population</w:t>
      </w:r>
      <w:r w:rsidR="00936CA3">
        <w:t>s</w:t>
      </w:r>
      <w:r w:rsidR="00646FA5" w:rsidRPr="00D30600">
        <w:t xml:space="preserve"> treated with PBS</w:t>
      </w:r>
      <w:r w:rsidR="005D0B0A" w:rsidRPr="00D30600">
        <w:t>-</w:t>
      </w:r>
      <w:r w:rsidR="00646FA5" w:rsidRPr="00D30600">
        <w:t>listed medicines for smoking cessation</w:t>
      </w:r>
      <w:bookmarkEnd w:id="27"/>
      <w:bookmarkEnd w:id="28"/>
    </w:p>
    <w:p w14:paraId="0B04CD7D" w14:textId="77777777" w:rsidR="00646FA5" w:rsidRPr="00B56576" w:rsidRDefault="00646FA5" w:rsidP="00523139">
      <w:pPr>
        <w:pStyle w:val="NoSpacing"/>
        <w:numPr>
          <w:ilvl w:val="0"/>
          <w:numId w:val="15"/>
        </w:numPr>
        <w:spacing w:before="120"/>
        <w:ind w:left="357" w:hanging="357"/>
        <w:jc w:val="both"/>
        <w:rPr>
          <w:rFonts w:asciiTheme="minorHAnsi" w:hAnsiTheme="minorHAnsi" w:cstheme="minorHAnsi"/>
        </w:rPr>
      </w:pPr>
      <w:r w:rsidRPr="00B56576">
        <w:rPr>
          <w:rFonts w:asciiTheme="minorHAnsi" w:hAnsiTheme="minorHAnsi" w:cstheme="minorHAnsi"/>
        </w:rPr>
        <w:t>1.2% of the Australian population (N=265,544) were supplied PBS smoking cessation therapy in 2019/2020.</w:t>
      </w:r>
    </w:p>
    <w:p w14:paraId="524BF393" w14:textId="56442E19" w:rsidR="00646FA5" w:rsidRPr="00B56576" w:rsidRDefault="00646FA5" w:rsidP="00523139">
      <w:pPr>
        <w:pStyle w:val="NoSpacing"/>
        <w:numPr>
          <w:ilvl w:val="0"/>
          <w:numId w:val="15"/>
        </w:numPr>
        <w:spacing w:after="120"/>
        <w:ind w:left="357" w:hanging="357"/>
        <w:jc w:val="both"/>
        <w:rPr>
          <w:rFonts w:asciiTheme="minorHAnsi" w:hAnsiTheme="minorHAnsi" w:cstheme="minorHAnsi"/>
        </w:rPr>
      </w:pPr>
      <w:r w:rsidRPr="00B56576">
        <w:rPr>
          <w:rFonts w:asciiTheme="minorHAnsi" w:hAnsiTheme="minorHAnsi" w:cstheme="minorHAnsi"/>
        </w:rPr>
        <w:t>0.3% of the Australian population (N=65,543) made their first ever attempt at quitting with PBS</w:t>
      </w:r>
      <w:r w:rsidR="005D0B0A">
        <w:rPr>
          <w:rFonts w:asciiTheme="minorHAnsi" w:hAnsiTheme="minorHAnsi" w:cstheme="minorHAnsi"/>
        </w:rPr>
        <w:t>-</w:t>
      </w:r>
      <w:r w:rsidRPr="00B56576">
        <w:rPr>
          <w:rFonts w:asciiTheme="minorHAnsi" w:hAnsiTheme="minorHAnsi" w:cstheme="minorHAnsi"/>
        </w:rPr>
        <w:t>subsidised smoking cessation therapy in 2019/2020.</w:t>
      </w:r>
    </w:p>
    <w:p w14:paraId="46CC2CF6" w14:textId="4DB51DD5" w:rsidR="00646FA5" w:rsidRPr="00523139" w:rsidRDefault="00D30600" w:rsidP="00523139">
      <w:pPr>
        <w:pStyle w:val="Heading3"/>
        <w:spacing w:before="120" w:after="120"/>
        <w:jc w:val="both"/>
      </w:pPr>
      <w:bookmarkStart w:id="29" w:name="_Toc70404696"/>
      <w:bookmarkStart w:id="30" w:name="_Toc111710683"/>
      <w:r>
        <w:t xml:space="preserve">2.3 </w:t>
      </w:r>
      <w:r w:rsidRPr="00D30600">
        <w:t>Provide</w:t>
      </w:r>
      <w:r w:rsidR="00646FA5" w:rsidRPr="00D30600">
        <w:t xml:space="preserve"> the most recent statistics on the prevalence of smoking in Australia</w:t>
      </w:r>
      <w:bookmarkEnd w:id="29"/>
      <w:bookmarkEnd w:id="30"/>
    </w:p>
    <w:p w14:paraId="21E5BC0D" w14:textId="77777777" w:rsidR="00646FA5" w:rsidRPr="00B56576" w:rsidRDefault="00646FA5" w:rsidP="00523139">
      <w:pPr>
        <w:pStyle w:val="CommentText"/>
        <w:spacing w:before="120" w:after="0"/>
        <w:jc w:val="both"/>
        <w:rPr>
          <w:sz w:val="24"/>
          <w:szCs w:val="24"/>
        </w:rPr>
      </w:pPr>
      <w:r w:rsidRPr="00B56576">
        <w:rPr>
          <w:sz w:val="24"/>
          <w:szCs w:val="24"/>
        </w:rPr>
        <w:t xml:space="preserve">The smoking rates differed widely between different sub-populations: </w:t>
      </w:r>
    </w:p>
    <w:p w14:paraId="056BFAAB" w14:textId="77777777" w:rsidR="00646FA5" w:rsidRPr="00B56576" w:rsidRDefault="00646FA5" w:rsidP="00D30600">
      <w:pPr>
        <w:pStyle w:val="NoSpacing"/>
        <w:numPr>
          <w:ilvl w:val="0"/>
          <w:numId w:val="15"/>
        </w:numPr>
        <w:jc w:val="both"/>
        <w:rPr>
          <w:rFonts w:asciiTheme="minorHAnsi" w:hAnsiTheme="minorHAnsi" w:cstheme="minorHAnsi"/>
        </w:rPr>
      </w:pPr>
      <w:r w:rsidRPr="00B56576">
        <w:rPr>
          <w:rFonts w:asciiTheme="minorHAnsi" w:hAnsiTheme="minorHAnsi" w:cstheme="minorHAnsi"/>
        </w:rPr>
        <w:t>In 2019, there were an estimated 2.9 million current smokers aged 18+ in Australia representing 14.7% from the overall population aged 18+ in Australia;</w:t>
      </w:r>
    </w:p>
    <w:p w14:paraId="1A7C3197" w14:textId="77777777" w:rsidR="00646FA5" w:rsidRPr="00B56576" w:rsidRDefault="00646FA5" w:rsidP="00D30600">
      <w:pPr>
        <w:pStyle w:val="NoSpacing"/>
        <w:numPr>
          <w:ilvl w:val="0"/>
          <w:numId w:val="15"/>
        </w:numPr>
        <w:jc w:val="both"/>
        <w:rPr>
          <w:rFonts w:asciiTheme="minorHAnsi" w:hAnsiTheme="minorHAnsi" w:cstheme="minorHAnsi"/>
        </w:rPr>
      </w:pPr>
      <w:r w:rsidRPr="00B56576">
        <w:rPr>
          <w:rFonts w:asciiTheme="minorHAnsi" w:hAnsiTheme="minorHAnsi" w:cstheme="minorHAnsi"/>
        </w:rPr>
        <w:t>In 2019, the rate of Aboriginal and Torres Strait Islander people aged 15+ who are current smokers was 41.4%, which was 2.8 times higher in comparison to the overall population aged 18+ in Australia;</w:t>
      </w:r>
    </w:p>
    <w:p w14:paraId="29871B90" w14:textId="1A785B09" w:rsidR="00646FA5" w:rsidRPr="00B56576" w:rsidRDefault="002A4642" w:rsidP="00D30600">
      <w:pPr>
        <w:pStyle w:val="NoSpacing"/>
        <w:numPr>
          <w:ilvl w:val="0"/>
          <w:numId w:val="15"/>
        </w:numPr>
        <w:jc w:val="both"/>
        <w:rPr>
          <w:rFonts w:asciiTheme="minorHAnsi" w:hAnsiTheme="minorHAnsi" w:cstheme="minorHAnsi"/>
        </w:rPr>
      </w:pPr>
      <w:r>
        <w:rPr>
          <w:rFonts w:asciiTheme="minorHAnsi" w:hAnsiTheme="minorHAnsi" w:cstheme="minorHAnsi"/>
          <w:color w:val="000000"/>
        </w:rPr>
        <w:t>In 2018, at least 75% of non-I</w:t>
      </w:r>
      <w:r w:rsidR="00646FA5" w:rsidRPr="00B56576">
        <w:rPr>
          <w:rFonts w:asciiTheme="minorHAnsi" w:hAnsiTheme="minorHAnsi" w:cstheme="minorHAnsi"/>
          <w:color w:val="000000"/>
        </w:rPr>
        <w:t xml:space="preserve">ndigenous prison entrants aged 18-44 years were current smokers, and at least 79% of </w:t>
      </w:r>
      <w:r w:rsidR="00646FA5" w:rsidRPr="00B56576">
        <w:rPr>
          <w:rFonts w:asciiTheme="minorHAnsi" w:hAnsiTheme="minorHAnsi" w:cstheme="minorHAnsi"/>
        </w:rPr>
        <w:t>Aboriginal and Torres Strait Islander</w:t>
      </w:r>
      <w:r w:rsidR="00646FA5" w:rsidRPr="00B56576">
        <w:rPr>
          <w:rFonts w:asciiTheme="minorHAnsi" w:hAnsiTheme="minorHAnsi" w:cstheme="minorHAnsi"/>
          <w:color w:val="000000"/>
        </w:rPr>
        <w:t xml:space="preserve"> prison entrants aged 18-44 were current smokers;</w:t>
      </w:r>
    </w:p>
    <w:p w14:paraId="3F393582" w14:textId="77777777" w:rsidR="00646FA5" w:rsidRPr="00B56576" w:rsidRDefault="00646FA5" w:rsidP="00D30600">
      <w:pPr>
        <w:pStyle w:val="NoSpacing"/>
        <w:numPr>
          <w:ilvl w:val="0"/>
          <w:numId w:val="15"/>
        </w:numPr>
        <w:jc w:val="both"/>
        <w:rPr>
          <w:rFonts w:asciiTheme="minorHAnsi" w:hAnsiTheme="minorHAnsi" w:cstheme="minorHAnsi"/>
        </w:rPr>
      </w:pPr>
      <w:r w:rsidRPr="00B56576">
        <w:rPr>
          <w:rFonts w:asciiTheme="minorHAnsi" w:hAnsiTheme="minorHAnsi" w:cstheme="minorHAnsi"/>
        </w:rPr>
        <w:t>In 2018, 9% of women smoked in the first 20 weeks of pregnancy;</w:t>
      </w:r>
    </w:p>
    <w:p w14:paraId="2EF62AA6" w14:textId="384652B7" w:rsidR="00646FA5" w:rsidRPr="002F3376" w:rsidRDefault="00646FA5" w:rsidP="00D30600">
      <w:pPr>
        <w:pStyle w:val="NoSpacing"/>
        <w:numPr>
          <w:ilvl w:val="0"/>
          <w:numId w:val="15"/>
        </w:numPr>
        <w:jc w:val="both"/>
        <w:rPr>
          <w:rFonts w:asciiTheme="minorHAnsi" w:hAnsiTheme="minorHAnsi" w:cstheme="minorHAnsi"/>
        </w:rPr>
      </w:pPr>
      <w:r w:rsidRPr="00B56576">
        <w:rPr>
          <w:rFonts w:asciiTheme="minorHAnsi" w:hAnsiTheme="minorHAnsi" w:cstheme="minorHAnsi"/>
          <w:color w:val="000000"/>
        </w:rPr>
        <w:t xml:space="preserve">People with self-reported mental illness (depression, anxiety disorder, schizophrenia, bipolar disorder, an eating </w:t>
      </w:r>
      <w:r w:rsidR="00D30600" w:rsidRPr="00B56576">
        <w:rPr>
          <w:rFonts w:asciiTheme="minorHAnsi" w:hAnsiTheme="minorHAnsi" w:cstheme="minorHAnsi"/>
          <w:color w:val="000000"/>
        </w:rPr>
        <w:t>disorder,</w:t>
      </w:r>
      <w:r w:rsidRPr="00B56576">
        <w:rPr>
          <w:rFonts w:asciiTheme="minorHAnsi" w:hAnsiTheme="minorHAnsi" w:cstheme="minorHAnsi"/>
          <w:color w:val="000000"/>
        </w:rPr>
        <w:t xml:space="preserve"> or other mental illness) were almost twice as likely to be current smokers compared to people without mental illness (24% vs 13% in 2019)</w:t>
      </w:r>
      <w:r w:rsidR="00D30600">
        <w:rPr>
          <w:rFonts w:asciiTheme="minorHAnsi" w:hAnsiTheme="minorHAnsi" w:cstheme="minorHAnsi"/>
          <w:color w:val="000000"/>
        </w:rPr>
        <w:t>.</w:t>
      </w:r>
    </w:p>
    <w:p w14:paraId="34CEF0AE" w14:textId="4274D2F1" w:rsidR="00646FA5" w:rsidRPr="00B56576" w:rsidRDefault="0009206C" w:rsidP="00523139">
      <w:pPr>
        <w:pStyle w:val="Heading3"/>
        <w:spacing w:before="120" w:after="120"/>
        <w:jc w:val="both"/>
        <w:rPr>
          <w:b w:val="0"/>
          <w:i w:val="0"/>
        </w:rPr>
      </w:pPr>
      <w:bookmarkStart w:id="31" w:name="_Toc70404697"/>
      <w:bookmarkStart w:id="32" w:name="_Toc111710684"/>
      <w:r>
        <w:t xml:space="preserve">2.4 </w:t>
      </w:r>
      <w:r w:rsidR="00646FA5" w:rsidRPr="00B56576">
        <w:t>Prevalence of smoking cessation therapies under the PBS in specific populations</w:t>
      </w:r>
      <w:bookmarkEnd w:id="31"/>
      <w:bookmarkEnd w:id="32"/>
    </w:p>
    <w:p w14:paraId="01F41CE7" w14:textId="7CE00441" w:rsidR="00646FA5" w:rsidRPr="00B56576" w:rsidRDefault="00646FA5" w:rsidP="00523139">
      <w:pPr>
        <w:pStyle w:val="NoSpacing"/>
        <w:spacing w:before="120"/>
        <w:jc w:val="both"/>
        <w:rPr>
          <w:rFonts w:asciiTheme="minorHAnsi" w:hAnsiTheme="minorHAnsi" w:cstheme="minorHAnsi"/>
        </w:rPr>
      </w:pPr>
      <w:r w:rsidRPr="00B56576">
        <w:rPr>
          <w:rFonts w:asciiTheme="minorHAnsi" w:hAnsiTheme="minorHAnsi" w:cstheme="minorHAnsi"/>
        </w:rPr>
        <w:t>Of the 265,544 people who received PBS</w:t>
      </w:r>
      <w:r w:rsidR="005D0B0A">
        <w:rPr>
          <w:rFonts w:asciiTheme="minorHAnsi" w:hAnsiTheme="minorHAnsi" w:cstheme="minorHAnsi"/>
        </w:rPr>
        <w:t>-</w:t>
      </w:r>
      <w:r w:rsidRPr="00B56576">
        <w:rPr>
          <w:rFonts w:asciiTheme="minorHAnsi" w:hAnsiTheme="minorHAnsi" w:cstheme="minorHAnsi"/>
        </w:rPr>
        <w:t>subsidised smoking cessation therapy in 2019:</w:t>
      </w:r>
    </w:p>
    <w:p w14:paraId="0D058DA8" w14:textId="77777777" w:rsidR="00646FA5" w:rsidRPr="00B56576" w:rsidRDefault="00646FA5" w:rsidP="00D30600">
      <w:pPr>
        <w:pStyle w:val="ListParagraph"/>
        <w:numPr>
          <w:ilvl w:val="0"/>
          <w:numId w:val="52"/>
        </w:numPr>
        <w:spacing w:after="0"/>
        <w:jc w:val="both"/>
      </w:pPr>
      <w:r w:rsidRPr="00B56576">
        <w:t xml:space="preserve">40% also had mental illness, as measured by antipsychotic and antidepressant use </w:t>
      </w:r>
    </w:p>
    <w:p w14:paraId="2918214E" w14:textId="77777777" w:rsidR="00646FA5" w:rsidRPr="00B56576" w:rsidRDefault="00646FA5" w:rsidP="00D30600">
      <w:pPr>
        <w:pStyle w:val="ListParagraph"/>
        <w:numPr>
          <w:ilvl w:val="0"/>
          <w:numId w:val="52"/>
        </w:numPr>
        <w:spacing w:after="0"/>
        <w:jc w:val="both"/>
      </w:pPr>
      <w:r w:rsidRPr="00B56576">
        <w:t xml:space="preserve">18% were women of child-bearing age (aged 15 to 44 years) </w:t>
      </w:r>
    </w:p>
    <w:p w14:paraId="1DC26B72" w14:textId="77777777" w:rsidR="00646FA5" w:rsidRPr="00B56576" w:rsidRDefault="00646FA5" w:rsidP="00D30600">
      <w:pPr>
        <w:pStyle w:val="ListParagraph"/>
        <w:numPr>
          <w:ilvl w:val="0"/>
          <w:numId w:val="52"/>
        </w:numPr>
        <w:spacing w:after="0"/>
        <w:jc w:val="both"/>
      </w:pPr>
      <w:r w:rsidRPr="00B56576">
        <w:t>16% also had a smoking related illness, as measured by use of medicines for airways disease</w:t>
      </w:r>
    </w:p>
    <w:p w14:paraId="46A0AEE5" w14:textId="2E849E55" w:rsidR="00646FA5" w:rsidRPr="00B56576" w:rsidRDefault="00646FA5" w:rsidP="00D30600">
      <w:pPr>
        <w:pStyle w:val="ListParagraph"/>
        <w:numPr>
          <w:ilvl w:val="0"/>
          <w:numId w:val="52"/>
        </w:numPr>
        <w:spacing w:after="0"/>
        <w:jc w:val="both"/>
      </w:pPr>
      <w:r w:rsidRPr="00B56576">
        <w:t>10% were Aboriginal and Torres Strait Islander</w:t>
      </w:r>
      <w:r w:rsidR="00D30600">
        <w:t>s</w:t>
      </w:r>
      <w:r w:rsidRPr="00B56576">
        <w:t>, identified by the following criteria – a supply</w:t>
      </w:r>
      <w:r w:rsidR="002A4642">
        <w:t xml:space="preserve"> of prescriptions under the </w:t>
      </w:r>
      <w:r w:rsidR="00936CA3">
        <w:t>‘</w:t>
      </w:r>
      <w:r w:rsidR="002A4642">
        <w:t>C</w:t>
      </w:r>
      <w:r w:rsidRPr="00B56576">
        <w:t>losing the Gap</w:t>
      </w:r>
      <w:r w:rsidR="00936CA3">
        <w:t xml:space="preserve"> (CTG)</w:t>
      </w:r>
      <w:r w:rsidR="002A4642">
        <w:t xml:space="preserve"> Co-Payment Measure</w:t>
      </w:r>
      <w:r w:rsidRPr="00B56576">
        <w:t xml:space="preserve"> </w:t>
      </w:r>
      <w:r w:rsidR="00936CA3">
        <w:t>P</w:t>
      </w:r>
      <w:r w:rsidRPr="00B56576">
        <w:t>rogram,</w:t>
      </w:r>
      <w:r w:rsidR="00936CA3">
        <w:t>’</w:t>
      </w:r>
      <w:r w:rsidRPr="00B56576">
        <w:t xml:space="preserve"> or utilisation of Indigenous-specific </w:t>
      </w:r>
      <w:r w:rsidR="00CC0674" w:rsidRPr="00CC0674">
        <w:rPr>
          <w:bCs/>
          <w:iCs/>
        </w:rPr>
        <w:t>Medicare Benefits Schedule</w:t>
      </w:r>
      <w:r w:rsidR="00CC0674" w:rsidRPr="00CC0674">
        <w:t xml:space="preserve"> </w:t>
      </w:r>
      <w:r w:rsidR="00CC0674">
        <w:t>(</w:t>
      </w:r>
      <w:r w:rsidRPr="00B56576">
        <w:t>MBS</w:t>
      </w:r>
      <w:r w:rsidR="00CC0674">
        <w:t>)</w:t>
      </w:r>
      <w:r w:rsidRPr="00B56576">
        <w:t xml:space="preserve"> items, or Voluntary Indigenous Identifier</w:t>
      </w:r>
    </w:p>
    <w:p w14:paraId="1D626B69" w14:textId="77777777" w:rsidR="00646FA5" w:rsidRPr="00B56576" w:rsidRDefault="00646FA5" w:rsidP="00D30600">
      <w:pPr>
        <w:pStyle w:val="ListParagraph"/>
        <w:numPr>
          <w:ilvl w:val="0"/>
          <w:numId w:val="52"/>
        </w:numPr>
        <w:spacing w:after="0"/>
        <w:jc w:val="both"/>
      </w:pPr>
      <w:r w:rsidRPr="00B56576">
        <w:t>1% were at risk of alcohol abuse, as measured by use of medicines for alcohol dependence.</w:t>
      </w:r>
    </w:p>
    <w:p w14:paraId="63BF5FA1" w14:textId="0BE80C6E" w:rsidR="00646FA5" w:rsidRPr="00523139" w:rsidRDefault="00936CA3" w:rsidP="00523139">
      <w:pPr>
        <w:pStyle w:val="Heading3"/>
        <w:spacing w:before="120" w:after="120"/>
        <w:jc w:val="both"/>
      </w:pPr>
      <w:bookmarkStart w:id="33" w:name="_Toc70404698"/>
      <w:bookmarkStart w:id="34" w:name="_Toc111710685"/>
      <w:r>
        <w:lastRenderedPageBreak/>
        <w:t xml:space="preserve">2.5 </w:t>
      </w:r>
      <w:r w:rsidR="00646FA5" w:rsidRPr="00936CA3">
        <w:t>Estimates of specific populations of interest with access to smoking cessation therapies under the PBS</w:t>
      </w:r>
      <w:bookmarkEnd w:id="33"/>
      <w:bookmarkEnd w:id="34"/>
      <w:r w:rsidR="00646FA5" w:rsidRPr="00936CA3">
        <w:t xml:space="preserve"> </w:t>
      </w:r>
    </w:p>
    <w:p w14:paraId="3FC47E14" w14:textId="77777777" w:rsidR="00646FA5" w:rsidRPr="00B56576" w:rsidRDefault="00646FA5" w:rsidP="00523139">
      <w:pPr>
        <w:pStyle w:val="NoSpacing"/>
        <w:spacing w:before="120"/>
        <w:jc w:val="both"/>
        <w:rPr>
          <w:rFonts w:asciiTheme="minorHAnsi" w:hAnsiTheme="minorHAnsi" w:cstheme="minorHAnsi"/>
        </w:rPr>
      </w:pPr>
      <w:r w:rsidRPr="00B56576">
        <w:rPr>
          <w:rFonts w:asciiTheme="minorHAnsi" w:hAnsiTheme="minorHAnsi" w:cstheme="minorHAnsi"/>
        </w:rPr>
        <w:t>In calendar year 2019, based on PBS utilisation and published literature, it is estimated that:</w:t>
      </w:r>
    </w:p>
    <w:p w14:paraId="70258FE4" w14:textId="77777777" w:rsidR="00646FA5" w:rsidRPr="00B56576" w:rsidRDefault="00646FA5" w:rsidP="00523139">
      <w:pPr>
        <w:pStyle w:val="ListParagraph"/>
        <w:numPr>
          <w:ilvl w:val="0"/>
          <w:numId w:val="15"/>
        </w:numPr>
        <w:spacing w:after="0"/>
        <w:jc w:val="both"/>
      </w:pPr>
      <w:r w:rsidRPr="00B56576">
        <w:t>10% of all current smokers aged 18 years and over in Australia received smoking cessation therapies under the PBS;</w:t>
      </w:r>
    </w:p>
    <w:p w14:paraId="6C0E1ABB" w14:textId="79BFF793" w:rsidR="00646FA5" w:rsidRPr="00B56576" w:rsidRDefault="00646FA5" w:rsidP="00523139">
      <w:pPr>
        <w:pStyle w:val="ListParagraph"/>
        <w:numPr>
          <w:ilvl w:val="0"/>
          <w:numId w:val="15"/>
        </w:numPr>
        <w:spacing w:after="0"/>
        <w:jc w:val="both"/>
      </w:pPr>
      <w:r w:rsidRPr="00B56576">
        <w:t>1% of all Australian women of child-bearing age (aged 15 to 44 year</w:t>
      </w:r>
      <w:r w:rsidR="00936CA3">
        <w:t>s</w:t>
      </w:r>
      <w:r w:rsidRPr="00B56576">
        <w:t>) received smoking cessation therapies under the PBS;</w:t>
      </w:r>
    </w:p>
    <w:p w14:paraId="74247057" w14:textId="77777777" w:rsidR="00646FA5" w:rsidRPr="00B56576" w:rsidRDefault="00646FA5" w:rsidP="00523139">
      <w:pPr>
        <w:pStyle w:val="ListParagraph"/>
        <w:numPr>
          <w:ilvl w:val="0"/>
          <w:numId w:val="15"/>
        </w:numPr>
        <w:spacing w:after="120"/>
        <w:ind w:left="357" w:hanging="357"/>
        <w:contextualSpacing w:val="0"/>
        <w:jc w:val="both"/>
      </w:pPr>
      <w:r w:rsidRPr="00B56576">
        <w:t>6% of the Aboriginal and Torres Strait Islander population aged 18+ in Australia received smoking cessation therapies under the PBS.</w:t>
      </w:r>
    </w:p>
    <w:p w14:paraId="34F6B5EA" w14:textId="7A61BC25" w:rsidR="00646FA5" w:rsidRPr="00523139" w:rsidRDefault="00936CA3" w:rsidP="00523139">
      <w:pPr>
        <w:pStyle w:val="Heading3"/>
        <w:spacing w:before="120" w:after="120"/>
        <w:jc w:val="both"/>
      </w:pPr>
      <w:bookmarkStart w:id="35" w:name="_Toc70404699"/>
      <w:bookmarkStart w:id="36" w:name="_Toc111710686"/>
      <w:r w:rsidRPr="00936CA3">
        <w:t>2.6</w:t>
      </w:r>
      <w:r w:rsidR="00280A7C" w:rsidRPr="00936CA3">
        <w:t xml:space="preserve"> </w:t>
      </w:r>
      <w:r w:rsidR="00646FA5" w:rsidRPr="00936CA3">
        <w:t>Number of therapies and length of treatment with smoking cessation medicines</w:t>
      </w:r>
      <w:bookmarkEnd w:id="35"/>
      <w:bookmarkEnd w:id="36"/>
    </w:p>
    <w:p w14:paraId="77AD92AB" w14:textId="60319720" w:rsidR="00646FA5" w:rsidRPr="00B56576" w:rsidRDefault="00646FA5" w:rsidP="00523139">
      <w:pPr>
        <w:spacing w:before="120" w:after="0"/>
        <w:jc w:val="both"/>
      </w:pPr>
      <w:r w:rsidRPr="00B56576">
        <w:t>Based on an analysis of PBS data, there were 740,082 people who initiated a PBS</w:t>
      </w:r>
      <w:r w:rsidR="005D0B0A">
        <w:t>-</w:t>
      </w:r>
      <w:r w:rsidRPr="00B56576">
        <w:t xml:space="preserve">subsidised smoking cessation therapy for the first time between 1/07/2010 and 30/06/2015. The following results are based on this initiating cohort who were followed for 5 years:  </w:t>
      </w:r>
    </w:p>
    <w:p w14:paraId="58E0A0F5" w14:textId="697F852F" w:rsidR="00646FA5" w:rsidRPr="00B56576" w:rsidRDefault="00646FA5" w:rsidP="00D25738">
      <w:pPr>
        <w:pStyle w:val="ListParagraph"/>
        <w:numPr>
          <w:ilvl w:val="0"/>
          <w:numId w:val="15"/>
        </w:numPr>
        <w:spacing w:after="0"/>
        <w:jc w:val="both"/>
      </w:pPr>
      <w:r w:rsidRPr="00B56576">
        <w:t xml:space="preserve">The median duration of the first treatment </w:t>
      </w:r>
      <w:r w:rsidR="00936CA3" w:rsidRPr="00B56576">
        <w:t>episode was</w:t>
      </w:r>
      <w:r w:rsidRPr="00B56576">
        <w:t xml:space="preserve"> 28 days for bupropion and 42 days for NRT and varenicline; </w:t>
      </w:r>
    </w:p>
    <w:p w14:paraId="3C8BB424" w14:textId="77777777" w:rsidR="00646FA5" w:rsidRPr="00B56576" w:rsidRDefault="00646FA5" w:rsidP="00D25738">
      <w:pPr>
        <w:pStyle w:val="ListParagraph"/>
        <w:numPr>
          <w:ilvl w:val="0"/>
          <w:numId w:val="15"/>
        </w:numPr>
        <w:spacing w:before="240" w:after="0"/>
        <w:jc w:val="both"/>
      </w:pPr>
      <w:r w:rsidRPr="00B56576">
        <w:t>60% of people in this cohort made only one attempt to quit smoking;</w:t>
      </w:r>
    </w:p>
    <w:p w14:paraId="568A9A73" w14:textId="77777777" w:rsidR="00646FA5" w:rsidRPr="00B56576" w:rsidRDefault="00646FA5" w:rsidP="00D25738">
      <w:pPr>
        <w:pStyle w:val="ListParagraph"/>
        <w:numPr>
          <w:ilvl w:val="0"/>
          <w:numId w:val="15"/>
        </w:numPr>
        <w:spacing w:before="240" w:after="0"/>
        <w:jc w:val="both"/>
      </w:pPr>
      <w:r w:rsidRPr="00B56576">
        <w:t>Overall, people had on average 1.7 separate treatment episodes with smoking cessation therapies with an average break of 15 months between attempts.</w:t>
      </w:r>
    </w:p>
    <w:p w14:paraId="1E5411A9" w14:textId="5C253EC1" w:rsidR="00646FA5" w:rsidRPr="00523139" w:rsidRDefault="00936CA3" w:rsidP="00523139">
      <w:pPr>
        <w:pStyle w:val="Heading3"/>
        <w:spacing w:before="120" w:after="120"/>
        <w:jc w:val="both"/>
      </w:pPr>
      <w:bookmarkStart w:id="37" w:name="_Toc70404700"/>
      <w:bookmarkStart w:id="38" w:name="_Toc111710687"/>
      <w:r w:rsidRPr="00936CA3">
        <w:t xml:space="preserve">2.7 </w:t>
      </w:r>
      <w:r w:rsidR="00646FA5" w:rsidRPr="00936CA3">
        <w:t>Use of counselling services</w:t>
      </w:r>
      <w:bookmarkEnd w:id="37"/>
      <w:bookmarkEnd w:id="38"/>
    </w:p>
    <w:p w14:paraId="2BFE149D" w14:textId="6D958D98" w:rsidR="009B66F1" w:rsidRPr="009B66F1" w:rsidRDefault="009B66F1" w:rsidP="00523139">
      <w:pPr>
        <w:spacing w:before="120" w:after="120"/>
        <w:jc w:val="both"/>
      </w:pPr>
      <w:r w:rsidRPr="009B66F1">
        <w:t>According to the A</w:t>
      </w:r>
      <w:r w:rsidR="00936CA3">
        <w:t>IHW</w:t>
      </w:r>
      <w:r w:rsidRPr="009B66F1">
        <w:t>, N</w:t>
      </w:r>
      <w:r w:rsidR="00594509">
        <w:t>DSHS</w:t>
      </w:r>
      <w:r w:rsidRPr="009B66F1">
        <w:t xml:space="preserve"> (2019), 1.8% of current smokers aged 14 years and over (</w:t>
      </w:r>
      <w:r w:rsidR="00936CA3" w:rsidRPr="009B66F1">
        <w:t xml:space="preserve">i.e., </w:t>
      </w:r>
      <w:r w:rsidRPr="009B66F1">
        <w:t xml:space="preserve">approximately 52,000 people) contacted Quitline in 2019. </w:t>
      </w:r>
    </w:p>
    <w:p w14:paraId="1A3638BE" w14:textId="3134EFEE" w:rsidR="00646FA5" w:rsidRPr="00B56576" w:rsidRDefault="009B66F1" w:rsidP="00523139">
      <w:pPr>
        <w:spacing w:before="120" w:after="120"/>
        <w:jc w:val="both"/>
      </w:pPr>
      <w:r w:rsidRPr="009B66F1">
        <w:t>The survey suggests low uptake of counselling services compared to the population accessing PBS medicines for smoking cessation (265,544 people in 2019/2020).</w:t>
      </w:r>
    </w:p>
    <w:p w14:paraId="7CF0CCDA" w14:textId="6CDA849A" w:rsidR="00646FA5" w:rsidRPr="00B56576" w:rsidRDefault="00936CA3" w:rsidP="00523139">
      <w:pPr>
        <w:pStyle w:val="Heading3"/>
        <w:spacing w:before="120" w:after="120"/>
        <w:jc w:val="both"/>
        <w:rPr>
          <w:rFonts w:cstheme="minorHAnsi"/>
          <w:szCs w:val="24"/>
        </w:rPr>
      </w:pPr>
      <w:bookmarkStart w:id="39" w:name="_Toc70404701"/>
      <w:bookmarkStart w:id="40" w:name="_Toc111710688"/>
      <w:r>
        <w:rPr>
          <w:rFonts w:cstheme="minorHAnsi"/>
          <w:szCs w:val="24"/>
        </w:rPr>
        <w:t xml:space="preserve">2.8 </w:t>
      </w:r>
      <w:r w:rsidR="00646FA5" w:rsidRPr="00B56576">
        <w:rPr>
          <w:rFonts w:cstheme="minorHAnsi"/>
          <w:szCs w:val="24"/>
        </w:rPr>
        <w:t>Consistency with PBS restrictions</w:t>
      </w:r>
      <w:bookmarkEnd w:id="39"/>
      <w:bookmarkEnd w:id="40"/>
    </w:p>
    <w:p w14:paraId="3CEFD423" w14:textId="14714213" w:rsidR="00646FA5" w:rsidRPr="00B56576" w:rsidRDefault="00646FA5" w:rsidP="00523139">
      <w:pPr>
        <w:spacing w:before="120" w:after="0"/>
        <w:jc w:val="both"/>
      </w:pPr>
      <w:r w:rsidRPr="00B56576">
        <w:t>Among people supplied their first ever PBS</w:t>
      </w:r>
      <w:r w:rsidR="005D0B0A">
        <w:t>-</w:t>
      </w:r>
      <w:r w:rsidRPr="00B56576">
        <w:t>subsidised smoking cessation therapy in financial year 2018/2019</w:t>
      </w:r>
      <w:r w:rsidR="00594509">
        <w:t>:</w:t>
      </w:r>
    </w:p>
    <w:p w14:paraId="57AA0FD1" w14:textId="58009C7B" w:rsidR="00646FA5" w:rsidRPr="00B56576" w:rsidRDefault="00646FA5" w:rsidP="00D25738">
      <w:pPr>
        <w:pStyle w:val="ListParagraph"/>
        <w:numPr>
          <w:ilvl w:val="0"/>
          <w:numId w:val="65"/>
        </w:numPr>
        <w:spacing w:after="0"/>
        <w:jc w:val="both"/>
      </w:pPr>
      <w:r w:rsidRPr="00B56576">
        <w:t>88% of NRT users complied with the PBS restriction in that they received a maximum of 12 weeks of PBS</w:t>
      </w:r>
      <w:r w:rsidR="005D0B0A">
        <w:t>-</w:t>
      </w:r>
      <w:r w:rsidRPr="00B56576">
        <w:t>subsidised NRT per year. Analysis of all first ever NRT initiators in 2018/2019 showed that:</w:t>
      </w:r>
    </w:p>
    <w:p w14:paraId="322D9B3F" w14:textId="2A8002C3" w:rsidR="00646FA5" w:rsidRPr="00B56576" w:rsidRDefault="00646FA5" w:rsidP="00D25738">
      <w:pPr>
        <w:pStyle w:val="ListParagraph"/>
        <w:numPr>
          <w:ilvl w:val="0"/>
          <w:numId w:val="16"/>
        </w:numPr>
        <w:spacing w:after="0"/>
        <w:jc w:val="both"/>
      </w:pPr>
      <w:r w:rsidRPr="00B56576">
        <w:t>60% received only one prescription for NRT which covers 4 weeks of therapy,</w:t>
      </w:r>
    </w:p>
    <w:p w14:paraId="1AA97CF5" w14:textId="77777777" w:rsidR="00646FA5" w:rsidRPr="00B56576" w:rsidRDefault="00646FA5" w:rsidP="00D25738">
      <w:pPr>
        <w:pStyle w:val="ListParagraph"/>
        <w:numPr>
          <w:ilvl w:val="0"/>
          <w:numId w:val="16"/>
        </w:numPr>
        <w:spacing w:after="0"/>
        <w:jc w:val="both"/>
      </w:pPr>
      <w:r w:rsidRPr="00B56576">
        <w:t>17% received 2 prescriptions for NRT which covers 8 weeks of therapy,</w:t>
      </w:r>
    </w:p>
    <w:p w14:paraId="732B77E7" w14:textId="77777777" w:rsidR="00646FA5" w:rsidRPr="00B56576" w:rsidRDefault="00646FA5" w:rsidP="00523139">
      <w:pPr>
        <w:pStyle w:val="ListParagraph"/>
        <w:numPr>
          <w:ilvl w:val="0"/>
          <w:numId w:val="16"/>
        </w:numPr>
        <w:spacing w:after="0"/>
        <w:ind w:left="714" w:hanging="357"/>
        <w:contextualSpacing w:val="0"/>
        <w:jc w:val="both"/>
      </w:pPr>
      <w:r w:rsidRPr="00B56576">
        <w:t>12% received 3 prescriptions for NRT which covers 12 weeks of therapy.</w:t>
      </w:r>
    </w:p>
    <w:p w14:paraId="65A3BBE5" w14:textId="0BF6B1C8" w:rsidR="00646FA5" w:rsidRPr="00B56576" w:rsidRDefault="00646FA5" w:rsidP="00594509">
      <w:pPr>
        <w:pStyle w:val="ListParagraph"/>
        <w:numPr>
          <w:ilvl w:val="0"/>
          <w:numId w:val="15"/>
        </w:numPr>
        <w:spacing w:after="0"/>
        <w:jc w:val="both"/>
      </w:pPr>
      <w:r w:rsidRPr="00B56576">
        <w:t>98% of varenicline users complied with the PBS restriction requirement in that they received a maximum of 24 weeks supply of PBS</w:t>
      </w:r>
      <w:r w:rsidR="005D0B0A">
        <w:t>-</w:t>
      </w:r>
      <w:r w:rsidRPr="00B56576">
        <w:t>subsidised varenicline per 12-month period. Analysis of the type of packs dispensed to first ever initiators to varenicline in 2018/2019 showed that:</w:t>
      </w:r>
    </w:p>
    <w:p w14:paraId="556C3E72" w14:textId="77777777" w:rsidR="00646FA5" w:rsidRPr="00B56576" w:rsidRDefault="00646FA5" w:rsidP="00523139">
      <w:pPr>
        <w:pStyle w:val="ListParagraph"/>
        <w:numPr>
          <w:ilvl w:val="0"/>
          <w:numId w:val="51"/>
        </w:numPr>
        <w:jc w:val="both"/>
      </w:pPr>
      <w:r w:rsidRPr="00B56576">
        <w:t xml:space="preserve">56% of initiators had only a starter pack (duration of 4 weeks), </w:t>
      </w:r>
    </w:p>
    <w:p w14:paraId="34A477BA" w14:textId="77777777" w:rsidR="00646FA5" w:rsidRPr="00B56576" w:rsidRDefault="00646FA5" w:rsidP="00523139">
      <w:pPr>
        <w:pStyle w:val="ListParagraph"/>
        <w:numPr>
          <w:ilvl w:val="0"/>
          <w:numId w:val="51"/>
        </w:numPr>
        <w:jc w:val="both"/>
      </w:pPr>
      <w:r w:rsidRPr="00B56576">
        <w:t xml:space="preserve">24% had a starter pack plus a continuation pack or a starter pack plus two completion packs (duration of 12 weeks) </w:t>
      </w:r>
    </w:p>
    <w:p w14:paraId="2491EC05" w14:textId="77777777" w:rsidR="00646FA5" w:rsidRPr="00B56576" w:rsidRDefault="00646FA5" w:rsidP="00523139">
      <w:pPr>
        <w:pStyle w:val="ListParagraph"/>
        <w:numPr>
          <w:ilvl w:val="0"/>
          <w:numId w:val="51"/>
        </w:numPr>
        <w:jc w:val="both"/>
      </w:pPr>
      <w:r w:rsidRPr="00B56576">
        <w:t>1% had a starter pack plus a continuation pack and three completion packs (duration of 24 weeks).</w:t>
      </w:r>
    </w:p>
    <w:p w14:paraId="0D18404E" w14:textId="120F0F50" w:rsidR="00646FA5" w:rsidRPr="00B56576" w:rsidRDefault="00646FA5" w:rsidP="00594509">
      <w:pPr>
        <w:pStyle w:val="ListParagraph"/>
        <w:numPr>
          <w:ilvl w:val="0"/>
          <w:numId w:val="15"/>
        </w:numPr>
        <w:spacing w:after="0"/>
        <w:jc w:val="both"/>
      </w:pPr>
      <w:r w:rsidRPr="00B56576">
        <w:lastRenderedPageBreak/>
        <w:t>91% of bupropion users complied with the PBS restriction requirement in that they received a maximum of 9 weeks supply of PBS</w:t>
      </w:r>
      <w:r w:rsidR="005D0B0A">
        <w:t>-</w:t>
      </w:r>
      <w:r w:rsidRPr="00B56576">
        <w:t>subsidised bupropion per year. Analysis of all first ever bupropion initiators in 2018/2019 showed that:</w:t>
      </w:r>
    </w:p>
    <w:p w14:paraId="7667A48F" w14:textId="77777777" w:rsidR="00646FA5" w:rsidRPr="00B56576" w:rsidRDefault="00646FA5" w:rsidP="00523139">
      <w:pPr>
        <w:pStyle w:val="ListParagraph"/>
        <w:numPr>
          <w:ilvl w:val="0"/>
          <w:numId w:val="51"/>
        </w:numPr>
        <w:jc w:val="both"/>
      </w:pPr>
      <w:r w:rsidRPr="00B56576">
        <w:t xml:space="preserve">45% of initiators had only a starter pack (duration of 2 weeks), </w:t>
      </w:r>
    </w:p>
    <w:p w14:paraId="0120F2F2" w14:textId="77777777" w:rsidR="00646FA5" w:rsidRPr="00B56576" w:rsidRDefault="00646FA5" w:rsidP="00523139">
      <w:pPr>
        <w:pStyle w:val="ListParagraph"/>
        <w:numPr>
          <w:ilvl w:val="0"/>
          <w:numId w:val="51"/>
        </w:numPr>
        <w:spacing w:after="120"/>
        <w:ind w:left="714" w:hanging="357"/>
        <w:contextualSpacing w:val="0"/>
        <w:jc w:val="both"/>
      </w:pPr>
      <w:r w:rsidRPr="00B56576">
        <w:t>20% of initiators completed up to 8 weeks of therapy.</w:t>
      </w:r>
    </w:p>
    <w:p w14:paraId="6814DE17" w14:textId="225D6549" w:rsidR="00646FA5" w:rsidRPr="00642212" w:rsidRDefault="00646FA5" w:rsidP="00523139">
      <w:pPr>
        <w:spacing w:before="120" w:after="120"/>
        <w:jc w:val="both"/>
      </w:pPr>
      <w:r w:rsidRPr="00B56576">
        <w:t xml:space="preserve">There was no significant difference in duration of NRT therapy between Aboriginal and Torres </w:t>
      </w:r>
      <w:r w:rsidR="002A4642">
        <w:t>Strait Islander people and non-I</w:t>
      </w:r>
      <w:r w:rsidRPr="00B56576">
        <w:t>ndigenous people who initiated NRT for the first time in 2018/2019. This is despite Aboriginal and Torres Strait Islander people</w:t>
      </w:r>
      <w:r>
        <w:t xml:space="preserve"> being allowed </w:t>
      </w:r>
      <w:r w:rsidRPr="003175AC">
        <w:t>a</w:t>
      </w:r>
      <w:r>
        <w:t xml:space="preserve">n additional </w:t>
      </w:r>
      <w:r w:rsidRPr="003175AC">
        <w:t xml:space="preserve">12-week course per 12-month period </w:t>
      </w:r>
      <w:r>
        <w:t xml:space="preserve">(up to 24 weeks) </w:t>
      </w:r>
      <w:r w:rsidRPr="005A39EC">
        <w:t>of PBS</w:t>
      </w:r>
      <w:r w:rsidR="005D0B0A">
        <w:t>-</w:t>
      </w:r>
      <w:r w:rsidRPr="005A39EC">
        <w:t>subsidised NRT</w:t>
      </w:r>
      <w:r>
        <w:t xml:space="preserve"> in the form of 25 mg/16 hour</w:t>
      </w:r>
      <w:r w:rsidRPr="005A39EC">
        <w:t xml:space="preserve"> patch</w:t>
      </w:r>
      <w:r>
        <w:t>, 21 mg/24 hour</w:t>
      </w:r>
      <w:r w:rsidRPr="005A39EC">
        <w:t xml:space="preserve"> patch</w:t>
      </w:r>
      <w:r>
        <w:t xml:space="preserve">, </w:t>
      </w:r>
      <w:r w:rsidR="00594509" w:rsidRPr="005A39EC">
        <w:t>lozenge</w:t>
      </w:r>
      <w:r w:rsidR="00594509">
        <w:t>s,</w:t>
      </w:r>
      <w:r>
        <w:t xml:space="preserve"> and gum. However, this does not include </w:t>
      </w:r>
      <w:r w:rsidR="00A4322A">
        <w:t>data on NRT therapies</w:t>
      </w:r>
      <w:r>
        <w:t xml:space="preserve"> provided by Aboriginal Health Services that are participating in the Remote Area Aboriginal Health Services (RAAHS) program.</w:t>
      </w:r>
    </w:p>
    <w:p w14:paraId="039910B2" w14:textId="740366AD" w:rsidR="00646FA5" w:rsidRPr="00B56576" w:rsidRDefault="00280A7C" w:rsidP="00523139">
      <w:pPr>
        <w:pStyle w:val="Heading3"/>
        <w:spacing w:before="120" w:after="120"/>
        <w:jc w:val="both"/>
        <w:rPr>
          <w:b w:val="0"/>
          <w:i w:val="0"/>
        </w:rPr>
      </w:pPr>
      <w:bookmarkStart w:id="41" w:name="_Toc68177859"/>
      <w:bookmarkStart w:id="42" w:name="_Toc70404702"/>
      <w:bookmarkStart w:id="43" w:name="_Toc111710689"/>
      <w:r w:rsidRPr="00594509">
        <w:rPr>
          <w:rFonts w:cstheme="minorHAnsi"/>
          <w:szCs w:val="24"/>
        </w:rPr>
        <w:t xml:space="preserve">2.9 </w:t>
      </w:r>
      <w:r w:rsidR="00646FA5" w:rsidRPr="00594509">
        <w:rPr>
          <w:rFonts w:cstheme="minorHAnsi"/>
          <w:szCs w:val="24"/>
        </w:rPr>
        <w:t>Stakeholder views (</w:t>
      </w:r>
      <w:r w:rsidR="00594509">
        <w:rPr>
          <w:rFonts w:cstheme="minorHAnsi"/>
          <w:szCs w:val="24"/>
        </w:rPr>
        <w:t>f</w:t>
      </w:r>
      <w:r w:rsidR="00646FA5" w:rsidRPr="00594509">
        <w:rPr>
          <w:rFonts w:cstheme="minorHAnsi"/>
          <w:szCs w:val="24"/>
        </w:rPr>
        <w:t>orum and public consultations)</w:t>
      </w:r>
      <w:bookmarkEnd w:id="41"/>
      <w:bookmarkEnd w:id="42"/>
      <w:bookmarkEnd w:id="43"/>
    </w:p>
    <w:p w14:paraId="222230AB" w14:textId="51F8D51A" w:rsidR="00646FA5" w:rsidRPr="00A47F3D" w:rsidRDefault="00646FA5" w:rsidP="00523139">
      <w:pPr>
        <w:spacing w:before="120" w:after="120"/>
        <w:jc w:val="both"/>
      </w:pPr>
      <w:r w:rsidRPr="00A47F3D">
        <w:t xml:space="preserve">Stakeholders considered </w:t>
      </w:r>
      <w:r w:rsidR="00594509">
        <w:t xml:space="preserve">that </w:t>
      </w:r>
      <w:r w:rsidRPr="00A47F3D">
        <w:t xml:space="preserve">the cost of </w:t>
      </w:r>
      <w:r w:rsidR="00D30600">
        <w:t>OTC</w:t>
      </w:r>
      <w:r w:rsidRPr="00A47F3D">
        <w:t xml:space="preserve"> NRT can be a significant barrier for many people, particularly those from populations with higher rates of smoking such as lower socioeconomic groups, Aboriginal and Torres Strait Islander people, and people with a mental illness. Stakeholders considered that financial cost was an important factor in </w:t>
      </w:r>
      <w:r w:rsidR="00A70E1E">
        <w:t>unsuccessful quit attempts</w:t>
      </w:r>
      <w:r w:rsidRPr="00A47F3D">
        <w:t>, particularly for non-PBS</w:t>
      </w:r>
      <w:r w:rsidR="005D0B0A">
        <w:t>-</w:t>
      </w:r>
      <w:r w:rsidRPr="00A47F3D">
        <w:t xml:space="preserve">subsidised NRT therapies and when therapy </w:t>
      </w:r>
      <w:r>
        <w:t>was</w:t>
      </w:r>
      <w:r w:rsidRPr="00A47F3D">
        <w:t xml:space="preserve"> required for longer than is available on the PBS</w:t>
      </w:r>
      <w:r w:rsidRPr="005B17E4">
        <w:t xml:space="preserve">. Table 2 </w:t>
      </w:r>
      <w:r w:rsidR="00C01E6F">
        <w:t>of the Background report (p. 12)</w:t>
      </w:r>
      <w:r w:rsidR="0094759F">
        <w:t xml:space="preserve"> </w:t>
      </w:r>
      <w:r w:rsidRPr="005B17E4">
        <w:t xml:space="preserve">provides indicative costs for </w:t>
      </w:r>
      <w:r w:rsidR="00D30600" w:rsidRPr="00114CF2">
        <w:t>OTC</w:t>
      </w:r>
      <w:r w:rsidR="00155E83" w:rsidRPr="00114CF2">
        <w:t xml:space="preserve"> </w:t>
      </w:r>
      <w:r w:rsidRPr="00114CF2">
        <w:t>and PBS smoking cessation therapies</w:t>
      </w:r>
      <w:r w:rsidR="00594509" w:rsidRPr="005B17E4">
        <w:t>.</w:t>
      </w:r>
    </w:p>
    <w:p w14:paraId="20905212" w14:textId="0012F726" w:rsidR="00B3406A" w:rsidRDefault="000920C9" w:rsidP="00523139">
      <w:pPr>
        <w:spacing w:before="120" w:after="120"/>
        <w:jc w:val="both"/>
      </w:pPr>
      <w:r>
        <w:t>One stakeholder noted the 2018 evaluation of the Tackling Indigenous Smoking (TIS)</w:t>
      </w:r>
      <w:r w:rsidR="00FC0C0F">
        <w:rPr>
          <w:rStyle w:val="FootnoteReference"/>
        </w:rPr>
        <w:footnoteReference w:id="2"/>
      </w:r>
      <w:r>
        <w:t xml:space="preserve"> program found that the high cost of NRTs that are not ava</w:t>
      </w:r>
      <w:r w:rsidR="000D5744">
        <w:t>ilable on the PBS</w:t>
      </w:r>
      <w:r>
        <w:t xml:space="preserve"> was a significant barrier to NRT access for Aboriginal and Torres Strait Islander people.</w:t>
      </w:r>
    </w:p>
    <w:p w14:paraId="77801BA9" w14:textId="5E13B640" w:rsidR="000920C9" w:rsidRDefault="000920C9" w:rsidP="00523139">
      <w:pPr>
        <w:spacing w:before="120" w:after="120"/>
        <w:jc w:val="both"/>
      </w:pPr>
      <w:r>
        <w:t>Stakeholders also noted that lack of access to smoking cessation medicines is particularly important for people in regional and remote</w:t>
      </w:r>
      <w:r w:rsidR="000D5744">
        <w:t xml:space="preserve"> areas, </w:t>
      </w:r>
      <w:r w:rsidR="000D5744" w:rsidRPr="000D5744">
        <w:t>including Aboriginal and Torres Strait Islander people.</w:t>
      </w:r>
    </w:p>
    <w:p w14:paraId="1398B865" w14:textId="5D1AF012" w:rsidR="00D925F6" w:rsidRDefault="000920C9" w:rsidP="00523139">
      <w:pPr>
        <w:spacing w:before="120" w:after="120"/>
        <w:jc w:val="both"/>
      </w:pPr>
      <w:r>
        <w:t>Some clinicians noted that in their experience therapies are being used for longer than indicated to allow people additional time to abstain, and often in combination (short</w:t>
      </w:r>
      <w:r w:rsidR="00594509">
        <w:t xml:space="preserve"> </w:t>
      </w:r>
      <w:r>
        <w:t>+</w:t>
      </w:r>
      <w:r w:rsidR="00594509">
        <w:t xml:space="preserve"> </w:t>
      </w:r>
      <w:r>
        <w:t>long acting NRT combination, varenicline +</w:t>
      </w:r>
      <w:r w:rsidR="00594509">
        <w:t xml:space="preserve"> </w:t>
      </w:r>
      <w:r>
        <w:t>NRT) to manage withdrawal and cravings.</w:t>
      </w:r>
    </w:p>
    <w:p w14:paraId="6D78B94E" w14:textId="77777777" w:rsidR="00D925F6" w:rsidRDefault="00D925F6">
      <w:pPr>
        <w:spacing w:line="276" w:lineRule="auto"/>
      </w:pPr>
      <w:r>
        <w:br w:type="page"/>
      </w:r>
    </w:p>
    <w:p w14:paraId="34D2DD48" w14:textId="77777777" w:rsidR="000920C9" w:rsidRPr="002F3376" w:rsidRDefault="000920C9" w:rsidP="00523139">
      <w:pPr>
        <w:pStyle w:val="Heading2"/>
        <w:spacing w:before="240" w:after="120"/>
        <w:jc w:val="both"/>
        <w:rPr>
          <w:rFonts w:asciiTheme="minorHAnsi" w:hAnsiTheme="minorHAnsi" w:cstheme="minorHAnsi"/>
          <w:sz w:val="32"/>
          <w:szCs w:val="32"/>
        </w:rPr>
      </w:pPr>
      <w:bookmarkStart w:id="44" w:name="_Toc111710690"/>
      <w:r w:rsidRPr="00280A7C">
        <w:rPr>
          <w:rFonts w:asciiTheme="minorHAnsi" w:hAnsiTheme="minorHAnsi" w:cstheme="minorHAnsi"/>
          <w:sz w:val="32"/>
          <w:szCs w:val="32"/>
        </w:rPr>
        <w:lastRenderedPageBreak/>
        <w:t>ToR 3: Efficacy and safety of nicotine replacement therapy, varenicline and bupropion for smoking cessation including combination therapies</w:t>
      </w:r>
      <w:bookmarkEnd w:id="44"/>
    </w:p>
    <w:p w14:paraId="7D8D77C6" w14:textId="1A9075EB" w:rsidR="000920C9" w:rsidRPr="00317D31" w:rsidRDefault="000920C9" w:rsidP="000920C9">
      <w:pPr>
        <w:pBdr>
          <w:top w:val="single" w:sz="4" w:space="1" w:color="auto"/>
          <w:left w:val="single" w:sz="4" w:space="4" w:color="auto"/>
          <w:bottom w:val="single" w:sz="4" w:space="1" w:color="auto"/>
          <w:right w:val="single" w:sz="4" w:space="4" w:color="auto"/>
        </w:pBdr>
        <w:shd w:val="clear" w:color="auto" w:fill="F2F2F2" w:themeFill="background1" w:themeFillShade="F2"/>
        <w:rPr>
          <w:color w:val="365F91" w:themeColor="accent1" w:themeShade="BF"/>
        </w:rPr>
      </w:pPr>
      <w:bookmarkStart w:id="45" w:name="_Toc63082729"/>
      <w:r w:rsidRPr="00650127">
        <w:rPr>
          <w:i/>
          <w:iCs/>
          <w:color w:val="365F91" w:themeColor="accent1" w:themeShade="BF"/>
        </w:rPr>
        <w:t>Review the efficacy and safety of nicotine replacement therapy, varenicline and bupropion for smoking cessation including combination therapies not currently PBS</w:t>
      </w:r>
      <w:r w:rsidR="005D0B0A">
        <w:rPr>
          <w:i/>
          <w:iCs/>
          <w:color w:val="365F91" w:themeColor="accent1" w:themeShade="BF"/>
        </w:rPr>
        <w:t>-</w:t>
      </w:r>
      <w:r w:rsidRPr="00650127">
        <w:rPr>
          <w:i/>
          <w:iCs/>
          <w:color w:val="365F91" w:themeColor="accent1" w:themeShade="BF"/>
        </w:rPr>
        <w:t>subsidised.</w:t>
      </w:r>
    </w:p>
    <w:bookmarkEnd w:id="45"/>
    <w:p w14:paraId="42247566" w14:textId="33088540" w:rsidR="000920C9" w:rsidRDefault="000920C9" w:rsidP="00523139">
      <w:pPr>
        <w:spacing w:before="120" w:after="120"/>
        <w:jc w:val="both"/>
      </w:pPr>
      <w:r>
        <w:t>In the evidence reviewed, the efficacy of smoking cessation therapies was based on long-term (</w:t>
      </w:r>
      <w:r w:rsidR="00FC0C0F">
        <w:t>i.e.,</w:t>
      </w:r>
      <w:r>
        <w:t xml:space="preserve"> 6 months or more) smoking cessation rates unless otherwise indicated. Biochemically validated and continuous abstinence rates were prioritised over other measures. For safety and tolerability outcomes, key adverse events from studies with follow-up of any length are presented, where reported. A qualitative or narrative synthesis of the data from the literature review was conducted along with quantitative analysis if possible. Where supplemental evidence was found, the meta-analysis reported in the Cochran</w:t>
      </w:r>
      <w:r w:rsidR="00FC0C0F">
        <w:t>e</w:t>
      </w:r>
      <w:r>
        <w:t xml:space="preserve"> Reviews (relative risk using fixed-effect models) was re-analysed where possible using Review Manager 5.4 software and updated using random-effect models, with outcomes reported as both absolute and relative effects. </w:t>
      </w:r>
    </w:p>
    <w:p w14:paraId="6479FF48" w14:textId="68ECA9A9" w:rsidR="00684849" w:rsidRDefault="00102F4E" w:rsidP="00523139">
      <w:pPr>
        <w:pStyle w:val="Heading3"/>
        <w:spacing w:before="120" w:after="120"/>
        <w:jc w:val="both"/>
      </w:pPr>
      <w:bookmarkStart w:id="46" w:name="_Toc111710691"/>
      <w:r>
        <w:t xml:space="preserve">3.1 </w:t>
      </w:r>
      <w:r w:rsidR="00684849">
        <w:t>Monotherapy in the general population</w:t>
      </w:r>
      <w:bookmarkEnd w:id="46"/>
    </w:p>
    <w:p w14:paraId="1354BFBC" w14:textId="79394AB5" w:rsidR="00684849" w:rsidRPr="00317D31" w:rsidRDefault="00684849" w:rsidP="00523139">
      <w:pPr>
        <w:spacing w:before="120" w:after="120"/>
        <w:jc w:val="both"/>
        <w:rPr>
          <w:rFonts w:eastAsiaTheme="minorEastAsia"/>
          <w:b/>
          <w:i/>
          <w:sz w:val="28"/>
          <w:szCs w:val="28"/>
        </w:rPr>
      </w:pPr>
      <w:r w:rsidRPr="007456C3">
        <w:rPr>
          <w:rFonts w:eastAsiaTheme="minorEastAsia"/>
          <w:b/>
          <w:i/>
          <w:sz w:val="28"/>
          <w:szCs w:val="28"/>
        </w:rPr>
        <w:t xml:space="preserve">Summarise the comparative efficacy and safety of all PBS-listed smoking cessation therapies as monotherapy and compare this to evidence already considered by </w:t>
      </w:r>
      <w:r w:rsidR="00FC0C0F">
        <w:rPr>
          <w:rFonts w:eastAsiaTheme="minorEastAsia"/>
          <w:b/>
          <w:i/>
          <w:sz w:val="28"/>
          <w:szCs w:val="28"/>
        </w:rPr>
        <w:t xml:space="preserve">the </w:t>
      </w:r>
      <w:r w:rsidRPr="007456C3">
        <w:rPr>
          <w:rFonts w:eastAsiaTheme="minorEastAsia"/>
          <w:b/>
          <w:i/>
          <w:sz w:val="28"/>
          <w:szCs w:val="28"/>
        </w:rPr>
        <w:t>PBAC for each smoking cessation therapy</w:t>
      </w:r>
    </w:p>
    <w:p w14:paraId="354C4642" w14:textId="77777777" w:rsidR="00684849" w:rsidRPr="00280A7C" w:rsidRDefault="00684849" w:rsidP="00523139">
      <w:pPr>
        <w:pStyle w:val="Heading6"/>
        <w:numPr>
          <w:ilvl w:val="2"/>
          <w:numId w:val="68"/>
        </w:numPr>
        <w:spacing w:before="120" w:after="120"/>
        <w:jc w:val="both"/>
        <w:rPr>
          <w:rFonts w:asciiTheme="minorHAnsi" w:hAnsiTheme="minorHAnsi" w:cstheme="minorHAnsi"/>
          <w:b/>
          <w:i w:val="0"/>
          <w:color w:val="auto"/>
        </w:rPr>
      </w:pPr>
      <w:r w:rsidRPr="00280A7C">
        <w:rPr>
          <w:rFonts w:asciiTheme="minorHAnsi" w:hAnsiTheme="minorHAnsi" w:cstheme="minorHAnsi"/>
          <w:b/>
          <w:i w:val="0"/>
          <w:color w:val="auto"/>
        </w:rPr>
        <w:t>Bupropion</w:t>
      </w:r>
    </w:p>
    <w:p w14:paraId="4A302196" w14:textId="77777777" w:rsidR="00684849" w:rsidRPr="002F3376" w:rsidRDefault="00684849" w:rsidP="00523139">
      <w:pPr>
        <w:spacing w:before="120" w:after="120"/>
        <w:jc w:val="both"/>
      </w:pPr>
      <w:r w:rsidRPr="00941DA2">
        <w:t xml:space="preserve">Treatment-naïve population </w:t>
      </w:r>
    </w:p>
    <w:p w14:paraId="33856440" w14:textId="5A35A830" w:rsidR="00684849" w:rsidRDefault="00684849" w:rsidP="00FC0C0F">
      <w:pPr>
        <w:pStyle w:val="ListParagraph"/>
        <w:numPr>
          <w:ilvl w:val="0"/>
          <w:numId w:val="15"/>
        </w:numPr>
        <w:jc w:val="both"/>
      </w:pPr>
      <w:r w:rsidRPr="00941DA2">
        <w:t>Bupropion was</w:t>
      </w:r>
      <w:r>
        <w:t xml:space="preserve"> superior to placebo in terms of efficacy</w:t>
      </w:r>
      <w:r w:rsidRPr="00941DA2">
        <w:t xml:space="preserve">, </w:t>
      </w:r>
      <w:r>
        <w:t>with a</w:t>
      </w:r>
      <w:r w:rsidRPr="00941DA2">
        <w:t xml:space="preserve"> significantly higher incidence of adverse events, psychiatric adverse </w:t>
      </w:r>
      <w:r w:rsidR="00FC0C0F" w:rsidRPr="00941DA2">
        <w:t>events,</w:t>
      </w:r>
      <w:r w:rsidRPr="00941DA2">
        <w:t xml:space="preserve"> and discontinuation due to adverse events in the bupropion arm. This </w:t>
      </w:r>
      <w:r>
        <w:t>i</w:t>
      </w:r>
      <w:r w:rsidRPr="00941DA2">
        <w:t xml:space="preserve">s consistent with the evidence previously considered by the PBAC. </w:t>
      </w:r>
    </w:p>
    <w:p w14:paraId="5F143B0D" w14:textId="5A974895" w:rsidR="00106A8F" w:rsidRDefault="00684849" w:rsidP="001D6E7B">
      <w:pPr>
        <w:pStyle w:val="ListParagraph"/>
        <w:numPr>
          <w:ilvl w:val="0"/>
          <w:numId w:val="15"/>
        </w:numPr>
        <w:spacing w:after="240"/>
        <w:ind w:left="357" w:hanging="357"/>
        <w:contextualSpacing w:val="0"/>
        <w:jc w:val="both"/>
      </w:pPr>
      <w:r>
        <w:t>N</w:t>
      </w:r>
      <w:r w:rsidRPr="002E6C2F">
        <w:t xml:space="preserve">o statistically significant differences in smoking cessation rates, adverse events, serious adverse </w:t>
      </w:r>
      <w:r w:rsidR="00FC0C0F" w:rsidRPr="002E6C2F">
        <w:t>events,</w:t>
      </w:r>
      <w:r w:rsidRPr="002E6C2F">
        <w:t xml:space="preserve"> and discontinuation due to adverse events </w:t>
      </w:r>
      <w:r>
        <w:t xml:space="preserve">were shown </w:t>
      </w:r>
      <w:r w:rsidRPr="002E6C2F">
        <w:t xml:space="preserve">between </w:t>
      </w:r>
      <w:r>
        <w:t>bupropion and</w:t>
      </w:r>
      <w:r w:rsidRPr="002E6C2F">
        <w:t xml:space="preserve"> NRT</w:t>
      </w:r>
      <w:r>
        <w:t xml:space="preserve"> </w:t>
      </w:r>
      <w:r w:rsidR="00FC0C0F">
        <w:t>(</w:t>
      </w:r>
      <w:r>
        <w:t xml:space="preserve">either as patch, </w:t>
      </w:r>
      <w:r w:rsidR="00FC0C0F">
        <w:t>lozenge,</w:t>
      </w:r>
      <w:r>
        <w:t xml:space="preserve"> or choice of NRT).</w:t>
      </w:r>
      <w:r w:rsidRPr="002E6C2F">
        <w:t xml:space="preserve"> This is consistent with the evidence previously considered by the PBAC</w:t>
      </w:r>
      <w:r>
        <w:t xml:space="preserve"> to support non-inferiority</w:t>
      </w:r>
      <w:r w:rsidRPr="002E6C2F">
        <w:t>.</w:t>
      </w:r>
      <w:bookmarkStart w:id="47" w:name="_Hlk106969748"/>
    </w:p>
    <w:p w14:paraId="0D1786B3" w14:textId="3A15B7CD" w:rsidR="00684849" w:rsidRPr="000920C9" w:rsidRDefault="00106A8F" w:rsidP="00106A8F">
      <w:pPr>
        <w:spacing w:line="276" w:lineRule="auto"/>
      </w:pPr>
      <w:r>
        <w:br w:type="page"/>
      </w:r>
    </w:p>
    <w:tbl>
      <w:tblPr>
        <w:tblStyle w:val="TableGrid6"/>
        <w:tblW w:w="5000" w:type="pct"/>
        <w:shd w:val="clear" w:color="auto" w:fill="F2F2F2" w:themeFill="background1" w:themeFillShade="F2"/>
        <w:tblLook w:val="04A0" w:firstRow="1" w:lastRow="0" w:firstColumn="1" w:lastColumn="0" w:noHBand="0" w:noVBand="1"/>
      </w:tblPr>
      <w:tblGrid>
        <w:gridCol w:w="1832"/>
        <w:gridCol w:w="2216"/>
        <w:gridCol w:w="4968"/>
      </w:tblGrid>
      <w:tr w:rsidR="00B3406A" w:rsidRPr="00D37D1E" w14:paraId="15D70BB3" w14:textId="77777777" w:rsidTr="00A82090">
        <w:trPr>
          <w:trHeight w:val="311"/>
        </w:trPr>
        <w:tc>
          <w:tcPr>
            <w:tcW w:w="1016" w:type="pct"/>
            <w:shd w:val="clear" w:color="auto" w:fill="F2F2F2" w:themeFill="background1" w:themeFillShade="F2"/>
            <w:vAlign w:val="center"/>
            <w:hideMark/>
          </w:tcPr>
          <w:bookmarkEnd w:id="47"/>
          <w:p w14:paraId="5BA935EF" w14:textId="77777777" w:rsidR="00B3406A" w:rsidRPr="00D37D1E" w:rsidRDefault="00B3406A" w:rsidP="001E7257">
            <w:pPr>
              <w:spacing w:after="200"/>
              <w:rPr>
                <w:szCs w:val="18"/>
              </w:rPr>
            </w:pPr>
            <w:r>
              <w:rPr>
                <w:b/>
                <w:bCs/>
                <w:szCs w:val="18"/>
              </w:rPr>
              <w:lastRenderedPageBreak/>
              <w:t>Comparison</w:t>
            </w:r>
          </w:p>
        </w:tc>
        <w:tc>
          <w:tcPr>
            <w:tcW w:w="1229" w:type="pct"/>
            <w:shd w:val="clear" w:color="auto" w:fill="F2F2F2" w:themeFill="background1" w:themeFillShade="F2"/>
            <w:vAlign w:val="center"/>
            <w:hideMark/>
          </w:tcPr>
          <w:p w14:paraId="0586F0EA" w14:textId="77777777" w:rsidR="00B3406A" w:rsidRPr="00D37D1E" w:rsidRDefault="00B3406A" w:rsidP="001E7257">
            <w:pPr>
              <w:spacing w:after="200"/>
              <w:jc w:val="center"/>
              <w:rPr>
                <w:szCs w:val="18"/>
              </w:rPr>
            </w:pPr>
            <w:r>
              <w:rPr>
                <w:b/>
                <w:bCs/>
                <w:szCs w:val="18"/>
              </w:rPr>
              <w:t>Included studies</w:t>
            </w:r>
          </w:p>
        </w:tc>
        <w:tc>
          <w:tcPr>
            <w:tcW w:w="2755" w:type="pct"/>
            <w:shd w:val="clear" w:color="auto" w:fill="F2F2F2" w:themeFill="background1" w:themeFillShade="F2"/>
            <w:vAlign w:val="center"/>
            <w:hideMark/>
          </w:tcPr>
          <w:p w14:paraId="24D4E161" w14:textId="77777777" w:rsidR="00B3406A" w:rsidRPr="00D37D1E" w:rsidRDefault="00B3406A" w:rsidP="001E7257">
            <w:pPr>
              <w:spacing w:after="200"/>
              <w:jc w:val="center"/>
              <w:rPr>
                <w:b/>
                <w:bCs/>
                <w:szCs w:val="18"/>
              </w:rPr>
            </w:pPr>
            <w:r>
              <w:rPr>
                <w:b/>
                <w:bCs/>
                <w:szCs w:val="18"/>
              </w:rPr>
              <w:t>Summary of evidence</w:t>
            </w:r>
          </w:p>
        </w:tc>
      </w:tr>
      <w:tr w:rsidR="00B3406A" w:rsidRPr="00D37D1E" w14:paraId="7686FE50" w14:textId="77777777" w:rsidTr="00A82090">
        <w:trPr>
          <w:trHeight w:val="275"/>
        </w:trPr>
        <w:tc>
          <w:tcPr>
            <w:tcW w:w="5000" w:type="pct"/>
            <w:gridSpan w:val="3"/>
            <w:shd w:val="clear" w:color="auto" w:fill="F2F2F2" w:themeFill="background1" w:themeFillShade="F2"/>
            <w:vAlign w:val="center"/>
            <w:hideMark/>
          </w:tcPr>
          <w:p w14:paraId="75E8941C" w14:textId="77777777" w:rsidR="00B3406A" w:rsidRPr="00D37D1E" w:rsidRDefault="00B3406A" w:rsidP="001E7257">
            <w:pPr>
              <w:rPr>
                <w:b/>
                <w:bCs/>
                <w:szCs w:val="18"/>
              </w:rPr>
            </w:pPr>
            <w:r w:rsidRPr="00D37D1E">
              <w:rPr>
                <w:b/>
                <w:bCs/>
                <w:szCs w:val="18"/>
              </w:rPr>
              <w:t>Treatment-naïve population</w:t>
            </w:r>
          </w:p>
        </w:tc>
      </w:tr>
      <w:tr w:rsidR="00B3406A" w:rsidRPr="00C30A65" w14:paraId="2CB0A224" w14:textId="77777777" w:rsidTr="00A82090">
        <w:trPr>
          <w:trHeight w:val="1340"/>
        </w:trPr>
        <w:tc>
          <w:tcPr>
            <w:tcW w:w="1016" w:type="pct"/>
            <w:shd w:val="clear" w:color="auto" w:fill="F2F2F2" w:themeFill="background1" w:themeFillShade="F2"/>
            <w:hideMark/>
          </w:tcPr>
          <w:p w14:paraId="33D744EA" w14:textId="77777777" w:rsidR="00B3406A" w:rsidRPr="00D37D1E" w:rsidRDefault="00B3406A" w:rsidP="001E7257">
            <w:pPr>
              <w:spacing w:after="200"/>
              <w:rPr>
                <w:szCs w:val="18"/>
              </w:rPr>
            </w:pPr>
            <w:r>
              <w:rPr>
                <w:szCs w:val="18"/>
              </w:rPr>
              <w:t>Bupropion vs p</w:t>
            </w:r>
            <w:r w:rsidRPr="00D37D1E">
              <w:rPr>
                <w:szCs w:val="18"/>
              </w:rPr>
              <w:t>lacebo</w:t>
            </w:r>
          </w:p>
        </w:tc>
        <w:tc>
          <w:tcPr>
            <w:tcW w:w="1229" w:type="pct"/>
            <w:shd w:val="clear" w:color="auto" w:fill="F2F2F2" w:themeFill="background1" w:themeFillShade="F2"/>
            <w:hideMark/>
          </w:tcPr>
          <w:p w14:paraId="647B969A" w14:textId="77777777" w:rsidR="00B3406A" w:rsidRPr="00C30A65" w:rsidRDefault="00B3406A" w:rsidP="00815A6D">
            <w:pPr>
              <w:pStyle w:val="ListParagraph"/>
              <w:numPr>
                <w:ilvl w:val="0"/>
                <w:numId w:val="35"/>
              </w:numPr>
              <w:rPr>
                <w:szCs w:val="18"/>
              </w:rPr>
            </w:pPr>
            <w:r w:rsidRPr="003F5807">
              <w:rPr>
                <w:szCs w:val="18"/>
              </w:rPr>
              <w:t>Howes (2020)</w:t>
            </w:r>
            <w:r w:rsidRPr="00C30A65">
              <w:rPr>
                <w:szCs w:val="18"/>
                <w:vertAlign w:val="superscript"/>
              </w:rPr>
              <w:t>1</w:t>
            </w:r>
          </w:p>
          <w:p w14:paraId="744D8ABA" w14:textId="77777777" w:rsidR="00B3406A" w:rsidRPr="00A17F4F" w:rsidRDefault="00B3406A" w:rsidP="00815A6D">
            <w:pPr>
              <w:pStyle w:val="ListParagraph"/>
              <w:numPr>
                <w:ilvl w:val="0"/>
                <w:numId w:val="35"/>
              </w:numPr>
              <w:rPr>
                <w:szCs w:val="18"/>
              </w:rPr>
            </w:pPr>
            <w:r w:rsidRPr="00A17F4F">
              <w:rPr>
                <w:rFonts w:eastAsia="MS Mincho"/>
              </w:rPr>
              <w:t>Benowitz (2018)</w:t>
            </w:r>
            <w:r w:rsidRPr="00A17F4F">
              <w:rPr>
                <w:rFonts w:eastAsia="MS Mincho"/>
                <w:vertAlign w:val="superscript"/>
              </w:rPr>
              <w:t>2</w:t>
            </w:r>
          </w:p>
        </w:tc>
        <w:tc>
          <w:tcPr>
            <w:tcW w:w="2755" w:type="pct"/>
            <w:shd w:val="clear" w:color="auto" w:fill="F2F2F2" w:themeFill="background1" w:themeFillShade="F2"/>
            <w:hideMark/>
          </w:tcPr>
          <w:p w14:paraId="5DCFFA47" w14:textId="77777777" w:rsidR="00B3406A" w:rsidRPr="00397B2B" w:rsidRDefault="00B3406A" w:rsidP="00815A6D">
            <w:pPr>
              <w:pStyle w:val="ListParagraph"/>
              <w:numPr>
                <w:ilvl w:val="0"/>
                <w:numId w:val="35"/>
              </w:numPr>
              <w:rPr>
                <w:szCs w:val="18"/>
              </w:rPr>
            </w:pPr>
            <w:r w:rsidRPr="00A84141">
              <w:rPr>
                <w:szCs w:val="18"/>
                <w:u w:val="single"/>
              </w:rPr>
              <w:t>Efficacy:</w:t>
            </w:r>
            <w:r w:rsidRPr="00A84141">
              <w:rPr>
                <w:szCs w:val="18"/>
              </w:rPr>
              <w:t xml:space="preserve"> Statistically significant based on RR</w:t>
            </w:r>
            <w:r>
              <w:rPr>
                <w:szCs w:val="18"/>
              </w:rPr>
              <w:t xml:space="preserve"> </w:t>
            </w:r>
            <w:r w:rsidRPr="00397B2B">
              <w:rPr>
                <w:szCs w:val="18"/>
              </w:rPr>
              <w:t>(in favour of bupropion)</w:t>
            </w:r>
            <w:r>
              <w:rPr>
                <w:szCs w:val="18"/>
              </w:rPr>
              <w:t>.</w:t>
            </w:r>
          </w:p>
          <w:p w14:paraId="0EC1679D" w14:textId="1A089D2B" w:rsidR="00B3406A" w:rsidRPr="00C30A65" w:rsidRDefault="00B3406A" w:rsidP="00815A6D">
            <w:pPr>
              <w:pStyle w:val="ListParagraph"/>
              <w:numPr>
                <w:ilvl w:val="0"/>
                <w:numId w:val="35"/>
              </w:numPr>
            </w:pPr>
            <w:r w:rsidRPr="00A84141">
              <w:rPr>
                <w:szCs w:val="18"/>
                <w:u w:val="single"/>
              </w:rPr>
              <w:t>Safety:</w:t>
            </w:r>
            <w:r w:rsidRPr="00A84141">
              <w:rPr>
                <w:szCs w:val="18"/>
              </w:rPr>
              <w:t xml:space="preserve"> Statistically significant based on RR</w:t>
            </w:r>
            <w:r>
              <w:rPr>
                <w:szCs w:val="18"/>
              </w:rPr>
              <w:t xml:space="preserve"> </w:t>
            </w:r>
            <w:r w:rsidRPr="00397B2B">
              <w:rPr>
                <w:szCs w:val="18"/>
              </w:rPr>
              <w:t>(any AEs, psychiatric AEs, discontinuation due to AEs; higher in bupropion)</w:t>
            </w:r>
            <w:r>
              <w:rPr>
                <w:szCs w:val="18"/>
              </w:rPr>
              <w:t xml:space="preserve">; </w:t>
            </w:r>
            <w:r w:rsidR="0002056E" w:rsidRPr="00D37D1E">
              <w:rPr>
                <w:szCs w:val="18"/>
              </w:rPr>
              <w:t>not</w:t>
            </w:r>
            <w:r w:rsidRPr="00D37D1E">
              <w:rPr>
                <w:szCs w:val="18"/>
              </w:rPr>
              <w:t xml:space="preserve"> statistically significant</w:t>
            </w:r>
            <w:r>
              <w:rPr>
                <w:szCs w:val="18"/>
              </w:rPr>
              <w:t xml:space="preserve"> based on RR </w:t>
            </w:r>
            <w:r w:rsidRPr="00D37D1E">
              <w:rPr>
                <w:szCs w:val="18"/>
              </w:rPr>
              <w:t>(</w:t>
            </w:r>
            <w:r>
              <w:rPr>
                <w:szCs w:val="18"/>
              </w:rPr>
              <w:t>S</w:t>
            </w:r>
            <w:r w:rsidRPr="00D37D1E">
              <w:rPr>
                <w:szCs w:val="18"/>
              </w:rPr>
              <w:t>AEs)</w:t>
            </w:r>
            <w:r>
              <w:rPr>
                <w:szCs w:val="18"/>
              </w:rPr>
              <w:t>.</w:t>
            </w:r>
          </w:p>
        </w:tc>
      </w:tr>
      <w:tr w:rsidR="00B3406A" w:rsidRPr="00DF3495" w14:paraId="5002038D" w14:textId="77777777" w:rsidTr="00A82090">
        <w:trPr>
          <w:trHeight w:val="669"/>
        </w:trPr>
        <w:tc>
          <w:tcPr>
            <w:tcW w:w="1016" w:type="pct"/>
            <w:shd w:val="clear" w:color="auto" w:fill="F2F2F2" w:themeFill="background1" w:themeFillShade="F2"/>
            <w:hideMark/>
          </w:tcPr>
          <w:p w14:paraId="0F490A16" w14:textId="362AFA24" w:rsidR="00B3406A" w:rsidRPr="00D37D1E" w:rsidRDefault="00B3406A" w:rsidP="001E7257">
            <w:pPr>
              <w:spacing w:after="200"/>
              <w:rPr>
                <w:szCs w:val="18"/>
              </w:rPr>
            </w:pPr>
            <w:r>
              <w:rPr>
                <w:szCs w:val="18"/>
              </w:rPr>
              <w:t xml:space="preserve">Bupropion vs </w:t>
            </w:r>
            <w:r w:rsidRPr="00D37D1E">
              <w:rPr>
                <w:szCs w:val="18"/>
              </w:rPr>
              <w:t xml:space="preserve">NRT (either as patch, </w:t>
            </w:r>
            <w:r w:rsidR="009518E9" w:rsidRPr="00D37D1E">
              <w:rPr>
                <w:szCs w:val="18"/>
              </w:rPr>
              <w:t>lozenge,</w:t>
            </w:r>
            <w:r w:rsidRPr="00D37D1E">
              <w:rPr>
                <w:szCs w:val="18"/>
              </w:rPr>
              <w:t xml:space="preserve"> or choice of NRT)</w:t>
            </w:r>
          </w:p>
        </w:tc>
        <w:tc>
          <w:tcPr>
            <w:tcW w:w="1229" w:type="pct"/>
            <w:shd w:val="clear" w:color="auto" w:fill="F2F2F2" w:themeFill="background1" w:themeFillShade="F2"/>
            <w:hideMark/>
          </w:tcPr>
          <w:p w14:paraId="00149AA7" w14:textId="77777777" w:rsidR="00B3406A" w:rsidRDefault="00B3406A" w:rsidP="00815A6D">
            <w:pPr>
              <w:pStyle w:val="ListParagraph"/>
              <w:numPr>
                <w:ilvl w:val="0"/>
                <w:numId w:val="35"/>
              </w:numPr>
              <w:rPr>
                <w:szCs w:val="18"/>
              </w:rPr>
            </w:pPr>
            <w:r w:rsidRPr="003F5807">
              <w:rPr>
                <w:szCs w:val="18"/>
              </w:rPr>
              <w:t>Howes (2020)</w:t>
            </w:r>
            <w:r w:rsidRPr="00C30A65">
              <w:rPr>
                <w:szCs w:val="18"/>
                <w:vertAlign w:val="superscript"/>
              </w:rPr>
              <w:t>1</w:t>
            </w:r>
          </w:p>
          <w:p w14:paraId="317DB609" w14:textId="77777777" w:rsidR="00B3406A" w:rsidRPr="00A17F4F" w:rsidRDefault="00B3406A" w:rsidP="00815A6D">
            <w:pPr>
              <w:pStyle w:val="ListParagraph"/>
              <w:numPr>
                <w:ilvl w:val="0"/>
                <w:numId w:val="35"/>
              </w:numPr>
              <w:rPr>
                <w:szCs w:val="18"/>
              </w:rPr>
            </w:pPr>
            <w:r w:rsidRPr="00A17F4F">
              <w:rPr>
                <w:rFonts w:eastAsia="MS Mincho"/>
              </w:rPr>
              <w:t>Benowitz (2018)</w:t>
            </w:r>
            <w:r w:rsidRPr="00A17F4F">
              <w:rPr>
                <w:rFonts w:eastAsia="MS Mincho"/>
                <w:vertAlign w:val="superscript"/>
              </w:rPr>
              <w:t>2</w:t>
            </w:r>
          </w:p>
        </w:tc>
        <w:tc>
          <w:tcPr>
            <w:tcW w:w="2755" w:type="pct"/>
            <w:shd w:val="clear" w:color="auto" w:fill="F2F2F2" w:themeFill="background1" w:themeFillShade="F2"/>
            <w:hideMark/>
          </w:tcPr>
          <w:p w14:paraId="3EBD480B" w14:textId="77777777" w:rsidR="00B3406A" w:rsidRPr="00A84141" w:rsidRDefault="00B3406A" w:rsidP="00815A6D">
            <w:pPr>
              <w:pStyle w:val="ListParagraph"/>
              <w:numPr>
                <w:ilvl w:val="0"/>
                <w:numId w:val="35"/>
              </w:numPr>
              <w:rPr>
                <w:szCs w:val="18"/>
              </w:rPr>
            </w:pPr>
            <w:r w:rsidRPr="00E320E0">
              <w:rPr>
                <w:szCs w:val="18"/>
                <w:u w:val="single"/>
              </w:rPr>
              <w:t>Efficacy:</w:t>
            </w:r>
            <w:r w:rsidRPr="00A84141">
              <w:rPr>
                <w:szCs w:val="18"/>
              </w:rPr>
              <w:t xml:space="preserve"> Not statistically significant </w:t>
            </w:r>
            <w:r>
              <w:rPr>
                <w:szCs w:val="18"/>
              </w:rPr>
              <w:t>based on</w:t>
            </w:r>
            <w:r w:rsidRPr="00A84141">
              <w:rPr>
                <w:szCs w:val="18"/>
              </w:rPr>
              <w:t xml:space="preserve"> RR</w:t>
            </w:r>
            <w:r>
              <w:rPr>
                <w:szCs w:val="18"/>
              </w:rPr>
              <w:t>.</w:t>
            </w:r>
          </w:p>
          <w:p w14:paraId="7E81AE20" w14:textId="77777777" w:rsidR="00B3406A" w:rsidRPr="00DF3495" w:rsidRDefault="00B3406A" w:rsidP="00815A6D">
            <w:pPr>
              <w:pStyle w:val="ListParagraph"/>
              <w:numPr>
                <w:ilvl w:val="0"/>
                <w:numId w:val="35"/>
              </w:numPr>
            </w:pPr>
            <w:r w:rsidRPr="00E320E0">
              <w:rPr>
                <w:szCs w:val="18"/>
                <w:u w:val="single"/>
              </w:rPr>
              <w:t>Safety:</w:t>
            </w:r>
            <w:r>
              <w:rPr>
                <w:szCs w:val="18"/>
              </w:rPr>
              <w:t xml:space="preserve"> </w:t>
            </w:r>
            <w:r w:rsidRPr="00A84141">
              <w:rPr>
                <w:szCs w:val="18"/>
              </w:rPr>
              <w:t xml:space="preserve">Not statistically significant </w:t>
            </w:r>
            <w:r>
              <w:rPr>
                <w:szCs w:val="18"/>
              </w:rPr>
              <w:t>based on</w:t>
            </w:r>
            <w:r w:rsidRPr="00A84141">
              <w:rPr>
                <w:szCs w:val="18"/>
              </w:rPr>
              <w:t xml:space="preserve"> RR</w:t>
            </w:r>
            <w:r>
              <w:rPr>
                <w:szCs w:val="18"/>
              </w:rPr>
              <w:t xml:space="preserve"> </w:t>
            </w:r>
            <w:r w:rsidRPr="00A84141">
              <w:rPr>
                <w:szCs w:val="18"/>
              </w:rPr>
              <w:t>(any AEs, SAEs, discontinuation due to AEs)</w:t>
            </w:r>
            <w:r>
              <w:rPr>
                <w:szCs w:val="18"/>
              </w:rPr>
              <w:t>.</w:t>
            </w:r>
            <w:r w:rsidRPr="00A84141">
              <w:rPr>
                <w:szCs w:val="18"/>
              </w:rPr>
              <w:t> </w:t>
            </w:r>
          </w:p>
        </w:tc>
      </w:tr>
    </w:tbl>
    <w:p w14:paraId="784F10DC" w14:textId="77777777" w:rsidR="00B3406A" w:rsidRDefault="00B3406A" w:rsidP="00523139">
      <w:pPr>
        <w:pStyle w:val="TableFooter"/>
        <w:keepNext/>
        <w:jc w:val="both"/>
      </w:pPr>
      <w:r>
        <w:t>Abbreviations: AEs = adverse events; NRT = nicotine replacement therapy; RR = risk ratio, RD = risk difference; SAEs = serious adverse events.</w:t>
      </w:r>
    </w:p>
    <w:p w14:paraId="0C46C38F" w14:textId="77777777" w:rsidR="00B3406A" w:rsidRDefault="00B3406A" w:rsidP="00523139">
      <w:pPr>
        <w:pStyle w:val="TableFooter"/>
        <w:keepNext/>
        <w:jc w:val="both"/>
      </w:pPr>
      <w:r w:rsidRPr="00BE36E8">
        <w:t xml:space="preserve">Notes: </w:t>
      </w:r>
    </w:p>
    <w:p w14:paraId="11C8ED57" w14:textId="77777777" w:rsidR="00B3406A" w:rsidRDefault="00B3406A" w:rsidP="00523139">
      <w:pPr>
        <w:pStyle w:val="TableFooter"/>
        <w:keepNext/>
        <w:jc w:val="both"/>
      </w:pPr>
      <w:r w:rsidRPr="00BE36E8">
        <w:t>1 Cochrane Review</w:t>
      </w:r>
      <w:r>
        <w:t>.</w:t>
      </w:r>
    </w:p>
    <w:p w14:paraId="6445D268" w14:textId="77777777" w:rsidR="00B3406A" w:rsidRPr="00374C80" w:rsidRDefault="00B3406A" w:rsidP="00523139">
      <w:pPr>
        <w:pStyle w:val="TableFooter"/>
        <w:keepNext/>
        <w:spacing w:after="120"/>
        <w:contextualSpacing w:val="0"/>
        <w:jc w:val="both"/>
      </w:pPr>
      <w:r>
        <w:t>2 Supplemental evidence (RCT).</w:t>
      </w:r>
    </w:p>
    <w:p w14:paraId="65A5DBA3" w14:textId="77777777" w:rsidR="00B3406A" w:rsidRPr="002E6C2F" w:rsidRDefault="00B3406A" w:rsidP="00523139">
      <w:pPr>
        <w:spacing w:before="120" w:after="120"/>
        <w:jc w:val="both"/>
      </w:pPr>
      <w:r w:rsidRPr="002E6C2F">
        <w:t xml:space="preserve">Treatment-experienced population </w:t>
      </w:r>
    </w:p>
    <w:p w14:paraId="26E7DFB9" w14:textId="421216E1" w:rsidR="00B3406A" w:rsidRDefault="00B3406A" w:rsidP="00523139">
      <w:pPr>
        <w:pStyle w:val="ListParagraph"/>
        <w:numPr>
          <w:ilvl w:val="0"/>
          <w:numId w:val="18"/>
        </w:numPr>
        <w:spacing w:before="120" w:after="0"/>
        <w:ind w:left="357" w:hanging="357"/>
        <w:contextualSpacing w:val="0"/>
        <w:jc w:val="both"/>
      </w:pPr>
      <w:r w:rsidRPr="002E6C2F">
        <w:t xml:space="preserve">Bupropion </w:t>
      </w:r>
      <w:r>
        <w:t>has not previous</w:t>
      </w:r>
      <w:r w:rsidR="00D46574">
        <w:t>l</w:t>
      </w:r>
      <w:r>
        <w:t>y been considered by the PBAC for treatment-experienced patients.</w:t>
      </w:r>
    </w:p>
    <w:p w14:paraId="287E7814" w14:textId="0C96B756" w:rsidR="00B3406A" w:rsidRDefault="00B3406A" w:rsidP="009518E9">
      <w:pPr>
        <w:pStyle w:val="ListParagraph"/>
        <w:numPr>
          <w:ilvl w:val="0"/>
          <w:numId w:val="18"/>
        </w:numPr>
        <w:ind w:left="360"/>
        <w:jc w:val="both"/>
      </w:pPr>
      <w:r w:rsidRPr="00851965">
        <w:t>No evidence was identified comparing bupropion with placebo as relapse prevention in abstainers who completed a 9-week course of initial bupropion monotherapy treatment</w:t>
      </w:r>
      <w:r>
        <w:t xml:space="preserve"> (PBS-listed treatment duration).</w:t>
      </w:r>
      <w:r w:rsidRPr="002E6C2F">
        <w:t xml:space="preserve"> </w:t>
      </w:r>
      <w:r>
        <w:t>In other studies, irrespective of treatment duration, there were no statistically significant differences between b</w:t>
      </w:r>
      <w:r w:rsidRPr="002E6C2F">
        <w:t xml:space="preserve">upropion </w:t>
      </w:r>
      <w:r>
        <w:t>and</w:t>
      </w:r>
      <w:r w:rsidRPr="002E6C2F">
        <w:t xml:space="preserve"> placebo in terms of efficacy as a relapse prevention treatment in abstainers.</w:t>
      </w:r>
      <w:r w:rsidRPr="00A31766">
        <w:t xml:space="preserve"> The adverse events reported were consistent with those expected of </w:t>
      </w:r>
      <w:r>
        <w:t>bupropion</w:t>
      </w:r>
      <w:r w:rsidRPr="004D1CE1">
        <w:t>.</w:t>
      </w:r>
      <w:r w:rsidRPr="00851965">
        <w:t xml:space="preserve"> </w:t>
      </w:r>
    </w:p>
    <w:p w14:paraId="390E1C3E" w14:textId="481040BF" w:rsidR="00106A8F" w:rsidRDefault="00B3406A" w:rsidP="00523139">
      <w:pPr>
        <w:pStyle w:val="ListParagraph"/>
        <w:numPr>
          <w:ilvl w:val="0"/>
          <w:numId w:val="18"/>
        </w:numPr>
        <w:spacing w:after="240"/>
        <w:ind w:left="357" w:hanging="357"/>
        <w:contextualSpacing w:val="0"/>
        <w:jc w:val="both"/>
      </w:pPr>
      <w:r>
        <w:t>There were no statistically significant differences between b</w:t>
      </w:r>
      <w:r w:rsidRPr="002E6C2F">
        <w:t xml:space="preserve">upropion </w:t>
      </w:r>
      <w:r>
        <w:t>and</w:t>
      </w:r>
      <w:r w:rsidRPr="002E6C2F">
        <w:t xml:space="preserve"> placebo in terms of efficacy for use as retreatment in non-abstainers</w:t>
      </w:r>
      <w:r>
        <w:t xml:space="preserve"> when based on risk ratio, </w:t>
      </w:r>
      <w:r w:rsidRPr="002E6C2F">
        <w:t xml:space="preserve">noting that the results were significant </w:t>
      </w:r>
      <w:r>
        <w:t xml:space="preserve">when </w:t>
      </w:r>
      <w:r w:rsidRPr="002E6C2F">
        <w:t xml:space="preserve">based on risk difference. </w:t>
      </w:r>
      <w:r>
        <w:t>While</w:t>
      </w:r>
      <w:r w:rsidRPr="002E6C2F">
        <w:t xml:space="preserve"> a significantly higher proportion of patients in the bupropion arm experienced adverse events compared to patients in the placebo arm</w:t>
      </w:r>
      <w:r>
        <w:t>,</w:t>
      </w:r>
      <w:r w:rsidRPr="002E6C2F">
        <w:t xml:space="preserve"> there were no statistically significant differences in serious adverse events </w:t>
      </w:r>
      <w:r>
        <w:t>or</w:t>
      </w:r>
      <w:r w:rsidRPr="002E6C2F">
        <w:t xml:space="preserve"> discontinuation due to adverse events.</w:t>
      </w:r>
    </w:p>
    <w:p w14:paraId="4DFEEE7E" w14:textId="771084E5" w:rsidR="00280A7C" w:rsidRDefault="00106A8F" w:rsidP="00106A8F">
      <w:pPr>
        <w:spacing w:line="276" w:lineRule="auto"/>
      </w:pPr>
      <w:r>
        <w:br w:type="page"/>
      </w:r>
    </w:p>
    <w:tbl>
      <w:tblPr>
        <w:tblStyle w:val="TableGrid6"/>
        <w:tblW w:w="5000" w:type="pct"/>
        <w:shd w:val="clear" w:color="auto" w:fill="F2F2F2" w:themeFill="background1" w:themeFillShade="F2"/>
        <w:tblLook w:val="04A0" w:firstRow="1" w:lastRow="0" w:firstColumn="1" w:lastColumn="0" w:noHBand="0" w:noVBand="1"/>
      </w:tblPr>
      <w:tblGrid>
        <w:gridCol w:w="1599"/>
        <w:gridCol w:w="2806"/>
        <w:gridCol w:w="4611"/>
      </w:tblGrid>
      <w:tr w:rsidR="00B3406A" w:rsidRPr="00956775" w14:paraId="391D238A" w14:textId="77777777" w:rsidTr="00A82090">
        <w:trPr>
          <w:trHeight w:val="311"/>
        </w:trPr>
        <w:tc>
          <w:tcPr>
            <w:tcW w:w="887" w:type="pct"/>
            <w:shd w:val="clear" w:color="auto" w:fill="F2F2F2" w:themeFill="background1" w:themeFillShade="F2"/>
            <w:vAlign w:val="center"/>
            <w:hideMark/>
          </w:tcPr>
          <w:p w14:paraId="76EDC407" w14:textId="77777777" w:rsidR="00B3406A" w:rsidRPr="00D37D1E" w:rsidRDefault="00B3406A" w:rsidP="001E7257">
            <w:pPr>
              <w:spacing w:after="200"/>
              <w:rPr>
                <w:szCs w:val="18"/>
              </w:rPr>
            </w:pPr>
            <w:r>
              <w:rPr>
                <w:b/>
                <w:bCs/>
                <w:szCs w:val="18"/>
              </w:rPr>
              <w:lastRenderedPageBreak/>
              <w:t>Comparison</w:t>
            </w:r>
          </w:p>
        </w:tc>
        <w:tc>
          <w:tcPr>
            <w:tcW w:w="1556" w:type="pct"/>
            <w:shd w:val="clear" w:color="auto" w:fill="F2F2F2" w:themeFill="background1" w:themeFillShade="F2"/>
            <w:vAlign w:val="center"/>
            <w:hideMark/>
          </w:tcPr>
          <w:p w14:paraId="1A8638BB" w14:textId="77777777" w:rsidR="00B3406A" w:rsidRPr="00D37D1E" w:rsidRDefault="00B3406A" w:rsidP="001E7257">
            <w:pPr>
              <w:spacing w:after="200"/>
              <w:jc w:val="center"/>
              <w:rPr>
                <w:szCs w:val="18"/>
              </w:rPr>
            </w:pPr>
            <w:r>
              <w:rPr>
                <w:b/>
                <w:bCs/>
                <w:szCs w:val="18"/>
              </w:rPr>
              <w:t>Included studies</w:t>
            </w:r>
          </w:p>
        </w:tc>
        <w:tc>
          <w:tcPr>
            <w:tcW w:w="2557" w:type="pct"/>
            <w:shd w:val="clear" w:color="auto" w:fill="F2F2F2" w:themeFill="background1" w:themeFillShade="F2"/>
            <w:vAlign w:val="center"/>
            <w:hideMark/>
          </w:tcPr>
          <w:p w14:paraId="2A3B1EE6" w14:textId="77777777" w:rsidR="00B3406A" w:rsidRPr="00D37D1E" w:rsidRDefault="00B3406A" w:rsidP="001E7257">
            <w:pPr>
              <w:spacing w:after="200"/>
              <w:jc w:val="center"/>
              <w:rPr>
                <w:b/>
                <w:bCs/>
                <w:szCs w:val="18"/>
              </w:rPr>
            </w:pPr>
            <w:r>
              <w:rPr>
                <w:b/>
                <w:bCs/>
                <w:szCs w:val="18"/>
              </w:rPr>
              <w:t>Summary of evidence</w:t>
            </w:r>
          </w:p>
        </w:tc>
      </w:tr>
      <w:tr w:rsidR="00B3406A" w:rsidRPr="00956775" w14:paraId="6621FF26" w14:textId="77777777" w:rsidTr="00A82090">
        <w:trPr>
          <w:trHeight w:val="67"/>
        </w:trPr>
        <w:tc>
          <w:tcPr>
            <w:tcW w:w="5000" w:type="pct"/>
            <w:gridSpan w:val="3"/>
            <w:shd w:val="clear" w:color="auto" w:fill="F2F2F2" w:themeFill="background1" w:themeFillShade="F2"/>
            <w:hideMark/>
          </w:tcPr>
          <w:p w14:paraId="2DE931A3" w14:textId="77777777" w:rsidR="00B3406A" w:rsidRPr="00D37D1E" w:rsidRDefault="00B3406A" w:rsidP="001E7257">
            <w:pPr>
              <w:rPr>
                <w:b/>
                <w:bCs/>
                <w:szCs w:val="18"/>
              </w:rPr>
            </w:pPr>
            <w:r w:rsidRPr="00D37D1E">
              <w:rPr>
                <w:b/>
                <w:bCs/>
                <w:szCs w:val="18"/>
              </w:rPr>
              <w:t>Treatment-experienced population (relapse prevention treatment in abstainers)</w:t>
            </w:r>
          </w:p>
        </w:tc>
      </w:tr>
      <w:tr w:rsidR="00B3406A" w:rsidRPr="00956775" w14:paraId="451AF285" w14:textId="77777777" w:rsidTr="00A82090">
        <w:trPr>
          <w:trHeight w:val="851"/>
        </w:trPr>
        <w:tc>
          <w:tcPr>
            <w:tcW w:w="887" w:type="pct"/>
            <w:shd w:val="clear" w:color="auto" w:fill="F2F2F2" w:themeFill="background1" w:themeFillShade="F2"/>
            <w:hideMark/>
          </w:tcPr>
          <w:p w14:paraId="414632D7" w14:textId="77777777" w:rsidR="00B3406A" w:rsidRPr="00D37D1E" w:rsidRDefault="00B3406A" w:rsidP="001E7257">
            <w:pPr>
              <w:spacing w:after="200"/>
              <w:rPr>
                <w:szCs w:val="18"/>
              </w:rPr>
            </w:pPr>
            <w:r w:rsidRPr="00A84141">
              <w:rPr>
                <w:szCs w:val="18"/>
              </w:rPr>
              <w:t>Bupropion</w:t>
            </w:r>
            <w:r w:rsidRPr="00534027">
              <w:rPr>
                <w:rFonts w:eastAsia="Calibri"/>
                <w:szCs w:val="18"/>
              </w:rPr>
              <w:t xml:space="preserve"> vs </w:t>
            </w:r>
            <w:r>
              <w:rPr>
                <w:rFonts w:eastAsia="Calibri"/>
                <w:szCs w:val="18"/>
              </w:rPr>
              <w:t>p</w:t>
            </w:r>
            <w:r w:rsidRPr="00695872">
              <w:rPr>
                <w:rFonts w:eastAsia="Calibri"/>
                <w:szCs w:val="18"/>
              </w:rPr>
              <w:t>lacebo</w:t>
            </w:r>
          </w:p>
        </w:tc>
        <w:tc>
          <w:tcPr>
            <w:tcW w:w="1556" w:type="pct"/>
            <w:shd w:val="clear" w:color="auto" w:fill="F2F2F2" w:themeFill="background1" w:themeFillShade="F2"/>
            <w:hideMark/>
          </w:tcPr>
          <w:p w14:paraId="3D193A5F" w14:textId="77777777" w:rsidR="00B3406A" w:rsidRPr="00A84141" w:rsidRDefault="00B3406A" w:rsidP="00815A6D">
            <w:pPr>
              <w:pStyle w:val="ListParagraph"/>
              <w:numPr>
                <w:ilvl w:val="0"/>
                <w:numId w:val="35"/>
              </w:numPr>
              <w:rPr>
                <w:szCs w:val="18"/>
              </w:rPr>
            </w:pPr>
            <w:r w:rsidRPr="00A84141">
              <w:rPr>
                <w:szCs w:val="18"/>
              </w:rPr>
              <w:t>Livingstone-Banks (2019)</w:t>
            </w:r>
            <w:r w:rsidRPr="00A84141">
              <w:rPr>
                <w:szCs w:val="18"/>
                <w:vertAlign w:val="superscript"/>
              </w:rPr>
              <w:t>1</w:t>
            </w:r>
          </w:p>
        </w:tc>
        <w:tc>
          <w:tcPr>
            <w:tcW w:w="2557" w:type="pct"/>
            <w:shd w:val="clear" w:color="auto" w:fill="F2F2F2" w:themeFill="background1" w:themeFillShade="F2"/>
            <w:hideMark/>
          </w:tcPr>
          <w:p w14:paraId="0BE1274E" w14:textId="77777777" w:rsidR="00B3406A" w:rsidRPr="00A84141" w:rsidRDefault="00B3406A" w:rsidP="00815A6D">
            <w:pPr>
              <w:pStyle w:val="ListParagraph"/>
              <w:numPr>
                <w:ilvl w:val="0"/>
                <w:numId w:val="35"/>
              </w:numPr>
              <w:rPr>
                <w:rFonts w:eastAsia="Calibri"/>
                <w:szCs w:val="18"/>
              </w:rPr>
            </w:pPr>
            <w:r w:rsidRPr="00A84141">
              <w:rPr>
                <w:rFonts w:eastAsia="Calibri"/>
                <w:szCs w:val="18"/>
                <w:u w:val="single"/>
              </w:rPr>
              <w:t>Effica</w:t>
            </w:r>
            <w:r>
              <w:rPr>
                <w:rFonts w:eastAsia="Calibri"/>
                <w:szCs w:val="18"/>
                <w:u w:val="single"/>
              </w:rPr>
              <w:t>c</w:t>
            </w:r>
            <w:r w:rsidRPr="00A84141">
              <w:rPr>
                <w:rFonts w:eastAsia="Calibri"/>
                <w:szCs w:val="18"/>
                <w:u w:val="single"/>
              </w:rPr>
              <w:t>y</w:t>
            </w:r>
            <w:r w:rsidRPr="00A84141">
              <w:rPr>
                <w:rFonts w:eastAsia="Calibri"/>
                <w:szCs w:val="18"/>
              </w:rPr>
              <w:t xml:space="preserve">: </w:t>
            </w:r>
            <w:r w:rsidRPr="00A84141">
              <w:rPr>
                <w:szCs w:val="18"/>
              </w:rPr>
              <w:t>Not statistically significant based on RR</w:t>
            </w:r>
            <w:r>
              <w:rPr>
                <w:szCs w:val="18"/>
              </w:rPr>
              <w:t>.</w:t>
            </w:r>
          </w:p>
          <w:p w14:paraId="57AD982D" w14:textId="77777777" w:rsidR="00B3406A" w:rsidRPr="00A84141" w:rsidRDefault="00B3406A" w:rsidP="00815A6D">
            <w:pPr>
              <w:pStyle w:val="ListParagraph"/>
              <w:numPr>
                <w:ilvl w:val="0"/>
                <w:numId w:val="35"/>
              </w:numPr>
              <w:rPr>
                <w:szCs w:val="18"/>
              </w:rPr>
            </w:pPr>
            <w:r w:rsidRPr="00A84141">
              <w:rPr>
                <w:rFonts w:eastAsia="Calibri"/>
                <w:szCs w:val="18"/>
                <w:u w:val="single"/>
              </w:rPr>
              <w:t>Safety:</w:t>
            </w:r>
            <w:r w:rsidRPr="00A84141">
              <w:rPr>
                <w:rFonts w:eastAsia="Calibri"/>
                <w:szCs w:val="18"/>
              </w:rPr>
              <w:t xml:space="preserve"> AEs reported were consistent with those expected of bupropion</w:t>
            </w:r>
            <w:r>
              <w:rPr>
                <w:rFonts w:eastAsia="Calibri"/>
                <w:szCs w:val="18"/>
              </w:rPr>
              <w:t>.</w:t>
            </w:r>
          </w:p>
          <w:p w14:paraId="39B3E312" w14:textId="77777777" w:rsidR="00B3406A" w:rsidRPr="00A84141" w:rsidRDefault="00B3406A" w:rsidP="001E7257">
            <w:pPr>
              <w:rPr>
                <w:szCs w:val="18"/>
              </w:rPr>
            </w:pPr>
          </w:p>
        </w:tc>
      </w:tr>
      <w:tr w:rsidR="00B3406A" w:rsidRPr="00956775" w14:paraId="0804BFA3" w14:textId="77777777" w:rsidTr="00A82090">
        <w:trPr>
          <w:trHeight w:val="67"/>
        </w:trPr>
        <w:tc>
          <w:tcPr>
            <w:tcW w:w="5000" w:type="pct"/>
            <w:gridSpan w:val="3"/>
            <w:shd w:val="clear" w:color="auto" w:fill="F2F2F2" w:themeFill="background1" w:themeFillShade="F2"/>
            <w:hideMark/>
          </w:tcPr>
          <w:p w14:paraId="35D6AF02" w14:textId="77777777" w:rsidR="00B3406A" w:rsidRPr="00D37D1E" w:rsidRDefault="00B3406A" w:rsidP="001E7257">
            <w:pPr>
              <w:rPr>
                <w:b/>
                <w:bCs/>
                <w:szCs w:val="18"/>
              </w:rPr>
            </w:pPr>
            <w:r w:rsidRPr="00D37D1E">
              <w:rPr>
                <w:b/>
                <w:bCs/>
                <w:szCs w:val="18"/>
              </w:rPr>
              <w:t>Treatment-experienced population (retreatment in non-abstainers)</w:t>
            </w:r>
          </w:p>
        </w:tc>
      </w:tr>
      <w:tr w:rsidR="00B3406A" w:rsidRPr="00956775" w14:paraId="30F4C3EB" w14:textId="77777777" w:rsidTr="00A82090">
        <w:trPr>
          <w:trHeight w:val="851"/>
        </w:trPr>
        <w:tc>
          <w:tcPr>
            <w:tcW w:w="887" w:type="pct"/>
            <w:shd w:val="clear" w:color="auto" w:fill="F2F2F2" w:themeFill="background1" w:themeFillShade="F2"/>
            <w:hideMark/>
          </w:tcPr>
          <w:p w14:paraId="393896DF" w14:textId="77777777" w:rsidR="00B3406A" w:rsidRPr="00D37D1E" w:rsidRDefault="00B3406A" w:rsidP="001E7257">
            <w:pPr>
              <w:spacing w:after="200"/>
              <w:rPr>
                <w:szCs w:val="18"/>
              </w:rPr>
            </w:pPr>
            <w:r w:rsidRPr="00A84141">
              <w:rPr>
                <w:szCs w:val="18"/>
              </w:rPr>
              <w:t>Bupropion</w:t>
            </w:r>
            <w:r w:rsidRPr="00534027">
              <w:rPr>
                <w:rFonts w:eastAsia="Calibri"/>
                <w:szCs w:val="18"/>
              </w:rPr>
              <w:t xml:space="preserve"> vs </w:t>
            </w:r>
            <w:r>
              <w:rPr>
                <w:rFonts w:eastAsia="Calibri"/>
                <w:szCs w:val="18"/>
              </w:rPr>
              <w:t>p</w:t>
            </w:r>
            <w:r w:rsidRPr="00534027">
              <w:rPr>
                <w:rFonts w:eastAsia="Calibri"/>
                <w:szCs w:val="18"/>
              </w:rPr>
              <w:t>lacebo</w:t>
            </w:r>
          </w:p>
        </w:tc>
        <w:tc>
          <w:tcPr>
            <w:tcW w:w="1556" w:type="pct"/>
            <w:shd w:val="clear" w:color="auto" w:fill="F2F2F2" w:themeFill="background1" w:themeFillShade="F2"/>
            <w:hideMark/>
          </w:tcPr>
          <w:p w14:paraId="4B00CDDD" w14:textId="77777777" w:rsidR="00B3406A" w:rsidRPr="00A84141" w:rsidRDefault="00B3406A" w:rsidP="00815A6D">
            <w:pPr>
              <w:pStyle w:val="ListParagraph"/>
              <w:numPr>
                <w:ilvl w:val="0"/>
                <w:numId w:val="37"/>
              </w:numPr>
              <w:rPr>
                <w:szCs w:val="18"/>
              </w:rPr>
            </w:pPr>
            <w:r w:rsidRPr="00713CB0">
              <w:rPr>
                <w:szCs w:val="18"/>
              </w:rPr>
              <w:t>Gonzales</w:t>
            </w:r>
            <w:r>
              <w:rPr>
                <w:szCs w:val="18"/>
              </w:rPr>
              <w:t xml:space="preserve"> </w:t>
            </w:r>
            <w:r w:rsidRPr="00BE2D5A">
              <w:rPr>
                <w:szCs w:val="18"/>
              </w:rPr>
              <w:t>(2001)</w:t>
            </w:r>
            <w:r>
              <w:rPr>
                <w:szCs w:val="18"/>
                <w:vertAlign w:val="superscript"/>
              </w:rPr>
              <w:t>2</w:t>
            </w:r>
          </w:p>
          <w:p w14:paraId="78E683DA" w14:textId="77777777" w:rsidR="00B3406A" w:rsidRPr="00A84141" w:rsidRDefault="00B3406A" w:rsidP="00815A6D">
            <w:pPr>
              <w:pStyle w:val="ListParagraph"/>
              <w:numPr>
                <w:ilvl w:val="0"/>
                <w:numId w:val="37"/>
              </w:numPr>
              <w:rPr>
                <w:szCs w:val="18"/>
              </w:rPr>
            </w:pPr>
            <w:r w:rsidRPr="00695872">
              <w:rPr>
                <w:rFonts w:eastAsia="MS Mincho"/>
              </w:rPr>
              <w:t>Selby (2003)</w:t>
            </w:r>
            <w:r>
              <w:rPr>
                <w:rFonts w:eastAsia="MS Mincho"/>
                <w:vertAlign w:val="superscript"/>
              </w:rPr>
              <w:t>2</w:t>
            </w:r>
          </w:p>
        </w:tc>
        <w:tc>
          <w:tcPr>
            <w:tcW w:w="2557" w:type="pct"/>
            <w:shd w:val="clear" w:color="auto" w:fill="F2F2F2" w:themeFill="background1" w:themeFillShade="F2"/>
            <w:hideMark/>
          </w:tcPr>
          <w:p w14:paraId="3E5D49F7" w14:textId="77777777" w:rsidR="00B3406A" w:rsidRPr="00A84141" w:rsidRDefault="00B3406A" w:rsidP="00815A6D">
            <w:pPr>
              <w:pStyle w:val="ListParagraph"/>
              <w:numPr>
                <w:ilvl w:val="0"/>
                <w:numId w:val="37"/>
              </w:numPr>
              <w:rPr>
                <w:szCs w:val="18"/>
              </w:rPr>
            </w:pPr>
            <w:r w:rsidRPr="00A84141">
              <w:rPr>
                <w:szCs w:val="18"/>
                <w:u w:val="single"/>
              </w:rPr>
              <w:t>Efficacy:</w:t>
            </w:r>
            <w:r w:rsidRPr="00A84141">
              <w:rPr>
                <w:szCs w:val="18"/>
              </w:rPr>
              <w:t xml:space="preserve"> Not statistically significant </w:t>
            </w:r>
            <w:r w:rsidRPr="00746010">
              <w:rPr>
                <w:szCs w:val="18"/>
              </w:rPr>
              <w:t>based on</w:t>
            </w:r>
            <w:r w:rsidRPr="00A84141">
              <w:rPr>
                <w:szCs w:val="18"/>
              </w:rPr>
              <w:t xml:space="preserve"> RR </w:t>
            </w:r>
            <w:r>
              <w:rPr>
                <w:szCs w:val="18"/>
              </w:rPr>
              <w:t>but</w:t>
            </w:r>
            <w:r w:rsidRPr="00A84141">
              <w:rPr>
                <w:szCs w:val="18"/>
              </w:rPr>
              <w:t xml:space="preserve"> significant </w:t>
            </w:r>
            <w:r w:rsidRPr="00746010">
              <w:rPr>
                <w:szCs w:val="18"/>
              </w:rPr>
              <w:t>based on</w:t>
            </w:r>
            <w:r w:rsidRPr="00A84141">
              <w:rPr>
                <w:szCs w:val="18"/>
              </w:rPr>
              <w:t xml:space="preserve"> RD</w:t>
            </w:r>
            <w:r>
              <w:rPr>
                <w:szCs w:val="18"/>
                <w:vertAlign w:val="superscript"/>
              </w:rPr>
              <w:t>3</w:t>
            </w:r>
            <w:r>
              <w:rPr>
                <w:szCs w:val="18"/>
              </w:rPr>
              <w:t>.</w:t>
            </w:r>
          </w:p>
          <w:p w14:paraId="1BEB67AB" w14:textId="77777777" w:rsidR="00B3406A" w:rsidRPr="00713CB0" w:rsidRDefault="00B3406A" w:rsidP="00815A6D">
            <w:pPr>
              <w:pStyle w:val="ListParagraph"/>
              <w:numPr>
                <w:ilvl w:val="0"/>
                <w:numId w:val="37"/>
              </w:numPr>
              <w:rPr>
                <w:rFonts w:eastAsia="MS Mincho"/>
              </w:rPr>
            </w:pPr>
            <w:r w:rsidRPr="00A84141">
              <w:rPr>
                <w:szCs w:val="18"/>
                <w:u w:val="single"/>
              </w:rPr>
              <w:t xml:space="preserve">Safety: </w:t>
            </w:r>
            <w:r w:rsidRPr="00A84141">
              <w:rPr>
                <w:szCs w:val="18"/>
              </w:rPr>
              <w:t xml:space="preserve">Statistically significant </w:t>
            </w:r>
            <w:r w:rsidRPr="00746010">
              <w:rPr>
                <w:szCs w:val="18"/>
              </w:rPr>
              <w:t>based on</w:t>
            </w:r>
            <w:r w:rsidRPr="00A84141">
              <w:rPr>
                <w:szCs w:val="18"/>
              </w:rPr>
              <w:t xml:space="preserve"> RR and RD</w:t>
            </w:r>
            <w:r>
              <w:rPr>
                <w:szCs w:val="18"/>
              </w:rPr>
              <w:t xml:space="preserve"> </w:t>
            </w:r>
            <w:r w:rsidRPr="00A84141">
              <w:rPr>
                <w:szCs w:val="18"/>
              </w:rPr>
              <w:t>(any AEs; higher in bupropion)</w:t>
            </w:r>
            <w:r>
              <w:rPr>
                <w:szCs w:val="18"/>
              </w:rPr>
              <w:t xml:space="preserve">; </w:t>
            </w:r>
            <w:r w:rsidRPr="00D37D1E">
              <w:rPr>
                <w:szCs w:val="18"/>
              </w:rPr>
              <w:t xml:space="preserve">Not statistically significant </w:t>
            </w:r>
            <w:r w:rsidRPr="00746010">
              <w:rPr>
                <w:szCs w:val="18"/>
              </w:rPr>
              <w:t>based on</w:t>
            </w:r>
            <w:r>
              <w:rPr>
                <w:szCs w:val="18"/>
              </w:rPr>
              <w:t xml:space="preserve"> RR and RD </w:t>
            </w:r>
            <w:r w:rsidRPr="00D37D1E">
              <w:rPr>
                <w:szCs w:val="18"/>
              </w:rPr>
              <w:t>(</w:t>
            </w:r>
            <w:r>
              <w:rPr>
                <w:szCs w:val="18"/>
              </w:rPr>
              <w:t>S</w:t>
            </w:r>
            <w:r w:rsidRPr="00D37D1E">
              <w:rPr>
                <w:szCs w:val="18"/>
              </w:rPr>
              <w:t>AEs, discontinuation due to AEs</w:t>
            </w:r>
            <w:r>
              <w:rPr>
                <w:szCs w:val="18"/>
              </w:rPr>
              <w:t>).</w:t>
            </w:r>
          </w:p>
        </w:tc>
      </w:tr>
    </w:tbl>
    <w:p w14:paraId="390CDC13" w14:textId="77777777" w:rsidR="00B3406A" w:rsidRDefault="00B3406A" w:rsidP="00523139">
      <w:pPr>
        <w:pStyle w:val="TableFooter"/>
        <w:keepNext/>
        <w:jc w:val="both"/>
      </w:pPr>
      <w:r>
        <w:t>Abbreviations: AEs = adverse events; RR = risk ratio, RD = risk difference; SAEs = serious adverse events.</w:t>
      </w:r>
    </w:p>
    <w:p w14:paraId="3D63863E" w14:textId="77777777" w:rsidR="00B3406A" w:rsidRDefault="00B3406A" w:rsidP="00523139">
      <w:pPr>
        <w:pStyle w:val="TableFooter"/>
        <w:keepNext/>
        <w:jc w:val="both"/>
      </w:pPr>
      <w:r w:rsidRPr="00BE36E8">
        <w:t xml:space="preserve">Notes: </w:t>
      </w:r>
    </w:p>
    <w:p w14:paraId="2E21BAFC" w14:textId="77777777" w:rsidR="00B3406A" w:rsidRPr="008557C2" w:rsidRDefault="00B3406A" w:rsidP="00523139">
      <w:pPr>
        <w:pStyle w:val="TableFooter"/>
        <w:keepNext/>
        <w:jc w:val="both"/>
      </w:pPr>
      <w:r w:rsidRPr="00BE36E8">
        <w:t>1 Cochrane Review</w:t>
      </w:r>
      <w:r>
        <w:t xml:space="preserve">. </w:t>
      </w:r>
      <w:r w:rsidRPr="005A47D9">
        <w:t>Of the studies identified by Livingstone-Banks et al. (2019), Croghan et al. (2007) was the only study that compared bupropion with placebo in patients who achieved abstinence after initial treatment with bupropion monotherapy; the other studies provided either NRT patches or bupropion plus NRT patches in the initial treatment phase. The key limitation of Croghan et al. (2007) was related to the duration of bupropion monotherapy administered in the initial treatment phase (3 months versus 9 weeks on the PBS) and the relapse prevention phase (9 months).</w:t>
      </w:r>
    </w:p>
    <w:p w14:paraId="5F0F33CE" w14:textId="77777777" w:rsidR="00B3406A" w:rsidRDefault="00B3406A" w:rsidP="00523139">
      <w:pPr>
        <w:pStyle w:val="TableFooter"/>
        <w:keepNext/>
        <w:jc w:val="both"/>
      </w:pPr>
      <w:r>
        <w:t>2 Included in Cochrane Review by Howes et al. (2020).</w:t>
      </w:r>
    </w:p>
    <w:p w14:paraId="65435301" w14:textId="77777777" w:rsidR="00B3406A" w:rsidRPr="008557C2" w:rsidRDefault="00B3406A" w:rsidP="00523139">
      <w:pPr>
        <w:pStyle w:val="TableFooter"/>
        <w:keepNext/>
        <w:jc w:val="both"/>
      </w:pPr>
      <w:r>
        <w:t>3 Not statistically significant based on risk ratio but significant based on risk difference (RR = 2.31, 95%CI: 0.90, 5.92; RD = 0.06, 95%CI: 0.02, 0.10).</w:t>
      </w:r>
    </w:p>
    <w:p w14:paraId="62D44027" w14:textId="24627B42" w:rsidR="00B3406A" w:rsidRPr="00280A7C" w:rsidRDefault="00280A7C" w:rsidP="00523139">
      <w:pPr>
        <w:pStyle w:val="Heading6"/>
        <w:numPr>
          <w:ilvl w:val="0"/>
          <w:numId w:val="0"/>
        </w:numPr>
        <w:spacing w:before="120" w:after="120"/>
        <w:ind w:left="1151" w:hanging="1151"/>
        <w:jc w:val="both"/>
        <w:rPr>
          <w:rFonts w:asciiTheme="minorHAnsi" w:hAnsiTheme="minorHAnsi" w:cstheme="minorHAnsi"/>
          <w:b/>
          <w:i w:val="0"/>
          <w:color w:val="auto"/>
        </w:rPr>
      </w:pPr>
      <w:r w:rsidRPr="00280A7C">
        <w:rPr>
          <w:rFonts w:asciiTheme="minorHAnsi" w:hAnsiTheme="minorHAnsi" w:cstheme="minorHAnsi"/>
          <w:b/>
          <w:i w:val="0"/>
          <w:color w:val="auto"/>
        </w:rPr>
        <w:t xml:space="preserve">3.1.2 </w:t>
      </w:r>
      <w:r w:rsidR="00B3406A" w:rsidRPr="00280A7C">
        <w:rPr>
          <w:rFonts w:asciiTheme="minorHAnsi" w:hAnsiTheme="minorHAnsi" w:cstheme="minorHAnsi"/>
          <w:b/>
          <w:i w:val="0"/>
          <w:color w:val="auto"/>
        </w:rPr>
        <w:t>Varenicline</w:t>
      </w:r>
    </w:p>
    <w:p w14:paraId="03ADFC80" w14:textId="77777777" w:rsidR="00B3406A" w:rsidRPr="00AD3824" w:rsidRDefault="00B3406A" w:rsidP="00523139">
      <w:pPr>
        <w:spacing w:before="120" w:after="120"/>
        <w:jc w:val="both"/>
      </w:pPr>
      <w:r w:rsidRPr="00AD3824">
        <w:t xml:space="preserve">Treatment-naïve population </w:t>
      </w:r>
    </w:p>
    <w:p w14:paraId="44BC764B" w14:textId="6B697AAA" w:rsidR="00B3406A" w:rsidRPr="00B32A72" w:rsidRDefault="00B3406A" w:rsidP="00523139">
      <w:pPr>
        <w:pStyle w:val="ListParagraph"/>
        <w:numPr>
          <w:ilvl w:val="0"/>
          <w:numId w:val="19"/>
        </w:numPr>
        <w:spacing w:before="120" w:after="0"/>
        <w:ind w:left="357" w:hanging="357"/>
        <w:contextualSpacing w:val="0"/>
        <w:jc w:val="both"/>
      </w:pPr>
      <w:r>
        <w:t>V</w:t>
      </w:r>
      <w:r w:rsidRPr="00AD3824">
        <w:t xml:space="preserve">arenicline was shown to </w:t>
      </w:r>
      <w:r>
        <w:t>be superior to placebo in terms of efficacy based on</w:t>
      </w:r>
      <w:r w:rsidRPr="00AD3824">
        <w:t xml:space="preserve"> long-term smoking cessation rates. In terms of safety, a significantly higher incidence rate of adverse events (nausea, insomnia, abnormal dreams, headache) and serious adverse </w:t>
      </w:r>
      <w:r w:rsidRPr="00EE7128">
        <w:t xml:space="preserve">events was observed </w:t>
      </w:r>
      <w:r>
        <w:t>for</w:t>
      </w:r>
      <w:r w:rsidRPr="00EE7128">
        <w:t xml:space="preserve"> varenicline, </w:t>
      </w:r>
      <w:r>
        <w:t>but</w:t>
      </w:r>
      <w:r w:rsidRPr="00EE7128">
        <w:t xml:space="preserve"> the results for headache and serious adverse events were no longer statistically significant in the updated re-analysis </w:t>
      </w:r>
      <w:r>
        <w:t>of</w:t>
      </w:r>
      <w:r w:rsidRPr="00EE7128">
        <w:t xml:space="preserve"> this review</w:t>
      </w:r>
      <w:r>
        <w:t xml:space="preserve"> (based on risk ratio)</w:t>
      </w:r>
      <w:r w:rsidRPr="00EE7128">
        <w:t xml:space="preserve">. There were no statistically significant differences between </w:t>
      </w:r>
      <w:r>
        <w:t>varenicline and placebo</w:t>
      </w:r>
      <w:r w:rsidRPr="00AD3824">
        <w:t xml:space="preserve"> </w:t>
      </w:r>
      <w:r w:rsidRPr="00B32A72">
        <w:t xml:space="preserve">for depression, suicidal ideation, neuropsychiatric serious adverse </w:t>
      </w:r>
      <w:r w:rsidR="0080372C" w:rsidRPr="00B32A72">
        <w:t>events,</w:t>
      </w:r>
      <w:r w:rsidRPr="00B32A72">
        <w:t xml:space="preserve"> and cardiac serious adverse events. This is consistent with the evidence previously considered by the PBAC, noting the updated safety data for headache and serious adverse events</w:t>
      </w:r>
      <w:r w:rsidR="0080372C" w:rsidRPr="00B32A72">
        <w:t xml:space="preserve">. </w:t>
      </w:r>
    </w:p>
    <w:p w14:paraId="1E694B94" w14:textId="6C89F563" w:rsidR="00106A8F" w:rsidRDefault="00B3406A" w:rsidP="00523139">
      <w:pPr>
        <w:pStyle w:val="ListParagraph"/>
        <w:numPr>
          <w:ilvl w:val="0"/>
          <w:numId w:val="19"/>
        </w:numPr>
        <w:spacing w:after="240"/>
        <w:ind w:left="357" w:hanging="357"/>
        <w:contextualSpacing w:val="0"/>
        <w:jc w:val="both"/>
      </w:pPr>
      <w:r w:rsidRPr="00AD3824">
        <w:t>Varenicline was shown to be superior to bupropion in terms of efficacy</w:t>
      </w:r>
      <w:r w:rsidR="0080372C">
        <w:t xml:space="preserve">. </w:t>
      </w:r>
      <w:r>
        <w:t>No</w:t>
      </w:r>
      <w:r w:rsidRPr="00AD3824">
        <w:t xml:space="preserve"> statistically significant differences </w:t>
      </w:r>
      <w:r>
        <w:t xml:space="preserve">were found </w:t>
      </w:r>
      <w:r w:rsidRPr="00AD3824">
        <w:t xml:space="preserve">in adverse events, psychiatric adverse events, serious adverse </w:t>
      </w:r>
      <w:r w:rsidR="0080372C" w:rsidRPr="00AD3824">
        <w:t>events,</w:t>
      </w:r>
      <w:r w:rsidRPr="00AD3824">
        <w:t xml:space="preserve"> and discontinuation due to adverse events between </w:t>
      </w:r>
      <w:r>
        <w:t>varenicline and bupropion</w:t>
      </w:r>
      <w:r w:rsidRPr="00AD3824">
        <w:t>. This is consistent with the evidence previously considered by the PBAC.</w:t>
      </w:r>
    </w:p>
    <w:p w14:paraId="2ACF44AA" w14:textId="3638CE74" w:rsidR="00B3406A" w:rsidRDefault="00106A8F" w:rsidP="00106A8F">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615"/>
        <w:gridCol w:w="2339"/>
        <w:gridCol w:w="5062"/>
      </w:tblGrid>
      <w:tr w:rsidR="00B3406A" w:rsidRPr="00DA1A94" w14:paraId="7ED46010" w14:textId="77777777" w:rsidTr="00A82090">
        <w:trPr>
          <w:trHeight w:val="112"/>
        </w:trPr>
        <w:tc>
          <w:tcPr>
            <w:tcW w:w="896" w:type="pct"/>
            <w:shd w:val="clear" w:color="auto" w:fill="F2F2F2" w:themeFill="background1" w:themeFillShade="F2"/>
            <w:hideMark/>
          </w:tcPr>
          <w:p w14:paraId="2B066207" w14:textId="77777777" w:rsidR="00B3406A" w:rsidRPr="00DA1A94" w:rsidRDefault="00B3406A" w:rsidP="001E7257">
            <w:pPr>
              <w:spacing w:after="200"/>
              <w:rPr>
                <w:szCs w:val="18"/>
              </w:rPr>
            </w:pPr>
            <w:r w:rsidRPr="00DA1A94">
              <w:rPr>
                <w:b/>
                <w:bCs/>
                <w:szCs w:val="18"/>
              </w:rPr>
              <w:lastRenderedPageBreak/>
              <w:t>Compar</w:t>
            </w:r>
            <w:r>
              <w:rPr>
                <w:b/>
                <w:bCs/>
                <w:szCs w:val="18"/>
              </w:rPr>
              <w:t>ison</w:t>
            </w:r>
          </w:p>
        </w:tc>
        <w:tc>
          <w:tcPr>
            <w:tcW w:w="1297" w:type="pct"/>
            <w:shd w:val="clear" w:color="auto" w:fill="F2F2F2" w:themeFill="background1" w:themeFillShade="F2"/>
            <w:hideMark/>
          </w:tcPr>
          <w:p w14:paraId="2EEB77FE" w14:textId="77777777" w:rsidR="00B3406A" w:rsidRPr="0010753D" w:rsidRDefault="00B3406A" w:rsidP="001E7257">
            <w:pPr>
              <w:spacing w:after="200"/>
              <w:jc w:val="center"/>
              <w:rPr>
                <w:b/>
                <w:bCs/>
                <w:szCs w:val="18"/>
              </w:rPr>
            </w:pPr>
            <w:r w:rsidRPr="0010753D">
              <w:rPr>
                <w:b/>
                <w:bCs/>
                <w:szCs w:val="18"/>
              </w:rPr>
              <w:t>Included studies</w:t>
            </w:r>
          </w:p>
        </w:tc>
        <w:tc>
          <w:tcPr>
            <w:tcW w:w="2807" w:type="pct"/>
            <w:shd w:val="clear" w:color="auto" w:fill="F2F2F2" w:themeFill="background1" w:themeFillShade="F2"/>
            <w:hideMark/>
          </w:tcPr>
          <w:p w14:paraId="1A670FC3" w14:textId="77777777" w:rsidR="00B3406A" w:rsidRPr="00DA1A94" w:rsidRDefault="00B3406A" w:rsidP="001E7257">
            <w:pPr>
              <w:jc w:val="center"/>
              <w:rPr>
                <w:b/>
                <w:bCs/>
                <w:szCs w:val="18"/>
              </w:rPr>
            </w:pPr>
            <w:r w:rsidRPr="00DA1A94">
              <w:rPr>
                <w:b/>
                <w:bCs/>
                <w:szCs w:val="18"/>
              </w:rPr>
              <w:t>S</w:t>
            </w:r>
            <w:r>
              <w:rPr>
                <w:b/>
                <w:bCs/>
                <w:szCs w:val="18"/>
              </w:rPr>
              <w:t>ummary of evidence</w:t>
            </w:r>
          </w:p>
        </w:tc>
      </w:tr>
      <w:tr w:rsidR="00B3406A" w:rsidRPr="00DA1A94" w14:paraId="36215361" w14:textId="77777777" w:rsidTr="00A82090">
        <w:trPr>
          <w:trHeight w:val="67"/>
        </w:trPr>
        <w:tc>
          <w:tcPr>
            <w:tcW w:w="5000" w:type="pct"/>
            <w:gridSpan w:val="3"/>
            <w:shd w:val="clear" w:color="auto" w:fill="F2F2F2" w:themeFill="background1" w:themeFillShade="F2"/>
            <w:hideMark/>
          </w:tcPr>
          <w:p w14:paraId="347636CE" w14:textId="77777777" w:rsidR="00B3406A" w:rsidRPr="00DA1A94" w:rsidRDefault="00B3406A" w:rsidP="001E7257">
            <w:pPr>
              <w:rPr>
                <w:b/>
                <w:bCs/>
                <w:szCs w:val="18"/>
              </w:rPr>
            </w:pPr>
            <w:r w:rsidRPr="00DA1A94">
              <w:rPr>
                <w:b/>
                <w:bCs/>
                <w:szCs w:val="18"/>
              </w:rPr>
              <w:t>Treatment-naïve population</w:t>
            </w:r>
          </w:p>
        </w:tc>
      </w:tr>
      <w:tr w:rsidR="00B3406A" w:rsidRPr="00DA1A94" w14:paraId="40452CA9" w14:textId="77777777" w:rsidTr="00A82090">
        <w:trPr>
          <w:trHeight w:val="2267"/>
        </w:trPr>
        <w:tc>
          <w:tcPr>
            <w:tcW w:w="896" w:type="pct"/>
            <w:shd w:val="clear" w:color="auto" w:fill="F2F2F2" w:themeFill="background1" w:themeFillShade="F2"/>
            <w:hideMark/>
          </w:tcPr>
          <w:p w14:paraId="37888236" w14:textId="77777777" w:rsidR="00B3406A" w:rsidRPr="0010753D" w:rsidRDefault="00B3406A" w:rsidP="001E7257">
            <w:pPr>
              <w:spacing w:after="200"/>
              <w:rPr>
                <w:szCs w:val="18"/>
              </w:rPr>
            </w:pPr>
            <w:r w:rsidRPr="0010753D">
              <w:rPr>
                <w:szCs w:val="18"/>
              </w:rPr>
              <w:t xml:space="preserve">Varenicline vs </w:t>
            </w:r>
            <w:r>
              <w:rPr>
                <w:szCs w:val="18"/>
              </w:rPr>
              <w:t>p</w:t>
            </w:r>
            <w:r w:rsidRPr="0010753D">
              <w:rPr>
                <w:szCs w:val="18"/>
              </w:rPr>
              <w:t>lacebo</w:t>
            </w:r>
          </w:p>
        </w:tc>
        <w:tc>
          <w:tcPr>
            <w:tcW w:w="1297" w:type="pct"/>
            <w:shd w:val="clear" w:color="auto" w:fill="F2F2F2" w:themeFill="background1" w:themeFillShade="F2"/>
            <w:hideMark/>
          </w:tcPr>
          <w:p w14:paraId="0AF82085" w14:textId="77777777" w:rsidR="00B3406A" w:rsidRPr="00E320E0" w:rsidRDefault="00B3406A" w:rsidP="00815A6D">
            <w:pPr>
              <w:pStyle w:val="ListParagraph"/>
              <w:numPr>
                <w:ilvl w:val="0"/>
                <w:numId w:val="36"/>
              </w:numPr>
              <w:rPr>
                <w:szCs w:val="18"/>
              </w:rPr>
            </w:pPr>
            <w:r w:rsidRPr="00166FDD">
              <w:rPr>
                <w:szCs w:val="18"/>
              </w:rPr>
              <w:t>Cahill</w:t>
            </w:r>
            <w:r>
              <w:rPr>
                <w:szCs w:val="18"/>
              </w:rPr>
              <w:t xml:space="preserve"> </w:t>
            </w:r>
            <w:r w:rsidRPr="00846CB6">
              <w:rPr>
                <w:szCs w:val="18"/>
              </w:rPr>
              <w:t>(2016)</w:t>
            </w:r>
            <w:r w:rsidRPr="00E320E0">
              <w:rPr>
                <w:szCs w:val="18"/>
                <w:vertAlign w:val="superscript"/>
              </w:rPr>
              <w:t>1</w:t>
            </w:r>
          </w:p>
          <w:p w14:paraId="6C044C0E" w14:textId="77777777" w:rsidR="00B3406A" w:rsidRPr="00166FDD" w:rsidRDefault="00B3406A" w:rsidP="00815A6D">
            <w:pPr>
              <w:pStyle w:val="ListParagraph"/>
              <w:numPr>
                <w:ilvl w:val="0"/>
                <w:numId w:val="36"/>
              </w:numPr>
              <w:rPr>
                <w:szCs w:val="18"/>
              </w:rPr>
            </w:pPr>
            <w:r w:rsidRPr="00166FDD">
              <w:rPr>
                <w:rFonts w:eastAsia="MS Mincho"/>
              </w:rPr>
              <w:t>Lerman (2015)</w:t>
            </w:r>
            <w:r w:rsidRPr="00166FDD">
              <w:rPr>
                <w:rFonts w:eastAsia="MS Mincho"/>
                <w:vertAlign w:val="superscript"/>
              </w:rPr>
              <w:t>2</w:t>
            </w:r>
          </w:p>
          <w:p w14:paraId="7BE6A8B2" w14:textId="77777777" w:rsidR="00B3406A" w:rsidRPr="00166FDD" w:rsidRDefault="00B3406A" w:rsidP="00815A6D">
            <w:pPr>
              <w:pStyle w:val="ListParagraph"/>
              <w:numPr>
                <w:ilvl w:val="0"/>
                <w:numId w:val="36"/>
              </w:numPr>
              <w:rPr>
                <w:szCs w:val="18"/>
              </w:rPr>
            </w:pPr>
            <w:r w:rsidRPr="00166FDD">
              <w:rPr>
                <w:rFonts w:eastAsia="MS Mincho"/>
              </w:rPr>
              <w:t>Littlewood (2017)</w:t>
            </w:r>
            <w:r w:rsidRPr="00746010">
              <w:rPr>
                <w:rFonts w:eastAsia="MS Mincho"/>
                <w:vertAlign w:val="superscript"/>
              </w:rPr>
              <w:t>2</w:t>
            </w:r>
          </w:p>
          <w:p w14:paraId="5AE2BF5B" w14:textId="77777777" w:rsidR="00B3406A" w:rsidRPr="00166FDD" w:rsidRDefault="00B3406A" w:rsidP="00815A6D">
            <w:pPr>
              <w:pStyle w:val="ListParagraph"/>
              <w:numPr>
                <w:ilvl w:val="0"/>
                <w:numId w:val="36"/>
              </w:numPr>
              <w:rPr>
                <w:szCs w:val="18"/>
              </w:rPr>
            </w:pPr>
            <w:r w:rsidRPr="00166FDD">
              <w:rPr>
                <w:rFonts w:eastAsia="MS Mincho"/>
              </w:rPr>
              <w:t>Benowitz (2018)</w:t>
            </w:r>
            <w:r w:rsidRPr="00746010">
              <w:rPr>
                <w:rFonts w:eastAsia="MS Mincho"/>
                <w:vertAlign w:val="superscript"/>
              </w:rPr>
              <w:t>2</w:t>
            </w:r>
          </w:p>
          <w:p w14:paraId="47D3E84A" w14:textId="77777777" w:rsidR="00B3406A" w:rsidRPr="00166FDD" w:rsidRDefault="00B3406A" w:rsidP="00815A6D">
            <w:pPr>
              <w:pStyle w:val="ListParagraph"/>
              <w:numPr>
                <w:ilvl w:val="0"/>
                <w:numId w:val="36"/>
              </w:numPr>
              <w:rPr>
                <w:szCs w:val="18"/>
              </w:rPr>
            </w:pPr>
            <w:r w:rsidRPr="00166FDD">
              <w:rPr>
                <w:rFonts w:eastAsia="MS Mincho"/>
              </w:rPr>
              <w:t>Hurt (2018)</w:t>
            </w:r>
            <w:r w:rsidRPr="00746010">
              <w:rPr>
                <w:rFonts w:eastAsia="MS Mincho"/>
                <w:vertAlign w:val="superscript"/>
              </w:rPr>
              <w:t>2</w:t>
            </w:r>
          </w:p>
          <w:p w14:paraId="27833DBE" w14:textId="77777777" w:rsidR="00B3406A" w:rsidRPr="00166FDD" w:rsidRDefault="00B3406A" w:rsidP="00815A6D">
            <w:pPr>
              <w:pStyle w:val="ListParagraph"/>
              <w:numPr>
                <w:ilvl w:val="0"/>
                <w:numId w:val="36"/>
              </w:numPr>
              <w:rPr>
                <w:szCs w:val="18"/>
              </w:rPr>
            </w:pPr>
            <w:r w:rsidRPr="00166FDD">
              <w:rPr>
                <w:rFonts w:eastAsia="MS Mincho"/>
              </w:rPr>
              <w:t>Mercie (2018)</w:t>
            </w:r>
            <w:r w:rsidRPr="00746010">
              <w:rPr>
                <w:rFonts w:eastAsia="MS Mincho"/>
                <w:vertAlign w:val="superscript"/>
              </w:rPr>
              <w:t>2</w:t>
            </w:r>
          </w:p>
          <w:p w14:paraId="70E47A36" w14:textId="77777777" w:rsidR="00B3406A" w:rsidRPr="00166FDD" w:rsidRDefault="00B3406A" w:rsidP="00815A6D">
            <w:pPr>
              <w:pStyle w:val="ListParagraph"/>
              <w:numPr>
                <w:ilvl w:val="0"/>
                <w:numId w:val="36"/>
              </w:numPr>
              <w:rPr>
                <w:szCs w:val="18"/>
              </w:rPr>
            </w:pPr>
            <w:r w:rsidRPr="00166FDD">
              <w:rPr>
                <w:rFonts w:eastAsia="MS Mincho"/>
              </w:rPr>
              <w:t>Windle (2018)</w:t>
            </w:r>
            <w:r w:rsidRPr="00746010">
              <w:rPr>
                <w:rFonts w:eastAsia="MS Mincho"/>
                <w:vertAlign w:val="superscript"/>
              </w:rPr>
              <w:t>2</w:t>
            </w:r>
          </w:p>
          <w:p w14:paraId="083161CE" w14:textId="77777777" w:rsidR="00B3406A" w:rsidRPr="00166FDD" w:rsidRDefault="00B3406A" w:rsidP="00815A6D">
            <w:pPr>
              <w:pStyle w:val="ListParagraph"/>
              <w:numPr>
                <w:ilvl w:val="0"/>
                <w:numId w:val="36"/>
              </w:numPr>
              <w:rPr>
                <w:szCs w:val="18"/>
              </w:rPr>
            </w:pPr>
            <w:r w:rsidRPr="00166FDD">
              <w:rPr>
                <w:rFonts w:eastAsia="MS Mincho"/>
              </w:rPr>
              <w:t>Ashare (2019)</w:t>
            </w:r>
            <w:r w:rsidRPr="00746010">
              <w:rPr>
                <w:rFonts w:eastAsia="MS Mincho"/>
                <w:vertAlign w:val="superscript"/>
              </w:rPr>
              <w:t>2</w:t>
            </w:r>
          </w:p>
          <w:p w14:paraId="6981DCCC" w14:textId="77777777" w:rsidR="00B3406A" w:rsidRPr="00DA1A94" w:rsidRDefault="00B3406A" w:rsidP="00815A6D">
            <w:pPr>
              <w:pStyle w:val="ListParagraph"/>
              <w:numPr>
                <w:ilvl w:val="0"/>
                <w:numId w:val="36"/>
              </w:numPr>
              <w:rPr>
                <w:szCs w:val="18"/>
              </w:rPr>
            </w:pPr>
            <w:r w:rsidRPr="00166FDD">
              <w:rPr>
                <w:rFonts w:eastAsia="MS Mincho"/>
              </w:rPr>
              <w:t>Chen (2020)</w:t>
            </w:r>
            <w:r w:rsidRPr="00746010">
              <w:rPr>
                <w:rFonts w:eastAsia="MS Mincho"/>
                <w:vertAlign w:val="superscript"/>
              </w:rPr>
              <w:t>2</w:t>
            </w:r>
          </w:p>
        </w:tc>
        <w:tc>
          <w:tcPr>
            <w:tcW w:w="2807" w:type="pct"/>
            <w:shd w:val="clear" w:color="auto" w:fill="F2F2F2" w:themeFill="background1" w:themeFillShade="F2"/>
            <w:hideMark/>
          </w:tcPr>
          <w:p w14:paraId="36006A75" w14:textId="77777777" w:rsidR="00B3406A" w:rsidRPr="0010753D" w:rsidRDefault="00B3406A" w:rsidP="00815A6D">
            <w:pPr>
              <w:pStyle w:val="ListParagraph"/>
              <w:numPr>
                <w:ilvl w:val="0"/>
                <w:numId w:val="36"/>
              </w:numPr>
              <w:rPr>
                <w:szCs w:val="18"/>
              </w:rPr>
            </w:pPr>
            <w:r w:rsidRPr="0010753D">
              <w:rPr>
                <w:szCs w:val="18"/>
                <w:u w:val="single"/>
              </w:rPr>
              <w:t>Efficacy:</w:t>
            </w:r>
            <w:r w:rsidRPr="0010753D">
              <w:rPr>
                <w:szCs w:val="18"/>
              </w:rPr>
              <w:t xml:space="preserve"> Statistically significant </w:t>
            </w:r>
            <w:r>
              <w:rPr>
                <w:szCs w:val="18"/>
              </w:rPr>
              <w:t xml:space="preserve">based on RR and RD </w:t>
            </w:r>
            <w:r w:rsidRPr="0010753D">
              <w:rPr>
                <w:szCs w:val="18"/>
              </w:rPr>
              <w:t>(in favour of varenicline)</w:t>
            </w:r>
            <w:r>
              <w:rPr>
                <w:szCs w:val="18"/>
              </w:rPr>
              <w:t>.</w:t>
            </w:r>
          </w:p>
          <w:p w14:paraId="4900D701" w14:textId="77777777" w:rsidR="00B3406A" w:rsidRPr="00846CB6" w:rsidRDefault="00B3406A" w:rsidP="001E7257">
            <w:pPr>
              <w:pStyle w:val="ListParagraph"/>
              <w:ind w:left="360"/>
              <w:rPr>
                <w:szCs w:val="18"/>
              </w:rPr>
            </w:pPr>
            <w:r w:rsidRPr="0010753D">
              <w:rPr>
                <w:szCs w:val="18"/>
                <w:u w:val="single"/>
              </w:rPr>
              <w:t>Safety:</w:t>
            </w:r>
            <w:r w:rsidRPr="0010753D">
              <w:rPr>
                <w:szCs w:val="18"/>
              </w:rPr>
              <w:t xml:space="preserve"> Statistically significant </w:t>
            </w:r>
            <w:r>
              <w:rPr>
                <w:szCs w:val="18"/>
              </w:rPr>
              <w:t>based on RR and RD</w:t>
            </w:r>
            <w:r w:rsidRPr="0010753D">
              <w:rPr>
                <w:szCs w:val="18"/>
              </w:rPr>
              <w:t xml:space="preserve"> (nausea, insomnia, abnormal dreams; higher in varenicline)</w:t>
            </w:r>
            <w:r>
              <w:rPr>
                <w:szCs w:val="18"/>
              </w:rPr>
              <w:t xml:space="preserve">; </w:t>
            </w:r>
            <w:r w:rsidRPr="00846CB6">
              <w:rPr>
                <w:szCs w:val="18"/>
              </w:rPr>
              <w:t xml:space="preserve">Not statistically significant based on RR </w:t>
            </w:r>
            <w:r w:rsidRPr="00E320E0">
              <w:rPr>
                <w:szCs w:val="18"/>
              </w:rPr>
              <w:t>(</w:t>
            </w:r>
            <w:r>
              <w:rPr>
                <w:szCs w:val="18"/>
              </w:rPr>
              <w:t>d</w:t>
            </w:r>
            <w:r w:rsidRPr="00846CB6">
              <w:rPr>
                <w:szCs w:val="18"/>
              </w:rPr>
              <w:t>epression, suicidal ideation, serious AEs incl</w:t>
            </w:r>
            <w:r>
              <w:rPr>
                <w:szCs w:val="18"/>
              </w:rPr>
              <w:t xml:space="preserve">uding </w:t>
            </w:r>
            <w:r w:rsidRPr="00846CB6">
              <w:rPr>
                <w:szCs w:val="18"/>
              </w:rPr>
              <w:t>neuropsychiatric and cardiac)</w:t>
            </w:r>
            <w:r>
              <w:rPr>
                <w:szCs w:val="18"/>
              </w:rPr>
              <w:t xml:space="preserve">, </w:t>
            </w:r>
            <w:r>
              <w:t>but significant based on RD (headache).</w:t>
            </w:r>
            <w:r w:rsidRPr="00E320E0">
              <w:rPr>
                <w:szCs w:val="18"/>
              </w:rPr>
              <w:t xml:space="preserve"> </w:t>
            </w:r>
          </w:p>
        </w:tc>
      </w:tr>
      <w:tr w:rsidR="00B3406A" w:rsidRPr="0010753D" w14:paraId="1EDD1E13" w14:textId="77777777" w:rsidTr="00A82090">
        <w:trPr>
          <w:trHeight w:val="851"/>
        </w:trPr>
        <w:tc>
          <w:tcPr>
            <w:tcW w:w="896" w:type="pct"/>
            <w:shd w:val="clear" w:color="auto" w:fill="F2F2F2" w:themeFill="background1" w:themeFillShade="F2"/>
            <w:hideMark/>
          </w:tcPr>
          <w:p w14:paraId="38CF2D6E" w14:textId="77777777" w:rsidR="00B3406A" w:rsidRPr="0010753D" w:rsidRDefault="00B3406A" w:rsidP="001E7257">
            <w:pPr>
              <w:spacing w:after="200"/>
              <w:rPr>
                <w:szCs w:val="18"/>
              </w:rPr>
            </w:pPr>
            <w:r w:rsidRPr="0010753D">
              <w:rPr>
                <w:szCs w:val="18"/>
              </w:rPr>
              <w:t xml:space="preserve">Varenicline vs </w:t>
            </w:r>
            <w:r>
              <w:rPr>
                <w:szCs w:val="18"/>
              </w:rPr>
              <w:t>b</w:t>
            </w:r>
            <w:r w:rsidRPr="0010753D">
              <w:rPr>
                <w:szCs w:val="18"/>
              </w:rPr>
              <w:t>upropion</w:t>
            </w:r>
          </w:p>
        </w:tc>
        <w:tc>
          <w:tcPr>
            <w:tcW w:w="1297" w:type="pct"/>
            <w:shd w:val="clear" w:color="auto" w:fill="F2F2F2" w:themeFill="background1" w:themeFillShade="F2"/>
            <w:hideMark/>
          </w:tcPr>
          <w:p w14:paraId="7F0EAD39" w14:textId="77777777" w:rsidR="00B3406A" w:rsidRPr="00C30A65" w:rsidRDefault="00B3406A" w:rsidP="00815A6D">
            <w:pPr>
              <w:pStyle w:val="ListParagraph"/>
              <w:numPr>
                <w:ilvl w:val="0"/>
                <w:numId w:val="35"/>
              </w:numPr>
              <w:rPr>
                <w:szCs w:val="18"/>
              </w:rPr>
            </w:pPr>
            <w:r w:rsidRPr="003F5807">
              <w:rPr>
                <w:szCs w:val="18"/>
              </w:rPr>
              <w:t>Howes (2020)</w:t>
            </w:r>
            <w:r w:rsidRPr="00C30A65">
              <w:rPr>
                <w:szCs w:val="18"/>
                <w:vertAlign w:val="superscript"/>
              </w:rPr>
              <w:t>1</w:t>
            </w:r>
          </w:p>
          <w:p w14:paraId="711862DC" w14:textId="77777777" w:rsidR="00B3406A" w:rsidRPr="00DA1A94" w:rsidRDefault="00B3406A" w:rsidP="00815A6D">
            <w:pPr>
              <w:pStyle w:val="ListParagraph"/>
              <w:numPr>
                <w:ilvl w:val="0"/>
                <w:numId w:val="35"/>
              </w:numPr>
              <w:rPr>
                <w:szCs w:val="18"/>
              </w:rPr>
            </w:pPr>
            <w:r w:rsidRPr="00A17F4F">
              <w:rPr>
                <w:rFonts w:eastAsia="MS Mincho"/>
              </w:rPr>
              <w:t>Benowitz (2018)</w:t>
            </w:r>
            <w:r w:rsidRPr="00A17F4F">
              <w:rPr>
                <w:rFonts w:eastAsia="MS Mincho"/>
                <w:vertAlign w:val="superscript"/>
              </w:rPr>
              <w:t>2</w:t>
            </w:r>
          </w:p>
        </w:tc>
        <w:tc>
          <w:tcPr>
            <w:tcW w:w="2807" w:type="pct"/>
            <w:shd w:val="clear" w:color="auto" w:fill="F2F2F2" w:themeFill="background1" w:themeFillShade="F2"/>
            <w:hideMark/>
          </w:tcPr>
          <w:p w14:paraId="4F957534" w14:textId="77777777" w:rsidR="00B3406A" w:rsidRPr="0010753D" w:rsidRDefault="00B3406A" w:rsidP="00815A6D">
            <w:pPr>
              <w:pStyle w:val="ListParagraph"/>
              <w:numPr>
                <w:ilvl w:val="0"/>
                <w:numId w:val="38"/>
              </w:numPr>
              <w:rPr>
                <w:szCs w:val="18"/>
              </w:rPr>
            </w:pPr>
            <w:r w:rsidRPr="0010753D">
              <w:rPr>
                <w:szCs w:val="18"/>
                <w:u w:val="single"/>
              </w:rPr>
              <w:t>Efficacy:</w:t>
            </w:r>
            <w:r w:rsidRPr="0010753D">
              <w:rPr>
                <w:szCs w:val="18"/>
              </w:rPr>
              <w:t xml:space="preserve"> Statistically significant </w:t>
            </w:r>
            <w:r>
              <w:rPr>
                <w:szCs w:val="18"/>
              </w:rPr>
              <w:t>based on RR and RD</w:t>
            </w:r>
            <w:r w:rsidRPr="00DA1A94">
              <w:rPr>
                <w:szCs w:val="18"/>
              </w:rPr>
              <w:t xml:space="preserve"> </w:t>
            </w:r>
            <w:r w:rsidRPr="0010753D">
              <w:rPr>
                <w:szCs w:val="18"/>
              </w:rPr>
              <w:t>(in favour of varenicline)</w:t>
            </w:r>
            <w:r>
              <w:rPr>
                <w:szCs w:val="18"/>
              </w:rPr>
              <w:t>.</w:t>
            </w:r>
          </w:p>
          <w:p w14:paraId="33BE194B" w14:textId="77777777" w:rsidR="00B3406A" w:rsidRPr="0010753D" w:rsidRDefault="00B3406A" w:rsidP="00815A6D">
            <w:pPr>
              <w:pStyle w:val="ListParagraph"/>
              <w:numPr>
                <w:ilvl w:val="0"/>
                <w:numId w:val="38"/>
              </w:numPr>
              <w:rPr>
                <w:szCs w:val="18"/>
              </w:rPr>
            </w:pPr>
            <w:r w:rsidRPr="0010753D">
              <w:rPr>
                <w:szCs w:val="18"/>
                <w:u w:val="single"/>
              </w:rPr>
              <w:t xml:space="preserve">Safety: </w:t>
            </w:r>
            <w:r w:rsidRPr="0010753D">
              <w:rPr>
                <w:szCs w:val="18"/>
              </w:rPr>
              <w:t xml:space="preserve">Not statistically significant </w:t>
            </w:r>
            <w:r>
              <w:rPr>
                <w:szCs w:val="18"/>
              </w:rPr>
              <w:t>based on RR and RD</w:t>
            </w:r>
            <w:r w:rsidRPr="00DA1A94">
              <w:rPr>
                <w:szCs w:val="18"/>
              </w:rPr>
              <w:t xml:space="preserve"> </w:t>
            </w:r>
            <w:r w:rsidRPr="0010753D">
              <w:rPr>
                <w:szCs w:val="18"/>
              </w:rPr>
              <w:t>(any AEs, psychiatric AEs, SAEs, discontinuation due to AEs)</w:t>
            </w:r>
            <w:r>
              <w:rPr>
                <w:szCs w:val="18"/>
              </w:rPr>
              <w:t>.</w:t>
            </w:r>
            <w:r w:rsidRPr="0010753D">
              <w:rPr>
                <w:szCs w:val="18"/>
              </w:rPr>
              <w:t> </w:t>
            </w:r>
          </w:p>
        </w:tc>
      </w:tr>
    </w:tbl>
    <w:p w14:paraId="23D791DA" w14:textId="77777777" w:rsidR="00B3406A" w:rsidRDefault="00B3406A" w:rsidP="00523139">
      <w:pPr>
        <w:pStyle w:val="TableFooter"/>
        <w:keepNext/>
        <w:jc w:val="both"/>
      </w:pPr>
      <w:r>
        <w:t>Abbreviations: AEs = adverse events; RR = risk ratio, RD = risk difference; SAEs = serious adverse events.</w:t>
      </w:r>
    </w:p>
    <w:p w14:paraId="20030E98" w14:textId="77777777" w:rsidR="00B3406A" w:rsidRDefault="00B3406A" w:rsidP="00523139">
      <w:pPr>
        <w:pStyle w:val="TableFooter"/>
        <w:keepNext/>
        <w:jc w:val="both"/>
      </w:pPr>
      <w:r w:rsidRPr="00BE36E8">
        <w:t xml:space="preserve">Notes: </w:t>
      </w:r>
    </w:p>
    <w:p w14:paraId="3053B21D" w14:textId="77777777" w:rsidR="00B3406A" w:rsidRDefault="00B3406A" w:rsidP="00523139">
      <w:pPr>
        <w:pStyle w:val="TableFooter"/>
        <w:keepNext/>
        <w:jc w:val="both"/>
      </w:pPr>
      <w:r w:rsidRPr="00BE36E8">
        <w:t>1 Cochrane Review</w:t>
      </w:r>
      <w:r>
        <w:t>.</w:t>
      </w:r>
    </w:p>
    <w:p w14:paraId="15E4D4A9" w14:textId="77777777" w:rsidR="00B3406A" w:rsidRPr="005410D6" w:rsidRDefault="00B3406A" w:rsidP="00523139">
      <w:pPr>
        <w:pStyle w:val="TableFooter"/>
        <w:keepNext/>
        <w:spacing w:after="120"/>
        <w:contextualSpacing w:val="0"/>
        <w:jc w:val="both"/>
      </w:pPr>
      <w:r>
        <w:t>2 Supplemental evidence (RCT).</w:t>
      </w:r>
    </w:p>
    <w:p w14:paraId="06BF0DDF" w14:textId="77777777" w:rsidR="00B3406A" w:rsidRPr="00356EA8" w:rsidRDefault="00B3406A" w:rsidP="00523139">
      <w:pPr>
        <w:spacing w:before="120" w:after="120"/>
        <w:jc w:val="both"/>
      </w:pPr>
      <w:r w:rsidRPr="00356EA8">
        <w:t xml:space="preserve">Treatment-experienced population </w:t>
      </w:r>
    </w:p>
    <w:p w14:paraId="6A83D982" w14:textId="2D1196B0" w:rsidR="00B3406A" w:rsidRDefault="00B3406A" w:rsidP="00523139">
      <w:pPr>
        <w:pStyle w:val="ListParagraph"/>
        <w:numPr>
          <w:ilvl w:val="0"/>
          <w:numId w:val="20"/>
        </w:numPr>
        <w:spacing w:before="120" w:after="120"/>
        <w:ind w:left="357" w:hanging="357"/>
        <w:contextualSpacing w:val="0"/>
        <w:jc w:val="both"/>
      </w:pPr>
      <w:r>
        <w:t>V</w:t>
      </w:r>
      <w:r w:rsidRPr="00356EA8">
        <w:t xml:space="preserve">arenicline was shown to provide a statistically significant improvement in </w:t>
      </w:r>
      <w:r>
        <w:t>efficacy</w:t>
      </w:r>
      <w:r w:rsidRPr="00356EA8">
        <w:t xml:space="preserve"> compared with placebo as a relapse prevention treatment in abstainers. This is </w:t>
      </w:r>
      <w:r>
        <w:t>largely based on</w:t>
      </w:r>
      <w:r w:rsidR="00FA4C3B">
        <w:t>,</w:t>
      </w:r>
      <w:r>
        <w:t xml:space="preserve"> and thus is </w:t>
      </w:r>
      <w:r w:rsidRPr="00356EA8">
        <w:t>consistent</w:t>
      </w:r>
      <w:r w:rsidR="00FA4C3B">
        <w:t>,</w:t>
      </w:r>
      <w:r w:rsidRPr="00356EA8">
        <w:t xml:space="preserve"> with the evidence previously considered by the PBAC</w:t>
      </w:r>
      <w:r>
        <w:t xml:space="preserve">. </w:t>
      </w:r>
      <w:r w:rsidRPr="004D1CE1">
        <w:t xml:space="preserve">The </w:t>
      </w:r>
      <w:r>
        <w:t>adverse events reported were consistent with those expected of varenicline.</w:t>
      </w:r>
    </w:p>
    <w:p w14:paraId="5F3C4497" w14:textId="4EB6C73D" w:rsidR="001D6E7B" w:rsidRDefault="00B3406A" w:rsidP="002B5CD1">
      <w:pPr>
        <w:pStyle w:val="ListParagraph"/>
        <w:numPr>
          <w:ilvl w:val="0"/>
          <w:numId w:val="20"/>
        </w:numPr>
        <w:spacing w:after="240"/>
        <w:ind w:left="357" w:hanging="357"/>
        <w:contextualSpacing w:val="0"/>
        <w:jc w:val="both"/>
      </w:pPr>
      <w:r w:rsidRPr="00356EA8">
        <w:t xml:space="preserve">Varenicline was shown </w:t>
      </w:r>
      <w:r>
        <w:t>to</w:t>
      </w:r>
      <w:r w:rsidRPr="00356EA8">
        <w:t xml:space="preserve"> be superior to placebo in terms of efficacy as retreatment in non-abstainers.</w:t>
      </w:r>
      <w:r>
        <w:t xml:space="preserve"> </w:t>
      </w:r>
      <w:r w:rsidRPr="00356EA8">
        <w:t xml:space="preserve">A significantly higher proportion of patients in the varenicline arm experienced nausea and abnormal dreams compared to patients in the placebo arm, while there were no statistically significant differences between the two treatment arms for insomnia, headache, depression, serious adverse </w:t>
      </w:r>
      <w:r w:rsidR="00FA4C3B" w:rsidRPr="00356EA8">
        <w:t>events,</w:t>
      </w:r>
      <w:r w:rsidRPr="00356EA8">
        <w:t xml:space="preserve"> and cardiac serious adverse events</w:t>
      </w:r>
      <w:r>
        <w:t>.</w:t>
      </w:r>
      <w:r w:rsidRPr="00356EA8">
        <w:t xml:space="preserve"> This is consistent with the evidence previously considered by the PBAC. It was noted th</w:t>
      </w:r>
      <w:r w:rsidR="00FA4C3B">
        <w:t>at</w:t>
      </w:r>
      <w:r w:rsidRPr="00356EA8">
        <w:t xml:space="preserve"> one </w:t>
      </w:r>
      <w:r>
        <w:t>study</w:t>
      </w:r>
      <w:r w:rsidRPr="00356EA8">
        <w:t xml:space="preserve"> </w:t>
      </w:r>
      <w:r>
        <w:t>identified</w:t>
      </w:r>
      <w:r w:rsidRPr="00356EA8">
        <w:t xml:space="preserve"> required patients to have had previously taken varenicline for two or more weeks, with the last dose taken ≥3 months before screening.</w:t>
      </w:r>
    </w:p>
    <w:p w14:paraId="54071914" w14:textId="0E568919" w:rsidR="00B3406A" w:rsidRDefault="001D6E7B" w:rsidP="00523139">
      <w:r>
        <w:br w:type="page"/>
      </w:r>
    </w:p>
    <w:tbl>
      <w:tblPr>
        <w:tblStyle w:val="TableGrid3"/>
        <w:tblW w:w="5000" w:type="pct"/>
        <w:shd w:val="clear" w:color="auto" w:fill="F2F2F2" w:themeFill="background1" w:themeFillShade="F2"/>
        <w:tblLook w:val="04A0" w:firstRow="1" w:lastRow="0" w:firstColumn="1" w:lastColumn="0" w:noHBand="0" w:noVBand="1"/>
      </w:tblPr>
      <w:tblGrid>
        <w:gridCol w:w="1616"/>
        <w:gridCol w:w="2699"/>
        <w:gridCol w:w="4701"/>
      </w:tblGrid>
      <w:tr w:rsidR="00B3406A" w:rsidRPr="00DA1A94" w14:paraId="22694E34" w14:textId="77777777" w:rsidTr="00A82090">
        <w:trPr>
          <w:trHeight w:val="112"/>
        </w:trPr>
        <w:tc>
          <w:tcPr>
            <w:tcW w:w="896" w:type="pct"/>
            <w:shd w:val="clear" w:color="auto" w:fill="F2F2F2" w:themeFill="background1" w:themeFillShade="F2"/>
            <w:hideMark/>
          </w:tcPr>
          <w:p w14:paraId="26203211" w14:textId="77777777" w:rsidR="00B3406A" w:rsidRPr="00DA1A94" w:rsidRDefault="00B3406A" w:rsidP="001E7257">
            <w:pPr>
              <w:spacing w:after="200"/>
              <w:rPr>
                <w:szCs w:val="18"/>
              </w:rPr>
            </w:pPr>
            <w:r w:rsidRPr="00DA1A94">
              <w:rPr>
                <w:b/>
                <w:bCs/>
                <w:szCs w:val="18"/>
              </w:rPr>
              <w:lastRenderedPageBreak/>
              <w:t>Compar</w:t>
            </w:r>
            <w:r>
              <w:rPr>
                <w:b/>
                <w:bCs/>
                <w:szCs w:val="18"/>
              </w:rPr>
              <w:t>ison</w:t>
            </w:r>
          </w:p>
        </w:tc>
        <w:tc>
          <w:tcPr>
            <w:tcW w:w="1497" w:type="pct"/>
            <w:shd w:val="clear" w:color="auto" w:fill="F2F2F2" w:themeFill="background1" w:themeFillShade="F2"/>
            <w:hideMark/>
          </w:tcPr>
          <w:p w14:paraId="3C2D8E84" w14:textId="77777777" w:rsidR="00B3406A" w:rsidRPr="0010753D" w:rsidRDefault="00B3406A" w:rsidP="001E7257">
            <w:pPr>
              <w:spacing w:after="200"/>
              <w:jc w:val="center"/>
              <w:rPr>
                <w:b/>
                <w:bCs/>
                <w:szCs w:val="18"/>
              </w:rPr>
            </w:pPr>
            <w:r w:rsidRPr="0010753D">
              <w:rPr>
                <w:b/>
                <w:bCs/>
                <w:szCs w:val="18"/>
              </w:rPr>
              <w:t>Included studies</w:t>
            </w:r>
          </w:p>
        </w:tc>
        <w:tc>
          <w:tcPr>
            <w:tcW w:w="2607" w:type="pct"/>
            <w:shd w:val="clear" w:color="auto" w:fill="F2F2F2" w:themeFill="background1" w:themeFillShade="F2"/>
            <w:hideMark/>
          </w:tcPr>
          <w:p w14:paraId="3AC13DB6" w14:textId="77777777" w:rsidR="00B3406A" w:rsidRPr="00DA1A94" w:rsidRDefault="00B3406A" w:rsidP="001E7257">
            <w:pPr>
              <w:jc w:val="center"/>
              <w:rPr>
                <w:b/>
                <w:bCs/>
                <w:szCs w:val="18"/>
              </w:rPr>
            </w:pPr>
            <w:r w:rsidRPr="00DA1A94">
              <w:rPr>
                <w:b/>
                <w:bCs/>
                <w:szCs w:val="18"/>
              </w:rPr>
              <w:t>S</w:t>
            </w:r>
            <w:r>
              <w:rPr>
                <w:b/>
                <w:bCs/>
                <w:szCs w:val="18"/>
              </w:rPr>
              <w:t>ummary of evidence</w:t>
            </w:r>
          </w:p>
        </w:tc>
      </w:tr>
      <w:tr w:rsidR="00B3406A" w:rsidRPr="00DA1A94" w14:paraId="7467AA95" w14:textId="77777777" w:rsidTr="00A82090">
        <w:trPr>
          <w:trHeight w:val="67"/>
        </w:trPr>
        <w:tc>
          <w:tcPr>
            <w:tcW w:w="5000" w:type="pct"/>
            <w:gridSpan w:val="3"/>
            <w:shd w:val="clear" w:color="auto" w:fill="F2F2F2" w:themeFill="background1" w:themeFillShade="F2"/>
            <w:hideMark/>
          </w:tcPr>
          <w:p w14:paraId="3CE9E7A0" w14:textId="77777777" w:rsidR="00B3406A" w:rsidRPr="00DA1A94" w:rsidRDefault="00B3406A" w:rsidP="001E7257">
            <w:pPr>
              <w:rPr>
                <w:b/>
                <w:bCs/>
                <w:szCs w:val="18"/>
              </w:rPr>
            </w:pPr>
            <w:r w:rsidRPr="00DA1A94">
              <w:rPr>
                <w:b/>
                <w:bCs/>
                <w:szCs w:val="18"/>
              </w:rPr>
              <w:t>Treatment-experienced population (relapse prevention treatment in abstainers)</w:t>
            </w:r>
          </w:p>
        </w:tc>
      </w:tr>
      <w:tr w:rsidR="00B3406A" w:rsidRPr="00DA1A94" w14:paraId="0332B6E1" w14:textId="77777777" w:rsidTr="00A82090">
        <w:trPr>
          <w:trHeight w:val="1464"/>
        </w:trPr>
        <w:tc>
          <w:tcPr>
            <w:tcW w:w="896" w:type="pct"/>
            <w:shd w:val="clear" w:color="auto" w:fill="F2F2F2" w:themeFill="background1" w:themeFillShade="F2"/>
            <w:hideMark/>
          </w:tcPr>
          <w:p w14:paraId="4807FE94" w14:textId="77777777" w:rsidR="00B3406A" w:rsidRPr="0010753D" w:rsidRDefault="00B3406A" w:rsidP="001E7257">
            <w:pPr>
              <w:spacing w:after="200"/>
              <w:rPr>
                <w:szCs w:val="18"/>
              </w:rPr>
            </w:pPr>
            <w:r w:rsidRPr="0010753D">
              <w:rPr>
                <w:szCs w:val="18"/>
              </w:rPr>
              <w:t xml:space="preserve">Varenicline vs </w:t>
            </w:r>
            <w:r>
              <w:rPr>
                <w:szCs w:val="18"/>
              </w:rPr>
              <w:t>p</w:t>
            </w:r>
            <w:r w:rsidRPr="0010753D">
              <w:rPr>
                <w:rFonts w:eastAsia="Calibri"/>
                <w:szCs w:val="18"/>
              </w:rPr>
              <w:t>lacebo</w:t>
            </w:r>
          </w:p>
        </w:tc>
        <w:tc>
          <w:tcPr>
            <w:tcW w:w="1497" w:type="pct"/>
            <w:shd w:val="clear" w:color="auto" w:fill="F2F2F2" w:themeFill="background1" w:themeFillShade="F2"/>
            <w:hideMark/>
          </w:tcPr>
          <w:p w14:paraId="75BE55B2" w14:textId="77777777" w:rsidR="00B3406A" w:rsidRPr="00B05D82" w:rsidRDefault="00B3406A" w:rsidP="00815A6D">
            <w:pPr>
              <w:pStyle w:val="ListParagraph"/>
              <w:numPr>
                <w:ilvl w:val="0"/>
                <w:numId w:val="41"/>
              </w:numPr>
              <w:rPr>
                <w:szCs w:val="18"/>
              </w:rPr>
            </w:pPr>
            <w:r w:rsidRPr="00B05D82">
              <w:rPr>
                <w:szCs w:val="18"/>
              </w:rPr>
              <w:t>Livingstone-Banks (2019)</w:t>
            </w:r>
            <w:r w:rsidRPr="00B05D82">
              <w:rPr>
                <w:szCs w:val="18"/>
                <w:vertAlign w:val="superscript"/>
              </w:rPr>
              <w:t>1</w:t>
            </w:r>
          </w:p>
          <w:p w14:paraId="21EA7704" w14:textId="77777777" w:rsidR="00B3406A" w:rsidRPr="00B05D82" w:rsidRDefault="00B3406A" w:rsidP="00815A6D">
            <w:pPr>
              <w:pStyle w:val="ListParagraph"/>
              <w:numPr>
                <w:ilvl w:val="0"/>
                <w:numId w:val="41"/>
              </w:numPr>
              <w:rPr>
                <w:szCs w:val="18"/>
              </w:rPr>
            </w:pPr>
            <w:r w:rsidRPr="00B05D82">
              <w:rPr>
                <w:rFonts w:eastAsia="MS Mincho"/>
              </w:rPr>
              <w:t>Schnoll (2019)</w:t>
            </w:r>
            <w:r w:rsidRPr="00B05D82">
              <w:rPr>
                <w:rFonts w:eastAsia="MS Mincho"/>
                <w:vertAlign w:val="superscript"/>
              </w:rPr>
              <w:t>2</w:t>
            </w:r>
          </w:p>
        </w:tc>
        <w:tc>
          <w:tcPr>
            <w:tcW w:w="2607" w:type="pct"/>
            <w:shd w:val="clear" w:color="auto" w:fill="F2F2F2" w:themeFill="background1" w:themeFillShade="F2"/>
            <w:hideMark/>
          </w:tcPr>
          <w:p w14:paraId="3AE496EA" w14:textId="77777777" w:rsidR="00B3406A" w:rsidRPr="0010753D" w:rsidRDefault="00B3406A" w:rsidP="00815A6D">
            <w:pPr>
              <w:pStyle w:val="ListParagraph"/>
              <w:numPr>
                <w:ilvl w:val="0"/>
                <w:numId w:val="39"/>
              </w:numPr>
              <w:rPr>
                <w:szCs w:val="18"/>
              </w:rPr>
            </w:pPr>
            <w:r w:rsidRPr="0010753D">
              <w:rPr>
                <w:szCs w:val="18"/>
                <w:u w:val="single"/>
              </w:rPr>
              <w:t>Efficacy:</w:t>
            </w:r>
            <w:r w:rsidRPr="0010753D">
              <w:rPr>
                <w:szCs w:val="18"/>
              </w:rPr>
              <w:t xml:space="preserve"> Statistically significant</w:t>
            </w:r>
            <w:r>
              <w:rPr>
                <w:szCs w:val="18"/>
              </w:rPr>
              <w:t xml:space="preserve"> based on RR </w:t>
            </w:r>
            <w:r w:rsidRPr="0010753D">
              <w:rPr>
                <w:szCs w:val="18"/>
              </w:rPr>
              <w:t>(in favour of varenicline)</w:t>
            </w:r>
            <w:r>
              <w:rPr>
                <w:szCs w:val="18"/>
              </w:rPr>
              <w:t>.</w:t>
            </w:r>
          </w:p>
          <w:p w14:paraId="6E7E6D44" w14:textId="77777777" w:rsidR="00B3406A" w:rsidRPr="00DA1A94" w:rsidRDefault="00B3406A" w:rsidP="001E7257">
            <w:pPr>
              <w:ind w:left="360"/>
              <w:rPr>
                <w:rFonts w:eastAsia="Calibri"/>
                <w:szCs w:val="18"/>
              </w:rPr>
            </w:pPr>
            <w:r w:rsidRPr="0010753D">
              <w:rPr>
                <w:szCs w:val="18"/>
                <w:u w:val="single"/>
              </w:rPr>
              <w:t>Safety:</w:t>
            </w:r>
            <w:r w:rsidRPr="004D4E66">
              <w:rPr>
                <w:szCs w:val="18"/>
              </w:rPr>
              <w:t xml:space="preserve"> </w:t>
            </w:r>
            <w:r w:rsidRPr="0010753D">
              <w:rPr>
                <w:rFonts w:eastAsia="Calibri"/>
                <w:szCs w:val="18"/>
              </w:rPr>
              <w:t>AEs reported were consistent with those expected of varenicline</w:t>
            </w:r>
            <w:r>
              <w:rPr>
                <w:rFonts w:eastAsia="Calibri"/>
                <w:szCs w:val="18"/>
              </w:rPr>
              <w:t>.</w:t>
            </w:r>
          </w:p>
        </w:tc>
      </w:tr>
      <w:tr w:rsidR="00B3406A" w:rsidRPr="00DA1A94" w14:paraId="1A032BAD" w14:textId="77777777" w:rsidTr="00A82090">
        <w:trPr>
          <w:trHeight w:val="67"/>
        </w:trPr>
        <w:tc>
          <w:tcPr>
            <w:tcW w:w="5000" w:type="pct"/>
            <w:gridSpan w:val="3"/>
            <w:shd w:val="clear" w:color="auto" w:fill="F2F2F2" w:themeFill="background1" w:themeFillShade="F2"/>
            <w:hideMark/>
          </w:tcPr>
          <w:p w14:paraId="4B9E7BE0" w14:textId="77777777" w:rsidR="00B3406A" w:rsidRPr="00DA1A94" w:rsidRDefault="00B3406A" w:rsidP="001E7257">
            <w:pPr>
              <w:rPr>
                <w:b/>
                <w:bCs/>
                <w:szCs w:val="18"/>
              </w:rPr>
            </w:pPr>
            <w:r w:rsidRPr="00DA1A94">
              <w:rPr>
                <w:b/>
                <w:bCs/>
                <w:szCs w:val="18"/>
              </w:rPr>
              <w:t>Treatment-experienced population (retreatment in non-abstainers)</w:t>
            </w:r>
          </w:p>
        </w:tc>
      </w:tr>
      <w:tr w:rsidR="00B3406A" w:rsidRPr="00DA1A94" w14:paraId="59D2C967" w14:textId="77777777" w:rsidTr="00A82090">
        <w:trPr>
          <w:trHeight w:val="851"/>
        </w:trPr>
        <w:tc>
          <w:tcPr>
            <w:tcW w:w="896" w:type="pct"/>
            <w:shd w:val="clear" w:color="auto" w:fill="F2F2F2" w:themeFill="background1" w:themeFillShade="F2"/>
            <w:hideMark/>
          </w:tcPr>
          <w:p w14:paraId="06AF5A87" w14:textId="77777777" w:rsidR="00B3406A" w:rsidRPr="0010753D" w:rsidRDefault="00B3406A" w:rsidP="001E7257">
            <w:pPr>
              <w:spacing w:after="200"/>
              <w:rPr>
                <w:szCs w:val="18"/>
              </w:rPr>
            </w:pPr>
            <w:r w:rsidRPr="0010753D">
              <w:rPr>
                <w:szCs w:val="18"/>
              </w:rPr>
              <w:t xml:space="preserve">Varenicline vs </w:t>
            </w:r>
            <w:r>
              <w:rPr>
                <w:szCs w:val="18"/>
              </w:rPr>
              <w:t>p</w:t>
            </w:r>
            <w:r w:rsidRPr="0010753D">
              <w:rPr>
                <w:rFonts w:eastAsia="Calibri"/>
                <w:szCs w:val="18"/>
              </w:rPr>
              <w:t>lacebo</w:t>
            </w:r>
          </w:p>
        </w:tc>
        <w:tc>
          <w:tcPr>
            <w:tcW w:w="1497" w:type="pct"/>
            <w:shd w:val="clear" w:color="auto" w:fill="F2F2F2" w:themeFill="background1" w:themeFillShade="F2"/>
            <w:hideMark/>
          </w:tcPr>
          <w:p w14:paraId="103095E2" w14:textId="77777777" w:rsidR="00B3406A" w:rsidRPr="00B05D82" w:rsidRDefault="00B3406A" w:rsidP="00815A6D">
            <w:pPr>
              <w:pStyle w:val="ListParagraph"/>
              <w:numPr>
                <w:ilvl w:val="0"/>
                <w:numId w:val="39"/>
              </w:numPr>
              <w:rPr>
                <w:szCs w:val="18"/>
              </w:rPr>
            </w:pPr>
            <w:r>
              <w:rPr>
                <w:rFonts w:eastAsia="MS Mincho"/>
              </w:rPr>
              <w:t>Cahill (2016)</w:t>
            </w:r>
            <w:r w:rsidRPr="00B05D82">
              <w:rPr>
                <w:rFonts w:eastAsia="MS Mincho"/>
                <w:vertAlign w:val="superscript"/>
              </w:rPr>
              <w:t>1</w:t>
            </w:r>
          </w:p>
        </w:tc>
        <w:tc>
          <w:tcPr>
            <w:tcW w:w="2607" w:type="pct"/>
            <w:shd w:val="clear" w:color="auto" w:fill="F2F2F2" w:themeFill="background1" w:themeFillShade="F2"/>
            <w:hideMark/>
          </w:tcPr>
          <w:p w14:paraId="32F2B25B" w14:textId="77777777" w:rsidR="00B3406A" w:rsidRPr="0010753D" w:rsidRDefault="00B3406A" w:rsidP="00815A6D">
            <w:pPr>
              <w:pStyle w:val="ListParagraph"/>
              <w:numPr>
                <w:ilvl w:val="0"/>
                <w:numId w:val="40"/>
              </w:numPr>
              <w:rPr>
                <w:szCs w:val="18"/>
              </w:rPr>
            </w:pPr>
            <w:r w:rsidRPr="0010753D">
              <w:rPr>
                <w:szCs w:val="18"/>
                <w:u w:val="single"/>
              </w:rPr>
              <w:t>Efficacy:</w:t>
            </w:r>
            <w:r w:rsidRPr="0010753D">
              <w:rPr>
                <w:szCs w:val="18"/>
              </w:rPr>
              <w:t xml:space="preserve"> Statistically significant</w:t>
            </w:r>
            <w:r>
              <w:rPr>
                <w:szCs w:val="18"/>
              </w:rPr>
              <w:t xml:space="preserve"> based on RR </w:t>
            </w:r>
            <w:r w:rsidRPr="0010753D">
              <w:rPr>
                <w:szCs w:val="18"/>
              </w:rPr>
              <w:t>(in favour of varenicline)</w:t>
            </w:r>
            <w:r>
              <w:rPr>
                <w:szCs w:val="18"/>
              </w:rPr>
              <w:t>.</w:t>
            </w:r>
          </w:p>
          <w:p w14:paraId="23B109D4" w14:textId="77777777" w:rsidR="00B3406A" w:rsidRPr="00642321" w:rsidRDefault="00B3406A" w:rsidP="00815A6D">
            <w:pPr>
              <w:pStyle w:val="ListParagraph"/>
              <w:numPr>
                <w:ilvl w:val="0"/>
                <w:numId w:val="40"/>
              </w:numPr>
              <w:rPr>
                <w:szCs w:val="18"/>
              </w:rPr>
            </w:pPr>
            <w:r w:rsidRPr="0010753D">
              <w:rPr>
                <w:szCs w:val="18"/>
                <w:u w:val="single"/>
              </w:rPr>
              <w:t>Safety:</w:t>
            </w:r>
            <w:r w:rsidRPr="004D4E66">
              <w:rPr>
                <w:szCs w:val="18"/>
              </w:rPr>
              <w:t xml:space="preserve"> </w:t>
            </w:r>
            <w:r w:rsidRPr="0010753D">
              <w:rPr>
                <w:szCs w:val="18"/>
              </w:rPr>
              <w:t>Statistically significant</w:t>
            </w:r>
            <w:r>
              <w:rPr>
                <w:szCs w:val="18"/>
              </w:rPr>
              <w:t xml:space="preserve"> based on RR</w:t>
            </w:r>
            <w:r w:rsidRPr="0010753D">
              <w:rPr>
                <w:szCs w:val="18"/>
              </w:rPr>
              <w:t xml:space="preserve"> (nausea, abnormal dreams; higher in varenicline)</w:t>
            </w:r>
            <w:r>
              <w:rPr>
                <w:szCs w:val="18"/>
              </w:rPr>
              <w:t xml:space="preserve">; </w:t>
            </w:r>
            <w:r w:rsidRPr="00846CB6">
              <w:rPr>
                <w:szCs w:val="18"/>
              </w:rPr>
              <w:t>Not statistically significant based on RR</w:t>
            </w:r>
            <w:r w:rsidRPr="00E320E0">
              <w:rPr>
                <w:szCs w:val="18"/>
              </w:rPr>
              <w:t xml:space="preserve"> (insomnia, headache, depression, </w:t>
            </w:r>
            <w:r>
              <w:rPr>
                <w:szCs w:val="18"/>
              </w:rPr>
              <w:t>S</w:t>
            </w:r>
            <w:r w:rsidRPr="00E320E0">
              <w:rPr>
                <w:szCs w:val="18"/>
              </w:rPr>
              <w:t>AEs incl</w:t>
            </w:r>
            <w:r>
              <w:rPr>
                <w:szCs w:val="18"/>
              </w:rPr>
              <w:t>uding</w:t>
            </w:r>
            <w:r w:rsidRPr="00E320E0">
              <w:rPr>
                <w:szCs w:val="18"/>
              </w:rPr>
              <w:t xml:space="preserve"> cardiac)</w:t>
            </w:r>
            <w:r>
              <w:rPr>
                <w:szCs w:val="18"/>
              </w:rPr>
              <w:t>.</w:t>
            </w:r>
          </w:p>
        </w:tc>
      </w:tr>
    </w:tbl>
    <w:p w14:paraId="068567E3" w14:textId="77777777" w:rsidR="00B3406A" w:rsidRDefault="00B3406A" w:rsidP="00523139">
      <w:pPr>
        <w:pStyle w:val="TableFooter"/>
        <w:keepNext/>
        <w:jc w:val="both"/>
      </w:pPr>
      <w:r>
        <w:t>Abbreviations: AEs = adverse events; RR = risk ratio, RD = risk difference; SAEs = serious adverse events.</w:t>
      </w:r>
    </w:p>
    <w:p w14:paraId="46EF1F6B" w14:textId="77777777" w:rsidR="00B3406A" w:rsidRDefault="00B3406A" w:rsidP="00523139">
      <w:pPr>
        <w:pStyle w:val="TableFooter"/>
        <w:keepNext/>
        <w:jc w:val="both"/>
      </w:pPr>
      <w:r w:rsidRPr="00BE36E8">
        <w:t xml:space="preserve">Notes: </w:t>
      </w:r>
    </w:p>
    <w:p w14:paraId="5E952F4D" w14:textId="77777777" w:rsidR="00B3406A" w:rsidRDefault="00B3406A" w:rsidP="00523139">
      <w:pPr>
        <w:pStyle w:val="TableFooter"/>
        <w:keepNext/>
        <w:jc w:val="both"/>
      </w:pPr>
      <w:r w:rsidRPr="00BE36E8">
        <w:t>1 Cochrane Review</w:t>
      </w:r>
      <w:r>
        <w:t>.</w:t>
      </w:r>
    </w:p>
    <w:p w14:paraId="1C44783D" w14:textId="77777777" w:rsidR="00B3406A" w:rsidRPr="00FF3B9B" w:rsidRDefault="00B3406A" w:rsidP="00523139">
      <w:pPr>
        <w:pStyle w:val="TableFooter"/>
        <w:keepNext/>
        <w:spacing w:after="120"/>
        <w:contextualSpacing w:val="0"/>
        <w:jc w:val="both"/>
      </w:pPr>
      <w:r>
        <w:t>2 Supplemental evidence (RCT).</w:t>
      </w:r>
    </w:p>
    <w:p w14:paraId="09C578C8" w14:textId="5A2D4139" w:rsidR="00B3406A" w:rsidRPr="00280A7C" w:rsidRDefault="00B23D0F" w:rsidP="00523139">
      <w:pPr>
        <w:pStyle w:val="Heading6"/>
        <w:numPr>
          <w:ilvl w:val="0"/>
          <w:numId w:val="0"/>
        </w:numPr>
        <w:spacing w:before="120" w:after="120"/>
        <w:ind w:left="1151" w:hanging="1151"/>
        <w:jc w:val="both"/>
        <w:rPr>
          <w:rFonts w:asciiTheme="minorHAnsi" w:hAnsiTheme="minorHAnsi" w:cstheme="minorHAnsi"/>
          <w:b/>
          <w:i w:val="0"/>
          <w:color w:val="auto"/>
          <w:szCs w:val="24"/>
        </w:rPr>
      </w:pPr>
      <w:r>
        <w:rPr>
          <w:rFonts w:asciiTheme="minorHAnsi" w:hAnsiTheme="minorHAnsi" w:cstheme="minorHAnsi"/>
          <w:b/>
          <w:i w:val="0"/>
          <w:color w:val="auto"/>
          <w:szCs w:val="24"/>
        </w:rPr>
        <w:t>3.1.3</w:t>
      </w:r>
      <w:r w:rsidR="00FA4C3B">
        <w:rPr>
          <w:rFonts w:asciiTheme="minorHAnsi" w:hAnsiTheme="minorHAnsi" w:cstheme="minorHAnsi"/>
          <w:b/>
          <w:i w:val="0"/>
          <w:color w:val="auto"/>
          <w:szCs w:val="24"/>
        </w:rPr>
        <w:t xml:space="preserve"> </w:t>
      </w:r>
      <w:r w:rsidR="00B3406A" w:rsidRPr="00280A7C">
        <w:rPr>
          <w:rFonts w:asciiTheme="minorHAnsi" w:hAnsiTheme="minorHAnsi" w:cstheme="minorHAnsi"/>
          <w:b/>
          <w:i w:val="0"/>
          <w:color w:val="auto"/>
          <w:szCs w:val="24"/>
        </w:rPr>
        <w:t xml:space="preserve">Nicotine </w:t>
      </w:r>
      <w:r w:rsidR="00326203">
        <w:rPr>
          <w:rFonts w:asciiTheme="minorHAnsi" w:hAnsiTheme="minorHAnsi" w:cstheme="minorHAnsi"/>
          <w:b/>
          <w:i w:val="0"/>
          <w:color w:val="auto"/>
          <w:szCs w:val="24"/>
        </w:rPr>
        <w:t>r</w:t>
      </w:r>
      <w:r w:rsidR="00B3406A" w:rsidRPr="00280A7C">
        <w:rPr>
          <w:rFonts w:asciiTheme="minorHAnsi" w:hAnsiTheme="minorHAnsi" w:cstheme="minorHAnsi"/>
          <w:b/>
          <w:i w:val="0"/>
          <w:color w:val="auto"/>
          <w:szCs w:val="24"/>
        </w:rPr>
        <w:t xml:space="preserve">eplacement </w:t>
      </w:r>
      <w:r w:rsidR="00326203">
        <w:rPr>
          <w:rFonts w:asciiTheme="minorHAnsi" w:hAnsiTheme="minorHAnsi" w:cstheme="minorHAnsi"/>
          <w:b/>
          <w:i w:val="0"/>
          <w:color w:val="auto"/>
          <w:szCs w:val="24"/>
        </w:rPr>
        <w:t>t</w:t>
      </w:r>
      <w:r w:rsidR="00B3406A" w:rsidRPr="00280A7C">
        <w:rPr>
          <w:rFonts w:asciiTheme="minorHAnsi" w:hAnsiTheme="minorHAnsi" w:cstheme="minorHAnsi"/>
          <w:b/>
          <w:i w:val="0"/>
          <w:color w:val="auto"/>
          <w:szCs w:val="24"/>
        </w:rPr>
        <w:t>herapy</w:t>
      </w:r>
    </w:p>
    <w:p w14:paraId="77B7421B" w14:textId="77777777" w:rsidR="00B3406A" w:rsidRPr="001B6663" w:rsidRDefault="00B3406A" w:rsidP="00523139">
      <w:pPr>
        <w:spacing w:before="120" w:after="120"/>
        <w:jc w:val="both"/>
      </w:pPr>
      <w:r w:rsidRPr="001B6663">
        <w:t>Treatment-naïve population</w:t>
      </w:r>
    </w:p>
    <w:p w14:paraId="4C700184" w14:textId="758333F7" w:rsidR="00B3406A" w:rsidRPr="007D7171" w:rsidRDefault="00B3406A" w:rsidP="00D25738">
      <w:pPr>
        <w:pStyle w:val="ListParagraph"/>
        <w:numPr>
          <w:ilvl w:val="0"/>
          <w:numId w:val="21"/>
        </w:numPr>
        <w:ind w:left="360"/>
        <w:jc w:val="both"/>
      </w:pPr>
      <w:r w:rsidRPr="001B6663">
        <w:t>NRT patch</w:t>
      </w:r>
      <w:r>
        <w:t>es</w:t>
      </w:r>
      <w:r w:rsidRPr="001B6663">
        <w:t xml:space="preserve"> w</w:t>
      </w:r>
      <w:r>
        <w:t>ere</w:t>
      </w:r>
      <w:r w:rsidRPr="001B6663">
        <w:t xml:space="preserve"> shown </w:t>
      </w:r>
      <w:r w:rsidRPr="00AD3824">
        <w:t xml:space="preserve">to </w:t>
      </w:r>
      <w:r>
        <w:t>be superior to placebo in terms of efficacy</w:t>
      </w:r>
      <w:r w:rsidRPr="001B6663">
        <w:t xml:space="preserve">, noting that similar results were observed for </w:t>
      </w:r>
      <w:r w:rsidRPr="003B2E85">
        <w:t>NRT gum or lozenges</w:t>
      </w:r>
      <w:r>
        <w:t xml:space="preserve"> (as monotherapy)</w:t>
      </w:r>
      <w:r w:rsidRPr="003B2E85">
        <w:t xml:space="preserve"> versus placebo. </w:t>
      </w:r>
      <w:r w:rsidRPr="007D7171">
        <w:t xml:space="preserve">There </w:t>
      </w:r>
      <w:r w:rsidRPr="001B6663">
        <w:t>w</w:t>
      </w:r>
      <w:r>
        <w:t>as</w:t>
      </w:r>
      <w:r w:rsidRPr="007D7171">
        <w:t xml:space="preserve"> </w:t>
      </w:r>
      <w:r w:rsidR="00D46574">
        <w:t xml:space="preserve">a </w:t>
      </w:r>
      <w:r w:rsidRPr="007D7171">
        <w:t xml:space="preserve">significantly higher incidence of palpitations, </w:t>
      </w:r>
      <w:r w:rsidR="00FA4C3B">
        <w:t>t</w:t>
      </w:r>
      <w:r w:rsidR="00FA4C3B" w:rsidRPr="007D7171">
        <w:t>achycardia,</w:t>
      </w:r>
      <w:r w:rsidRPr="007D7171">
        <w:t xml:space="preserve"> or chest pains with NRT (various formulations) compared with placebo. This is consistent with the evidence previously considered by the PBAC. </w:t>
      </w:r>
    </w:p>
    <w:p w14:paraId="7FF6FA98" w14:textId="77777777" w:rsidR="00B3406A" w:rsidRDefault="00B3406A" w:rsidP="00D25738">
      <w:pPr>
        <w:pStyle w:val="ListParagraph"/>
        <w:numPr>
          <w:ilvl w:val="0"/>
          <w:numId w:val="21"/>
        </w:numPr>
        <w:ind w:left="360"/>
        <w:jc w:val="both"/>
      </w:pPr>
      <w:r w:rsidRPr="00440406">
        <w:t>NRT patch</w:t>
      </w:r>
      <w:r>
        <w:t>es</w:t>
      </w:r>
      <w:r w:rsidRPr="00440406">
        <w:t xml:space="preserve"> w</w:t>
      </w:r>
      <w:r>
        <w:t>ere</w:t>
      </w:r>
      <w:r w:rsidRPr="00440406">
        <w:t xml:space="preserve"> shown to be inferior to varenicline in terms of efficacy </w:t>
      </w:r>
      <w:r>
        <w:t xml:space="preserve">based on </w:t>
      </w:r>
      <w:r w:rsidRPr="00440406">
        <w:t>a statistically significant difference in point prevalence abstinence at 24 weeks, in favour of varenicline</w:t>
      </w:r>
      <w:r>
        <w:t>.</w:t>
      </w:r>
      <w:r w:rsidRPr="00440406">
        <w:t xml:space="preserve"> </w:t>
      </w:r>
      <w:r>
        <w:t xml:space="preserve">In terms of safety, </w:t>
      </w:r>
      <w:r w:rsidRPr="00440406">
        <w:t>there were no statistically significant differences in side effects (including neuropsychiatric and cardiovascular safety profile) between the two treatment arms. This is consistent with the evidence previously considered by the PBAC.</w:t>
      </w:r>
    </w:p>
    <w:p w14:paraId="40F88AA9" w14:textId="456D93A0" w:rsidR="00FA4C3B" w:rsidRDefault="00B3406A" w:rsidP="002B5CD1">
      <w:pPr>
        <w:pStyle w:val="ListParagraph"/>
        <w:numPr>
          <w:ilvl w:val="0"/>
          <w:numId w:val="21"/>
        </w:numPr>
        <w:spacing w:after="240"/>
        <w:ind w:left="357" w:hanging="357"/>
        <w:contextualSpacing w:val="0"/>
        <w:jc w:val="both"/>
      </w:pPr>
      <w:r>
        <w:t>N</w:t>
      </w:r>
      <w:r w:rsidRPr="001268B2">
        <w:t xml:space="preserve">o statistically significant differences in smoking cessation rates, serious adverse </w:t>
      </w:r>
      <w:r w:rsidR="00FA4C3B" w:rsidRPr="001268B2">
        <w:t>events,</w:t>
      </w:r>
      <w:r w:rsidRPr="001268B2">
        <w:t xml:space="preserve"> and withdrawals due to treatment </w:t>
      </w:r>
      <w:r>
        <w:t xml:space="preserve">were shown between </w:t>
      </w:r>
      <w:r w:rsidRPr="001268B2">
        <w:t>NRT lozenge</w:t>
      </w:r>
      <w:r>
        <w:t>s</w:t>
      </w:r>
      <w:r w:rsidRPr="001268B2">
        <w:t xml:space="preserve"> or </w:t>
      </w:r>
      <w:r>
        <w:t>gum and</w:t>
      </w:r>
      <w:r w:rsidRPr="001268B2">
        <w:t xml:space="preserve"> NRT </w:t>
      </w:r>
      <w:r>
        <w:t>patches</w:t>
      </w:r>
      <w:r w:rsidRPr="001268B2">
        <w:t xml:space="preserve">. This is </w:t>
      </w:r>
      <w:r>
        <w:t xml:space="preserve">largely based on, and thus is </w:t>
      </w:r>
      <w:r w:rsidRPr="001268B2">
        <w:t>consistent with</w:t>
      </w:r>
      <w:r w:rsidR="00FA4C3B">
        <w:t>,</w:t>
      </w:r>
      <w:r w:rsidRPr="001268B2">
        <w:t xml:space="preserve"> the evidence previously considered by the PBAC</w:t>
      </w:r>
      <w:r>
        <w:t xml:space="preserve"> to support non-inferiority</w:t>
      </w:r>
      <w:r w:rsidRPr="001268B2">
        <w:t>.</w:t>
      </w:r>
    </w:p>
    <w:p w14:paraId="18CD2E61" w14:textId="28F72BF7" w:rsidR="00B3406A" w:rsidRDefault="00FA4C3B" w:rsidP="00523139">
      <w:r>
        <w:br w:type="page"/>
      </w:r>
    </w:p>
    <w:tbl>
      <w:tblPr>
        <w:tblStyle w:val="TableGrid3"/>
        <w:tblW w:w="5000" w:type="pct"/>
        <w:shd w:val="clear" w:color="auto" w:fill="F2F2F2" w:themeFill="background1" w:themeFillShade="F2"/>
        <w:tblLook w:val="04A0" w:firstRow="1" w:lastRow="0" w:firstColumn="1" w:lastColumn="0" w:noHBand="0" w:noVBand="1"/>
      </w:tblPr>
      <w:tblGrid>
        <w:gridCol w:w="2784"/>
        <w:gridCol w:w="2341"/>
        <w:gridCol w:w="3891"/>
      </w:tblGrid>
      <w:tr w:rsidR="00B3406A" w:rsidRPr="00916516" w14:paraId="2156E896" w14:textId="77777777" w:rsidTr="00A82090">
        <w:trPr>
          <w:trHeight w:val="67"/>
        </w:trPr>
        <w:tc>
          <w:tcPr>
            <w:tcW w:w="1544" w:type="pct"/>
            <w:shd w:val="clear" w:color="auto" w:fill="F2F2F2" w:themeFill="background1" w:themeFillShade="F2"/>
            <w:hideMark/>
          </w:tcPr>
          <w:p w14:paraId="19EC4F89" w14:textId="77777777" w:rsidR="00B3406A" w:rsidRPr="00916516" w:rsidRDefault="00B3406A" w:rsidP="001E7257">
            <w:pPr>
              <w:spacing w:after="200"/>
              <w:rPr>
                <w:szCs w:val="18"/>
              </w:rPr>
            </w:pPr>
            <w:r w:rsidRPr="00916516">
              <w:rPr>
                <w:b/>
                <w:bCs/>
                <w:szCs w:val="18"/>
              </w:rPr>
              <w:lastRenderedPageBreak/>
              <w:t>Compar</w:t>
            </w:r>
            <w:r>
              <w:rPr>
                <w:b/>
                <w:bCs/>
                <w:szCs w:val="18"/>
              </w:rPr>
              <w:t>ison</w:t>
            </w:r>
          </w:p>
        </w:tc>
        <w:tc>
          <w:tcPr>
            <w:tcW w:w="1298" w:type="pct"/>
            <w:shd w:val="clear" w:color="auto" w:fill="F2F2F2" w:themeFill="background1" w:themeFillShade="F2"/>
            <w:hideMark/>
          </w:tcPr>
          <w:p w14:paraId="19B401F4" w14:textId="77777777" w:rsidR="00B3406A" w:rsidRPr="00916516" w:rsidRDefault="00B3406A" w:rsidP="001E7257">
            <w:pPr>
              <w:spacing w:after="200"/>
              <w:jc w:val="center"/>
              <w:rPr>
                <w:szCs w:val="18"/>
              </w:rPr>
            </w:pPr>
            <w:r>
              <w:rPr>
                <w:b/>
                <w:bCs/>
                <w:szCs w:val="18"/>
              </w:rPr>
              <w:t>Included studies</w:t>
            </w:r>
          </w:p>
        </w:tc>
        <w:tc>
          <w:tcPr>
            <w:tcW w:w="2158" w:type="pct"/>
            <w:shd w:val="clear" w:color="auto" w:fill="F2F2F2" w:themeFill="background1" w:themeFillShade="F2"/>
            <w:hideMark/>
          </w:tcPr>
          <w:p w14:paraId="29BBB68C" w14:textId="77777777" w:rsidR="00B3406A" w:rsidRPr="00916516" w:rsidRDefault="00B3406A" w:rsidP="001E7257">
            <w:pPr>
              <w:spacing w:after="200"/>
              <w:jc w:val="center"/>
              <w:rPr>
                <w:szCs w:val="18"/>
              </w:rPr>
            </w:pPr>
            <w:r>
              <w:rPr>
                <w:b/>
                <w:bCs/>
                <w:szCs w:val="18"/>
              </w:rPr>
              <w:t>Summary of evidence</w:t>
            </w:r>
          </w:p>
        </w:tc>
      </w:tr>
      <w:tr w:rsidR="00B3406A" w:rsidRPr="00916516" w14:paraId="1FB26B2E" w14:textId="77777777" w:rsidTr="00A82090">
        <w:trPr>
          <w:trHeight w:val="260"/>
        </w:trPr>
        <w:tc>
          <w:tcPr>
            <w:tcW w:w="5000" w:type="pct"/>
            <w:gridSpan w:val="3"/>
            <w:shd w:val="clear" w:color="auto" w:fill="F2F2F2" w:themeFill="background1" w:themeFillShade="F2"/>
            <w:hideMark/>
          </w:tcPr>
          <w:p w14:paraId="1E258029" w14:textId="77777777" w:rsidR="00B3406A" w:rsidRPr="00916516" w:rsidRDefault="00B3406A" w:rsidP="001E7257">
            <w:pPr>
              <w:tabs>
                <w:tab w:val="left" w:pos="3037"/>
              </w:tabs>
              <w:rPr>
                <w:szCs w:val="18"/>
              </w:rPr>
            </w:pPr>
            <w:r w:rsidRPr="00916516">
              <w:rPr>
                <w:b/>
                <w:bCs/>
                <w:szCs w:val="18"/>
              </w:rPr>
              <w:t>Treatment-naïve populatio</w:t>
            </w:r>
            <w:r>
              <w:rPr>
                <w:b/>
                <w:bCs/>
                <w:szCs w:val="18"/>
              </w:rPr>
              <w:t>n</w:t>
            </w:r>
          </w:p>
        </w:tc>
      </w:tr>
      <w:tr w:rsidR="00B3406A" w:rsidRPr="0063070A" w14:paraId="74E0CF7F" w14:textId="77777777" w:rsidTr="00A82090">
        <w:trPr>
          <w:trHeight w:val="345"/>
        </w:trPr>
        <w:tc>
          <w:tcPr>
            <w:tcW w:w="1544" w:type="pct"/>
            <w:shd w:val="clear" w:color="auto" w:fill="F2F2F2" w:themeFill="background1" w:themeFillShade="F2"/>
            <w:hideMark/>
          </w:tcPr>
          <w:p w14:paraId="1AC685BA" w14:textId="17C53592" w:rsidR="00B3406A" w:rsidRPr="00360862" w:rsidRDefault="00B3406A" w:rsidP="001E7257">
            <w:pPr>
              <w:spacing w:after="200"/>
              <w:rPr>
                <w:szCs w:val="18"/>
              </w:rPr>
            </w:pPr>
            <w:r w:rsidRPr="00360862">
              <w:rPr>
                <w:szCs w:val="18"/>
              </w:rPr>
              <w:t xml:space="preserve">NRT (patch, </w:t>
            </w:r>
            <w:r w:rsidR="00FA4C3B" w:rsidRPr="00360862">
              <w:rPr>
                <w:szCs w:val="18"/>
              </w:rPr>
              <w:t>gum,</w:t>
            </w:r>
            <w:r w:rsidRPr="00360862">
              <w:rPr>
                <w:szCs w:val="18"/>
              </w:rPr>
              <w:t xml:space="preserve"> or lozenge) vs placebo</w:t>
            </w:r>
          </w:p>
        </w:tc>
        <w:tc>
          <w:tcPr>
            <w:tcW w:w="1298" w:type="pct"/>
            <w:shd w:val="clear" w:color="auto" w:fill="F2F2F2" w:themeFill="background1" w:themeFillShade="F2"/>
            <w:hideMark/>
          </w:tcPr>
          <w:p w14:paraId="4D04E505" w14:textId="77777777" w:rsidR="00B3406A" w:rsidRPr="0063070A" w:rsidRDefault="00B3406A" w:rsidP="00815A6D">
            <w:pPr>
              <w:pStyle w:val="ListParagraph"/>
              <w:numPr>
                <w:ilvl w:val="0"/>
                <w:numId w:val="43"/>
              </w:numPr>
              <w:rPr>
                <w:szCs w:val="18"/>
              </w:rPr>
            </w:pPr>
            <w:r w:rsidRPr="0063070A">
              <w:rPr>
                <w:szCs w:val="18"/>
              </w:rPr>
              <w:t xml:space="preserve">Hartmann-Boyce </w:t>
            </w:r>
          </w:p>
          <w:p w14:paraId="4FD2D059" w14:textId="77777777" w:rsidR="00B3406A" w:rsidRDefault="00B3406A" w:rsidP="001E7257">
            <w:pPr>
              <w:spacing w:after="200"/>
              <w:ind w:left="360"/>
              <w:rPr>
                <w:szCs w:val="18"/>
              </w:rPr>
            </w:pPr>
            <w:r w:rsidRPr="0063070A">
              <w:rPr>
                <w:szCs w:val="18"/>
              </w:rPr>
              <w:t>(2018)</w:t>
            </w:r>
            <w:r w:rsidRPr="0063070A">
              <w:rPr>
                <w:szCs w:val="18"/>
                <w:vertAlign w:val="superscript"/>
              </w:rPr>
              <w:t>1</w:t>
            </w:r>
          </w:p>
          <w:p w14:paraId="658FD6DF" w14:textId="77777777" w:rsidR="00B3406A" w:rsidRPr="0063070A" w:rsidRDefault="00B3406A" w:rsidP="00815A6D">
            <w:pPr>
              <w:pStyle w:val="ListParagraph"/>
              <w:numPr>
                <w:ilvl w:val="0"/>
                <w:numId w:val="43"/>
              </w:numPr>
              <w:rPr>
                <w:szCs w:val="18"/>
              </w:rPr>
            </w:pPr>
            <w:r w:rsidRPr="0063070A">
              <w:rPr>
                <w:szCs w:val="18"/>
              </w:rPr>
              <w:t xml:space="preserve">Benowitz </w:t>
            </w:r>
          </w:p>
          <w:p w14:paraId="5A332278" w14:textId="77777777" w:rsidR="00B3406A" w:rsidRPr="00916516" w:rsidRDefault="00B3406A" w:rsidP="001E7257">
            <w:pPr>
              <w:spacing w:after="200"/>
              <w:ind w:left="360"/>
              <w:rPr>
                <w:szCs w:val="18"/>
              </w:rPr>
            </w:pPr>
            <w:r w:rsidRPr="0063070A">
              <w:rPr>
                <w:szCs w:val="18"/>
              </w:rPr>
              <w:t>(2018)</w:t>
            </w:r>
            <w:r w:rsidRPr="0063070A">
              <w:rPr>
                <w:szCs w:val="18"/>
                <w:vertAlign w:val="superscript"/>
              </w:rPr>
              <w:t>2</w:t>
            </w:r>
          </w:p>
        </w:tc>
        <w:tc>
          <w:tcPr>
            <w:tcW w:w="2158" w:type="pct"/>
            <w:shd w:val="clear" w:color="auto" w:fill="F2F2F2" w:themeFill="background1" w:themeFillShade="F2"/>
            <w:hideMark/>
          </w:tcPr>
          <w:p w14:paraId="76BE404A" w14:textId="77777777" w:rsidR="00B3406A" w:rsidRPr="0063070A" w:rsidRDefault="00B3406A" w:rsidP="00815A6D">
            <w:pPr>
              <w:pStyle w:val="ListParagraph"/>
              <w:numPr>
                <w:ilvl w:val="0"/>
                <w:numId w:val="42"/>
              </w:numPr>
              <w:rPr>
                <w:szCs w:val="18"/>
              </w:rPr>
            </w:pPr>
            <w:r w:rsidRPr="00360862">
              <w:rPr>
                <w:szCs w:val="18"/>
                <w:u w:val="single"/>
              </w:rPr>
              <w:t>Efficacy</w:t>
            </w:r>
            <w:r w:rsidRPr="00360862">
              <w:rPr>
                <w:szCs w:val="18"/>
              </w:rPr>
              <w:t>: Statistically significant</w:t>
            </w:r>
            <w:r>
              <w:rPr>
                <w:szCs w:val="18"/>
              </w:rPr>
              <w:t xml:space="preserve"> based on RR and RD </w:t>
            </w:r>
            <w:r w:rsidRPr="0063070A">
              <w:rPr>
                <w:szCs w:val="18"/>
              </w:rPr>
              <w:t>(in favour of NRT)</w:t>
            </w:r>
            <w:r>
              <w:rPr>
                <w:szCs w:val="18"/>
              </w:rPr>
              <w:t>.</w:t>
            </w:r>
          </w:p>
          <w:p w14:paraId="7BB549E5" w14:textId="77777777" w:rsidR="00B3406A" w:rsidRPr="0063070A" w:rsidRDefault="00B3406A" w:rsidP="00815A6D">
            <w:pPr>
              <w:pStyle w:val="ListParagraph"/>
              <w:numPr>
                <w:ilvl w:val="0"/>
                <w:numId w:val="42"/>
              </w:numPr>
              <w:rPr>
                <w:szCs w:val="18"/>
              </w:rPr>
            </w:pPr>
            <w:r w:rsidRPr="00360862">
              <w:rPr>
                <w:szCs w:val="18"/>
                <w:u w:val="single"/>
              </w:rPr>
              <w:t>Safety:</w:t>
            </w:r>
            <w:r w:rsidRPr="00360862">
              <w:rPr>
                <w:szCs w:val="18"/>
              </w:rPr>
              <w:t xml:space="preserve"> Statistically significant</w:t>
            </w:r>
            <w:r>
              <w:rPr>
                <w:szCs w:val="18"/>
              </w:rPr>
              <w:t xml:space="preserve"> based on OR </w:t>
            </w:r>
            <w:r w:rsidRPr="0063070A">
              <w:rPr>
                <w:szCs w:val="18"/>
              </w:rPr>
              <w:t>(palpitations, tachycardia, chest pains; higher in NRT)</w:t>
            </w:r>
            <w:r>
              <w:rPr>
                <w:szCs w:val="18"/>
              </w:rPr>
              <w:t>.</w:t>
            </w:r>
          </w:p>
        </w:tc>
      </w:tr>
      <w:tr w:rsidR="00B3406A" w:rsidRPr="00360862" w14:paraId="491AAA55" w14:textId="77777777" w:rsidTr="00A82090">
        <w:trPr>
          <w:trHeight w:val="617"/>
        </w:trPr>
        <w:tc>
          <w:tcPr>
            <w:tcW w:w="1544" w:type="pct"/>
            <w:shd w:val="clear" w:color="auto" w:fill="F2F2F2" w:themeFill="background1" w:themeFillShade="F2"/>
            <w:hideMark/>
          </w:tcPr>
          <w:p w14:paraId="6F853E55" w14:textId="77777777" w:rsidR="00B3406A" w:rsidRPr="00360862" w:rsidRDefault="00B3406A" w:rsidP="001E7257">
            <w:pPr>
              <w:spacing w:after="200"/>
              <w:rPr>
                <w:szCs w:val="18"/>
              </w:rPr>
            </w:pPr>
            <w:r w:rsidRPr="00360862">
              <w:rPr>
                <w:rFonts w:eastAsia="Calibri"/>
                <w:szCs w:val="18"/>
              </w:rPr>
              <w:t>NRT patch vs v</w:t>
            </w:r>
            <w:r w:rsidRPr="00360862">
              <w:rPr>
                <w:szCs w:val="18"/>
              </w:rPr>
              <w:t>arenicline</w:t>
            </w:r>
          </w:p>
        </w:tc>
        <w:tc>
          <w:tcPr>
            <w:tcW w:w="1298" w:type="pct"/>
            <w:shd w:val="clear" w:color="auto" w:fill="F2F2F2" w:themeFill="background1" w:themeFillShade="F2"/>
            <w:hideMark/>
          </w:tcPr>
          <w:p w14:paraId="65B5452D" w14:textId="77777777" w:rsidR="00B3406A" w:rsidRDefault="00B3406A" w:rsidP="00815A6D">
            <w:pPr>
              <w:pStyle w:val="ListParagraph"/>
              <w:numPr>
                <w:ilvl w:val="0"/>
                <w:numId w:val="44"/>
              </w:numPr>
              <w:rPr>
                <w:szCs w:val="18"/>
              </w:rPr>
            </w:pPr>
            <w:r w:rsidRPr="006C1DAD">
              <w:rPr>
                <w:szCs w:val="18"/>
              </w:rPr>
              <w:t>Cahill (2016)</w:t>
            </w:r>
            <w:r w:rsidRPr="006C1DAD">
              <w:rPr>
                <w:szCs w:val="18"/>
                <w:vertAlign w:val="superscript"/>
              </w:rPr>
              <w:t>1</w:t>
            </w:r>
          </w:p>
          <w:p w14:paraId="762BCAC0" w14:textId="77777777" w:rsidR="00B3406A" w:rsidRDefault="00B3406A" w:rsidP="00815A6D">
            <w:pPr>
              <w:pStyle w:val="ListParagraph"/>
              <w:numPr>
                <w:ilvl w:val="0"/>
                <w:numId w:val="44"/>
              </w:numPr>
              <w:rPr>
                <w:szCs w:val="18"/>
              </w:rPr>
            </w:pPr>
            <w:r w:rsidRPr="006C1DAD">
              <w:rPr>
                <w:szCs w:val="18"/>
              </w:rPr>
              <w:t>Lerman (2015)</w:t>
            </w:r>
            <w:r w:rsidRPr="006C1DAD">
              <w:rPr>
                <w:szCs w:val="18"/>
                <w:vertAlign w:val="superscript"/>
              </w:rPr>
              <w:t>2</w:t>
            </w:r>
          </w:p>
          <w:p w14:paraId="090E2E2D" w14:textId="77777777" w:rsidR="00B3406A" w:rsidRDefault="00B3406A" w:rsidP="00815A6D">
            <w:pPr>
              <w:pStyle w:val="ListParagraph"/>
              <w:numPr>
                <w:ilvl w:val="0"/>
                <w:numId w:val="44"/>
              </w:numPr>
              <w:rPr>
                <w:szCs w:val="18"/>
              </w:rPr>
            </w:pPr>
            <w:r w:rsidRPr="006C1DAD">
              <w:rPr>
                <w:szCs w:val="18"/>
              </w:rPr>
              <w:t>Tulloch (2016)</w:t>
            </w:r>
            <w:r w:rsidRPr="006C1DAD">
              <w:rPr>
                <w:szCs w:val="18"/>
                <w:vertAlign w:val="superscript"/>
              </w:rPr>
              <w:t>2</w:t>
            </w:r>
          </w:p>
          <w:p w14:paraId="000E22BC" w14:textId="77777777" w:rsidR="00B3406A" w:rsidRPr="006C1DAD" w:rsidRDefault="00B3406A" w:rsidP="00815A6D">
            <w:pPr>
              <w:pStyle w:val="ListParagraph"/>
              <w:numPr>
                <w:ilvl w:val="0"/>
                <w:numId w:val="44"/>
              </w:numPr>
              <w:rPr>
                <w:szCs w:val="18"/>
              </w:rPr>
            </w:pPr>
            <w:r w:rsidRPr="006C1DAD">
              <w:rPr>
                <w:rFonts w:eastAsia="MS Mincho"/>
              </w:rPr>
              <w:t>Rohsenow (2017)</w:t>
            </w:r>
            <w:r w:rsidRPr="006C1DAD">
              <w:rPr>
                <w:rFonts w:eastAsia="MS Mincho"/>
                <w:vertAlign w:val="superscript"/>
              </w:rPr>
              <w:t>2</w:t>
            </w:r>
          </w:p>
          <w:p w14:paraId="3957241E" w14:textId="77777777" w:rsidR="00B3406A" w:rsidRPr="006C1DAD" w:rsidRDefault="00B3406A" w:rsidP="00815A6D">
            <w:pPr>
              <w:pStyle w:val="ListParagraph"/>
              <w:numPr>
                <w:ilvl w:val="0"/>
                <w:numId w:val="44"/>
              </w:numPr>
              <w:rPr>
                <w:szCs w:val="18"/>
              </w:rPr>
            </w:pPr>
            <w:r w:rsidRPr="006C1DAD">
              <w:rPr>
                <w:rFonts w:eastAsia="MS Mincho"/>
              </w:rPr>
              <w:t>Benowitz (2018)</w:t>
            </w:r>
            <w:r w:rsidRPr="006C1DAD">
              <w:rPr>
                <w:rFonts w:eastAsia="MS Mincho"/>
                <w:vertAlign w:val="superscript"/>
              </w:rPr>
              <w:t>2</w:t>
            </w:r>
          </w:p>
        </w:tc>
        <w:tc>
          <w:tcPr>
            <w:tcW w:w="2158" w:type="pct"/>
            <w:shd w:val="clear" w:color="auto" w:fill="F2F2F2" w:themeFill="background1" w:themeFillShade="F2"/>
            <w:hideMark/>
          </w:tcPr>
          <w:p w14:paraId="5F1177FA" w14:textId="77777777" w:rsidR="00B3406A" w:rsidRPr="006C1DAD" w:rsidRDefault="00B3406A" w:rsidP="00815A6D">
            <w:pPr>
              <w:pStyle w:val="ListParagraph"/>
              <w:numPr>
                <w:ilvl w:val="0"/>
                <w:numId w:val="42"/>
              </w:numPr>
              <w:rPr>
                <w:szCs w:val="18"/>
              </w:rPr>
            </w:pPr>
            <w:r w:rsidRPr="00360862">
              <w:rPr>
                <w:szCs w:val="18"/>
                <w:u w:val="single"/>
              </w:rPr>
              <w:t>Efficacy</w:t>
            </w:r>
            <w:r w:rsidRPr="00360862">
              <w:rPr>
                <w:szCs w:val="18"/>
              </w:rPr>
              <w:t>: Statistically significant</w:t>
            </w:r>
            <w:r>
              <w:rPr>
                <w:szCs w:val="18"/>
              </w:rPr>
              <w:t xml:space="preserve"> based on RR and RD </w:t>
            </w:r>
            <w:r w:rsidRPr="006C1DAD">
              <w:rPr>
                <w:szCs w:val="18"/>
              </w:rPr>
              <w:t>(in favour of varenicline)</w:t>
            </w:r>
            <w:r>
              <w:rPr>
                <w:szCs w:val="18"/>
              </w:rPr>
              <w:t>.</w:t>
            </w:r>
          </w:p>
          <w:p w14:paraId="3C349A92" w14:textId="77777777" w:rsidR="00B3406A" w:rsidRPr="00360862" w:rsidRDefault="00B3406A" w:rsidP="00815A6D">
            <w:pPr>
              <w:pStyle w:val="ListParagraph"/>
              <w:numPr>
                <w:ilvl w:val="0"/>
                <w:numId w:val="42"/>
              </w:numPr>
              <w:rPr>
                <w:szCs w:val="18"/>
              </w:rPr>
            </w:pPr>
            <w:r w:rsidRPr="00360862">
              <w:rPr>
                <w:szCs w:val="18"/>
                <w:u w:val="single"/>
              </w:rPr>
              <w:t>Safety:</w:t>
            </w:r>
            <w:r w:rsidRPr="00360862">
              <w:rPr>
                <w:szCs w:val="18"/>
              </w:rPr>
              <w:t xml:space="preserve"> Not statistically significant</w:t>
            </w:r>
            <w:r>
              <w:rPr>
                <w:szCs w:val="18"/>
              </w:rPr>
              <w:t xml:space="preserve"> </w:t>
            </w:r>
            <w:r w:rsidRPr="00360862">
              <w:rPr>
                <w:szCs w:val="18"/>
              </w:rPr>
              <w:t>(AEs incl. neuropsychiatric and cardiovascular safety)</w:t>
            </w:r>
            <w:r>
              <w:rPr>
                <w:szCs w:val="18"/>
                <w:vertAlign w:val="superscript"/>
              </w:rPr>
              <w:t>3</w:t>
            </w:r>
            <w:r>
              <w:rPr>
                <w:szCs w:val="18"/>
              </w:rPr>
              <w:t>.</w:t>
            </w:r>
            <w:r w:rsidRPr="00360862">
              <w:rPr>
                <w:szCs w:val="18"/>
              </w:rPr>
              <w:t> </w:t>
            </w:r>
          </w:p>
        </w:tc>
      </w:tr>
      <w:tr w:rsidR="00B3406A" w:rsidRPr="00360862" w14:paraId="265C5A7D" w14:textId="77777777" w:rsidTr="00A82090">
        <w:trPr>
          <w:trHeight w:val="523"/>
        </w:trPr>
        <w:tc>
          <w:tcPr>
            <w:tcW w:w="1544" w:type="pct"/>
            <w:shd w:val="clear" w:color="auto" w:fill="F2F2F2" w:themeFill="background1" w:themeFillShade="F2"/>
            <w:hideMark/>
          </w:tcPr>
          <w:p w14:paraId="1F0549CF" w14:textId="77777777" w:rsidR="00B3406A" w:rsidRPr="00360862" w:rsidRDefault="00B3406A" w:rsidP="001E7257">
            <w:pPr>
              <w:spacing w:after="200"/>
              <w:rPr>
                <w:szCs w:val="18"/>
              </w:rPr>
            </w:pPr>
            <w:r w:rsidRPr="00360862">
              <w:rPr>
                <w:rFonts w:eastAsia="Calibri"/>
                <w:szCs w:val="18"/>
              </w:rPr>
              <w:t xml:space="preserve">NRT (gum or lozenge) vs </w:t>
            </w:r>
            <w:r w:rsidRPr="00360862">
              <w:rPr>
                <w:szCs w:val="18"/>
              </w:rPr>
              <w:t>NRT patch</w:t>
            </w:r>
          </w:p>
        </w:tc>
        <w:tc>
          <w:tcPr>
            <w:tcW w:w="1298" w:type="pct"/>
            <w:shd w:val="clear" w:color="auto" w:fill="F2F2F2" w:themeFill="background1" w:themeFillShade="F2"/>
            <w:hideMark/>
          </w:tcPr>
          <w:p w14:paraId="28ED5641" w14:textId="77777777" w:rsidR="00B3406A" w:rsidRPr="006C1DAD" w:rsidRDefault="00B3406A" w:rsidP="00815A6D">
            <w:pPr>
              <w:pStyle w:val="ListParagraph"/>
              <w:numPr>
                <w:ilvl w:val="0"/>
                <w:numId w:val="45"/>
              </w:numPr>
              <w:rPr>
                <w:szCs w:val="18"/>
              </w:rPr>
            </w:pPr>
            <w:r w:rsidRPr="006C1DAD">
              <w:rPr>
                <w:szCs w:val="18"/>
              </w:rPr>
              <w:t>Lindson (2019)</w:t>
            </w:r>
            <w:r w:rsidRPr="006C1DAD">
              <w:rPr>
                <w:szCs w:val="18"/>
                <w:vertAlign w:val="superscript"/>
              </w:rPr>
              <w:t>1</w:t>
            </w:r>
          </w:p>
        </w:tc>
        <w:tc>
          <w:tcPr>
            <w:tcW w:w="2158" w:type="pct"/>
            <w:shd w:val="clear" w:color="auto" w:fill="F2F2F2" w:themeFill="background1" w:themeFillShade="F2"/>
            <w:hideMark/>
          </w:tcPr>
          <w:p w14:paraId="3412BD1A" w14:textId="77777777" w:rsidR="00B3406A" w:rsidRPr="00360862" w:rsidRDefault="00B3406A" w:rsidP="00815A6D">
            <w:pPr>
              <w:pStyle w:val="ListParagraph"/>
              <w:numPr>
                <w:ilvl w:val="0"/>
                <w:numId w:val="42"/>
              </w:numPr>
              <w:rPr>
                <w:szCs w:val="18"/>
              </w:rPr>
            </w:pPr>
            <w:r w:rsidRPr="00360862">
              <w:rPr>
                <w:szCs w:val="18"/>
                <w:u w:val="single"/>
              </w:rPr>
              <w:t>Efficacy:</w:t>
            </w:r>
            <w:r w:rsidRPr="00360862">
              <w:rPr>
                <w:szCs w:val="18"/>
              </w:rPr>
              <w:t xml:space="preserve"> Not statistically significant</w:t>
            </w:r>
            <w:r>
              <w:rPr>
                <w:szCs w:val="18"/>
              </w:rPr>
              <w:t xml:space="preserve"> based on RR.</w:t>
            </w:r>
          </w:p>
          <w:p w14:paraId="4DED5ED8" w14:textId="77777777" w:rsidR="00B3406A" w:rsidRPr="00360862" w:rsidRDefault="00B3406A" w:rsidP="00815A6D">
            <w:pPr>
              <w:pStyle w:val="ListParagraph"/>
              <w:numPr>
                <w:ilvl w:val="0"/>
                <w:numId w:val="42"/>
              </w:numPr>
              <w:rPr>
                <w:szCs w:val="18"/>
              </w:rPr>
            </w:pPr>
            <w:r w:rsidRPr="00360862">
              <w:rPr>
                <w:szCs w:val="18"/>
                <w:u w:val="single"/>
              </w:rPr>
              <w:t>Safety</w:t>
            </w:r>
            <w:r w:rsidRPr="00360862">
              <w:rPr>
                <w:szCs w:val="18"/>
              </w:rPr>
              <w:t>: Not statistically significant</w:t>
            </w:r>
            <w:r>
              <w:rPr>
                <w:szCs w:val="18"/>
              </w:rPr>
              <w:t xml:space="preserve"> based on RR</w:t>
            </w:r>
            <w:r w:rsidRPr="00360862">
              <w:rPr>
                <w:szCs w:val="18"/>
              </w:rPr>
              <w:t xml:space="preserve"> (</w:t>
            </w:r>
            <w:r>
              <w:rPr>
                <w:szCs w:val="18"/>
              </w:rPr>
              <w:t>S</w:t>
            </w:r>
            <w:r w:rsidRPr="00360862">
              <w:rPr>
                <w:szCs w:val="18"/>
              </w:rPr>
              <w:t>AEs, withdrawal due to treatment)</w:t>
            </w:r>
            <w:r>
              <w:rPr>
                <w:szCs w:val="18"/>
              </w:rPr>
              <w:t>.</w:t>
            </w:r>
          </w:p>
        </w:tc>
      </w:tr>
    </w:tbl>
    <w:p w14:paraId="400834F8" w14:textId="77777777" w:rsidR="00B3406A" w:rsidRDefault="00B3406A" w:rsidP="00523139">
      <w:pPr>
        <w:pStyle w:val="TableFooter"/>
        <w:keepNext/>
        <w:jc w:val="both"/>
      </w:pPr>
      <w:r>
        <w:t>Abbreviations: AEs = adverse events; NRT = nicotine replacement therapy; OR = odds ratio; RR = risk ratio, RD = risk difference; SAEs = serious adverse events.</w:t>
      </w:r>
    </w:p>
    <w:p w14:paraId="15E4D37B" w14:textId="77777777" w:rsidR="00B3406A" w:rsidRDefault="00B3406A" w:rsidP="00523139">
      <w:pPr>
        <w:pStyle w:val="TableFooter"/>
        <w:keepNext/>
        <w:jc w:val="both"/>
      </w:pPr>
      <w:r w:rsidRPr="00BE36E8">
        <w:t xml:space="preserve">Notes: </w:t>
      </w:r>
    </w:p>
    <w:p w14:paraId="0691D0CE" w14:textId="77777777" w:rsidR="00B3406A" w:rsidRDefault="00B3406A" w:rsidP="00523139">
      <w:pPr>
        <w:pStyle w:val="TableFooter"/>
        <w:keepNext/>
        <w:jc w:val="both"/>
      </w:pPr>
      <w:r w:rsidRPr="00BE36E8">
        <w:t>1 Cochrane Review</w:t>
      </w:r>
      <w:r>
        <w:t>.</w:t>
      </w:r>
    </w:p>
    <w:p w14:paraId="23042E61" w14:textId="77777777" w:rsidR="00B3406A" w:rsidRPr="00FD279D" w:rsidRDefault="00B3406A" w:rsidP="00523139">
      <w:pPr>
        <w:pStyle w:val="TableFooter"/>
        <w:keepNext/>
        <w:jc w:val="both"/>
      </w:pPr>
      <w:r>
        <w:t>2 Supplemental evidence (RCT).</w:t>
      </w:r>
    </w:p>
    <w:p w14:paraId="7273F3E9" w14:textId="77777777" w:rsidR="00B3406A" w:rsidRPr="00FD279D" w:rsidRDefault="00B3406A" w:rsidP="00523139">
      <w:pPr>
        <w:pStyle w:val="TableFooter"/>
        <w:keepNext/>
        <w:spacing w:after="120"/>
        <w:contextualSpacing w:val="0"/>
        <w:jc w:val="both"/>
      </w:pPr>
      <w:r>
        <w:t>3 Qualitative synthesis.</w:t>
      </w:r>
    </w:p>
    <w:p w14:paraId="65612615" w14:textId="77777777" w:rsidR="00B3406A" w:rsidRPr="007F3B6D" w:rsidRDefault="00B3406A" w:rsidP="00523139">
      <w:pPr>
        <w:spacing w:before="120" w:after="120"/>
        <w:jc w:val="both"/>
      </w:pPr>
      <w:r w:rsidRPr="007F3B6D">
        <w:t>Treatment-experienced population</w:t>
      </w:r>
    </w:p>
    <w:p w14:paraId="5AFED7F5" w14:textId="77777777" w:rsidR="00B3406A" w:rsidRDefault="00B3406A" w:rsidP="00D25738">
      <w:pPr>
        <w:pStyle w:val="ListParagraph"/>
        <w:numPr>
          <w:ilvl w:val="0"/>
          <w:numId w:val="22"/>
        </w:numPr>
        <w:ind w:left="360"/>
        <w:jc w:val="both"/>
      </w:pPr>
      <w:r w:rsidRPr="007F3B6D">
        <w:t xml:space="preserve">NRT </w:t>
      </w:r>
      <w:r>
        <w:t>has not previously been considered by the PBAC for treatment-experienced patients.</w:t>
      </w:r>
    </w:p>
    <w:p w14:paraId="7DAFB428" w14:textId="03A4F0B8" w:rsidR="00B3406A" w:rsidRDefault="00B3406A" w:rsidP="00D25738">
      <w:pPr>
        <w:pStyle w:val="ListParagraph"/>
        <w:numPr>
          <w:ilvl w:val="0"/>
          <w:numId w:val="22"/>
        </w:numPr>
        <w:ind w:left="360"/>
        <w:jc w:val="both"/>
      </w:pPr>
      <w:r>
        <w:t xml:space="preserve">There were no statistically significant differences between </w:t>
      </w:r>
      <w:r w:rsidRPr="007F3B6D">
        <w:t xml:space="preserve">NRT </w:t>
      </w:r>
      <w:r>
        <w:t>(either as gum or inhaler)</w:t>
      </w:r>
      <w:r w:rsidRPr="007F3B6D">
        <w:t xml:space="preserve"> </w:t>
      </w:r>
      <w:r>
        <w:t>and</w:t>
      </w:r>
      <w:r w:rsidRPr="007F3B6D">
        <w:t xml:space="preserve"> placebo in terms of efficacy as a relapse prevention treatment in abstainers.</w:t>
      </w:r>
      <w:r w:rsidRPr="001810E2">
        <w:t xml:space="preserve"> The adverse events reported were consistent with those expected of </w:t>
      </w:r>
      <w:r>
        <w:t>NRT</w:t>
      </w:r>
      <w:r w:rsidRPr="00663D67">
        <w:t>.</w:t>
      </w:r>
      <w:r w:rsidRPr="00280BDB">
        <w:t xml:space="preserve"> No evidence was identified comparing NRT monotherapy (either as patch, </w:t>
      </w:r>
      <w:r w:rsidR="00FA4C3B" w:rsidRPr="00280BDB">
        <w:t>gum,</w:t>
      </w:r>
      <w:r w:rsidRPr="00280BDB">
        <w:t xml:space="preserve"> or lozenge) with placebo in patients who achieved abstinence after initial treatment with NRT monotherapy using the same formulation.</w:t>
      </w:r>
    </w:p>
    <w:p w14:paraId="02D5CA3C" w14:textId="167B6F40" w:rsidR="00B3406A" w:rsidRDefault="009B1ED8" w:rsidP="00523139">
      <w:pPr>
        <w:pStyle w:val="ListParagraph"/>
        <w:numPr>
          <w:ilvl w:val="0"/>
          <w:numId w:val="22"/>
        </w:numPr>
        <w:spacing w:after="240"/>
        <w:ind w:left="357" w:hanging="357"/>
        <w:contextualSpacing w:val="0"/>
        <w:jc w:val="both"/>
      </w:pPr>
      <w:r w:rsidRPr="00455537">
        <w:t xml:space="preserve">The results of Gourlay et al. (1995), based on continuous abstinence rate, demonstrated no statistically significant difference between NRT patches and placebo in non-abstainers as retreatment at 6 months. However, there was a statistically significant improvement in smoking cessation rates using NRT patches based on 28-day point prevalence abstinence (RR: 2.49; 95% CI: 1.11, 5.57) at this point in the study by Gourlay et al. (1995) only. In terms of safety, there were no statistically significant differences between the two treatment arms for palpitations, </w:t>
      </w:r>
      <w:r w:rsidR="00FA4C3B" w:rsidRPr="00455537">
        <w:t>tachycardia,</w:t>
      </w:r>
      <w:r w:rsidRPr="00455537">
        <w:t xml:space="preserve"> or chest pains. It was noted that the quit rates were low in both groups with either definition of abstinence. In terms of safety, there were no statistically significant differences between the two treatment arms for palpitations, </w:t>
      </w:r>
      <w:r w:rsidR="00FA4C3B" w:rsidRPr="00455537">
        <w:t>tachycardia,</w:t>
      </w:r>
      <w:r w:rsidRPr="00455537">
        <w:t xml:space="preserve"> or chest pains</w:t>
      </w:r>
      <w:r w:rsidR="00FA4C3B">
        <w:t>.</w:t>
      </w:r>
      <w:r w:rsidR="002F3376">
        <w:br w:type="page"/>
      </w:r>
    </w:p>
    <w:tbl>
      <w:tblPr>
        <w:tblStyle w:val="TableGrid3"/>
        <w:tblW w:w="5000" w:type="pct"/>
        <w:shd w:val="clear" w:color="auto" w:fill="F2F2F2" w:themeFill="background1" w:themeFillShade="F2"/>
        <w:tblLook w:val="04A0" w:firstRow="1" w:lastRow="0" w:firstColumn="1" w:lastColumn="0" w:noHBand="0" w:noVBand="1"/>
      </w:tblPr>
      <w:tblGrid>
        <w:gridCol w:w="2336"/>
        <w:gridCol w:w="2699"/>
        <w:gridCol w:w="3981"/>
      </w:tblGrid>
      <w:tr w:rsidR="00B3406A" w:rsidRPr="00916516" w14:paraId="47A3FECA" w14:textId="77777777" w:rsidTr="00A82090">
        <w:trPr>
          <w:trHeight w:val="67"/>
        </w:trPr>
        <w:tc>
          <w:tcPr>
            <w:tcW w:w="1295" w:type="pct"/>
            <w:shd w:val="clear" w:color="auto" w:fill="F2F2F2" w:themeFill="background1" w:themeFillShade="F2"/>
            <w:hideMark/>
          </w:tcPr>
          <w:p w14:paraId="7550DB67" w14:textId="77777777" w:rsidR="00B3406A" w:rsidRPr="00916516" w:rsidRDefault="00B3406A" w:rsidP="001E7257">
            <w:pPr>
              <w:spacing w:after="200"/>
              <w:rPr>
                <w:szCs w:val="18"/>
              </w:rPr>
            </w:pPr>
            <w:r w:rsidRPr="00916516">
              <w:rPr>
                <w:b/>
                <w:bCs/>
                <w:szCs w:val="18"/>
              </w:rPr>
              <w:lastRenderedPageBreak/>
              <w:t>Compar</w:t>
            </w:r>
            <w:r>
              <w:rPr>
                <w:b/>
                <w:bCs/>
                <w:szCs w:val="18"/>
              </w:rPr>
              <w:t>ison</w:t>
            </w:r>
          </w:p>
        </w:tc>
        <w:tc>
          <w:tcPr>
            <w:tcW w:w="1497" w:type="pct"/>
            <w:shd w:val="clear" w:color="auto" w:fill="F2F2F2" w:themeFill="background1" w:themeFillShade="F2"/>
            <w:hideMark/>
          </w:tcPr>
          <w:p w14:paraId="39FDFD33" w14:textId="77777777" w:rsidR="00B3406A" w:rsidRPr="00916516" w:rsidRDefault="00B3406A" w:rsidP="001E7257">
            <w:pPr>
              <w:spacing w:after="200"/>
              <w:jc w:val="center"/>
              <w:rPr>
                <w:szCs w:val="18"/>
              </w:rPr>
            </w:pPr>
            <w:r>
              <w:rPr>
                <w:b/>
                <w:bCs/>
                <w:szCs w:val="18"/>
              </w:rPr>
              <w:t>Included studies</w:t>
            </w:r>
          </w:p>
        </w:tc>
        <w:tc>
          <w:tcPr>
            <w:tcW w:w="2208" w:type="pct"/>
            <w:shd w:val="clear" w:color="auto" w:fill="F2F2F2" w:themeFill="background1" w:themeFillShade="F2"/>
            <w:hideMark/>
          </w:tcPr>
          <w:p w14:paraId="5FE74DE4" w14:textId="77777777" w:rsidR="00B3406A" w:rsidRPr="00916516" w:rsidRDefault="00B3406A" w:rsidP="001E7257">
            <w:pPr>
              <w:spacing w:after="200"/>
              <w:jc w:val="center"/>
              <w:rPr>
                <w:szCs w:val="18"/>
              </w:rPr>
            </w:pPr>
            <w:r>
              <w:rPr>
                <w:b/>
                <w:bCs/>
                <w:szCs w:val="18"/>
              </w:rPr>
              <w:t>Summary of evidence</w:t>
            </w:r>
          </w:p>
        </w:tc>
      </w:tr>
      <w:tr w:rsidR="00B3406A" w:rsidRPr="00916516" w14:paraId="37932B7F" w14:textId="77777777" w:rsidTr="00A82090">
        <w:trPr>
          <w:trHeight w:val="67"/>
        </w:trPr>
        <w:tc>
          <w:tcPr>
            <w:tcW w:w="5000" w:type="pct"/>
            <w:gridSpan w:val="3"/>
            <w:shd w:val="clear" w:color="auto" w:fill="F2F2F2" w:themeFill="background1" w:themeFillShade="F2"/>
            <w:hideMark/>
          </w:tcPr>
          <w:p w14:paraId="797278DA" w14:textId="77777777" w:rsidR="00B3406A" w:rsidRPr="00916516" w:rsidRDefault="00B3406A" w:rsidP="001E7257">
            <w:pPr>
              <w:spacing w:after="200"/>
              <w:rPr>
                <w:szCs w:val="18"/>
              </w:rPr>
            </w:pPr>
            <w:r w:rsidRPr="00916516">
              <w:rPr>
                <w:b/>
                <w:bCs/>
                <w:szCs w:val="18"/>
              </w:rPr>
              <w:t>Treatment-experienced population (relapse prevention treatment in abstainers)</w:t>
            </w:r>
          </w:p>
        </w:tc>
      </w:tr>
      <w:tr w:rsidR="00B3406A" w:rsidRPr="00916516" w14:paraId="7416E347" w14:textId="77777777" w:rsidTr="00A82090">
        <w:trPr>
          <w:trHeight w:val="333"/>
        </w:trPr>
        <w:tc>
          <w:tcPr>
            <w:tcW w:w="1295" w:type="pct"/>
            <w:shd w:val="clear" w:color="auto" w:fill="F2F2F2" w:themeFill="background1" w:themeFillShade="F2"/>
            <w:hideMark/>
          </w:tcPr>
          <w:p w14:paraId="23F87AFC" w14:textId="77777777" w:rsidR="00B3406A" w:rsidRPr="00360862" w:rsidRDefault="00B3406A" w:rsidP="001E7257">
            <w:pPr>
              <w:spacing w:after="200"/>
              <w:rPr>
                <w:szCs w:val="18"/>
              </w:rPr>
            </w:pPr>
            <w:r w:rsidRPr="00360862">
              <w:rPr>
                <w:szCs w:val="18"/>
              </w:rPr>
              <w:t>NRT (gum or inhaler) vs p</w:t>
            </w:r>
            <w:r w:rsidRPr="00360862">
              <w:rPr>
                <w:rFonts w:eastAsia="Calibri"/>
                <w:szCs w:val="18"/>
              </w:rPr>
              <w:t>lacebo</w:t>
            </w:r>
          </w:p>
        </w:tc>
        <w:tc>
          <w:tcPr>
            <w:tcW w:w="1497" w:type="pct"/>
            <w:shd w:val="clear" w:color="auto" w:fill="F2F2F2" w:themeFill="background1" w:themeFillShade="F2"/>
            <w:hideMark/>
          </w:tcPr>
          <w:p w14:paraId="0E92D2D7" w14:textId="77777777" w:rsidR="00B3406A" w:rsidRPr="0081007D" w:rsidRDefault="00B3406A" w:rsidP="00815A6D">
            <w:pPr>
              <w:pStyle w:val="ListParagraph"/>
              <w:numPr>
                <w:ilvl w:val="0"/>
                <w:numId w:val="48"/>
              </w:numPr>
              <w:rPr>
                <w:szCs w:val="18"/>
              </w:rPr>
            </w:pPr>
            <w:r w:rsidRPr="0081007D">
              <w:rPr>
                <w:szCs w:val="18"/>
              </w:rPr>
              <w:t>Livingstone-Banks (2019)</w:t>
            </w:r>
            <w:r w:rsidRPr="0081007D">
              <w:rPr>
                <w:szCs w:val="18"/>
                <w:vertAlign w:val="superscript"/>
              </w:rPr>
              <w:t>1</w:t>
            </w:r>
          </w:p>
        </w:tc>
        <w:tc>
          <w:tcPr>
            <w:tcW w:w="2208" w:type="pct"/>
            <w:shd w:val="clear" w:color="auto" w:fill="F2F2F2" w:themeFill="background1" w:themeFillShade="F2"/>
            <w:hideMark/>
          </w:tcPr>
          <w:p w14:paraId="31AF4BE9" w14:textId="77777777" w:rsidR="00B3406A" w:rsidRPr="00360862" w:rsidRDefault="00B3406A" w:rsidP="00815A6D">
            <w:pPr>
              <w:pStyle w:val="ListParagraph"/>
              <w:numPr>
                <w:ilvl w:val="0"/>
                <w:numId w:val="46"/>
              </w:numPr>
              <w:rPr>
                <w:szCs w:val="18"/>
              </w:rPr>
            </w:pPr>
            <w:r w:rsidRPr="00360862">
              <w:rPr>
                <w:szCs w:val="18"/>
              </w:rPr>
              <w:t>Efficacy: Not statistically significant</w:t>
            </w:r>
            <w:r>
              <w:rPr>
                <w:szCs w:val="18"/>
              </w:rPr>
              <w:t xml:space="preserve"> based on RR.</w:t>
            </w:r>
          </w:p>
          <w:p w14:paraId="2D000043" w14:textId="77777777" w:rsidR="00B3406A" w:rsidRPr="00360862" w:rsidRDefault="00B3406A" w:rsidP="00815A6D">
            <w:pPr>
              <w:pStyle w:val="ListParagraph"/>
              <w:numPr>
                <w:ilvl w:val="0"/>
                <w:numId w:val="46"/>
              </w:numPr>
              <w:rPr>
                <w:szCs w:val="18"/>
              </w:rPr>
            </w:pPr>
            <w:r w:rsidRPr="00360862">
              <w:rPr>
                <w:szCs w:val="18"/>
              </w:rPr>
              <w:t xml:space="preserve">Safety: </w:t>
            </w:r>
            <w:r w:rsidRPr="00360862">
              <w:rPr>
                <w:rFonts w:eastAsia="Calibri"/>
                <w:szCs w:val="18"/>
              </w:rPr>
              <w:t>AEs reported were consistent with those expected of NRT</w:t>
            </w:r>
            <w:r>
              <w:rPr>
                <w:rFonts w:eastAsia="Calibri"/>
                <w:szCs w:val="18"/>
              </w:rPr>
              <w:t>.</w:t>
            </w:r>
          </w:p>
        </w:tc>
      </w:tr>
      <w:tr w:rsidR="00B3406A" w:rsidRPr="00916516" w14:paraId="5B48B474" w14:textId="77777777" w:rsidTr="00A82090">
        <w:trPr>
          <w:trHeight w:val="67"/>
        </w:trPr>
        <w:tc>
          <w:tcPr>
            <w:tcW w:w="5000" w:type="pct"/>
            <w:gridSpan w:val="3"/>
            <w:shd w:val="clear" w:color="auto" w:fill="F2F2F2" w:themeFill="background1" w:themeFillShade="F2"/>
            <w:hideMark/>
          </w:tcPr>
          <w:p w14:paraId="2D1A0BF0" w14:textId="77777777" w:rsidR="00B3406A" w:rsidRPr="00916516" w:rsidRDefault="00B3406A" w:rsidP="001E7257">
            <w:pPr>
              <w:rPr>
                <w:szCs w:val="18"/>
              </w:rPr>
            </w:pPr>
            <w:r w:rsidRPr="00916516">
              <w:rPr>
                <w:b/>
                <w:bCs/>
                <w:szCs w:val="18"/>
              </w:rPr>
              <w:t>Treatment-experienced population (retreatment in non-abstainers)</w:t>
            </w:r>
          </w:p>
        </w:tc>
      </w:tr>
      <w:tr w:rsidR="00B3406A" w:rsidRPr="00916516" w14:paraId="714B81EA" w14:textId="77777777" w:rsidTr="00A82090">
        <w:trPr>
          <w:trHeight w:val="441"/>
        </w:trPr>
        <w:tc>
          <w:tcPr>
            <w:tcW w:w="1295" w:type="pct"/>
            <w:shd w:val="clear" w:color="auto" w:fill="F2F2F2" w:themeFill="background1" w:themeFillShade="F2"/>
            <w:hideMark/>
          </w:tcPr>
          <w:p w14:paraId="0F3F9DCF" w14:textId="77777777" w:rsidR="00B3406A" w:rsidRPr="00360862" w:rsidRDefault="00B3406A" w:rsidP="001E7257">
            <w:pPr>
              <w:spacing w:after="200"/>
              <w:rPr>
                <w:szCs w:val="18"/>
              </w:rPr>
            </w:pPr>
            <w:r w:rsidRPr="00360862">
              <w:rPr>
                <w:szCs w:val="18"/>
              </w:rPr>
              <w:t>NRT (patch) vs p</w:t>
            </w:r>
            <w:r w:rsidRPr="00360862">
              <w:rPr>
                <w:rFonts w:eastAsia="Calibri"/>
                <w:szCs w:val="18"/>
              </w:rPr>
              <w:t>lacebo</w:t>
            </w:r>
          </w:p>
        </w:tc>
        <w:tc>
          <w:tcPr>
            <w:tcW w:w="1497" w:type="pct"/>
            <w:shd w:val="clear" w:color="auto" w:fill="F2F2F2" w:themeFill="background1" w:themeFillShade="F2"/>
            <w:hideMark/>
          </w:tcPr>
          <w:p w14:paraId="1695D59C" w14:textId="77777777" w:rsidR="00B3406A" w:rsidRPr="0081007D" w:rsidRDefault="00B3406A" w:rsidP="00815A6D">
            <w:pPr>
              <w:pStyle w:val="ListParagraph"/>
              <w:numPr>
                <w:ilvl w:val="0"/>
                <w:numId w:val="49"/>
              </w:numPr>
              <w:rPr>
                <w:szCs w:val="18"/>
              </w:rPr>
            </w:pPr>
            <w:r w:rsidRPr="0081007D">
              <w:rPr>
                <w:szCs w:val="18"/>
              </w:rPr>
              <w:t>Gourlay</w:t>
            </w:r>
            <w:r>
              <w:rPr>
                <w:szCs w:val="18"/>
              </w:rPr>
              <w:t xml:space="preserve"> </w:t>
            </w:r>
            <w:r w:rsidRPr="0081007D">
              <w:rPr>
                <w:szCs w:val="18"/>
              </w:rPr>
              <w:t>(1995</w:t>
            </w:r>
            <w:r>
              <w:rPr>
                <w:szCs w:val="18"/>
              </w:rPr>
              <w:t>)</w:t>
            </w:r>
            <w:r>
              <w:rPr>
                <w:szCs w:val="18"/>
                <w:vertAlign w:val="superscript"/>
              </w:rPr>
              <w:t>2</w:t>
            </w:r>
          </w:p>
        </w:tc>
        <w:tc>
          <w:tcPr>
            <w:tcW w:w="2208" w:type="pct"/>
            <w:shd w:val="clear" w:color="auto" w:fill="F2F2F2" w:themeFill="background1" w:themeFillShade="F2"/>
            <w:hideMark/>
          </w:tcPr>
          <w:p w14:paraId="0D30791F" w14:textId="77777777" w:rsidR="00B3406A" w:rsidRPr="00360862" w:rsidRDefault="00B3406A" w:rsidP="00815A6D">
            <w:pPr>
              <w:pStyle w:val="ListParagraph"/>
              <w:numPr>
                <w:ilvl w:val="0"/>
                <w:numId w:val="47"/>
              </w:numPr>
              <w:rPr>
                <w:szCs w:val="18"/>
              </w:rPr>
            </w:pPr>
            <w:r w:rsidRPr="00360862">
              <w:rPr>
                <w:szCs w:val="18"/>
              </w:rPr>
              <w:t>Efficacy: Not statistically significant</w:t>
            </w:r>
            <w:r>
              <w:rPr>
                <w:szCs w:val="18"/>
              </w:rPr>
              <w:t xml:space="preserve"> based on RR and RD.</w:t>
            </w:r>
          </w:p>
          <w:p w14:paraId="17A35DA0" w14:textId="77777777" w:rsidR="00B3406A" w:rsidRPr="00A303FF" w:rsidRDefault="00B3406A" w:rsidP="00815A6D">
            <w:pPr>
              <w:pStyle w:val="ListParagraph"/>
              <w:numPr>
                <w:ilvl w:val="0"/>
                <w:numId w:val="47"/>
              </w:numPr>
              <w:rPr>
                <w:szCs w:val="18"/>
              </w:rPr>
            </w:pPr>
            <w:r w:rsidRPr="00360862">
              <w:rPr>
                <w:szCs w:val="18"/>
              </w:rPr>
              <w:t xml:space="preserve">Safety: Not statistically significant </w:t>
            </w:r>
            <w:r>
              <w:rPr>
                <w:szCs w:val="18"/>
              </w:rPr>
              <w:t xml:space="preserve">based on RR and RD </w:t>
            </w:r>
            <w:r w:rsidRPr="00A303FF">
              <w:rPr>
                <w:szCs w:val="18"/>
              </w:rPr>
              <w:t>(palpitations, tachycardia, chest pains)</w:t>
            </w:r>
            <w:r>
              <w:rPr>
                <w:szCs w:val="18"/>
              </w:rPr>
              <w:t>.</w:t>
            </w:r>
          </w:p>
        </w:tc>
      </w:tr>
    </w:tbl>
    <w:p w14:paraId="78C3D016" w14:textId="77777777" w:rsidR="00B3406A" w:rsidRDefault="00B3406A" w:rsidP="00523139">
      <w:pPr>
        <w:pStyle w:val="TableFooter"/>
        <w:keepNext/>
        <w:jc w:val="both"/>
      </w:pPr>
      <w:r>
        <w:t>Abbreviations: AEs = adverse events; OR = odds ratio; RR = risk ratio, RD = risk difference.</w:t>
      </w:r>
    </w:p>
    <w:p w14:paraId="0B12D35B" w14:textId="77777777" w:rsidR="00B3406A" w:rsidRDefault="00B3406A" w:rsidP="00523139">
      <w:pPr>
        <w:pStyle w:val="TableFooter"/>
        <w:keepNext/>
        <w:jc w:val="both"/>
      </w:pPr>
      <w:r w:rsidRPr="00BE36E8">
        <w:t xml:space="preserve">Notes: </w:t>
      </w:r>
    </w:p>
    <w:p w14:paraId="6C430B2B" w14:textId="18679A35" w:rsidR="00B3406A" w:rsidRPr="00487DD4" w:rsidRDefault="00B3406A" w:rsidP="00523139">
      <w:pPr>
        <w:pStyle w:val="TableFooter"/>
        <w:keepNext/>
        <w:jc w:val="both"/>
      </w:pPr>
      <w:r w:rsidRPr="00BE36E8">
        <w:t>1 Cochrane Review</w:t>
      </w:r>
      <w:r>
        <w:t xml:space="preserve">. </w:t>
      </w:r>
      <w:r w:rsidRPr="006635AD">
        <w:t xml:space="preserve">None of the studies identified by Livingstone-Banks et al. (2019) compared NRT monotherapy (either as patch, </w:t>
      </w:r>
      <w:r w:rsidR="00C0289B" w:rsidRPr="006635AD">
        <w:t>gum,</w:t>
      </w:r>
      <w:r w:rsidRPr="006635AD">
        <w:t xml:space="preserve"> or lozenge) with placebo in patients who achieved abstinence after initial treatment with NRT monotherapy using the same formulation. In Covey et al. (2007), patients were provided bupropion plus NRT patches in the initial treatment phase while patients were provided NRT inhaler in Croghan et al. (2007)</w:t>
      </w:r>
      <w:r>
        <w:t>.</w:t>
      </w:r>
    </w:p>
    <w:p w14:paraId="63106AE7" w14:textId="7DAAD8EB" w:rsidR="00B3406A" w:rsidRPr="00487DD4" w:rsidRDefault="007D1349" w:rsidP="00523139">
      <w:pPr>
        <w:pStyle w:val="TableFooter"/>
        <w:keepNext/>
        <w:spacing w:after="120"/>
        <w:contextualSpacing w:val="0"/>
        <w:jc w:val="both"/>
      </w:pPr>
      <w:r>
        <w:t xml:space="preserve">2 </w:t>
      </w:r>
      <w:r w:rsidR="00B3406A">
        <w:t>Included in Cochrane Review by Hartmann-Boyce et al. (2018).</w:t>
      </w:r>
    </w:p>
    <w:p w14:paraId="07E20A8B" w14:textId="63A1B35E" w:rsidR="00B3406A" w:rsidRDefault="00280A7C" w:rsidP="00523139">
      <w:pPr>
        <w:pStyle w:val="Heading3"/>
        <w:spacing w:before="120" w:after="120"/>
        <w:jc w:val="both"/>
      </w:pPr>
      <w:bookmarkStart w:id="48" w:name="_Toc63082730"/>
      <w:bookmarkStart w:id="49" w:name="_Toc111710692"/>
      <w:r>
        <w:t xml:space="preserve">3.2 </w:t>
      </w:r>
      <w:r w:rsidR="00B3406A">
        <w:t>Combination therapy in the general population</w:t>
      </w:r>
      <w:bookmarkEnd w:id="48"/>
      <w:bookmarkEnd w:id="49"/>
    </w:p>
    <w:p w14:paraId="05BB3C2F" w14:textId="2E032400" w:rsidR="00B3406A" w:rsidRDefault="00B3406A" w:rsidP="00523139">
      <w:pPr>
        <w:spacing w:before="120" w:after="120"/>
        <w:jc w:val="both"/>
        <w:rPr>
          <w:rFonts w:eastAsiaTheme="minorEastAsia"/>
          <w:b/>
          <w:i/>
          <w:sz w:val="28"/>
          <w:szCs w:val="28"/>
        </w:rPr>
      </w:pPr>
      <w:r w:rsidRPr="009F485D">
        <w:rPr>
          <w:rFonts w:eastAsiaTheme="minorEastAsia"/>
          <w:b/>
          <w:i/>
          <w:sz w:val="28"/>
          <w:szCs w:val="28"/>
        </w:rPr>
        <w:t>Summarise the comparative efficacy and safety of PBS-listed treatments when used as combination therapy</w:t>
      </w:r>
    </w:p>
    <w:p w14:paraId="7B0087B3" w14:textId="5993A052" w:rsidR="00B3406A" w:rsidRPr="00663D67" w:rsidRDefault="00B3406A" w:rsidP="00523139">
      <w:pPr>
        <w:spacing w:before="120" w:after="120"/>
        <w:jc w:val="both"/>
      </w:pPr>
      <w:r w:rsidRPr="00541990">
        <w:t>Combination therapies for smoking cessation have not been previously considered by the PBAC. In March 2018, the PBAC noted that the latest clinical guidelines encouraged health professionals to consider recommending the use of combination NRT (</w:t>
      </w:r>
      <w:r w:rsidR="00C0289B" w:rsidRPr="00541990">
        <w:t>e.g.,</w:t>
      </w:r>
      <w:r w:rsidRPr="00541990">
        <w:t xml:space="preserve"> NRT patch with NRT gum or lozenges)</w:t>
      </w:r>
      <w:r>
        <w:t>.</w:t>
      </w:r>
    </w:p>
    <w:p w14:paraId="5E62D9CF" w14:textId="3693391B" w:rsidR="00B3406A" w:rsidRPr="00B23D0F" w:rsidRDefault="00B3406A" w:rsidP="00523139">
      <w:pPr>
        <w:pStyle w:val="Heading6"/>
        <w:numPr>
          <w:ilvl w:val="2"/>
          <w:numId w:val="69"/>
        </w:numPr>
        <w:spacing w:before="120" w:after="120"/>
        <w:jc w:val="both"/>
        <w:rPr>
          <w:rFonts w:asciiTheme="minorHAnsi" w:hAnsiTheme="minorHAnsi" w:cstheme="minorHAnsi"/>
          <w:b/>
          <w:i w:val="0"/>
          <w:color w:val="auto"/>
        </w:rPr>
      </w:pPr>
      <w:r w:rsidRPr="00B23D0F">
        <w:rPr>
          <w:rFonts w:asciiTheme="minorHAnsi" w:hAnsiTheme="minorHAnsi" w:cstheme="minorHAnsi"/>
          <w:b/>
          <w:i w:val="0"/>
          <w:color w:val="auto"/>
        </w:rPr>
        <w:t>Combination NRT</w:t>
      </w:r>
    </w:p>
    <w:p w14:paraId="114AB6BD" w14:textId="77777777" w:rsidR="00B3406A" w:rsidRPr="007F3B6D" w:rsidRDefault="00B3406A" w:rsidP="00523139">
      <w:pPr>
        <w:spacing w:before="120" w:after="120"/>
        <w:jc w:val="both"/>
      </w:pPr>
      <w:r w:rsidRPr="007F3B6D">
        <w:t>Treatment-naïve population</w:t>
      </w:r>
    </w:p>
    <w:p w14:paraId="7A5130A5" w14:textId="0A1A5F36" w:rsidR="00B3406A" w:rsidRDefault="00B3406A" w:rsidP="00D25738">
      <w:pPr>
        <w:pStyle w:val="ListParagraph"/>
        <w:numPr>
          <w:ilvl w:val="0"/>
          <w:numId w:val="23"/>
        </w:numPr>
        <w:ind w:left="360"/>
        <w:jc w:val="both"/>
      </w:pPr>
      <w:r w:rsidRPr="0076496A">
        <w:t xml:space="preserve">Combination NRT (patch + lozenge, patch + lozenge and gum) was shown to be superior to placebo in terms of efficacy, noting the results of the updated re-analysis for NRT patch + lozenge </w:t>
      </w:r>
      <w:r w:rsidR="00C0289B" w:rsidRPr="0076496A">
        <w:t>was</w:t>
      </w:r>
      <w:r w:rsidRPr="0076496A">
        <w:t xml:space="preserve"> statistically significant based on risk ratio but not risk difference. There were no statistically significant differences in smoking cessation rates between NRT patch + gum or NRT patch + inhalator and placebo. The non-significant result of NRT patch + gum was likely due to study design issues, such as small sample size, leading to insufficient power to detect a modest treatment effect with reasonable certainty. The incidence of adverse events comparing combination NRT with placebo was not synthesised quantitatively. However, based on one </w:t>
      </w:r>
      <w:r w:rsidR="00D53A80">
        <w:t>randomised controlled trial (</w:t>
      </w:r>
      <w:r w:rsidRPr="0076496A">
        <w:t>RCT</w:t>
      </w:r>
      <w:r w:rsidR="00D53A80">
        <w:t>)</w:t>
      </w:r>
      <w:r w:rsidRPr="0076496A">
        <w:t>, which did not detect a statistically significant difference in efficacy, no statistically significant differences between NRT patch + lozenge and placebo were reported in terms of any adverse events and serious adverse events.</w:t>
      </w:r>
    </w:p>
    <w:p w14:paraId="17C42ECB" w14:textId="30C34999" w:rsidR="00B3406A" w:rsidRPr="0076496A" w:rsidRDefault="00B3406A" w:rsidP="00D25738">
      <w:pPr>
        <w:pStyle w:val="ListParagraph"/>
        <w:numPr>
          <w:ilvl w:val="0"/>
          <w:numId w:val="23"/>
        </w:numPr>
        <w:ind w:left="360"/>
        <w:jc w:val="both"/>
      </w:pPr>
      <w:r w:rsidRPr="0076496A">
        <w:t xml:space="preserve">Combination NRT was shown to be superior to NRT monotherapy (patch or fast-acting) in terms of efficacy. In terms of safety, there were no statistically significant differences in cardiac adverse events, serious adverse </w:t>
      </w:r>
      <w:r w:rsidR="00C0289B" w:rsidRPr="0076496A">
        <w:t>events,</w:t>
      </w:r>
      <w:r w:rsidRPr="0076496A">
        <w:t xml:space="preserve"> or withdrawals due to treatment. Additional subgroup analyses were conducted during the review to determine the comparative effectiveness of the different types of combination NRT formulations:</w:t>
      </w:r>
    </w:p>
    <w:p w14:paraId="5C43D72B" w14:textId="4EEB4826" w:rsidR="00B3406A" w:rsidRPr="003C0301" w:rsidRDefault="00B3406A" w:rsidP="00523139">
      <w:pPr>
        <w:pStyle w:val="ListParagraph"/>
        <w:numPr>
          <w:ilvl w:val="0"/>
          <w:numId w:val="24"/>
        </w:numPr>
        <w:spacing w:after="0"/>
        <w:ind w:left="1077" w:hanging="357"/>
        <w:contextualSpacing w:val="0"/>
        <w:jc w:val="both"/>
      </w:pPr>
      <w:r>
        <w:lastRenderedPageBreak/>
        <w:t>C</w:t>
      </w:r>
      <w:r w:rsidRPr="003C0301">
        <w:t xml:space="preserve">ombination NRT versus NRT </w:t>
      </w:r>
      <w:r>
        <w:t>patches: for this comparison</w:t>
      </w:r>
      <w:r w:rsidRPr="003C0301">
        <w:t xml:space="preserve"> NRT patch + lozenge and NRT patch + gum </w:t>
      </w:r>
      <w:r w:rsidR="00C0289B" w:rsidRPr="003C0301">
        <w:t>was</w:t>
      </w:r>
      <w:r w:rsidRPr="003C0301">
        <w:t xml:space="preserve"> shown to provide a significantly higher rate of smoking cessation compared to NRT </w:t>
      </w:r>
      <w:r>
        <w:t>patches</w:t>
      </w:r>
      <w:r w:rsidRPr="003C0301">
        <w:t xml:space="preserve"> alone. There were no statistically significant differences observed for the other types of combination NRT formulations (patch + nasal spray, patch + inhaler, patch + oral spray)</w:t>
      </w:r>
      <w:r>
        <w:t xml:space="preserve"> when compared to NRT patches alone</w:t>
      </w:r>
      <w:r w:rsidRPr="003C0301">
        <w:t>.</w:t>
      </w:r>
    </w:p>
    <w:p w14:paraId="31A27A05" w14:textId="77777777" w:rsidR="00B3406A" w:rsidRPr="003C0301" w:rsidRDefault="00B3406A" w:rsidP="00523139">
      <w:pPr>
        <w:pStyle w:val="ListParagraph"/>
        <w:numPr>
          <w:ilvl w:val="0"/>
          <w:numId w:val="24"/>
        </w:numPr>
        <w:spacing w:after="0"/>
        <w:ind w:left="1077" w:hanging="357"/>
        <w:contextualSpacing w:val="0"/>
        <w:jc w:val="both"/>
      </w:pPr>
      <w:r>
        <w:t>C</w:t>
      </w:r>
      <w:r w:rsidRPr="003C0301">
        <w:t>ombination NRT versus fast-acting NRT</w:t>
      </w:r>
      <w:r>
        <w:t>; for this comparison</w:t>
      </w:r>
      <w:r w:rsidRPr="003C0301">
        <w:t xml:space="preserve"> only NRT patch + lozenge was shown to provide a significantly higher rate of smoking cessation compared to fast-acting NRT alone. There were no statistically significant differences observed for the other types of combination NRT formulations (patch + gum, patch + nasal spray, patch + inhaler)</w:t>
      </w:r>
      <w:r>
        <w:t xml:space="preserve"> when compared to fast-acting NRT alone</w:t>
      </w:r>
      <w:r w:rsidRPr="003C0301">
        <w:t>.</w:t>
      </w:r>
    </w:p>
    <w:p w14:paraId="412FCCC9" w14:textId="7E031AF9" w:rsidR="00B3406A" w:rsidRDefault="00B3406A" w:rsidP="00D25738">
      <w:pPr>
        <w:pStyle w:val="ListParagraph"/>
        <w:numPr>
          <w:ilvl w:val="0"/>
          <w:numId w:val="25"/>
        </w:numPr>
        <w:ind w:left="360"/>
        <w:jc w:val="both"/>
      </w:pPr>
      <w:r w:rsidRPr="00816F20">
        <w:t xml:space="preserve">Combination NRT (patch + lozenge) was shown to be inferior to varenicline in terms of efficacy </w:t>
      </w:r>
      <w:r>
        <w:t>with no statistically significant differences</w:t>
      </w:r>
      <w:r w:rsidRPr="00816F20">
        <w:t xml:space="preserve"> in terms of safety based on one direct</w:t>
      </w:r>
      <w:r w:rsidR="00D53A80">
        <w:t xml:space="preserve"> </w:t>
      </w:r>
      <w:r w:rsidRPr="00816F20">
        <w:t xml:space="preserve">RCT. There was a statistically significant difference in point prevalence abstinence at 6 months, in favour of varenicline, while there were no statistically significant differences across the key adverse events between the two treatment arms, except for nausea and vivid dreams which were significantly higher in the varenicline arm. However, the results of the network meta-analysis </w:t>
      </w:r>
      <w:r w:rsidR="0024607A">
        <w:t xml:space="preserve">(NMA) </w:t>
      </w:r>
      <w:r w:rsidRPr="00816F20">
        <w:t>by Cahill et al. (2013) demonstrated no statistically significant difference in smoking cessation rates between combination NRT and varenicline, although the results numerically favoured varenicline</w:t>
      </w:r>
      <w:r w:rsidR="00077455">
        <w:t>.</w:t>
      </w:r>
      <w:r w:rsidRPr="00816F20">
        <w:t xml:space="preserve"> </w:t>
      </w:r>
      <w:r w:rsidR="00077455">
        <w:t>T</w:t>
      </w:r>
      <w:r w:rsidRPr="00816F20">
        <w:t>he type</w:t>
      </w:r>
      <w:r>
        <w:t>s</w:t>
      </w:r>
      <w:r w:rsidRPr="00816F20">
        <w:t xml:space="preserve"> of formulation</w:t>
      </w:r>
      <w:r>
        <w:t>s</w:t>
      </w:r>
      <w:r w:rsidRPr="00816F20">
        <w:t xml:space="preserve"> used in the combination NRT treatment arm w</w:t>
      </w:r>
      <w:r>
        <w:t>ere</w:t>
      </w:r>
      <w:r w:rsidRPr="00816F20">
        <w:t xml:space="preserve"> </w:t>
      </w:r>
      <w:r>
        <w:t xml:space="preserve">clinically </w:t>
      </w:r>
      <w:r w:rsidR="007918CA">
        <w:t>heterogeneous</w:t>
      </w:r>
      <w:r w:rsidR="00077455">
        <w:t xml:space="preserve"> and t</w:t>
      </w:r>
      <w:r w:rsidRPr="00E44386">
        <w:t xml:space="preserve">he results of the </w:t>
      </w:r>
      <w:r w:rsidR="0024607A">
        <w:t>NMA</w:t>
      </w:r>
      <w:r w:rsidRPr="00E44386">
        <w:t xml:space="preserve"> should be interpreted with caution due to potential biases and uncertainties arising from heterogeneity and inconsistent outcomes between studies</w:t>
      </w:r>
      <w:r>
        <w:t>.</w:t>
      </w:r>
      <w:r w:rsidR="00561DE4">
        <w:rPr>
          <w:rStyle w:val="FootnoteReference"/>
        </w:rPr>
        <w:footnoteReference w:id="3"/>
      </w:r>
    </w:p>
    <w:p w14:paraId="61D012FC" w14:textId="3A3D0FD7" w:rsidR="002F3376" w:rsidRDefault="00B3406A" w:rsidP="00D25738">
      <w:pPr>
        <w:pStyle w:val="ListParagraph"/>
        <w:numPr>
          <w:ilvl w:val="0"/>
          <w:numId w:val="25"/>
        </w:numPr>
        <w:ind w:left="360"/>
        <w:jc w:val="both"/>
      </w:pPr>
      <w:r w:rsidRPr="00925038">
        <w:t>Combination NRT was shown to be superior to bupropion in terms of efficacy based on the results of the</w:t>
      </w:r>
      <w:r w:rsidR="0024607A">
        <w:t xml:space="preserve"> NMA</w:t>
      </w:r>
      <w:r w:rsidRPr="00925038">
        <w:t xml:space="preserve"> by Cahill et al. (2013) (no direct RCT was identified for this comparison). Similarly, </w:t>
      </w:r>
      <w:r w:rsidRPr="00070196">
        <w:t>this result should be interpreted with caution due to the general limitation</w:t>
      </w:r>
      <w:r>
        <w:t>s</w:t>
      </w:r>
      <w:r w:rsidRPr="00070196">
        <w:t xml:space="preserve"> of </w:t>
      </w:r>
      <w:r w:rsidR="0024607A">
        <w:t>NMA</w:t>
      </w:r>
      <w:r w:rsidRPr="00070196">
        <w:t xml:space="preserve"> and</w:t>
      </w:r>
      <w:r w:rsidRPr="00925038">
        <w:t xml:space="preserve"> the type</w:t>
      </w:r>
      <w:r>
        <w:t>s</w:t>
      </w:r>
      <w:r w:rsidRPr="00925038">
        <w:t xml:space="preserve"> of formulation</w:t>
      </w:r>
      <w:r>
        <w:t>s</w:t>
      </w:r>
      <w:r w:rsidRPr="00925038">
        <w:t xml:space="preserve"> used in the combination NRT treatment arm w</w:t>
      </w:r>
      <w:r>
        <w:t xml:space="preserve">ere clinically </w:t>
      </w:r>
      <w:r w:rsidR="007918CA">
        <w:t>heterogeneous</w:t>
      </w:r>
      <w:r w:rsidRPr="00925038">
        <w:t>.</w:t>
      </w:r>
    </w:p>
    <w:p w14:paraId="405DE16C" w14:textId="701CBA74" w:rsidR="00B3406A" w:rsidRDefault="002F3376" w:rsidP="002F3376">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975"/>
        <w:gridCol w:w="2611"/>
        <w:gridCol w:w="4430"/>
      </w:tblGrid>
      <w:tr w:rsidR="00B3406A" w:rsidRPr="00916516" w14:paraId="3764D215" w14:textId="77777777" w:rsidTr="00A82090">
        <w:trPr>
          <w:trHeight w:val="215"/>
        </w:trPr>
        <w:tc>
          <w:tcPr>
            <w:tcW w:w="1095" w:type="pct"/>
            <w:shd w:val="clear" w:color="auto" w:fill="F2F2F2" w:themeFill="background1" w:themeFillShade="F2"/>
            <w:hideMark/>
          </w:tcPr>
          <w:p w14:paraId="067530D5" w14:textId="77777777" w:rsidR="00B3406A" w:rsidRPr="00916516" w:rsidRDefault="00B3406A" w:rsidP="001E7257">
            <w:pPr>
              <w:rPr>
                <w:szCs w:val="18"/>
              </w:rPr>
            </w:pPr>
            <w:r w:rsidRPr="00916516">
              <w:rPr>
                <w:b/>
                <w:bCs/>
                <w:szCs w:val="18"/>
              </w:rPr>
              <w:lastRenderedPageBreak/>
              <w:t>Compar</w:t>
            </w:r>
            <w:r>
              <w:rPr>
                <w:b/>
                <w:bCs/>
                <w:szCs w:val="18"/>
              </w:rPr>
              <w:t>ison</w:t>
            </w:r>
          </w:p>
        </w:tc>
        <w:tc>
          <w:tcPr>
            <w:tcW w:w="1448" w:type="pct"/>
            <w:shd w:val="clear" w:color="auto" w:fill="F2F2F2" w:themeFill="background1" w:themeFillShade="F2"/>
            <w:hideMark/>
          </w:tcPr>
          <w:p w14:paraId="58DF0257" w14:textId="77777777" w:rsidR="00B3406A" w:rsidRPr="00916516" w:rsidRDefault="00B3406A" w:rsidP="001E7257">
            <w:pPr>
              <w:jc w:val="center"/>
              <w:rPr>
                <w:szCs w:val="18"/>
              </w:rPr>
            </w:pPr>
            <w:r>
              <w:rPr>
                <w:b/>
                <w:bCs/>
                <w:szCs w:val="18"/>
              </w:rPr>
              <w:t>Included studies</w:t>
            </w:r>
          </w:p>
        </w:tc>
        <w:tc>
          <w:tcPr>
            <w:tcW w:w="2457" w:type="pct"/>
            <w:shd w:val="clear" w:color="auto" w:fill="F2F2F2" w:themeFill="background1" w:themeFillShade="F2"/>
            <w:hideMark/>
          </w:tcPr>
          <w:p w14:paraId="7E69AED3" w14:textId="77777777" w:rsidR="00B3406A" w:rsidRPr="00916516" w:rsidRDefault="00B3406A" w:rsidP="001E7257">
            <w:pPr>
              <w:jc w:val="center"/>
              <w:rPr>
                <w:szCs w:val="18"/>
              </w:rPr>
            </w:pPr>
            <w:r>
              <w:rPr>
                <w:b/>
                <w:bCs/>
                <w:szCs w:val="18"/>
              </w:rPr>
              <w:t>Summary of evidence</w:t>
            </w:r>
          </w:p>
        </w:tc>
      </w:tr>
      <w:tr w:rsidR="00B3406A" w:rsidRPr="00916516" w14:paraId="6B62CD9C" w14:textId="77777777" w:rsidTr="00A82090">
        <w:trPr>
          <w:trHeight w:val="164"/>
        </w:trPr>
        <w:tc>
          <w:tcPr>
            <w:tcW w:w="5000" w:type="pct"/>
            <w:gridSpan w:val="3"/>
            <w:shd w:val="clear" w:color="auto" w:fill="F2F2F2" w:themeFill="background1" w:themeFillShade="F2"/>
            <w:hideMark/>
          </w:tcPr>
          <w:p w14:paraId="31DC4C2B" w14:textId="77777777" w:rsidR="00B3406A" w:rsidRPr="00916516" w:rsidRDefault="00B3406A" w:rsidP="001E7257">
            <w:pPr>
              <w:tabs>
                <w:tab w:val="left" w:pos="3037"/>
              </w:tabs>
              <w:rPr>
                <w:szCs w:val="18"/>
              </w:rPr>
            </w:pPr>
            <w:r w:rsidRPr="00916516">
              <w:rPr>
                <w:b/>
                <w:bCs/>
                <w:szCs w:val="18"/>
              </w:rPr>
              <w:t>Treatment-naïve populatio</w:t>
            </w:r>
            <w:r>
              <w:rPr>
                <w:b/>
                <w:bCs/>
                <w:szCs w:val="18"/>
              </w:rPr>
              <w:t>n</w:t>
            </w:r>
          </w:p>
        </w:tc>
      </w:tr>
      <w:tr w:rsidR="00B3406A" w:rsidRPr="0063070A" w14:paraId="748364D9" w14:textId="77777777" w:rsidTr="00A82090">
        <w:trPr>
          <w:trHeight w:val="345"/>
        </w:trPr>
        <w:tc>
          <w:tcPr>
            <w:tcW w:w="1095" w:type="pct"/>
            <w:shd w:val="clear" w:color="auto" w:fill="F2F2F2" w:themeFill="background1" w:themeFillShade="F2"/>
            <w:hideMark/>
          </w:tcPr>
          <w:p w14:paraId="4876B828" w14:textId="77777777" w:rsidR="00B3406A" w:rsidRPr="00360862" w:rsidRDefault="00B3406A" w:rsidP="001E7257">
            <w:pPr>
              <w:spacing w:after="200"/>
              <w:rPr>
                <w:szCs w:val="18"/>
              </w:rPr>
            </w:pPr>
            <w:r>
              <w:rPr>
                <w:szCs w:val="18"/>
              </w:rPr>
              <w:t>Combination NRT</w:t>
            </w:r>
            <w:r w:rsidRPr="007B1E27">
              <w:rPr>
                <w:szCs w:val="18"/>
                <w:vertAlign w:val="superscript"/>
              </w:rPr>
              <w:t>1</w:t>
            </w:r>
            <w:r>
              <w:rPr>
                <w:szCs w:val="18"/>
              </w:rPr>
              <w:t xml:space="preserve"> vs placebo</w:t>
            </w:r>
          </w:p>
        </w:tc>
        <w:tc>
          <w:tcPr>
            <w:tcW w:w="1448" w:type="pct"/>
            <w:shd w:val="clear" w:color="auto" w:fill="F2F2F2" w:themeFill="background1" w:themeFillShade="F2"/>
            <w:hideMark/>
          </w:tcPr>
          <w:p w14:paraId="0D83B252" w14:textId="77777777" w:rsidR="00B3406A" w:rsidRPr="002A5E9C" w:rsidRDefault="00B3406A" w:rsidP="00815A6D">
            <w:pPr>
              <w:pStyle w:val="ListParagraph"/>
              <w:numPr>
                <w:ilvl w:val="0"/>
                <w:numId w:val="43"/>
              </w:numPr>
              <w:rPr>
                <w:szCs w:val="18"/>
              </w:rPr>
            </w:pPr>
            <w:r w:rsidRPr="00AA0389">
              <w:rPr>
                <w:szCs w:val="18"/>
              </w:rPr>
              <w:t>Hartmann-Boyce (2018)</w:t>
            </w:r>
            <w:r w:rsidRPr="00AA0389">
              <w:rPr>
                <w:szCs w:val="18"/>
                <w:vertAlign w:val="superscript"/>
              </w:rPr>
              <w:t>6</w:t>
            </w:r>
          </w:p>
          <w:p w14:paraId="105CBAD3" w14:textId="77777777" w:rsidR="00B3406A" w:rsidRPr="00AA0389" w:rsidRDefault="00B3406A" w:rsidP="00815A6D">
            <w:pPr>
              <w:pStyle w:val="ListParagraph"/>
              <w:numPr>
                <w:ilvl w:val="0"/>
                <w:numId w:val="43"/>
              </w:numPr>
              <w:rPr>
                <w:szCs w:val="18"/>
              </w:rPr>
            </w:pPr>
            <w:r w:rsidRPr="00AA0389">
              <w:rPr>
                <w:szCs w:val="18"/>
              </w:rPr>
              <w:t>Chen</w:t>
            </w:r>
            <w:r>
              <w:rPr>
                <w:szCs w:val="18"/>
              </w:rPr>
              <w:t xml:space="preserve"> </w:t>
            </w:r>
            <w:r w:rsidRPr="00AA0389">
              <w:rPr>
                <w:szCs w:val="18"/>
              </w:rPr>
              <w:t>(2020)</w:t>
            </w:r>
            <w:r w:rsidRPr="00AA0389">
              <w:rPr>
                <w:szCs w:val="18"/>
                <w:vertAlign w:val="superscript"/>
              </w:rPr>
              <w:t>7</w:t>
            </w:r>
          </w:p>
        </w:tc>
        <w:tc>
          <w:tcPr>
            <w:tcW w:w="2457" w:type="pct"/>
            <w:shd w:val="clear" w:color="auto" w:fill="F2F2F2" w:themeFill="background1" w:themeFillShade="F2"/>
            <w:hideMark/>
          </w:tcPr>
          <w:p w14:paraId="5077EB9F" w14:textId="6519545C" w:rsidR="00B3406A" w:rsidRPr="00D601CB" w:rsidRDefault="00B3406A" w:rsidP="00815A6D">
            <w:pPr>
              <w:pStyle w:val="ListParagraph"/>
              <w:numPr>
                <w:ilvl w:val="0"/>
                <w:numId w:val="42"/>
              </w:numPr>
              <w:rPr>
                <w:szCs w:val="18"/>
              </w:rPr>
            </w:pPr>
            <w:r w:rsidRPr="008C25A6">
              <w:rPr>
                <w:szCs w:val="18"/>
                <w:u w:val="single"/>
              </w:rPr>
              <w:t>Efficacy</w:t>
            </w:r>
            <w:r w:rsidRPr="008C25A6">
              <w:rPr>
                <w:szCs w:val="18"/>
              </w:rPr>
              <w:t xml:space="preserve">: Statistically significant based on RR </w:t>
            </w:r>
            <w:r w:rsidRPr="00DE6EAF">
              <w:rPr>
                <w:szCs w:val="18"/>
              </w:rPr>
              <w:t xml:space="preserve">(in favour of </w:t>
            </w:r>
            <w:r w:rsidRPr="00607958">
              <w:rPr>
                <w:szCs w:val="18"/>
              </w:rPr>
              <w:t>patch+lozenge</w:t>
            </w:r>
            <w:r w:rsidRPr="00531AAD">
              <w:rPr>
                <w:szCs w:val="18"/>
                <w:vertAlign w:val="superscript"/>
              </w:rPr>
              <w:t>8</w:t>
            </w:r>
            <w:r w:rsidRPr="000B398D">
              <w:rPr>
                <w:szCs w:val="18"/>
              </w:rPr>
              <w:t xml:space="preserve"> and patch+lozenge and gum</w:t>
            </w:r>
            <w:r w:rsidRPr="0042217E">
              <w:rPr>
                <w:szCs w:val="18"/>
              </w:rPr>
              <w:t>)</w:t>
            </w:r>
            <w:r>
              <w:rPr>
                <w:szCs w:val="18"/>
              </w:rPr>
              <w:t xml:space="preserve"> but not RD (patch+lozenge</w:t>
            </w:r>
            <w:r>
              <w:rPr>
                <w:szCs w:val="18"/>
                <w:vertAlign w:val="superscript"/>
              </w:rPr>
              <w:t>8</w:t>
            </w:r>
            <w:r w:rsidRPr="00607958">
              <w:rPr>
                <w:szCs w:val="18"/>
              </w:rPr>
              <w:t>);</w:t>
            </w:r>
            <w:r>
              <w:rPr>
                <w:szCs w:val="18"/>
              </w:rPr>
              <w:t xml:space="preserve"> </w:t>
            </w:r>
            <w:r w:rsidR="007918CA" w:rsidRPr="008C25A6">
              <w:rPr>
                <w:szCs w:val="18"/>
              </w:rPr>
              <w:t>not</w:t>
            </w:r>
            <w:r w:rsidRPr="008C25A6">
              <w:rPr>
                <w:szCs w:val="18"/>
              </w:rPr>
              <w:t xml:space="preserve"> statistically significant based o</w:t>
            </w:r>
            <w:r w:rsidRPr="00DE6EAF">
              <w:rPr>
                <w:szCs w:val="18"/>
              </w:rPr>
              <w:t xml:space="preserve">n RR </w:t>
            </w:r>
            <w:r w:rsidRPr="00A62C1A">
              <w:rPr>
                <w:szCs w:val="18"/>
              </w:rPr>
              <w:t>(patch+gum and patch+inhaler)</w:t>
            </w:r>
            <w:r>
              <w:rPr>
                <w:szCs w:val="18"/>
              </w:rPr>
              <w:t>.</w:t>
            </w:r>
          </w:p>
          <w:p w14:paraId="23970ABB" w14:textId="77777777" w:rsidR="00B3406A" w:rsidRPr="007B1E27"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7B1E27">
              <w:rPr>
                <w:szCs w:val="18"/>
              </w:rPr>
              <w:t>Not statistically significant</w:t>
            </w:r>
            <w:r>
              <w:rPr>
                <w:szCs w:val="18"/>
              </w:rPr>
              <w:t xml:space="preserve"> based on RR and RD </w:t>
            </w:r>
            <w:r w:rsidRPr="007B1E27">
              <w:rPr>
                <w:szCs w:val="18"/>
              </w:rPr>
              <w:t xml:space="preserve">(any AEs, </w:t>
            </w:r>
            <w:r>
              <w:rPr>
                <w:szCs w:val="18"/>
              </w:rPr>
              <w:t>S</w:t>
            </w:r>
            <w:r w:rsidRPr="007B1E27">
              <w:rPr>
                <w:szCs w:val="18"/>
              </w:rPr>
              <w:t>AEs; NRT patch+lozenge)</w:t>
            </w:r>
            <w:r>
              <w:rPr>
                <w:szCs w:val="18"/>
              </w:rPr>
              <w:t>.</w:t>
            </w:r>
          </w:p>
        </w:tc>
      </w:tr>
      <w:tr w:rsidR="00B3406A" w:rsidRPr="00360862" w14:paraId="6FC407B2" w14:textId="77777777" w:rsidTr="00A82090">
        <w:trPr>
          <w:trHeight w:val="617"/>
        </w:trPr>
        <w:tc>
          <w:tcPr>
            <w:tcW w:w="1095" w:type="pct"/>
            <w:shd w:val="clear" w:color="auto" w:fill="F2F2F2" w:themeFill="background1" w:themeFillShade="F2"/>
            <w:hideMark/>
          </w:tcPr>
          <w:p w14:paraId="6FC0CC85" w14:textId="77777777" w:rsidR="00B3406A" w:rsidRPr="00360862" w:rsidRDefault="00B3406A" w:rsidP="001E7257">
            <w:pPr>
              <w:spacing w:after="200"/>
              <w:rPr>
                <w:szCs w:val="18"/>
              </w:rPr>
            </w:pPr>
            <w:r>
              <w:rPr>
                <w:szCs w:val="18"/>
              </w:rPr>
              <w:t>Combination NRT</w:t>
            </w:r>
            <w:r w:rsidRPr="007B1E27">
              <w:rPr>
                <w:szCs w:val="18"/>
                <w:vertAlign w:val="superscript"/>
              </w:rPr>
              <w:t>2</w:t>
            </w:r>
            <w:r>
              <w:rPr>
                <w:szCs w:val="18"/>
              </w:rPr>
              <w:t xml:space="preserve"> vs NRT monotherapy (patch)</w:t>
            </w:r>
          </w:p>
        </w:tc>
        <w:tc>
          <w:tcPr>
            <w:tcW w:w="1448" w:type="pct"/>
            <w:shd w:val="clear" w:color="auto" w:fill="F2F2F2" w:themeFill="background1" w:themeFillShade="F2"/>
            <w:hideMark/>
          </w:tcPr>
          <w:p w14:paraId="5272F58A" w14:textId="77777777" w:rsidR="00B3406A" w:rsidRDefault="00B3406A" w:rsidP="00815A6D">
            <w:pPr>
              <w:pStyle w:val="ListParagraph"/>
              <w:numPr>
                <w:ilvl w:val="0"/>
                <w:numId w:val="44"/>
              </w:numPr>
              <w:rPr>
                <w:szCs w:val="18"/>
              </w:rPr>
            </w:pPr>
            <w:r w:rsidRPr="00AA0389">
              <w:rPr>
                <w:szCs w:val="18"/>
              </w:rPr>
              <w:t>Lindson</w:t>
            </w:r>
            <w:r>
              <w:rPr>
                <w:szCs w:val="18"/>
              </w:rPr>
              <w:t xml:space="preserve"> </w:t>
            </w:r>
            <w:r w:rsidRPr="00AA0389">
              <w:rPr>
                <w:szCs w:val="18"/>
              </w:rPr>
              <w:t>(2019)</w:t>
            </w:r>
            <w:r w:rsidRPr="00AA0389">
              <w:rPr>
                <w:szCs w:val="18"/>
                <w:vertAlign w:val="superscript"/>
              </w:rPr>
              <w:t>6</w:t>
            </w:r>
          </w:p>
          <w:p w14:paraId="1F428647" w14:textId="77777777" w:rsidR="00B3406A" w:rsidRPr="00AA0389" w:rsidRDefault="00B3406A" w:rsidP="00815A6D">
            <w:pPr>
              <w:pStyle w:val="ListParagraph"/>
              <w:numPr>
                <w:ilvl w:val="0"/>
                <w:numId w:val="44"/>
              </w:numPr>
              <w:rPr>
                <w:szCs w:val="18"/>
              </w:rPr>
            </w:pPr>
            <w:r w:rsidRPr="00AA0389">
              <w:rPr>
                <w:szCs w:val="18"/>
              </w:rPr>
              <w:t>Leung</w:t>
            </w:r>
            <w:r>
              <w:rPr>
                <w:szCs w:val="18"/>
              </w:rPr>
              <w:t xml:space="preserve"> </w:t>
            </w:r>
            <w:r w:rsidRPr="00AA0389">
              <w:rPr>
                <w:szCs w:val="18"/>
              </w:rPr>
              <w:t>(2019)</w:t>
            </w:r>
            <w:r w:rsidRPr="00AA0389">
              <w:rPr>
                <w:szCs w:val="18"/>
                <w:vertAlign w:val="superscript"/>
              </w:rPr>
              <w:t>7</w:t>
            </w:r>
          </w:p>
        </w:tc>
        <w:tc>
          <w:tcPr>
            <w:tcW w:w="2457" w:type="pct"/>
            <w:shd w:val="clear" w:color="auto" w:fill="F2F2F2" w:themeFill="background1" w:themeFillShade="F2"/>
            <w:hideMark/>
          </w:tcPr>
          <w:p w14:paraId="56260EC9" w14:textId="77777777" w:rsidR="00B3406A" w:rsidRPr="008C25A6" w:rsidRDefault="00B3406A" w:rsidP="00815A6D">
            <w:pPr>
              <w:pStyle w:val="ListParagraph"/>
              <w:numPr>
                <w:ilvl w:val="0"/>
                <w:numId w:val="42"/>
              </w:numPr>
              <w:rPr>
                <w:szCs w:val="18"/>
              </w:rPr>
            </w:pPr>
            <w:r w:rsidRPr="008C25A6">
              <w:rPr>
                <w:szCs w:val="18"/>
                <w:u w:val="single"/>
              </w:rPr>
              <w:t>Efficacy</w:t>
            </w:r>
            <w:r w:rsidRPr="008C25A6">
              <w:rPr>
                <w:szCs w:val="18"/>
              </w:rPr>
              <w:t>: Statistically significant based on R</w:t>
            </w:r>
            <w:r w:rsidRPr="00DE6EAF">
              <w:rPr>
                <w:szCs w:val="18"/>
              </w:rPr>
              <w:t>R and RD (in favour of patch+lozenge and patch+gum);</w:t>
            </w:r>
            <w:r>
              <w:rPr>
                <w:szCs w:val="18"/>
              </w:rPr>
              <w:t xml:space="preserve"> </w:t>
            </w:r>
            <w:r w:rsidRPr="008C25A6">
              <w:rPr>
                <w:szCs w:val="18"/>
              </w:rPr>
              <w:t>Not statistically significant</w:t>
            </w:r>
          </w:p>
          <w:p w14:paraId="0D120951" w14:textId="77777777" w:rsidR="00B3406A" w:rsidRPr="007B1E27" w:rsidRDefault="00B3406A" w:rsidP="001E7257">
            <w:pPr>
              <w:pStyle w:val="ListParagraph"/>
              <w:ind w:left="360"/>
              <w:rPr>
                <w:szCs w:val="18"/>
              </w:rPr>
            </w:pPr>
            <w:r w:rsidRPr="007B1E27">
              <w:rPr>
                <w:szCs w:val="18"/>
              </w:rPr>
              <w:t>(patch+nasal spray, patch+inhaler and patch+oral spray)</w:t>
            </w:r>
            <w:r>
              <w:rPr>
                <w:szCs w:val="18"/>
              </w:rPr>
              <w:t>.</w:t>
            </w:r>
          </w:p>
          <w:p w14:paraId="07FC292B" w14:textId="77777777" w:rsidR="00B3406A" w:rsidRPr="007B1E27"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7B1E27">
              <w:rPr>
                <w:szCs w:val="18"/>
              </w:rPr>
              <w:t>Not statistically significant</w:t>
            </w:r>
            <w:r>
              <w:rPr>
                <w:szCs w:val="18"/>
              </w:rPr>
              <w:t xml:space="preserve"> based on RR </w:t>
            </w:r>
            <w:r w:rsidRPr="007B1E27">
              <w:rPr>
                <w:szCs w:val="18"/>
              </w:rPr>
              <w:t>(</w:t>
            </w:r>
            <w:r>
              <w:rPr>
                <w:szCs w:val="18"/>
              </w:rPr>
              <w:t>S</w:t>
            </w:r>
            <w:r w:rsidRPr="007B1E27">
              <w:rPr>
                <w:szCs w:val="18"/>
              </w:rPr>
              <w:t>AEs, withdrawal due to treatment)</w:t>
            </w:r>
            <w:r>
              <w:rPr>
                <w:szCs w:val="18"/>
              </w:rPr>
              <w:t>, and RD (cardiac AEs).</w:t>
            </w:r>
          </w:p>
        </w:tc>
      </w:tr>
      <w:tr w:rsidR="00B3406A" w:rsidRPr="00360862" w14:paraId="4079A0CE" w14:textId="77777777" w:rsidTr="00A82090">
        <w:trPr>
          <w:trHeight w:val="523"/>
        </w:trPr>
        <w:tc>
          <w:tcPr>
            <w:tcW w:w="1095" w:type="pct"/>
            <w:shd w:val="clear" w:color="auto" w:fill="F2F2F2" w:themeFill="background1" w:themeFillShade="F2"/>
            <w:hideMark/>
          </w:tcPr>
          <w:p w14:paraId="4E6836E4" w14:textId="77777777" w:rsidR="00B3406A" w:rsidRPr="00360862" w:rsidRDefault="00B3406A" w:rsidP="001E7257">
            <w:pPr>
              <w:spacing w:after="200"/>
              <w:rPr>
                <w:szCs w:val="18"/>
              </w:rPr>
            </w:pPr>
            <w:r>
              <w:rPr>
                <w:szCs w:val="18"/>
              </w:rPr>
              <w:t>Combination NRT</w:t>
            </w:r>
            <w:r w:rsidRPr="007B1E27">
              <w:rPr>
                <w:szCs w:val="18"/>
                <w:vertAlign w:val="superscript"/>
              </w:rPr>
              <w:t>3</w:t>
            </w:r>
            <w:r>
              <w:rPr>
                <w:szCs w:val="18"/>
              </w:rPr>
              <w:t xml:space="preserve"> vs NRT monotherapy (fast-acting)</w:t>
            </w:r>
          </w:p>
        </w:tc>
        <w:tc>
          <w:tcPr>
            <w:tcW w:w="1448" w:type="pct"/>
            <w:shd w:val="clear" w:color="auto" w:fill="F2F2F2" w:themeFill="background1" w:themeFillShade="F2"/>
            <w:hideMark/>
          </w:tcPr>
          <w:p w14:paraId="0F0EB328" w14:textId="77777777" w:rsidR="00B3406A" w:rsidRPr="00AA0389" w:rsidRDefault="00B3406A" w:rsidP="00815A6D">
            <w:pPr>
              <w:pStyle w:val="ListParagraph"/>
              <w:numPr>
                <w:ilvl w:val="0"/>
                <w:numId w:val="45"/>
              </w:numPr>
              <w:rPr>
                <w:szCs w:val="18"/>
              </w:rPr>
            </w:pPr>
            <w:r w:rsidRPr="00AA0389">
              <w:rPr>
                <w:szCs w:val="18"/>
              </w:rPr>
              <w:t>Lindson</w:t>
            </w:r>
            <w:r>
              <w:rPr>
                <w:szCs w:val="18"/>
              </w:rPr>
              <w:t xml:space="preserve"> </w:t>
            </w:r>
            <w:r w:rsidRPr="00AA0389">
              <w:rPr>
                <w:szCs w:val="18"/>
              </w:rPr>
              <w:t>(2019)</w:t>
            </w:r>
            <w:r w:rsidRPr="00AA0389">
              <w:rPr>
                <w:szCs w:val="18"/>
                <w:vertAlign w:val="superscript"/>
              </w:rPr>
              <w:t>6</w:t>
            </w:r>
          </w:p>
        </w:tc>
        <w:tc>
          <w:tcPr>
            <w:tcW w:w="2457" w:type="pct"/>
            <w:shd w:val="clear" w:color="auto" w:fill="F2F2F2" w:themeFill="background1" w:themeFillShade="F2"/>
            <w:hideMark/>
          </w:tcPr>
          <w:p w14:paraId="41FBAF57" w14:textId="77777777" w:rsidR="00B3406A" w:rsidRPr="00DE6EAF" w:rsidRDefault="00B3406A" w:rsidP="00815A6D">
            <w:pPr>
              <w:pStyle w:val="ListParagraph"/>
              <w:numPr>
                <w:ilvl w:val="0"/>
                <w:numId w:val="42"/>
              </w:numPr>
              <w:rPr>
                <w:szCs w:val="18"/>
              </w:rPr>
            </w:pPr>
            <w:r w:rsidRPr="008C25A6">
              <w:rPr>
                <w:szCs w:val="18"/>
                <w:u w:val="single"/>
              </w:rPr>
              <w:t>Efficacy:</w:t>
            </w:r>
            <w:r w:rsidRPr="008C25A6">
              <w:rPr>
                <w:szCs w:val="18"/>
              </w:rPr>
              <w:t xml:space="preserve"> Statistically significant based on RR</w:t>
            </w:r>
          </w:p>
          <w:p w14:paraId="6F828414" w14:textId="77777777" w:rsidR="00B3406A" w:rsidRPr="00AA0389" w:rsidRDefault="00B3406A" w:rsidP="001E7257">
            <w:pPr>
              <w:pStyle w:val="ListParagraph"/>
              <w:ind w:left="360"/>
              <w:rPr>
                <w:szCs w:val="18"/>
              </w:rPr>
            </w:pPr>
            <w:r w:rsidRPr="007B1E27">
              <w:rPr>
                <w:szCs w:val="18"/>
              </w:rPr>
              <w:t>(in favour of patch+lozenge)</w:t>
            </w:r>
            <w:r>
              <w:rPr>
                <w:szCs w:val="18"/>
              </w:rPr>
              <w:t xml:space="preserve">; </w:t>
            </w:r>
            <w:r w:rsidRPr="007B1E27">
              <w:rPr>
                <w:szCs w:val="18"/>
              </w:rPr>
              <w:t>Not statistically significant</w:t>
            </w:r>
            <w:r>
              <w:rPr>
                <w:szCs w:val="18"/>
              </w:rPr>
              <w:t xml:space="preserve"> based on RR </w:t>
            </w:r>
            <w:r w:rsidRPr="00AA0389">
              <w:rPr>
                <w:szCs w:val="18"/>
              </w:rPr>
              <w:t>(patch+gum, patch+nasal spray and patch+inhaler).</w:t>
            </w:r>
          </w:p>
          <w:p w14:paraId="7D11ED8C" w14:textId="77777777" w:rsidR="00B3406A"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7B1E27">
              <w:rPr>
                <w:szCs w:val="18"/>
              </w:rPr>
              <w:t>Not statistically significant</w:t>
            </w:r>
            <w:r>
              <w:rPr>
                <w:szCs w:val="18"/>
              </w:rPr>
              <w:t xml:space="preserve"> based on RR </w:t>
            </w:r>
            <w:r w:rsidRPr="007B1E27">
              <w:rPr>
                <w:szCs w:val="18"/>
              </w:rPr>
              <w:t>(</w:t>
            </w:r>
            <w:r>
              <w:rPr>
                <w:szCs w:val="18"/>
              </w:rPr>
              <w:t>S</w:t>
            </w:r>
            <w:r w:rsidRPr="007B1E27">
              <w:rPr>
                <w:szCs w:val="18"/>
              </w:rPr>
              <w:t>AEs, withdrawal due to treatment)</w:t>
            </w:r>
            <w:r>
              <w:rPr>
                <w:szCs w:val="18"/>
              </w:rPr>
              <w:t>.</w:t>
            </w:r>
          </w:p>
          <w:p w14:paraId="33D2FE7C" w14:textId="77777777" w:rsidR="00B3406A" w:rsidRPr="00334A64" w:rsidRDefault="00B3406A" w:rsidP="001E7257">
            <w:pPr>
              <w:rPr>
                <w:szCs w:val="18"/>
              </w:rPr>
            </w:pPr>
          </w:p>
        </w:tc>
      </w:tr>
      <w:tr w:rsidR="00B3406A" w:rsidRPr="00360862" w14:paraId="391B144E" w14:textId="77777777" w:rsidTr="00A82090">
        <w:trPr>
          <w:trHeight w:val="523"/>
        </w:trPr>
        <w:tc>
          <w:tcPr>
            <w:tcW w:w="1095" w:type="pct"/>
            <w:shd w:val="clear" w:color="auto" w:fill="F2F2F2" w:themeFill="background1" w:themeFillShade="F2"/>
          </w:tcPr>
          <w:p w14:paraId="151ADCCD" w14:textId="77777777" w:rsidR="00B3406A" w:rsidRDefault="00B3406A" w:rsidP="001E7257">
            <w:pPr>
              <w:rPr>
                <w:szCs w:val="18"/>
              </w:rPr>
            </w:pPr>
            <w:r>
              <w:rPr>
                <w:szCs w:val="18"/>
              </w:rPr>
              <w:t>Combination NRT</w:t>
            </w:r>
            <w:r>
              <w:rPr>
                <w:szCs w:val="18"/>
                <w:vertAlign w:val="superscript"/>
              </w:rPr>
              <w:t>4</w:t>
            </w:r>
            <w:r>
              <w:rPr>
                <w:szCs w:val="18"/>
              </w:rPr>
              <w:t xml:space="preserve"> vs varenicline</w:t>
            </w:r>
          </w:p>
        </w:tc>
        <w:tc>
          <w:tcPr>
            <w:tcW w:w="1448" w:type="pct"/>
            <w:shd w:val="clear" w:color="auto" w:fill="F2F2F2" w:themeFill="background1" w:themeFillShade="F2"/>
          </w:tcPr>
          <w:p w14:paraId="42954F68" w14:textId="77777777" w:rsidR="00B3406A" w:rsidRPr="00583050" w:rsidRDefault="00B3406A" w:rsidP="00815A6D">
            <w:pPr>
              <w:pStyle w:val="ListParagraph"/>
              <w:numPr>
                <w:ilvl w:val="0"/>
                <w:numId w:val="45"/>
              </w:numPr>
              <w:rPr>
                <w:szCs w:val="18"/>
              </w:rPr>
            </w:pPr>
            <w:r w:rsidRPr="00583050">
              <w:rPr>
                <w:szCs w:val="18"/>
              </w:rPr>
              <w:t>Chen (2020)</w:t>
            </w:r>
            <w:r w:rsidRPr="00583050">
              <w:rPr>
                <w:szCs w:val="18"/>
                <w:vertAlign w:val="superscript"/>
              </w:rPr>
              <w:t>7</w:t>
            </w:r>
          </w:p>
        </w:tc>
        <w:tc>
          <w:tcPr>
            <w:tcW w:w="2457" w:type="pct"/>
            <w:shd w:val="clear" w:color="auto" w:fill="F2F2F2" w:themeFill="background1" w:themeFillShade="F2"/>
          </w:tcPr>
          <w:p w14:paraId="751425B0" w14:textId="77777777" w:rsidR="00B3406A" w:rsidRPr="00583050" w:rsidRDefault="00B3406A" w:rsidP="00815A6D">
            <w:pPr>
              <w:pStyle w:val="ListParagraph"/>
              <w:numPr>
                <w:ilvl w:val="0"/>
                <w:numId w:val="45"/>
              </w:numPr>
              <w:rPr>
                <w:szCs w:val="18"/>
              </w:rPr>
            </w:pPr>
            <w:r w:rsidRPr="00A44ADB">
              <w:rPr>
                <w:szCs w:val="18"/>
                <w:u w:val="single"/>
              </w:rPr>
              <w:t xml:space="preserve">Efficacy: </w:t>
            </w:r>
            <w:r w:rsidRPr="00A44ADB">
              <w:rPr>
                <w:szCs w:val="18"/>
              </w:rPr>
              <w:t>Statistically significant</w:t>
            </w:r>
            <w:r>
              <w:rPr>
                <w:szCs w:val="18"/>
                <w:vertAlign w:val="superscript"/>
              </w:rPr>
              <w:t xml:space="preserve"> </w:t>
            </w:r>
            <w:r>
              <w:rPr>
                <w:szCs w:val="18"/>
              </w:rPr>
              <w:t>b</w:t>
            </w:r>
            <w:r w:rsidRPr="00583050">
              <w:rPr>
                <w:szCs w:val="18"/>
              </w:rPr>
              <w:t>ased on RR and RD (in favour of varenicline)</w:t>
            </w:r>
            <w:r>
              <w:rPr>
                <w:szCs w:val="18"/>
              </w:rPr>
              <w:t>.</w:t>
            </w:r>
          </w:p>
          <w:p w14:paraId="20F6DA22" w14:textId="77777777" w:rsidR="00B3406A" w:rsidRPr="002030E6" w:rsidRDefault="00B3406A" w:rsidP="00815A6D">
            <w:pPr>
              <w:pStyle w:val="ListParagraph"/>
              <w:numPr>
                <w:ilvl w:val="0"/>
                <w:numId w:val="45"/>
              </w:numPr>
              <w:rPr>
                <w:szCs w:val="18"/>
                <w:u w:val="single"/>
              </w:rPr>
            </w:pPr>
            <w:r w:rsidRPr="00A44ADB">
              <w:rPr>
                <w:szCs w:val="18"/>
                <w:u w:val="single"/>
              </w:rPr>
              <w:t xml:space="preserve">Safety: </w:t>
            </w:r>
            <w:r w:rsidRPr="002030E6">
              <w:rPr>
                <w:szCs w:val="18"/>
              </w:rPr>
              <w:t>Statistically significant</w:t>
            </w:r>
            <w:r>
              <w:rPr>
                <w:szCs w:val="18"/>
              </w:rPr>
              <w:t xml:space="preserve"> based on RR and RD </w:t>
            </w:r>
            <w:r w:rsidRPr="00A44ADB">
              <w:rPr>
                <w:szCs w:val="18"/>
              </w:rPr>
              <w:t>(nausea, vivid dreams; higher in varenicline</w:t>
            </w:r>
            <w:r w:rsidRPr="00DE6EAF">
              <w:rPr>
                <w:szCs w:val="18"/>
              </w:rPr>
              <w:t>)</w:t>
            </w:r>
            <w:r>
              <w:rPr>
                <w:szCs w:val="18"/>
              </w:rPr>
              <w:t xml:space="preserve">; </w:t>
            </w:r>
            <w:r w:rsidRPr="00A44ADB">
              <w:rPr>
                <w:szCs w:val="18"/>
              </w:rPr>
              <w:t>Not statistically significant</w:t>
            </w:r>
            <w:r>
              <w:rPr>
                <w:szCs w:val="18"/>
              </w:rPr>
              <w:t xml:space="preserve"> based on RR and RD </w:t>
            </w:r>
            <w:r w:rsidRPr="00A44ADB">
              <w:rPr>
                <w:szCs w:val="18"/>
              </w:rPr>
              <w:t xml:space="preserve">(vomiting, headache, insomnia, irregular heartbeat, </w:t>
            </w:r>
            <w:r>
              <w:rPr>
                <w:szCs w:val="18"/>
              </w:rPr>
              <w:t>S</w:t>
            </w:r>
            <w:r w:rsidRPr="00A44ADB">
              <w:rPr>
                <w:szCs w:val="18"/>
              </w:rPr>
              <w:t>AEs)</w:t>
            </w:r>
            <w:r>
              <w:rPr>
                <w:szCs w:val="18"/>
              </w:rPr>
              <w:t>.</w:t>
            </w:r>
          </w:p>
        </w:tc>
      </w:tr>
      <w:tr w:rsidR="00B3406A" w:rsidRPr="00360862" w14:paraId="3FAF0A34" w14:textId="77777777" w:rsidTr="00A82090">
        <w:trPr>
          <w:trHeight w:val="523"/>
        </w:trPr>
        <w:tc>
          <w:tcPr>
            <w:tcW w:w="1095" w:type="pct"/>
            <w:shd w:val="clear" w:color="auto" w:fill="F2F2F2" w:themeFill="background1" w:themeFillShade="F2"/>
          </w:tcPr>
          <w:p w14:paraId="5EE6D8E3" w14:textId="77777777" w:rsidR="00B3406A" w:rsidRDefault="00B3406A" w:rsidP="001E7257">
            <w:pPr>
              <w:rPr>
                <w:szCs w:val="18"/>
              </w:rPr>
            </w:pPr>
            <w:r>
              <w:rPr>
                <w:szCs w:val="18"/>
              </w:rPr>
              <w:t>Combination NRT</w:t>
            </w:r>
            <w:r>
              <w:rPr>
                <w:szCs w:val="18"/>
                <w:vertAlign w:val="superscript"/>
              </w:rPr>
              <w:t>5</w:t>
            </w:r>
            <w:r>
              <w:rPr>
                <w:szCs w:val="18"/>
              </w:rPr>
              <w:t xml:space="preserve"> vs varenicline</w:t>
            </w:r>
          </w:p>
        </w:tc>
        <w:tc>
          <w:tcPr>
            <w:tcW w:w="1448" w:type="pct"/>
            <w:shd w:val="clear" w:color="auto" w:fill="F2F2F2" w:themeFill="background1" w:themeFillShade="F2"/>
          </w:tcPr>
          <w:p w14:paraId="591B7386" w14:textId="77777777" w:rsidR="00B3406A" w:rsidRPr="006C1DAD" w:rsidRDefault="00B3406A" w:rsidP="00815A6D">
            <w:pPr>
              <w:pStyle w:val="ListParagraph"/>
              <w:numPr>
                <w:ilvl w:val="0"/>
                <w:numId w:val="45"/>
              </w:numPr>
              <w:rPr>
                <w:szCs w:val="18"/>
              </w:rPr>
            </w:pPr>
            <w:r w:rsidRPr="00583050">
              <w:rPr>
                <w:szCs w:val="18"/>
              </w:rPr>
              <w:t>Cahill (2013)</w:t>
            </w:r>
            <w:r w:rsidRPr="00583050">
              <w:rPr>
                <w:szCs w:val="18"/>
                <w:vertAlign w:val="superscript"/>
              </w:rPr>
              <w:t>6</w:t>
            </w:r>
          </w:p>
        </w:tc>
        <w:tc>
          <w:tcPr>
            <w:tcW w:w="2457" w:type="pct"/>
            <w:shd w:val="clear" w:color="auto" w:fill="F2F2F2" w:themeFill="background1" w:themeFillShade="F2"/>
          </w:tcPr>
          <w:p w14:paraId="0D2BCD93" w14:textId="77777777" w:rsidR="00B3406A" w:rsidRPr="00876252" w:rsidRDefault="00B3406A" w:rsidP="00815A6D">
            <w:pPr>
              <w:pStyle w:val="ListParagraph"/>
              <w:numPr>
                <w:ilvl w:val="0"/>
                <w:numId w:val="45"/>
              </w:numPr>
              <w:rPr>
                <w:szCs w:val="18"/>
              </w:rPr>
            </w:pPr>
            <w:r w:rsidRPr="00876252">
              <w:rPr>
                <w:szCs w:val="18"/>
                <w:u w:val="single"/>
              </w:rPr>
              <w:t xml:space="preserve">Efficacy: </w:t>
            </w:r>
            <w:r w:rsidRPr="00876252">
              <w:rPr>
                <w:szCs w:val="18"/>
              </w:rPr>
              <w:t>Not statistically significant</w:t>
            </w:r>
            <w:r>
              <w:rPr>
                <w:szCs w:val="18"/>
              </w:rPr>
              <w:t xml:space="preserve"> based on OR.</w:t>
            </w:r>
          </w:p>
          <w:p w14:paraId="647A3779" w14:textId="77777777" w:rsidR="00B3406A" w:rsidRPr="00876252" w:rsidRDefault="00B3406A" w:rsidP="00815A6D">
            <w:pPr>
              <w:pStyle w:val="ListParagraph"/>
              <w:numPr>
                <w:ilvl w:val="0"/>
                <w:numId w:val="45"/>
              </w:numPr>
              <w:rPr>
                <w:szCs w:val="18"/>
                <w:u w:val="single"/>
              </w:rPr>
            </w:pPr>
            <w:r w:rsidRPr="00876252">
              <w:rPr>
                <w:szCs w:val="18"/>
                <w:u w:val="single"/>
              </w:rPr>
              <w:t>Safety:</w:t>
            </w:r>
            <w:r w:rsidRPr="00876252">
              <w:rPr>
                <w:szCs w:val="18"/>
              </w:rPr>
              <w:t xml:space="preserve"> No safety comparison was conducted by the authors</w:t>
            </w:r>
            <w:r>
              <w:rPr>
                <w:szCs w:val="18"/>
              </w:rPr>
              <w:t>.</w:t>
            </w:r>
          </w:p>
        </w:tc>
      </w:tr>
      <w:tr w:rsidR="00B3406A" w:rsidRPr="00360862" w14:paraId="19B1F0A3" w14:textId="77777777" w:rsidTr="00A82090">
        <w:trPr>
          <w:trHeight w:val="523"/>
        </w:trPr>
        <w:tc>
          <w:tcPr>
            <w:tcW w:w="1095" w:type="pct"/>
            <w:shd w:val="clear" w:color="auto" w:fill="F2F2F2" w:themeFill="background1" w:themeFillShade="F2"/>
          </w:tcPr>
          <w:p w14:paraId="39274049" w14:textId="77777777" w:rsidR="00B3406A" w:rsidRDefault="00B3406A" w:rsidP="001E7257">
            <w:pPr>
              <w:rPr>
                <w:szCs w:val="18"/>
              </w:rPr>
            </w:pPr>
            <w:r>
              <w:rPr>
                <w:szCs w:val="18"/>
              </w:rPr>
              <w:t>Combination NRT</w:t>
            </w:r>
            <w:r>
              <w:rPr>
                <w:szCs w:val="18"/>
                <w:vertAlign w:val="superscript"/>
              </w:rPr>
              <w:t>5</w:t>
            </w:r>
            <w:r>
              <w:rPr>
                <w:szCs w:val="18"/>
              </w:rPr>
              <w:t xml:space="preserve"> vs bupropion</w:t>
            </w:r>
          </w:p>
        </w:tc>
        <w:tc>
          <w:tcPr>
            <w:tcW w:w="1448" w:type="pct"/>
            <w:shd w:val="clear" w:color="auto" w:fill="F2F2F2" w:themeFill="background1" w:themeFillShade="F2"/>
          </w:tcPr>
          <w:p w14:paraId="31DA10BB" w14:textId="77777777" w:rsidR="00B3406A" w:rsidRPr="006C1DAD" w:rsidRDefault="00B3406A" w:rsidP="00815A6D">
            <w:pPr>
              <w:pStyle w:val="ListParagraph"/>
              <w:numPr>
                <w:ilvl w:val="0"/>
                <w:numId w:val="45"/>
              </w:numPr>
              <w:rPr>
                <w:szCs w:val="18"/>
              </w:rPr>
            </w:pPr>
            <w:r w:rsidRPr="00583050">
              <w:rPr>
                <w:szCs w:val="18"/>
              </w:rPr>
              <w:t>Cahill (2013)</w:t>
            </w:r>
            <w:r w:rsidRPr="00583050">
              <w:rPr>
                <w:szCs w:val="18"/>
                <w:vertAlign w:val="superscript"/>
              </w:rPr>
              <w:t>6</w:t>
            </w:r>
          </w:p>
        </w:tc>
        <w:tc>
          <w:tcPr>
            <w:tcW w:w="2457" w:type="pct"/>
            <w:shd w:val="clear" w:color="auto" w:fill="F2F2F2" w:themeFill="background1" w:themeFillShade="F2"/>
          </w:tcPr>
          <w:p w14:paraId="15C0921B" w14:textId="77777777" w:rsidR="00B3406A" w:rsidRPr="00583050" w:rsidRDefault="00B3406A" w:rsidP="00815A6D">
            <w:pPr>
              <w:pStyle w:val="ListParagraph"/>
              <w:numPr>
                <w:ilvl w:val="0"/>
                <w:numId w:val="45"/>
              </w:numPr>
              <w:rPr>
                <w:szCs w:val="18"/>
              </w:rPr>
            </w:pPr>
            <w:r w:rsidRPr="00876252">
              <w:rPr>
                <w:szCs w:val="18"/>
                <w:u w:val="single"/>
              </w:rPr>
              <w:t xml:space="preserve">Efficacy: </w:t>
            </w:r>
            <w:r w:rsidRPr="00876252">
              <w:rPr>
                <w:szCs w:val="18"/>
              </w:rPr>
              <w:t>Statistically significant</w:t>
            </w:r>
            <w:r>
              <w:rPr>
                <w:szCs w:val="18"/>
              </w:rPr>
              <w:t xml:space="preserve"> based on OR </w:t>
            </w:r>
            <w:r w:rsidRPr="00583050">
              <w:rPr>
                <w:szCs w:val="18"/>
              </w:rPr>
              <w:t>(in favour of combination NRT)</w:t>
            </w:r>
            <w:r>
              <w:rPr>
                <w:szCs w:val="18"/>
              </w:rPr>
              <w:t>.</w:t>
            </w:r>
          </w:p>
          <w:p w14:paraId="17B1C3D1" w14:textId="77777777" w:rsidR="00B3406A" w:rsidRPr="00876252" w:rsidRDefault="00B3406A" w:rsidP="00815A6D">
            <w:pPr>
              <w:pStyle w:val="ListParagraph"/>
              <w:numPr>
                <w:ilvl w:val="0"/>
                <w:numId w:val="45"/>
              </w:numPr>
              <w:rPr>
                <w:szCs w:val="18"/>
                <w:u w:val="single"/>
              </w:rPr>
            </w:pPr>
            <w:r w:rsidRPr="00876252">
              <w:rPr>
                <w:szCs w:val="18"/>
                <w:u w:val="single"/>
              </w:rPr>
              <w:t xml:space="preserve">Safety: </w:t>
            </w:r>
            <w:r w:rsidRPr="00876252">
              <w:rPr>
                <w:szCs w:val="18"/>
              </w:rPr>
              <w:t>No safety comparison was conducted by the authors.</w:t>
            </w:r>
          </w:p>
        </w:tc>
      </w:tr>
    </w:tbl>
    <w:p w14:paraId="5A694A2C" w14:textId="77777777" w:rsidR="00B3406A" w:rsidRDefault="00B3406A" w:rsidP="00523139">
      <w:pPr>
        <w:pStyle w:val="TableFooter"/>
        <w:jc w:val="both"/>
      </w:pPr>
      <w:r>
        <w:t>Abbreviations: AEs = adverse events; NRT = nicotine replacement therapy; OR = odds ratio; RR = risk ratio, RD = risk difference; SAEs = serious adverse events.</w:t>
      </w:r>
    </w:p>
    <w:p w14:paraId="144F533A" w14:textId="77777777" w:rsidR="00B3406A" w:rsidRDefault="00B3406A" w:rsidP="00523139">
      <w:pPr>
        <w:pStyle w:val="TableFooter"/>
        <w:jc w:val="both"/>
      </w:pPr>
      <w:r w:rsidRPr="00BE36E8">
        <w:t xml:space="preserve">Notes: </w:t>
      </w:r>
    </w:p>
    <w:p w14:paraId="4238985C" w14:textId="77777777" w:rsidR="00B3406A" w:rsidRPr="007B1E27" w:rsidRDefault="00B3406A" w:rsidP="00523139">
      <w:pPr>
        <w:pStyle w:val="TableFooter"/>
        <w:jc w:val="both"/>
      </w:pPr>
      <w:r>
        <w:t xml:space="preserve">1 </w:t>
      </w:r>
      <w:r w:rsidRPr="007B1E27">
        <w:t>Combination NRT administered either as patch+lozenge, patch+gum, patch+inhaler, or patch+lozenge and gum.</w:t>
      </w:r>
    </w:p>
    <w:p w14:paraId="1039D56B" w14:textId="77777777" w:rsidR="00B3406A" w:rsidRPr="007B1E27" w:rsidRDefault="00B3406A" w:rsidP="00523139">
      <w:pPr>
        <w:pStyle w:val="TableFooter"/>
        <w:jc w:val="both"/>
      </w:pPr>
      <w:r>
        <w:t xml:space="preserve">2 </w:t>
      </w:r>
      <w:r w:rsidRPr="007B1E27">
        <w:t>Combination NRT administered either as patch+lozenge, patch+gum, patch+inhaler, patch+nasal spray, or patch+oral spray.</w:t>
      </w:r>
    </w:p>
    <w:p w14:paraId="15BD351A" w14:textId="77777777" w:rsidR="00B3406A" w:rsidRPr="007B1E27" w:rsidRDefault="00B3406A" w:rsidP="00523139">
      <w:pPr>
        <w:pStyle w:val="TableFooter"/>
        <w:jc w:val="both"/>
      </w:pPr>
      <w:r>
        <w:t xml:space="preserve">3 </w:t>
      </w:r>
      <w:r w:rsidRPr="007B1E27">
        <w:t>Combination NRT administered either as patch+lozenge, patch+gum, patch+inhaler, or patch+nasal spray.</w:t>
      </w:r>
    </w:p>
    <w:p w14:paraId="16AAE803" w14:textId="77777777" w:rsidR="00B3406A" w:rsidRPr="00A44ADB" w:rsidRDefault="00B3406A" w:rsidP="00523139">
      <w:pPr>
        <w:pStyle w:val="TableFooter"/>
        <w:jc w:val="both"/>
      </w:pPr>
      <w:r>
        <w:t>4</w:t>
      </w:r>
      <w:r w:rsidRPr="00BE36E8">
        <w:t xml:space="preserve"> </w:t>
      </w:r>
      <w:r w:rsidRPr="00A44ADB">
        <w:t>Combination of NRT patches and lozenges.</w:t>
      </w:r>
    </w:p>
    <w:p w14:paraId="35936C18" w14:textId="79F7589A" w:rsidR="00B3406A" w:rsidRPr="00A44ADB" w:rsidRDefault="00B3406A" w:rsidP="00523139">
      <w:pPr>
        <w:pStyle w:val="TableFooter"/>
        <w:jc w:val="both"/>
      </w:pPr>
      <w:r>
        <w:t xml:space="preserve">5 </w:t>
      </w:r>
      <w:r w:rsidRPr="00A44ADB">
        <w:t xml:space="preserve">The types of formulations used in the combination NRT treatment arm were clinically </w:t>
      </w:r>
      <w:r w:rsidR="007918CA" w:rsidRPr="00A44ADB">
        <w:t>heterogeneous</w:t>
      </w:r>
      <w:r w:rsidRPr="00A44ADB">
        <w:t>.</w:t>
      </w:r>
    </w:p>
    <w:p w14:paraId="73A6A69D" w14:textId="77777777" w:rsidR="00B3406A" w:rsidRDefault="00B3406A" w:rsidP="00523139">
      <w:pPr>
        <w:pStyle w:val="TableFooter"/>
        <w:jc w:val="both"/>
      </w:pPr>
      <w:r>
        <w:t xml:space="preserve">6 </w:t>
      </w:r>
      <w:r w:rsidRPr="00BE36E8">
        <w:t>Cochrane Review</w:t>
      </w:r>
      <w:r>
        <w:t>.</w:t>
      </w:r>
    </w:p>
    <w:p w14:paraId="3E92BBEC" w14:textId="77777777" w:rsidR="002F3376" w:rsidRDefault="00B3406A" w:rsidP="00523139">
      <w:pPr>
        <w:pStyle w:val="TableFooter"/>
        <w:jc w:val="both"/>
      </w:pPr>
      <w:r>
        <w:t>7 Supplemental evidence (RCT).</w:t>
      </w:r>
    </w:p>
    <w:p w14:paraId="071226E7" w14:textId="1723CC98" w:rsidR="00B3406A" w:rsidRDefault="00B3406A" w:rsidP="00523139">
      <w:pPr>
        <w:pStyle w:val="TableFooter"/>
        <w:jc w:val="both"/>
      </w:pPr>
      <w:r>
        <w:t xml:space="preserve">8 </w:t>
      </w:r>
      <w:r w:rsidRPr="007B1E27">
        <w:t>Statistically significant based on risk ratio but not significant based on risk difference (RR = 1.60, 95% CI: 1.10, 2.32; RD = 0.10, 95% CI: 0.10, -0.04, 0.23).</w:t>
      </w:r>
    </w:p>
    <w:p w14:paraId="536CA754" w14:textId="77777777" w:rsidR="002F3376" w:rsidRPr="0043205F" w:rsidRDefault="002F3376" w:rsidP="002F3376">
      <w:pPr>
        <w:pStyle w:val="TableFooter"/>
      </w:pPr>
    </w:p>
    <w:p w14:paraId="5E6B2D54" w14:textId="5843ED5A" w:rsidR="00B3406A" w:rsidRPr="00B23D0F" w:rsidRDefault="00B3406A" w:rsidP="00523139">
      <w:pPr>
        <w:pStyle w:val="Heading6"/>
        <w:numPr>
          <w:ilvl w:val="2"/>
          <w:numId w:val="69"/>
        </w:numPr>
        <w:spacing w:before="120" w:after="120"/>
        <w:jc w:val="both"/>
        <w:rPr>
          <w:rFonts w:asciiTheme="minorHAnsi" w:hAnsiTheme="minorHAnsi" w:cstheme="minorHAnsi"/>
          <w:b/>
          <w:i w:val="0"/>
          <w:color w:val="auto"/>
        </w:rPr>
      </w:pPr>
      <w:r w:rsidRPr="00B23D0F">
        <w:rPr>
          <w:rFonts w:asciiTheme="minorHAnsi" w:hAnsiTheme="minorHAnsi" w:cstheme="minorHAnsi"/>
          <w:b/>
          <w:i w:val="0"/>
          <w:color w:val="auto"/>
        </w:rPr>
        <w:lastRenderedPageBreak/>
        <w:t>Combination varenicline</w:t>
      </w:r>
    </w:p>
    <w:p w14:paraId="50B6DF4F" w14:textId="77777777" w:rsidR="00B3406A" w:rsidRPr="00925038" w:rsidRDefault="00B3406A" w:rsidP="00523139">
      <w:pPr>
        <w:spacing w:before="120" w:after="120"/>
        <w:jc w:val="both"/>
      </w:pPr>
      <w:r w:rsidRPr="00925038">
        <w:t>Treatment-naïve population</w:t>
      </w:r>
    </w:p>
    <w:p w14:paraId="12A1B3D7" w14:textId="23DD32D7" w:rsidR="00B3406A" w:rsidRPr="00A81526" w:rsidRDefault="00B3406A" w:rsidP="00523139">
      <w:pPr>
        <w:pStyle w:val="ListParagraph"/>
        <w:numPr>
          <w:ilvl w:val="0"/>
          <w:numId w:val="26"/>
        </w:numPr>
        <w:spacing w:before="120" w:after="0"/>
        <w:ind w:left="357" w:hanging="357"/>
        <w:contextualSpacing w:val="0"/>
        <w:jc w:val="both"/>
      </w:pPr>
      <w:r w:rsidRPr="00925038">
        <w:t xml:space="preserve">Varenicline in combination with NRT patch was shown to be superior to varenicline alone in terms of efficacy, </w:t>
      </w:r>
      <w:r>
        <w:t>but</w:t>
      </w:r>
      <w:r w:rsidRPr="00A81526">
        <w:t xml:space="preserve"> the results were no longer significant after excluding one RCT identified to be different in study design (pre-cessation treatment with patch) and participant characteristics (more females than males). There were no statistically significant differences between varenicline plus NRT patch and varenicline alone in terms of nausea, insomnia, abnormal </w:t>
      </w:r>
      <w:r w:rsidR="00C0289B" w:rsidRPr="00A81526">
        <w:t>dreams,</w:t>
      </w:r>
      <w:r w:rsidRPr="00A81526">
        <w:t xml:space="preserve"> or headache.</w:t>
      </w:r>
    </w:p>
    <w:p w14:paraId="607D0649" w14:textId="05D41B75" w:rsidR="00B3406A" w:rsidRDefault="00B3406A" w:rsidP="00523139">
      <w:pPr>
        <w:pStyle w:val="ListParagraph"/>
        <w:numPr>
          <w:ilvl w:val="0"/>
          <w:numId w:val="26"/>
        </w:numPr>
        <w:spacing w:after="240"/>
        <w:ind w:left="357" w:hanging="357"/>
        <w:contextualSpacing w:val="0"/>
        <w:jc w:val="both"/>
      </w:pPr>
      <w:r>
        <w:t xml:space="preserve">There were no </w:t>
      </w:r>
      <w:r w:rsidR="00077455">
        <w:t>statistically</w:t>
      </w:r>
      <w:r>
        <w:t xml:space="preserve"> significant differences between v</w:t>
      </w:r>
      <w:r w:rsidRPr="00734F63">
        <w:t xml:space="preserve">arenicline plus bupropion </w:t>
      </w:r>
      <w:r>
        <w:t xml:space="preserve">compared </w:t>
      </w:r>
      <w:r w:rsidRPr="00734F63">
        <w:t xml:space="preserve">to varenicline alone in terms of efficacy. </w:t>
      </w:r>
      <w:r>
        <w:t>While</w:t>
      </w:r>
      <w:r w:rsidRPr="00734F63">
        <w:t xml:space="preserve"> a significantly higher proportion of patients in the varenicline plus bupropion arm experienc</w:t>
      </w:r>
      <w:r>
        <w:t>ed</w:t>
      </w:r>
      <w:r w:rsidRPr="00734F63">
        <w:t xml:space="preserve"> any adverse events and psychiatric adverse events compared with patients in the varenicline alone arm, there were no statistically significant differences in serious adverse events and discontinuation due to adverse events.</w:t>
      </w:r>
    </w:p>
    <w:tbl>
      <w:tblPr>
        <w:tblStyle w:val="TableGrid3"/>
        <w:tblW w:w="5000" w:type="pct"/>
        <w:shd w:val="clear" w:color="auto" w:fill="F2F2F2" w:themeFill="background1" w:themeFillShade="F2"/>
        <w:tblLook w:val="04A0" w:firstRow="1" w:lastRow="0" w:firstColumn="1" w:lastColumn="0" w:noHBand="0" w:noVBand="1"/>
      </w:tblPr>
      <w:tblGrid>
        <w:gridCol w:w="2154"/>
        <w:gridCol w:w="1800"/>
        <w:gridCol w:w="5062"/>
      </w:tblGrid>
      <w:tr w:rsidR="00B3406A" w:rsidRPr="00916516" w14:paraId="104D8F64" w14:textId="77777777" w:rsidTr="00A82090">
        <w:trPr>
          <w:trHeight w:val="67"/>
        </w:trPr>
        <w:tc>
          <w:tcPr>
            <w:tcW w:w="1195" w:type="pct"/>
            <w:shd w:val="clear" w:color="auto" w:fill="F2F2F2" w:themeFill="background1" w:themeFillShade="F2"/>
            <w:hideMark/>
          </w:tcPr>
          <w:p w14:paraId="37670DCA" w14:textId="77777777" w:rsidR="00B3406A" w:rsidRPr="00916516" w:rsidRDefault="00B3406A" w:rsidP="001E7257">
            <w:pPr>
              <w:rPr>
                <w:szCs w:val="18"/>
              </w:rPr>
            </w:pPr>
            <w:r w:rsidRPr="00916516">
              <w:rPr>
                <w:b/>
                <w:bCs/>
                <w:szCs w:val="18"/>
              </w:rPr>
              <w:t>Compar</w:t>
            </w:r>
            <w:r>
              <w:rPr>
                <w:b/>
                <w:bCs/>
                <w:szCs w:val="18"/>
              </w:rPr>
              <w:t>ison</w:t>
            </w:r>
          </w:p>
        </w:tc>
        <w:tc>
          <w:tcPr>
            <w:tcW w:w="998" w:type="pct"/>
            <w:shd w:val="clear" w:color="auto" w:fill="F2F2F2" w:themeFill="background1" w:themeFillShade="F2"/>
            <w:hideMark/>
          </w:tcPr>
          <w:p w14:paraId="0788CE1C" w14:textId="77777777" w:rsidR="00B3406A" w:rsidRPr="00916516" w:rsidRDefault="00B3406A" w:rsidP="001E7257">
            <w:pPr>
              <w:jc w:val="center"/>
              <w:rPr>
                <w:szCs w:val="18"/>
              </w:rPr>
            </w:pPr>
            <w:r>
              <w:rPr>
                <w:b/>
                <w:bCs/>
                <w:szCs w:val="18"/>
              </w:rPr>
              <w:t>Included studies</w:t>
            </w:r>
          </w:p>
        </w:tc>
        <w:tc>
          <w:tcPr>
            <w:tcW w:w="2807" w:type="pct"/>
            <w:shd w:val="clear" w:color="auto" w:fill="F2F2F2" w:themeFill="background1" w:themeFillShade="F2"/>
            <w:hideMark/>
          </w:tcPr>
          <w:p w14:paraId="2657C5D7" w14:textId="77777777" w:rsidR="00B3406A" w:rsidRPr="00916516" w:rsidRDefault="00B3406A" w:rsidP="001E7257">
            <w:pPr>
              <w:jc w:val="center"/>
              <w:rPr>
                <w:szCs w:val="18"/>
              </w:rPr>
            </w:pPr>
            <w:r>
              <w:rPr>
                <w:b/>
                <w:bCs/>
                <w:szCs w:val="18"/>
              </w:rPr>
              <w:t>Summary of evidence</w:t>
            </w:r>
          </w:p>
        </w:tc>
      </w:tr>
      <w:tr w:rsidR="00B3406A" w:rsidRPr="00916516" w14:paraId="52DA316B" w14:textId="77777777" w:rsidTr="00A82090">
        <w:trPr>
          <w:trHeight w:val="164"/>
        </w:trPr>
        <w:tc>
          <w:tcPr>
            <w:tcW w:w="5000" w:type="pct"/>
            <w:gridSpan w:val="3"/>
            <w:shd w:val="clear" w:color="auto" w:fill="F2F2F2" w:themeFill="background1" w:themeFillShade="F2"/>
            <w:hideMark/>
          </w:tcPr>
          <w:p w14:paraId="0A82B158" w14:textId="77777777" w:rsidR="00B3406A" w:rsidRPr="00916516" w:rsidRDefault="00B3406A" w:rsidP="001E7257">
            <w:pPr>
              <w:tabs>
                <w:tab w:val="left" w:pos="3037"/>
              </w:tabs>
              <w:rPr>
                <w:szCs w:val="18"/>
              </w:rPr>
            </w:pPr>
            <w:r w:rsidRPr="00916516">
              <w:rPr>
                <w:b/>
                <w:bCs/>
                <w:szCs w:val="18"/>
              </w:rPr>
              <w:t>Treatment-naïve populatio</w:t>
            </w:r>
            <w:r>
              <w:rPr>
                <w:b/>
                <w:bCs/>
                <w:szCs w:val="18"/>
              </w:rPr>
              <w:t>n</w:t>
            </w:r>
          </w:p>
        </w:tc>
      </w:tr>
      <w:tr w:rsidR="00B3406A" w:rsidRPr="0063070A" w14:paraId="599ECC32" w14:textId="77777777" w:rsidTr="00A82090">
        <w:trPr>
          <w:trHeight w:val="345"/>
        </w:trPr>
        <w:tc>
          <w:tcPr>
            <w:tcW w:w="1195" w:type="pct"/>
            <w:shd w:val="clear" w:color="auto" w:fill="F2F2F2" w:themeFill="background1" w:themeFillShade="F2"/>
            <w:hideMark/>
          </w:tcPr>
          <w:p w14:paraId="17A6B568" w14:textId="77777777" w:rsidR="00B3406A" w:rsidRPr="00360862" w:rsidRDefault="00B3406A" w:rsidP="001E7257">
            <w:pPr>
              <w:tabs>
                <w:tab w:val="left" w:pos="1198"/>
              </w:tabs>
              <w:spacing w:after="200"/>
              <w:rPr>
                <w:szCs w:val="18"/>
              </w:rPr>
            </w:pPr>
            <w:r w:rsidRPr="00552AFA">
              <w:rPr>
                <w:szCs w:val="18"/>
              </w:rPr>
              <w:t>Varenicline + NRT patch</w:t>
            </w:r>
            <w:r>
              <w:rPr>
                <w:szCs w:val="18"/>
              </w:rPr>
              <w:t xml:space="preserve"> vs varenicline alone</w:t>
            </w:r>
          </w:p>
        </w:tc>
        <w:tc>
          <w:tcPr>
            <w:tcW w:w="998" w:type="pct"/>
            <w:shd w:val="clear" w:color="auto" w:fill="F2F2F2" w:themeFill="background1" w:themeFillShade="F2"/>
            <w:hideMark/>
          </w:tcPr>
          <w:p w14:paraId="718A20F5" w14:textId="77777777" w:rsidR="00B3406A" w:rsidRPr="00614418" w:rsidRDefault="00B3406A" w:rsidP="00815A6D">
            <w:pPr>
              <w:pStyle w:val="ListParagraph"/>
              <w:numPr>
                <w:ilvl w:val="0"/>
                <w:numId w:val="43"/>
              </w:numPr>
              <w:rPr>
                <w:szCs w:val="18"/>
              </w:rPr>
            </w:pPr>
            <w:r w:rsidRPr="00614418">
              <w:rPr>
                <w:szCs w:val="18"/>
              </w:rPr>
              <w:t>Chang</w:t>
            </w:r>
            <w:r>
              <w:rPr>
                <w:szCs w:val="18"/>
              </w:rPr>
              <w:t xml:space="preserve"> </w:t>
            </w:r>
            <w:r w:rsidRPr="00614418">
              <w:rPr>
                <w:szCs w:val="18"/>
              </w:rPr>
              <w:t>(2015</w:t>
            </w:r>
            <w:r>
              <w:rPr>
                <w:szCs w:val="18"/>
              </w:rPr>
              <w:t>)</w:t>
            </w:r>
            <w:r w:rsidRPr="00614418">
              <w:rPr>
                <w:szCs w:val="18"/>
                <w:vertAlign w:val="superscript"/>
              </w:rPr>
              <w:t>2</w:t>
            </w:r>
          </w:p>
        </w:tc>
        <w:tc>
          <w:tcPr>
            <w:tcW w:w="2807" w:type="pct"/>
            <w:shd w:val="clear" w:color="auto" w:fill="F2F2F2" w:themeFill="background1" w:themeFillShade="F2"/>
            <w:hideMark/>
          </w:tcPr>
          <w:p w14:paraId="5B1F5076" w14:textId="77777777" w:rsidR="00B3406A" w:rsidRPr="00552AFA"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552AFA">
              <w:rPr>
                <w:szCs w:val="18"/>
              </w:rPr>
              <w:t>Statistically significant</w:t>
            </w:r>
            <w:r>
              <w:rPr>
                <w:szCs w:val="18"/>
                <w:vertAlign w:val="superscript"/>
              </w:rPr>
              <w:t xml:space="preserve">3 </w:t>
            </w:r>
            <w:r>
              <w:rPr>
                <w:szCs w:val="18"/>
              </w:rPr>
              <w:t xml:space="preserve">based on OR </w:t>
            </w:r>
            <w:r w:rsidRPr="00552AFA">
              <w:rPr>
                <w:szCs w:val="18"/>
              </w:rPr>
              <w:t>(in favour of varenicline+NRT patch)</w:t>
            </w:r>
            <w:r>
              <w:rPr>
                <w:szCs w:val="18"/>
              </w:rPr>
              <w:t>.</w:t>
            </w:r>
          </w:p>
          <w:p w14:paraId="5B5EA9A3" w14:textId="77777777" w:rsidR="00B3406A" w:rsidRPr="00552AFA"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552AFA">
              <w:rPr>
                <w:szCs w:val="18"/>
              </w:rPr>
              <w:t>Not statistically significant</w:t>
            </w:r>
            <w:r>
              <w:rPr>
                <w:szCs w:val="18"/>
              </w:rPr>
              <w:t xml:space="preserve"> based on OR </w:t>
            </w:r>
            <w:r w:rsidRPr="00552AFA">
              <w:rPr>
                <w:szCs w:val="18"/>
              </w:rPr>
              <w:t>(nausea, insomnia, abnormal dreams, headache)</w:t>
            </w:r>
            <w:r>
              <w:rPr>
                <w:szCs w:val="18"/>
              </w:rPr>
              <w:t>.</w:t>
            </w:r>
          </w:p>
        </w:tc>
      </w:tr>
      <w:tr w:rsidR="00B3406A" w:rsidRPr="00360862" w14:paraId="252937E0" w14:textId="77777777" w:rsidTr="00A82090">
        <w:trPr>
          <w:trHeight w:val="617"/>
        </w:trPr>
        <w:tc>
          <w:tcPr>
            <w:tcW w:w="1195" w:type="pct"/>
            <w:shd w:val="clear" w:color="auto" w:fill="F2F2F2" w:themeFill="background1" w:themeFillShade="F2"/>
            <w:hideMark/>
          </w:tcPr>
          <w:p w14:paraId="3C0C8F47" w14:textId="7920DA03" w:rsidR="00B3406A" w:rsidRPr="00360862" w:rsidRDefault="00B3406A" w:rsidP="001E7257">
            <w:pPr>
              <w:spacing w:after="200"/>
              <w:rPr>
                <w:szCs w:val="18"/>
              </w:rPr>
            </w:pPr>
            <w:r w:rsidRPr="00552AFA">
              <w:rPr>
                <w:szCs w:val="18"/>
              </w:rPr>
              <w:t>Varenicline + bupropion</w:t>
            </w:r>
            <w:r>
              <w:rPr>
                <w:szCs w:val="18"/>
              </w:rPr>
              <w:t xml:space="preserve"> vs varenicline alone</w:t>
            </w:r>
          </w:p>
        </w:tc>
        <w:tc>
          <w:tcPr>
            <w:tcW w:w="998" w:type="pct"/>
            <w:shd w:val="clear" w:color="auto" w:fill="F2F2F2" w:themeFill="background1" w:themeFillShade="F2"/>
            <w:hideMark/>
          </w:tcPr>
          <w:p w14:paraId="48E16CF6" w14:textId="77777777" w:rsidR="00B3406A" w:rsidRPr="002A5E9C" w:rsidRDefault="00B3406A" w:rsidP="00815A6D">
            <w:pPr>
              <w:pStyle w:val="ListParagraph"/>
              <w:numPr>
                <w:ilvl w:val="0"/>
                <w:numId w:val="44"/>
              </w:numPr>
              <w:rPr>
                <w:szCs w:val="18"/>
              </w:rPr>
            </w:pPr>
            <w:r>
              <w:rPr>
                <w:rFonts w:eastAsia="MS Mincho"/>
              </w:rPr>
              <w:t>Howes</w:t>
            </w:r>
            <w:r w:rsidRPr="00061F78">
              <w:rPr>
                <w:rFonts w:eastAsia="MS Mincho"/>
              </w:rPr>
              <w:t xml:space="preserve"> (20</w:t>
            </w:r>
            <w:r>
              <w:rPr>
                <w:rFonts w:eastAsia="MS Mincho"/>
              </w:rPr>
              <w:t>20</w:t>
            </w:r>
            <w:r w:rsidRPr="00061F78">
              <w:rPr>
                <w:rFonts w:eastAsia="MS Mincho"/>
              </w:rPr>
              <w:t>)</w:t>
            </w:r>
            <w:r w:rsidRPr="00614418">
              <w:rPr>
                <w:rFonts w:eastAsia="MS Mincho"/>
                <w:vertAlign w:val="superscript"/>
              </w:rPr>
              <w:t>1</w:t>
            </w:r>
          </w:p>
        </w:tc>
        <w:tc>
          <w:tcPr>
            <w:tcW w:w="2807" w:type="pct"/>
            <w:shd w:val="clear" w:color="auto" w:fill="F2F2F2" w:themeFill="background1" w:themeFillShade="F2"/>
            <w:hideMark/>
          </w:tcPr>
          <w:p w14:paraId="0B1DEEDD" w14:textId="77777777" w:rsidR="00B3406A" w:rsidRPr="00552AFA"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552AFA">
              <w:rPr>
                <w:szCs w:val="18"/>
              </w:rPr>
              <w:t>Not statistically significant</w:t>
            </w:r>
            <w:r>
              <w:rPr>
                <w:szCs w:val="18"/>
              </w:rPr>
              <w:t xml:space="preserve"> based on RR. </w:t>
            </w:r>
          </w:p>
          <w:p w14:paraId="1661516E" w14:textId="77777777" w:rsidR="00B3406A"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552AFA">
              <w:rPr>
                <w:szCs w:val="18"/>
              </w:rPr>
              <w:t>Statistically significant</w:t>
            </w:r>
            <w:r>
              <w:rPr>
                <w:szCs w:val="18"/>
              </w:rPr>
              <w:t xml:space="preserve"> based on RR </w:t>
            </w:r>
            <w:r w:rsidRPr="00552AFA">
              <w:rPr>
                <w:szCs w:val="18"/>
              </w:rPr>
              <w:t>(any AEs, psychiatric AEs; higher in varenicline+bupropion)</w:t>
            </w:r>
            <w:r>
              <w:rPr>
                <w:szCs w:val="18"/>
              </w:rPr>
              <w:t>;</w:t>
            </w:r>
          </w:p>
          <w:p w14:paraId="2E7DA4D4" w14:textId="77777777" w:rsidR="00B3406A" w:rsidRPr="00552AFA" w:rsidRDefault="00B3406A" w:rsidP="001E7257">
            <w:pPr>
              <w:pStyle w:val="ListParagraph"/>
              <w:ind w:left="360"/>
              <w:rPr>
                <w:szCs w:val="18"/>
              </w:rPr>
            </w:pPr>
            <w:r w:rsidRPr="00552AFA">
              <w:rPr>
                <w:szCs w:val="18"/>
              </w:rPr>
              <w:t xml:space="preserve">Not statistically significant </w:t>
            </w:r>
            <w:r>
              <w:rPr>
                <w:szCs w:val="18"/>
              </w:rPr>
              <w:t xml:space="preserve">based on RR </w:t>
            </w:r>
            <w:r w:rsidRPr="00552AFA">
              <w:rPr>
                <w:szCs w:val="18"/>
              </w:rPr>
              <w:t>(</w:t>
            </w:r>
            <w:r>
              <w:rPr>
                <w:szCs w:val="18"/>
              </w:rPr>
              <w:t>S</w:t>
            </w:r>
            <w:r w:rsidRPr="00552AFA">
              <w:rPr>
                <w:szCs w:val="18"/>
              </w:rPr>
              <w:t>AEs, discontinuation due to AEs)</w:t>
            </w:r>
            <w:r>
              <w:rPr>
                <w:szCs w:val="18"/>
              </w:rPr>
              <w:t>.</w:t>
            </w:r>
          </w:p>
        </w:tc>
      </w:tr>
    </w:tbl>
    <w:p w14:paraId="39516491" w14:textId="77777777" w:rsidR="00B3406A" w:rsidRDefault="00B3406A" w:rsidP="00523139">
      <w:pPr>
        <w:pStyle w:val="TableFooter"/>
        <w:keepNext/>
        <w:jc w:val="both"/>
      </w:pPr>
      <w:r>
        <w:t xml:space="preserve">Abbreviations: AEs = adverse events; NRT = nicotine replacement therapy; OR = odds ratio; RR = risk ratio, RD = risk difference; SAEs = serious adverse events. </w:t>
      </w:r>
    </w:p>
    <w:p w14:paraId="028BE080" w14:textId="77777777" w:rsidR="00B3406A" w:rsidRDefault="00B3406A" w:rsidP="00523139">
      <w:pPr>
        <w:pStyle w:val="TableFooter"/>
        <w:keepNext/>
        <w:jc w:val="both"/>
      </w:pPr>
      <w:r w:rsidRPr="00BE36E8">
        <w:t xml:space="preserve">Notes: </w:t>
      </w:r>
    </w:p>
    <w:p w14:paraId="4B304F76" w14:textId="77777777" w:rsidR="00B3406A" w:rsidRDefault="00B3406A" w:rsidP="00523139">
      <w:pPr>
        <w:pStyle w:val="TableFooter"/>
        <w:keepNext/>
        <w:jc w:val="both"/>
      </w:pPr>
      <w:r w:rsidRPr="00BE36E8">
        <w:t>1 Cochrane Review</w:t>
      </w:r>
      <w:r>
        <w:t>.</w:t>
      </w:r>
    </w:p>
    <w:p w14:paraId="17654E38" w14:textId="77777777" w:rsidR="00B3406A" w:rsidRPr="007F4C6A" w:rsidRDefault="00B3406A" w:rsidP="00523139">
      <w:pPr>
        <w:pStyle w:val="TableFooter"/>
        <w:keepNext/>
        <w:jc w:val="both"/>
      </w:pPr>
      <w:r>
        <w:t xml:space="preserve">2 Non-Cochrane systematic review. </w:t>
      </w:r>
    </w:p>
    <w:p w14:paraId="2476777D" w14:textId="77777777" w:rsidR="00B3406A" w:rsidRPr="00B51756" w:rsidRDefault="00B3406A" w:rsidP="00523139">
      <w:pPr>
        <w:pStyle w:val="TableFooter"/>
        <w:keepNext/>
        <w:spacing w:after="120"/>
        <w:contextualSpacing w:val="0"/>
        <w:jc w:val="both"/>
      </w:pPr>
      <w:r>
        <w:t xml:space="preserve">3 </w:t>
      </w:r>
      <w:r w:rsidRPr="00552AFA">
        <w:t>The results were no longer significant after excluding one RCT identified to be different in study design (pre-cessation treatment with patch) and participant characteristics (more females than males).</w:t>
      </w:r>
    </w:p>
    <w:p w14:paraId="6FD2B246" w14:textId="263F9696" w:rsidR="00B3406A" w:rsidRPr="00B23D0F" w:rsidRDefault="00B3406A" w:rsidP="00523139">
      <w:pPr>
        <w:pStyle w:val="Heading6"/>
        <w:numPr>
          <w:ilvl w:val="2"/>
          <w:numId w:val="69"/>
        </w:numPr>
        <w:spacing w:before="120" w:after="120"/>
        <w:jc w:val="both"/>
        <w:rPr>
          <w:rFonts w:asciiTheme="minorHAnsi" w:hAnsiTheme="minorHAnsi" w:cstheme="minorHAnsi"/>
          <w:b/>
          <w:i w:val="0"/>
          <w:color w:val="auto"/>
          <w:szCs w:val="24"/>
        </w:rPr>
      </w:pPr>
      <w:r w:rsidRPr="00B23D0F">
        <w:rPr>
          <w:rFonts w:asciiTheme="minorHAnsi" w:hAnsiTheme="minorHAnsi" w:cstheme="minorHAnsi"/>
          <w:b/>
          <w:i w:val="0"/>
          <w:color w:val="auto"/>
          <w:szCs w:val="24"/>
        </w:rPr>
        <w:t>Combination bupropion</w:t>
      </w:r>
    </w:p>
    <w:p w14:paraId="010E2CA8" w14:textId="77777777" w:rsidR="00B3406A" w:rsidRPr="00B71EA5" w:rsidRDefault="00B3406A" w:rsidP="00523139">
      <w:pPr>
        <w:spacing w:before="120" w:after="120"/>
        <w:jc w:val="both"/>
      </w:pPr>
      <w:r w:rsidRPr="00B71EA5">
        <w:t>Treatment-naïve population</w:t>
      </w:r>
    </w:p>
    <w:p w14:paraId="17D3DB03" w14:textId="77F41F52" w:rsidR="00B23D0F" w:rsidRDefault="00B3406A" w:rsidP="00523139">
      <w:pPr>
        <w:pStyle w:val="ListParagraph"/>
        <w:numPr>
          <w:ilvl w:val="0"/>
          <w:numId w:val="27"/>
        </w:numPr>
        <w:spacing w:before="120" w:after="240"/>
        <w:ind w:left="357" w:hanging="357"/>
        <w:contextualSpacing w:val="0"/>
        <w:jc w:val="both"/>
      </w:pPr>
      <w:r>
        <w:t xml:space="preserve">There were no statistically </w:t>
      </w:r>
      <w:r w:rsidR="00D46574">
        <w:t>significant</w:t>
      </w:r>
      <w:r>
        <w:t xml:space="preserve"> differences between b</w:t>
      </w:r>
      <w:r w:rsidRPr="00B71EA5">
        <w:t xml:space="preserve">upropion in combination with NRT </w:t>
      </w:r>
      <w:r>
        <w:t xml:space="preserve">compared </w:t>
      </w:r>
      <w:r w:rsidRPr="00B71EA5">
        <w:t xml:space="preserve">to NRT alone (either as patch, </w:t>
      </w:r>
      <w:r w:rsidR="005E36FC" w:rsidRPr="00B71EA5">
        <w:t>lozenge,</w:t>
      </w:r>
      <w:r w:rsidRPr="00B71EA5">
        <w:t xml:space="preserve"> or choice of NRT) in terms of efficacy. </w:t>
      </w:r>
      <w:r>
        <w:t>While</w:t>
      </w:r>
      <w:r w:rsidRPr="00B71EA5">
        <w:t xml:space="preserve"> a significantly higher proportion of patients in the bupropion plus NRT arm experienc</w:t>
      </w:r>
      <w:r>
        <w:t>ed</w:t>
      </w:r>
      <w:r w:rsidRPr="00B71EA5">
        <w:t xml:space="preserve"> any adverse events compared with patients in the NRT alone arm, there were no statistically significant differences in serious adverse events and discontinuation due to adverse events.</w:t>
      </w:r>
    </w:p>
    <w:p w14:paraId="793799AC" w14:textId="7757D7A1" w:rsidR="00B3406A" w:rsidRDefault="00B23D0F" w:rsidP="00B23D0F">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974"/>
        <w:gridCol w:w="1980"/>
        <w:gridCol w:w="5062"/>
      </w:tblGrid>
      <w:tr w:rsidR="00B3406A" w:rsidRPr="00916516" w14:paraId="6DECBD9A" w14:textId="77777777" w:rsidTr="00A82090">
        <w:trPr>
          <w:trHeight w:val="67"/>
        </w:trPr>
        <w:tc>
          <w:tcPr>
            <w:tcW w:w="1095" w:type="pct"/>
            <w:shd w:val="clear" w:color="auto" w:fill="F2F2F2" w:themeFill="background1" w:themeFillShade="F2"/>
            <w:hideMark/>
          </w:tcPr>
          <w:p w14:paraId="3585BB7D" w14:textId="77777777" w:rsidR="00B3406A" w:rsidRPr="00916516" w:rsidRDefault="00B3406A" w:rsidP="001E7257">
            <w:pPr>
              <w:rPr>
                <w:szCs w:val="18"/>
              </w:rPr>
            </w:pPr>
            <w:r w:rsidRPr="00916516">
              <w:rPr>
                <w:b/>
                <w:bCs/>
                <w:szCs w:val="18"/>
              </w:rPr>
              <w:lastRenderedPageBreak/>
              <w:t>Compar</w:t>
            </w:r>
            <w:r>
              <w:rPr>
                <w:b/>
                <w:bCs/>
                <w:szCs w:val="18"/>
              </w:rPr>
              <w:t>ison</w:t>
            </w:r>
          </w:p>
        </w:tc>
        <w:tc>
          <w:tcPr>
            <w:tcW w:w="1098" w:type="pct"/>
            <w:shd w:val="clear" w:color="auto" w:fill="F2F2F2" w:themeFill="background1" w:themeFillShade="F2"/>
            <w:hideMark/>
          </w:tcPr>
          <w:p w14:paraId="66766EA1" w14:textId="77777777" w:rsidR="00B3406A" w:rsidRPr="00916516" w:rsidRDefault="00B3406A" w:rsidP="001E7257">
            <w:pPr>
              <w:jc w:val="center"/>
              <w:rPr>
                <w:szCs w:val="18"/>
              </w:rPr>
            </w:pPr>
            <w:r>
              <w:rPr>
                <w:b/>
                <w:bCs/>
                <w:szCs w:val="18"/>
              </w:rPr>
              <w:t>Included studies</w:t>
            </w:r>
          </w:p>
        </w:tc>
        <w:tc>
          <w:tcPr>
            <w:tcW w:w="2807" w:type="pct"/>
            <w:shd w:val="clear" w:color="auto" w:fill="F2F2F2" w:themeFill="background1" w:themeFillShade="F2"/>
            <w:hideMark/>
          </w:tcPr>
          <w:p w14:paraId="687F1245" w14:textId="77777777" w:rsidR="00B3406A" w:rsidRPr="00916516" w:rsidRDefault="00B3406A" w:rsidP="001E7257">
            <w:pPr>
              <w:jc w:val="center"/>
              <w:rPr>
                <w:szCs w:val="18"/>
              </w:rPr>
            </w:pPr>
            <w:r>
              <w:rPr>
                <w:b/>
                <w:bCs/>
                <w:szCs w:val="18"/>
              </w:rPr>
              <w:t>Summary of evidence</w:t>
            </w:r>
          </w:p>
        </w:tc>
      </w:tr>
      <w:tr w:rsidR="00B3406A" w:rsidRPr="00916516" w14:paraId="67AF793E" w14:textId="77777777" w:rsidTr="00A82090">
        <w:trPr>
          <w:trHeight w:val="164"/>
        </w:trPr>
        <w:tc>
          <w:tcPr>
            <w:tcW w:w="5000" w:type="pct"/>
            <w:gridSpan w:val="3"/>
            <w:shd w:val="clear" w:color="auto" w:fill="F2F2F2" w:themeFill="background1" w:themeFillShade="F2"/>
            <w:hideMark/>
          </w:tcPr>
          <w:p w14:paraId="2E32A34C" w14:textId="77777777" w:rsidR="00B3406A" w:rsidRPr="00916516" w:rsidRDefault="00B3406A" w:rsidP="001E7257">
            <w:pPr>
              <w:tabs>
                <w:tab w:val="left" w:pos="3037"/>
              </w:tabs>
              <w:rPr>
                <w:szCs w:val="18"/>
              </w:rPr>
            </w:pPr>
            <w:r w:rsidRPr="00916516">
              <w:rPr>
                <w:b/>
                <w:bCs/>
                <w:szCs w:val="18"/>
              </w:rPr>
              <w:t>Treatment-naïve populatio</w:t>
            </w:r>
            <w:r>
              <w:rPr>
                <w:b/>
                <w:bCs/>
                <w:szCs w:val="18"/>
              </w:rPr>
              <w:t>n</w:t>
            </w:r>
          </w:p>
        </w:tc>
      </w:tr>
      <w:tr w:rsidR="00B3406A" w:rsidRPr="00552AFA" w14:paraId="2709F17C" w14:textId="77777777" w:rsidTr="00A82090">
        <w:trPr>
          <w:trHeight w:val="345"/>
        </w:trPr>
        <w:tc>
          <w:tcPr>
            <w:tcW w:w="1095" w:type="pct"/>
            <w:shd w:val="clear" w:color="auto" w:fill="F2F2F2" w:themeFill="background1" w:themeFillShade="F2"/>
            <w:hideMark/>
          </w:tcPr>
          <w:p w14:paraId="51CB292C" w14:textId="6B6275FC" w:rsidR="00B3406A" w:rsidRPr="00C370DF" w:rsidRDefault="00B3406A" w:rsidP="001E7257">
            <w:pPr>
              <w:tabs>
                <w:tab w:val="left" w:pos="1198"/>
              </w:tabs>
              <w:spacing w:after="200"/>
              <w:rPr>
                <w:szCs w:val="18"/>
              </w:rPr>
            </w:pPr>
            <w:r w:rsidRPr="00C370DF">
              <w:rPr>
                <w:szCs w:val="18"/>
              </w:rPr>
              <w:t>Bupropion + NRT</w:t>
            </w:r>
            <w:r w:rsidRPr="00C370DF">
              <w:rPr>
                <w:szCs w:val="18"/>
                <w:vertAlign w:val="superscript"/>
              </w:rPr>
              <w:t>1</w:t>
            </w:r>
            <w:r>
              <w:rPr>
                <w:szCs w:val="18"/>
                <w:vertAlign w:val="superscript"/>
              </w:rPr>
              <w:t xml:space="preserve"> </w:t>
            </w:r>
            <w:r>
              <w:rPr>
                <w:szCs w:val="18"/>
              </w:rPr>
              <w:t>vs NRT monotherapy</w:t>
            </w:r>
          </w:p>
        </w:tc>
        <w:tc>
          <w:tcPr>
            <w:tcW w:w="1098" w:type="pct"/>
            <w:shd w:val="clear" w:color="auto" w:fill="F2F2F2" w:themeFill="background1" w:themeFillShade="F2"/>
            <w:hideMark/>
          </w:tcPr>
          <w:p w14:paraId="79F75B2B" w14:textId="77777777" w:rsidR="00B3406A" w:rsidRPr="009A0D52" w:rsidRDefault="00B3406A" w:rsidP="00815A6D">
            <w:pPr>
              <w:pStyle w:val="ListParagraph"/>
              <w:numPr>
                <w:ilvl w:val="0"/>
                <w:numId w:val="43"/>
              </w:numPr>
              <w:rPr>
                <w:szCs w:val="18"/>
              </w:rPr>
            </w:pPr>
            <w:r>
              <w:rPr>
                <w:rFonts w:eastAsia="MS Mincho"/>
              </w:rPr>
              <w:t>Howes</w:t>
            </w:r>
            <w:r w:rsidRPr="00061F78">
              <w:rPr>
                <w:rFonts w:eastAsia="MS Mincho"/>
              </w:rPr>
              <w:t xml:space="preserve"> (20</w:t>
            </w:r>
            <w:r>
              <w:rPr>
                <w:rFonts w:eastAsia="MS Mincho"/>
              </w:rPr>
              <w:t>20</w:t>
            </w:r>
            <w:r w:rsidRPr="00061F78">
              <w:rPr>
                <w:rFonts w:eastAsia="MS Mincho"/>
              </w:rPr>
              <w:t>)</w:t>
            </w:r>
            <w:r>
              <w:rPr>
                <w:rFonts w:eastAsia="MS Mincho"/>
                <w:vertAlign w:val="superscript"/>
              </w:rPr>
              <w:t>2</w:t>
            </w:r>
          </w:p>
        </w:tc>
        <w:tc>
          <w:tcPr>
            <w:tcW w:w="2807" w:type="pct"/>
            <w:shd w:val="clear" w:color="auto" w:fill="F2F2F2" w:themeFill="background1" w:themeFillShade="F2"/>
            <w:hideMark/>
          </w:tcPr>
          <w:p w14:paraId="217166D3" w14:textId="77777777" w:rsidR="00B3406A" w:rsidRPr="00C370DF" w:rsidRDefault="00B3406A" w:rsidP="00815A6D">
            <w:pPr>
              <w:pStyle w:val="ListParagraph"/>
              <w:numPr>
                <w:ilvl w:val="0"/>
                <w:numId w:val="42"/>
              </w:numPr>
              <w:rPr>
                <w:szCs w:val="18"/>
              </w:rPr>
            </w:pPr>
            <w:r w:rsidRPr="00360862">
              <w:rPr>
                <w:szCs w:val="18"/>
                <w:u w:val="single"/>
              </w:rPr>
              <w:t>Efficacy</w:t>
            </w:r>
            <w:r w:rsidRPr="00360862">
              <w:rPr>
                <w:szCs w:val="18"/>
              </w:rPr>
              <w:t>:</w:t>
            </w:r>
            <w:r>
              <w:rPr>
                <w:szCs w:val="18"/>
              </w:rPr>
              <w:t xml:space="preserve"> </w:t>
            </w:r>
            <w:r w:rsidRPr="00C370DF">
              <w:rPr>
                <w:szCs w:val="18"/>
              </w:rPr>
              <w:t>Not statistically significant</w:t>
            </w:r>
            <w:r>
              <w:rPr>
                <w:szCs w:val="18"/>
              </w:rPr>
              <w:t xml:space="preserve"> based on RR.</w:t>
            </w:r>
            <w:r w:rsidRPr="00C370DF">
              <w:rPr>
                <w:szCs w:val="18"/>
              </w:rPr>
              <w:t xml:space="preserve"> </w:t>
            </w:r>
          </w:p>
          <w:p w14:paraId="16827D34" w14:textId="77777777" w:rsidR="00B3406A" w:rsidRPr="00C370DF"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C370DF">
              <w:rPr>
                <w:szCs w:val="18"/>
              </w:rPr>
              <w:t>Statistically significant</w:t>
            </w:r>
            <w:r>
              <w:rPr>
                <w:szCs w:val="18"/>
              </w:rPr>
              <w:t xml:space="preserve"> based on RR </w:t>
            </w:r>
            <w:r w:rsidRPr="00C370DF">
              <w:rPr>
                <w:szCs w:val="18"/>
              </w:rPr>
              <w:t>(any AEs; higher in bupropion+NRT)</w:t>
            </w:r>
            <w:r>
              <w:rPr>
                <w:szCs w:val="18"/>
              </w:rPr>
              <w:t xml:space="preserve">; </w:t>
            </w:r>
            <w:r w:rsidRPr="00C370DF">
              <w:rPr>
                <w:szCs w:val="18"/>
              </w:rPr>
              <w:t>Not statistically significant</w:t>
            </w:r>
            <w:r>
              <w:rPr>
                <w:szCs w:val="18"/>
              </w:rPr>
              <w:t xml:space="preserve"> based on RR </w:t>
            </w:r>
            <w:r w:rsidRPr="00C370DF">
              <w:rPr>
                <w:szCs w:val="18"/>
              </w:rPr>
              <w:t>(</w:t>
            </w:r>
            <w:r>
              <w:rPr>
                <w:szCs w:val="18"/>
              </w:rPr>
              <w:t>S</w:t>
            </w:r>
            <w:r w:rsidRPr="00C370DF">
              <w:rPr>
                <w:szCs w:val="18"/>
              </w:rPr>
              <w:t>AEs, discontinuation due to AEs)</w:t>
            </w:r>
            <w:r>
              <w:rPr>
                <w:szCs w:val="18"/>
              </w:rPr>
              <w:t>.</w:t>
            </w:r>
          </w:p>
        </w:tc>
      </w:tr>
    </w:tbl>
    <w:p w14:paraId="4381E15D" w14:textId="77777777" w:rsidR="00B3406A" w:rsidRDefault="00B3406A" w:rsidP="00523139">
      <w:pPr>
        <w:pStyle w:val="TableFooter"/>
        <w:keepNext/>
        <w:jc w:val="both"/>
      </w:pPr>
      <w:r>
        <w:t>Abbreviations: AEs = adverse events; NRT = nicotine replacement therapy; RR = risk ratio; SAEs = serious adverse events.</w:t>
      </w:r>
    </w:p>
    <w:p w14:paraId="68AF72EA" w14:textId="77777777" w:rsidR="00B3406A" w:rsidRDefault="00B3406A" w:rsidP="00523139">
      <w:pPr>
        <w:pStyle w:val="TableFooter"/>
        <w:keepNext/>
        <w:jc w:val="both"/>
      </w:pPr>
      <w:r w:rsidRPr="00BE36E8">
        <w:t xml:space="preserve">Notes: </w:t>
      </w:r>
    </w:p>
    <w:p w14:paraId="2DD87BD0" w14:textId="3B5545A6" w:rsidR="00B3406A" w:rsidRDefault="00B3406A" w:rsidP="00523139">
      <w:pPr>
        <w:pStyle w:val="TableFooter"/>
        <w:keepNext/>
        <w:jc w:val="both"/>
      </w:pPr>
      <w:r w:rsidRPr="00BE36E8">
        <w:t xml:space="preserve">1 </w:t>
      </w:r>
      <w:r w:rsidRPr="00C370DF">
        <w:t xml:space="preserve">NRT administered either as patch, </w:t>
      </w:r>
      <w:r w:rsidR="005E36FC" w:rsidRPr="00C370DF">
        <w:t>lozenge,</w:t>
      </w:r>
      <w:r w:rsidRPr="00C370DF">
        <w:t xml:space="preserve"> or choice of NRT.</w:t>
      </w:r>
    </w:p>
    <w:p w14:paraId="65129741" w14:textId="77777777" w:rsidR="00B3406A" w:rsidRPr="00210F5E" w:rsidRDefault="00B3406A" w:rsidP="00523139">
      <w:pPr>
        <w:pStyle w:val="TableFooter"/>
        <w:keepNext/>
        <w:spacing w:after="120"/>
        <w:contextualSpacing w:val="0"/>
        <w:jc w:val="both"/>
      </w:pPr>
      <w:r>
        <w:t xml:space="preserve">2 </w:t>
      </w:r>
      <w:r w:rsidRPr="00BE36E8">
        <w:t>Cochrane Review</w:t>
      </w:r>
      <w:r>
        <w:t>.</w:t>
      </w:r>
    </w:p>
    <w:p w14:paraId="15417767" w14:textId="77777777" w:rsidR="00B3406A" w:rsidRPr="00B71EA5" w:rsidRDefault="00B3406A" w:rsidP="00523139">
      <w:pPr>
        <w:spacing w:before="120" w:after="120"/>
        <w:jc w:val="both"/>
      </w:pPr>
      <w:r w:rsidRPr="00B71EA5">
        <w:t>Treatment-experienced population</w:t>
      </w:r>
    </w:p>
    <w:p w14:paraId="0B8E5548" w14:textId="436D4D5E" w:rsidR="00B3406A" w:rsidRDefault="00B3406A" w:rsidP="00523139">
      <w:pPr>
        <w:pStyle w:val="ListParagraph"/>
        <w:numPr>
          <w:ilvl w:val="0"/>
          <w:numId w:val="27"/>
        </w:numPr>
        <w:spacing w:before="120" w:after="240"/>
        <w:ind w:left="357" w:hanging="357"/>
        <w:contextualSpacing w:val="0"/>
        <w:jc w:val="both"/>
      </w:pPr>
      <w:r>
        <w:t>There were no statistically significant differences between b</w:t>
      </w:r>
      <w:r w:rsidRPr="00B71EA5">
        <w:t xml:space="preserve">upropion in combination with NRT </w:t>
      </w:r>
      <w:r>
        <w:t xml:space="preserve">(either as gum or inhaler) compared </w:t>
      </w:r>
      <w:r w:rsidRPr="00B71EA5">
        <w:t>to placebo as a relapse prevention treatment in abstainers.</w:t>
      </w:r>
      <w:r>
        <w:t xml:space="preserve"> </w:t>
      </w:r>
      <w:r w:rsidRPr="00663D67">
        <w:t>The adverse events reported were consistent with those expected of bupropion and NRT.</w:t>
      </w:r>
    </w:p>
    <w:tbl>
      <w:tblPr>
        <w:tblStyle w:val="TableGrid3"/>
        <w:tblW w:w="5000" w:type="pct"/>
        <w:shd w:val="clear" w:color="auto" w:fill="F2F2F2" w:themeFill="background1" w:themeFillShade="F2"/>
        <w:tblLook w:val="04A0" w:firstRow="1" w:lastRow="0" w:firstColumn="1" w:lastColumn="0" w:noHBand="0" w:noVBand="1"/>
      </w:tblPr>
      <w:tblGrid>
        <w:gridCol w:w="2065"/>
        <w:gridCol w:w="2699"/>
        <w:gridCol w:w="4252"/>
      </w:tblGrid>
      <w:tr w:rsidR="00B3406A" w:rsidRPr="00916516" w14:paraId="043B19F8" w14:textId="77777777" w:rsidTr="00A82090">
        <w:trPr>
          <w:trHeight w:val="67"/>
        </w:trPr>
        <w:tc>
          <w:tcPr>
            <w:tcW w:w="1145" w:type="pct"/>
            <w:shd w:val="clear" w:color="auto" w:fill="F2F2F2" w:themeFill="background1" w:themeFillShade="F2"/>
            <w:hideMark/>
          </w:tcPr>
          <w:p w14:paraId="6E6A5ABC" w14:textId="77777777" w:rsidR="00B3406A" w:rsidRPr="00916516" w:rsidRDefault="00B3406A" w:rsidP="001E7257">
            <w:pPr>
              <w:rPr>
                <w:szCs w:val="18"/>
              </w:rPr>
            </w:pPr>
            <w:r w:rsidRPr="00916516">
              <w:rPr>
                <w:b/>
                <w:bCs/>
                <w:szCs w:val="18"/>
              </w:rPr>
              <w:t>Compar</w:t>
            </w:r>
            <w:r>
              <w:rPr>
                <w:b/>
                <w:bCs/>
                <w:szCs w:val="18"/>
              </w:rPr>
              <w:t>ison</w:t>
            </w:r>
          </w:p>
        </w:tc>
        <w:tc>
          <w:tcPr>
            <w:tcW w:w="1497" w:type="pct"/>
            <w:shd w:val="clear" w:color="auto" w:fill="F2F2F2" w:themeFill="background1" w:themeFillShade="F2"/>
            <w:hideMark/>
          </w:tcPr>
          <w:p w14:paraId="0127C541" w14:textId="77777777" w:rsidR="00B3406A" w:rsidRPr="00916516" w:rsidRDefault="00B3406A" w:rsidP="001E7257">
            <w:pPr>
              <w:jc w:val="center"/>
              <w:rPr>
                <w:szCs w:val="18"/>
              </w:rPr>
            </w:pPr>
            <w:r>
              <w:rPr>
                <w:b/>
                <w:bCs/>
                <w:szCs w:val="18"/>
              </w:rPr>
              <w:t>Included studies</w:t>
            </w:r>
          </w:p>
        </w:tc>
        <w:tc>
          <w:tcPr>
            <w:tcW w:w="2357" w:type="pct"/>
            <w:shd w:val="clear" w:color="auto" w:fill="F2F2F2" w:themeFill="background1" w:themeFillShade="F2"/>
            <w:hideMark/>
          </w:tcPr>
          <w:p w14:paraId="6DC6F1E7" w14:textId="77777777" w:rsidR="00B3406A" w:rsidRPr="00916516" w:rsidRDefault="00B3406A" w:rsidP="001E7257">
            <w:pPr>
              <w:jc w:val="center"/>
              <w:rPr>
                <w:szCs w:val="18"/>
              </w:rPr>
            </w:pPr>
            <w:r>
              <w:rPr>
                <w:b/>
                <w:bCs/>
                <w:szCs w:val="18"/>
              </w:rPr>
              <w:t>Summary of evidence</w:t>
            </w:r>
          </w:p>
        </w:tc>
      </w:tr>
      <w:tr w:rsidR="00B3406A" w:rsidRPr="00916516" w14:paraId="7AFE3E55" w14:textId="77777777" w:rsidTr="00A82090">
        <w:trPr>
          <w:trHeight w:val="164"/>
        </w:trPr>
        <w:tc>
          <w:tcPr>
            <w:tcW w:w="5000" w:type="pct"/>
            <w:gridSpan w:val="3"/>
            <w:shd w:val="clear" w:color="auto" w:fill="F2F2F2" w:themeFill="background1" w:themeFillShade="F2"/>
            <w:hideMark/>
          </w:tcPr>
          <w:p w14:paraId="6A5FDF16" w14:textId="77777777" w:rsidR="00B3406A" w:rsidRPr="00916516" w:rsidRDefault="00B3406A" w:rsidP="001E7257">
            <w:pPr>
              <w:tabs>
                <w:tab w:val="left" w:pos="3037"/>
              </w:tabs>
              <w:rPr>
                <w:szCs w:val="18"/>
              </w:rPr>
            </w:pPr>
            <w:r w:rsidRPr="00C370DF">
              <w:rPr>
                <w:b/>
                <w:bCs/>
                <w:szCs w:val="18"/>
              </w:rPr>
              <w:t>Treatment-experienced population (relapse prevention treatment in abstainers)</w:t>
            </w:r>
          </w:p>
        </w:tc>
      </w:tr>
      <w:tr w:rsidR="00B3406A" w:rsidRPr="00552AFA" w14:paraId="645B808C" w14:textId="77777777" w:rsidTr="00A82090">
        <w:trPr>
          <w:trHeight w:val="345"/>
        </w:trPr>
        <w:tc>
          <w:tcPr>
            <w:tcW w:w="1145" w:type="pct"/>
            <w:shd w:val="clear" w:color="auto" w:fill="F2F2F2" w:themeFill="background1" w:themeFillShade="F2"/>
            <w:hideMark/>
          </w:tcPr>
          <w:p w14:paraId="06AA3FF0" w14:textId="77777777" w:rsidR="00B3406A" w:rsidRPr="00360862" w:rsidRDefault="00B3406A" w:rsidP="001E7257">
            <w:pPr>
              <w:tabs>
                <w:tab w:val="left" w:pos="1198"/>
              </w:tabs>
              <w:spacing w:after="200"/>
              <w:rPr>
                <w:szCs w:val="18"/>
              </w:rPr>
            </w:pPr>
            <w:r w:rsidRPr="00C370DF">
              <w:rPr>
                <w:szCs w:val="18"/>
              </w:rPr>
              <w:t>Bupropion + NRT</w:t>
            </w:r>
            <w:r w:rsidRPr="00C370DF">
              <w:rPr>
                <w:szCs w:val="18"/>
                <w:vertAlign w:val="superscript"/>
              </w:rPr>
              <w:t>1</w:t>
            </w:r>
            <w:r>
              <w:rPr>
                <w:szCs w:val="18"/>
              </w:rPr>
              <w:t xml:space="preserve"> vs placebo</w:t>
            </w:r>
          </w:p>
        </w:tc>
        <w:tc>
          <w:tcPr>
            <w:tcW w:w="1497" w:type="pct"/>
            <w:shd w:val="clear" w:color="auto" w:fill="F2F2F2" w:themeFill="background1" w:themeFillShade="F2"/>
            <w:hideMark/>
          </w:tcPr>
          <w:p w14:paraId="4C6393CF" w14:textId="77777777" w:rsidR="00B3406A" w:rsidRPr="009A0D52" w:rsidRDefault="00B3406A" w:rsidP="00815A6D">
            <w:pPr>
              <w:pStyle w:val="ListParagraph"/>
              <w:numPr>
                <w:ilvl w:val="0"/>
                <w:numId w:val="43"/>
              </w:numPr>
              <w:rPr>
                <w:szCs w:val="18"/>
              </w:rPr>
            </w:pPr>
            <w:r>
              <w:rPr>
                <w:rFonts w:eastAsia="MS Mincho"/>
              </w:rPr>
              <w:t>Livingstone-Banks (2019)</w:t>
            </w:r>
            <w:r w:rsidRPr="009A0D52">
              <w:rPr>
                <w:rFonts w:eastAsia="MS Mincho"/>
                <w:vertAlign w:val="superscript"/>
              </w:rPr>
              <w:t>2</w:t>
            </w:r>
          </w:p>
        </w:tc>
        <w:tc>
          <w:tcPr>
            <w:tcW w:w="2357" w:type="pct"/>
            <w:shd w:val="clear" w:color="auto" w:fill="F2F2F2" w:themeFill="background1" w:themeFillShade="F2"/>
            <w:hideMark/>
          </w:tcPr>
          <w:p w14:paraId="232A39D4" w14:textId="77777777" w:rsidR="00B3406A" w:rsidRPr="00E338EF"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E338EF">
              <w:rPr>
                <w:szCs w:val="18"/>
              </w:rPr>
              <w:t>Not statistically significant</w:t>
            </w:r>
            <w:r>
              <w:rPr>
                <w:szCs w:val="18"/>
              </w:rPr>
              <w:t xml:space="preserve"> based on RR.</w:t>
            </w:r>
          </w:p>
          <w:p w14:paraId="25F93463" w14:textId="77777777" w:rsidR="00B3406A" w:rsidRPr="00E338EF"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E338EF">
              <w:rPr>
                <w:szCs w:val="18"/>
              </w:rPr>
              <w:t>AEs reported were consistent with those expected of bupropion and NRT</w:t>
            </w:r>
            <w:r>
              <w:rPr>
                <w:szCs w:val="18"/>
              </w:rPr>
              <w:t>.</w:t>
            </w:r>
          </w:p>
        </w:tc>
      </w:tr>
    </w:tbl>
    <w:p w14:paraId="255F58BF" w14:textId="77777777" w:rsidR="00B3406A" w:rsidRDefault="00B3406A" w:rsidP="00523139">
      <w:pPr>
        <w:pStyle w:val="TableFooter"/>
        <w:keepNext/>
        <w:jc w:val="both"/>
      </w:pPr>
      <w:r>
        <w:t>Abbreviations: AEs = adverse events; NRT = nicotine replacement therapy; RR = risk ratio.</w:t>
      </w:r>
    </w:p>
    <w:p w14:paraId="55DC61B7" w14:textId="77777777" w:rsidR="00B3406A" w:rsidRDefault="00B3406A" w:rsidP="00523139">
      <w:pPr>
        <w:pStyle w:val="TableFooter"/>
        <w:keepNext/>
        <w:jc w:val="both"/>
      </w:pPr>
      <w:r w:rsidRPr="00BE36E8">
        <w:t xml:space="preserve">Notes: </w:t>
      </w:r>
    </w:p>
    <w:p w14:paraId="029D8A84" w14:textId="30F084FE" w:rsidR="00B3406A" w:rsidRDefault="00B3406A" w:rsidP="002B5CD1">
      <w:pPr>
        <w:pStyle w:val="TableFooter"/>
        <w:keepNext/>
        <w:jc w:val="both"/>
      </w:pPr>
      <w:r w:rsidRPr="00BE36E8">
        <w:t xml:space="preserve">1 </w:t>
      </w:r>
      <w:r w:rsidRPr="00C370DF">
        <w:t>NRT administered either as gum or inhaler.</w:t>
      </w:r>
    </w:p>
    <w:p w14:paraId="70D7A60B" w14:textId="5CA7BFAC" w:rsidR="00B3406A" w:rsidRPr="002C3186" w:rsidRDefault="005E36FC" w:rsidP="00523139">
      <w:pPr>
        <w:pStyle w:val="TableFooter"/>
        <w:keepNext/>
        <w:jc w:val="both"/>
      </w:pPr>
      <w:r>
        <w:t>2 Cochrane Review.</w:t>
      </w:r>
    </w:p>
    <w:p w14:paraId="1C09E7C4" w14:textId="4C825776" w:rsidR="00B3406A" w:rsidRDefault="00B23D0F" w:rsidP="00523139">
      <w:pPr>
        <w:pStyle w:val="Heading3"/>
        <w:spacing w:before="120" w:after="120"/>
        <w:jc w:val="both"/>
      </w:pPr>
      <w:bookmarkStart w:id="50" w:name="_Toc63082731"/>
      <w:bookmarkStart w:id="51" w:name="_Toc111710693"/>
      <w:r>
        <w:t xml:space="preserve">3.3 </w:t>
      </w:r>
      <w:r w:rsidR="00B3406A">
        <w:t>NRT dose, dosage form and length of therapy</w:t>
      </w:r>
      <w:bookmarkEnd w:id="50"/>
      <w:bookmarkEnd w:id="51"/>
    </w:p>
    <w:p w14:paraId="430D06AC" w14:textId="183B05C9" w:rsidR="00B3406A" w:rsidRDefault="00B3406A" w:rsidP="00523139">
      <w:pPr>
        <w:spacing w:before="120" w:after="120"/>
        <w:jc w:val="both"/>
        <w:rPr>
          <w:rFonts w:eastAsiaTheme="minorEastAsia"/>
          <w:b/>
          <w:i/>
          <w:sz w:val="28"/>
          <w:szCs w:val="28"/>
        </w:rPr>
      </w:pPr>
      <w:r w:rsidRPr="00DA1566">
        <w:rPr>
          <w:rFonts w:eastAsiaTheme="minorEastAsia"/>
          <w:b/>
          <w:i/>
          <w:sz w:val="28"/>
          <w:szCs w:val="28"/>
        </w:rPr>
        <w:t>Examine the efficacy and safety of NRT with respect to dose, dosage form, length of therapy and combination thera</w:t>
      </w:r>
      <w:r>
        <w:rPr>
          <w:rFonts w:eastAsiaTheme="minorEastAsia"/>
          <w:b/>
          <w:i/>
          <w:sz w:val="28"/>
          <w:szCs w:val="28"/>
        </w:rPr>
        <w:t>py</w:t>
      </w:r>
    </w:p>
    <w:p w14:paraId="65C5BE5D" w14:textId="143906CC" w:rsidR="00B3406A" w:rsidRPr="00B23D0F" w:rsidRDefault="00B3406A" w:rsidP="00523139">
      <w:pPr>
        <w:pStyle w:val="Heading6"/>
        <w:numPr>
          <w:ilvl w:val="2"/>
          <w:numId w:val="70"/>
        </w:numPr>
        <w:spacing w:before="120" w:after="120"/>
        <w:jc w:val="both"/>
        <w:rPr>
          <w:rFonts w:asciiTheme="minorHAnsi" w:hAnsiTheme="minorHAnsi" w:cstheme="minorHAnsi"/>
          <w:b/>
          <w:i w:val="0"/>
          <w:color w:val="auto"/>
        </w:rPr>
      </w:pPr>
      <w:r w:rsidRPr="00B23D0F">
        <w:rPr>
          <w:rFonts w:asciiTheme="minorHAnsi" w:hAnsiTheme="minorHAnsi" w:cstheme="minorHAnsi"/>
          <w:b/>
          <w:i w:val="0"/>
          <w:color w:val="auto"/>
        </w:rPr>
        <w:t>NRT dose</w:t>
      </w:r>
    </w:p>
    <w:p w14:paraId="6E24D35E" w14:textId="77777777" w:rsidR="00B3406A" w:rsidRDefault="00B3406A" w:rsidP="00523139">
      <w:pPr>
        <w:pStyle w:val="ListParagraph"/>
        <w:numPr>
          <w:ilvl w:val="0"/>
          <w:numId w:val="27"/>
        </w:numPr>
        <w:spacing w:before="120" w:after="0"/>
        <w:ind w:left="357" w:hanging="357"/>
        <w:contextualSpacing w:val="0"/>
        <w:jc w:val="both"/>
      </w:pPr>
      <w:r w:rsidRPr="002B518E">
        <w:t>Higher strength NRT patch</w:t>
      </w:r>
      <w:r>
        <w:t>es</w:t>
      </w:r>
      <w:r w:rsidRPr="002B518E">
        <w:t xml:space="preserve"> (21 mg/24-hour) w</w:t>
      </w:r>
      <w:r>
        <w:t>ere</w:t>
      </w:r>
      <w:r w:rsidRPr="002B518E">
        <w:t xml:space="preserve"> shown to </w:t>
      </w:r>
      <w:r>
        <w:t xml:space="preserve">be superior to </w:t>
      </w:r>
      <w:r w:rsidRPr="002B518E">
        <w:t>lower strength patch</w:t>
      </w:r>
      <w:r>
        <w:t>es</w:t>
      </w:r>
      <w:r w:rsidRPr="002B518E">
        <w:t xml:space="preserve"> (14 mg/24-hour</w:t>
      </w:r>
      <w:r>
        <w:t>) in terms of efficacy based on</w:t>
      </w:r>
      <w:r w:rsidRPr="002B518E">
        <w:t xml:space="preserve"> </w:t>
      </w:r>
      <w:r>
        <w:t>trials that primarily involved participants who smoked 20 or more cigarettes a day</w:t>
      </w:r>
      <w:r w:rsidRPr="002B518E">
        <w:t xml:space="preserve">. There were no statistically significant differences in smoking cessation rates for the other comparisons (25 mg/16-hour versus 15 mg/16-hour </w:t>
      </w:r>
      <w:r>
        <w:t>patches</w:t>
      </w:r>
      <w:r w:rsidRPr="002B518E">
        <w:t xml:space="preserve">; 42/44 mg/24-hour versus 21/22 mg/24-hour </w:t>
      </w:r>
      <w:r>
        <w:t>patches</w:t>
      </w:r>
      <w:r w:rsidRPr="002B518E">
        <w:t xml:space="preserve">). </w:t>
      </w:r>
      <w:r>
        <w:t xml:space="preserve">In Lindson et al. (2019), </w:t>
      </w:r>
      <w:r w:rsidRPr="002A2CAA">
        <w:t>studies comparing 42 mg/24-hour versus 21 mg/24-hour and 44 mg/24-hour versus 22 mg/24-hour patches</w:t>
      </w:r>
      <w:r>
        <w:t xml:space="preserve"> were pooled.</w:t>
      </w:r>
      <w:r w:rsidRPr="002B518E">
        <w:t xml:space="preserve"> For safety, there were no statistically significant differences in the key adverse events between higher strength and lower strength NRT patches for all comparisons except for treatment withdrawals comparing the 42/44 mg with 21/22 mg (24-hour) patches</w:t>
      </w:r>
      <w:r>
        <w:t>, with</w:t>
      </w:r>
      <w:r w:rsidRPr="002B518E">
        <w:t xml:space="preserve"> a significantly higher treatment withdrawal rate observed in patients treated with 42/44 mg (24-hour) patch</w:t>
      </w:r>
      <w:r>
        <w:t>es</w:t>
      </w:r>
      <w:r w:rsidRPr="002B518E">
        <w:t xml:space="preserve">. </w:t>
      </w:r>
    </w:p>
    <w:p w14:paraId="15CDB855" w14:textId="77777777" w:rsidR="00B3406A" w:rsidRDefault="00B3406A" w:rsidP="00523139">
      <w:pPr>
        <w:pStyle w:val="ListParagraph"/>
        <w:numPr>
          <w:ilvl w:val="0"/>
          <w:numId w:val="27"/>
        </w:numPr>
        <w:spacing w:after="240"/>
        <w:ind w:left="357" w:hanging="357"/>
        <w:contextualSpacing w:val="0"/>
        <w:jc w:val="both"/>
      </w:pPr>
      <w:r w:rsidRPr="002B518E">
        <w:t xml:space="preserve">Higher strength NRT gum (4 mg) </w:t>
      </w:r>
      <w:r>
        <w:t>was shown to be superior to</w:t>
      </w:r>
      <w:r w:rsidRPr="002B518E">
        <w:t xml:space="preserve"> lower strength gum (2 mg)</w:t>
      </w:r>
      <w:r>
        <w:t xml:space="preserve"> in terms of efficacy</w:t>
      </w:r>
      <w:r w:rsidRPr="002B518E">
        <w:t xml:space="preserve"> based on the pooled results of high-dependency and low-dependency smokers. However, the results of the subgroup analysis suggest that only smokers who are highly dependent may benefit from the higher strength NRT gum</w:t>
      </w:r>
      <w:r>
        <w:t>.</w:t>
      </w:r>
      <w:r w:rsidRPr="002B518E">
        <w:t xml:space="preserve"> There were no </w:t>
      </w:r>
      <w:r w:rsidRPr="002B518E">
        <w:lastRenderedPageBreak/>
        <w:t xml:space="preserve">statistically significant differences in palpitations and treatment withdrawals between the two treatment arms. </w:t>
      </w:r>
    </w:p>
    <w:tbl>
      <w:tblPr>
        <w:tblStyle w:val="TableGrid3"/>
        <w:tblW w:w="5000" w:type="pct"/>
        <w:shd w:val="clear" w:color="auto" w:fill="F2F2F2" w:themeFill="background1" w:themeFillShade="F2"/>
        <w:tblLook w:val="04A0" w:firstRow="1" w:lastRow="0" w:firstColumn="1" w:lastColumn="0" w:noHBand="0" w:noVBand="1"/>
      </w:tblPr>
      <w:tblGrid>
        <w:gridCol w:w="1884"/>
        <w:gridCol w:w="1892"/>
        <w:gridCol w:w="5240"/>
      </w:tblGrid>
      <w:tr w:rsidR="00B3406A" w:rsidRPr="00916516" w14:paraId="40A2BD74" w14:textId="77777777" w:rsidTr="00A82090">
        <w:trPr>
          <w:trHeight w:val="67"/>
        </w:trPr>
        <w:tc>
          <w:tcPr>
            <w:tcW w:w="1045" w:type="pct"/>
            <w:shd w:val="clear" w:color="auto" w:fill="F2F2F2" w:themeFill="background1" w:themeFillShade="F2"/>
            <w:hideMark/>
          </w:tcPr>
          <w:p w14:paraId="10256009" w14:textId="77777777" w:rsidR="00B3406A" w:rsidRPr="00916516" w:rsidRDefault="00B3406A" w:rsidP="001E7257">
            <w:pPr>
              <w:rPr>
                <w:szCs w:val="18"/>
              </w:rPr>
            </w:pPr>
            <w:r w:rsidRPr="00916516">
              <w:rPr>
                <w:b/>
                <w:bCs/>
                <w:szCs w:val="18"/>
              </w:rPr>
              <w:t>Compar</w:t>
            </w:r>
            <w:r>
              <w:rPr>
                <w:b/>
                <w:bCs/>
                <w:szCs w:val="18"/>
              </w:rPr>
              <w:t>ison</w:t>
            </w:r>
          </w:p>
        </w:tc>
        <w:tc>
          <w:tcPr>
            <w:tcW w:w="1049" w:type="pct"/>
            <w:shd w:val="clear" w:color="auto" w:fill="F2F2F2" w:themeFill="background1" w:themeFillShade="F2"/>
            <w:hideMark/>
          </w:tcPr>
          <w:p w14:paraId="04E1F3DE" w14:textId="77777777" w:rsidR="00B3406A" w:rsidRPr="00916516" w:rsidRDefault="00B3406A" w:rsidP="001E7257">
            <w:pPr>
              <w:jc w:val="center"/>
              <w:rPr>
                <w:szCs w:val="18"/>
              </w:rPr>
            </w:pPr>
            <w:r>
              <w:rPr>
                <w:b/>
                <w:bCs/>
                <w:szCs w:val="18"/>
              </w:rPr>
              <w:t>Included studies</w:t>
            </w:r>
          </w:p>
        </w:tc>
        <w:tc>
          <w:tcPr>
            <w:tcW w:w="2906" w:type="pct"/>
            <w:shd w:val="clear" w:color="auto" w:fill="F2F2F2" w:themeFill="background1" w:themeFillShade="F2"/>
            <w:hideMark/>
          </w:tcPr>
          <w:p w14:paraId="6B5540C5" w14:textId="77777777" w:rsidR="00B3406A" w:rsidRPr="00916516" w:rsidRDefault="00B3406A" w:rsidP="001E7257">
            <w:pPr>
              <w:jc w:val="center"/>
              <w:rPr>
                <w:szCs w:val="18"/>
              </w:rPr>
            </w:pPr>
            <w:r>
              <w:rPr>
                <w:b/>
                <w:bCs/>
                <w:szCs w:val="18"/>
              </w:rPr>
              <w:t>Summary of evidence</w:t>
            </w:r>
          </w:p>
        </w:tc>
      </w:tr>
      <w:tr w:rsidR="00B3406A" w:rsidRPr="0063070A" w14:paraId="4606371A" w14:textId="77777777" w:rsidTr="00A82090">
        <w:trPr>
          <w:trHeight w:val="345"/>
        </w:trPr>
        <w:tc>
          <w:tcPr>
            <w:tcW w:w="1045" w:type="pct"/>
            <w:shd w:val="clear" w:color="auto" w:fill="F2F2F2" w:themeFill="background1" w:themeFillShade="F2"/>
            <w:hideMark/>
          </w:tcPr>
          <w:p w14:paraId="3E4AD698" w14:textId="77777777" w:rsidR="00B3406A" w:rsidRPr="00182A8F" w:rsidRDefault="00B3406A" w:rsidP="001E7257">
            <w:pPr>
              <w:tabs>
                <w:tab w:val="left" w:pos="1198"/>
              </w:tabs>
              <w:spacing w:after="200"/>
              <w:rPr>
                <w:szCs w:val="18"/>
              </w:rPr>
            </w:pPr>
            <w:r w:rsidRPr="00182A8F">
              <w:rPr>
                <w:szCs w:val="18"/>
              </w:rPr>
              <w:t>Higher strength NRT patch</w:t>
            </w:r>
            <w:r w:rsidRPr="00182A8F">
              <w:rPr>
                <w:szCs w:val="18"/>
                <w:vertAlign w:val="superscript"/>
              </w:rPr>
              <w:t>1</w:t>
            </w:r>
            <w:r>
              <w:rPr>
                <w:szCs w:val="18"/>
              </w:rPr>
              <w:t xml:space="preserve"> vs l</w:t>
            </w:r>
            <w:r w:rsidRPr="00182A8F">
              <w:rPr>
                <w:szCs w:val="18"/>
              </w:rPr>
              <w:t>ower strength NRT patch</w:t>
            </w:r>
          </w:p>
        </w:tc>
        <w:tc>
          <w:tcPr>
            <w:tcW w:w="1049" w:type="pct"/>
            <w:shd w:val="clear" w:color="auto" w:fill="F2F2F2" w:themeFill="background1" w:themeFillShade="F2"/>
            <w:hideMark/>
          </w:tcPr>
          <w:p w14:paraId="58175BAF" w14:textId="77777777" w:rsidR="00B3406A" w:rsidRPr="00614418" w:rsidRDefault="00B3406A" w:rsidP="00815A6D">
            <w:pPr>
              <w:pStyle w:val="ListParagraph"/>
              <w:numPr>
                <w:ilvl w:val="0"/>
                <w:numId w:val="43"/>
              </w:numPr>
              <w:rPr>
                <w:szCs w:val="18"/>
              </w:rPr>
            </w:pPr>
            <w:r w:rsidRPr="004834D2">
              <w:rPr>
                <w:szCs w:val="18"/>
              </w:rPr>
              <w:t>Lindson (2019)</w:t>
            </w:r>
            <w:r w:rsidRPr="00E15A6E">
              <w:rPr>
                <w:szCs w:val="18"/>
                <w:vertAlign w:val="superscript"/>
              </w:rPr>
              <w:t>3</w:t>
            </w:r>
          </w:p>
        </w:tc>
        <w:tc>
          <w:tcPr>
            <w:tcW w:w="2906" w:type="pct"/>
            <w:shd w:val="clear" w:color="auto" w:fill="F2F2F2" w:themeFill="background1" w:themeFillShade="F2"/>
            <w:hideMark/>
          </w:tcPr>
          <w:p w14:paraId="132539F2" w14:textId="77777777" w:rsidR="00B3406A"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182A8F">
              <w:rPr>
                <w:szCs w:val="18"/>
              </w:rPr>
              <w:t xml:space="preserve">Statistically significant </w:t>
            </w:r>
            <w:r>
              <w:rPr>
                <w:szCs w:val="18"/>
              </w:rPr>
              <w:t xml:space="preserve">based on RR </w:t>
            </w:r>
            <w:r w:rsidRPr="00182A8F">
              <w:rPr>
                <w:szCs w:val="18"/>
              </w:rPr>
              <w:t>(in favour of higher strength, 21 mg/24-hour versus 14 mg/24-hour)</w:t>
            </w:r>
            <w:r>
              <w:rPr>
                <w:szCs w:val="18"/>
              </w:rPr>
              <w:t>;</w:t>
            </w:r>
          </w:p>
          <w:p w14:paraId="162CA593" w14:textId="77777777" w:rsidR="00B3406A" w:rsidRPr="00182A8F" w:rsidRDefault="00B3406A" w:rsidP="001E7257">
            <w:pPr>
              <w:pStyle w:val="ListParagraph"/>
              <w:ind w:left="360"/>
              <w:rPr>
                <w:szCs w:val="18"/>
              </w:rPr>
            </w:pPr>
            <w:r w:rsidRPr="00182A8F">
              <w:rPr>
                <w:szCs w:val="18"/>
              </w:rPr>
              <w:t xml:space="preserve">Not statistically significant </w:t>
            </w:r>
            <w:r>
              <w:rPr>
                <w:szCs w:val="18"/>
              </w:rPr>
              <w:t xml:space="preserve">based on RR </w:t>
            </w:r>
            <w:r w:rsidRPr="00182A8F">
              <w:rPr>
                <w:szCs w:val="18"/>
              </w:rPr>
              <w:t>(other comparisons)</w:t>
            </w:r>
            <w:r>
              <w:rPr>
                <w:szCs w:val="18"/>
              </w:rPr>
              <w:t xml:space="preserve">. </w:t>
            </w:r>
          </w:p>
          <w:p w14:paraId="49D8B5C5" w14:textId="77777777" w:rsidR="00B3406A"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182A8F">
              <w:rPr>
                <w:szCs w:val="18"/>
              </w:rPr>
              <w:t>Statistically significant</w:t>
            </w:r>
            <w:r>
              <w:rPr>
                <w:szCs w:val="18"/>
              </w:rPr>
              <w:t xml:space="preserve"> based on RR </w:t>
            </w:r>
            <w:r w:rsidRPr="00182A8F">
              <w:rPr>
                <w:szCs w:val="18"/>
              </w:rPr>
              <w:t>(treatment withdrawals; higher in 42/44 mg/24-hour patch)</w:t>
            </w:r>
            <w:r>
              <w:rPr>
                <w:szCs w:val="18"/>
              </w:rPr>
              <w:t>;</w:t>
            </w:r>
          </w:p>
          <w:p w14:paraId="19C21757" w14:textId="77777777" w:rsidR="00B3406A" w:rsidRPr="003C3714" w:rsidRDefault="00B3406A" w:rsidP="001E7257">
            <w:pPr>
              <w:pStyle w:val="ListParagraph"/>
              <w:ind w:left="360"/>
              <w:rPr>
                <w:szCs w:val="18"/>
              </w:rPr>
            </w:pPr>
            <w:r w:rsidRPr="00182A8F">
              <w:rPr>
                <w:szCs w:val="18"/>
              </w:rPr>
              <w:t>Not statistically significant</w:t>
            </w:r>
            <w:r>
              <w:rPr>
                <w:szCs w:val="18"/>
              </w:rPr>
              <w:t xml:space="preserve"> based on RR </w:t>
            </w:r>
            <w:r w:rsidRPr="003C3714">
              <w:rPr>
                <w:szCs w:val="18"/>
              </w:rPr>
              <w:t>(AEs incl. treatment withdrawals for other comparisons)</w:t>
            </w:r>
            <w:r>
              <w:rPr>
                <w:szCs w:val="18"/>
              </w:rPr>
              <w:t>.</w:t>
            </w:r>
          </w:p>
        </w:tc>
      </w:tr>
      <w:tr w:rsidR="00B3406A" w:rsidRPr="00360862" w14:paraId="619C499A" w14:textId="77777777" w:rsidTr="00A82090">
        <w:trPr>
          <w:trHeight w:val="617"/>
        </w:trPr>
        <w:tc>
          <w:tcPr>
            <w:tcW w:w="1045" w:type="pct"/>
            <w:shd w:val="clear" w:color="auto" w:fill="F2F2F2" w:themeFill="background1" w:themeFillShade="F2"/>
            <w:hideMark/>
          </w:tcPr>
          <w:p w14:paraId="777CB9C2" w14:textId="77777777" w:rsidR="00B3406A" w:rsidRPr="00360862" w:rsidRDefault="00B3406A" w:rsidP="001E7257">
            <w:pPr>
              <w:spacing w:after="200"/>
              <w:rPr>
                <w:szCs w:val="18"/>
              </w:rPr>
            </w:pPr>
            <w:r w:rsidRPr="00182A8F">
              <w:rPr>
                <w:szCs w:val="18"/>
              </w:rPr>
              <w:t xml:space="preserve">Higher strength NRT </w:t>
            </w:r>
            <w:r>
              <w:rPr>
                <w:szCs w:val="18"/>
              </w:rPr>
              <w:t>gum</w:t>
            </w:r>
            <w:r>
              <w:rPr>
                <w:szCs w:val="18"/>
                <w:vertAlign w:val="superscript"/>
              </w:rPr>
              <w:t>2</w:t>
            </w:r>
            <w:r>
              <w:rPr>
                <w:szCs w:val="18"/>
              </w:rPr>
              <w:t xml:space="preserve"> vs l</w:t>
            </w:r>
            <w:r w:rsidRPr="00182A8F">
              <w:rPr>
                <w:szCs w:val="18"/>
              </w:rPr>
              <w:t xml:space="preserve">ower strength NRT </w:t>
            </w:r>
            <w:r>
              <w:rPr>
                <w:szCs w:val="18"/>
              </w:rPr>
              <w:t>gum</w:t>
            </w:r>
          </w:p>
        </w:tc>
        <w:tc>
          <w:tcPr>
            <w:tcW w:w="1049" w:type="pct"/>
            <w:shd w:val="clear" w:color="auto" w:fill="F2F2F2" w:themeFill="background1" w:themeFillShade="F2"/>
            <w:hideMark/>
          </w:tcPr>
          <w:p w14:paraId="06EF351A" w14:textId="77777777" w:rsidR="00B3406A" w:rsidRPr="002A5E9C" w:rsidRDefault="00B3406A" w:rsidP="00815A6D">
            <w:pPr>
              <w:pStyle w:val="ListParagraph"/>
              <w:numPr>
                <w:ilvl w:val="0"/>
                <w:numId w:val="44"/>
              </w:numPr>
              <w:rPr>
                <w:szCs w:val="18"/>
              </w:rPr>
            </w:pPr>
            <w:r w:rsidRPr="004834D2">
              <w:rPr>
                <w:szCs w:val="18"/>
              </w:rPr>
              <w:t>Lindson (2019)</w:t>
            </w:r>
            <w:r w:rsidRPr="00E15A6E">
              <w:rPr>
                <w:szCs w:val="18"/>
                <w:vertAlign w:val="superscript"/>
              </w:rPr>
              <w:t>3</w:t>
            </w:r>
          </w:p>
        </w:tc>
        <w:tc>
          <w:tcPr>
            <w:tcW w:w="2906" w:type="pct"/>
            <w:shd w:val="clear" w:color="auto" w:fill="F2F2F2" w:themeFill="background1" w:themeFillShade="F2"/>
            <w:hideMark/>
          </w:tcPr>
          <w:p w14:paraId="21D4D008" w14:textId="77777777" w:rsidR="00B3406A" w:rsidRPr="00182A8F"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182A8F">
              <w:rPr>
                <w:szCs w:val="18"/>
              </w:rPr>
              <w:t>Statistically significant</w:t>
            </w:r>
            <w:r w:rsidRPr="00182A8F">
              <w:rPr>
                <w:szCs w:val="18"/>
                <w:vertAlign w:val="superscript"/>
              </w:rPr>
              <w:t>2</w:t>
            </w:r>
            <w:r>
              <w:rPr>
                <w:szCs w:val="18"/>
                <w:vertAlign w:val="superscript"/>
              </w:rPr>
              <w:t xml:space="preserve"> </w:t>
            </w:r>
            <w:r>
              <w:rPr>
                <w:szCs w:val="18"/>
              </w:rPr>
              <w:t xml:space="preserve">based on RR </w:t>
            </w:r>
            <w:r w:rsidRPr="00182A8F">
              <w:rPr>
                <w:szCs w:val="18"/>
              </w:rPr>
              <w:t>(in favour of higher strength)</w:t>
            </w:r>
            <w:r>
              <w:rPr>
                <w:szCs w:val="18"/>
              </w:rPr>
              <w:t>.</w:t>
            </w:r>
          </w:p>
          <w:p w14:paraId="7C3D9579" w14:textId="77777777" w:rsidR="00B3406A" w:rsidRPr="00E15A6E"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182A8F">
              <w:rPr>
                <w:szCs w:val="18"/>
              </w:rPr>
              <w:t>Not statistically significant</w:t>
            </w:r>
            <w:r>
              <w:rPr>
                <w:szCs w:val="18"/>
              </w:rPr>
              <w:t xml:space="preserve"> based on RR </w:t>
            </w:r>
            <w:r w:rsidRPr="00182A8F">
              <w:rPr>
                <w:szCs w:val="18"/>
              </w:rPr>
              <w:t>(palpitations, treatment withdrawals)</w:t>
            </w:r>
            <w:r>
              <w:rPr>
                <w:szCs w:val="18"/>
              </w:rPr>
              <w:t xml:space="preserve">. </w:t>
            </w:r>
          </w:p>
        </w:tc>
      </w:tr>
    </w:tbl>
    <w:p w14:paraId="43C08285" w14:textId="77777777" w:rsidR="00B3406A" w:rsidRDefault="00B3406A" w:rsidP="00523139">
      <w:pPr>
        <w:pStyle w:val="TableFooter"/>
        <w:keepNext/>
        <w:jc w:val="both"/>
      </w:pPr>
      <w:r>
        <w:t xml:space="preserve">Abbreviations: AEs = adverse events; NRT = nicotine replacement therapy; RR = risk ratio. </w:t>
      </w:r>
    </w:p>
    <w:p w14:paraId="4B5BFF88" w14:textId="77777777" w:rsidR="00B3406A" w:rsidRDefault="00B3406A" w:rsidP="00523139">
      <w:pPr>
        <w:pStyle w:val="TableFooter"/>
        <w:keepNext/>
        <w:jc w:val="both"/>
      </w:pPr>
      <w:r w:rsidRPr="00BE36E8">
        <w:t xml:space="preserve">Notes: </w:t>
      </w:r>
    </w:p>
    <w:p w14:paraId="2366EEBB" w14:textId="77777777" w:rsidR="00B3406A" w:rsidRPr="00182A8F" w:rsidRDefault="00B3406A" w:rsidP="00523139">
      <w:pPr>
        <w:pStyle w:val="TableFooter"/>
        <w:keepNext/>
        <w:jc w:val="both"/>
      </w:pPr>
      <w:r>
        <w:t xml:space="preserve">1 </w:t>
      </w:r>
      <w:r w:rsidRPr="00182A8F">
        <w:t>Comparisons include 21 mg/24-hour versus 14 mg/24-hour patches, 25 mg/16-hour versus 15 mg/16-hour patches, and 42/44 mg/24-hour versus 21/22 mg/24-hour patches. Studies comparing 42 mg/24-hour versus 21 mg/24-hour and 44 mg/24-hour versus 22 mg/24-hour patches were pooled.</w:t>
      </w:r>
    </w:p>
    <w:p w14:paraId="3EE14C1B" w14:textId="77777777" w:rsidR="00B3406A" w:rsidRDefault="00B3406A" w:rsidP="00523139">
      <w:pPr>
        <w:pStyle w:val="TableFooter"/>
        <w:keepNext/>
        <w:jc w:val="both"/>
      </w:pPr>
      <w:r>
        <w:t xml:space="preserve">2 </w:t>
      </w:r>
      <w:r w:rsidRPr="00182A8F">
        <w:t>Comparisons include 4 mg versus 2 mg gum. Based on the pooled results of high-dependency and low-dependency smokers. The results of the subgroup analysis suggest that only smokers who are highly dependent may benefit from the higher strength NRT gum.</w:t>
      </w:r>
    </w:p>
    <w:p w14:paraId="64318F48" w14:textId="1B26FA85" w:rsidR="00B3406A" w:rsidRPr="003603EB" w:rsidRDefault="009270A5" w:rsidP="00523139">
      <w:pPr>
        <w:pStyle w:val="TableFooter"/>
        <w:keepNext/>
        <w:spacing w:after="120"/>
        <w:contextualSpacing w:val="0"/>
        <w:jc w:val="both"/>
      </w:pPr>
      <w:r>
        <w:t xml:space="preserve">3. </w:t>
      </w:r>
      <w:r w:rsidR="00B3406A" w:rsidRPr="00BE36E8">
        <w:t>Cochrane Review</w:t>
      </w:r>
      <w:r w:rsidR="00B3406A">
        <w:t>.</w:t>
      </w:r>
    </w:p>
    <w:p w14:paraId="5C52B770" w14:textId="70412D36" w:rsidR="00B3406A" w:rsidRPr="00B23D0F" w:rsidRDefault="00B23D0F" w:rsidP="00523139">
      <w:pPr>
        <w:pStyle w:val="Heading6"/>
        <w:numPr>
          <w:ilvl w:val="0"/>
          <w:numId w:val="0"/>
        </w:numPr>
        <w:spacing w:before="120" w:after="120"/>
        <w:ind w:left="1151" w:hanging="1151"/>
        <w:jc w:val="both"/>
        <w:rPr>
          <w:rFonts w:asciiTheme="minorHAnsi" w:hAnsiTheme="minorHAnsi" w:cstheme="minorHAnsi"/>
          <w:b/>
          <w:i w:val="0"/>
          <w:color w:val="auto"/>
        </w:rPr>
      </w:pPr>
      <w:r>
        <w:rPr>
          <w:rFonts w:asciiTheme="minorHAnsi" w:hAnsiTheme="minorHAnsi" w:cstheme="minorHAnsi"/>
          <w:b/>
          <w:i w:val="0"/>
          <w:color w:val="auto"/>
        </w:rPr>
        <w:t xml:space="preserve">3.3.2 </w:t>
      </w:r>
      <w:r w:rsidR="00B3406A" w:rsidRPr="00B23D0F">
        <w:rPr>
          <w:rFonts w:asciiTheme="minorHAnsi" w:hAnsiTheme="minorHAnsi" w:cstheme="minorHAnsi"/>
          <w:b/>
          <w:i w:val="0"/>
          <w:color w:val="auto"/>
        </w:rPr>
        <w:t>Length of therapy</w:t>
      </w:r>
    </w:p>
    <w:p w14:paraId="6C542E4F" w14:textId="77777777" w:rsidR="00B3406A" w:rsidRPr="0054703E" w:rsidRDefault="00B3406A" w:rsidP="00D25738">
      <w:pPr>
        <w:pStyle w:val="ListParagraph"/>
        <w:numPr>
          <w:ilvl w:val="0"/>
          <w:numId w:val="28"/>
        </w:numPr>
        <w:ind w:left="360"/>
        <w:jc w:val="both"/>
      </w:pPr>
      <w:r>
        <w:t>There were no statistically significant differences between l</w:t>
      </w:r>
      <w:r w:rsidRPr="008C5C68">
        <w:t>onger duration</w:t>
      </w:r>
      <w:r>
        <w:t xml:space="preserve"> NRT and</w:t>
      </w:r>
      <w:r w:rsidRPr="009B4E2F">
        <w:t xml:space="preserve"> </w:t>
      </w:r>
      <w:r w:rsidDel="009B4E2F">
        <w:t>shorter duration</w:t>
      </w:r>
      <w:r w:rsidRPr="008C5C68" w:rsidDel="009B4E2F">
        <w:t xml:space="preserve"> </w:t>
      </w:r>
      <w:r w:rsidRPr="009B4E2F">
        <w:t>NRT</w:t>
      </w:r>
      <w:r>
        <w:t xml:space="preserve"> in terms of efficacy and safety (serious adverse events and treatment withdrawals)</w:t>
      </w:r>
      <w:r w:rsidRPr="000D166B">
        <w:t xml:space="preserve">. </w:t>
      </w:r>
      <w:r>
        <w:t>For this comparison, NRT was administered</w:t>
      </w:r>
      <w:r w:rsidRPr="0054703E">
        <w:t xml:space="preserve"> </w:t>
      </w:r>
      <w:r w:rsidRPr="001E4395">
        <w:t>either as monotherapy (patch or gum) or combination therapy</w:t>
      </w:r>
      <w:r>
        <w:t xml:space="preserve">. </w:t>
      </w:r>
      <w:r w:rsidRPr="007A7EFF">
        <w:t xml:space="preserve">Of note, the CEASE (1999) </w:t>
      </w:r>
      <w:r>
        <w:t>study</w:t>
      </w:r>
      <w:r w:rsidRPr="007A7EFF">
        <w:t xml:space="preserve"> compared 28 weeks with 12 weeks of NRT patches, with two patch doses (25 mg and 15 mg) examined in each duration</w:t>
      </w:r>
      <w:r>
        <w:t xml:space="preserve"> showed no statistically significant differences consistent with the other studies identified</w:t>
      </w:r>
      <w:r w:rsidRPr="007A7EFF">
        <w:t>.</w:t>
      </w:r>
    </w:p>
    <w:p w14:paraId="748178BE" w14:textId="666CBD4F" w:rsidR="001D6E7B" w:rsidRDefault="00B3406A" w:rsidP="002B5CD1">
      <w:pPr>
        <w:pStyle w:val="ListParagraph"/>
        <w:numPr>
          <w:ilvl w:val="0"/>
          <w:numId w:val="28"/>
        </w:numPr>
        <w:spacing w:after="240"/>
        <w:ind w:left="357" w:hanging="357"/>
        <w:contextualSpacing w:val="0"/>
        <w:jc w:val="both"/>
      </w:pPr>
      <w:r w:rsidRPr="001F4D1B">
        <w:t xml:space="preserve">For other variations in NRT use (24-hour versus 16-hour </w:t>
      </w:r>
      <w:r>
        <w:t>patches</w:t>
      </w:r>
      <w:r w:rsidRPr="001F4D1B">
        <w:t xml:space="preserve">, continue versus stop patch use on </w:t>
      </w:r>
      <w:r>
        <w:t>re</w:t>
      </w:r>
      <w:r w:rsidRPr="001F4D1B">
        <w:t xml:space="preserve">lapse, and 22 weeks of </w:t>
      </w:r>
      <w:r>
        <w:t xml:space="preserve">a </w:t>
      </w:r>
      <w:r w:rsidRPr="001F4D1B">
        <w:t xml:space="preserve">combination of 35 mg </w:t>
      </w:r>
      <w:r>
        <w:t>patches</w:t>
      </w:r>
      <w:r w:rsidRPr="001F4D1B">
        <w:t xml:space="preserve"> and fast-acting</w:t>
      </w:r>
      <w:r>
        <w:t xml:space="preserve"> NRT</w:t>
      </w:r>
      <w:r w:rsidRPr="001F4D1B">
        <w:t xml:space="preserve"> versus 10 weeks of 21 mg</w:t>
      </w:r>
      <w:r>
        <w:t xml:space="preserve"> patches</w:t>
      </w:r>
      <w:r w:rsidRPr="001F4D1B">
        <w:t>), there were no statistically significant differences in smoking cessation rates, serious adverse events, treatment withdrawals and cardiac events in all comparisons.</w:t>
      </w:r>
    </w:p>
    <w:p w14:paraId="2D5664FB" w14:textId="193DC403" w:rsidR="00B3406A" w:rsidRDefault="001D6E7B" w:rsidP="00523139">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975"/>
        <w:gridCol w:w="2070"/>
        <w:gridCol w:w="4971"/>
      </w:tblGrid>
      <w:tr w:rsidR="00B3406A" w:rsidRPr="00916516" w14:paraId="14060454" w14:textId="77777777" w:rsidTr="00A82090">
        <w:trPr>
          <w:trHeight w:val="67"/>
        </w:trPr>
        <w:tc>
          <w:tcPr>
            <w:tcW w:w="1095" w:type="pct"/>
            <w:shd w:val="clear" w:color="auto" w:fill="F2F2F2" w:themeFill="background1" w:themeFillShade="F2"/>
            <w:hideMark/>
          </w:tcPr>
          <w:p w14:paraId="26020E88" w14:textId="77777777" w:rsidR="00B3406A" w:rsidRPr="00916516" w:rsidRDefault="00B3406A" w:rsidP="001E7257">
            <w:pPr>
              <w:rPr>
                <w:szCs w:val="18"/>
              </w:rPr>
            </w:pPr>
            <w:r w:rsidRPr="00916516">
              <w:rPr>
                <w:b/>
                <w:bCs/>
                <w:szCs w:val="18"/>
              </w:rPr>
              <w:lastRenderedPageBreak/>
              <w:t>Compar</w:t>
            </w:r>
            <w:r>
              <w:rPr>
                <w:b/>
                <w:bCs/>
                <w:szCs w:val="18"/>
              </w:rPr>
              <w:t>ison</w:t>
            </w:r>
          </w:p>
        </w:tc>
        <w:tc>
          <w:tcPr>
            <w:tcW w:w="1148" w:type="pct"/>
            <w:shd w:val="clear" w:color="auto" w:fill="F2F2F2" w:themeFill="background1" w:themeFillShade="F2"/>
            <w:hideMark/>
          </w:tcPr>
          <w:p w14:paraId="37F43479" w14:textId="77777777" w:rsidR="00B3406A" w:rsidRPr="00916516" w:rsidRDefault="00B3406A" w:rsidP="001E7257">
            <w:pPr>
              <w:jc w:val="center"/>
              <w:rPr>
                <w:szCs w:val="18"/>
              </w:rPr>
            </w:pPr>
            <w:r>
              <w:rPr>
                <w:b/>
                <w:bCs/>
                <w:szCs w:val="18"/>
              </w:rPr>
              <w:t>Included studies</w:t>
            </w:r>
          </w:p>
        </w:tc>
        <w:tc>
          <w:tcPr>
            <w:tcW w:w="2757" w:type="pct"/>
            <w:shd w:val="clear" w:color="auto" w:fill="F2F2F2" w:themeFill="background1" w:themeFillShade="F2"/>
            <w:hideMark/>
          </w:tcPr>
          <w:p w14:paraId="2E8DE139" w14:textId="77777777" w:rsidR="00B3406A" w:rsidRPr="00916516" w:rsidRDefault="00B3406A" w:rsidP="001E7257">
            <w:pPr>
              <w:jc w:val="center"/>
              <w:rPr>
                <w:szCs w:val="18"/>
              </w:rPr>
            </w:pPr>
            <w:r>
              <w:rPr>
                <w:b/>
                <w:bCs/>
                <w:szCs w:val="18"/>
              </w:rPr>
              <w:t>Summary of evidence</w:t>
            </w:r>
          </w:p>
        </w:tc>
      </w:tr>
      <w:tr w:rsidR="00B3406A" w:rsidRPr="0063070A" w14:paraId="325CC831" w14:textId="77777777" w:rsidTr="00A82090">
        <w:trPr>
          <w:trHeight w:val="345"/>
        </w:trPr>
        <w:tc>
          <w:tcPr>
            <w:tcW w:w="1095" w:type="pct"/>
            <w:shd w:val="clear" w:color="auto" w:fill="F2F2F2" w:themeFill="background1" w:themeFillShade="F2"/>
            <w:hideMark/>
          </w:tcPr>
          <w:p w14:paraId="45E0BBF8" w14:textId="77777777" w:rsidR="00B3406A" w:rsidRPr="00237D04" w:rsidRDefault="00B3406A" w:rsidP="001E7257">
            <w:pPr>
              <w:tabs>
                <w:tab w:val="left" w:pos="1198"/>
              </w:tabs>
              <w:rPr>
                <w:szCs w:val="18"/>
              </w:rPr>
            </w:pPr>
            <w:r w:rsidRPr="00237D04">
              <w:rPr>
                <w:szCs w:val="18"/>
              </w:rPr>
              <w:t>Longer duration NRT</w:t>
            </w:r>
            <w:r>
              <w:rPr>
                <w:szCs w:val="18"/>
                <w:vertAlign w:val="superscript"/>
              </w:rPr>
              <w:t>1</w:t>
            </w:r>
            <w:r>
              <w:rPr>
                <w:szCs w:val="18"/>
              </w:rPr>
              <w:t xml:space="preserve"> vs s</w:t>
            </w:r>
            <w:r w:rsidRPr="00237D04">
              <w:rPr>
                <w:szCs w:val="18"/>
              </w:rPr>
              <w:t>horter duration NRT</w:t>
            </w:r>
          </w:p>
          <w:p w14:paraId="5997EE70" w14:textId="77777777" w:rsidR="00B3406A" w:rsidRPr="00237D04" w:rsidRDefault="00B3406A" w:rsidP="001E7257">
            <w:pPr>
              <w:tabs>
                <w:tab w:val="left" w:pos="1198"/>
              </w:tabs>
              <w:spacing w:after="200"/>
              <w:rPr>
                <w:szCs w:val="18"/>
              </w:rPr>
            </w:pPr>
          </w:p>
        </w:tc>
        <w:tc>
          <w:tcPr>
            <w:tcW w:w="1148" w:type="pct"/>
            <w:shd w:val="clear" w:color="auto" w:fill="F2F2F2" w:themeFill="background1" w:themeFillShade="F2"/>
            <w:hideMark/>
          </w:tcPr>
          <w:p w14:paraId="34A31442" w14:textId="77777777" w:rsidR="00B3406A" w:rsidRPr="00B6521D" w:rsidRDefault="00B3406A" w:rsidP="00815A6D">
            <w:pPr>
              <w:pStyle w:val="ListParagraph"/>
              <w:numPr>
                <w:ilvl w:val="0"/>
                <w:numId w:val="43"/>
              </w:numPr>
              <w:rPr>
                <w:szCs w:val="18"/>
              </w:rPr>
            </w:pPr>
            <w:r>
              <w:t>Lindson</w:t>
            </w:r>
            <w:r w:rsidRPr="00713891">
              <w:t xml:space="preserve"> (201</w:t>
            </w:r>
            <w:r>
              <w:t>9</w:t>
            </w:r>
            <w:r w:rsidRPr="00713891">
              <w:t>)</w:t>
            </w:r>
            <w:r w:rsidRPr="00B6521D">
              <w:rPr>
                <w:vertAlign w:val="superscript"/>
              </w:rPr>
              <w:t>3</w:t>
            </w:r>
          </w:p>
          <w:p w14:paraId="6F4CEC15" w14:textId="77777777" w:rsidR="00B3406A" w:rsidRPr="00614418" w:rsidRDefault="00B3406A" w:rsidP="00815A6D">
            <w:pPr>
              <w:pStyle w:val="ListParagraph"/>
              <w:numPr>
                <w:ilvl w:val="0"/>
                <w:numId w:val="43"/>
              </w:numPr>
              <w:rPr>
                <w:szCs w:val="18"/>
              </w:rPr>
            </w:pPr>
            <w:r w:rsidRPr="003158F5">
              <w:rPr>
                <w:rFonts w:eastAsia="MS Mincho"/>
              </w:rPr>
              <w:t>Ellerbeck (2018)</w:t>
            </w:r>
            <w:r w:rsidRPr="00076C24">
              <w:rPr>
                <w:rFonts w:eastAsia="MS Mincho"/>
                <w:vertAlign w:val="superscript"/>
              </w:rPr>
              <w:t>4</w:t>
            </w:r>
          </w:p>
        </w:tc>
        <w:tc>
          <w:tcPr>
            <w:tcW w:w="2757" w:type="pct"/>
            <w:shd w:val="clear" w:color="auto" w:fill="F2F2F2" w:themeFill="background1" w:themeFillShade="F2"/>
            <w:hideMark/>
          </w:tcPr>
          <w:p w14:paraId="7509E619" w14:textId="77777777" w:rsidR="00B3406A" w:rsidRPr="00237D04"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237D04">
              <w:rPr>
                <w:szCs w:val="18"/>
              </w:rPr>
              <w:t>Not statistically significant</w:t>
            </w:r>
            <w:r>
              <w:rPr>
                <w:szCs w:val="18"/>
              </w:rPr>
              <w:t xml:space="preserve"> based on RR.</w:t>
            </w:r>
          </w:p>
          <w:p w14:paraId="17CD52AF" w14:textId="77777777" w:rsidR="00B3406A" w:rsidRPr="00237D04"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237D04">
              <w:rPr>
                <w:szCs w:val="18"/>
              </w:rPr>
              <w:t>Not statistically significant</w:t>
            </w:r>
            <w:r>
              <w:rPr>
                <w:szCs w:val="18"/>
              </w:rPr>
              <w:t xml:space="preserve"> based on RR </w:t>
            </w:r>
            <w:r w:rsidRPr="00237D04">
              <w:rPr>
                <w:szCs w:val="18"/>
              </w:rPr>
              <w:t>(</w:t>
            </w:r>
            <w:r w:rsidRPr="0018309C">
              <w:rPr>
                <w:szCs w:val="18"/>
              </w:rPr>
              <w:t>overall SAEs, treatment withdrawals</w:t>
            </w:r>
            <w:r>
              <w:rPr>
                <w:szCs w:val="18"/>
              </w:rPr>
              <w:t>, and m</w:t>
            </w:r>
            <w:r w:rsidRPr="0018309C">
              <w:rPr>
                <w:szCs w:val="18"/>
              </w:rPr>
              <w:t>idsternal pressure</w:t>
            </w:r>
            <w:r w:rsidRPr="00237D04">
              <w:rPr>
                <w:szCs w:val="18"/>
              </w:rPr>
              <w:t>)</w:t>
            </w:r>
            <w:r>
              <w:rPr>
                <w:szCs w:val="18"/>
              </w:rPr>
              <w:t>.</w:t>
            </w:r>
          </w:p>
          <w:p w14:paraId="3AE9B1F5" w14:textId="77777777" w:rsidR="00B3406A" w:rsidRPr="00182A8F" w:rsidRDefault="00B3406A" w:rsidP="001E7257">
            <w:pPr>
              <w:pStyle w:val="ListParagraph"/>
              <w:ind w:left="360"/>
              <w:rPr>
                <w:szCs w:val="18"/>
              </w:rPr>
            </w:pPr>
          </w:p>
        </w:tc>
      </w:tr>
      <w:tr w:rsidR="00B3406A" w:rsidRPr="00360862" w14:paraId="6B51D158" w14:textId="77777777" w:rsidTr="00A82090">
        <w:trPr>
          <w:trHeight w:val="617"/>
        </w:trPr>
        <w:tc>
          <w:tcPr>
            <w:tcW w:w="1095" w:type="pct"/>
            <w:shd w:val="clear" w:color="auto" w:fill="F2F2F2" w:themeFill="background1" w:themeFillShade="F2"/>
            <w:hideMark/>
          </w:tcPr>
          <w:p w14:paraId="2C78BE84" w14:textId="77777777" w:rsidR="00B3406A" w:rsidRPr="00237D04" w:rsidRDefault="00B3406A" w:rsidP="001E7257">
            <w:pPr>
              <w:rPr>
                <w:szCs w:val="18"/>
              </w:rPr>
            </w:pPr>
            <w:r w:rsidRPr="00237D04">
              <w:rPr>
                <w:szCs w:val="18"/>
              </w:rPr>
              <w:t>Other variations in NRT use</w:t>
            </w:r>
            <w:r>
              <w:rPr>
                <w:szCs w:val="18"/>
                <w:vertAlign w:val="superscript"/>
              </w:rPr>
              <w:t>2</w:t>
            </w:r>
            <w:r>
              <w:rPr>
                <w:szCs w:val="18"/>
              </w:rPr>
              <w:t xml:space="preserve"> vs o</w:t>
            </w:r>
            <w:r w:rsidRPr="00237D04">
              <w:rPr>
                <w:szCs w:val="18"/>
              </w:rPr>
              <w:t>ther variations in NRT use</w:t>
            </w:r>
          </w:p>
          <w:p w14:paraId="2F31A911" w14:textId="77777777" w:rsidR="00B3406A" w:rsidRPr="00237D04" w:rsidRDefault="00B3406A" w:rsidP="001E7257">
            <w:pPr>
              <w:spacing w:after="200"/>
              <w:rPr>
                <w:szCs w:val="18"/>
              </w:rPr>
            </w:pPr>
          </w:p>
        </w:tc>
        <w:tc>
          <w:tcPr>
            <w:tcW w:w="1148" w:type="pct"/>
            <w:shd w:val="clear" w:color="auto" w:fill="F2F2F2" w:themeFill="background1" w:themeFillShade="F2"/>
            <w:hideMark/>
          </w:tcPr>
          <w:p w14:paraId="1F2FC639" w14:textId="77777777" w:rsidR="00B3406A" w:rsidRPr="002A5E9C" w:rsidRDefault="00B3406A" w:rsidP="00815A6D">
            <w:pPr>
              <w:pStyle w:val="ListParagraph"/>
              <w:numPr>
                <w:ilvl w:val="0"/>
                <w:numId w:val="44"/>
              </w:numPr>
              <w:rPr>
                <w:szCs w:val="18"/>
              </w:rPr>
            </w:pPr>
            <w:r>
              <w:t>Lindson</w:t>
            </w:r>
            <w:r w:rsidRPr="00713891">
              <w:t xml:space="preserve"> (201</w:t>
            </w:r>
            <w:r>
              <w:t>9</w:t>
            </w:r>
            <w:r w:rsidRPr="00713891">
              <w:t>)</w:t>
            </w:r>
            <w:r w:rsidRPr="00B6521D">
              <w:rPr>
                <w:vertAlign w:val="superscript"/>
              </w:rPr>
              <w:t>3</w:t>
            </w:r>
          </w:p>
        </w:tc>
        <w:tc>
          <w:tcPr>
            <w:tcW w:w="2757" w:type="pct"/>
            <w:shd w:val="clear" w:color="auto" w:fill="F2F2F2" w:themeFill="background1" w:themeFillShade="F2"/>
            <w:hideMark/>
          </w:tcPr>
          <w:p w14:paraId="06D43268" w14:textId="77777777" w:rsidR="00B3406A" w:rsidRPr="00237D04"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237D04">
              <w:rPr>
                <w:szCs w:val="18"/>
              </w:rPr>
              <w:t>Not statistically significant</w:t>
            </w:r>
            <w:r>
              <w:rPr>
                <w:szCs w:val="18"/>
              </w:rPr>
              <w:t xml:space="preserve"> based on RR. </w:t>
            </w:r>
          </w:p>
          <w:p w14:paraId="159E6E04" w14:textId="77777777" w:rsidR="00B3406A" w:rsidRPr="00237D04"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237D04">
              <w:rPr>
                <w:szCs w:val="18"/>
              </w:rPr>
              <w:t>Not statistically significant</w:t>
            </w:r>
            <w:r>
              <w:rPr>
                <w:szCs w:val="18"/>
              </w:rPr>
              <w:t xml:space="preserve"> based on RR </w:t>
            </w:r>
            <w:r w:rsidRPr="00237D04">
              <w:rPr>
                <w:szCs w:val="18"/>
              </w:rPr>
              <w:t xml:space="preserve">(cardiac AEs, </w:t>
            </w:r>
            <w:r>
              <w:rPr>
                <w:szCs w:val="18"/>
              </w:rPr>
              <w:t>S</w:t>
            </w:r>
            <w:r w:rsidRPr="00237D04">
              <w:rPr>
                <w:szCs w:val="18"/>
              </w:rPr>
              <w:t>AEs, treatment withdrawals)</w:t>
            </w:r>
            <w:r>
              <w:rPr>
                <w:szCs w:val="18"/>
              </w:rPr>
              <w:t>.</w:t>
            </w:r>
          </w:p>
          <w:p w14:paraId="79EF45B3" w14:textId="77777777" w:rsidR="00B3406A" w:rsidRPr="00552AFA" w:rsidRDefault="00B3406A" w:rsidP="001E7257">
            <w:pPr>
              <w:pStyle w:val="ListParagraph"/>
              <w:ind w:left="360"/>
              <w:rPr>
                <w:szCs w:val="18"/>
              </w:rPr>
            </w:pPr>
          </w:p>
        </w:tc>
      </w:tr>
    </w:tbl>
    <w:p w14:paraId="3CD91DC5" w14:textId="77777777" w:rsidR="00B3406A" w:rsidRDefault="00B3406A" w:rsidP="00523139">
      <w:pPr>
        <w:pStyle w:val="TableFooter"/>
        <w:jc w:val="both"/>
      </w:pPr>
      <w:r>
        <w:t>Abbreviations: AEs = adverse events; NRT = nicotine replacement therapy; RR = risk ratio; SAEs = serious adverse events</w:t>
      </w:r>
    </w:p>
    <w:p w14:paraId="7057F1B2" w14:textId="77777777" w:rsidR="00B3406A" w:rsidRDefault="00B3406A" w:rsidP="00523139">
      <w:pPr>
        <w:pStyle w:val="TableFooter"/>
        <w:jc w:val="both"/>
      </w:pPr>
      <w:r w:rsidRPr="00BE36E8">
        <w:t xml:space="preserve">Notes: </w:t>
      </w:r>
    </w:p>
    <w:p w14:paraId="78E01F6A" w14:textId="2A711815" w:rsidR="00B3406A" w:rsidRPr="00237D04" w:rsidRDefault="00B3406A" w:rsidP="00523139">
      <w:pPr>
        <w:pStyle w:val="TableFooter"/>
        <w:jc w:val="both"/>
      </w:pPr>
      <w:r>
        <w:t xml:space="preserve">1 </w:t>
      </w:r>
      <w:r w:rsidRPr="00237D04">
        <w:t xml:space="preserve">Comparisons include various durations of longer duration NRT versus shorter duration NRT (either as patch, </w:t>
      </w:r>
      <w:r w:rsidR="009270A5" w:rsidRPr="00237D04">
        <w:t>gum,</w:t>
      </w:r>
      <w:r w:rsidRPr="00237D04">
        <w:t xml:space="preserve"> or combination therapy).</w:t>
      </w:r>
    </w:p>
    <w:p w14:paraId="4922191F" w14:textId="77777777" w:rsidR="00B3406A" w:rsidRDefault="00B3406A" w:rsidP="00523139">
      <w:pPr>
        <w:pStyle w:val="TableFooter"/>
        <w:jc w:val="both"/>
      </w:pPr>
      <w:r>
        <w:t xml:space="preserve">2 </w:t>
      </w:r>
      <w:r w:rsidRPr="00237D04">
        <w:t xml:space="preserve">Comparisons include 24-hour versus 16-hour patches, continue versus stop patch use on relapse, and 22 weeks of a combination of 35 mg patches and fast-acting NRT </w:t>
      </w:r>
      <w:r>
        <w:t xml:space="preserve">(gum or inhaler) </w:t>
      </w:r>
      <w:r w:rsidRPr="00237D04">
        <w:t>versus 10 weeks of 21 mg patches.</w:t>
      </w:r>
    </w:p>
    <w:p w14:paraId="3C2A9E97" w14:textId="77777777" w:rsidR="00B3406A" w:rsidRDefault="00B3406A" w:rsidP="00523139">
      <w:pPr>
        <w:pStyle w:val="TableFooter"/>
        <w:jc w:val="both"/>
      </w:pPr>
      <w:r>
        <w:t xml:space="preserve">3 </w:t>
      </w:r>
      <w:r w:rsidRPr="00BE36E8">
        <w:t>Cochrane Review</w:t>
      </w:r>
      <w:r>
        <w:t>.</w:t>
      </w:r>
    </w:p>
    <w:p w14:paraId="5281EFFB" w14:textId="46D773AC" w:rsidR="00B3406A" w:rsidRPr="00E66B17" w:rsidRDefault="002F3376" w:rsidP="00523139">
      <w:pPr>
        <w:pStyle w:val="TableFooter"/>
        <w:jc w:val="both"/>
      </w:pPr>
      <w:r>
        <w:t>4 Supplemental evidence (RCT)</w:t>
      </w:r>
      <w:r w:rsidR="00770514">
        <w:t xml:space="preserve">. </w:t>
      </w:r>
    </w:p>
    <w:p w14:paraId="5DE04C7E" w14:textId="405CD31C" w:rsidR="00B3406A" w:rsidRPr="00B23D0F" w:rsidRDefault="00B3406A" w:rsidP="00523139">
      <w:pPr>
        <w:pStyle w:val="Heading6"/>
        <w:numPr>
          <w:ilvl w:val="2"/>
          <w:numId w:val="71"/>
        </w:numPr>
        <w:spacing w:before="120" w:after="120"/>
        <w:jc w:val="both"/>
        <w:rPr>
          <w:rFonts w:asciiTheme="minorHAnsi" w:hAnsiTheme="minorHAnsi" w:cstheme="minorHAnsi"/>
          <w:b/>
          <w:i w:val="0"/>
          <w:color w:val="auto"/>
        </w:rPr>
      </w:pPr>
      <w:r w:rsidRPr="00B23D0F">
        <w:rPr>
          <w:rFonts w:asciiTheme="minorHAnsi" w:hAnsiTheme="minorHAnsi" w:cstheme="minorHAnsi"/>
          <w:b/>
          <w:i w:val="0"/>
          <w:color w:val="auto"/>
        </w:rPr>
        <w:t>Dosing schedule</w:t>
      </w:r>
    </w:p>
    <w:p w14:paraId="00E37597" w14:textId="77777777" w:rsidR="00B3406A" w:rsidRDefault="00B3406A" w:rsidP="00523139">
      <w:pPr>
        <w:pStyle w:val="ListParagraph"/>
        <w:numPr>
          <w:ilvl w:val="0"/>
          <w:numId w:val="29"/>
        </w:numPr>
        <w:spacing w:before="120" w:after="0"/>
        <w:ind w:left="357" w:hanging="357"/>
        <w:contextualSpacing w:val="0"/>
        <w:jc w:val="both"/>
      </w:pPr>
      <w:r>
        <w:t>There were no statistically significant differences between a</w:t>
      </w:r>
      <w:r w:rsidRPr="001F4D1B">
        <w:t xml:space="preserve">brupt withdrawal </w:t>
      </w:r>
      <w:r>
        <w:t>of NRT patches compared to</w:t>
      </w:r>
      <w:r w:rsidRPr="001F4D1B">
        <w:t xml:space="preserve"> tapering patch dose</w:t>
      </w:r>
      <w:r>
        <w:t xml:space="preserve"> in terms of efficacy and safety (treatment withdrawal)</w:t>
      </w:r>
      <w:r w:rsidRPr="001F4D1B">
        <w:t>. This is consistent with previous PBAC consideration</w:t>
      </w:r>
      <w:r>
        <w:t>s</w:t>
      </w:r>
      <w:r w:rsidRPr="001F4D1B">
        <w:t>, whereby gradual tapering compared with abrupt withdrawal w</w:t>
      </w:r>
      <w:r>
        <w:t>as expected</w:t>
      </w:r>
      <w:r w:rsidRPr="001F4D1B">
        <w:t xml:space="preserve"> to result in minimal changes in clinical outcomes.</w:t>
      </w:r>
    </w:p>
    <w:p w14:paraId="3122BFFA" w14:textId="527D61EE" w:rsidR="00B3406A" w:rsidRDefault="00B3406A" w:rsidP="00D25738">
      <w:pPr>
        <w:pStyle w:val="ListParagraph"/>
        <w:numPr>
          <w:ilvl w:val="0"/>
          <w:numId w:val="29"/>
        </w:numPr>
        <w:ind w:left="360"/>
        <w:jc w:val="both"/>
      </w:pPr>
      <w:r>
        <w:t>There were no statistically significant differences between f</w:t>
      </w:r>
      <w:r w:rsidRPr="00111074">
        <w:t xml:space="preserve">ixed </w:t>
      </w:r>
      <w:r>
        <w:t>dosing schedules for fast-acting NRT compared to</w:t>
      </w:r>
      <w:r w:rsidRPr="00111074">
        <w:t xml:space="preserve"> ad lib dosing schedule</w:t>
      </w:r>
      <w:r>
        <w:t xml:space="preserve"> in terms of efficacy and safety</w:t>
      </w:r>
      <w:r w:rsidRPr="00111074">
        <w:t xml:space="preserve"> </w:t>
      </w:r>
      <w:r>
        <w:t xml:space="preserve">(serious adverse events and treatment withdrawals) </w:t>
      </w:r>
      <w:r w:rsidRPr="00111074">
        <w:t xml:space="preserve">for all comparisons (gum, nasal </w:t>
      </w:r>
      <w:r w:rsidR="009270A5" w:rsidRPr="00111074">
        <w:t>spray,</w:t>
      </w:r>
      <w:r w:rsidRPr="00111074">
        <w:t xml:space="preserve"> and pooled analysis). </w:t>
      </w:r>
    </w:p>
    <w:p w14:paraId="1D2BB46A" w14:textId="2F22B623" w:rsidR="00B3406A" w:rsidRDefault="00B3406A" w:rsidP="00D25738">
      <w:pPr>
        <w:pStyle w:val="ListParagraph"/>
        <w:numPr>
          <w:ilvl w:val="0"/>
          <w:numId w:val="29"/>
        </w:numPr>
        <w:ind w:left="360"/>
        <w:jc w:val="both"/>
      </w:pPr>
      <w:r w:rsidRPr="009C2F54">
        <w:t xml:space="preserve">Preloading use of NRT </w:t>
      </w:r>
      <w:r>
        <w:t xml:space="preserve">(prior to smoking cessation) </w:t>
      </w:r>
      <w:r w:rsidRPr="009C2F54">
        <w:t xml:space="preserve">was </w:t>
      </w:r>
      <w:r>
        <w:t>shown to be superior to</w:t>
      </w:r>
      <w:r w:rsidRPr="009C2F54">
        <w:t xml:space="preserve"> standard use of NRT </w:t>
      </w:r>
      <w:r>
        <w:t>(commencing at the time of smoking cessation) in terms of efficacy</w:t>
      </w:r>
      <w:r w:rsidRPr="009C2F54">
        <w:t xml:space="preserve">. However, the results were only statistically significant in the NRT </w:t>
      </w:r>
      <w:r>
        <w:t>patches</w:t>
      </w:r>
      <w:r w:rsidRPr="009C2F54">
        <w:t xml:space="preserve"> subgroup and not in the NRT gum or </w:t>
      </w:r>
      <w:r>
        <w:t xml:space="preserve">NRT </w:t>
      </w:r>
      <w:r w:rsidRPr="009C2F54">
        <w:t>patch in combination with gum subgroups. For safety, there was a significantly higher proportion of patients in the preloading arm experiencing palpitations compared with patients in the standard use arm</w:t>
      </w:r>
      <w:r>
        <w:t>, however,</w:t>
      </w:r>
      <w:r w:rsidRPr="009C2F54">
        <w:t xml:space="preserve"> there were no statistically significant differences in cardiac adverse events, cardiac serious adverse events, overall serious adverse </w:t>
      </w:r>
      <w:r w:rsidR="009270A5" w:rsidRPr="009C2F54">
        <w:t>events,</w:t>
      </w:r>
      <w:r w:rsidRPr="009C2F54">
        <w:t xml:space="preserve"> and treatment withdrawals.</w:t>
      </w:r>
    </w:p>
    <w:p w14:paraId="30B4F647" w14:textId="43FCBF95" w:rsidR="009270A5" w:rsidRDefault="00B3406A" w:rsidP="002B5CD1">
      <w:pPr>
        <w:pStyle w:val="ListParagraph"/>
        <w:numPr>
          <w:ilvl w:val="0"/>
          <w:numId w:val="29"/>
        </w:numPr>
        <w:spacing w:after="240"/>
        <w:ind w:left="357" w:hanging="357"/>
        <w:contextualSpacing w:val="0"/>
        <w:jc w:val="both"/>
      </w:pPr>
      <w:r w:rsidRPr="009C2F54">
        <w:t xml:space="preserve">Reduction </w:t>
      </w:r>
      <w:r>
        <w:t>in cigarettes per day (‘cutting down to quit’)</w:t>
      </w:r>
      <w:r w:rsidRPr="009C2F54">
        <w:t xml:space="preserve"> with pharmacotherapy </w:t>
      </w:r>
      <w:r>
        <w:t>was shown to be superior to</w:t>
      </w:r>
      <w:r w:rsidRPr="009C2F54">
        <w:t xml:space="preserve"> reduction alone in </w:t>
      </w:r>
      <w:r>
        <w:t xml:space="preserve">terms of </w:t>
      </w:r>
      <w:r w:rsidR="009270A5">
        <w:t>efficacy in</w:t>
      </w:r>
      <w:r>
        <w:t xml:space="preserve"> the </w:t>
      </w:r>
      <w:r w:rsidRPr="009C2F54">
        <w:t>fast</w:t>
      </w:r>
      <w:r>
        <w:t>-</w:t>
      </w:r>
      <w:r w:rsidRPr="009C2F54">
        <w:t xml:space="preserve">acting NRT subgroup, noting that there were no statistically significant differences between the two treatment arms in either combination NRT or NRT </w:t>
      </w:r>
      <w:r>
        <w:t>patches</w:t>
      </w:r>
      <w:r w:rsidRPr="009C2F54">
        <w:t xml:space="preserve"> subgroups. There w</w:t>
      </w:r>
      <w:r>
        <w:t>ere</w:t>
      </w:r>
      <w:r w:rsidRPr="009C2F54">
        <w:t xml:space="preserve"> no statistically significant difference</w:t>
      </w:r>
      <w:r>
        <w:t>s</w:t>
      </w:r>
      <w:r w:rsidRPr="009C2F54">
        <w:t xml:space="preserve"> in pre-quit adverse events and pre-quit serious adverse events</w:t>
      </w:r>
      <w:r>
        <w:t xml:space="preserve"> between </w:t>
      </w:r>
      <w:r w:rsidRPr="001D3FF6">
        <w:t>cutting down to quit with pharmacotherapy</w:t>
      </w:r>
      <w:r>
        <w:t xml:space="preserve"> and cutting down alone</w:t>
      </w:r>
      <w:r w:rsidR="009270A5" w:rsidRPr="009C2F54">
        <w:t xml:space="preserve">. </w:t>
      </w:r>
    </w:p>
    <w:p w14:paraId="6DC0C5BC" w14:textId="01C3CB1E" w:rsidR="00B3406A" w:rsidRDefault="009270A5" w:rsidP="009270A5">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974"/>
        <w:gridCol w:w="1980"/>
        <w:gridCol w:w="5062"/>
      </w:tblGrid>
      <w:tr w:rsidR="00B3406A" w:rsidRPr="00916516" w14:paraId="4A0F24B4" w14:textId="77777777" w:rsidTr="00A82090">
        <w:trPr>
          <w:trHeight w:val="67"/>
        </w:trPr>
        <w:tc>
          <w:tcPr>
            <w:tcW w:w="1095" w:type="pct"/>
            <w:shd w:val="clear" w:color="auto" w:fill="F2F2F2" w:themeFill="background1" w:themeFillShade="F2"/>
            <w:hideMark/>
          </w:tcPr>
          <w:p w14:paraId="2958C09F" w14:textId="77777777" w:rsidR="00B3406A" w:rsidRPr="00916516" w:rsidRDefault="00B3406A" w:rsidP="001E7257">
            <w:pPr>
              <w:rPr>
                <w:szCs w:val="18"/>
              </w:rPr>
            </w:pPr>
            <w:r w:rsidRPr="00916516">
              <w:rPr>
                <w:b/>
                <w:bCs/>
                <w:szCs w:val="18"/>
              </w:rPr>
              <w:lastRenderedPageBreak/>
              <w:t>Compar</w:t>
            </w:r>
            <w:r>
              <w:rPr>
                <w:b/>
                <w:bCs/>
                <w:szCs w:val="18"/>
              </w:rPr>
              <w:t>ison</w:t>
            </w:r>
          </w:p>
        </w:tc>
        <w:tc>
          <w:tcPr>
            <w:tcW w:w="1098" w:type="pct"/>
            <w:shd w:val="clear" w:color="auto" w:fill="F2F2F2" w:themeFill="background1" w:themeFillShade="F2"/>
            <w:hideMark/>
          </w:tcPr>
          <w:p w14:paraId="4CE26625" w14:textId="77777777" w:rsidR="00B3406A" w:rsidRPr="00916516" w:rsidRDefault="00B3406A" w:rsidP="001E7257">
            <w:pPr>
              <w:jc w:val="center"/>
              <w:rPr>
                <w:szCs w:val="18"/>
              </w:rPr>
            </w:pPr>
            <w:r>
              <w:rPr>
                <w:b/>
                <w:bCs/>
                <w:szCs w:val="18"/>
              </w:rPr>
              <w:t>Included studies</w:t>
            </w:r>
          </w:p>
        </w:tc>
        <w:tc>
          <w:tcPr>
            <w:tcW w:w="2807" w:type="pct"/>
            <w:shd w:val="clear" w:color="auto" w:fill="F2F2F2" w:themeFill="background1" w:themeFillShade="F2"/>
            <w:hideMark/>
          </w:tcPr>
          <w:p w14:paraId="24757B7D" w14:textId="77777777" w:rsidR="00B3406A" w:rsidRPr="00916516" w:rsidRDefault="00B3406A" w:rsidP="001E7257">
            <w:pPr>
              <w:jc w:val="center"/>
              <w:rPr>
                <w:szCs w:val="18"/>
              </w:rPr>
            </w:pPr>
            <w:r>
              <w:rPr>
                <w:b/>
                <w:bCs/>
                <w:szCs w:val="18"/>
              </w:rPr>
              <w:t>Summary of evidence</w:t>
            </w:r>
          </w:p>
        </w:tc>
      </w:tr>
      <w:tr w:rsidR="00B3406A" w:rsidRPr="0063070A" w14:paraId="36F11CA5" w14:textId="77777777" w:rsidTr="00A82090">
        <w:trPr>
          <w:trHeight w:val="345"/>
        </w:trPr>
        <w:tc>
          <w:tcPr>
            <w:tcW w:w="1095" w:type="pct"/>
            <w:shd w:val="clear" w:color="auto" w:fill="F2F2F2" w:themeFill="background1" w:themeFillShade="F2"/>
            <w:hideMark/>
          </w:tcPr>
          <w:p w14:paraId="41FFF35E" w14:textId="77777777" w:rsidR="00B3406A" w:rsidRPr="00237D04" w:rsidRDefault="00B3406A" w:rsidP="001E7257">
            <w:pPr>
              <w:tabs>
                <w:tab w:val="left" w:pos="1198"/>
              </w:tabs>
              <w:rPr>
                <w:szCs w:val="18"/>
              </w:rPr>
            </w:pPr>
            <w:r w:rsidRPr="00581533">
              <w:rPr>
                <w:szCs w:val="18"/>
              </w:rPr>
              <w:t>Abrupt withdrawal of NRT patch</w:t>
            </w:r>
            <w:r>
              <w:rPr>
                <w:szCs w:val="18"/>
              </w:rPr>
              <w:t xml:space="preserve"> vs g</w:t>
            </w:r>
            <w:r w:rsidRPr="00581533">
              <w:rPr>
                <w:szCs w:val="18"/>
              </w:rPr>
              <w:t>radual tapering of NRT patch</w:t>
            </w:r>
          </w:p>
        </w:tc>
        <w:tc>
          <w:tcPr>
            <w:tcW w:w="1098" w:type="pct"/>
            <w:shd w:val="clear" w:color="auto" w:fill="F2F2F2" w:themeFill="background1" w:themeFillShade="F2"/>
            <w:hideMark/>
          </w:tcPr>
          <w:p w14:paraId="13283F28" w14:textId="77777777" w:rsidR="00B3406A" w:rsidRPr="00614418" w:rsidRDefault="00B3406A" w:rsidP="00815A6D">
            <w:pPr>
              <w:pStyle w:val="ListParagraph"/>
              <w:numPr>
                <w:ilvl w:val="0"/>
                <w:numId w:val="43"/>
              </w:numPr>
              <w:rPr>
                <w:szCs w:val="18"/>
              </w:rPr>
            </w:pPr>
            <w:r w:rsidRPr="00687B43">
              <w:t>Lindson (2019)</w:t>
            </w:r>
            <w:r w:rsidRPr="00CE108D">
              <w:rPr>
                <w:vertAlign w:val="superscript"/>
              </w:rPr>
              <w:t>4</w:t>
            </w:r>
          </w:p>
        </w:tc>
        <w:tc>
          <w:tcPr>
            <w:tcW w:w="2807" w:type="pct"/>
            <w:shd w:val="clear" w:color="auto" w:fill="F2F2F2" w:themeFill="background1" w:themeFillShade="F2"/>
            <w:hideMark/>
          </w:tcPr>
          <w:p w14:paraId="0A0BAB7D" w14:textId="77777777" w:rsidR="00B3406A" w:rsidRPr="00581533"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581533">
              <w:rPr>
                <w:szCs w:val="18"/>
              </w:rPr>
              <w:t>Not statistically significant</w:t>
            </w:r>
            <w:r>
              <w:rPr>
                <w:szCs w:val="18"/>
              </w:rPr>
              <w:t xml:space="preserve"> based on RR.</w:t>
            </w:r>
          </w:p>
          <w:p w14:paraId="7CBE9899" w14:textId="77777777" w:rsidR="00B3406A" w:rsidRPr="009068BC"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9068BC">
              <w:rPr>
                <w:szCs w:val="18"/>
              </w:rPr>
              <w:t>Not statistically significant</w:t>
            </w:r>
            <w:r>
              <w:rPr>
                <w:szCs w:val="18"/>
              </w:rPr>
              <w:t xml:space="preserve"> based on RR </w:t>
            </w:r>
            <w:r w:rsidRPr="009068BC">
              <w:rPr>
                <w:szCs w:val="18"/>
              </w:rPr>
              <w:t>(treatment withdrawals)</w:t>
            </w:r>
            <w:r>
              <w:rPr>
                <w:szCs w:val="18"/>
              </w:rPr>
              <w:t>.</w:t>
            </w:r>
          </w:p>
        </w:tc>
      </w:tr>
      <w:tr w:rsidR="00B3406A" w:rsidRPr="00360862" w14:paraId="6602B8EF" w14:textId="77777777" w:rsidTr="00A82090">
        <w:trPr>
          <w:trHeight w:val="617"/>
        </w:trPr>
        <w:tc>
          <w:tcPr>
            <w:tcW w:w="1095" w:type="pct"/>
            <w:shd w:val="clear" w:color="auto" w:fill="F2F2F2" w:themeFill="background1" w:themeFillShade="F2"/>
            <w:hideMark/>
          </w:tcPr>
          <w:p w14:paraId="5AE4B18B" w14:textId="77777777" w:rsidR="00B3406A" w:rsidRPr="00581533" w:rsidRDefault="00B3406A" w:rsidP="001E7257">
            <w:pPr>
              <w:rPr>
                <w:szCs w:val="18"/>
              </w:rPr>
            </w:pPr>
            <w:r w:rsidRPr="00581533">
              <w:rPr>
                <w:szCs w:val="18"/>
              </w:rPr>
              <w:t>Fixed dosing schedule</w:t>
            </w:r>
            <w:r w:rsidRPr="00581533">
              <w:rPr>
                <w:szCs w:val="18"/>
                <w:vertAlign w:val="superscript"/>
              </w:rPr>
              <w:t>1</w:t>
            </w:r>
            <w:r>
              <w:rPr>
                <w:szCs w:val="18"/>
              </w:rPr>
              <w:t xml:space="preserve"> vs a</w:t>
            </w:r>
            <w:r w:rsidRPr="00581533">
              <w:rPr>
                <w:szCs w:val="18"/>
              </w:rPr>
              <w:t>d lib dosing schedule</w:t>
            </w:r>
          </w:p>
          <w:p w14:paraId="127C05E7" w14:textId="77777777" w:rsidR="00B3406A" w:rsidRPr="00581533" w:rsidRDefault="00B3406A" w:rsidP="001E7257">
            <w:pPr>
              <w:rPr>
                <w:szCs w:val="18"/>
              </w:rPr>
            </w:pPr>
          </w:p>
        </w:tc>
        <w:tc>
          <w:tcPr>
            <w:tcW w:w="1098" w:type="pct"/>
            <w:shd w:val="clear" w:color="auto" w:fill="F2F2F2" w:themeFill="background1" w:themeFillShade="F2"/>
            <w:hideMark/>
          </w:tcPr>
          <w:p w14:paraId="3AFB31AE" w14:textId="77777777" w:rsidR="00B3406A" w:rsidRPr="002A5E9C" w:rsidRDefault="00B3406A" w:rsidP="00815A6D">
            <w:pPr>
              <w:pStyle w:val="ListParagraph"/>
              <w:numPr>
                <w:ilvl w:val="0"/>
                <w:numId w:val="44"/>
              </w:numPr>
              <w:rPr>
                <w:szCs w:val="18"/>
              </w:rPr>
            </w:pPr>
            <w:r w:rsidRPr="00687B43">
              <w:t>Lindson (2019)</w:t>
            </w:r>
            <w:r w:rsidRPr="00CE108D">
              <w:rPr>
                <w:vertAlign w:val="superscript"/>
              </w:rPr>
              <w:t>4</w:t>
            </w:r>
          </w:p>
        </w:tc>
        <w:tc>
          <w:tcPr>
            <w:tcW w:w="2807" w:type="pct"/>
            <w:shd w:val="clear" w:color="auto" w:fill="F2F2F2" w:themeFill="background1" w:themeFillShade="F2"/>
            <w:hideMark/>
          </w:tcPr>
          <w:p w14:paraId="51ADB3FB" w14:textId="77777777" w:rsidR="00B3406A" w:rsidRPr="00581533"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581533">
              <w:rPr>
                <w:szCs w:val="18"/>
              </w:rPr>
              <w:t>Not statistically significant</w:t>
            </w:r>
            <w:r>
              <w:rPr>
                <w:szCs w:val="18"/>
              </w:rPr>
              <w:t xml:space="preserve"> based on RR.</w:t>
            </w:r>
          </w:p>
          <w:p w14:paraId="0FDE80E0" w14:textId="77777777" w:rsidR="00B3406A" w:rsidRPr="009068BC"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9068BC">
              <w:rPr>
                <w:szCs w:val="18"/>
              </w:rPr>
              <w:t>Not statistically significant</w:t>
            </w:r>
            <w:r>
              <w:rPr>
                <w:szCs w:val="18"/>
              </w:rPr>
              <w:t xml:space="preserve"> based on RR </w:t>
            </w:r>
            <w:r w:rsidRPr="009068BC">
              <w:rPr>
                <w:szCs w:val="18"/>
              </w:rPr>
              <w:t>(</w:t>
            </w:r>
            <w:r>
              <w:rPr>
                <w:szCs w:val="18"/>
              </w:rPr>
              <w:t>S</w:t>
            </w:r>
            <w:r w:rsidRPr="009068BC">
              <w:rPr>
                <w:szCs w:val="18"/>
              </w:rPr>
              <w:t>AEs, treatment withdrawals)</w:t>
            </w:r>
            <w:r>
              <w:rPr>
                <w:szCs w:val="18"/>
              </w:rPr>
              <w:t>.</w:t>
            </w:r>
          </w:p>
        </w:tc>
      </w:tr>
      <w:tr w:rsidR="00B3406A" w:rsidRPr="00360862" w14:paraId="4B2D3284" w14:textId="77777777" w:rsidTr="00A82090">
        <w:trPr>
          <w:trHeight w:val="440"/>
        </w:trPr>
        <w:tc>
          <w:tcPr>
            <w:tcW w:w="1095" w:type="pct"/>
            <w:shd w:val="clear" w:color="auto" w:fill="F2F2F2" w:themeFill="background1" w:themeFillShade="F2"/>
          </w:tcPr>
          <w:p w14:paraId="117DA56F" w14:textId="77777777" w:rsidR="00B3406A" w:rsidRPr="00581533" w:rsidRDefault="00B3406A" w:rsidP="001E7257">
            <w:pPr>
              <w:rPr>
                <w:szCs w:val="18"/>
              </w:rPr>
            </w:pPr>
            <w:r w:rsidRPr="00581533">
              <w:rPr>
                <w:szCs w:val="18"/>
              </w:rPr>
              <w:t>Preloading use of NRT</w:t>
            </w:r>
            <w:r w:rsidRPr="00581533">
              <w:rPr>
                <w:szCs w:val="18"/>
                <w:vertAlign w:val="superscript"/>
              </w:rPr>
              <w:t>2</w:t>
            </w:r>
            <w:r>
              <w:rPr>
                <w:szCs w:val="18"/>
              </w:rPr>
              <w:t xml:space="preserve"> vs s</w:t>
            </w:r>
            <w:r w:rsidRPr="00581533">
              <w:rPr>
                <w:szCs w:val="18"/>
              </w:rPr>
              <w:t>tandard use of NRT</w:t>
            </w:r>
          </w:p>
          <w:p w14:paraId="1C40496D" w14:textId="77777777" w:rsidR="00B3406A" w:rsidRPr="00581533" w:rsidRDefault="00B3406A" w:rsidP="001E7257">
            <w:pPr>
              <w:rPr>
                <w:szCs w:val="18"/>
              </w:rPr>
            </w:pPr>
          </w:p>
        </w:tc>
        <w:tc>
          <w:tcPr>
            <w:tcW w:w="1098" w:type="pct"/>
            <w:shd w:val="clear" w:color="auto" w:fill="F2F2F2" w:themeFill="background1" w:themeFillShade="F2"/>
          </w:tcPr>
          <w:p w14:paraId="694D939E" w14:textId="77777777" w:rsidR="00B3406A" w:rsidRPr="00CE108D" w:rsidRDefault="00B3406A" w:rsidP="00815A6D">
            <w:pPr>
              <w:pStyle w:val="ListParagraph"/>
              <w:numPr>
                <w:ilvl w:val="0"/>
                <w:numId w:val="44"/>
              </w:numPr>
              <w:rPr>
                <w:szCs w:val="18"/>
              </w:rPr>
            </w:pPr>
            <w:r w:rsidRPr="00687B43">
              <w:t>Lindson (2019)</w:t>
            </w:r>
            <w:r w:rsidRPr="00CE108D">
              <w:rPr>
                <w:vertAlign w:val="superscript"/>
              </w:rPr>
              <w:t>4</w:t>
            </w:r>
          </w:p>
          <w:p w14:paraId="6024F701" w14:textId="77777777" w:rsidR="00B3406A" w:rsidRPr="00CE108D" w:rsidRDefault="00B3406A" w:rsidP="00815A6D">
            <w:pPr>
              <w:pStyle w:val="ListParagraph"/>
              <w:numPr>
                <w:ilvl w:val="0"/>
                <w:numId w:val="44"/>
              </w:numPr>
              <w:rPr>
                <w:szCs w:val="18"/>
              </w:rPr>
            </w:pPr>
            <w:r w:rsidRPr="00CE108D">
              <w:rPr>
                <w:szCs w:val="18"/>
              </w:rPr>
              <w:t>Dedert</w:t>
            </w:r>
            <w:r>
              <w:rPr>
                <w:szCs w:val="18"/>
              </w:rPr>
              <w:t xml:space="preserve"> </w:t>
            </w:r>
            <w:r w:rsidRPr="00CE108D">
              <w:rPr>
                <w:szCs w:val="18"/>
              </w:rPr>
              <w:t>(2018)</w:t>
            </w:r>
            <w:r w:rsidRPr="00CE108D">
              <w:rPr>
                <w:szCs w:val="18"/>
                <w:vertAlign w:val="superscript"/>
              </w:rPr>
              <w:t>5</w:t>
            </w:r>
          </w:p>
        </w:tc>
        <w:tc>
          <w:tcPr>
            <w:tcW w:w="2807" w:type="pct"/>
            <w:shd w:val="clear" w:color="auto" w:fill="F2F2F2" w:themeFill="background1" w:themeFillShade="F2"/>
          </w:tcPr>
          <w:p w14:paraId="0524BCB4" w14:textId="2765ADC2" w:rsidR="00B3406A" w:rsidRPr="00A62C1A" w:rsidRDefault="00B3406A" w:rsidP="00815A6D">
            <w:pPr>
              <w:pStyle w:val="ListParagraph"/>
              <w:numPr>
                <w:ilvl w:val="0"/>
                <w:numId w:val="43"/>
              </w:numPr>
              <w:rPr>
                <w:szCs w:val="18"/>
              </w:rPr>
            </w:pPr>
            <w:r w:rsidRPr="00531AAD">
              <w:rPr>
                <w:szCs w:val="18"/>
                <w:u w:val="single"/>
              </w:rPr>
              <w:t>Efficacy</w:t>
            </w:r>
            <w:r w:rsidRPr="00531AAD">
              <w:rPr>
                <w:szCs w:val="18"/>
              </w:rPr>
              <w:t xml:space="preserve">: </w:t>
            </w:r>
            <w:r w:rsidRPr="004819C7">
              <w:rPr>
                <w:szCs w:val="18"/>
              </w:rPr>
              <w:t xml:space="preserve">Statistically significant based on RR and RD </w:t>
            </w:r>
            <w:r w:rsidRPr="0042217E">
              <w:rPr>
                <w:szCs w:val="18"/>
              </w:rPr>
              <w:t xml:space="preserve">(in favour of preloading use for NRT </w:t>
            </w:r>
            <w:r w:rsidRPr="00A62C1A">
              <w:rPr>
                <w:szCs w:val="18"/>
              </w:rPr>
              <w:t>patch</w:t>
            </w:r>
            <w:r w:rsidRPr="00547BB4">
              <w:rPr>
                <w:szCs w:val="18"/>
              </w:rPr>
              <w:t>);</w:t>
            </w:r>
            <w:r>
              <w:rPr>
                <w:szCs w:val="18"/>
              </w:rPr>
              <w:t xml:space="preserve"> </w:t>
            </w:r>
            <w:r w:rsidR="007918CA" w:rsidRPr="00531AAD">
              <w:rPr>
                <w:szCs w:val="18"/>
              </w:rPr>
              <w:t>not</w:t>
            </w:r>
            <w:r w:rsidRPr="00531AAD">
              <w:rPr>
                <w:szCs w:val="18"/>
              </w:rPr>
              <w:t xml:space="preserve"> statistically significant based on RR </w:t>
            </w:r>
            <w:r w:rsidRPr="004819C7">
              <w:rPr>
                <w:szCs w:val="18"/>
              </w:rPr>
              <w:t>(other comparisons)</w:t>
            </w:r>
            <w:r>
              <w:rPr>
                <w:szCs w:val="18"/>
              </w:rPr>
              <w:t>.</w:t>
            </w:r>
          </w:p>
          <w:p w14:paraId="6D6808F9" w14:textId="77777777" w:rsidR="00B3406A" w:rsidRPr="009068BC" w:rsidRDefault="00B3406A" w:rsidP="00815A6D">
            <w:pPr>
              <w:pStyle w:val="ListParagraph"/>
              <w:numPr>
                <w:ilvl w:val="0"/>
                <w:numId w:val="43"/>
              </w:numPr>
              <w:rPr>
                <w:szCs w:val="18"/>
              </w:rPr>
            </w:pPr>
            <w:r w:rsidRPr="00581533">
              <w:rPr>
                <w:szCs w:val="18"/>
                <w:u w:val="single"/>
              </w:rPr>
              <w:t>Safety:</w:t>
            </w:r>
            <w:r w:rsidRPr="00581533">
              <w:rPr>
                <w:szCs w:val="18"/>
              </w:rPr>
              <w:t xml:space="preserve"> </w:t>
            </w:r>
            <w:r w:rsidRPr="009068BC">
              <w:rPr>
                <w:szCs w:val="18"/>
              </w:rPr>
              <w:t>Statistically significant</w:t>
            </w:r>
            <w:r>
              <w:rPr>
                <w:szCs w:val="18"/>
              </w:rPr>
              <w:t xml:space="preserve"> based on RR </w:t>
            </w:r>
            <w:r w:rsidRPr="009068BC">
              <w:rPr>
                <w:szCs w:val="18"/>
              </w:rPr>
              <w:t>(palpitations; higher in preloading use)</w:t>
            </w:r>
            <w:r>
              <w:rPr>
                <w:szCs w:val="18"/>
              </w:rPr>
              <w:t xml:space="preserve">; </w:t>
            </w:r>
            <w:r w:rsidRPr="009068BC">
              <w:rPr>
                <w:szCs w:val="18"/>
              </w:rPr>
              <w:t>Not statistically significant</w:t>
            </w:r>
            <w:r>
              <w:rPr>
                <w:szCs w:val="18"/>
              </w:rPr>
              <w:t xml:space="preserve"> based on RR </w:t>
            </w:r>
            <w:r w:rsidRPr="009068BC">
              <w:rPr>
                <w:szCs w:val="18"/>
              </w:rPr>
              <w:t>(cardiac AEs, cardiac</w:t>
            </w:r>
            <w:r w:rsidRPr="009068BC" w:rsidDel="000C561C">
              <w:rPr>
                <w:szCs w:val="18"/>
              </w:rPr>
              <w:t xml:space="preserve"> </w:t>
            </w:r>
            <w:r>
              <w:rPr>
                <w:szCs w:val="18"/>
              </w:rPr>
              <w:t>S</w:t>
            </w:r>
            <w:r w:rsidRPr="009068BC">
              <w:rPr>
                <w:szCs w:val="18"/>
              </w:rPr>
              <w:t>AEs, treatment withdrawals)</w:t>
            </w:r>
            <w:r>
              <w:rPr>
                <w:szCs w:val="18"/>
              </w:rPr>
              <w:t>, and RD (overall SAEs).</w:t>
            </w:r>
          </w:p>
        </w:tc>
      </w:tr>
      <w:tr w:rsidR="00B3406A" w:rsidRPr="00360862" w14:paraId="6D95CE5F" w14:textId="77777777" w:rsidTr="00A82090">
        <w:trPr>
          <w:trHeight w:val="617"/>
        </w:trPr>
        <w:tc>
          <w:tcPr>
            <w:tcW w:w="1095" w:type="pct"/>
            <w:shd w:val="clear" w:color="auto" w:fill="F2F2F2" w:themeFill="background1" w:themeFillShade="F2"/>
          </w:tcPr>
          <w:p w14:paraId="1FF7C7C0" w14:textId="77777777" w:rsidR="00B3406A" w:rsidRPr="00581533" w:rsidRDefault="00B3406A" w:rsidP="001E7257">
            <w:pPr>
              <w:rPr>
                <w:szCs w:val="18"/>
              </w:rPr>
            </w:pPr>
            <w:r w:rsidRPr="00581533">
              <w:rPr>
                <w:szCs w:val="18"/>
              </w:rPr>
              <w:t>Reduction with pharmacotherapy (pre-quit)</w:t>
            </w:r>
            <w:r w:rsidRPr="00581533">
              <w:rPr>
                <w:szCs w:val="18"/>
                <w:vertAlign w:val="superscript"/>
              </w:rPr>
              <w:t>3</w:t>
            </w:r>
            <w:r>
              <w:rPr>
                <w:szCs w:val="18"/>
              </w:rPr>
              <w:t xml:space="preserve"> vs r</w:t>
            </w:r>
            <w:r w:rsidRPr="00581533">
              <w:rPr>
                <w:szCs w:val="18"/>
              </w:rPr>
              <w:t>eduction alone</w:t>
            </w:r>
          </w:p>
        </w:tc>
        <w:tc>
          <w:tcPr>
            <w:tcW w:w="1098" w:type="pct"/>
            <w:shd w:val="clear" w:color="auto" w:fill="F2F2F2" w:themeFill="background1" w:themeFillShade="F2"/>
          </w:tcPr>
          <w:p w14:paraId="7FB6C366" w14:textId="77777777" w:rsidR="00B3406A" w:rsidRPr="002A5E9C" w:rsidRDefault="00B3406A" w:rsidP="00815A6D">
            <w:pPr>
              <w:pStyle w:val="ListParagraph"/>
              <w:numPr>
                <w:ilvl w:val="0"/>
                <w:numId w:val="44"/>
              </w:numPr>
              <w:rPr>
                <w:szCs w:val="18"/>
              </w:rPr>
            </w:pPr>
            <w:r>
              <w:t>Lindson</w:t>
            </w:r>
            <w:r w:rsidRPr="00713891">
              <w:t xml:space="preserve"> (</w:t>
            </w:r>
            <w:r w:rsidRPr="00A938BB">
              <w:t>2019b</w:t>
            </w:r>
            <w:r w:rsidRPr="00713891">
              <w:t>)</w:t>
            </w:r>
            <w:r w:rsidRPr="00CE108D">
              <w:rPr>
                <w:vertAlign w:val="superscript"/>
              </w:rPr>
              <w:t>4</w:t>
            </w:r>
          </w:p>
        </w:tc>
        <w:tc>
          <w:tcPr>
            <w:tcW w:w="2807" w:type="pct"/>
            <w:shd w:val="clear" w:color="auto" w:fill="F2F2F2" w:themeFill="background1" w:themeFillShade="F2"/>
          </w:tcPr>
          <w:p w14:paraId="2173182B" w14:textId="7A7C1BAB" w:rsidR="00B3406A" w:rsidRPr="00A62C1A" w:rsidRDefault="00B3406A" w:rsidP="00815A6D">
            <w:pPr>
              <w:pStyle w:val="ListParagraph"/>
              <w:numPr>
                <w:ilvl w:val="0"/>
                <w:numId w:val="43"/>
              </w:numPr>
              <w:rPr>
                <w:szCs w:val="18"/>
              </w:rPr>
            </w:pPr>
            <w:r w:rsidRPr="00531AAD">
              <w:rPr>
                <w:szCs w:val="18"/>
                <w:u w:val="single"/>
              </w:rPr>
              <w:t>Efficacy</w:t>
            </w:r>
            <w:r w:rsidRPr="00531AAD">
              <w:rPr>
                <w:szCs w:val="18"/>
              </w:rPr>
              <w:t xml:space="preserve">: </w:t>
            </w:r>
            <w:r w:rsidRPr="004819C7">
              <w:rPr>
                <w:szCs w:val="18"/>
              </w:rPr>
              <w:t xml:space="preserve">Statistically significant based on RR </w:t>
            </w:r>
            <w:r w:rsidRPr="0042217E">
              <w:rPr>
                <w:szCs w:val="18"/>
              </w:rPr>
              <w:t>(in favour of reduction with pharmacotherapy for fast-acting NRT)</w:t>
            </w:r>
            <w:r w:rsidRPr="00A62C1A">
              <w:rPr>
                <w:szCs w:val="18"/>
              </w:rPr>
              <w:t>;</w:t>
            </w:r>
            <w:r>
              <w:rPr>
                <w:szCs w:val="18"/>
              </w:rPr>
              <w:t xml:space="preserve"> </w:t>
            </w:r>
            <w:r w:rsidR="007918CA" w:rsidRPr="00531AAD">
              <w:rPr>
                <w:szCs w:val="18"/>
              </w:rPr>
              <w:t>not</w:t>
            </w:r>
            <w:r w:rsidRPr="00531AAD">
              <w:rPr>
                <w:szCs w:val="18"/>
              </w:rPr>
              <w:t xml:space="preserve"> statistically significant based on RR </w:t>
            </w:r>
            <w:r w:rsidRPr="004819C7">
              <w:rPr>
                <w:szCs w:val="18"/>
              </w:rPr>
              <w:t>(other comparisons)</w:t>
            </w:r>
            <w:r>
              <w:rPr>
                <w:szCs w:val="18"/>
              </w:rPr>
              <w:t>.</w:t>
            </w:r>
          </w:p>
          <w:p w14:paraId="5772E3B0" w14:textId="77777777" w:rsidR="00B3406A" w:rsidRPr="004E53B4" w:rsidRDefault="00B3406A" w:rsidP="00815A6D">
            <w:pPr>
              <w:pStyle w:val="ListParagraph"/>
              <w:numPr>
                <w:ilvl w:val="0"/>
                <w:numId w:val="43"/>
              </w:numPr>
              <w:rPr>
                <w:szCs w:val="18"/>
              </w:rPr>
            </w:pPr>
            <w:r w:rsidRPr="00581533">
              <w:rPr>
                <w:szCs w:val="18"/>
                <w:u w:val="single"/>
              </w:rPr>
              <w:t>Safety:</w:t>
            </w:r>
            <w:r w:rsidRPr="00581533">
              <w:rPr>
                <w:szCs w:val="18"/>
              </w:rPr>
              <w:t xml:space="preserve"> </w:t>
            </w:r>
            <w:r w:rsidRPr="004E53B4">
              <w:rPr>
                <w:szCs w:val="18"/>
              </w:rPr>
              <w:t>Not statistically significant</w:t>
            </w:r>
            <w:r>
              <w:rPr>
                <w:szCs w:val="18"/>
              </w:rPr>
              <w:t xml:space="preserve"> based on RR </w:t>
            </w:r>
            <w:r w:rsidRPr="004E53B4">
              <w:rPr>
                <w:szCs w:val="18"/>
              </w:rPr>
              <w:t>(pre-quit SAEs)</w:t>
            </w:r>
            <w:r>
              <w:rPr>
                <w:szCs w:val="18"/>
              </w:rPr>
              <w:t>; I</w:t>
            </w:r>
            <w:r w:rsidRPr="004E53B4">
              <w:rPr>
                <w:szCs w:val="18"/>
              </w:rPr>
              <w:t>nconclusive for pre-quit AEs (statistically significant in one RCT but not statistically significant in another RCT)</w:t>
            </w:r>
            <w:r>
              <w:rPr>
                <w:szCs w:val="18"/>
              </w:rPr>
              <w:t>.</w:t>
            </w:r>
            <w:r w:rsidRPr="004E53B4">
              <w:rPr>
                <w:szCs w:val="18"/>
              </w:rPr>
              <w:t xml:space="preserve"> </w:t>
            </w:r>
          </w:p>
        </w:tc>
      </w:tr>
    </w:tbl>
    <w:p w14:paraId="271B00E2" w14:textId="77777777" w:rsidR="00B3406A" w:rsidRDefault="00B3406A" w:rsidP="00523139">
      <w:pPr>
        <w:pStyle w:val="TableFooter"/>
        <w:keepNext/>
        <w:jc w:val="both"/>
      </w:pPr>
      <w:r>
        <w:t>Abbreviations: AEs = adverse events; NRT = nicotine replacement therapy; RR = risk ratio, RD = risk difference; SAEs = serious adverse events.</w:t>
      </w:r>
    </w:p>
    <w:p w14:paraId="51FDA702" w14:textId="77777777" w:rsidR="00B3406A" w:rsidRDefault="00B3406A" w:rsidP="00523139">
      <w:pPr>
        <w:pStyle w:val="TableFooter"/>
        <w:keepNext/>
        <w:jc w:val="both"/>
      </w:pPr>
      <w:r w:rsidRPr="00BE36E8">
        <w:t xml:space="preserve">Notes: </w:t>
      </w:r>
    </w:p>
    <w:p w14:paraId="0AFCC774" w14:textId="524E8461" w:rsidR="00B3406A" w:rsidRPr="004E53B4" w:rsidRDefault="00B3406A" w:rsidP="00523139">
      <w:pPr>
        <w:pStyle w:val="TableFooter"/>
        <w:keepNext/>
        <w:jc w:val="both"/>
      </w:pPr>
      <w:r>
        <w:t xml:space="preserve">1 </w:t>
      </w:r>
      <w:r w:rsidRPr="004E53B4">
        <w:t xml:space="preserve">Comparisons include gum, nasal </w:t>
      </w:r>
      <w:r w:rsidR="0065066F" w:rsidRPr="004E53B4">
        <w:t>spray,</w:t>
      </w:r>
      <w:r w:rsidRPr="004E53B4">
        <w:t xml:space="preserve"> and pooled analysis.</w:t>
      </w:r>
    </w:p>
    <w:p w14:paraId="1E7C6ACF" w14:textId="77777777" w:rsidR="00B3406A" w:rsidRPr="004E53B4" w:rsidRDefault="00B3406A" w:rsidP="00523139">
      <w:pPr>
        <w:pStyle w:val="TableFooter"/>
        <w:keepNext/>
        <w:jc w:val="both"/>
      </w:pPr>
      <w:r>
        <w:t xml:space="preserve">2 </w:t>
      </w:r>
      <w:r w:rsidRPr="004E53B4">
        <w:t>Comparisons include preloading use (prior to smoking cessation) versus standard use (commencing at the time of smoking cessation) of NRT patches, NRT gum or NRT patch in combination with gum. Pooled analysis of efficacy was statistically significant, in favour of preloading use.</w:t>
      </w:r>
    </w:p>
    <w:p w14:paraId="261A4D7C" w14:textId="77777777" w:rsidR="00B3406A" w:rsidRDefault="00B3406A" w:rsidP="00523139">
      <w:pPr>
        <w:pStyle w:val="TableFooter"/>
        <w:keepNext/>
        <w:jc w:val="both"/>
      </w:pPr>
      <w:r>
        <w:t xml:space="preserve">3 </w:t>
      </w:r>
      <w:r w:rsidRPr="004E53B4">
        <w:t>Comparisons include NRT patches, fast-acting NRT, and combination NRT. Reduction in cigarettes per day refers to ‘cutting down to quit’.</w:t>
      </w:r>
    </w:p>
    <w:p w14:paraId="5A1B500F" w14:textId="77777777" w:rsidR="00B3406A" w:rsidRDefault="00B3406A" w:rsidP="00523139">
      <w:pPr>
        <w:pStyle w:val="TableFooter"/>
        <w:keepNext/>
        <w:jc w:val="both"/>
      </w:pPr>
      <w:r>
        <w:t xml:space="preserve">4 </w:t>
      </w:r>
      <w:r w:rsidRPr="00BE36E8">
        <w:t>Cochrane Review</w:t>
      </w:r>
      <w:r>
        <w:t>.</w:t>
      </w:r>
    </w:p>
    <w:p w14:paraId="64DB2A43" w14:textId="5EAF58F8" w:rsidR="00B3406A" w:rsidRPr="00AC7527" w:rsidRDefault="0065066F" w:rsidP="00523139">
      <w:pPr>
        <w:pStyle w:val="TableFooter"/>
        <w:keepNext/>
        <w:spacing w:after="120"/>
        <w:contextualSpacing w:val="0"/>
        <w:jc w:val="both"/>
      </w:pPr>
      <w:r>
        <w:t xml:space="preserve">5 </w:t>
      </w:r>
      <w:r w:rsidR="00B3406A">
        <w:t xml:space="preserve">Supplemental evidence (RCT). </w:t>
      </w:r>
    </w:p>
    <w:p w14:paraId="46F12BE0" w14:textId="2939617E" w:rsidR="00B3406A" w:rsidRPr="00B23D0F" w:rsidRDefault="00B23D0F" w:rsidP="00523139">
      <w:pPr>
        <w:pStyle w:val="Heading6"/>
        <w:numPr>
          <w:ilvl w:val="0"/>
          <w:numId w:val="0"/>
        </w:numPr>
        <w:spacing w:before="120" w:after="120"/>
        <w:ind w:left="1151" w:hanging="1151"/>
        <w:jc w:val="both"/>
        <w:rPr>
          <w:rFonts w:asciiTheme="minorHAnsi" w:hAnsiTheme="minorHAnsi" w:cstheme="minorHAnsi"/>
          <w:b/>
          <w:i w:val="0"/>
          <w:color w:val="auto"/>
        </w:rPr>
      </w:pPr>
      <w:r w:rsidRPr="00B23D0F">
        <w:rPr>
          <w:rFonts w:asciiTheme="minorHAnsi" w:hAnsiTheme="minorHAnsi" w:cstheme="minorHAnsi"/>
          <w:b/>
          <w:i w:val="0"/>
          <w:color w:val="auto"/>
        </w:rPr>
        <w:t xml:space="preserve">3.3.4 </w:t>
      </w:r>
      <w:r w:rsidR="00B3406A" w:rsidRPr="00B23D0F">
        <w:rPr>
          <w:rFonts w:asciiTheme="minorHAnsi" w:hAnsiTheme="minorHAnsi" w:cstheme="minorHAnsi"/>
          <w:b/>
          <w:i w:val="0"/>
          <w:color w:val="auto"/>
        </w:rPr>
        <w:t>Non-PBS</w:t>
      </w:r>
      <w:r w:rsidR="005D0B0A">
        <w:rPr>
          <w:rFonts w:asciiTheme="minorHAnsi" w:hAnsiTheme="minorHAnsi" w:cstheme="minorHAnsi"/>
          <w:b/>
          <w:i w:val="0"/>
          <w:color w:val="auto"/>
        </w:rPr>
        <w:t>-</w:t>
      </w:r>
      <w:r w:rsidR="00B3406A" w:rsidRPr="00B23D0F">
        <w:rPr>
          <w:rFonts w:asciiTheme="minorHAnsi" w:hAnsiTheme="minorHAnsi" w:cstheme="minorHAnsi"/>
          <w:b/>
          <w:i w:val="0"/>
          <w:color w:val="auto"/>
        </w:rPr>
        <w:t>listed NRT dosage forms</w:t>
      </w:r>
    </w:p>
    <w:p w14:paraId="2D2CFA8E" w14:textId="77777777" w:rsidR="00B3406A" w:rsidRPr="00C66757" w:rsidRDefault="00B3406A" w:rsidP="00523139">
      <w:pPr>
        <w:spacing w:before="120" w:after="120"/>
        <w:jc w:val="both"/>
      </w:pPr>
      <w:r w:rsidRPr="00C66757">
        <w:t>Inhalator</w:t>
      </w:r>
    </w:p>
    <w:p w14:paraId="3194ECAF" w14:textId="77777777" w:rsidR="00B3406A" w:rsidRPr="00C746D6" w:rsidRDefault="00B3406A" w:rsidP="00523139">
      <w:pPr>
        <w:pStyle w:val="ListParagraph"/>
        <w:numPr>
          <w:ilvl w:val="0"/>
          <w:numId w:val="30"/>
        </w:numPr>
        <w:spacing w:before="120" w:after="0"/>
        <w:ind w:left="357" w:hanging="357"/>
        <w:contextualSpacing w:val="0"/>
        <w:jc w:val="both"/>
      </w:pPr>
      <w:r>
        <w:t>There were no statistically significant differences between NRT i</w:t>
      </w:r>
      <w:r w:rsidRPr="00C66757">
        <w:t>nhalator</w:t>
      </w:r>
      <w:r>
        <w:t>s</w:t>
      </w:r>
      <w:r w:rsidRPr="00C66757">
        <w:t xml:space="preserve"> </w:t>
      </w:r>
      <w:r>
        <w:t>and placebo in terms of efficacy</w:t>
      </w:r>
      <w:r w:rsidRPr="00C746D6">
        <w:t xml:space="preserve"> based on the results of the updated re-analysis after including the study identified in the supplemental literature search (Oncken et al. 2019), noting that the results were statistically significant in Hartmann-Boyce et al. (2018). For safety, there were no statistically significant difference in adverse events between the two treatment arms (risk ratio), noting that the results were statistically significant based on risk difference.</w:t>
      </w:r>
    </w:p>
    <w:p w14:paraId="3948B9E9" w14:textId="03AC8D5F" w:rsidR="0065066F" w:rsidRDefault="00B3406A" w:rsidP="002B5CD1">
      <w:pPr>
        <w:pStyle w:val="ListParagraph"/>
        <w:numPr>
          <w:ilvl w:val="0"/>
          <w:numId w:val="30"/>
        </w:numPr>
        <w:spacing w:after="240"/>
        <w:ind w:left="357" w:hanging="357"/>
        <w:contextualSpacing w:val="0"/>
        <w:jc w:val="both"/>
      </w:pPr>
      <w:r>
        <w:t xml:space="preserve">There were no statistically significant differences between </w:t>
      </w:r>
      <w:r w:rsidRPr="00EB6867">
        <w:t>NRT inhal</w:t>
      </w:r>
      <w:r>
        <w:t>ators</w:t>
      </w:r>
      <w:r w:rsidRPr="00EB6867">
        <w:t xml:space="preserve"> </w:t>
      </w:r>
      <w:r>
        <w:t xml:space="preserve">compared </w:t>
      </w:r>
      <w:r w:rsidR="007918CA">
        <w:t xml:space="preserve">to </w:t>
      </w:r>
      <w:r w:rsidR="007918CA" w:rsidRPr="00EB6867">
        <w:t>patches</w:t>
      </w:r>
      <w:r w:rsidRPr="00EB6867">
        <w:t xml:space="preserve"> in terms of </w:t>
      </w:r>
      <w:r>
        <w:t>efficacy</w:t>
      </w:r>
      <w:r w:rsidRPr="00EB6867">
        <w:t>. For safety, the</w:t>
      </w:r>
      <w:r>
        <w:t>re were no serious adverse events reported in either treatment arm</w:t>
      </w:r>
      <w:r w:rsidRPr="00EB6867">
        <w:t xml:space="preserve">. </w:t>
      </w:r>
    </w:p>
    <w:p w14:paraId="5ECBC05C" w14:textId="461C5913" w:rsidR="00B3406A" w:rsidRDefault="0065066F" w:rsidP="00523139">
      <w:r>
        <w:br w:type="page"/>
      </w:r>
    </w:p>
    <w:tbl>
      <w:tblPr>
        <w:tblStyle w:val="TableGrid3"/>
        <w:tblW w:w="5000" w:type="pct"/>
        <w:shd w:val="clear" w:color="auto" w:fill="F2F2F2" w:themeFill="background1" w:themeFillShade="F2"/>
        <w:tblLook w:val="04A0" w:firstRow="1" w:lastRow="0" w:firstColumn="1" w:lastColumn="0" w:noHBand="0" w:noVBand="1"/>
      </w:tblPr>
      <w:tblGrid>
        <w:gridCol w:w="1526"/>
        <w:gridCol w:w="2699"/>
        <w:gridCol w:w="4791"/>
      </w:tblGrid>
      <w:tr w:rsidR="00B3406A" w:rsidRPr="00916516" w14:paraId="5427D756" w14:textId="77777777" w:rsidTr="00A82090">
        <w:trPr>
          <w:trHeight w:val="67"/>
        </w:trPr>
        <w:tc>
          <w:tcPr>
            <w:tcW w:w="846" w:type="pct"/>
            <w:shd w:val="clear" w:color="auto" w:fill="F2F2F2" w:themeFill="background1" w:themeFillShade="F2"/>
            <w:hideMark/>
          </w:tcPr>
          <w:p w14:paraId="3610EC4C" w14:textId="77777777" w:rsidR="00B3406A" w:rsidRPr="00916516" w:rsidRDefault="00B3406A" w:rsidP="001E7257">
            <w:pPr>
              <w:rPr>
                <w:szCs w:val="18"/>
              </w:rPr>
            </w:pPr>
            <w:r w:rsidRPr="00916516">
              <w:rPr>
                <w:b/>
                <w:bCs/>
                <w:szCs w:val="18"/>
              </w:rPr>
              <w:lastRenderedPageBreak/>
              <w:t>Compar</w:t>
            </w:r>
            <w:r>
              <w:rPr>
                <w:b/>
                <w:bCs/>
                <w:szCs w:val="18"/>
              </w:rPr>
              <w:t>ison</w:t>
            </w:r>
          </w:p>
        </w:tc>
        <w:tc>
          <w:tcPr>
            <w:tcW w:w="1497" w:type="pct"/>
            <w:shd w:val="clear" w:color="auto" w:fill="F2F2F2" w:themeFill="background1" w:themeFillShade="F2"/>
            <w:hideMark/>
          </w:tcPr>
          <w:p w14:paraId="4245F27B" w14:textId="77777777" w:rsidR="00B3406A" w:rsidRPr="00916516" w:rsidRDefault="00B3406A" w:rsidP="001E7257">
            <w:pPr>
              <w:jc w:val="center"/>
              <w:rPr>
                <w:szCs w:val="18"/>
              </w:rPr>
            </w:pPr>
            <w:r>
              <w:rPr>
                <w:b/>
                <w:bCs/>
                <w:szCs w:val="18"/>
              </w:rPr>
              <w:t>Included studies</w:t>
            </w:r>
          </w:p>
        </w:tc>
        <w:tc>
          <w:tcPr>
            <w:tcW w:w="2657" w:type="pct"/>
            <w:shd w:val="clear" w:color="auto" w:fill="F2F2F2" w:themeFill="background1" w:themeFillShade="F2"/>
            <w:hideMark/>
          </w:tcPr>
          <w:p w14:paraId="10742E7B" w14:textId="77777777" w:rsidR="00B3406A" w:rsidRPr="00916516" w:rsidRDefault="00B3406A" w:rsidP="001E7257">
            <w:pPr>
              <w:jc w:val="center"/>
              <w:rPr>
                <w:szCs w:val="18"/>
              </w:rPr>
            </w:pPr>
            <w:r>
              <w:rPr>
                <w:b/>
                <w:bCs/>
                <w:szCs w:val="18"/>
              </w:rPr>
              <w:t>Summary of evidence</w:t>
            </w:r>
          </w:p>
        </w:tc>
      </w:tr>
      <w:tr w:rsidR="00B3406A" w:rsidRPr="009068BC" w14:paraId="72C1328C" w14:textId="77777777" w:rsidTr="00A82090">
        <w:trPr>
          <w:trHeight w:val="345"/>
        </w:trPr>
        <w:tc>
          <w:tcPr>
            <w:tcW w:w="846" w:type="pct"/>
            <w:shd w:val="clear" w:color="auto" w:fill="F2F2F2" w:themeFill="background1" w:themeFillShade="F2"/>
            <w:hideMark/>
          </w:tcPr>
          <w:p w14:paraId="177CCFFE" w14:textId="77777777" w:rsidR="00B3406A" w:rsidRPr="00237D04" w:rsidRDefault="00B3406A" w:rsidP="001E7257">
            <w:pPr>
              <w:tabs>
                <w:tab w:val="left" w:pos="1198"/>
              </w:tabs>
              <w:rPr>
                <w:szCs w:val="18"/>
              </w:rPr>
            </w:pPr>
            <w:r w:rsidRPr="004537F9">
              <w:rPr>
                <w:szCs w:val="18"/>
              </w:rPr>
              <w:t>NRT inhalator</w:t>
            </w:r>
            <w:r>
              <w:rPr>
                <w:szCs w:val="18"/>
              </w:rPr>
              <w:t xml:space="preserve"> vs p</w:t>
            </w:r>
            <w:r w:rsidRPr="004537F9">
              <w:rPr>
                <w:szCs w:val="18"/>
              </w:rPr>
              <w:t>lacebo</w:t>
            </w:r>
          </w:p>
        </w:tc>
        <w:tc>
          <w:tcPr>
            <w:tcW w:w="1497" w:type="pct"/>
            <w:shd w:val="clear" w:color="auto" w:fill="F2F2F2" w:themeFill="background1" w:themeFillShade="F2"/>
            <w:hideMark/>
          </w:tcPr>
          <w:p w14:paraId="2A43FD45" w14:textId="454B2E61" w:rsidR="00B3406A" w:rsidRPr="00CE108D" w:rsidRDefault="00B3406A" w:rsidP="00815A6D">
            <w:pPr>
              <w:pStyle w:val="ListParagraph"/>
              <w:numPr>
                <w:ilvl w:val="0"/>
                <w:numId w:val="43"/>
              </w:numPr>
              <w:rPr>
                <w:szCs w:val="18"/>
              </w:rPr>
            </w:pPr>
            <w:r w:rsidRPr="004110FF">
              <w:t>Hartmann-</w:t>
            </w:r>
            <w:r w:rsidR="0065066F" w:rsidRPr="004110FF">
              <w:t>Boyce (</w:t>
            </w:r>
            <w:r w:rsidRPr="004110FF">
              <w:t>2018</w:t>
            </w:r>
            <w:r>
              <w:t>)</w:t>
            </w:r>
            <w:r w:rsidRPr="00CE108D">
              <w:rPr>
                <w:vertAlign w:val="superscript"/>
              </w:rPr>
              <w:t>1</w:t>
            </w:r>
          </w:p>
          <w:p w14:paraId="0D580A2D" w14:textId="77777777" w:rsidR="00B3406A" w:rsidRPr="00CE108D" w:rsidRDefault="00B3406A" w:rsidP="00815A6D">
            <w:pPr>
              <w:pStyle w:val="ListParagraph"/>
              <w:numPr>
                <w:ilvl w:val="0"/>
                <w:numId w:val="43"/>
              </w:numPr>
              <w:rPr>
                <w:szCs w:val="18"/>
              </w:rPr>
            </w:pPr>
            <w:r w:rsidRPr="003018A2">
              <w:t>Oncken (2019)</w:t>
            </w:r>
            <w:r w:rsidRPr="00CE108D">
              <w:rPr>
                <w:vertAlign w:val="superscript"/>
              </w:rPr>
              <w:t>2</w:t>
            </w:r>
          </w:p>
        </w:tc>
        <w:tc>
          <w:tcPr>
            <w:tcW w:w="2657" w:type="pct"/>
            <w:shd w:val="clear" w:color="auto" w:fill="F2F2F2" w:themeFill="background1" w:themeFillShade="F2"/>
            <w:hideMark/>
          </w:tcPr>
          <w:p w14:paraId="058B061E" w14:textId="77777777" w:rsidR="00B3406A" w:rsidRPr="004537F9"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4537F9">
              <w:rPr>
                <w:szCs w:val="18"/>
              </w:rPr>
              <w:t>Not statistically significant</w:t>
            </w:r>
            <w:r>
              <w:rPr>
                <w:szCs w:val="18"/>
              </w:rPr>
              <w:t xml:space="preserve"> based on RR and RD.</w:t>
            </w:r>
          </w:p>
          <w:p w14:paraId="41764EFE" w14:textId="40026251" w:rsidR="00B3406A" w:rsidRPr="004537F9"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4537F9">
              <w:rPr>
                <w:szCs w:val="18"/>
              </w:rPr>
              <w:t>Not statistically significant</w:t>
            </w:r>
            <w:r w:rsidR="0065066F">
              <w:rPr>
                <w:szCs w:val="18"/>
                <w:vertAlign w:val="superscript"/>
              </w:rPr>
              <w:t xml:space="preserve">3 </w:t>
            </w:r>
            <w:r w:rsidR="0065066F">
              <w:rPr>
                <w:szCs w:val="18"/>
              </w:rPr>
              <w:t>based</w:t>
            </w:r>
            <w:r>
              <w:rPr>
                <w:szCs w:val="18"/>
              </w:rPr>
              <w:t xml:space="preserve"> on RR and RD </w:t>
            </w:r>
            <w:r w:rsidRPr="004537F9">
              <w:rPr>
                <w:szCs w:val="18"/>
              </w:rPr>
              <w:t>(any AEs)</w:t>
            </w:r>
            <w:r>
              <w:rPr>
                <w:szCs w:val="18"/>
              </w:rPr>
              <w:t>.</w:t>
            </w:r>
          </w:p>
        </w:tc>
      </w:tr>
      <w:tr w:rsidR="00B3406A" w:rsidRPr="009068BC" w14:paraId="375507E1" w14:textId="77777777" w:rsidTr="00A82090">
        <w:trPr>
          <w:trHeight w:val="617"/>
        </w:trPr>
        <w:tc>
          <w:tcPr>
            <w:tcW w:w="846" w:type="pct"/>
            <w:shd w:val="clear" w:color="auto" w:fill="F2F2F2" w:themeFill="background1" w:themeFillShade="F2"/>
            <w:hideMark/>
          </w:tcPr>
          <w:p w14:paraId="78BD219D" w14:textId="77777777" w:rsidR="00B3406A" w:rsidRPr="00581533" w:rsidRDefault="00B3406A" w:rsidP="001E7257">
            <w:pPr>
              <w:rPr>
                <w:szCs w:val="18"/>
              </w:rPr>
            </w:pPr>
            <w:r w:rsidRPr="004537F9">
              <w:rPr>
                <w:szCs w:val="18"/>
              </w:rPr>
              <w:t>NRT inhalator</w:t>
            </w:r>
            <w:r>
              <w:rPr>
                <w:szCs w:val="18"/>
              </w:rPr>
              <w:t xml:space="preserve"> vs </w:t>
            </w:r>
            <w:r w:rsidRPr="004537F9">
              <w:rPr>
                <w:szCs w:val="18"/>
              </w:rPr>
              <w:t>NRT patch</w:t>
            </w:r>
          </w:p>
        </w:tc>
        <w:tc>
          <w:tcPr>
            <w:tcW w:w="1497" w:type="pct"/>
            <w:shd w:val="clear" w:color="auto" w:fill="F2F2F2" w:themeFill="background1" w:themeFillShade="F2"/>
            <w:hideMark/>
          </w:tcPr>
          <w:p w14:paraId="0ABF6E83" w14:textId="4ADADE69" w:rsidR="00B3406A" w:rsidRPr="002A5E9C" w:rsidRDefault="00770514" w:rsidP="00815A6D">
            <w:pPr>
              <w:pStyle w:val="ListParagraph"/>
              <w:numPr>
                <w:ilvl w:val="0"/>
                <w:numId w:val="44"/>
              </w:numPr>
              <w:rPr>
                <w:szCs w:val="18"/>
              </w:rPr>
            </w:pPr>
            <w:r>
              <w:t>Lindson</w:t>
            </w:r>
            <w:r w:rsidRPr="00713891">
              <w:t xml:space="preserve"> (</w:t>
            </w:r>
            <w:r w:rsidR="00B3406A" w:rsidRPr="00713891">
              <w:t>201</w:t>
            </w:r>
            <w:r w:rsidR="00B3406A">
              <w:t>9</w:t>
            </w:r>
            <w:r w:rsidR="00B3406A" w:rsidRPr="00713891">
              <w:t>)</w:t>
            </w:r>
            <w:r w:rsidR="00B3406A" w:rsidRPr="00CE108D">
              <w:rPr>
                <w:vertAlign w:val="superscript"/>
              </w:rPr>
              <w:t>1</w:t>
            </w:r>
          </w:p>
        </w:tc>
        <w:tc>
          <w:tcPr>
            <w:tcW w:w="2657" w:type="pct"/>
            <w:shd w:val="clear" w:color="auto" w:fill="F2F2F2" w:themeFill="background1" w:themeFillShade="F2"/>
            <w:hideMark/>
          </w:tcPr>
          <w:p w14:paraId="6CFF4F69" w14:textId="77777777" w:rsidR="00B3406A" w:rsidRPr="004537F9"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4537F9">
              <w:rPr>
                <w:szCs w:val="18"/>
              </w:rPr>
              <w:t>Not statistically significant</w:t>
            </w:r>
            <w:r>
              <w:rPr>
                <w:szCs w:val="18"/>
              </w:rPr>
              <w:t xml:space="preserve"> based on RR. </w:t>
            </w:r>
          </w:p>
          <w:p w14:paraId="19965559" w14:textId="77777777" w:rsidR="00B3406A" w:rsidRPr="004537F9"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4537F9">
              <w:rPr>
                <w:szCs w:val="18"/>
              </w:rPr>
              <w:t xml:space="preserve">No </w:t>
            </w:r>
            <w:r>
              <w:rPr>
                <w:szCs w:val="18"/>
              </w:rPr>
              <w:t>S</w:t>
            </w:r>
            <w:r w:rsidRPr="004537F9">
              <w:rPr>
                <w:szCs w:val="18"/>
              </w:rPr>
              <w:t>AEs reported in either arm</w:t>
            </w:r>
            <w:r>
              <w:rPr>
                <w:szCs w:val="18"/>
              </w:rPr>
              <w:t>.</w:t>
            </w:r>
          </w:p>
        </w:tc>
      </w:tr>
    </w:tbl>
    <w:p w14:paraId="541C26B1" w14:textId="77777777" w:rsidR="00B3406A" w:rsidRDefault="00B3406A" w:rsidP="00523139">
      <w:pPr>
        <w:pStyle w:val="TableFooter"/>
        <w:keepNext/>
        <w:jc w:val="both"/>
      </w:pPr>
      <w:r>
        <w:t>Abbreviations: AEs = adverse events; NRT = nicotine replacement therapy; RR = risk ratio, RD = risk difference; SAEs = serious adverse events.</w:t>
      </w:r>
    </w:p>
    <w:p w14:paraId="570539FA" w14:textId="77777777" w:rsidR="00B3406A" w:rsidRDefault="00B3406A" w:rsidP="00523139">
      <w:pPr>
        <w:pStyle w:val="TableFooter"/>
        <w:keepNext/>
        <w:jc w:val="both"/>
      </w:pPr>
      <w:r w:rsidRPr="00BE36E8">
        <w:t xml:space="preserve">Notes: </w:t>
      </w:r>
    </w:p>
    <w:p w14:paraId="7E8E1850" w14:textId="77777777" w:rsidR="00B3406A" w:rsidRDefault="00B3406A" w:rsidP="00523139">
      <w:pPr>
        <w:pStyle w:val="TableFooter"/>
        <w:keepNext/>
        <w:jc w:val="both"/>
      </w:pPr>
      <w:r>
        <w:t xml:space="preserve">1 </w:t>
      </w:r>
      <w:r w:rsidRPr="00BE36E8">
        <w:t>Cochrane Review</w:t>
      </w:r>
      <w:r>
        <w:t>.</w:t>
      </w:r>
    </w:p>
    <w:p w14:paraId="2C47B5DE" w14:textId="77777777" w:rsidR="00B3406A" w:rsidRDefault="00B3406A" w:rsidP="00523139">
      <w:pPr>
        <w:pStyle w:val="TableFooter"/>
        <w:keepNext/>
        <w:jc w:val="both"/>
      </w:pPr>
      <w:r>
        <w:t xml:space="preserve">2 Supplemental evidence (RCT). </w:t>
      </w:r>
    </w:p>
    <w:p w14:paraId="5618C26A" w14:textId="77777777" w:rsidR="00B3406A" w:rsidRPr="00C518F7" w:rsidRDefault="00B3406A" w:rsidP="00523139">
      <w:pPr>
        <w:pStyle w:val="TableFooter"/>
        <w:keepNext/>
        <w:spacing w:after="120"/>
        <w:contextualSpacing w:val="0"/>
        <w:jc w:val="both"/>
      </w:pPr>
      <w:r>
        <w:t xml:space="preserve">3 </w:t>
      </w:r>
      <w:r w:rsidRPr="004537F9">
        <w:t>Not statistically significant based on risk ratio but significant based on risk difference (RR = 16.28, 95%CI: 0.96, 276.65; RD = 0.11, 95%CI: 0.04, 0.19).</w:t>
      </w:r>
    </w:p>
    <w:p w14:paraId="0EE74244" w14:textId="77777777" w:rsidR="00B3406A" w:rsidRPr="00A25C81" w:rsidRDefault="00B3406A" w:rsidP="00523139">
      <w:pPr>
        <w:spacing w:before="120" w:after="120"/>
        <w:jc w:val="both"/>
      </w:pPr>
      <w:r w:rsidRPr="00A25C81">
        <w:t>Nasal spray</w:t>
      </w:r>
    </w:p>
    <w:p w14:paraId="58E5D171" w14:textId="77777777" w:rsidR="00B3406A" w:rsidRDefault="00B3406A" w:rsidP="00523139">
      <w:pPr>
        <w:pStyle w:val="ListParagraph"/>
        <w:numPr>
          <w:ilvl w:val="0"/>
          <w:numId w:val="31"/>
        </w:numPr>
        <w:spacing w:before="120" w:after="0"/>
        <w:ind w:left="357" w:hanging="357"/>
        <w:contextualSpacing w:val="0"/>
        <w:jc w:val="both"/>
      </w:pPr>
      <w:r>
        <w:t>NRT</w:t>
      </w:r>
      <w:r w:rsidRPr="00EC786E" w:rsidDel="003C2903">
        <w:t xml:space="preserve"> </w:t>
      </w:r>
      <w:r>
        <w:t>nasal</w:t>
      </w:r>
      <w:r w:rsidRPr="00EC786E">
        <w:t xml:space="preserve"> spray was shown to be superior to placebo in terms of efficacy</w:t>
      </w:r>
      <w:r>
        <w:t>. In terms of safety, t</w:t>
      </w:r>
      <w:r w:rsidRPr="00134E10">
        <w:t>he results of the meta-analysis comprising three RCTs demonstrated a significantly higher incidence of palpitations/chest pains adverse events in the nasal spray arm compared to placebo</w:t>
      </w:r>
      <w:r w:rsidRPr="00EC786E">
        <w:t>.</w:t>
      </w:r>
    </w:p>
    <w:p w14:paraId="03A0B25F" w14:textId="77777777" w:rsidR="00B3406A" w:rsidRDefault="00B3406A" w:rsidP="00523139">
      <w:pPr>
        <w:pStyle w:val="ListParagraph"/>
        <w:numPr>
          <w:ilvl w:val="0"/>
          <w:numId w:val="31"/>
        </w:numPr>
        <w:spacing w:after="240"/>
        <w:ind w:left="357" w:hanging="357"/>
        <w:contextualSpacing w:val="0"/>
        <w:jc w:val="both"/>
      </w:pPr>
      <w:r>
        <w:t xml:space="preserve">There were no statistically significant differences between </w:t>
      </w:r>
      <w:r w:rsidRPr="00A25C81">
        <w:t xml:space="preserve">NRT nasal spray </w:t>
      </w:r>
      <w:r>
        <w:t>and NRT</w:t>
      </w:r>
      <w:r w:rsidRPr="00A25C81">
        <w:t xml:space="preserve"> </w:t>
      </w:r>
      <w:r>
        <w:t>patches</w:t>
      </w:r>
      <w:r w:rsidRPr="00A25C81">
        <w:t xml:space="preserve"> in terms of efficacy. Among </w:t>
      </w:r>
      <w:r>
        <w:t xml:space="preserve">the </w:t>
      </w:r>
      <w:r w:rsidRPr="00A25C81">
        <w:t xml:space="preserve">studies comparing nasal spray </w:t>
      </w:r>
      <w:r>
        <w:t>with</w:t>
      </w:r>
      <w:r w:rsidRPr="00A25C81">
        <w:t xml:space="preserve"> </w:t>
      </w:r>
      <w:r>
        <w:t>patches</w:t>
      </w:r>
      <w:r w:rsidRPr="00A25C81">
        <w:t xml:space="preserve">, Lerman et al. (2004) reported no serious adverse events in </w:t>
      </w:r>
      <w:r>
        <w:t>either</w:t>
      </w:r>
      <w:r w:rsidRPr="00A25C81">
        <w:t xml:space="preserve"> tr</w:t>
      </w:r>
      <w:r>
        <w:t>eatment</w:t>
      </w:r>
      <w:r w:rsidRPr="00A25C81">
        <w:t xml:space="preserve"> arms, while Croghan</w:t>
      </w:r>
      <w:r>
        <w:t xml:space="preserve"> et al.</w:t>
      </w:r>
      <w:r w:rsidRPr="00A25C81">
        <w:t xml:space="preserve"> </w:t>
      </w:r>
      <w:r>
        <w:t>(</w:t>
      </w:r>
      <w:r w:rsidRPr="00A25C81">
        <w:t>2003</w:t>
      </w:r>
      <w:r>
        <w:t>)</w:t>
      </w:r>
      <w:r w:rsidRPr="00A25C81">
        <w:t xml:space="preserve"> showed </w:t>
      </w:r>
      <w:r>
        <w:t xml:space="preserve">a </w:t>
      </w:r>
      <w:r w:rsidRPr="00A25C81">
        <w:t>significant</w:t>
      </w:r>
      <w:r>
        <w:t>ly higher</w:t>
      </w:r>
      <w:r w:rsidRPr="00A25C81">
        <w:t xml:space="preserve"> </w:t>
      </w:r>
      <w:r>
        <w:t>rate</w:t>
      </w:r>
      <w:r w:rsidRPr="00A25C81">
        <w:t xml:space="preserve"> of treatment withdrawals in </w:t>
      </w:r>
      <w:r>
        <w:t>the nasal spray treatment arm</w:t>
      </w:r>
      <w:r w:rsidRPr="00A25C81">
        <w:t>.</w:t>
      </w:r>
    </w:p>
    <w:tbl>
      <w:tblPr>
        <w:tblStyle w:val="TableGrid3"/>
        <w:tblW w:w="5000" w:type="pct"/>
        <w:shd w:val="clear" w:color="auto" w:fill="F2F2F2" w:themeFill="background1" w:themeFillShade="F2"/>
        <w:tblLook w:val="04A0" w:firstRow="1" w:lastRow="0" w:firstColumn="1" w:lastColumn="0" w:noHBand="0" w:noVBand="1"/>
      </w:tblPr>
      <w:tblGrid>
        <w:gridCol w:w="1616"/>
        <w:gridCol w:w="2158"/>
        <w:gridCol w:w="5242"/>
      </w:tblGrid>
      <w:tr w:rsidR="00B3406A" w:rsidRPr="00916516" w14:paraId="16AFFF80" w14:textId="77777777" w:rsidTr="00A82090">
        <w:trPr>
          <w:trHeight w:val="67"/>
        </w:trPr>
        <w:tc>
          <w:tcPr>
            <w:tcW w:w="896" w:type="pct"/>
            <w:shd w:val="clear" w:color="auto" w:fill="F2F2F2" w:themeFill="background1" w:themeFillShade="F2"/>
            <w:hideMark/>
          </w:tcPr>
          <w:p w14:paraId="46E7A394" w14:textId="77777777" w:rsidR="00B3406A" w:rsidRPr="00916516" w:rsidRDefault="00B3406A" w:rsidP="001E7257">
            <w:pPr>
              <w:rPr>
                <w:szCs w:val="18"/>
              </w:rPr>
            </w:pPr>
            <w:r w:rsidRPr="00916516">
              <w:rPr>
                <w:b/>
                <w:bCs/>
                <w:szCs w:val="18"/>
              </w:rPr>
              <w:t>Compar</w:t>
            </w:r>
            <w:r>
              <w:rPr>
                <w:b/>
                <w:bCs/>
                <w:szCs w:val="18"/>
              </w:rPr>
              <w:t>ison</w:t>
            </w:r>
          </w:p>
        </w:tc>
        <w:tc>
          <w:tcPr>
            <w:tcW w:w="1197" w:type="pct"/>
            <w:shd w:val="clear" w:color="auto" w:fill="F2F2F2" w:themeFill="background1" w:themeFillShade="F2"/>
            <w:hideMark/>
          </w:tcPr>
          <w:p w14:paraId="3F7B4007" w14:textId="77777777" w:rsidR="00B3406A" w:rsidRPr="00916516" w:rsidRDefault="00B3406A" w:rsidP="001E7257">
            <w:pPr>
              <w:jc w:val="center"/>
              <w:rPr>
                <w:szCs w:val="18"/>
              </w:rPr>
            </w:pPr>
            <w:r>
              <w:rPr>
                <w:b/>
                <w:bCs/>
                <w:szCs w:val="18"/>
              </w:rPr>
              <w:t>Included studies</w:t>
            </w:r>
          </w:p>
        </w:tc>
        <w:tc>
          <w:tcPr>
            <w:tcW w:w="2906" w:type="pct"/>
            <w:shd w:val="clear" w:color="auto" w:fill="F2F2F2" w:themeFill="background1" w:themeFillShade="F2"/>
            <w:hideMark/>
          </w:tcPr>
          <w:p w14:paraId="76542F85" w14:textId="77777777" w:rsidR="00B3406A" w:rsidRPr="00916516" w:rsidRDefault="00B3406A" w:rsidP="001E7257">
            <w:pPr>
              <w:jc w:val="center"/>
              <w:rPr>
                <w:szCs w:val="18"/>
              </w:rPr>
            </w:pPr>
            <w:r>
              <w:rPr>
                <w:b/>
                <w:bCs/>
                <w:szCs w:val="18"/>
              </w:rPr>
              <w:t>Summary of evidence</w:t>
            </w:r>
          </w:p>
        </w:tc>
      </w:tr>
      <w:tr w:rsidR="00B3406A" w:rsidRPr="009068BC" w14:paraId="2694CE98" w14:textId="77777777" w:rsidTr="00A82090">
        <w:trPr>
          <w:trHeight w:val="345"/>
        </w:trPr>
        <w:tc>
          <w:tcPr>
            <w:tcW w:w="896" w:type="pct"/>
            <w:shd w:val="clear" w:color="auto" w:fill="F2F2F2" w:themeFill="background1" w:themeFillShade="F2"/>
            <w:hideMark/>
          </w:tcPr>
          <w:p w14:paraId="78E9807A" w14:textId="77777777" w:rsidR="00B3406A" w:rsidRPr="00237D04" w:rsidRDefault="00B3406A" w:rsidP="001E7257">
            <w:pPr>
              <w:tabs>
                <w:tab w:val="left" w:pos="986"/>
              </w:tabs>
              <w:rPr>
                <w:szCs w:val="18"/>
              </w:rPr>
            </w:pPr>
            <w:r w:rsidRPr="00A45B4B">
              <w:rPr>
                <w:szCs w:val="18"/>
              </w:rPr>
              <w:t>NRT nasal spray</w:t>
            </w:r>
            <w:r>
              <w:rPr>
                <w:szCs w:val="18"/>
              </w:rPr>
              <w:t xml:space="preserve"> vs p</w:t>
            </w:r>
            <w:r w:rsidRPr="00A45B4B">
              <w:rPr>
                <w:szCs w:val="18"/>
              </w:rPr>
              <w:t>lacebo</w:t>
            </w:r>
          </w:p>
        </w:tc>
        <w:tc>
          <w:tcPr>
            <w:tcW w:w="1197" w:type="pct"/>
            <w:shd w:val="clear" w:color="auto" w:fill="F2F2F2" w:themeFill="background1" w:themeFillShade="F2"/>
            <w:hideMark/>
          </w:tcPr>
          <w:p w14:paraId="30F2C441" w14:textId="2F90CE4F" w:rsidR="00B3406A" w:rsidRPr="00614418" w:rsidRDefault="00B3406A" w:rsidP="00815A6D">
            <w:pPr>
              <w:pStyle w:val="ListParagraph"/>
              <w:numPr>
                <w:ilvl w:val="0"/>
                <w:numId w:val="43"/>
              </w:numPr>
              <w:rPr>
                <w:szCs w:val="18"/>
              </w:rPr>
            </w:pPr>
            <w:r w:rsidRPr="004110FF">
              <w:t>Hartmann-</w:t>
            </w:r>
            <w:r w:rsidR="0065066F" w:rsidRPr="004110FF">
              <w:t>Boyce (</w:t>
            </w:r>
            <w:r w:rsidRPr="004110FF">
              <w:t>2018</w:t>
            </w:r>
            <w:r>
              <w:t>)</w:t>
            </w:r>
            <w:r w:rsidRPr="00CE108D">
              <w:rPr>
                <w:vertAlign w:val="superscript"/>
              </w:rPr>
              <w:t>1</w:t>
            </w:r>
          </w:p>
        </w:tc>
        <w:tc>
          <w:tcPr>
            <w:tcW w:w="2906" w:type="pct"/>
            <w:shd w:val="clear" w:color="auto" w:fill="F2F2F2" w:themeFill="background1" w:themeFillShade="F2"/>
            <w:hideMark/>
          </w:tcPr>
          <w:p w14:paraId="6C5FB5DF" w14:textId="77777777" w:rsidR="00B3406A" w:rsidRPr="00A45B4B"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A45B4B">
              <w:rPr>
                <w:szCs w:val="18"/>
              </w:rPr>
              <w:t>Statistically significant</w:t>
            </w:r>
            <w:r>
              <w:rPr>
                <w:szCs w:val="18"/>
              </w:rPr>
              <w:t xml:space="preserve"> based on RR </w:t>
            </w:r>
            <w:r w:rsidRPr="00A45B4B">
              <w:rPr>
                <w:szCs w:val="18"/>
              </w:rPr>
              <w:t>(in favour of NRT nasal spray)</w:t>
            </w:r>
            <w:r>
              <w:rPr>
                <w:szCs w:val="18"/>
              </w:rPr>
              <w:t>.</w:t>
            </w:r>
          </w:p>
          <w:p w14:paraId="2ED1180F" w14:textId="77777777" w:rsidR="00B3406A" w:rsidRPr="00A45B4B"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A45B4B">
              <w:rPr>
                <w:szCs w:val="18"/>
              </w:rPr>
              <w:t>Statistically significant</w:t>
            </w:r>
            <w:r>
              <w:rPr>
                <w:szCs w:val="18"/>
              </w:rPr>
              <w:t xml:space="preserve"> based on RR </w:t>
            </w:r>
            <w:r w:rsidRPr="00A45B4B">
              <w:rPr>
                <w:szCs w:val="18"/>
              </w:rPr>
              <w:t>(palpitations/chest pains; higher in NRT nasal spray)</w:t>
            </w:r>
            <w:r>
              <w:rPr>
                <w:szCs w:val="18"/>
              </w:rPr>
              <w:t>.</w:t>
            </w:r>
          </w:p>
        </w:tc>
      </w:tr>
      <w:tr w:rsidR="00B3406A" w:rsidRPr="009068BC" w14:paraId="3ABEA5E2" w14:textId="77777777" w:rsidTr="00A82090">
        <w:trPr>
          <w:trHeight w:val="617"/>
        </w:trPr>
        <w:tc>
          <w:tcPr>
            <w:tcW w:w="896" w:type="pct"/>
            <w:shd w:val="clear" w:color="auto" w:fill="F2F2F2" w:themeFill="background1" w:themeFillShade="F2"/>
            <w:hideMark/>
          </w:tcPr>
          <w:p w14:paraId="35C65A36" w14:textId="77777777" w:rsidR="00B3406A" w:rsidRPr="00581533" w:rsidRDefault="00B3406A" w:rsidP="001E7257">
            <w:pPr>
              <w:rPr>
                <w:szCs w:val="18"/>
              </w:rPr>
            </w:pPr>
            <w:r w:rsidRPr="00A45B4B">
              <w:rPr>
                <w:szCs w:val="18"/>
              </w:rPr>
              <w:t>NRT nasal spray</w:t>
            </w:r>
            <w:r>
              <w:rPr>
                <w:szCs w:val="18"/>
              </w:rPr>
              <w:t xml:space="preserve"> vs </w:t>
            </w:r>
            <w:r w:rsidRPr="00A45B4B">
              <w:rPr>
                <w:szCs w:val="18"/>
              </w:rPr>
              <w:t>NRT patch</w:t>
            </w:r>
          </w:p>
        </w:tc>
        <w:tc>
          <w:tcPr>
            <w:tcW w:w="1197" w:type="pct"/>
            <w:shd w:val="clear" w:color="auto" w:fill="F2F2F2" w:themeFill="background1" w:themeFillShade="F2"/>
            <w:hideMark/>
          </w:tcPr>
          <w:p w14:paraId="157F9DEA" w14:textId="77777777" w:rsidR="00B3406A" w:rsidRPr="002A5E9C" w:rsidRDefault="00B3406A" w:rsidP="00815A6D">
            <w:pPr>
              <w:pStyle w:val="ListParagraph"/>
              <w:numPr>
                <w:ilvl w:val="0"/>
                <w:numId w:val="44"/>
              </w:numPr>
              <w:rPr>
                <w:szCs w:val="18"/>
              </w:rPr>
            </w:pPr>
            <w:r>
              <w:t>Lindson</w:t>
            </w:r>
            <w:r w:rsidRPr="00713891">
              <w:t xml:space="preserve"> (201</w:t>
            </w:r>
            <w:r>
              <w:t>9</w:t>
            </w:r>
            <w:r w:rsidRPr="00713891">
              <w:t>)</w:t>
            </w:r>
            <w:r w:rsidRPr="00CE108D">
              <w:rPr>
                <w:vertAlign w:val="superscript"/>
              </w:rPr>
              <w:t>1</w:t>
            </w:r>
          </w:p>
        </w:tc>
        <w:tc>
          <w:tcPr>
            <w:tcW w:w="2906" w:type="pct"/>
            <w:shd w:val="clear" w:color="auto" w:fill="F2F2F2" w:themeFill="background1" w:themeFillShade="F2"/>
            <w:hideMark/>
          </w:tcPr>
          <w:p w14:paraId="5BD9DABF" w14:textId="77777777" w:rsidR="00B3406A" w:rsidRPr="00A45B4B" w:rsidRDefault="00B3406A" w:rsidP="00815A6D">
            <w:pPr>
              <w:pStyle w:val="ListParagraph"/>
              <w:numPr>
                <w:ilvl w:val="0"/>
                <w:numId w:val="42"/>
              </w:numPr>
              <w:rPr>
                <w:szCs w:val="18"/>
              </w:rPr>
            </w:pPr>
            <w:r w:rsidRPr="00360862">
              <w:rPr>
                <w:szCs w:val="18"/>
                <w:u w:val="single"/>
              </w:rPr>
              <w:t>Efficacy</w:t>
            </w:r>
            <w:r w:rsidRPr="00360862">
              <w:rPr>
                <w:szCs w:val="18"/>
              </w:rPr>
              <w:t xml:space="preserve">: </w:t>
            </w:r>
            <w:r w:rsidRPr="00A45B4B">
              <w:rPr>
                <w:szCs w:val="18"/>
              </w:rPr>
              <w:t>Not statistically significant</w:t>
            </w:r>
            <w:r>
              <w:rPr>
                <w:szCs w:val="18"/>
              </w:rPr>
              <w:t xml:space="preserve"> based on RR. </w:t>
            </w:r>
          </w:p>
          <w:p w14:paraId="4FA9A8D4" w14:textId="77777777" w:rsidR="00B3406A" w:rsidRPr="00A45B4B" w:rsidRDefault="00B3406A" w:rsidP="00815A6D">
            <w:pPr>
              <w:pStyle w:val="ListParagraph"/>
              <w:numPr>
                <w:ilvl w:val="0"/>
                <w:numId w:val="42"/>
              </w:numPr>
              <w:rPr>
                <w:szCs w:val="18"/>
              </w:rPr>
            </w:pPr>
            <w:r w:rsidRPr="00360862">
              <w:rPr>
                <w:szCs w:val="18"/>
                <w:u w:val="single"/>
              </w:rPr>
              <w:t>Safety:</w:t>
            </w:r>
            <w:r w:rsidRPr="00360862">
              <w:rPr>
                <w:szCs w:val="18"/>
              </w:rPr>
              <w:t xml:space="preserve"> </w:t>
            </w:r>
            <w:r w:rsidRPr="00A45B4B">
              <w:rPr>
                <w:szCs w:val="18"/>
              </w:rPr>
              <w:t>Statistically significant</w:t>
            </w:r>
            <w:r>
              <w:rPr>
                <w:szCs w:val="18"/>
              </w:rPr>
              <w:t xml:space="preserve"> based on RR </w:t>
            </w:r>
            <w:r w:rsidRPr="00A45B4B">
              <w:rPr>
                <w:szCs w:val="18"/>
              </w:rPr>
              <w:t>(treatment withdrawals; higher in NRT nasal spray)</w:t>
            </w:r>
            <w:r>
              <w:rPr>
                <w:szCs w:val="18"/>
              </w:rPr>
              <w:t xml:space="preserve">; </w:t>
            </w:r>
            <w:r w:rsidRPr="00A45B4B">
              <w:rPr>
                <w:szCs w:val="18"/>
              </w:rPr>
              <w:t xml:space="preserve">No </w:t>
            </w:r>
            <w:r>
              <w:rPr>
                <w:szCs w:val="18"/>
              </w:rPr>
              <w:t>S</w:t>
            </w:r>
            <w:r w:rsidRPr="00A45B4B">
              <w:rPr>
                <w:szCs w:val="18"/>
              </w:rPr>
              <w:t>AEs reported in either arm</w:t>
            </w:r>
            <w:r>
              <w:rPr>
                <w:szCs w:val="18"/>
              </w:rPr>
              <w:t>.</w:t>
            </w:r>
          </w:p>
        </w:tc>
      </w:tr>
    </w:tbl>
    <w:p w14:paraId="3EEE92E9" w14:textId="77777777" w:rsidR="00B3406A" w:rsidRDefault="00B3406A" w:rsidP="00523139">
      <w:pPr>
        <w:pStyle w:val="TableFooter"/>
        <w:keepNext/>
        <w:jc w:val="both"/>
      </w:pPr>
      <w:r>
        <w:t>Abbreviations: NRT = nicotine replacement therapy; RR = risk ratio;</w:t>
      </w:r>
      <w:r w:rsidRPr="005C3486">
        <w:t xml:space="preserve"> </w:t>
      </w:r>
      <w:r>
        <w:t xml:space="preserve">SAEs = adverse events. </w:t>
      </w:r>
    </w:p>
    <w:p w14:paraId="6186DD3E" w14:textId="77777777" w:rsidR="00B3406A" w:rsidRDefault="00B3406A" w:rsidP="00523139">
      <w:pPr>
        <w:pStyle w:val="TableFooter"/>
        <w:keepNext/>
        <w:jc w:val="both"/>
      </w:pPr>
      <w:r w:rsidRPr="00BE36E8">
        <w:t xml:space="preserve">Notes: </w:t>
      </w:r>
    </w:p>
    <w:p w14:paraId="0DE2833F" w14:textId="77777777" w:rsidR="00B3406A" w:rsidRPr="00355B8A" w:rsidRDefault="00B3406A" w:rsidP="00523139">
      <w:pPr>
        <w:pStyle w:val="TableFooter"/>
        <w:keepNext/>
        <w:spacing w:after="120"/>
        <w:contextualSpacing w:val="0"/>
        <w:jc w:val="both"/>
      </w:pPr>
      <w:r>
        <w:t xml:space="preserve">1 </w:t>
      </w:r>
      <w:r w:rsidRPr="00BE36E8">
        <w:t>Cochrane Review</w:t>
      </w:r>
      <w:r>
        <w:t>.</w:t>
      </w:r>
    </w:p>
    <w:p w14:paraId="45D1B4B2" w14:textId="77777777" w:rsidR="00B3406A" w:rsidRDefault="00B3406A" w:rsidP="00523139">
      <w:pPr>
        <w:spacing w:before="120" w:after="120"/>
        <w:jc w:val="both"/>
      </w:pPr>
      <w:r w:rsidRPr="00A25C81">
        <w:t>Oral spray</w:t>
      </w:r>
    </w:p>
    <w:p w14:paraId="190DDBF8" w14:textId="040921C9" w:rsidR="0065066F" w:rsidRDefault="00B3406A" w:rsidP="002B5CD1">
      <w:pPr>
        <w:pStyle w:val="ListParagraph"/>
        <w:numPr>
          <w:ilvl w:val="0"/>
          <w:numId w:val="32"/>
        </w:numPr>
        <w:spacing w:before="120" w:after="240"/>
        <w:ind w:left="357" w:hanging="357"/>
        <w:contextualSpacing w:val="0"/>
        <w:jc w:val="both"/>
      </w:pPr>
      <w:r w:rsidRPr="00A25C81">
        <w:t xml:space="preserve">NRT oral spray </w:t>
      </w:r>
      <w:r>
        <w:t>was shown to be superior</w:t>
      </w:r>
      <w:r w:rsidRPr="00A25C81">
        <w:t xml:space="preserve"> to placebo</w:t>
      </w:r>
      <w:r>
        <w:t xml:space="preserve"> in terms of efficacy, </w:t>
      </w:r>
      <w:r w:rsidRPr="00A25C81">
        <w:t>not</w:t>
      </w:r>
      <w:r>
        <w:t>ing</w:t>
      </w:r>
      <w:r w:rsidRPr="00A25C81">
        <w:t xml:space="preserve"> that the results of the updated re-analysis were not statistically significant based on risk difference (absolute effect).</w:t>
      </w:r>
      <w:r>
        <w:t xml:space="preserve"> A </w:t>
      </w:r>
      <w:r w:rsidRPr="001B111D">
        <w:t xml:space="preserve">significantly higher proportion of patients in the oral spray arm experienced any adverse events and discontinuation due to adverse events compared with patients in the placebo arm. </w:t>
      </w:r>
      <w:r>
        <w:t>N</w:t>
      </w:r>
      <w:r w:rsidRPr="001B111D">
        <w:t>o patients in either arm experienc</w:t>
      </w:r>
      <w:r>
        <w:t>ed</w:t>
      </w:r>
      <w:r w:rsidRPr="001B111D">
        <w:t xml:space="preserve"> treatment-related serious adverse event</w:t>
      </w:r>
      <w:r>
        <w:t>s</w:t>
      </w:r>
      <w:r w:rsidRPr="001B111D">
        <w:t>.</w:t>
      </w:r>
    </w:p>
    <w:p w14:paraId="19B506FB" w14:textId="4D4DCFC4" w:rsidR="00B3406A" w:rsidRDefault="0065066F" w:rsidP="0065066F">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436"/>
        <w:gridCol w:w="2609"/>
        <w:gridCol w:w="4971"/>
      </w:tblGrid>
      <w:tr w:rsidR="00B3406A" w:rsidRPr="00916516" w14:paraId="50C7736E" w14:textId="77777777" w:rsidTr="00A82090">
        <w:trPr>
          <w:trHeight w:val="67"/>
        </w:trPr>
        <w:tc>
          <w:tcPr>
            <w:tcW w:w="796" w:type="pct"/>
            <w:shd w:val="clear" w:color="auto" w:fill="F2F2F2" w:themeFill="background1" w:themeFillShade="F2"/>
            <w:hideMark/>
          </w:tcPr>
          <w:p w14:paraId="43BC81A0" w14:textId="77777777" w:rsidR="00B3406A" w:rsidRPr="00916516" w:rsidRDefault="00B3406A" w:rsidP="001E7257">
            <w:pPr>
              <w:rPr>
                <w:szCs w:val="18"/>
              </w:rPr>
            </w:pPr>
            <w:r w:rsidRPr="00916516">
              <w:rPr>
                <w:b/>
                <w:bCs/>
                <w:szCs w:val="18"/>
              </w:rPr>
              <w:lastRenderedPageBreak/>
              <w:t>Compar</w:t>
            </w:r>
            <w:r>
              <w:rPr>
                <w:b/>
                <w:bCs/>
                <w:szCs w:val="18"/>
              </w:rPr>
              <w:t>ison</w:t>
            </w:r>
          </w:p>
        </w:tc>
        <w:tc>
          <w:tcPr>
            <w:tcW w:w="1447" w:type="pct"/>
            <w:shd w:val="clear" w:color="auto" w:fill="F2F2F2" w:themeFill="background1" w:themeFillShade="F2"/>
            <w:hideMark/>
          </w:tcPr>
          <w:p w14:paraId="31C5AA5F" w14:textId="77777777" w:rsidR="00B3406A" w:rsidRPr="00916516" w:rsidRDefault="00B3406A" w:rsidP="001E7257">
            <w:pPr>
              <w:jc w:val="center"/>
              <w:rPr>
                <w:szCs w:val="18"/>
              </w:rPr>
            </w:pPr>
            <w:r>
              <w:rPr>
                <w:b/>
                <w:bCs/>
                <w:szCs w:val="18"/>
              </w:rPr>
              <w:t>Included studies</w:t>
            </w:r>
          </w:p>
        </w:tc>
        <w:tc>
          <w:tcPr>
            <w:tcW w:w="2757" w:type="pct"/>
            <w:shd w:val="clear" w:color="auto" w:fill="F2F2F2" w:themeFill="background1" w:themeFillShade="F2"/>
            <w:hideMark/>
          </w:tcPr>
          <w:p w14:paraId="0725D0C9" w14:textId="77777777" w:rsidR="00B3406A" w:rsidRPr="00916516" w:rsidRDefault="00B3406A" w:rsidP="001E7257">
            <w:pPr>
              <w:jc w:val="center"/>
              <w:rPr>
                <w:szCs w:val="18"/>
              </w:rPr>
            </w:pPr>
            <w:r>
              <w:rPr>
                <w:b/>
                <w:bCs/>
                <w:szCs w:val="18"/>
              </w:rPr>
              <w:t>Summary of evidence</w:t>
            </w:r>
          </w:p>
        </w:tc>
      </w:tr>
      <w:tr w:rsidR="00B3406A" w:rsidRPr="009068BC" w14:paraId="179F798F" w14:textId="77777777" w:rsidTr="00A82090">
        <w:trPr>
          <w:trHeight w:val="345"/>
        </w:trPr>
        <w:tc>
          <w:tcPr>
            <w:tcW w:w="796" w:type="pct"/>
            <w:shd w:val="clear" w:color="auto" w:fill="F2F2F2" w:themeFill="background1" w:themeFillShade="F2"/>
            <w:hideMark/>
          </w:tcPr>
          <w:p w14:paraId="0EA41696" w14:textId="77777777" w:rsidR="00B3406A" w:rsidRPr="00237D04" w:rsidRDefault="00B3406A" w:rsidP="001E7257">
            <w:pPr>
              <w:tabs>
                <w:tab w:val="left" w:pos="1198"/>
              </w:tabs>
              <w:rPr>
                <w:szCs w:val="18"/>
              </w:rPr>
            </w:pPr>
            <w:r w:rsidRPr="00A45B4B">
              <w:rPr>
                <w:szCs w:val="18"/>
              </w:rPr>
              <w:t>NRT oral spray</w:t>
            </w:r>
            <w:r>
              <w:rPr>
                <w:szCs w:val="18"/>
              </w:rPr>
              <w:t xml:space="preserve"> vs placebo</w:t>
            </w:r>
          </w:p>
        </w:tc>
        <w:tc>
          <w:tcPr>
            <w:tcW w:w="1447" w:type="pct"/>
            <w:shd w:val="clear" w:color="auto" w:fill="F2F2F2" w:themeFill="background1" w:themeFillShade="F2"/>
            <w:hideMark/>
          </w:tcPr>
          <w:p w14:paraId="480320E1" w14:textId="77777777" w:rsidR="00B3406A" w:rsidRPr="00CE108D" w:rsidRDefault="00B3406A" w:rsidP="00815A6D">
            <w:pPr>
              <w:pStyle w:val="ListParagraph"/>
              <w:numPr>
                <w:ilvl w:val="0"/>
                <w:numId w:val="43"/>
              </w:numPr>
              <w:rPr>
                <w:szCs w:val="18"/>
              </w:rPr>
            </w:pPr>
            <w:r w:rsidRPr="004110FF">
              <w:t xml:space="preserve">Hartmann-Boyce </w:t>
            </w:r>
            <w:r>
              <w:t>(</w:t>
            </w:r>
            <w:r w:rsidRPr="004110FF">
              <w:t>2018</w:t>
            </w:r>
            <w:r>
              <w:t>)</w:t>
            </w:r>
            <w:r w:rsidRPr="00CE108D">
              <w:rPr>
                <w:vertAlign w:val="superscript"/>
              </w:rPr>
              <w:t>1</w:t>
            </w:r>
          </w:p>
          <w:p w14:paraId="3B112DE8" w14:textId="77777777" w:rsidR="00B3406A" w:rsidRPr="00614418" w:rsidRDefault="00B3406A" w:rsidP="00815A6D">
            <w:pPr>
              <w:pStyle w:val="ListParagraph"/>
              <w:numPr>
                <w:ilvl w:val="0"/>
                <w:numId w:val="43"/>
              </w:numPr>
              <w:rPr>
                <w:szCs w:val="18"/>
              </w:rPr>
            </w:pPr>
            <w:r w:rsidRPr="00AA142B">
              <w:t>Nides (2020)</w:t>
            </w:r>
            <w:r w:rsidRPr="00CE108D">
              <w:rPr>
                <w:vertAlign w:val="superscript"/>
              </w:rPr>
              <w:t>2</w:t>
            </w:r>
          </w:p>
        </w:tc>
        <w:tc>
          <w:tcPr>
            <w:tcW w:w="2757" w:type="pct"/>
            <w:shd w:val="clear" w:color="auto" w:fill="F2F2F2" w:themeFill="background1" w:themeFillShade="F2"/>
            <w:hideMark/>
          </w:tcPr>
          <w:p w14:paraId="1D1AF2C7" w14:textId="7E537C78" w:rsidR="00B3406A" w:rsidRPr="00A45B4B"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A45B4B">
              <w:rPr>
                <w:szCs w:val="18"/>
              </w:rPr>
              <w:t xml:space="preserve">Statistically </w:t>
            </w:r>
            <w:r w:rsidR="007918CA" w:rsidRPr="00A45B4B">
              <w:rPr>
                <w:szCs w:val="18"/>
              </w:rPr>
              <w:t>significant</w:t>
            </w:r>
            <w:r w:rsidR="007918CA">
              <w:rPr>
                <w:szCs w:val="18"/>
              </w:rPr>
              <w:t xml:space="preserve"> </w:t>
            </w:r>
            <w:r w:rsidR="007918CA" w:rsidRPr="00523139">
              <w:rPr>
                <w:szCs w:val="18"/>
              </w:rPr>
              <w:t>based</w:t>
            </w:r>
            <w:r>
              <w:rPr>
                <w:szCs w:val="18"/>
              </w:rPr>
              <w:t xml:space="preserve"> on RR </w:t>
            </w:r>
            <w:r w:rsidRPr="00A45B4B">
              <w:rPr>
                <w:szCs w:val="18"/>
              </w:rPr>
              <w:t>(in favour of NRT oral spray)</w:t>
            </w:r>
            <w:r>
              <w:rPr>
                <w:szCs w:val="18"/>
              </w:rPr>
              <w:t>, but not statistically significant for RD</w:t>
            </w:r>
            <w:r>
              <w:rPr>
                <w:szCs w:val="18"/>
                <w:vertAlign w:val="superscript"/>
              </w:rPr>
              <w:t>3</w:t>
            </w:r>
            <w:r>
              <w:rPr>
                <w:szCs w:val="18"/>
              </w:rPr>
              <w:t xml:space="preserve">. </w:t>
            </w:r>
          </w:p>
          <w:p w14:paraId="2DE07970" w14:textId="77777777" w:rsidR="00B3406A" w:rsidRPr="00A45B4B"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A45B4B">
              <w:rPr>
                <w:szCs w:val="18"/>
              </w:rPr>
              <w:t>Statistically significant</w:t>
            </w:r>
            <w:r>
              <w:rPr>
                <w:szCs w:val="18"/>
              </w:rPr>
              <w:t xml:space="preserve"> based on RR and RD </w:t>
            </w:r>
            <w:r w:rsidRPr="00A45B4B">
              <w:rPr>
                <w:szCs w:val="18"/>
              </w:rPr>
              <w:t>(any AEs, discontinuation due to AEs; higher in NRT oral spray)</w:t>
            </w:r>
            <w:r>
              <w:rPr>
                <w:szCs w:val="18"/>
              </w:rPr>
              <w:t xml:space="preserve">; </w:t>
            </w:r>
            <w:r w:rsidRPr="00A45B4B">
              <w:rPr>
                <w:szCs w:val="18"/>
              </w:rPr>
              <w:t xml:space="preserve">No </w:t>
            </w:r>
            <w:r>
              <w:rPr>
                <w:szCs w:val="18"/>
              </w:rPr>
              <w:t>S</w:t>
            </w:r>
            <w:r w:rsidRPr="00A45B4B">
              <w:rPr>
                <w:szCs w:val="18"/>
              </w:rPr>
              <w:t>AEs reported in either arm</w:t>
            </w:r>
            <w:r>
              <w:rPr>
                <w:szCs w:val="18"/>
              </w:rPr>
              <w:t>.</w:t>
            </w:r>
          </w:p>
        </w:tc>
      </w:tr>
    </w:tbl>
    <w:p w14:paraId="5C071B72" w14:textId="77777777" w:rsidR="00B3406A" w:rsidRDefault="00B3406A" w:rsidP="00523139">
      <w:pPr>
        <w:pStyle w:val="TableFooter"/>
        <w:keepNext/>
        <w:jc w:val="both"/>
      </w:pPr>
      <w:r>
        <w:t>Abbreviations: AEs = adverse events; NRT = nicotine replacement therapy; RR = risk ratio, RD = risk difference; SAEs = serious adverse events.</w:t>
      </w:r>
    </w:p>
    <w:p w14:paraId="17B4BC9C" w14:textId="77777777" w:rsidR="00B3406A" w:rsidRDefault="00B3406A" w:rsidP="00523139">
      <w:pPr>
        <w:pStyle w:val="TableFooter"/>
        <w:keepNext/>
        <w:jc w:val="both"/>
      </w:pPr>
      <w:r w:rsidRPr="00BE36E8">
        <w:t xml:space="preserve">Notes: </w:t>
      </w:r>
    </w:p>
    <w:p w14:paraId="0BB45822" w14:textId="77777777" w:rsidR="00B3406A" w:rsidRDefault="00B3406A" w:rsidP="00523139">
      <w:pPr>
        <w:pStyle w:val="TableFooter"/>
        <w:keepNext/>
        <w:jc w:val="both"/>
      </w:pPr>
      <w:r>
        <w:t xml:space="preserve">1 </w:t>
      </w:r>
      <w:r w:rsidRPr="00BE36E8">
        <w:t>Cochrane Review</w:t>
      </w:r>
      <w:r>
        <w:t>.</w:t>
      </w:r>
    </w:p>
    <w:p w14:paraId="20A5D151" w14:textId="77777777" w:rsidR="00B3406A" w:rsidRPr="00415419" w:rsidRDefault="00B3406A" w:rsidP="00523139">
      <w:pPr>
        <w:pStyle w:val="TableFooter"/>
        <w:keepNext/>
        <w:jc w:val="both"/>
      </w:pPr>
      <w:r>
        <w:t>2 Supplemental evidence (RCT).</w:t>
      </w:r>
    </w:p>
    <w:p w14:paraId="145BD669" w14:textId="4257BC1C" w:rsidR="00B3406A" w:rsidRPr="00415419" w:rsidRDefault="00B3406A" w:rsidP="00523139">
      <w:pPr>
        <w:pStyle w:val="TableFooter"/>
        <w:keepNext/>
        <w:jc w:val="both"/>
      </w:pPr>
      <w:r>
        <w:t>3 Statistically significant based on risk ratio but not significant b</w:t>
      </w:r>
      <w:r w:rsidR="007918CA">
        <w:t>ased on risk difference (RR = 2.</w:t>
      </w:r>
      <w:r>
        <w:t>63, 95% CI: 1.54, 4.50; RD = 0.05, 95%CI: -0.02, 0.12).</w:t>
      </w:r>
    </w:p>
    <w:p w14:paraId="223D46A6" w14:textId="77777777" w:rsidR="00B3406A" w:rsidRPr="001B111D" w:rsidRDefault="00B3406A" w:rsidP="00523139">
      <w:pPr>
        <w:spacing w:before="120" w:after="120"/>
        <w:jc w:val="both"/>
      </w:pPr>
      <w:r w:rsidRPr="001B111D">
        <w:t>Inhalator and patch</w:t>
      </w:r>
    </w:p>
    <w:p w14:paraId="23CC133E" w14:textId="72C904A4" w:rsidR="00B3406A" w:rsidRPr="00AB6DA0" w:rsidRDefault="00B3406A" w:rsidP="00523139">
      <w:pPr>
        <w:pStyle w:val="ListParagraph"/>
        <w:numPr>
          <w:ilvl w:val="0"/>
          <w:numId w:val="32"/>
        </w:numPr>
        <w:spacing w:before="120" w:after="120"/>
        <w:ind w:left="357" w:hanging="357"/>
        <w:contextualSpacing w:val="0"/>
        <w:jc w:val="both"/>
        <w:rPr>
          <w:rFonts w:eastAsiaTheme="minorEastAsia"/>
          <w:b/>
          <w:i/>
          <w:sz w:val="28"/>
          <w:szCs w:val="28"/>
        </w:rPr>
      </w:pPr>
      <w:r>
        <w:t xml:space="preserve">There were no statistically significant differences between </w:t>
      </w:r>
      <w:r w:rsidR="0065066F">
        <w:t xml:space="preserve">NRT </w:t>
      </w:r>
      <w:r>
        <w:t>i</w:t>
      </w:r>
      <w:r w:rsidRPr="001B111D">
        <w:t xml:space="preserve">nhalator + patch </w:t>
      </w:r>
      <w:r>
        <w:t xml:space="preserve">and placebo in terms of efficacy based on long-term smoking cessation rates. </w:t>
      </w:r>
      <w:r w:rsidRPr="007C0870">
        <w:t xml:space="preserve">The </w:t>
      </w:r>
      <w:r>
        <w:t>one study identified</w:t>
      </w:r>
      <w:r w:rsidRPr="007C0870">
        <w:t xml:space="preserve"> by Hartmann-Boyce et al. (2018)</w:t>
      </w:r>
      <w:r>
        <w:t xml:space="preserve"> did not assess the comparative</w:t>
      </w:r>
      <w:r w:rsidRPr="00121538">
        <w:t xml:space="preserve"> safety of </w:t>
      </w:r>
      <w:r>
        <w:t>NRT inhalator + patch versus placebo</w:t>
      </w:r>
      <w:r w:rsidRPr="007C0870">
        <w:t>.</w:t>
      </w:r>
    </w:p>
    <w:tbl>
      <w:tblPr>
        <w:tblStyle w:val="TableGrid3"/>
        <w:tblW w:w="5000" w:type="pct"/>
        <w:shd w:val="clear" w:color="auto" w:fill="F2F2F2" w:themeFill="background1" w:themeFillShade="F2"/>
        <w:tblLook w:val="04A0" w:firstRow="1" w:lastRow="0" w:firstColumn="1" w:lastColumn="0" w:noHBand="0" w:noVBand="1"/>
      </w:tblPr>
      <w:tblGrid>
        <w:gridCol w:w="1616"/>
        <w:gridCol w:w="2609"/>
        <w:gridCol w:w="4791"/>
      </w:tblGrid>
      <w:tr w:rsidR="00B3406A" w:rsidRPr="00916516" w14:paraId="53FD3FF4" w14:textId="77777777" w:rsidTr="00A82090">
        <w:trPr>
          <w:trHeight w:val="67"/>
        </w:trPr>
        <w:tc>
          <w:tcPr>
            <w:tcW w:w="896" w:type="pct"/>
            <w:shd w:val="clear" w:color="auto" w:fill="F2F2F2" w:themeFill="background1" w:themeFillShade="F2"/>
            <w:hideMark/>
          </w:tcPr>
          <w:p w14:paraId="670AE931" w14:textId="77777777" w:rsidR="00B3406A" w:rsidRPr="00916516" w:rsidRDefault="00B3406A" w:rsidP="001E7257">
            <w:pPr>
              <w:rPr>
                <w:szCs w:val="18"/>
              </w:rPr>
            </w:pPr>
            <w:r w:rsidRPr="00916516">
              <w:rPr>
                <w:b/>
                <w:bCs/>
                <w:szCs w:val="18"/>
              </w:rPr>
              <w:t>Compar</w:t>
            </w:r>
            <w:r>
              <w:rPr>
                <w:b/>
                <w:bCs/>
                <w:szCs w:val="18"/>
              </w:rPr>
              <w:t>ison</w:t>
            </w:r>
          </w:p>
        </w:tc>
        <w:tc>
          <w:tcPr>
            <w:tcW w:w="1447" w:type="pct"/>
            <w:shd w:val="clear" w:color="auto" w:fill="F2F2F2" w:themeFill="background1" w:themeFillShade="F2"/>
            <w:hideMark/>
          </w:tcPr>
          <w:p w14:paraId="28A0FB6E" w14:textId="77777777" w:rsidR="00B3406A" w:rsidRPr="00916516" w:rsidRDefault="00B3406A" w:rsidP="001E7257">
            <w:pPr>
              <w:jc w:val="center"/>
              <w:rPr>
                <w:szCs w:val="18"/>
              </w:rPr>
            </w:pPr>
            <w:r>
              <w:rPr>
                <w:b/>
                <w:bCs/>
                <w:szCs w:val="18"/>
              </w:rPr>
              <w:t>Included studies</w:t>
            </w:r>
          </w:p>
        </w:tc>
        <w:tc>
          <w:tcPr>
            <w:tcW w:w="2657" w:type="pct"/>
            <w:shd w:val="clear" w:color="auto" w:fill="F2F2F2" w:themeFill="background1" w:themeFillShade="F2"/>
            <w:hideMark/>
          </w:tcPr>
          <w:p w14:paraId="42DA83C0" w14:textId="77777777" w:rsidR="00B3406A" w:rsidRPr="00916516" w:rsidRDefault="00B3406A" w:rsidP="001E7257">
            <w:pPr>
              <w:jc w:val="center"/>
              <w:rPr>
                <w:szCs w:val="18"/>
              </w:rPr>
            </w:pPr>
            <w:r>
              <w:rPr>
                <w:b/>
                <w:bCs/>
                <w:szCs w:val="18"/>
              </w:rPr>
              <w:t>Summary of evidence</w:t>
            </w:r>
          </w:p>
        </w:tc>
      </w:tr>
      <w:tr w:rsidR="00B3406A" w:rsidRPr="009068BC" w14:paraId="5E6F0E1A" w14:textId="77777777" w:rsidTr="00A82090">
        <w:trPr>
          <w:trHeight w:val="345"/>
        </w:trPr>
        <w:tc>
          <w:tcPr>
            <w:tcW w:w="896" w:type="pct"/>
            <w:shd w:val="clear" w:color="auto" w:fill="F2F2F2" w:themeFill="background1" w:themeFillShade="F2"/>
            <w:hideMark/>
          </w:tcPr>
          <w:p w14:paraId="358B605D" w14:textId="77777777" w:rsidR="00B3406A" w:rsidRPr="00237D04" w:rsidRDefault="00B3406A" w:rsidP="001E7257">
            <w:pPr>
              <w:tabs>
                <w:tab w:val="left" w:pos="1198"/>
              </w:tabs>
              <w:rPr>
                <w:szCs w:val="18"/>
              </w:rPr>
            </w:pPr>
            <w:r w:rsidRPr="00A45B4B">
              <w:rPr>
                <w:szCs w:val="18"/>
              </w:rPr>
              <w:t>NRT inhalator and patch</w:t>
            </w:r>
            <w:r>
              <w:rPr>
                <w:szCs w:val="18"/>
              </w:rPr>
              <w:t xml:space="preserve"> vs placebo</w:t>
            </w:r>
          </w:p>
        </w:tc>
        <w:tc>
          <w:tcPr>
            <w:tcW w:w="1447" w:type="pct"/>
            <w:shd w:val="clear" w:color="auto" w:fill="F2F2F2" w:themeFill="background1" w:themeFillShade="F2"/>
            <w:hideMark/>
          </w:tcPr>
          <w:p w14:paraId="3EFC98C4" w14:textId="77777777" w:rsidR="00B3406A" w:rsidRPr="00614418" w:rsidRDefault="00B3406A" w:rsidP="00815A6D">
            <w:pPr>
              <w:pStyle w:val="ListParagraph"/>
              <w:numPr>
                <w:ilvl w:val="0"/>
                <w:numId w:val="43"/>
              </w:numPr>
              <w:rPr>
                <w:szCs w:val="18"/>
              </w:rPr>
            </w:pPr>
            <w:r w:rsidRPr="004110FF">
              <w:t xml:space="preserve">Hartmann-Boyce </w:t>
            </w:r>
            <w:r>
              <w:t>(</w:t>
            </w:r>
            <w:r w:rsidRPr="004110FF">
              <w:t>2018</w:t>
            </w:r>
            <w:r>
              <w:t>)</w:t>
            </w:r>
            <w:r w:rsidRPr="00CE108D">
              <w:rPr>
                <w:vertAlign w:val="superscript"/>
              </w:rPr>
              <w:t>1</w:t>
            </w:r>
          </w:p>
        </w:tc>
        <w:tc>
          <w:tcPr>
            <w:tcW w:w="2657" w:type="pct"/>
            <w:shd w:val="clear" w:color="auto" w:fill="F2F2F2" w:themeFill="background1" w:themeFillShade="F2"/>
            <w:hideMark/>
          </w:tcPr>
          <w:p w14:paraId="7B7D6DE4" w14:textId="77777777" w:rsidR="00B3406A" w:rsidRPr="00A45B4B"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A45B4B">
              <w:rPr>
                <w:szCs w:val="18"/>
              </w:rPr>
              <w:t>Not statistically significant</w:t>
            </w:r>
            <w:r>
              <w:rPr>
                <w:szCs w:val="18"/>
              </w:rPr>
              <w:t xml:space="preserve"> based on RR. </w:t>
            </w:r>
          </w:p>
          <w:p w14:paraId="15EDCA1A" w14:textId="77777777" w:rsidR="00B3406A" w:rsidRPr="00A45B4B"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A45B4B">
              <w:rPr>
                <w:szCs w:val="18"/>
              </w:rPr>
              <w:t>Safety outcomes were not assessed by the study</w:t>
            </w:r>
            <w:r>
              <w:rPr>
                <w:szCs w:val="18"/>
              </w:rPr>
              <w:t>.</w:t>
            </w:r>
          </w:p>
        </w:tc>
      </w:tr>
    </w:tbl>
    <w:p w14:paraId="657CE04C" w14:textId="77777777" w:rsidR="00B3406A" w:rsidRDefault="00B3406A" w:rsidP="00523139">
      <w:pPr>
        <w:pStyle w:val="TableFooter"/>
        <w:keepNext/>
        <w:jc w:val="both"/>
      </w:pPr>
      <w:r>
        <w:t>Abbreviations: NRT = nicotine replacement therapy; RR = risk ratio.</w:t>
      </w:r>
    </w:p>
    <w:p w14:paraId="02B5B02F" w14:textId="77777777" w:rsidR="00B3406A" w:rsidRDefault="00B3406A" w:rsidP="00523139">
      <w:pPr>
        <w:pStyle w:val="TableFooter"/>
        <w:keepNext/>
        <w:jc w:val="both"/>
      </w:pPr>
      <w:r w:rsidRPr="00BE36E8">
        <w:t xml:space="preserve">Notes: </w:t>
      </w:r>
    </w:p>
    <w:p w14:paraId="0F34B61F" w14:textId="3C3C0CF0" w:rsidR="00B3406A" w:rsidRPr="00AB6DA0" w:rsidRDefault="0065066F" w:rsidP="00523139">
      <w:pPr>
        <w:pStyle w:val="TableFooter"/>
        <w:keepNext/>
        <w:jc w:val="both"/>
      </w:pPr>
      <w:r>
        <w:t xml:space="preserve">1 </w:t>
      </w:r>
      <w:r w:rsidR="00B3406A" w:rsidRPr="00BE36E8">
        <w:t>Cochrane Review</w:t>
      </w:r>
      <w:r w:rsidR="00B3406A">
        <w:t>.</w:t>
      </w:r>
    </w:p>
    <w:p w14:paraId="743B7BD5" w14:textId="7BFCF114" w:rsidR="00B3406A" w:rsidRDefault="00E81CEC" w:rsidP="00523139">
      <w:pPr>
        <w:pStyle w:val="Heading3"/>
        <w:spacing w:before="120" w:after="120"/>
        <w:jc w:val="both"/>
      </w:pPr>
      <w:bookmarkStart w:id="52" w:name="_Toc63082732"/>
      <w:bookmarkStart w:id="53" w:name="_Toc111710694"/>
      <w:r>
        <w:t xml:space="preserve">3.4 </w:t>
      </w:r>
      <w:r w:rsidR="00B3406A">
        <w:t>Behavioural interventions in combination with pharmacotherapies</w:t>
      </w:r>
      <w:bookmarkEnd w:id="52"/>
      <w:bookmarkEnd w:id="53"/>
    </w:p>
    <w:p w14:paraId="290A908B" w14:textId="6D12BCA8" w:rsidR="00B3406A" w:rsidRDefault="00B3406A" w:rsidP="00523139">
      <w:pPr>
        <w:spacing w:before="120" w:after="120"/>
        <w:jc w:val="both"/>
        <w:rPr>
          <w:rFonts w:eastAsiaTheme="minorEastAsia"/>
          <w:b/>
          <w:i/>
          <w:sz w:val="28"/>
          <w:szCs w:val="28"/>
        </w:rPr>
      </w:pPr>
      <w:r w:rsidRPr="00F54DA7">
        <w:rPr>
          <w:rFonts w:eastAsiaTheme="minorEastAsia"/>
          <w:b/>
          <w:i/>
          <w:sz w:val="28"/>
          <w:szCs w:val="28"/>
        </w:rPr>
        <w:t>Examine the importance of comprehensive support and counselling in combination with pharmacotherapies</w:t>
      </w:r>
    </w:p>
    <w:p w14:paraId="1557E935" w14:textId="77777777" w:rsidR="00B3406A" w:rsidRDefault="00B3406A" w:rsidP="00523139">
      <w:pPr>
        <w:pStyle w:val="ListParagraph"/>
        <w:numPr>
          <w:ilvl w:val="0"/>
          <w:numId w:val="32"/>
        </w:numPr>
        <w:spacing w:before="120" w:after="0"/>
        <w:ind w:left="357" w:hanging="357"/>
        <w:contextualSpacing w:val="0"/>
        <w:jc w:val="both"/>
      </w:pPr>
      <w:r w:rsidRPr="002A7DCF">
        <w:t xml:space="preserve">The evidence presented from six </w:t>
      </w:r>
      <w:r>
        <w:t>identified</w:t>
      </w:r>
      <w:r w:rsidRPr="002A7DCF">
        <w:t xml:space="preserve"> Cochrane Reviews comparing the efficacy of </w:t>
      </w:r>
      <w:r>
        <w:t xml:space="preserve">specific </w:t>
      </w:r>
      <w:r w:rsidRPr="002A7DCF">
        <w:t>behavioural support with minimal or no behavioural interventions (both in combination with pharmacotherapies) w</w:t>
      </w:r>
      <w:r>
        <w:t>as</w:t>
      </w:r>
      <w:r w:rsidRPr="002A7DCF">
        <w:t xml:space="preserve"> inconclusive</w:t>
      </w:r>
      <w:r>
        <w:t>. T</w:t>
      </w:r>
      <w:r w:rsidRPr="002A7DCF">
        <w:t xml:space="preserve">he type of behavioural interventions </w:t>
      </w:r>
      <w:r>
        <w:t>examined were different for each</w:t>
      </w:r>
      <w:r w:rsidRPr="002A7DCF">
        <w:t xml:space="preserve"> review. </w:t>
      </w:r>
    </w:p>
    <w:p w14:paraId="689A5F62" w14:textId="49E89AE9" w:rsidR="00B3406A" w:rsidRDefault="00B3406A" w:rsidP="00D25738">
      <w:pPr>
        <w:pStyle w:val="ListParagraph"/>
        <w:numPr>
          <w:ilvl w:val="0"/>
          <w:numId w:val="32"/>
        </w:numPr>
        <w:ind w:left="360"/>
        <w:jc w:val="both"/>
      </w:pPr>
      <w:r w:rsidRPr="005E3E2E">
        <w:t xml:space="preserve">The results of smoking cessation rates from three Cochrane Reviews (Lancaster 2017, Carson-Chahhoud 2019, </w:t>
      </w:r>
      <w:r w:rsidR="007918CA" w:rsidRPr="005E3E2E">
        <w:t>and Matkin</w:t>
      </w:r>
      <w:r w:rsidRPr="005E3E2E">
        <w:t xml:space="preserve"> 2019) were statistically significantly different, in favour of behavioural intervention when used in combination with pharmacotherapies. </w:t>
      </w:r>
      <w:r w:rsidRPr="00017CAF">
        <w:t xml:space="preserve">The behavioural interventions </w:t>
      </w:r>
      <w:r>
        <w:t xml:space="preserve">examined </w:t>
      </w:r>
      <w:r w:rsidRPr="00017CAF">
        <w:t>were proactive telephone counselling, more intensive face-to-face behavioural interventions delivered by community pharmacy personnel, and individual face-to-face counselling by a trained smoking cessation counsellor</w:t>
      </w:r>
      <w:r>
        <w:t xml:space="preserve">. </w:t>
      </w:r>
      <w:r w:rsidRPr="0074717F">
        <w:t>The primary evidence previously considered by the PBAC for bup</w:t>
      </w:r>
      <w:r>
        <w:t>ropion</w:t>
      </w:r>
      <w:r w:rsidRPr="0074717F">
        <w:t>, var</w:t>
      </w:r>
      <w:r>
        <w:t>enicline</w:t>
      </w:r>
      <w:r w:rsidRPr="0074717F">
        <w:t>, and NRT patches included the provision of individual counselling sessions in addition to pharmacotherapy</w:t>
      </w:r>
      <w:r>
        <w:t>.</w:t>
      </w:r>
    </w:p>
    <w:p w14:paraId="054A173C" w14:textId="77777777" w:rsidR="00B3406A" w:rsidRDefault="00B3406A" w:rsidP="00D25738">
      <w:pPr>
        <w:pStyle w:val="ListParagraph"/>
        <w:numPr>
          <w:ilvl w:val="0"/>
          <w:numId w:val="32"/>
        </w:numPr>
        <w:ind w:left="360"/>
        <w:jc w:val="both"/>
      </w:pPr>
      <w:r w:rsidRPr="005E3E2E">
        <w:t xml:space="preserve">In contrast, two of the Cochrane Reviews (Stead 2017, Livingstone-Banks 2019b) </w:t>
      </w:r>
      <w:r w:rsidRPr="00D85AB2">
        <w:t>that examined group therapy and print-based self-help materials respectively</w:t>
      </w:r>
      <w:r>
        <w:t xml:space="preserve"> </w:t>
      </w:r>
      <w:r w:rsidRPr="005E3E2E">
        <w:t xml:space="preserve">demonstrated no statistically significant difference in smoking cessation rates between the two </w:t>
      </w:r>
      <w:r w:rsidRPr="005E3E2E">
        <w:lastRenderedPageBreak/>
        <w:t xml:space="preserve">treatment arms, noting that the results numerically favoured the behavioural intervention in combination with pharmacotherapy treatment arm. </w:t>
      </w:r>
    </w:p>
    <w:p w14:paraId="066A0A1B" w14:textId="61476E43" w:rsidR="00B3406A" w:rsidRPr="003F01F5" w:rsidRDefault="00B3406A" w:rsidP="00523139">
      <w:pPr>
        <w:pStyle w:val="ListParagraph"/>
        <w:numPr>
          <w:ilvl w:val="0"/>
          <w:numId w:val="32"/>
        </w:numPr>
        <w:spacing w:after="120"/>
        <w:ind w:left="357" w:hanging="357"/>
        <w:contextualSpacing w:val="0"/>
        <w:jc w:val="both"/>
      </w:pPr>
      <w:r w:rsidRPr="005E3E2E">
        <w:t xml:space="preserve">In Hartmann-Boyce et al. (2019), </w:t>
      </w:r>
      <w:r>
        <w:t xml:space="preserve">comparing more intensive with less intensive </w:t>
      </w:r>
      <w:r w:rsidR="005E2871">
        <w:t>behavioural</w:t>
      </w:r>
      <w:r>
        <w:t xml:space="preserve"> therapy,</w:t>
      </w:r>
      <w:r w:rsidRPr="005E3E2E">
        <w:t xml:space="preserve"> a statistically significant improvement in smoking cessation rates was observed in patients receiving more intensive behavioural intervention when used in combination with NRT or bupropion. There were no statistically significant differences in smoking cessation rates between the more intensive and the less intensive arms when used in combination with varenicline or NRT plus bupropion</w:t>
      </w:r>
      <w:r>
        <w:t>, which</w:t>
      </w:r>
      <w:r w:rsidRPr="00382159">
        <w:t xml:space="preserve"> was likely due to the smaller number of studies leading to lower precision rather than a true difference in effect</w:t>
      </w:r>
      <w:r w:rsidRPr="005E3E2E">
        <w:t>. The results of the overall estimated pooled risk ratio irrespective of the type of pharmacotherapy (PBS-listed and non-PBS</w:t>
      </w:r>
      <w:r w:rsidR="005D0B0A">
        <w:t>-</w:t>
      </w:r>
      <w:r w:rsidRPr="005E3E2E">
        <w:t>listed) were statistically significantly different, in favour of the more intensive behavioural intervention.</w:t>
      </w:r>
    </w:p>
    <w:p w14:paraId="2D124EDA" w14:textId="0C5DD7B6" w:rsidR="00B3406A" w:rsidRDefault="00177EE4" w:rsidP="00523139">
      <w:pPr>
        <w:pStyle w:val="Heading3"/>
        <w:spacing w:before="120" w:after="120"/>
        <w:jc w:val="both"/>
      </w:pPr>
      <w:bookmarkStart w:id="54" w:name="_Toc63082733"/>
      <w:bookmarkStart w:id="55" w:name="_Toc111710695"/>
      <w:r>
        <w:t xml:space="preserve">3.5 </w:t>
      </w:r>
      <w:r w:rsidR="00B3406A">
        <w:t>Use in populations with specific needs</w:t>
      </w:r>
      <w:bookmarkEnd w:id="54"/>
      <w:bookmarkEnd w:id="55"/>
    </w:p>
    <w:p w14:paraId="3267DF02" w14:textId="07290CA8" w:rsidR="00B3406A" w:rsidRPr="0067591A" w:rsidRDefault="00B3406A" w:rsidP="00523139">
      <w:pPr>
        <w:spacing w:before="120" w:after="120"/>
        <w:jc w:val="both"/>
      </w:pPr>
      <w:r>
        <w:t>The evidence reviewed focused on populations in which the clinical guideline recommendations differed from the general population. T</w:t>
      </w:r>
      <w:r w:rsidR="00C2193C">
        <w:t>oR</w:t>
      </w:r>
      <w:r>
        <w:t xml:space="preserve"> 1 presents th</w:t>
      </w:r>
      <w:r w:rsidR="005E2871">
        <w:t>e review of clinical guidelines</w:t>
      </w:r>
      <w:r>
        <w:t xml:space="preserve"> and includes Aboriginal and Torres Strait Islander people and incarcerated persons amongst other </w:t>
      </w:r>
      <w:r w:rsidR="008B5A2D">
        <w:t>populations;</w:t>
      </w:r>
      <w:r>
        <w:t xml:space="preserve"> </w:t>
      </w:r>
      <w:r w:rsidR="008B5A2D">
        <w:t>however,</w:t>
      </w:r>
      <w:r>
        <w:t xml:space="preserve"> the guidelines did not recommend any differential use of smoking cessation therapies or indicate any differential effect of these therapies in any populations other than pregnancy and adolescents. This analysis excluded </w:t>
      </w:r>
      <w:r w:rsidRPr="004061C9">
        <w:t>prescribing contraindications</w:t>
      </w:r>
      <w:r>
        <w:t xml:space="preserve"> and </w:t>
      </w:r>
      <w:r w:rsidRPr="004773C9">
        <w:t>precautions,</w:t>
      </w:r>
      <w:r w:rsidRPr="004061C9">
        <w:t xml:space="preserve"> </w:t>
      </w:r>
      <w:r>
        <w:t>as they</w:t>
      </w:r>
      <w:r w:rsidRPr="004061C9">
        <w:t xml:space="preserve"> are not typically handled via a PBS restriction</w:t>
      </w:r>
      <w:r>
        <w:t>.</w:t>
      </w:r>
    </w:p>
    <w:p w14:paraId="55E31316" w14:textId="4CD72A99" w:rsidR="00B3406A" w:rsidRPr="00893E06" w:rsidRDefault="00B3406A" w:rsidP="00523139">
      <w:pPr>
        <w:spacing w:before="120" w:after="120"/>
        <w:jc w:val="both"/>
        <w:rPr>
          <w:rFonts w:eastAsiaTheme="minorEastAsia"/>
          <w:b/>
          <w:i/>
          <w:szCs w:val="24"/>
        </w:rPr>
      </w:pPr>
      <w:r w:rsidRPr="00893E06">
        <w:rPr>
          <w:rFonts w:eastAsiaTheme="minorEastAsia"/>
          <w:b/>
          <w:i/>
          <w:sz w:val="28"/>
          <w:szCs w:val="28"/>
        </w:rPr>
        <w:t xml:space="preserve">Examine the evidence of efficacy and safety of smoking cessation medicines </w:t>
      </w:r>
      <w:r>
        <w:rPr>
          <w:rFonts w:eastAsiaTheme="minorEastAsia"/>
          <w:b/>
          <w:i/>
          <w:sz w:val="28"/>
          <w:szCs w:val="28"/>
        </w:rPr>
        <w:t xml:space="preserve">during pregnancy and </w:t>
      </w:r>
      <w:r w:rsidRPr="00893E06">
        <w:rPr>
          <w:rFonts w:eastAsiaTheme="minorEastAsia"/>
          <w:b/>
          <w:i/>
          <w:sz w:val="28"/>
          <w:szCs w:val="28"/>
        </w:rPr>
        <w:t xml:space="preserve">for </w:t>
      </w:r>
      <w:r>
        <w:rPr>
          <w:rFonts w:eastAsiaTheme="minorEastAsia"/>
          <w:b/>
          <w:i/>
          <w:sz w:val="28"/>
          <w:szCs w:val="28"/>
        </w:rPr>
        <w:t>adolescents</w:t>
      </w:r>
    </w:p>
    <w:p w14:paraId="03601826" w14:textId="1BCC4438" w:rsidR="00B3406A" w:rsidRPr="00E81CEC" w:rsidRDefault="00B3406A" w:rsidP="00523139">
      <w:pPr>
        <w:pStyle w:val="Heading6"/>
        <w:numPr>
          <w:ilvl w:val="2"/>
          <w:numId w:val="73"/>
        </w:numPr>
        <w:spacing w:before="120" w:after="120"/>
        <w:jc w:val="both"/>
        <w:rPr>
          <w:rFonts w:asciiTheme="minorHAnsi" w:hAnsiTheme="minorHAnsi" w:cstheme="minorHAnsi"/>
          <w:b/>
          <w:i w:val="0"/>
          <w:color w:val="auto"/>
        </w:rPr>
      </w:pPr>
      <w:r w:rsidRPr="00E81CEC">
        <w:rPr>
          <w:rFonts w:asciiTheme="minorHAnsi" w:hAnsiTheme="minorHAnsi" w:cstheme="minorHAnsi"/>
          <w:b/>
          <w:i w:val="0"/>
          <w:color w:val="auto"/>
        </w:rPr>
        <w:t>Pregnancy and lactation</w:t>
      </w:r>
    </w:p>
    <w:p w14:paraId="188B2586" w14:textId="758A17CE" w:rsidR="00B3406A" w:rsidRDefault="00B3406A" w:rsidP="002B5CD1">
      <w:pPr>
        <w:pStyle w:val="ListParagraph"/>
        <w:numPr>
          <w:ilvl w:val="0"/>
          <w:numId w:val="33"/>
        </w:numPr>
        <w:spacing w:before="120" w:after="0"/>
        <w:ind w:left="357" w:hanging="357"/>
        <w:contextualSpacing w:val="0"/>
        <w:jc w:val="both"/>
      </w:pPr>
      <w:r w:rsidRPr="005E3E2E">
        <w:t xml:space="preserve">NRT was shown </w:t>
      </w:r>
      <w:r>
        <w:t>to be superior to</w:t>
      </w:r>
      <w:r w:rsidRPr="005E3E2E">
        <w:t xml:space="preserve"> placebo/control</w:t>
      </w:r>
      <w:r>
        <w:t xml:space="preserve"> in terms of efficacy based on </w:t>
      </w:r>
      <w:r w:rsidRPr="007C0434">
        <w:t>self-reported abstinence from smoking at the latest time point in pregnancy</w:t>
      </w:r>
      <w:r>
        <w:t xml:space="preserve"> (biochemically validated where available)</w:t>
      </w:r>
      <w:r w:rsidRPr="005E3E2E">
        <w:t xml:space="preserve">, noting the results were statistically significant in the long-acting NRT subgroup but not the fast-acting NRT subgroup. In terms of safety, there were no statistically significant differences in rates of preterm births, neonatal intensive care unit admissions, neonatal deaths, congenital abnormalities, caesarean birth, mean </w:t>
      </w:r>
      <w:r w:rsidR="00C2193C" w:rsidRPr="005E3E2E">
        <w:t>birthweight,</w:t>
      </w:r>
      <w:r w:rsidRPr="005E3E2E">
        <w:t xml:space="preserve"> and risk of miscarriage/spontaneous abortion between the two treatment arms.</w:t>
      </w:r>
    </w:p>
    <w:p w14:paraId="13A195A2" w14:textId="49660A04" w:rsidR="00C2193C" w:rsidRDefault="00C2193C" w:rsidP="002B5CD1">
      <w:pPr>
        <w:pStyle w:val="ListParagraph"/>
        <w:numPr>
          <w:ilvl w:val="0"/>
          <w:numId w:val="33"/>
        </w:numPr>
        <w:spacing w:after="240"/>
        <w:ind w:left="357" w:hanging="357"/>
        <w:contextualSpacing w:val="0"/>
        <w:jc w:val="both"/>
      </w:pPr>
      <w:r w:rsidRPr="00C2193C">
        <w:t>There were no statistically significant differences between bupropion and placebo in terms of efficacy based on self-reported abstinence from smoking at the latest time point in pregnancy (biochemically validated where available), noting the relatively small sample size of the individual studies. It was noted that women across all studies reported known adverse effects of bupropion (i.e., vomiting, headache, difficulty sleeping).</w:t>
      </w:r>
    </w:p>
    <w:p w14:paraId="7C98BA7A" w14:textId="0347B06E" w:rsidR="00E81CEC" w:rsidRDefault="00C2193C" w:rsidP="00523139">
      <w:r>
        <w:br w:type="page"/>
      </w:r>
    </w:p>
    <w:tbl>
      <w:tblPr>
        <w:tblStyle w:val="TableGrid3"/>
        <w:tblW w:w="5000" w:type="pct"/>
        <w:shd w:val="clear" w:color="auto" w:fill="F2F2F2" w:themeFill="background1" w:themeFillShade="F2"/>
        <w:tblLook w:val="04A0" w:firstRow="1" w:lastRow="0" w:firstColumn="1" w:lastColumn="0" w:noHBand="0" w:noVBand="1"/>
      </w:tblPr>
      <w:tblGrid>
        <w:gridCol w:w="1526"/>
        <w:gridCol w:w="1978"/>
        <w:gridCol w:w="5512"/>
      </w:tblGrid>
      <w:tr w:rsidR="00B3406A" w:rsidRPr="00916516" w14:paraId="0A8D7030" w14:textId="77777777" w:rsidTr="00A82090">
        <w:trPr>
          <w:trHeight w:val="67"/>
        </w:trPr>
        <w:tc>
          <w:tcPr>
            <w:tcW w:w="846" w:type="pct"/>
            <w:shd w:val="clear" w:color="auto" w:fill="F2F2F2" w:themeFill="background1" w:themeFillShade="F2"/>
            <w:hideMark/>
          </w:tcPr>
          <w:p w14:paraId="72A63260" w14:textId="77777777" w:rsidR="00B3406A" w:rsidRPr="00916516" w:rsidRDefault="00B3406A" w:rsidP="001E7257">
            <w:pPr>
              <w:rPr>
                <w:szCs w:val="18"/>
              </w:rPr>
            </w:pPr>
            <w:r w:rsidRPr="00916516">
              <w:rPr>
                <w:b/>
                <w:bCs/>
                <w:szCs w:val="18"/>
              </w:rPr>
              <w:lastRenderedPageBreak/>
              <w:t>Compar</w:t>
            </w:r>
            <w:r>
              <w:rPr>
                <w:b/>
                <w:bCs/>
                <w:szCs w:val="18"/>
              </w:rPr>
              <w:t>ison</w:t>
            </w:r>
          </w:p>
        </w:tc>
        <w:tc>
          <w:tcPr>
            <w:tcW w:w="1097" w:type="pct"/>
            <w:shd w:val="clear" w:color="auto" w:fill="F2F2F2" w:themeFill="background1" w:themeFillShade="F2"/>
            <w:hideMark/>
          </w:tcPr>
          <w:p w14:paraId="6CE7844F" w14:textId="77777777" w:rsidR="00B3406A" w:rsidRPr="00916516" w:rsidRDefault="00B3406A" w:rsidP="001E7257">
            <w:pPr>
              <w:jc w:val="center"/>
              <w:rPr>
                <w:szCs w:val="18"/>
              </w:rPr>
            </w:pPr>
            <w:r>
              <w:rPr>
                <w:b/>
                <w:bCs/>
                <w:szCs w:val="18"/>
              </w:rPr>
              <w:t>Included studies</w:t>
            </w:r>
          </w:p>
        </w:tc>
        <w:tc>
          <w:tcPr>
            <w:tcW w:w="3056" w:type="pct"/>
            <w:shd w:val="clear" w:color="auto" w:fill="F2F2F2" w:themeFill="background1" w:themeFillShade="F2"/>
            <w:hideMark/>
          </w:tcPr>
          <w:p w14:paraId="08CBB939" w14:textId="77777777" w:rsidR="00B3406A" w:rsidRPr="00916516" w:rsidRDefault="00B3406A" w:rsidP="001E7257">
            <w:pPr>
              <w:jc w:val="center"/>
              <w:rPr>
                <w:szCs w:val="18"/>
              </w:rPr>
            </w:pPr>
            <w:r>
              <w:rPr>
                <w:b/>
                <w:bCs/>
                <w:szCs w:val="18"/>
              </w:rPr>
              <w:t>Summary of evidence</w:t>
            </w:r>
          </w:p>
        </w:tc>
      </w:tr>
      <w:tr w:rsidR="00B3406A" w:rsidRPr="009068BC" w14:paraId="5A241126" w14:textId="77777777" w:rsidTr="00A82090">
        <w:trPr>
          <w:trHeight w:val="345"/>
        </w:trPr>
        <w:tc>
          <w:tcPr>
            <w:tcW w:w="846" w:type="pct"/>
            <w:shd w:val="clear" w:color="auto" w:fill="F2F2F2" w:themeFill="background1" w:themeFillShade="F2"/>
            <w:hideMark/>
          </w:tcPr>
          <w:p w14:paraId="6F15A8EB" w14:textId="77777777" w:rsidR="00B3406A" w:rsidRPr="00237D04" w:rsidRDefault="00B3406A" w:rsidP="001E7257">
            <w:pPr>
              <w:tabs>
                <w:tab w:val="left" w:pos="1198"/>
              </w:tabs>
              <w:rPr>
                <w:szCs w:val="18"/>
              </w:rPr>
            </w:pPr>
            <w:r>
              <w:rPr>
                <w:szCs w:val="18"/>
              </w:rPr>
              <w:t>NRT vs placebo/control</w:t>
            </w:r>
          </w:p>
        </w:tc>
        <w:tc>
          <w:tcPr>
            <w:tcW w:w="1097" w:type="pct"/>
            <w:shd w:val="clear" w:color="auto" w:fill="F2F2F2" w:themeFill="background1" w:themeFillShade="F2"/>
            <w:hideMark/>
          </w:tcPr>
          <w:p w14:paraId="2CFE2427" w14:textId="77777777" w:rsidR="00B3406A" w:rsidRPr="00A5409B" w:rsidRDefault="00B3406A" w:rsidP="00815A6D">
            <w:pPr>
              <w:pStyle w:val="ListParagraph"/>
              <w:numPr>
                <w:ilvl w:val="0"/>
                <w:numId w:val="43"/>
              </w:numPr>
              <w:rPr>
                <w:szCs w:val="18"/>
              </w:rPr>
            </w:pPr>
            <w:r w:rsidRPr="00A5409B">
              <w:rPr>
                <w:szCs w:val="18"/>
              </w:rPr>
              <w:t>Claire (2020</w:t>
            </w:r>
            <w:r>
              <w:rPr>
                <w:szCs w:val="18"/>
              </w:rPr>
              <w:t>)</w:t>
            </w:r>
            <w:r>
              <w:rPr>
                <w:szCs w:val="18"/>
                <w:vertAlign w:val="superscript"/>
              </w:rPr>
              <w:t>1</w:t>
            </w:r>
          </w:p>
        </w:tc>
        <w:tc>
          <w:tcPr>
            <w:tcW w:w="3056" w:type="pct"/>
            <w:shd w:val="clear" w:color="auto" w:fill="F2F2F2" w:themeFill="background1" w:themeFillShade="F2"/>
            <w:hideMark/>
          </w:tcPr>
          <w:p w14:paraId="2CBDAB7C" w14:textId="608E19D4" w:rsidR="00B3406A" w:rsidRPr="00655AEE"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655AEE">
              <w:rPr>
                <w:szCs w:val="18"/>
              </w:rPr>
              <w:t>Statistically significant</w:t>
            </w:r>
            <w:r>
              <w:rPr>
                <w:szCs w:val="18"/>
                <w:vertAlign w:val="superscript"/>
              </w:rPr>
              <w:t>2</w:t>
            </w:r>
            <w:r w:rsidRPr="00655AEE">
              <w:rPr>
                <w:szCs w:val="18"/>
                <w:vertAlign w:val="superscript"/>
              </w:rPr>
              <w:t>,</w:t>
            </w:r>
            <w:r w:rsidR="00C2193C">
              <w:rPr>
                <w:szCs w:val="18"/>
                <w:vertAlign w:val="superscript"/>
              </w:rPr>
              <w:t xml:space="preserve">3 </w:t>
            </w:r>
            <w:r w:rsidR="00C2193C">
              <w:rPr>
                <w:szCs w:val="18"/>
              </w:rPr>
              <w:t>based</w:t>
            </w:r>
            <w:r>
              <w:rPr>
                <w:szCs w:val="18"/>
              </w:rPr>
              <w:t xml:space="preserve"> on RR </w:t>
            </w:r>
            <w:r w:rsidRPr="00655AEE">
              <w:rPr>
                <w:szCs w:val="18"/>
              </w:rPr>
              <w:t>(in favour of NRT)</w:t>
            </w:r>
            <w:r>
              <w:rPr>
                <w:szCs w:val="18"/>
              </w:rPr>
              <w:t>.</w:t>
            </w:r>
          </w:p>
          <w:p w14:paraId="03687A2F" w14:textId="77777777" w:rsidR="00B3406A" w:rsidRPr="00655AEE" w:rsidRDefault="00B3406A" w:rsidP="00815A6D">
            <w:pPr>
              <w:pStyle w:val="ListParagraph"/>
              <w:numPr>
                <w:ilvl w:val="0"/>
                <w:numId w:val="43"/>
              </w:numPr>
              <w:rPr>
                <w:szCs w:val="18"/>
              </w:rPr>
            </w:pPr>
            <w:r w:rsidRPr="00360862">
              <w:rPr>
                <w:szCs w:val="18"/>
                <w:u w:val="single"/>
              </w:rPr>
              <w:t>Safety:</w:t>
            </w:r>
            <w:r w:rsidRPr="00360862">
              <w:rPr>
                <w:szCs w:val="18"/>
              </w:rPr>
              <w:t xml:space="preserve"> </w:t>
            </w:r>
            <w:r w:rsidRPr="00655AEE">
              <w:rPr>
                <w:szCs w:val="18"/>
              </w:rPr>
              <w:t>Not statistically significant</w:t>
            </w:r>
            <w:r>
              <w:rPr>
                <w:szCs w:val="18"/>
              </w:rPr>
              <w:t xml:space="preserve"> based on RR </w:t>
            </w:r>
            <w:r w:rsidRPr="00655AEE">
              <w:rPr>
                <w:szCs w:val="18"/>
              </w:rPr>
              <w:t>(</w:t>
            </w:r>
            <w:r w:rsidRPr="00655AEE">
              <w:rPr>
                <w:szCs w:val="18"/>
                <w:lang w:val="en-US"/>
              </w:rPr>
              <w:t>preterm births, neonatal intensive care unit admissions, neonatal deaths, congenital abnormalities, caesarean birth, mean birthweight, risk of miscarriage/spontaneous abortion</w:t>
            </w:r>
            <w:r w:rsidRPr="00655AEE">
              <w:rPr>
                <w:szCs w:val="18"/>
              </w:rPr>
              <w:t>).</w:t>
            </w:r>
          </w:p>
        </w:tc>
      </w:tr>
      <w:tr w:rsidR="00B3406A" w:rsidRPr="009068BC" w14:paraId="1CEEEACB" w14:textId="77777777" w:rsidTr="00A82090">
        <w:trPr>
          <w:trHeight w:val="345"/>
        </w:trPr>
        <w:tc>
          <w:tcPr>
            <w:tcW w:w="846" w:type="pct"/>
            <w:shd w:val="clear" w:color="auto" w:fill="F2F2F2" w:themeFill="background1" w:themeFillShade="F2"/>
          </w:tcPr>
          <w:p w14:paraId="34B2C1DC" w14:textId="77777777" w:rsidR="00B3406A" w:rsidRPr="00237D04" w:rsidRDefault="00B3406A" w:rsidP="001E7257">
            <w:pPr>
              <w:tabs>
                <w:tab w:val="left" w:pos="1198"/>
              </w:tabs>
              <w:rPr>
                <w:szCs w:val="18"/>
              </w:rPr>
            </w:pPr>
            <w:r>
              <w:rPr>
                <w:szCs w:val="18"/>
              </w:rPr>
              <w:t>Bupropion vs placebo</w:t>
            </w:r>
          </w:p>
        </w:tc>
        <w:tc>
          <w:tcPr>
            <w:tcW w:w="1097" w:type="pct"/>
            <w:shd w:val="clear" w:color="auto" w:fill="F2F2F2" w:themeFill="background1" w:themeFillShade="F2"/>
          </w:tcPr>
          <w:p w14:paraId="48C3F3B5" w14:textId="77777777" w:rsidR="00B3406A" w:rsidRPr="004110FF" w:rsidRDefault="00B3406A" w:rsidP="00815A6D">
            <w:pPr>
              <w:pStyle w:val="ListParagraph"/>
              <w:numPr>
                <w:ilvl w:val="0"/>
                <w:numId w:val="43"/>
              </w:numPr>
            </w:pPr>
            <w:r w:rsidRPr="00A5409B">
              <w:rPr>
                <w:szCs w:val="18"/>
              </w:rPr>
              <w:t>Claire (2020</w:t>
            </w:r>
            <w:r>
              <w:rPr>
                <w:szCs w:val="18"/>
              </w:rPr>
              <w:t>)</w:t>
            </w:r>
            <w:r>
              <w:rPr>
                <w:szCs w:val="18"/>
                <w:vertAlign w:val="superscript"/>
              </w:rPr>
              <w:t>1</w:t>
            </w:r>
          </w:p>
        </w:tc>
        <w:tc>
          <w:tcPr>
            <w:tcW w:w="3056" w:type="pct"/>
            <w:shd w:val="clear" w:color="auto" w:fill="F2F2F2" w:themeFill="background1" w:themeFillShade="F2"/>
          </w:tcPr>
          <w:p w14:paraId="206937FA" w14:textId="77777777" w:rsidR="00B3406A" w:rsidRPr="00655AEE" w:rsidRDefault="00B3406A" w:rsidP="00815A6D">
            <w:pPr>
              <w:pStyle w:val="ListParagraph"/>
              <w:numPr>
                <w:ilvl w:val="0"/>
                <w:numId w:val="43"/>
              </w:numPr>
              <w:rPr>
                <w:szCs w:val="18"/>
              </w:rPr>
            </w:pPr>
            <w:r w:rsidRPr="00360862">
              <w:rPr>
                <w:szCs w:val="18"/>
                <w:u w:val="single"/>
              </w:rPr>
              <w:t>Efficacy</w:t>
            </w:r>
            <w:r w:rsidRPr="00360862">
              <w:rPr>
                <w:szCs w:val="18"/>
              </w:rPr>
              <w:t xml:space="preserve">: </w:t>
            </w:r>
            <w:r w:rsidRPr="00655AEE">
              <w:rPr>
                <w:szCs w:val="18"/>
              </w:rPr>
              <w:t>Not statistically significant</w:t>
            </w:r>
            <w:r>
              <w:rPr>
                <w:szCs w:val="18"/>
                <w:vertAlign w:val="superscript"/>
              </w:rPr>
              <w:t>3</w:t>
            </w:r>
            <w:r>
              <w:rPr>
                <w:szCs w:val="18"/>
              </w:rPr>
              <w:t xml:space="preserve"> based on RR.</w:t>
            </w:r>
          </w:p>
          <w:p w14:paraId="7F9547C2" w14:textId="77777777" w:rsidR="00B3406A" w:rsidRPr="00655AEE" w:rsidRDefault="00B3406A" w:rsidP="00815A6D">
            <w:pPr>
              <w:pStyle w:val="ListParagraph"/>
              <w:numPr>
                <w:ilvl w:val="0"/>
                <w:numId w:val="43"/>
              </w:numPr>
              <w:rPr>
                <w:szCs w:val="18"/>
              </w:rPr>
            </w:pPr>
            <w:r w:rsidRPr="00360862">
              <w:rPr>
                <w:szCs w:val="18"/>
                <w:u w:val="single"/>
              </w:rPr>
              <w:t>Safety:</w:t>
            </w:r>
            <w:r>
              <w:rPr>
                <w:szCs w:val="18"/>
                <w:u w:val="single"/>
              </w:rPr>
              <w:t xml:space="preserve"> </w:t>
            </w:r>
            <w:r w:rsidRPr="00655AEE">
              <w:rPr>
                <w:szCs w:val="18"/>
              </w:rPr>
              <w:t>Not statistically significant</w:t>
            </w:r>
            <w:r>
              <w:rPr>
                <w:szCs w:val="18"/>
              </w:rPr>
              <w:t xml:space="preserve"> </w:t>
            </w:r>
            <w:r w:rsidRPr="00655AEE">
              <w:rPr>
                <w:szCs w:val="18"/>
              </w:rPr>
              <w:t>(</w:t>
            </w:r>
            <w:r w:rsidRPr="00655AEE">
              <w:rPr>
                <w:szCs w:val="18"/>
                <w:lang w:val="en-US"/>
              </w:rPr>
              <w:t>mean birthweight, mean length of infants and systolic of diastolic blood pressure at the end of pregnancy</w:t>
            </w:r>
            <w:r w:rsidRPr="00655AEE">
              <w:rPr>
                <w:szCs w:val="18"/>
              </w:rPr>
              <w:t>)</w:t>
            </w:r>
            <w:r>
              <w:rPr>
                <w:szCs w:val="18"/>
                <w:vertAlign w:val="superscript"/>
              </w:rPr>
              <w:t>4</w:t>
            </w:r>
            <w:r w:rsidRPr="00655AEE">
              <w:rPr>
                <w:szCs w:val="18"/>
              </w:rPr>
              <w:t>.</w:t>
            </w:r>
          </w:p>
        </w:tc>
      </w:tr>
    </w:tbl>
    <w:p w14:paraId="14B23767" w14:textId="77777777" w:rsidR="00B3406A" w:rsidRDefault="00B3406A" w:rsidP="00523139">
      <w:pPr>
        <w:pStyle w:val="TableFooter"/>
        <w:keepNext/>
        <w:jc w:val="both"/>
      </w:pPr>
      <w:r>
        <w:t>Abbreviations: NRT = nicotine replacement therapy; RR = risk ratio.</w:t>
      </w:r>
    </w:p>
    <w:p w14:paraId="1404331A" w14:textId="77777777" w:rsidR="00B3406A" w:rsidRDefault="00B3406A" w:rsidP="00523139">
      <w:pPr>
        <w:pStyle w:val="TableFooter"/>
        <w:keepNext/>
        <w:jc w:val="both"/>
      </w:pPr>
      <w:r w:rsidRPr="00BE36E8">
        <w:t xml:space="preserve">Notes: </w:t>
      </w:r>
    </w:p>
    <w:p w14:paraId="00292745" w14:textId="77777777" w:rsidR="00B3406A" w:rsidRDefault="00B3406A" w:rsidP="00523139">
      <w:pPr>
        <w:pStyle w:val="TableFooter"/>
        <w:keepNext/>
        <w:jc w:val="both"/>
      </w:pPr>
      <w:r>
        <w:t xml:space="preserve">1 </w:t>
      </w:r>
      <w:r w:rsidRPr="00BE36E8">
        <w:t>Cochrane Review</w:t>
      </w:r>
      <w:r>
        <w:t>.</w:t>
      </w:r>
    </w:p>
    <w:p w14:paraId="45D425BB" w14:textId="77777777" w:rsidR="00B3406A" w:rsidRPr="00655AEE" w:rsidRDefault="00B3406A" w:rsidP="00523139">
      <w:pPr>
        <w:pStyle w:val="TableFooter"/>
        <w:keepNext/>
        <w:jc w:val="both"/>
      </w:pPr>
      <w:r>
        <w:t xml:space="preserve">2 </w:t>
      </w:r>
      <w:r w:rsidRPr="00655AEE">
        <w:t>Statistically significant in overall pooled analysis (RR = 1.37, 95%CI: 1.08, 1.74). Statistically significant in the long-acting NRT subgroup (RR = 1.53, 95%CI: 1.16, 2.01) but not the fast-acting NRT subgroup (RR = 0.91, 95%CI: 0.55, 1.51).</w:t>
      </w:r>
    </w:p>
    <w:p w14:paraId="76B86274" w14:textId="77777777" w:rsidR="00B3406A" w:rsidRPr="000E4C3B" w:rsidRDefault="00B3406A" w:rsidP="00523139">
      <w:pPr>
        <w:pStyle w:val="TableFooter"/>
        <w:keepNext/>
        <w:jc w:val="both"/>
      </w:pPr>
      <w:r>
        <w:t xml:space="preserve">3 </w:t>
      </w:r>
      <w:r w:rsidRPr="00655AEE">
        <w:t>Based on self-reported abstinence from smoking at the latest time point in pregnancy (biochemically validated where available).</w:t>
      </w:r>
    </w:p>
    <w:p w14:paraId="1AA5FD78" w14:textId="467CE2CC" w:rsidR="00B3406A" w:rsidRPr="000E4C3B" w:rsidRDefault="00C2193C" w:rsidP="00523139">
      <w:pPr>
        <w:pStyle w:val="TableFooter"/>
        <w:keepNext/>
        <w:spacing w:after="120"/>
        <w:contextualSpacing w:val="0"/>
        <w:jc w:val="both"/>
      </w:pPr>
      <w:r>
        <w:t xml:space="preserve">4 </w:t>
      </w:r>
      <w:r w:rsidR="00B3406A">
        <w:t>Qualitative synthesis.</w:t>
      </w:r>
    </w:p>
    <w:p w14:paraId="6CF9ABD9" w14:textId="7FE1FDD5" w:rsidR="00B3406A" w:rsidRPr="00E81CEC" w:rsidRDefault="00E81CEC" w:rsidP="00523139">
      <w:pPr>
        <w:pStyle w:val="Heading6"/>
        <w:numPr>
          <w:ilvl w:val="0"/>
          <w:numId w:val="0"/>
        </w:numPr>
        <w:spacing w:before="120" w:after="120"/>
        <w:ind w:left="1151" w:hanging="1151"/>
        <w:jc w:val="both"/>
        <w:rPr>
          <w:rFonts w:asciiTheme="minorHAnsi" w:hAnsiTheme="minorHAnsi" w:cstheme="minorHAnsi"/>
          <w:b/>
          <w:i w:val="0"/>
          <w:color w:val="auto"/>
        </w:rPr>
      </w:pPr>
      <w:r w:rsidRPr="00E81CEC">
        <w:rPr>
          <w:rFonts w:asciiTheme="minorHAnsi" w:hAnsiTheme="minorHAnsi" w:cstheme="minorHAnsi"/>
          <w:b/>
          <w:i w:val="0"/>
          <w:color w:val="auto"/>
        </w:rPr>
        <w:t xml:space="preserve">3.5.2 </w:t>
      </w:r>
      <w:r w:rsidR="00B3406A" w:rsidRPr="00E81CEC">
        <w:rPr>
          <w:rFonts w:asciiTheme="minorHAnsi" w:hAnsiTheme="minorHAnsi" w:cstheme="minorHAnsi"/>
          <w:b/>
          <w:i w:val="0"/>
          <w:color w:val="auto"/>
        </w:rPr>
        <w:t>Adolescents</w:t>
      </w:r>
    </w:p>
    <w:p w14:paraId="41429A12" w14:textId="785D2549" w:rsidR="00B3406A" w:rsidRDefault="00B3406A" w:rsidP="00523139">
      <w:pPr>
        <w:pStyle w:val="ListParagraph"/>
        <w:numPr>
          <w:ilvl w:val="0"/>
          <w:numId w:val="34"/>
        </w:numPr>
        <w:spacing w:before="120" w:after="0"/>
        <w:ind w:left="357" w:hanging="357"/>
        <w:contextualSpacing w:val="0"/>
        <w:jc w:val="both"/>
      </w:pPr>
      <w:r>
        <w:t>S</w:t>
      </w:r>
      <w:r w:rsidRPr="00996101">
        <w:t xml:space="preserve">tudies which assessed the use of pharmacotherapy for smoking cessation in adolescents </w:t>
      </w:r>
      <w:r>
        <w:t>may be</w:t>
      </w:r>
      <w:r w:rsidRPr="00996101">
        <w:t xml:space="preserve"> underpowered given the small number of individuals in both the intervention </w:t>
      </w:r>
      <w:r w:rsidR="005E2871">
        <w:t>and</w:t>
      </w:r>
      <w:r w:rsidRPr="00996101">
        <w:t xml:space="preserve"> control groups who achieved smoking cessation at any point during follow-up. As such, the results from these studies should be interpreted with caution.</w:t>
      </w:r>
    </w:p>
    <w:p w14:paraId="331D704B" w14:textId="787ECE7F" w:rsidR="00B3406A" w:rsidRDefault="00B3406A" w:rsidP="00D25738">
      <w:pPr>
        <w:pStyle w:val="ListParagraph"/>
        <w:numPr>
          <w:ilvl w:val="0"/>
          <w:numId w:val="34"/>
        </w:numPr>
        <w:ind w:left="360"/>
        <w:jc w:val="both"/>
      </w:pPr>
      <w:r>
        <w:t xml:space="preserve">There were no statistically significant differences between </w:t>
      </w:r>
      <w:r w:rsidRPr="0054787D">
        <w:t xml:space="preserve">NRT </w:t>
      </w:r>
      <w:r>
        <w:t xml:space="preserve">(either as patch, </w:t>
      </w:r>
      <w:r w:rsidR="00C2193C">
        <w:t>gum,</w:t>
      </w:r>
      <w:r>
        <w:t xml:space="preserve"> or nasal spray)</w:t>
      </w:r>
      <w:r w:rsidRPr="0054787D">
        <w:t xml:space="preserve"> </w:t>
      </w:r>
      <w:r>
        <w:t>and</w:t>
      </w:r>
      <w:r w:rsidRPr="0054787D">
        <w:t xml:space="preserve"> placebo in terms of ef</w:t>
      </w:r>
      <w:r>
        <w:t>f</w:t>
      </w:r>
      <w:r w:rsidRPr="0054787D">
        <w:t>icacy</w:t>
      </w:r>
      <w:r>
        <w:t xml:space="preserve"> based on smoking cessation rates (short-term and long-term)</w:t>
      </w:r>
      <w:r w:rsidRPr="0054787D">
        <w:t xml:space="preserve">. </w:t>
      </w:r>
      <w:r>
        <w:t>For</w:t>
      </w:r>
      <w:r w:rsidRPr="0054787D">
        <w:t xml:space="preserve"> safety, the studies reported a</w:t>
      </w:r>
      <w:r>
        <w:t xml:space="preserve"> significa</w:t>
      </w:r>
      <w:r w:rsidRPr="0054787D">
        <w:t>n</w:t>
      </w:r>
      <w:r>
        <w:t>tly</w:t>
      </w:r>
      <w:r w:rsidRPr="0054787D">
        <w:t xml:space="preserve"> </w:t>
      </w:r>
      <w:r>
        <w:t xml:space="preserve">higher </w:t>
      </w:r>
      <w:r w:rsidRPr="0054787D">
        <w:t>inc</w:t>
      </w:r>
      <w:r>
        <w:t>idence</w:t>
      </w:r>
      <w:r w:rsidRPr="0054787D">
        <w:t xml:space="preserve"> </w:t>
      </w:r>
      <w:r>
        <w:t>of</w:t>
      </w:r>
      <w:r w:rsidRPr="0054787D">
        <w:t xml:space="preserve"> adverse events in the NRT arm compared to placebo arm, specifically sore throat, hiccups, erythema, </w:t>
      </w:r>
      <w:r w:rsidR="007918CA" w:rsidRPr="0054787D">
        <w:t>pruritus</w:t>
      </w:r>
      <w:r>
        <w:t>,</w:t>
      </w:r>
      <w:r w:rsidRPr="0054787D">
        <w:t xml:space="preserve"> </w:t>
      </w:r>
      <w:r w:rsidRPr="008B7D58">
        <w:t xml:space="preserve">shoulder/arm pain, headache, cough, abnormal </w:t>
      </w:r>
      <w:r w:rsidR="00C2193C" w:rsidRPr="008B7D58">
        <w:t>dreams,</w:t>
      </w:r>
      <w:r w:rsidRPr="008B7D58">
        <w:t xml:space="preserve"> </w:t>
      </w:r>
      <w:r w:rsidRPr="0054787D">
        <w:t>and muscle pain.</w:t>
      </w:r>
    </w:p>
    <w:p w14:paraId="0B69B93A" w14:textId="33C4CC6F" w:rsidR="00B3406A" w:rsidRDefault="00B3406A" w:rsidP="00D25738">
      <w:pPr>
        <w:pStyle w:val="ListParagraph"/>
        <w:numPr>
          <w:ilvl w:val="0"/>
          <w:numId w:val="34"/>
        </w:numPr>
        <w:ind w:left="360"/>
        <w:jc w:val="both"/>
      </w:pPr>
      <w:r>
        <w:t>There were no statistically significant differences between b</w:t>
      </w:r>
      <w:r w:rsidRPr="0054787D">
        <w:t xml:space="preserve">upropion </w:t>
      </w:r>
      <w:r>
        <w:t>and</w:t>
      </w:r>
      <w:r w:rsidRPr="0054787D">
        <w:t xml:space="preserve"> placebo in terms of </w:t>
      </w:r>
      <w:r>
        <w:t xml:space="preserve">long-term </w:t>
      </w:r>
      <w:r w:rsidRPr="0054787D">
        <w:t>efficacy</w:t>
      </w:r>
      <w:r w:rsidRPr="00414FAB">
        <w:t xml:space="preserve"> based on the one study</w:t>
      </w:r>
      <w:r>
        <w:t xml:space="preserve"> </w:t>
      </w:r>
      <w:r w:rsidRPr="00414FAB">
        <w:t xml:space="preserve">identified by Fanshawe et al. (2017). However, bupropion was shown to significantly improve smoking cessation rates compared with placebo based on the meta-analysis conducted by Myung et al. (2019), noting that the two additional studies included in the meta-analysis measured smoking cessation outcomes at </w:t>
      </w:r>
      <w:r>
        <w:t>three</w:t>
      </w:r>
      <w:r w:rsidRPr="00414FAB">
        <w:t xml:space="preserve"> months, had a relatively small sample size and wide confidence intervals</w:t>
      </w:r>
      <w:r>
        <w:t xml:space="preserve">. </w:t>
      </w:r>
      <w:r w:rsidRPr="0054787D">
        <w:t>For safety, the</w:t>
      </w:r>
      <w:r>
        <w:t>re were no significant differences between</w:t>
      </w:r>
      <w:r w:rsidRPr="0054787D">
        <w:t xml:space="preserve"> bupropion </w:t>
      </w:r>
      <w:r>
        <w:t>and placebo (</w:t>
      </w:r>
      <w:r w:rsidR="00C2193C">
        <w:t>i.e.,</w:t>
      </w:r>
      <w:r>
        <w:t xml:space="preserve"> headache, irritability, insomnia),</w:t>
      </w:r>
      <w:r w:rsidRPr="0054787D">
        <w:t xml:space="preserve"> </w:t>
      </w:r>
      <w:r>
        <w:t xml:space="preserve">except for </w:t>
      </w:r>
      <w:r w:rsidRPr="0054787D">
        <w:t>dream disturbances</w:t>
      </w:r>
      <w:r>
        <w:t xml:space="preserve"> which was significantly higher in the bupropion arm</w:t>
      </w:r>
      <w:r w:rsidRPr="0054787D">
        <w:t>.</w:t>
      </w:r>
    </w:p>
    <w:p w14:paraId="71F3A096" w14:textId="4BC149DC" w:rsidR="00E81CEC" w:rsidRDefault="00B3406A" w:rsidP="00523139">
      <w:pPr>
        <w:pStyle w:val="ListParagraph"/>
        <w:numPr>
          <w:ilvl w:val="0"/>
          <w:numId w:val="34"/>
        </w:numPr>
        <w:spacing w:after="240"/>
        <w:ind w:left="357" w:hanging="357"/>
        <w:contextualSpacing w:val="0"/>
        <w:jc w:val="both"/>
      </w:pPr>
      <w:r>
        <w:t>There were no statistically significant differences between b</w:t>
      </w:r>
      <w:r w:rsidRPr="00996101">
        <w:t xml:space="preserve">upropion plus NRT patch </w:t>
      </w:r>
      <w:r>
        <w:t>and</w:t>
      </w:r>
      <w:r w:rsidRPr="00996101">
        <w:t xml:space="preserve"> placebo plus NRT patch in terms of efficacy</w:t>
      </w:r>
      <w:r>
        <w:t xml:space="preserve"> based on long-term smoking cessation rates</w:t>
      </w:r>
      <w:r w:rsidRPr="00996101">
        <w:t>. For safety, none of the 47 self-reported adverse events in the study (nausea being the most common) were classified as severe</w:t>
      </w:r>
      <w:r>
        <w:t>; no statistical comparison was conducted by the authors of the study</w:t>
      </w:r>
      <w:r w:rsidRPr="00996101">
        <w:t>.</w:t>
      </w:r>
    </w:p>
    <w:p w14:paraId="650D56A1" w14:textId="657820AF" w:rsidR="00B3406A" w:rsidRDefault="00E81CEC" w:rsidP="00E81CEC">
      <w:pPr>
        <w:spacing w:line="276" w:lineRule="auto"/>
      </w:pPr>
      <w:r>
        <w:br w:type="page"/>
      </w:r>
    </w:p>
    <w:tbl>
      <w:tblPr>
        <w:tblStyle w:val="TableGrid3"/>
        <w:tblW w:w="5000" w:type="pct"/>
        <w:shd w:val="clear" w:color="auto" w:fill="F2F2F2" w:themeFill="background1" w:themeFillShade="F2"/>
        <w:tblLook w:val="04A0" w:firstRow="1" w:lastRow="0" w:firstColumn="1" w:lastColumn="0" w:noHBand="0" w:noVBand="1"/>
      </w:tblPr>
      <w:tblGrid>
        <w:gridCol w:w="1616"/>
        <w:gridCol w:w="2068"/>
        <w:gridCol w:w="5332"/>
      </w:tblGrid>
      <w:tr w:rsidR="00B3406A" w:rsidRPr="00916516" w14:paraId="318B12D5" w14:textId="77777777" w:rsidTr="00A82090">
        <w:trPr>
          <w:trHeight w:val="67"/>
        </w:trPr>
        <w:tc>
          <w:tcPr>
            <w:tcW w:w="896" w:type="pct"/>
            <w:shd w:val="clear" w:color="auto" w:fill="F2F2F2" w:themeFill="background1" w:themeFillShade="F2"/>
            <w:hideMark/>
          </w:tcPr>
          <w:p w14:paraId="2A649560" w14:textId="77777777" w:rsidR="00B3406A" w:rsidRPr="00916516" w:rsidRDefault="00B3406A" w:rsidP="00A82090">
            <w:pPr>
              <w:shd w:val="clear" w:color="auto" w:fill="F2F2F2" w:themeFill="background1" w:themeFillShade="F2"/>
              <w:rPr>
                <w:szCs w:val="18"/>
              </w:rPr>
            </w:pPr>
            <w:r w:rsidRPr="00916516">
              <w:rPr>
                <w:b/>
                <w:bCs/>
                <w:szCs w:val="18"/>
              </w:rPr>
              <w:lastRenderedPageBreak/>
              <w:t>Compar</w:t>
            </w:r>
            <w:r>
              <w:rPr>
                <w:b/>
                <w:bCs/>
                <w:szCs w:val="18"/>
              </w:rPr>
              <w:t>ison</w:t>
            </w:r>
          </w:p>
        </w:tc>
        <w:tc>
          <w:tcPr>
            <w:tcW w:w="1147" w:type="pct"/>
            <w:shd w:val="clear" w:color="auto" w:fill="F2F2F2" w:themeFill="background1" w:themeFillShade="F2"/>
            <w:hideMark/>
          </w:tcPr>
          <w:p w14:paraId="6FC35984" w14:textId="77777777" w:rsidR="00B3406A" w:rsidRPr="00916516" w:rsidRDefault="00B3406A" w:rsidP="00A82090">
            <w:pPr>
              <w:shd w:val="clear" w:color="auto" w:fill="F2F2F2" w:themeFill="background1" w:themeFillShade="F2"/>
              <w:jc w:val="center"/>
              <w:rPr>
                <w:szCs w:val="18"/>
              </w:rPr>
            </w:pPr>
            <w:r>
              <w:rPr>
                <w:b/>
                <w:bCs/>
                <w:szCs w:val="18"/>
              </w:rPr>
              <w:t>Included studies</w:t>
            </w:r>
          </w:p>
        </w:tc>
        <w:tc>
          <w:tcPr>
            <w:tcW w:w="2956" w:type="pct"/>
            <w:shd w:val="clear" w:color="auto" w:fill="F2F2F2" w:themeFill="background1" w:themeFillShade="F2"/>
            <w:hideMark/>
          </w:tcPr>
          <w:p w14:paraId="344E0E65" w14:textId="77777777" w:rsidR="00B3406A" w:rsidRPr="00916516" w:rsidRDefault="00B3406A" w:rsidP="00A82090">
            <w:pPr>
              <w:shd w:val="clear" w:color="auto" w:fill="F2F2F2" w:themeFill="background1" w:themeFillShade="F2"/>
              <w:jc w:val="center"/>
              <w:rPr>
                <w:szCs w:val="18"/>
              </w:rPr>
            </w:pPr>
            <w:r>
              <w:rPr>
                <w:b/>
                <w:bCs/>
                <w:szCs w:val="18"/>
              </w:rPr>
              <w:t>Summary of evidence</w:t>
            </w:r>
          </w:p>
        </w:tc>
      </w:tr>
      <w:tr w:rsidR="00B3406A" w:rsidRPr="009068BC" w14:paraId="0D551E00" w14:textId="77777777" w:rsidTr="00A82090">
        <w:trPr>
          <w:trHeight w:val="345"/>
        </w:trPr>
        <w:tc>
          <w:tcPr>
            <w:tcW w:w="896" w:type="pct"/>
            <w:shd w:val="clear" w:color="auto" w:fill="F2F2F2" w:themeFill="background1" w:themeFillShade="F2"/>
            <w:hideMark/>
          </w:tcPr>
          <w:p w14:paraId="3F5E3C90" w14:textId="77777777" w:rsidR="00B3406A" w:rsidRPr="00237D04" w:rsidRDefault="00B3406A" w:rsidP="00A82090">
            <w:pPr>
              <w:shd w:val="clear" w:color="auto" w:fill="F2F2F2" w:themeFill="background1" w:themeFillShade="F2"/>
              <w:tabs>
                <w:tab w:val="left" w:pos="1198"/>
              </w:tabs>
              <w:rPr>
                <w:szCs w:val="18"/>
              </w:rPr>
            </w:pPr>
            <w:r>
              <w:rPr>
                <w:szCs w:val="18"/>
              </w:rPr>
              <w:t>NRT</w:t>
            </w:r>
            <w:r w:rsidRPr="0008458D">
              <w:rPr>
                <w:szCs w:val="18"/>
                <w:vertAlign w:val="superscript"/>
              </w:rPr>
              <w:t>1</w:t>
            </w:r>
            <w:r>
              <w:rPr>
                <w:szCs w:val="18"/>
              </w:rPr>
              <w:t xml:space="preserve"> vs placebo</w:t>
            </w:r>
          </w:p>
        </w:tc>
        <w:tc>
          <w:tcPr>
            <w:tcW w:w="1147" w:type="pct"/>
            <w:shd w:val="clear" w:color="auto" w:fill="F2F2F2" w:themeFill="background1" w:themeFillShade="F2"/>
            <w:hideMark/>
          </w:tcPr>
          <w:p w14:paraId="1D462938" w14:textId="77777777" w:rsidR="00B3406A" w:rsidRPr="006B31D6" w:rsidRDefault="00B3406A" w:rsidP="00815A6D">
            <w:pPr>
              <w:pStyle w:val="ListParagraph"/>
              <w:numPr>
                <w:ilvl w:val="0"/>
                <w:numId w:val="43"/>
              </w:numPr>
              <w:shd w:val="clear" w:color="auto" w:fill="F2F2F2" w:themeFill="background1" w:themeFillShade="F2"/>
              <w:rPr>
                <w:szCs w:val="18"/>
              </w:rPr>
            </w:pPr>
            <w:r w:rsidRPr="0008458D">
              <w:rPr>
                <w:szCs w:val="18"/>
              </w:rPr>
              <w:t>Fanshawe (2017)</w:t>
            </w:r>
            <w:r>
              <w:rPr>
                <w:szCs w:val="18"/>
                <w:vertAlign w:val="superscript"/>
              </w:rPr>
              <w:t>2</w:t>
            </w:r>
          </w:p>
          <w:p w14:paraId="27A81912" w14:textId="77777777" w:rsidR="00B3406A" w:rsidRDefault="00B3406A" w:rsidP="00815A6D">
            <w:pPr>
              <w:pStyle w:val="ListParagraph"/>
              <w:numPr>
                <w:ilvl w:val="0"/>
                <w:numId w:val="43"/>
              </w:numPr>
              <w:shd w:val="clear" w:color="auto" w:fill="F2F2F2" w:themeFill="background1" w:themeFillShade="F2"/>
              <w:rPr>
                <w:szCs w:val="18"/>
              </w:rPr>
            </w:pPr>
            <w:r w:rsidRPr="006B31D6">
              <w:rPr>
                <w:szCs w:val="18"/>
              </w:rPr>
              <w:t>Myung (2019)</w:t>
            </w:r>
            <w:r>
              <w:rPr>
                <w:szCs w:val="18"/>
                <w:vertAlign w:val="superscript"/>
              </w:rPr>
              <w:t>3</w:t>
            </w:r>
          </w:p>
          <w:p w14:paraId="76D68534" w14:textId="77777777" w:rsidR="00B3406A" w:rsidRPr="006B31D6" w:rsidRDefault="00B3406A" w:rsidP="00815A6D">
            <w:pPr>
              <w:pStyle w:val="ListParagraph"/>
              <w:numPr>
                <w:ilvl w:val="0"/>
                <w:numId w:val="43"/>
              </w:numPr>
              <w:shd w:val="clear" w:color="auto" w:fill="F2F2F2" w:themeFill="background1" w:themeFillShade="F2"/>
              <w:rPr>
                <w:szCs w:val="18"/>
              </w:rPr>
            </w:pPr>
            <w:r w:rsidRPr="006B31D6">
              <w:rPr>
                <w:szCs w:val="18"/>
              </w:rPr>
              <w:t>Selph (2020)</w:t>
            </w:r>
            <w:r>
              <w:rPr>
                <w:szCs w:val="18"/>
                <w:vertAlign w:val="superscript"/>
              </w:rPr>
              <w:t>3</w:t>
            </w:r>
          </w:p>
        </w:tc>
        <w:tc>
          <w:tcPr>
            <w:tcW w:w="2956" w:type="pct"/>
            <w:shd w:val="clear" w:color="auto" w:fill="F2F2F2" w:themeFill="background1" w:themeFillShade="F2"/>
            <w:hideMark/>
          </w:tcPr>
          <w:p w14:paraId="1EC1088A" w14:textId="77777777"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Efficacy</w:t>
            </w:r>
            <w:r w:rsidRPr="00360862">
              <w:rPr>
                <w:szCs w:val="18"/>
              </w:rPr>
              <w:t xml:space="preserve">: </w:t>
            </w:r>
            <w:r w:rsidRPr="001213A4">
              <w:rPr>
                <w:szCs w:val="18"/>
              </w:rPr>
              <w:t>Not statistically significant</w:t>
            </w:r>
            <w:r>
              <w:rPr>
                <w:szCs w:val="18"/>
                <w:vertAlign w:val="superscript"/>
              </w:rPr>
              <w:t>4</w:t>
            </w:r>
            <w:r>
              <w:rPr>
                <w:szCs w:val="18"/>
              </w:rPr>
              <w:t xml:space="preserve"> based on RR. </w:t>
            </w:r>
          </w:p>
          <w:p w14:paraId="6E71584B" w14:textId="1FE38030"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Safety:</w:t>
            </w:r>
            <w:r w:rsidRPr="00360862">
              <w:rPr>
                <w:szCs w:val="18"/>
              </w:rPr>
              <w:t xml:space="preserve"> </w:t>
            </w:r>
            <w:r w:rsidRPr="001213A4">
              <w:rPr>
                <w:szCs w:val="18"/>
              </w:rPr>
              <w:t>Statistically significant</w:t>
            </w:r>
            <w:r>
              <w:rPr>
                <w:szCs w:val="18"/>
              </w:rPr>
              <w:t xml:space="preserve"> </w:t>
            </w:r>
            <w:r w:rsidRPr="001213A4">
              <w:rPr>
                <w:szCs w:val="18"/>
              </w:rPr>
              <w:t>(</w:t>
            </w:r>
            <w:r w:rsidRPr="001213A4">
              <w:rPr>
                <w:szCs w:val="18"/>
                <w:lang w:val="en-US"/>
              </w:rPr>
              <w:t>sore th</w:t>
            </w:r>
            <w:r w:rsidR="007918CA">
              <w:rPr>
                <w:szCs w:val="18"/>
                <w:lang w:val="en-US"/>
              </w:rPr>
              <w:t>roat, hiccups, erythema, pruritu</w:t>
            </w:r>
            <w:r w:rsidRPr="001213A4">
              <w:rPr>
                <w:szCs w:val="18"/>
                <w:lang w:val="en-US"/>
              </w:rPr>
              <w:t xml:space="preserve">s, shoulder/arm pain, headache, cough, abnormal </w:t>
            </w:r>
            <w:r w:rsidR="00C2193C" w:rsidRPr="001213A4">
              <w:rPr>
                <w:szCs w:val="18"/>
                <w:lang w:val="en-US"/>
              </w:rPr>
              <w:t>dreams,</w:t>
            </w:r>
            <w:r w:rsidRPr="001213A4">
              <w:rPr>
                <w:szCs w:val="18"/>
                <w:lang w:val="en-US"/>
              </w:rPr>
              <w:t xml:space="preserve"> and muscle pain; higher in NRT</w:t>
            </w:r>
            <w:r w:rsidRPr="001213A4">
              <w:rPr>
                <w:szCs w:val="18"/>
              </w:rPr>
              <w:t>)</w:t>
            </w:r>
            <w:r>
              <w:rPr>
                <w:szCs w:val="18"/>
                <w:vertAlign w:val="superscript"/>
              </w:rPr>
              <w:t>5</w:t>
            </w:r>
            <w:r>
              <w:rPr>
                <w:szCs w:val="18"/>
              </w:rPr>
              <w:t>.</w:t>
            </w:r>
          </w:p>
        </w:tc>
      </w:tr>
      <w:tr w:rsidR="00B3406A" w:rsidRPr="009068BC" w14:paraId="3EA2868B" w14:textId="77777777" w:rsidTr="00A82090">
        <w:trPr>
          <w:trHeight w:val="345"/>
        </w:trPr>
        <w:tc>
          <w:tcPr>
            <w:tcW w:w="896" w:type="pct"/>
            <w:shd w:val="clear" w:color="auto" w:fill="F2F2F2" w:themeFill="background1" w:themeFillShade="F2"/>
          </w:tcPr>
          <w:p w14:paraId="156C9715" w14:textId="77777777" w:rsidR="00B3406A" w:rsidRPr="00237D04" w:rsidRDefault="00B3406A" w:rsidP="00A82090">
            <w:pPr>
              <w:shd w:val="clear" w:color="auto" w:fill="F2F2F2" w:themeFill="background1" w:themeFillShade="F2"/>
              <w:tabs>
                <w:tab w:val="left" w:pos="1198"/>
              </w:tabs>
              <w:rPr>
                <w:szCs w:val="18"/>
              </w:rPr>
            </w:pPr>
            <w:r>
              <w:rPr>
                <w:szCs w:val="18"/>
              </w:rPr>
              <w:t>Bupropion vs placebo</w:t>
            </w:r>
          </w:p>
        </w:tc>
        <w:tc>
          <w:tcPr>
            <w:tcW w:w="1147" w:type="pct"/>
            <w:shd w:val="clear" w:color="auto" w:fill="F2F2F2" w:themeFill="background1" w:themeFillShade="F2"/>
          </w:tcPr>
          <w:p w14:paraId="01ECB322" w14:textId="77777777" w:rsidR="00B3406A" w:rsidRPr="00253376" w:rsidRDefault="00B3406A" w:rsidP="00815A6D">
            <w:pPr>
              <w:pStyle w:val="ListParagraph"/>
              <w:numPr>
                <w:ilvl w:val="0"/>
                <w:numId w:val="43"/>
              </w:numPr>
              <w:shd w:val="clear" w:color="auto" w:fill="F2F2F2" w:themeFill="background1" w:themeFillShade="F2"/>
              <w:rPr>
                <w:szCs w:val="18"/>
              </w:rPr>
            </w:pPr>
            <w:r w:rsidRPr="0008458D">
              <w:rPr>
                <w:szCs w:val="18"/>
              </w:rPr>
              <w:t>Fanshawe (2017)</w:t>
            </w:r>
            <w:r>
              <w:rPr>
                <w:szCs w:val="18"/>
                <w:vertAlign w:val="superscript"/>
              </w:rPr>
              <w:t>2</w:t>
            </w:r>
          </w:p>
          <w:p w14:paraId="70A0E329" w14:textId="77777777" w:rsidR="00B3406A" w:rsidRDefault="00B3406A" w:rsidP="00815A6D">
            <w:pPr>
              <w:pStyle w:val="ListParagraph"/>
              <w:numPr>
                <w:ilvl w:val="0"/>
                <w:numId w:val="43"/>
              </w:numPr>
              <w:shd w:val="clear" w:color="auto" w:fill="F2F2F2" w:themeFill="background1" w:themeFillShade="F2"/>
              <w:rPr>
                <w:szCs w:val="18"/>
              </w:rPr>
            </w:pPr>
            <w:r w:rsidRPr="006B31D6">
              <w:rPr>
                <w:szCs w:val="18"/>
              </w:rPr>
              <w:t>Myung (2019)</w:t>
            </w:r>
            <w:r>
              <w:rPr>
                <w:szCs w:val="18"/>
                <w:vertAlign w:val="superscript"/>
              </w:rPr>
              <w:t>3</w:t>
            </w:r>
          </w:p>
          <w:p w14:paraId="6737847F" w14:textId="77777777" w:rsidR="00B3406A" w:rsidRPr="00614418" w:rsidRDefault="00B3406A" w:rsidP="00815A6D">
            <w:pPr>
              <w:pStyle w:val="ListParagraph"/>
              <w:numPr>
                <w:ilvl w:val="0"/>
                <w:numId w:val="43"/>
              </w:numPr>
              <w:shd w:val="clear" w:color="auto" w:fill="F2F2F2" w:themeFill="background1" w:themeFillShade="F2"/>
              <w:rPr>
                <w:szCs w:val="18"/>
              </w:rPr>
            </w:pPr>
            <w:r w:rsidRPr="006B31D6">
              <w:rPr>
                <w:szCs w:val="18"/>
              </w:rPr>
              <w:t>Selph (2020)</w:t>
            </w:r>
            <w:r>
              <w:rPr>
                <w:szCs w:val="18"/>
                <w:vertAlign w:val="superscript"/>
              </w:rPr>
              <w:t>3</w:t>
            </w:r>
          </w:p>
        </w:tc>
        <w:tc>
          <w:tcPr>
            <w:tcW w:w="2956" w:type="pct"/>
            <w:shd w:val="clear" w:color="auto" w:fill="F2F2F2" w:themeFill="background1" w:themeFillShade="F2"/>
          </w:tcPr>
          <w:p w14:paraId="57E2DC91" w14:textId="77777777"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Efficacy</w:t>
            </w:r>
            <w:r w:rsidRPr="00360862">
              <w:rPr>
                <w:szCs w:val="18"/>
              </w:rPr>
              <w:t xml:space="preserve">: </w:t>
            </w:r>
            <w:r w:rsidRPr="001213A4">
              <w:rPr>
                <w:szCs w:val="18"/>
              </w:rPr>
              <w:t>Not statistically significant</w:t>
            </w:r>
            <w:r>
              <w:rPr>
                <w:szCs w:val="18"/>
                <w:vertAlign w:val="superscript"/>
              </w:rPr>
              <w:t>6</w:t>
            </w:r>
            <w:r>
              <w:rPr>
                <w:szCs w:val="18"/>
              </w:rPr>
              <w:t xml:space="preserve"> based on RR. </w:t>
            </w:r>
          </w:p>
          <w:p w14:paraId="35349E1D" w14:textId="77777777" w:rsidR="00B3406A" w:rsidRPr="001213A4" w:rsidRDefault="00B3406A" w:rsidP="00815A6D">
            <w:pPr>
              <w:pStyle w:val="ListParagraph"/>
              <w:numPr>
                <w:ilvl w:val="0"/>
                <w:numId w:val="43"/>
              </w:numPr>
              <w:shd w:val="clear" w:color="auto" w:fill="F2F2F2" w:themeFill="background1" w:themeFillShade="F2"/>
              <w:rPr>
                <w:szCs w:val="18"/>
              </w:rPr>
            </w:pPr>
            <w:r w:rsidRPr="00A867C4">
              <w:rPr>
                <w:szCs w:val="18"/>
                <w:u w:val="single"/>
              </w:rPr>
              <w:t>Safety:</w:t>
            </w:r>
            <w:r w:rsidRPr="002A2981">
              <w:rPr>
                <w:szCs w:val="18"/>
              </w:rPr>
              <w:t xml:space="preserve"> </w:t>
            </w:r>
            <w:r w:rsidRPr="00382159">
              <w:rPr>
                <w:szCs w:val="18"/>
              </w:rPr>
              <w:t xml:space="preserve">Statistically significant </w:t>
            </w:r>
            <w:r w:rsidRPr="00A867C4">
              <w:rPr>
                <w:szCs w:val="18"/>
              </w:rPr>
              <w:t>(</w:t>
            </w:r>
            <w:r w:rsidRPr="002A2981">
              <w:rPr>
                <w:szCs w:val="18"/>
                <w:lang w:val="en-US"/>
              </w:rPr>
              <w:t xml:space="preserve">dream </w:t>
            </w:r>
            <w:r w:rsidRPr="00382159">
              <w:rPr>
                <w:szCs w:val="18"/>
                <w:lang w:val="en-US"/>
              </w:rPr>
              <w:t>disturbances; higher in bupropion);</w:t>
            </w:r>
            <w:r>
              <w:rPr>
                <w:szCs w:val="18"/>
              </w:rPr>
              <w:t xml:space="preserve"> </w:t>
            </w:r>
            <w:r w:rsidRPr="00A867C4">
              <w:rPr>
                <w:szCs w:val="18"/>
              </w:rPr>
              <w:t>Not statistically significant</w:t>
            </w:r>
            <w:r>
              <w:rPr>
                <w:szCs w:val="18"/>
              </w:rPr>
              <w:t xml:space="preserve"> </w:t>
            </w:r>
            <w:r w:rsidRPr="001213A4">
              <w:rPr>
                <w:szCs w:val="18"/>
              </w:rPr>
              <w:t>(headache, irritability, insomnia)</w:t>
            </w:r>
            <w:r>
              <w:rPr>
                <w:szCs w:val="18"/>
                <w:vertAlign w:val="superscript"/>
              </w:rPr>
              <w:t>5</w:t>
            </w:r>
            <w:r>
              <w:rPr>
                <w:szCs w:val="18"/>
              </w:rPr>
              <w:t>.</w:t>
            </w:r>
          </w:p>
        </w:tc>
      </w:tr>
      <w:tr w:rsidR="00B3406A" w:rsidRPr="009068BC" w14:paraId="523DBC09" w14:textId="77777777" w:rsidTr="00A82090">
        <w:trPr>
          <w:trHeight w:val="345"/>
        </w:trPr>
        <w:tc>
          <w:tcPr>
            <w:tcW w:w="896" w:type="pct"/>
            <w:shd w:val="clear" w:color="auto" w:fill="F2F2F2" w:themeFill="background1" w:themeFillShade="F2"/>
          </w:tcPr>
          <w:p w14:paraId="7C104B53" w14:textId="77777777" w:rsidR="00B3406A" w:rsidRPr="00237D04" w:rsidRDefault="00B3406A" w:rsidP="00A82090">
            <w:pPr>
              <w:shd w:val="clear" w:color="auto" w:fill="F2F2F2" w:themeFill="background1" w:themeFillShade="F2"/>
              <w:tabs>
                <w:tab w:val="left" w:pos="1198"/>
              </w:tabs>
              <w:rPr>
                <w:szCs w:val="18"/>
              </w:rPr>
            </w:pPr>
            <w:r>
              <w:rPr>
                <w:szCs w:val="18"/>
              </w:rPr>
              <w:t>Bupropion+ NRT patch vs placebo + NRT patch</w:t>
            </w:r>
          </w:p>
        </w:tc>
        <w:tc>
          <w:tcPr>
            <w:tcW w:w="1147" w:type="pct"/>
            <w:shd w:val="clear" w:color="auto" w:fill="F2F2F2" w:themeFill="background1" w:themeFillShade="F2"/>
          </w:tcPr>
          <w:p w14:paraId="18269E46" w14:textId="77777777" w:rsidR="00B3406A" w:rsidRPr="00614418" w:rsidRDefault="00B3406A" w:rsidP="00815A6D">
            <w:pPr>
              <w:pStyle w:val="ListParagraph"/>
              <w:numPr>
                <w:ilvl w:val="0"/>
                <w:numId w:val="43"/>
              </w:numPr>
              <w:shd w:val="clear" w:color="auto" w:fill="F2F2F2" w:themeFill="background1" w:themeFillShade="F2"/>
              <w:rPr>
                <w:szCs w:val="18"/>
              </w:rPr>
            </w:pPr>
            <w:r w:rsidRPr="0008458D">
              <w:rPr>
                <w:szCs w:val="18"/>
              </w:rPr>
              <w:t>Fanshawe (2017)</w:t>
            </w:r>
            <w:r>
              <w:rPr>
                <w:szCs w:val="18"/>
                <w:vertAlign w:val="superscript"/>
              </w:rPr>
              <w:t>2</w:t>
            </w:r>
          </w:p>
        </w:tc>
        <w:tc>
          <w:tcPr>
            <w:tcW w:w="2956" w:type="pct"/>
            <w:shd w:val="clear" w:color="auto" w:fill="F2F2F2" w:themeFill="background1" w:themeFillShade="F2"/>
          </w:tcPr>
          <w:p w14:paraId="1C92A54B" w14:textId="77777777"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Efficacy</w:t>
            </w:r>
            <w:r w:rsidRPr="00360862">
              <w:rPr>
                <w:szCs w:val="18"/>
              </w:rPr>
              <w:t xml:space="preserve">: </w:t>
            </w:r>
            <w:r w:rsidRPr="001213A4">
              <w:rPr>
                <w:szCs w:val="18"/>
              </w:rPr>
              <w:t>Not statistically significant</w:t>
            </w:r>
            <w:r>
              <w:rPr>
                <w:szCs w:val="18"/>
              </w:rPr>
              <w:t xml:space="preserve"> based on RR.</w:t>
            </w:r>
          </w:p>
          <w:p w14:paraId="40DBFB1F" w14:textId="77777777" w:rsidR="00B3406A" w:rsidRPr="001213A4" w:rsidRDefault="00B3406A" w:rsidP="00815A6D">
            <w:pPr>
              <w:pStyle w:val="ListParagraph"/>
              <w:numPr>
                <w:ilvl w:val="0"/>
                <w:numId w:val="43"/>
              </w:numPr>
              <w:shd w:val="clear" w:color="auto" w:fill="F2F2F2" w:themeFill="background1" w:themeFillShade="F2"/>
              <w:rPr>
                <w:szCs w:val="18"/>
              </w:rPr>
            </w:pPr>
            <w:r w:rsidRPr="00360862">
              <w:rPr>
                <w:szCs w:val="18"/>
                <w:u w:val="single"/>
              </w:rPr>
              <w:t>Safety:</w:t>
            </w:r>
            <w:r w:rsidRPr="00360862">
              <w:rPr>
                <w:szCs w:val="18"/>
              </w:rPr>
              <w:t xml:space="preserve"> </w:t>
            </w:r>
            <w:r w:rsidRPr="001213A4">
              <w:rPr>
                <w:szCs w:val="18"/>
              </w:rPr>
              <w:t>No statistical comparison was conducted by the authors</w:t>
            </w:r>
            <w:r>
              <w:rPr>
                <w:szCs w:val="18"/>
              </w:rPr>
              <w:t xml:space="preserve">. </w:t>
            </w:r>
          </w:p>
        </w:tc>
      </w:tr>
    </w:tbl>
    <w:p w14:paraId="25639511" w14:textId="77777777" w:rsidR="00B3406A" w:rsidRDefault="00B3406A" w:rsidP="00523139">
      <w:pPr>
        <w:pStyle w:val="TableFooter"/>
        <w:keepNext/>
        <w:jc w:val="both"/>
      </w:pPr>
      <w:r>
        <w:t>Abbreviations: NRT = nicotine replacement therapy; RR = risk ratio.</w:t>
      </w:r>
    </w:p>
    <w:p w14:paraId="785A60F3" w14:textId="77777777" w:rsidR="00B3406A" w:rsidRDefault="00B3406A" w:rsidP="00523139">
      <w:pPr>
        <w:pStyle w:val="TableFooter"/>
        <w:keepNext/>
        <w:jc w:val="both"/>
      </w:pPr>
      <w:r w:rsidRPr="00BE36E8">
        <w:t xml:space="preserve">Notes: </w:t>
      </w:r>
    </w:p>
    <w:p w14:paraId="3E4637D3" w14:textId="75B97E50" w:rsidR="00B3406A" w:rsidRPr="00C85BD4" w:rsidRDefault="00B3406A" w:rsidP="00523139">
      <w:pPr>
        <w:pStyle w:val="TableFooter"/>
        <w:keepNext/>
        <w:jc w:val="both"/>
      </w:pPr>
      <w:r>
        <w:t xml:space="preserve">1 </w:t>
      </w:r>
      <w:r w:rsidRPr="00C85BD4">
        <w:t xml:space="preserve">NRT administered either as patch, </w:t>
      </w:r>
      <w:r w:rsidR="00C2193C" w:rsidRPr="00C85BD4">
        <w:t>gum,</w:t>
      </w:r>
      <w:r w:rsidRPr="00C85BD4">
        <w:t xml:space="preserve"> or nasal spray.</w:t>
      </w:r>
    </w:p>
    <w:p w14:paraId="26D862B6" w14:textId="77777777" w:rsidR="00B3406A" w:rsidRDefault="00B3406A" w:rsidP="00523139">
      <w:pPr>
        <w:pStyle w:val="TableFooter"/>
        <w:keepNext/>
        <w:jc w:val="both"/>
      </w:pPr>
      <w:r>
        <w:t xml:space="preserve">2 Cochrane Review. </w:t>
      </w:r>
    </w:p>
    <w:p w14:paraId="564F976A" w14:textId="77777777" w:rsidR="00B3406A" w:rsidRDefault="00B3406A" w:rsidP="00523139">
      <w:pPr>
        <w:pStyle w:val="TableFooter"/>
        <w:keepNext/>
        <w:jc w:val="both"/>
      </w:pPr>
      <w:r>
        <w:t xml:space="preserve">3 Non-Cochrane systematic review. </w:t>
      </w:r>
    </w:p>
    <w:p w14:paraId="4670994B" w14:textId="77777777" w:rsidR="00B3406A" w:rsidRPr="00C85BD4" w:rsidRDefault="00B3406A" w:rsidP="00523139">
      <w:pPr>
        <w:pStyle w:val="TableFooter"/>
        <w:keepNext/>
        <w:jc w:val="both"/>
      </w:pPr>
      <w:r>
        <w:t xml:space="preserve">4 </w:t>
      </w:r>
      <w:r w:rsidRPr="00C85BD4">
        <w:t xml:space="preserve">Based on short-term and long-term smoking cessation rates. </w:t>
      </w:r>
    </w:p>
    <w:p w14:paraId="68B5BFA4" w14:textId="77777777" w:rsidR="00B3406A" w:rsidRDefault="00B3406A" w:rsidP="00523139">
      <w:pPr>
        <w:pStyle w:val="TableFooter"/>
        <w:keepNext/>
        <w:jc w:val="both"/>
      </w:pPr>
      <w:r>
        <w:t>5 Qualitative synthesis.</w:t>
      </w:r>
    </w:p>
    <w:p w14:paraId="1F85D7EA" w14:textId="77777777" w:rsidR="00B3406A" w:rsidRPr="004A0622" w:rsidRDefault="00B3406A" w:rsidP="00523139">
      <w:pPr>
        <w:pStyle w:val="TableFooter"/>
        <w:keepNext/>
        <w:spacing w:after="120"/>
        <w:contextualSpacing w:val="0"/>
        <w:jc w:val="both"/>
      </w:pPr>
      <w:r>
        <w:t xml:space="preserve">6 </w:t>
      </w:r>
      <w:r w:rsidRPr="00C85BD4">
        <w:t>Based on long-term smoking cessation rates. In Myung et al. (2019), the results were statistically significant based on a meta-analysis which included two additional studies, noting these studies measured smoking cessation outcomes at three months, had a relatively small sample size and wide confidence intervals.</w:t>
      </w:r>
    </w:p>
    <w:p w14:paraId="6CB8DD9C" w14:textId="0667BBA0" w:rsidR="00B3406A" w:rsidRPr="004960F6" w:rsidRDefault="00177EE4" w:rsidP="00523139">
      <w:pPr>
        <w:pStyle w:val="Heading3"/>
        <w:spacing w:before="120" w:after="120"/>
        <w:jc w:val="both"/>
      </w:pPr>
      <w:bookmarkStart w:id="56" w:name="_Toc63082734"/>
      <w:bookmarkStart w:id="57" w:name="_Toc111710696"/>
      <w:r>
        <w:t xml:space="preserve">3.6 </w:t>
      </w:r>
      <w:r w:rsidR="00B3406A">
        <w:t>Stakeholder views (</w:t>
      </w:r>
      <w:r w:rsidR="00C964F4">
        <w:t>f</w:t>
      </w:r>
      <w:r w:rsidR="00B3406A">
        <w:t>orum and public consultations</w:t>
      </w:r>
      <w:r w:rsidR="00B3406A" w:rsidRPr="000711C1">
        <w:t>)</w:t>
      </w:r>
      <w:bookmarkEnd w:id="56"/>
      <w:bookmarkEnd w:id="57"/>
    </w:p>
    <w:p w14:paraId="0B1A8CF5" w14:textId="77777777" w:rsidR="00B3406A" w:rsidRDefault="00B3406A" w:rsidP="00523139">
      <w:pPr>
        <w:spacing w:before="120" w:after="120"/>
        <w:jc w:val="both"/>
      </w:pPr>
      <w:r w:rsidRPr="00E06C2B">
        <w:t>Clinicians indicated that they rout</w:t>
      </w:r>
      <w:r>
        <w:t xml:space="preserve">inely prescribe combination NRT. </w:t>
      </w:r>
    </w:p>
    <w:p w14:paraId="149E3A0B" w14:textId="77777777" w:rsidR="00B3406A" w:rsidRPr="00E06C2B" w:rsidRDefault="00B3406A" w:rsidP="00523139">
      <w:pPr>
        <w:spacing w:after="120"/>
        <w:jc w:val="both"/>
      </w:pPr>
      <w:r w:rsidRPr="00E06C2B">
        <w:t xml:space="preserve">Stakeholders considered that the effectiveness of PBS-listed smoking cessation medicines could be improved by allowing: </w:t>
      </w:r>
    </w:p>
    <w:p w14:paraId="152583D4" w14:textId="77777777" w:rsidR="00B3406A" w:rsidRPr="00E06C2B" w:rsidRDefault="00B3406A" w:rsidP="00523139">
      <w:pPr>
        <w:numPr>
          <w:ilvl w:val="0"/>
          <w:numId w:val="34"/>
        </w:numPr>
        <w:spacing w:after="0"/>
        <w:ind w:left="357" w:hanging="357"/>
        <w:jc w:val="both"/>
      </w:pPr>
      <w:r w:rsidRPr="00E06C2B">
        <w:t>Combination therapy</w:t>
      </w:r>
      <w:r>
        <w:t>;</w:t>
      </w:r>
      <w:r w:rsidRPr="00E06C2B">
        <w:t xml:space="preserve"> </w:t>
      </w:r>
    </w:p>
    <w:p w14:paraId="5B3F0899" w14:textId="0BCD73B8" w:rsidR="00B3406A" w:rsidRPr="00E06C2B" w:rsidRDefault="00B3406A" w:rsidP="00523139">
      <w:pPr>
        <w:numPr>
          <w:ilvl w:val="0"/>
          <w:numId w:val="34"/>
        </w:numPr>
        <w:spacing w:after="0"/>
        <w:ind w:left="357" w:hanging="357"/>
        <w:jc w:val="both"/>
      </w:pPr>
      <w:r w:rsidRPr="00E06C2B">
        <w:t>Longer durations of NRT</w:t>
      </w:r>
      <w:r>
        <w:t>;</w:t>
      </w:r>
    </w:p>
    <w:p w14:paraId="1C39B259" w14:textId="77777777" w:rsidR="00B3406A" w:rsidRPr="00E06C2B" w:rsidRDefault="00B3406A" w:rsidP="00523139">
      <w:pPr>
        <w:numPr>
          <w:ilvl w:val="0"/>
          <w:numId w:val="34"/>
        </w:numPr>
        <w:spacing w:after="0"/>
        <w:ind w:left="357" w:hanging="357"/>
        <w:jc w:val="both"/>
      </w:pPr>
      <w:r w:rsidRPr="00E06C2B">
        <w:t>Multiple courses per year</w:t>
      </w:r>
      <w:r>
        <w:t>; and</w:t>
      </w:r>
    </w:p>
    <w:p w14:paraId="6C7BAEDC" w14:textId="77777777" w:rsidR="00B3406A" w:rsidRPr="00E06C2B" w:rsidRDefault="00B3406A" w:rsidP="00523139">
      <w:pPr>
        <w:numPr>
          <w:ilvl w:val="0"/>
          <w:numId w:val="34"/>
        </w:numPr>
        <w:spacing w:after="120"/>
        <w:ind w:left="357" w:hanging="357"/>
        <w:jc w:val="both"/>
      </w:pPr>
      <w:r w:rsidRPr="00E06C2B">
        <w:t>Higher doses (increased quantities) of NRT.</w:t>
      </w:r>
    </w:p>
    <w:p w14:paraId="5FF02668" w14:textId="63DD2332" w:rsidR="00B3406A" w:rsidRPr="00E06C2B" w:rsidRDefault="00B3406A" w:rsidP="00523139">
      <w:pPr>
        <w:spacing w:after="120"/>
        <w:jc w:val="both"/>
      </w:pPr>
      <w:r w:rsidRPr="00E06C2B">
        <w:t xml:space="preserve">Stakeholders also considered that </w:t>
      </w:r>
      <w:r w:rsidR="00C964F4">
        <w:t>s</w:t>
      </w:r>
      <w:r w:rsidRPr="00E06C2B">
        <w:t>moking cessation medicines combined with behavioural intervention is the most effective way to quit.</w:t>
      </w:r>
    </w:p>
    <w:p w14:paraId="1AFE409F" w14:textId="0543849F" w:rsidR="00B3406A" w:rsidRPr="00E06C2B" w:rsidRDefault="00B3406A" w:rsidP="00523139">
      <w:pPr>
        <w:spacing w:after="120"/>
        <w:jc w:val="both"/>
      </w:pPr>
      <w:r w:rsidRPr="00E06C2B">
        <w:t xml:space="preserve">Stakeholders identified common causes of </w:t>
      </w:r>
      <w:r w:rsidR="00A70E1E">
        <w:t>unsuccessful quit attempts</w:t>
      </w:r>
      <w:r w:rsidRPr="00E06C2B">
        <w:t xml:space="preserve"> as:</w:t>
      </w:r>
    </w:p>
    <w:p w14:paraId="2701C943" w14:textId="77777777" w:rsidR="00B3406A" w:rsidRPr="00E06C2B" w:rsidRDefault="00B3406A" w:rsidP="00523139">
      <w:pPr>
        <w:numPr>
          <w:ilvl w:val="0"/>
          <w:numId w:val="34"/>
        </w:numPr>
        <w:spacing w:after="0"/>
        <w:ind w:left="357" w:hanging="357"/>
        <w:jc w:val="both"/>
      </w:pPr>
      <w:r w:rsidRPr="00E06C2B">
        <w:t>under dosing (dose and/or duration) of NRT</w:t>
      </w:r>
    </w:p>
    <w:p w14:paraId="0A92DD58" w14:textId="43B85455" w:rsidR="00B3406A" w:rsidRPr="00E06C2B" w:rsidRDefault="00B3406A" w:rsidP="00523139">
      <w:pPr>
        <w:numPr>
          <w:ilvl w:val="0"/>
          <w:numId w:val="34"/>
        </w:numPr>
        <w:spacing w:after="0"/>
        <w:ind w:left="357" w:hanging="357"/>
        <w:jc w:val="both"/>
      </w:pPr>
      <w:r w:rsidRPr="00E06C2B">
        <w:t xml:space="preserve">insufficient management, </w:t>
      </w:r>
      <w:r w:rsidR="00C964F4" w:rsidRPr="00E06C2B">
        <w:t>follow-up,</w:t>
      </w:r>
      <w:r w:rsidRPr="00E06C2B">
        <w:t xml:space="preserve"> and support</w:t>
      </w:r>
    </w:p>
    <w:p w14:paraId="3F422FD1" w14:textId="77777777" w:rsidR="00B3406A" w:rsidRPr="00E06C2B" w:rsidRDefault="00B3406A" w:rsidP="00523139">
      <w:pPr>
        <w:numPr>
          <w:ilvl w:val="0"/>
          <w:numId w:val="34"/>
        </w:numPr>
        <w:spacing w:after="120"/>
        <w:ind w:left="357" w:hanging="357"/>
        <w:jc w:val="both"/>
      </w:pPr>
      <w:r w:rsidRPr="00E06C2B">
        <w:t>access issues, especially for people in rural and remote areas</w:t>
      </w:r>
    </w:p>
    <w:p w14:paraId="69313D44" w14:textId="77777777" w:rsidR="00B3406A" w:rsidRPr="00E06C2B" w:rsidRDefault="00B3406A" w:rsidP="00523139">
      <w:pPr>
        <w:spacing w:after="120"/>
        <w:jc w:val="both"/>
      </w:pPr>
      <w:r w:rsidRPr="00E06C2B">
        <w:t>Stakeholders noted several issues with study populations, including:</w:t>
      </w:r>
    </w:p>
    <w:p w14:paraId="21083977" w14:textId="77777777" w:rsidR="00B3406A" w:rsidRPr="00E06C2B" w:rsidRDefault="00B3406A" w:rsidP="00523139">
      <w:pPr>
        <w:numPr>
          <w:ilvl w:val="0"/>
          <w:numId w:val="34"/>
        </w:numPr>
        <w:spacing w:after="0"/>
        <w:ind w:left="357" w:hanging="357"/>
        <w:jc w:val="both"/>
      </w:pPr>
      <w:r w:rsidRPr="00E06C2B">
        <w:t xml:space="preserve">Priority populations (such as people with mental illness and pregnant women) are usually excluded from studies, which may bias results in favour of the smoking cessation medicine. </w:t>
      </w:r>
    </w:p>
    <w:p w14:paraId="539142F3" w14:textId="77777777" w:rsidR="00B3406A" w:rsidRPr="00E06C2B" w:rsidRDefault="00B3406A" w:rsidP="00523139">
      <w:pPr>
        <w:numPr>
          <w:ilvl w:val="0"/>
          <w:numId w:val="34"/>
        </w:numPr>
        <w:spacing w:after="0"/>
        <w:ind w:left="357" w:hanging="357"/>
        <w:jc w:val="both"/>
      </w:pPr>
      <w:r w:rsidRPr="00E06C2B">
        <w:t xml:space="preserve">Study participants may not represent the broader community of smokers in terms of health literacy and willingness to engage in treatment, and the monitoring and follow-up built into the trial may serve as motivation. </w:t>
      </w:r>
    </w:p>
    <w:p w14:paraId="65AC3F80" w14:textId="77777777" w:rsidR="00B3406A" w:rsidRDefault="00B3406A" w:rsidP="00523139">
      <w:pPr>
        <w:numPr>
          <w:ilvl w:val="0"/>
          <w:numId w:val="34"/>
        </w:numPr>
        <w:spacing w:after="0"/>
        <w:ind w:left="357" w:hanging="357"/>
        <w:jc w:val="both"/>
      </w:pPr>
      <w:r w:rsidRPr="00E06C2B">
        <w:t>Health benefits are not usually a primary or secondary outcome that is measured in clinical studies, and studies focus on quit attempts.</w:t>
      </w:r>
    </w:p>
    <w:p w14:paraId="06F940DB" w14:textId="1188096A" w:rsidR="003C102F" w:rsidRDefault="00B3406A" w:rsidP="00523139">
      <w:pPr>
        <w:numPr>
          <w:ilvl w:val="0"/>
          <w:numId w:val="34"/>
        </w:numPr>
        <w:spacing w:after="240"/>
        <w:ind w:left="357" w:hanging="357"/>
        <w:jc w:val="both"/>
      </w:pPr>
      <w:r w:rsidRPr="00E06C2B">
        <w:lastRenderedPageBreak/>
        <w:t xml:space="preserve">The time frame for </w:t>
      </w:r>
      <w:r>
        <w:t xml:space="preserve">study </w:t>
      </w:r>
      <w:r w:rsidRPr="00E06C2B">
        <w:t xml:space="preserve">follow-up does not allow long-term monitoring of abstinence or subsequent relapse </w:t>
      </w:r>
      <w:r w:rsidR="00C964F4" w:rsidRPr="00E06C2B">
        <w:t>treatment and</w:t>
      </w:r>
      <w:r w:rsidRPr="00E06C2B">
        <w:t xml:space="preserve"> does not allow long-term health benefits (such as cardiovascular benefits) to be captured.</w:t>
      </w:r>
    </w:p>
    <w:p w14:paraId="2AD91AAC" w14:textId="14ECDE24" w:rsidR="00E81CEC" w:rsidRPr="002F3376" w:rsidRDefault="003C102F" w:rsidP="00523139">
      <w:pPr>
        <w:pStyle w:val="Heading2"/>
        <w:spacing w:before="240" w:after="120"/>
        <w:jc w:val="both"/>
        <w:rPr>
          <w:rFonts w:asciiTheme="minorHAnsi" w:hAnsiTheme="minorHAnsi" w:cstheme="minorHAnsi"/>
          <w:sz w:val="32"/>
          <w:szCs w:val="32"/>
        </w:rPr>
      </w:pPr>
      <w:bookmarkStart w:id="58" w:name="_Toc111710697"/>
      <w:r w:rsidRPr="00E81CEC">
        <w:rPr>
          <w:rFonts w:asciiTheme="minorHAnsi" w:hAnsiTheme="minorHAnsi" w:cstheme="minorHAnsi"/>
          <w:sz w:val="32"/>
          <w:szCs w:val="32"/>
        </w:rPr>
        <w:t xml:space="preserve">ToR 4: </w:t>
      </w:r>
      <w:r w:rsidR="008145C2" w:rsidRPr="008145C2">
        <w:rPr>
          <w:rFonts w:asciiTheme="minorHAnsi" w:hAnsiTheme="minorHAnsi" w:cstheme="minorHAnsi"/>
          <w:sz w:val="32"/>
          <w:szCs w:val="32"/>
        </w:rPr>
        <w:t>Cost-</w:t>
      </w:r>
      <w:r w:rsidR="005F0431">
        <w:rPr>
          <w:rFonts w:asciiTheme="minorHAnsi" w:hAnsiTheme="minorHAnsi" w:cstheme="minorHAnsi"/>
          <w:sz w:val="32"/>
          <w:szCs w:val="32"/>
        </w:rPr>
        <w:t>e</w:t>
      </w:r>
      <w:r w:rsidR="008145C2" w:rsidRPr="008145C2">
        <w:rPr>
          <w:rFonts w:asciiTheme="minorHAnsi" w:hAnsiTheme="minorHAnsi" w:cstheme="minorHAnsi"/>
          <w:sz w:val="32"/>
          <w:szCs w:val="32"/>
        </w:rPr>
        <w:t xml:space="preserve">ffectiveness </w:t>
      </w:r>
      <w:r w:rsidR="005F0431">
        <w:rPr>
          <w:rFonts w:asciiTheme="minorHAnsi" w:hAnsiTheme="minorHAnsi" w:cstheme="minorHAnsi"/>
          <w:sz w:val="32"/>
          <w:szCs w:val="32"/>
        </w:rPr>
        <w:t>r</w:t>
      </w:r>
      <w:r w:rsidR="008145C2" w:rsidRPr="008145C2">
        <w:rPr>
          <w:rFonts w:asciiTheme="minorHAnsi" w:hAnsiTheme="minorHAnsi" w:cstheme="minorHAnsi"/>
          <w:sz w:val="32"/>
          <w:szCs w:val="32"/>
        </w:rPr>
        <w:t xml:space="preserve">eview of </w:t>
      </w:r>
      <w:r w:rsidR="005F0431">
        <w:rPr>
          <w:rFonts w:asciiTheme="minorHAnsi" w:hAnsiTheme="minorHAnsi" w:cstheme="minorHAnsi"/>
          <w:sz w:val="32"/>
          <w:szCs w:val="32"/>
        </w:rPr>
        <w:t>s</w:t>
      </w:r>
      <w:r w:rsidR="008145C2" w:rsidRPr="008145C2">
        <w:rPr>
          <w:rFonts w:asciiTheme="minorHAnsi" w:hAnsiTheme="minorHAnsi" w:cstheme="minorHAnsi"/>
          <w:sz w:val="32"/>
          <w:szCs w:val="32"/>
        </w:rPr>
        <w:t xml:space="preserve">pecified </w:t>
      </w:r>
      <w:r w:rsidR="005F0431">
        <w:rPr>
          <w:rFonts w:asciiTheme="minorHAnsi" w:hAnsiTheme="minorHAnsi" w:cstheme="minorHAnsi"/>
          <w:sz w:val="32"/>
          <w:szCs w:val="32"/>
        </w:rPr>
        <w:t>c</w:t>
      </w:r>
      <w:r w:rsidR="008145C2" w:rsidRPr="008145C2">
        <w:rPr>
          <w:rFonts w:asciiTheme="minorHAnsi" w:hAnsiTheme="minorHAnsi" w:cstheme="minorHAnsi"/>
          <w:sz w:val="32"/>
          <w:szCs w:val="32"/>
        </w:rPr>
        <w:t xml:space="preserve">ombinations of </w:t>
      </w:r>
      <w:r w:rsidR="005F0431">
        <w:rPr>
          <w:rFonts w:asciiTheme="minorHAnsi" w:hAnsiTheme="minorHAnsi" w:cstheme="minorHAnsi"/>
          <w:sz w:val="32"/>
          <w:szCs w:val="32"/>
        </w:rPr>
        <w:t>s</w:t>
      </w:r>
      <w:r w:rsidR="008145C2" w:rsidRPr="008145C2">
        <w:rPr>
          <w:rFonts w:asciiTheme="minorHAnsi" w:hAnsiTheme="minorHAnsi" w:cstheme="minorHAnsi"/>
          <w:sz w:val="32"/>
          <w:szCs w:val="32"/>
        </w:rPr>
        <w:t xml:space="preserve">moking </w:t>
      </w:r>
      <w:r w:rsidR="005F0431">
        <w:rPr>
          <w:rFonts w:asciiTheme="minorHAnsi" w:hAnsiTheme="minorHAnsi" w:cstheme="minorHAnsi"/>
          <w:sz w:val="32"/>
          <w:szCs w:val="32"/>
        </w:rPr>
        <w:t>c</w:t>
      </w:r>
      <w:r w:rsidR="008145C2" w:rsidRPr="008145C2">
        <w:rPr>
          <w:rFonts w:asciiTheme="minorHAnsi" w:hAnsiTheme="minorHAnsi" w:cstheme="minorHAnsi"/>
          <w:sz w:val="32"/>
          <w:szCs w:val="32"/>
        </w:rPr>
        <w:t xml:space="preserve">essation </w:t>
      </w:r>
      <w:r w:rsidR="005F0431">
        <w:rPr>
          <w:rFonts w:asciiTheme="minorHAnsi" w:hAnsiTheme="minorHAnsi" w:cstheme="minorHAnsi"/>
          <w:sz w:val="32"/>
          <w:szCs w:val="32"/>
        </w:rPr>
        <w:t>m</w:t>
      </w:r>
      <w:r w:rsidR="008145C2" w:rsidRPr="008145C2">
        <w:rPr>
          <w:rFonts w:asciiTheme="minorHAnsi" w:hAnsiTheme="minorHAnsi" w:cstheme="minorHAnsi"/>
          <w:sz w:val="32"/>
          <w:szCs w:val="32"/>
        </w:rPr>
        <w:t xml:space="preserve">edicines and </w:t>
      </w:r>
      <w:r w:rsidR="005F0431">
        <w:rPr>
          <w:rFonts w:asciiTheme="minorHAnsi" w:hAnsiTheme="minorHAnsi" w:cstheme="minorHAnsi"/>
          <w:sz w:val="32"/>
          <w:szCs w:val="32"/>
        </w:rPr>
        <w:t>e</w:t>
      </w:r>
      <w:r w:rsidR="008145C2" w:rsidRPr="008145C2">
        <w:rPr>
          <w:rFonts w:asciiTheme="minorHAnsi" w:hAnsiTheme="minorHAnsi" w:cstheme="minorHAnsi"/>
          <w:sz w:val="32"/>
          <w:szCs w:val="32"/>
        </w:rPr>
        <w:t>stimates for the P</w:t>
      </w:r>
      <w:r w:rsidR="008C1503">
        <w:rPr>
          <w:rFonts w:asciiTheme="minorHAnsi" w:hAnsiTheme="minorHAnsi" w:cstheme="minorHAnsi"/>
          <w:sz w:val="32"/>
          <w:szCs w:val="32"/>
        </w:rPr>
        <w:t>BS</w:t>
      </w:r>
      <w:bookmarkEnd w:id="58"/>
      <w:r w:rsidR="008145C2" w:rsidRPr="008145C2">
        <w:rPr>
          <w:rFonts w:asciiTheme="minorHAnsi" w:hAnsiTheme="minorHAnsi" w:cstheme="minorHAnsi"/>
          <w:sz w:val="32"/>
          <w:szCs w:val="32"/>
        </w:rPr>
        <w:t xml:space="preserve"> </w:t>
      </w:r>
    </w:p>
    <w:p w14:paraId="6123A29F" w14:textId="3DF8FAC0" w:rsidR="00E56D81" w:rsidRDefault="00431046" w:rsidP="00524AB9">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431046">
        <w:rPr>
          <w:i/>
          <w:iCs/>
          <w:color w:val="365F91" w:themeColor="accent1" w:themeShade="BF"/>
        </w:rPr>
        <w:t xml:space="preserve">Subject to the findings of </w:t>
      </w:r>
      <w:r w:rsidR="005F0431">
        <w:rPr>
          <w:i/>
          <w:iCs/>
          <w:color w:val="365F91" w:themeColor="accent1" w:themeShade="BF"/>
        </w:rPr>
        <w:t>t</w:t>
      </w:r>
      <w:r w:rsidRPr="00431046">
        <w:rPr>
          <w:i/>
          <w:iCs/>
          <w:color w:val="365F91" w:themeColor="accent1" w:themeShade="BF"/>
        </w:rPr>
        <w:t xml:space="preserve">erms of </w:t>
      </w:r>
      <w:r w:rsidR="005F0431">
        <w:rPr>
          <w:i/>
          <w:iCs/>
          <w:color w:val="365F91" w:themeColor="accent1" w:themeShade="BF"/>
        </w:rPr>
        <w:t>r</w:t>
      </w:r>
      <w:r w:rsidRPr="00431046">
        <w:rPr>
          <w:i/>
          <w:iCs/>
          <w:color w:val="365F91" w:themeColor="accent1" w:themeShade="BF"/>
        </w:rPr>
        <w:t>eference 1, 2 and 3, review the cost-effectiveness of medicines for smoking cessation</w:t>
      </w:r>
      <w:bookmarkStart w:id="59" w:name="_Toc107566292"/>
    </w:p>
    <w:p w14:paraId="53B1ED21" w14:textId="10199665" w:rsidR="006D35B5" w:rsidRPr="00AF7F5B" w:rsidRDefault="006D35B5" w:rsidP="00AF7F5B">
      <w:pPr>
        <w:spacing w:before="120" w:after="120"/>
        <w:jc w:val="both"/>
        <w:rPr>
          <w:b/>
          <w:i/>
          <w:lang w:eastAsia="en-US"/>
        </w:rPr>
      </w:pPr>
      <w:r w:rsidRPr="00AF7F5B">
        <w:rPr>
          <w:lang w:eastAsia="en-US"/>
        </w:rPr>
        <w:t xml:space="preserve">In June 2021, the </w:t>
      </w:r>
      <w:r w:rsidR="005F0431" w:rsidRPr="00AF7F5B">
        <w:rPr>
          <w:lang w:eastAsia="en-US"/>
        </w:rPr>
        <w:t>Economics Sub-Committee (</w:t>
      </w:r>
      <w:r w:rsidRPr="00AF7F5B">
        <w:rPr>
          <w:lang w:eastAsia="en-US"/>
        </w:rPr>
        <w:t>ESC</w:t>
      </w:r>
      <w:r w:rsidR="005F0431" w:rsidRPr="00AF7F5B">
        <w:rPr>
          <w:lang w:eastAsia="en-US"/>
        </w:rPr>
        <w:t>)</w:t>
      </w:r>
      <w:r w:rsidRPr="00AF7F5B">
        <w:rPr>
          <w:lang w:eastAsia="en-US"/>
        </w:rPr>
        <w:t xml:space="preserve"> considered the PMR of medicines for smoking cessation </w:t>
      </w:r>
      <w:r w:rsidR="00FE6781" w:rsidRPr="00AF7F5B">
        <w:rPr>
          <w:lang w:eastAsia="en-US"/>
        </w:rPr>
        <w:t>r</w:t>
      </w:r>
      <w:r w:rsidRPr="00AF7F5B">
        <w:rPr>
          <w:lang w:eastAsia="en-US"/>
        </w:rPr>
        <w:t xml:space="preserve">eport and advised that a cost-effectiveness analysis of combination NRT versus NRT monotherapy and combination </w:t>
      </w:r>
      <w:r w:rsidR="00FF170B">
        <w:rPr>
          <w:lang w:eastAsia="en-US"/>
        </w:rPr>
        <w:t xml:space="preserve">varenicline </w:t>
      </w:r>
      <w:r w:rsidR="004C46EE">
        <w:rPr>
          <w:lang w:eastAsia="en-US"/>
        </w:rPr>
        <w:t>and</w:t>
      </w:r>
      <w:r w:rsidR="00FF170B">
        <w:rPr>
          <w:lang w:eastAsia="en-US"/>
        </w:rPr>
        <w:t xml:space="preserve"> </w:t>
      </w:r>
      <w:r w:rsidRPr="00AF7F5B">
        <w:rPr>
          <w:lang w:eastAsia="en-US"/>
        </w:rPr>
        <w:t>NRT versus</w:t>
      </w:r>
      <w:r w:rsidR="00090573">
        <w:rPr>
          <w:lang w:eastAsia="en-US"/>
        </w:rPr>
        <w:t xml:space="preserve"> varenicline monotherapy</w:t>
      </w:r>
      <w:r w:rsidRPr="00AF7F5B">
        <w:rPr>
          <w:lang w:eastAsia="en-US"/>
        </w:rPr>
        <w:t xml:space="preserve"> should be progressed under ToR 4 of the Review.</w:t>
      </w:r>
      <w:bookmarkEnd w:id="59"/>
      <w:r w:rsidRPr="00AF7F5B">
        <w:rPr>
          <w:lang w:eastAsia="en-US"/>
        </w:rPr>
        <w:t xml:space="preserve"> </w:t>
      </w:r>
    </w:p>
    <w:p w14:paraId="7B5E2FBE" w14:textId="06684209" w:rsidR="00114CF2" w:rsidRDefault="00FF1F5E" w:rsidP="00AF7F5B">
      <w:pPr>
        <w:spacing w:before="120" w:after="120"/>
        <w:jc w:val="both"/>
        <w:rPr>
          <w:lang w:eastAsia="en-US"/>
        </w:rPr>
      </w:pPr>
      <w:r>
        <w:rPr>
          <w:lang w:eastAsia="en-US"/>
        </w:rPr>
        <w:t>T</w:t>
      </w:r>
      <w:r w:rsidR="00114CF2" w:rsidRPr="00EB5391">
        <w:rPr>
          <w:lang w:eastAsia="en-US"/>
        </w:rPr>
        <w:t xml:space="preserve">he Centre for Health Economics, Monash University was contracted to conduct a </w:t>
      </w:r>
      <w:r w:rsidR="005F0431">
        <w:rPr>
          <w:lang w:eastAsia="en-US"/>
        </w:rPr>
        <w:t>cost-effectiveness review (</w:t>
      </w:r>
      <w:r w:rsidR="00114CF2" w:rsidRPr="00EB5391">
        <w:rPr>
          <w:lang w:eastAsia="en-US"/>
        </w:rPr>
        <w:t>CER</w:t>
      </w:r>
      <w:r w:rsidR="005F0431">
        <w:rPr>
          <w:lang w:eastAsia="en-US"/>
        </w:rPr>
        <w:t>)</w:t>
      </w:r>
      <w:r w:rsidR="00114CF2" w:rsidRPr="00EB5391">
        <w:rPr>
          <w:lang w:eastAsia="en-US"/>
        </w:rPr>
        <w:t xml:space="preserve"> of specified combinations of medicines for smoking cessation and estimates for the PBS.</w:t>
      </w:r>
    </w:p>
    <w:p w14:paraId="0D3CC4BD" w14:textId="0728C226" w:rsidR="00E56D81" w:rsidRDefault="00E56D81" w:rsidP="00E56D81">
      <w:pPr>
        <w:spacing w:after="120"/>
        <w:jc w:val="both"/>
      </w:pPr>
      <w:r w:rsidRPr="00E56D81">
        <w:t xml:space="preserve">The economic analysis presented in the </w:t>
      </w:r>
      <w:r>
        <w:t>CER</w:t>
      </w:r>
      <w:r w:rsidRPr="00E56D81">
        <w:t xml:space="preserve"> considers the relative cost-effectiveness of the following comparisons of medicines for smoking cessation:</w:t>
      </w:r>
    </w:p>
    <w:p w14:paraId="6F543F87" w14:textId="4FE34A3A" w:rsidR="00E56D81" w:rsidRDefault="00E56D81" w:rsidP="00E56D81">
      <w:pPr>
        <w:spacing w:after="0"/>
        <w:jc w:val="both"/>
      </w:pPr>
      <w:r>
        <w:t>1.</w:t>
      </w:r>
      <w:r>
        <w:tab/>
      </w:r>
      <w:r w:rsidR="004C46EE">
        <w:t xml:space="preserve">varenicline </w:t>
      </w:r>
      <w:r>
        <w:t>monotherapy</w:t>
      </w:r>
      <w:r w:rsidR="004C46EE">
        <w:t xml:space="preserve"> (VAR)</w:t>
      </w:r>
      <w:r>
        <w:t xml:space="preserve"> versus NRT monotherapy</w:t>
      </w:r>
      <w:r w:rsidR="004C46EE">
        <w:t xml:space="preserve"> (NRT)</w:t>
      </w:r>
    </w:p>
    <w:p w14:paraId="0E161914" w14:textId="609343F4" w:rsidR="00E56D81" w:rsidRDefault="00E56D81" w:rsidP="00490E48">
      <w:pPr>
        <w:spacing w:after="0"/>
        <w:jc w:val="both"/>
      </w:pPr>
      <w:r>
        <w:t>2.</w:t>
      </w:r>
      <w:r>
        <w:tab/>
        <w:t xml:space="preserve">Combination </w:t>
      </w:r>
      <w:r w:rsidR="004C46EE">
        <w:t>varenicline</w:t>
      </w:r>
      <w:r>
        <w:t xml:space="preserve"> and NRT (VAR+NRT) versus </w:t>
      </w:r>
      <w:r w:rsidR="004C46EE">
        <w:t>VAR</w:t>
      </w:r>
    </w:p>
    <w:p w14:paraId="00CCD1A3" w14:textId="77777777" w:rsidR="00E56D81" w:rsidRDefault="00E56D81" w:rsidP="00490E48">
      <w:pPr>
        <w:spacing w:after="0"/>
        <w:jc w:val="both"/>
      </w:pPr>
      <w:r>
        <w:t xml:space="preserve">3. </w:t>
      </w:r>
      <w:r>
        <w:tab/>
      </w:r>
      <w:r w:rsidRPr="00FF1F5E">
        <w:t>VAR+NRT versus NRT</w:t>
      </w:r>
    </w:p>
    <w:p w14:paraId="4C9304A0" w14:textId="77777777" w:rsidR="00E56D81" w:rsidRDefault="00E56D81" w:rsidP="00490E48">
      <w:pPr>
        <w:spacing w:after="0"/>
        <w:jc w:val="both"/>
      </w:pPr>
      <w:r>
        <w:t xml:space="preserve">4. </w:t>
      </w:r>
      <w:r>
        <w:tab/>
        <w:t>Combination NRT (NRT+NRT) versus VAR</w:t>
      </w:r>
    </w:p>
    <w:p w14:paraId="3F25409F" w14:textId="77777777" w:rsidR="00E56D81" w:rsidRDefault="00E56D81" w:rsidP="00490E48">
      <w:pPr>
        <w:spacing w:after="0"/>
        <w:jc w:val="both"/>
      </w:pPr>
      <w:r>
        <w:t xml:space="preserve">5. </w:t>
      </w:r>
      <w:r>
        <w:tab/>
      </w:r>
      <w:r w:rsidRPr="009148D0">
        <w:t>NRT</w:t>
      </w:r>
      <w:r>
        <w:t>+NRT</w:t>
      </w:r>
      <w:r w:rsidRPr="009148D0">
        <w:t xml:space="preserve"> versus NRT</w:t>
      </w:r>
    </w:p>
    <w:p w14:paraId="132CF88B" w14:textId="77777777" w:rsidR="00E56D81" w:rsidRDefault="00E56D81" w:rsidP="00490E48">
      <w:pPr>
        <w:spacing w:after="0"/>
        <w:jc w:val="both"/>
      </w:pPr>
      <w:r>
        <w:t xml:space="preserve">6. </w:t>
      </w:r>
      <w:r>
        <w:tab/>
      </w:r>
      <w:r w:rsidRPr="009148D0">
        <w:t xml:space="preserve">VAR+NRT and NRT+NRT </w:t>
      </w:r>
      <w:r w:rsidRPr="00D31F50">
        <w:t xml:space="preserve">versus </w:t>
      </w:r>
      <w:r w:rsidRPr="009148D0">
        <w:t>VAR+NRT</w:t>
      </w:r>
    </w:p>
    <w:p w14:paraId="3F47ABBC" w14:textId="77777777" w:rsidR="00E56D81" w:rsidRDefault="00E56D81" w:rsidP="00E56D81">
      <w:pPr>
        <w:spacing w:before="120" w:after="120"/>
        <w:jc w:val="both"/>
      </w:pPr>
      <w:r>
        <w:t>And thus, provided evidence on the cost-effectiveness of the potential PBS listing of the following scenarios:</w:t>
      </w:r>
    </w:p>
    <w:p w14:paraId="3B9430D3" w14:textId="77777777" w:rsidR="00E56D81" w:rsidRDefault="00E56D81" w:rsidP="00E56D81">
      <w:pPr>
        <w:spacing w:before="120" w:after="0"/>
        <w:jc w:val="both"/>
      </w:pPr>
      <w:r>
        <w:t>(i)</w:t>
      </w:r>
      <w:r>
        <w:tab/>
        <w:t>VAR+NRT only</w:t>
      </w:r>
    </w:p>
    <w:p w14:paraId="3F21ED36" w14:textId="77777777" w:rsidR="00E56D81" w:rsidRDefault="00E56D81" w:rsidP="00E56D81">
      <w:pPr>
        <w:spacing w:after="0"/>
        <w:jc w:val="both"/>
      </w:pPr>
      <w:r>
        <w:t>(ii)</w:t>
      </w:r>
      <w:r>
        <w:tab/>
        <w:t>NRT+NRT only</w:t>
      </w:r>
    </w:p>
    <w:p w14:paraId="1396134D" w14:textId="77777777" w:rsidR="00E56D81" w:rsidRDefault="00E56D81" w:rsidP="00E56D81">
      <w:pPr>
        <w:spacing w:after="120"/>
        <w:jc w:val="both"/>
      </w:pPr>
      <w:r>
        <w:t>(iii)</w:t>
      </w:r>
      <w:r>
        <w:tab/>
        <w:t>both VAR+NRT and NRT+NRT</w:t>
      </w:r>
    </w:p>
    <w:p w14:paraId="7F6F2CE9" w14:textId="77777777" w:rsidR="00E56D81" w:rsidRDefault="00E56D81" w:rsidP="00524AB9">
      <w:pPr>
        <w:spacing w:after="120"/>
        <w:jc w:val="both"/>
      </w:pPr>
      <w:r>
        <w:t>The research also provided estimates of the likely financial implications to the PBS of such listings.</w:t>
      </w:r>
    </w:p>
    <w:p w14:paraId="54833994" w14:textId="0234ACD7" w:rsidR="00DF6E39" w:rsidRDefault="0039116F" w:rsidP="00FA56FA">
      <w:pPr>
        <w:pStyle w:val="Heading3"/>
        <w:spacing w:before="120" w:after="120"/>
        <w:jc w:val="both"/>
      </w:pPr>
      <w:bookmarkStart w:id="60" w:name="_Toc111710698"/>
      <w:r>
        <w:t>4.</w:t>
      </w:r>
      <w:r w:rsidR="008F0703">
        <w:t>1</w:t>
      </w:r>
      <w:r>
        <w:t xml:space="preserve"> </w:t>
      </w:r>
      <w:r w:rsidR="00DF6E39">
        <w:t>Clinical evidence</w:t>
      </w:r>
      <w:bookmarkEnd w:id="60"/>
      <w:r w:rsidR="00DF6E39">
        <w:t xml:space="preserve"> </w:t>
      </w:r>
    </w:p>
    <w:p w14:paraId="7FB358B6" w14:textId="0BE219B5" w:rsidR="00DF6E39" w:rsidRDefault="00DF6E39" w:rsidP="00FA56FA">
      <w:pPr>
        <w:spacing w:before="120" w:after="120"/>
        <w:ind w:left="6"/>
        <w:jc w:val="both"/>
      </w:pPr>
      <w:r>
        <w:t>Th</w:t>
      </w:r>
      <w:r w:rsidR="001A3AEA">
        <w:t xml:space="preserve">e </w:t>
      </w:r>
      <w:r w:rsidR="00490E48">
        <w:t>CER</w:t>
      </w:r>
      <w:r>
        <w:t xml:space="preserve"> relied on the clinical evidence summarised in the ToR 3 report, as well as a recently published trial comparing VAR+NRT to VAR</w:t>
      </w:r>
      <w:r w:rsidR="00490E48">
        <w:t xml:space="preserve"> (</w:t>
      </w:r>
      <w:r w:rsidR="004C7CBB">
        <w:t>6</w:t>
      </w:r>
      <w:r w:rsidR="00490E48">
        <w:t>).</w:t>
      </w:r>
      <w:r>
        <w:t xml:space="preserve"> </w:t>
      </w:r>
      <w:r w:rsidRPr="006B6D4A">
        <w:t xml:space="preserve">The results of </w:t>
      </w:r>
      <w:r>
        <w:t>this</w:t>
      </w:r>
      <w:r w:rsidRPr="006B6D4A">
        <w:t xml:space="preserve"> recent RCT (Baker et al. 2021</w:t>
      </w:r>
      <w:r>
        <w:t>)</w:t>
      </w:r>
      <w:r w:rsidRPr="006B6D4A">
        <w:t xml:space="preserve"> </w:t>
      </w:r>
      <w:r>
        <w:t>w</w:t>
      </w:r>
      <w:r w:rsidR="00CE5DB4">
        <w:t>ere</w:t>
      </w:r>
      <w:r w:rsidRPr="006B6D4A">
        <w:t xml:space="preserve"> published after the </w:t>
      </w:r>
      <w:r w:rsidR="001A3AEA">
        <w:t xml:space="preserve">ToR 3 report </w:t>
      </w:r>
      <w:r w:rsidRPr="006B6D4A">
        <w:t>w</w:t>
      </w:r>
      <w:r>
        <w:t>as</w:t>
      </w:r>
      <w:r w:rsidRPr="006B6D4A">
        <w:t xml:space="preserve"> completed. The RCT included four arms, </w:t>
      </w:r>
      <w:r>
        <w:t>VAR</w:t>
      </w:r>
      <w:r w:rsidRPr="006B6D4A">
        <w:t xml:space="preserve"> (12 weeks), </w:t>
      </w:r>
      <w:r>
        <w:t>VAR</w:t>
      </w:r>
      <w:r w:rsidRPr="006B6D4A">
        <w:t xml:space="preserve"> (24 weeks), </w:t>
      </w:r>
      <w:r>
        <w:t>VAR</w:t>
      </w:r>
      <w:r w:rsidRPr="006B6D4A">
        <w:t xml:space="preserve">+NRT patch (12 weeks) and </w:t>
      </w:r>
      <w:r>
        <w:t>VAR</w:t>
      </w:r>
      <w:r w:rsidRPr="006B6D4A">
        <w:t xml:space="preserve">+NRT patch (24 weeks). The </w:t>
      </w:r>
      <w:r w:rsidRPr="00C32378">
        <w:t>continuous abstinence</w:t>
      </w:r>
      <w:r w:rsidRPr="006B6D4A">
        <w:t xml:space="preserve"> rate at 23 weeks of those </w:t>
      </w:r>
      <w:r w:rsidR="00090573">
        <w:t xml:space="preserve">receiving </w:t>
      </w:r>
      <w:r>
        <w:t>VAR</w:t>
      </w:r>
      <w:r w:rsidRPr="006B6D4A">
        <w:t xml:space="preserve"> monotherapy and</w:t>
      </w:r>
      <w:r>
        <w:t xml:space="preserve"> VAR</w:t>
      </w:r>
      <w:r w:rsidRPr="006B6D4A">
        <w:t xml:space="preserve">+NRT patch (combining the shorter and extended use arms) was 21.9% and 22.2% respectively. The study also included a longer follow-up and found the </w:t>
      </w:r>
      <w:r w:rsidR="00490E48">
        <w:t>continuous abstinence</w:t>
      </w:r>
      <w:r w:rsidRPr="006B6D4A">
        <w:t xml:space="preserve"> rate at 52 weeks to be 16.1% and 16.6% respectively. The study found no significant difference in the head-to-head effectiveness of combination use (or extended use) compared to 12 weeks of</w:t>
      </w:r>
      <w:r>
        <w:t xml:space="preserve"> VAR </w:t>
      </w:r>
      <w:r w:rsidRPr="006B6D4A">
        <w:t xml:space="preserve">monotherapy. </w:t>
      </w:r>
    </w:p>
    <w:p w14:paraId="71968DC6" w14:textId="3FCC357E" w:rsidR="00A14CEE" w:rsidRPr="00A14CEE" w:rsidRDefault="00561DE4" w:rsidP="00A14CEE">
      <w:pPr>
        <w:spacing w:before="120"/>
        <w:ind w:left="6"/>
        <w:jc w:val="both"/>
        <w:rPr>
          <w:b/>
        </w:rPr>
      </w:pPr>
      <w:r>
        <w:lastRenderedPageBreak/>
        <w:t>To provide consistent evidence for the economic evaluation across the treatment options considered, this evidence</w:t>
      </w:r>
      <w:r w:rsidR="0024607A">
        <w:t xml:space="preserve"> was synthesised</w:t>
      </w:r>
      <w:r>
        <w:t xml:space="preserve"> using a NMA. This differed to the approach taken in the ToR 3 report, which focused on meta-analysis of head-to-head evidence between any two of the cessation treatments. The NMA has the added advantage of making the most efficient use of the evidence available through also considering indirect comparisons</w:t>
      </w:r>
      <w:r w:rsidRPr="00D11FA3">
        <w:t xml:space="preserve">. The NMA comprised of 53 RCTs with results at </w:t>
      </w:r>
      <w:r>
        <w:t>w</w:t>
      </w:r>
      <w:r w:rsidRPr="00D11FA3">
        <w:t xml:space="preserve">eek 24 and 80 RCTs with results at </w:t>
      </w:r>
      <w:r>
        <w:t>w</w:t>
      </w:r>
      <w:r w:rsidRPr="00D11FA3">
        <w:t>eek 52</w:t>
      </w:r>
      <w:r w:rsidR="00A14CEE">
        <w:t xml:space="preserve"> (Refer to Section </w:t>
      </w:r>
      <w:bookmarkStart w:id="61" w:name="_Toc318453354"/>
      <w:bookmarkStart w:id="62" w:name="_Toc341702065"/>
      <w:bookmarkStart w:id="63" w:name="_Toc22897667"/>
      <w:bookmarkStart w:id="64" w:name="_Toc22898886"/>
      <w:bookmarkStart w:id="65" w:name="_Toc108186134"/>
      <w:r w:rsidR="00A14CEE" w:rsidRPr="00A14CEE">
        <w:rPr>
          <w:bCs/>
        </w:rPr>
        <w:t>3.4</w:t>
      </w:r>
      <w:bookmarkEnd w:id="61"/>
      <w:bookmarkEnd w:id="62"/>
      <w:r w:rsidR="00A14CEE" w:rsidRPr="00A14CEE">
        <w:rPr>
          <w:bCs/>
        </w:rPr>
        <w:t xml:space="preserve"> </w:t>
      </w:r>
      <w:r w:rsidR="00A14CEE">
        <w:rPr>
          <w:bCs/>
        </w:rPr>
        <w:t>‘</w:t>
      </w:r>
      <w:r w:rsidR="00A14CEE" w:rsidRPr="00A14CEE">
        <w:rPr>
          <w:bCs/>
        </w:rPr>
        <w:t>Transition probabilities and extrapolation</w:t>
      </w:r>
      <w:bookmarkEnd w:id="63"/>
      <w:bookmarkEnd w:id="64"/>
      <w:bookmarkEnd w:id="65"/>
      <w:r w:rsidR="00A14CEE">
        <w:rPr>
          <w:bCs/>
        </w:rPr>
        <w:t>’ of the ToR 4 report for further detail).</w:t>
      </w:r>
    </w:p>
    <w:p w14:paraId="56B4D6AE" w14:textId="20D8AEDF" w:rsidR="0039116F" w:rsidRPr="0039116F" w:rsidRDefault="0039116F" w:rsidP="00A42DF1">
      <w:pPr>
        <w:pStyle w:val="Heading3"/>
        <w:spacing w:before="120" w:after="120"/>
        <w:jc w:val="both"/>
      </w:pPr>
      <w:bookmarkStart w:id="66" w:name="_Toc111710699"/>
      <w:bookmarkStart w:id="67" w:name="_Hlk107828112"/>
      <w:r w:rsidRPr="00A14CEE">
        <w:t>4.</w:t>
      </w:r>
      <w:r w:rsidR="00DD32C3" w:rsidRPr="00A14CEE">
        <w:t>2</w:t>
      </w:r>
      <w:r w:rsidRPr="00A14CEE">
        <w:t xml:space="preserve"> </w:t>
      </w:r>
      <w:r w:rsidR="008F0703" w:rsidRPr="00A14CEE">
        <w:t>Economic evaluation</w:t>
      </w:r>
      <w:bookmarkEnd w:id="66"/>
    </w:p>
    <w:bookmarkEnd w:id="67"/>
    <w:p w14:paraId="1F2F57E3" w14:textId="1CFC08BD" w:rsidR="00D240CA" w:rsidRDefault="00D240CA" w:rsidP="00524AB9">
      <w:pPr>
        <w:pStyle w:val="4Bodytextnumbered"/>
        <w:numPr>
          <w:ilvl w:val="0"/>
          <w:numId w:val="0"/>
        </w:numPr>
        <w:ind w:left="6"/>
      </w:pPr>
      <w:r w:rsidRPr="00315398">
        <w:t>The costs, health outcomes and</w:t>
      </w:r>
      <w:r>
        <w:t xml:space="preserve"> </w:t>
      </w:r>
      <w:r w:rsidR="004C7CBB">
        <w:rPr>
          <w:bCs/>
          <w:iCs/>
        </w:rPr>
        <w:t>i</w:t>
      </w:r>
      <w:r w:rsidR="004C7CBB" w:rsidRPr="004C7CBB">
        <w:rPr>
          <w:bCs/>
          <w:iCs/>
        </w:rPr>
        <w:t>ncremental cost-effectiveness ratio</w:t>
      </w:r>
      <w:r w:rsidR="004C7CBB">
        <w:rPr>
          <w:bCs/>
          <w:iCs/>
        </w:rPr>
        <w:t>s</w:t>
      </w:r>
      <w:r w:rsidR="004C7CBB" w:rsidRPr="004C7CBB">
        <w:t xml:space="preserve"> </w:t>
      </w:r>
      <w:r w:rsidR="004C7CBB">
        <w:t>(</w:t>
      </w:r>
      <w:r w:rsidRPr="00315398">
        <w:t>ICERs</w:t>
      </w:r>
      <w:r w:rsidR="004C7CBB">
        <w:t>)</w:t>
      </w:r>
      <w:r w:rsidRPr="00315398">
        <w:t xml:space="preserve"> for each of the stated comparisons, with a discount rate of 5%, are presented in </w:t>
      </w:r>
      <w:r w:rsidR="00AE50E4">
        <w:t xml:space="preserve">Table </w:t>
      </w:r>
      <w:r w:rsidR="00DD32C3">
        <w:t>1</w:t>
      </w:r>
      <w:r>
        <w:t xml:space="preserve"> </w:t>
      </w:r>
      <w:r w:rsidRPr="00315398">
        <w:t>below. The first reported comparison compare</w:t>
      </w:r>
      <w:r>
        <w:t>d</w:t>
      </w:r>
      <w:r w:rsidRPr="00315398">
        <w:t xml:space="preserve"> the two major usual care options currently available</w:t>
      </w:r>
      <w:r>
        <w:t>,</w:t>
      </w:r>
      <w:r w:rsidRPr="00315398">
        <w:t xml:space="preserve"> VAR </w:t>
      </w:r>
      <w:r w:rsidRPr="00FA56FA">
        <w:t>versus</w:t>
      </w:r>
      <w:r w:rsidRPr="00B862CA">
        <w:rPr>
          <w:i/>
          <w:iCs/>
        </w:rPr>
        <w:t xml:space="preserve"> </w:t>
      </w:r>
      <w:r w:rsidRPr="00315398">
        <w:t>NRT as the first line therapy</w:t>
      </w:r>
      <w:r>
        <w:t>,</w:t>
      </w:r>
      <w:r w:rsidRPr="00315398">
        <w:t xml:space="preserve"> which </w:t>
      </w:r>
      <w:r>
        <w:t>resulted</w:t>
      </w:r>
      <w:r w:rsidRPr="00315398">
        <w:t xml:space="preserve"> </w:t>
      </w:r>
      <w:r>
        <w:t xml:space="preserve">in </w:t>
      </w:r>
      <w:r w:rsidRPr="00315398">
        <w:t xml:space="preserve">an ICER </w:t>
      </w:r>
      <w:r w:rsidR="001748F9">
        <w:t>between</w:t>
      </w:r>
      <w:r w:rsidRPr="00315398">
        <w:t xml:space="preserve"> </w:t>
      </w:r>
      <w:r w:rsidR="001748F9" w:rsidRPr="001748F9">
        <w:t>$55,000 to &lt; $75,000</w:t>
      </w:r>
      <w:r w:rsidR="001748F9" w:rsidRPr="001748F9" w:rsidDel="001748F9">
        <w:rPr>
          <w:highlight w:val="yellow"/>
        </w:rPr>
        <w:t xml:space="preserve"> </w:t>
      </w:r>
      <w:r w:rsidRPr="00315398">
        <w:t xml:space="preserve">per </w:t>
      </w:r>
      <w:r>
        <w:t>q</w:t>
      </w:r>
      <w:r w:rsidRPr="00803CB5">
        <w:t xml:space="preserve">uality-adjusted life-year </w:t>
      </w:r>
      <w:r w:rsidRPr="007F6883">
        <w:t>(</w:t>
      </w:r>
      <w:r w:rsidRPr="00315398">
        <w:t>QALY</w:t>
      </w:r>
      <w:r>
        <w:t>)</w:t>
      </w:r>
      <w:r w:rsidRPr="00315398">
        <w:t xml:space="preserve">. </w:t>
      </w:r>
      <w:r w:rsidRPr="006356E6">
        <w:t xml:space="preserve">The estimated ICERs for VAR+NRT </w:t>
      </w:r>
      <w:r w:rsidRPr="00FA56FA">
        <w:t>versus</w:t>
      </w:r>
      <w:r w:rsidRPr="006356E6">
        <w:t xml:space="preserve"> these usual care comparators</w:t>
      </w:r>
      <w:r>
        <w:t xml:space="preserve">, </w:t>
      </w:r>
      <w:r w:rsidRPr="006356E6">
        <w:t xml:space="preserve">VAR </w:t>
      </w:r>
      <w:r>
        <w:t>and</w:t>
      </w:r>
      <w:r w:rsidRPr="006356E6">
        <w:t xml:space="preserve"> NRT</w:t>
      </w:r>
      <w:r>
        <w:t>,</w:t>
      </w:r>
      <w:r w:rsidRPr="006356E6">
        <w:t xml:space="preserve"> </w:t>
      </w:r>
      <w:r>
        <w:t xml:space="preserve">were </w:t>
      </w:r>
      <w:r w:rsidR="001748F9">
        <w:t xml:space="preserve">within the range of </w:t>
      </w:r>
      <w:r w:rsidR="001748F9" w:rsidRPr="001748F9">
        <w:t>$</w:t>
      </w:r>
      <w:r w:rsidR="001748F9">
        <w:t>3</w:t>
      </w:r>
      <w:r w:rsidR="001748F9" w:rsidRPr="001748F9">
        <w:t>5,000 to &lt; $</w:t>
      </w:r>
      <w:r w:rsidR="001748F9">
        <w:t>4</w:t>
      </w:r>
      <w:r w:rsidR="001748F9" w:rsidRPr="001748F9">
        <w:t>5,000</w:t>
      </w:r>
      <w:r w:rsidRPr="00CD55D5">
        <w:rPr>
          <w:rFonts w:cstheme="minorHAnsi"/>
          <w:szCs w:val="24"/>
        </w:rPr>
        <w:t>; whilst the estimated ICERs for NRT+NRT versus</w:t>
      </w:r>
      <w:r w:rsidRPr="00CD55D5">
        <w:rPr>
          <w:rFonts w:cstheme="minorHAnsi"/>
          <w:i/>
          <w:iCs/>
          <w:szCs w:val="24"/>
        </w:rPr>
        <w:t xml:space="preserve"> </w:t>
      </w:r>
      <w:r w:rsidRPr="00CD55D5">
        <w:rPr>
          <w:rFonts w:cstheme="minorHAnsi"/>
          <w:szCs w:val="24"/>
        </w:rPr>
        <w:t xml:space="preserve">VAR and NRT were </w:t>
      </w:r>
      <w:r w:rsidR="001748F9" w:rsidRPr="00CD55D5">
        <w:rPr>
          <w:rFonts w:cstheme="minorHAnsi"/>
          <w:szCs w:val="24"/>
        </w:rPr>
        <w:t xml:space="preserve">within the range of </w:t>
      </w:r>
      <w:r w:rsidR="00CE2A4F" w:rsidRPr="00CE2A4F">
        <w:rPr>
          <w:rFonts w:cstheme="minorHAnsi"/>
          <w:color w:val="222222"/>
          <w:szCs w:val="24"/>
          <w:shd w:val="clear" w:color="auto" w:fill="FFFFFF"/>
        </w:rPr>
        <w:t>$15,000 to &lt; $25,000 and $25,000 to &lt; $35,000 respectively</w:t>
      </w:r>
      <w:r w:rsidRPr="00CD55D5">
        <w:rPr>
          <w:rFonts w:cstheme="minorHAnsi"/>
          <w:szCs w:val="24"/>
        </w:rPr>
        <w:t>. The scenario of listing both VAR+NRT and NRT+NRT compared to listing VAR+NRT alone was found to be both costlier and less effective (i.</w:t>
      </w:r>
      <w:r>
        <w:t>e</w:t>
      </w:r>
      <w:r w:rsidRPr="006356E6">
        <w:t>.,</w:t>
      </w:r>
      <w:r>
        <w:t xml:space="preserve"> was dominated).</w:t>
      </w:r>
    </w:p>
    <w:p w14:paraId="71C49953" w14:textId="001398B4" w:rsidR="00AE50E4" w:rsidRPr="00AE50E4" w:rsidRDefault="00AE50E4" w:rsidP="00940D1A">
      <w:pPr>
        <w:pStyle w:val="4Bodytextnumbered"/>
        <w:numPr>
          <w:ilvl w:val="0"/>
          <w:numId w:val="0"/>
        </w:numPr>
        <w:spacing w:before="120"/>
        <w:ind w:left="6"/>
        <w:rPr>
          <w:b/>
          <w:bCs/>
        </w:rPr>
      </w:pPr>
      <w:r w:rsidRPr="00AE50E4">
        <w:rPr>
          <w:b/>
          <w:bCs/>
        </w:rPr>
        <w:t xml:space="preserve">Table </w:t>
      </w:r>
      <w:r w:rsidR="00DD32C3">
        <w:rPr>
          <w:b/>
          <w:bCs/>
        </w:rPr>
        <w:t>1</w:t>
      </w:r>
      <w:r w:rsidRPr="00AE50E4">
        <w:rPr>
          <w:b/>
          <w:bCs/>
        </w:rPr>
        <w:t>: Main cost-effectiveness analysis results (5% discount rate)</w:t>
      </w:r>
    </w:p>
    <w:tbl>
      <w:tblPr>
        <w:tblW w:w="5000" w:type="pct"/>
        <w:jc w:val="center"/>
        <w:tblCellMar>
          <w:left w:w="28" w:type="dxa"/>
          <w:right w:w="28" w:type="dxa"/>
        </w:tblCellMar>
        <w:tblLook w:val="04A0" w:firstRow="1" w:lastRow="0" w:firstColumn="1" w:lastColumn="0" w:noHBand="0" w:noVBand="1"/>
      </w:tblPr>
      <w:tblGrid>
        <w:gridCol w:w="1975"/>
        <w:gridCol w:w="993"/>
        <w:gridCol w:w="992"/>
        <w:gridCol w:w="994"/>
        <w:gridCol w:w="992"/>
        <w:gridCol w:w="992"/>
        <w:gridCol w:w="994"/>
        <w:gridCol w:w="1074"/>
      </w:tblGrid>
      <w:tr w:rsidR="00D240CA" w:rsidRPr="00433024" w14:paraId="1FFA77A8" w14:textId="77777777" w:rsidTr="00DD63D4">
        <w:trPr>
          <w:trHeight w:val="300"/>
          <w:jc w:val="center"/>
        </w:trPr>
        <w:tc>
          <w:tcPr>
            <w:tcW w:w="109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AB02D9" w14:textId="77777777" w:rsidR="00D240CA" w:rsidRPr="00433024" w:rsidRDefault="00D240CA" w:rsidP="00AE50E4">
            <w:pPr>
              <w:jc w:val="center"/>
              <w:rPr>
                <w:rFonts w:ascii="Arial Narrow" w:hAnsi="Arial Narrow" w:cs="Calibri"/>
                <w:b/>
                <w:bCs/>
                <w:color w:val="000000"/>
                <w:sz w:val="20"/>
                <w:szCs w:val="20"/>
                <w:lang w:eastAsia="zh-CN"/>
              </w:rPr>
            </w:pPr>
            <w:r w:rsidRPr="00433024">
              <w:rPr>
                <w:rFonts w:ascii="Arial Narrow" w:hAnsi="Arial Narrow" w:cs="Calibri"/>
                <w:b/>
                <w:bCs/>
                <w:color w:val="000000"/>
                <w:sz w:val="20"/>
                <w:szCs w:val="20"/>
                <w:lang w:eastAsia="zh-CN"/>
              </w:rPr>
              <w:t>Comparison</w:t>
            </w:r>
          </w:p>
        </w:tc>
        <w:tc>
          <w:tcPr>
            <w:tcW w:w="1654" w:type="pct"/>
            <w:gridSpan w:val="3"/>
            <w:tcBorders>
              <w:top w:val="single" w:sz="8" w:space="0" w:color="auto"/>
              <w:left w:val="nil"/>
              <w:bottom w:val="single" w:sz="8" w:space="0" w:color="auto"/>
              <w:right w:val="single" w:sz="8" w:space="0" w:color="000000"/>
            </w:tcBorders>
            <w:shd w:val="clear" w:color="000000" w:fill="FFFFFF"/>
            <w:vAlign w:val="center"/>
            <w:hideMark/>
          </w:tcPr>
          <w:p w14:paraId="6F992841" w14:textId="77777777" w:rsidR="00D240CA" w:rsidRPr="00433024" w:rsidRDefault="00D240CA" w:rsidP="00AE50E4">
            <w:pPr>
              <w:jc w:val="center"/>
              <w:rPr>
                <w:rFonts w:ascii="Arial Narrow" w:hAnsi="Arial Narrow" w:cs="Calibri"/>
                <w:b/>
                <w:bCs/>
                <w:color w:val="000000"/>
                <w:sz w:val="20"/>
                <w:szCs w:val="20"/>
                <w:lang w:eastAsia="zh-CN"/>
              </w:rPr>
            </w:pPr>
            <w:r w:rsidRPr="00433024">
              <w:rPr>
                <w:rFonts w:ascii="Arial Narrow" w:hAnsi="Arial Narrow" w:cs="Calibri"/>
                <w:b/>
                <w:bCs/>
                <w:color w:val="000000"/>
                <w:sz w:val="20"/>
                <w:szCs w:val="20"/>
                <w:lang w:eastAsia="zh-CN"/>
              </w:rPr>
              <w:t>Costs</w:t>
            </w:r>
            <w:r>
              <w:rPr>
                <w:rFonts w:ascii="Arial Narrow" w:hAnsi="Arial Narrow" w:cs="Calibri"/>
                <w:b/>
                <w:bCs/>
                <w:color w:val="000000"/>
                <w:sz w:val="20"/>
                <w:szCs w:val="20"/>
                <w:lang w:eastAsia="zh-CN"/>
              </w:rPr>
              <w:t xml:space="preserve"> ($AU)</w:t>
            </w:r>
          </w:p>
        </w:tc>
        <w:tc>
          <w:tcPr>
            <w:tcW w:w="1653" w:type="pct"/>
            <w:gridSpan w:val="3"/>
            <w:tcBorders>
              <w:top w:val="single" w:sz="8" w:space="0" w:color="auto"/>
              <w:left w:val="nil"/>
              <w:bottom w:val="single" w:sz="8" w:space="0" w:color="auto"/>
              <w:right w:val="single" w:sz="8" w:space="0" w:color="000000"/>
            </w:tcBorders>
            <w:shd w:val="clear" w:color="000000" w:fill="FFFFFF"/>
            <w:vAlign w:val="center"/>
            <w:hideMark/>
          </w:tcPr>
          <w:p w14:paraId="61AA3541" w14:textId="77777777" w:rsidR="00D240CA" w:rsidRPr="00433024" w:rsidRDefault="00D240CA" w:rsidP="00AE50E4">
            <w:pPr>
              <w:jc w:val="center"/>
              <w:rPr>
                <w:rFonts w:ascii="Arial Narrow" w:hAnsi="Arial Narrow" w:cs="Calibri"/>
                <w:b/>
                <w:bCs/>
                <w:color w:val="000000"/>
                <w:sz w:val="20"/>
                <w:szCs w:val="20"/>
                <w:lang w:eastAsia="zh-CN"/>
              </w:rPr>
            </w:pPr>
            <w:r w:rsidRPr="00433024">
              <w:rPr>
                <w:rFonts w:ascii="Arial Narrow" w:hAnsi="Arial Narrow" w:cs="Calibri"/>
                <w:b/>
                <w:bCs/>
                <w:color w:val="000000"/>
                <w:sz w:val="20"/>
                <w:szCs w:val="20"/>
                <w:lang w:eastAsia="zh-CN"/>
              </w:rPr>
              <w:t>Health outcomes (QALYs)</w:t>
            </w:r>
          </w:p>
        </w:tc>
        <w:tc>
          <w:tcPr>
            <w:tcW w:w="596" w:type="pct"/>
            <w:vMerge w:val="restart"/>
            <w:tcBorders>
              <w:top w:val="single" w:sz="8" w:space="0" w:color="auto"/>
              <w:left w:val="single" w:sz="8" w:space="0" w:color="auto"/>
              <w:right w:val="single" w:sz="8" w:space="0" w:color="auto"/>
            </w:tcBorders>
            <w:shd w:val="clear" w:color="000000" w:fill="FFFFFF"/>
            <w:vAlign w:val="center"/>
            <w:hideMark/>
          </w:tcPr>
          <w:p w14:paraId="59C9F154" w14:textId="51203577" w:rsidR="00D240CA" w:rsidRDefault="00D240CA" w:rsidP="00AE50E4">
            <w:pPr>
              <w:jc w:val="center"/>
              <w:rPr>
                <w:rFonts w:ascii="Arial Narrow" w:hAnsi="Arial Narrow" w:cs="Calibri"/>
                <w:b/>
                <w:bCs/>
                <w:color w:val="000000"/>
                <w:sz w:val="20"/>
                <w:szCs w:val="20"/>
                <w:lang w:eastAsia="zh-CN"/>
              </w:rPr>
            </w:pPr>
            <w:r w:rsidRPr="000D7693">
              <w:rPr>
                <w:rFonts w:ascii="Arial Narrow" w:hAnsi="Arial Narrow"/>
                <w:b/>
                <w:color w:val="000000"/>
                <w:sz w:val="20"/>
              </w:rPr>
              <w:t>ICER</w:t>
            </w:r>
            <w:r w:rsidR="001748F9">
              <w:rPr>
                <w:rFonts w:ascii="Arial Narrow" w:hAnsi="Arial Narrow"/>
                <w:b/>
                <w:color w:val="000000"/>
                <w:sz w:val="20"/>
              </w:rPr>
              <w:t xml:space="preserve"> range</w:t>
            </w:r>
          </w:p>
          <w:p w14:paraId="333C00E1" w14:textId="77777777" w:rsidR="00D240CA" w:rsidRPr="00433024" w:rsidRDefault="00D240CA" w:rsidP="00AE50E4">
            <w:pPr>
              <w:jc w:val="center"/>
              <w:rPr>
                <w:rFonts w:ascii="Arial Narrow" w:hAnsi="Arial Narrow" w:cs="Calibri"/>
                <w:b/>
                <w:bCs/>
                <w:color w:val="000000"/>
                <w:sz w:val="20"/>
                <w:szCs w:val="20"/>
                <w:lang w:eastAsia="zh-CN"/>
              </w:rPr>
            </w:pPr>
            <w:r w:rsidRPr="00433024">
              <w:rPr>
                <w:rFonts w:ascii="Arial Narrow" w:hAnsi="Arial Narrow" w:cs="Calibri"/>
                <w:b/>
                <w:bCs/>
                <w:color w:val="000000"/>
                <w:sz w:val="20"/>
                <w:szCs w:val="20"/>
                <w:lang w:eastAsia="zh-CN"/>
              </w:rPr>
              <w:t>($ per QALY)</w:t>
            </w:r>
          </w:p>
        </w:tc>
      </w:tr>
      <w:tr w:rsidR="00D240CA" w:rsidRPr="00433024" w14:paraId="1312306B" w14:textId="77777777" w:rsidTr="002049AC">
        <w:trPr>
          <w:trHeight w:val="50"/>
          <w:jc w:val="center"/>
        </w:trPr>
        <w:tc>
          <w:tcPr>
            <w:tcW w:w="1096" w:type="pct"/>
            <w:vMerge/>
            <w:tcBorders>
              <w:top w:val="single" w:sz="8" w:space="0" w:color="auto"/>
              <w:left w:val="single" w:sz="8" w:space="0" w:color="auto"/>
              <w:bottom w:val="single" w:sz="4" w:space="0" w:color="auto"/>
              <w:right w:val="single" w:sz="8" w:space="0" w:color="auto"/>
            </w:tcBorders>
            <w:vAlign w:val="center"/>
            <w:hideMark/>
          </w:tcPr>
          <w:p w14:paraId="66CD192F" w14:textId="77777777" w:rsidR="00D240CA" w:rsidRPr="00433024" w:rsidRDefault="00D240CA" w:rsidP="00AE50E4">
            <w:pPr>
              <w:rPr>
                <w:rFonts w:ascii="Arial Narrow" w:hAnsi="Arial Narrow" w:cs="Calibri"/>
                <w:b/>
                <w:bCs/>
                <w:color w:val="000000"/>
                <w:sz w:val="20"/>
                <w:szCs w:val="20"/>
                <w:lang w:eastAsia="zh-CN"/>
              </w:rPr>
            </w:pPr>
          </w:p>
        </w:tc>
        <w:tc>
          <w:tcPr>
            <w:tcW w:w="551" w:type="pct"/>
            <w:tcBorders>
              <w:top w:val="nil"/>
              <w:left w:val="single" w:sz="8" w:space="0" w:color="auto"/>
              <w:bottom w:val="single" w:sz="4" w:space="0" w:color="auto"/>
              <w:right w:val="single" w:sz="8" w:space="0" w:color="auto"/>
            </w:tcBorders>
            <w:shd w:val="clear" w:color="000000" w:fill="FFFFFF"/>
            <w:vAlign w:val="center"/>
            <w:hideMark/>
          </w:tcPr>
          <w:p w14:paraId="654BFFE8" w14:textId="77777777" w:rsidR="00D240CA" w:rsidRPr="00433024" w:rsidRDefault="00D240CA" w:rsidP="00AE50E4">
            <w:pPr>
              <w:jc w:val="center"/>
              <w:rPr>
                <w:rFonts w:ascii="Arial Narrow" w:hAnsi="Arial Narrow" w:cs="Calibri"/>
                <w:b/>
                <w:bCs/>
                <w:color w:val="000000"/>
                <w:sz w:val="20"/>
                <w:szCs w:val="20"/>
                <w:lang w:eastAsia="zh-CN"/>
              </w:rPr>
            </w:pPr>
            <w:r>
              <w:rPr>
                <w:rFonts w:ascii="Arial Narrow" w:hAnsi="Arial Narrow" w:cs="Calibri"/>
                <w:b/>
                <w:bCs/>
                <w:color w:val="000000"/>
                <w:sz w:val="20"/>
                <w:szCs w:val="20"/>
                <w:lang w:eastAsia="zh-CN"/>
              </w:rPr>
              <w:t>Proposed treatment</w:t>
            </w:r>
          </w:p>
        </w:tc>
        <w:tc>
          <w:tcPr>
            <w:tcW w:w="551" w:type="pct"/>
            <w:tcBorders>
              <w:top w:val="nil"/>
              <w:left w:val="single" w:sz="8" w:space="0" w:color="auto"/>
              <w:bottom w:val="single" w:sz="8" w:space="0" w:color="000000"/>
              <w:right w:val="single" w:sz="8" w:space="0" w:color="auto"/>
            </w:tcBorders>
            <w:shd w:val="clear" w:color="000000" w:fill="FFFFFF"/>
            <w:vAlign w:val="center"/>
            <w:hideMark/>
          </w:tcPr>
          <w:p w14:paraId="2FA54D56" w14:textId="77777777" w:rsidR="00D240CA" w:rsidRPr="00433024" w:rsidRDefault="00D240CA" w:rsidP="00AE50E4">
            <w:pPr>
              <w:jc w:val="center"/>
              <w:rPr>
                <w:rFonts w:ascii="Arial Narrow" w:hAnsi="Arial Narrow" w:cs="Calibri"/>
                <w:b/>
                <w:bCs/>
                <w:color w:val="000000"/>
                <w:sz w:val="20"/>
                <w:szCs w:val="20"/>
                <w:lang w:eastAsia="zh-CN"/>
              </w:rPr>
            </w:pPr>
            <w:r>
              <w:rPr>
                <w:rFonts w:ascii="Arial Narrow" w:hAnsi="Arial Narrow" w:cs="Calibri"/>
                <w:b/>
                <w:bCs/>
                <w:color w:val="000000"/>
                <w:sz w:val="20"/>
                <w:szCs w:val="20"/>
                <w:lang w:eastAsia="zh-CN"/>
              </w:rPr>
              <w:t>Comparator treatment</w:t>
            </w:r>
          </w:p>
        </w:tc>
        <w:tc>
          <w:tcPr>
            <w:tcW w:w="552" w:type="pct"/>
            <w:tcBorders>
              <w:top w:val="nil"/>
              <w:left w:val="single" w:sz="8" w:space="0" w:color="auto"/>
              <w:bottom w:val="single" w:sz="8" w:space="0" w:color="000000"/>
              <w:right w:val="single" w:sz="8" w:space="0" w:color="auto"/>
            </w:tcBorders>
            <w:shd w:val="clear" w:color="000000" w:fill="FFFFFF"/>
            <w:vAlign w:val="center"/>
            <w:hideMark/>
          </w:tcPr>
          <w:p w14:paraId="73949EDA" w14:textId="77777777" w:rsidR="00D240CA" w:rsidRPr="00433024" w:rsidRDefault="00D240CA" w:rsidP="00AE50E4">
            <w:pPr>
              <w:jc w:val="center"/>
              <w:rPr>
                <w:rFonts w:ascii="Arial Narrow" w:hAnsi="Arial Narrow" w:cs="Calibri"/>
                <w:b/>
                <w:bCs/>
                <w:color w:val="000000"/>
                <w:sz w:val="20"/>
                <w:szCs w:val="20"/>
                <w:lang w:eastAsia="zh-CN"/>
              </w:rPr>
            </w:pPr>
            <w:r>
              <w:rPr>
                <w:rFonts w:ascii="Arial Narrow" w:hAnsi="Arial Narrow" w:cs="Calibri"/>
                <w:b/>
                <w:bCs/>
                <w:color w:val="000000"/>
                <w:sz w:val="20"/>
                <w:szCs w:val="20"/>
                <w:lang w:eastAsia="zh-CN"/>
              </w:rPr>
              <w:t>Diff.</w:t>
            </w:r>
          </w:p>
        </w:tc>
        <w:tc>
          <w:tcPr>
            <w:tcW w:w="551" w:type="pct"/>
            <w:tcBorders>
              <w:top w:val="nil"/>
              <w:left w:val="single" w:sz="8" w:space="0" w:color="auto"/>
              <w:bottom w:val="single" w:sz="8" w:space="0" w:color="000000"/>
              <w:right w:val="single" w:sz="8" w:space="0" w:color="auto"/>
            </w:tcBorders>
            <w:shd w:val="clear" w:color="000000" w:fill="FFFFFF"/>
            <w:vAlign w:val="center"/>
            <w:hideMark/>
          </w:tcPr>
          <w:p w14:paraId="279EFD65" w14:textId="77777777" w:rsidR="00D240CA" w:rsidRPr="00433024" w:rsidRDefault="00D240CA" w:rsidP="00AE50E4">
            <w:pPr>
              <w:jc w:val="center"/>
              <w:rPr>
                <w:rFonts w:ascii="Arial Narrow" w:hAnsi="Arial Narrow" w:cs="Calibri"/>
                <w:b/>
                <w:bCs/>
                <w:color w:val="000000"/>
                <w:sz w:val="20"/>
                <w:szCs w:val="20"/>
                <w:lang w:eastAsia="zh-CN"/>
              </w:rPr>
            </w:pPr>
            <w:r>
              <w:rPr>
                <w:rFonts w:ascii="Arial Narrow" w:hAnsi="Arial Narrow" w:cs="Calibri"/>
                <w:b/>
                <w:bCs/>
                <w:color w:val="000000"/>
                <w:sz w:val="20"/>
                <w:szCs w:val="20"/>
                <w:lang w:eastAsia="zh-CN"/>
              </w:rPr>
              <w:t>Proposed treatment</w:t>
            </w:r>
          </w:p>
        </w:tc>
        <w:tc>
          <w:tcPr>
            <w:tcW w:w="551" w:type="pct"/>
            <w:tcBorders>
              <w:top w:val="nil"/>
              <w:left w:val="single" w:sz="8" w:space="0" w:color="auto"/>
              <w:bottom w:val="single" w:sz="8" w:space="0" w:color="000000"/>
              <w:right w:val="single" w:sz="8" w:space="0" w:color="auto"/>
            </w:tcBorders>
            <w:shd w:val="clear" w:color="000000" w:fill="FFFFFF"/>
            <w:vAlign w:val="center"/>
            <w:hideMark/>
          </w:tcPr>
          <w:p w14:paraId="196BCA42" w14:textId="77777777" w:rsidR="00D240CA" w:rsidRPr="00433024" w:rsidRDefault="00D240CA" w:rsidP="00AE50E4">
            <w:pPr>
              <w:jc w:val="center"/>
              <w:rPr>
                <w:rFonts w:ascii="Arial Narrow" w:hAnsi="Arial Narrow" w:cs="Calibri"/>
                <w:b/>
                <w:bCs/>
                <w:color w:val="000000"/>
                <w:sz w:val="20"/>
                <w:szCs w:val="20"/>
                <w:lang w:eastAsia="zh-CN"/>
              </w:rPr>
            </w:pPr>
            <w:r w:rsidRPr="00433024">
              <w:rPr>
                <w:rFonts w:ascii="Arial Narrow" w:hAnsi="Arial Narrow" w:cs="Calibri"/>
                <w:b/>
                <w:bCs/>
                <w:color w:val="000000"/>
                <w:sz w:val="20"/>
                <w:szCs w:val="20"/>
                <w:lang w:eastAsia="zh-CN"/>
              </w:rPr>
              <w:t>Comparator</w:t>
            </w:r>
          </w:p>
          <w:p w14:paraId="573B1327" w14:textId="77777777" w:rsidR="00D240CA" w:rsidRPr="00433024" w:rsidRDefault="00D240CA" w:rsidP="00AE50E4">
            <w:pPr>
              <w:jc w:val="center"/>
              <w:rPr>
                <w:rFonts w:ascii="Arial Narrow" w:hAnsi="Arial Narrow" w:cs="Calibri"/>
                <w:b/>
                <w:bCs/>
                <w:color w:val="000000"/>
                <w:sz w:val="20"/>
                <w:szCs w:val="20"/>
                <w:lang w:eastAsia="zh-CN"/>
              </w:rPr>
            </w:pPr>
            <w:r>
              <w:rPr>
                <w:rFonts w:ascii="Arial Narrow" w:hAnsi="Arial Narrow" w:cs="Calibri"/>
                <w:b/>
                <w:bCs/>
                <w:color w:val="000000"/>
                <w:sz w:val="20"/>
                <w:szCs w:val="20"/>
                <w:lang w:eastAsia="zh-CN"/>
              </w:rPr>
              <w:t>treatment</w:t>
            </w:r>
          </w:p>
        </w:tc>
        <w:tc>
          <w:tcPr>
            <w:tcW w:w="552" w:type="pct"/>
            <w:tcBorders>
              <w:top w:val="nil"/>
              <w:left w:val="single" w:sz="8" w:space="0" w:color="auto"/>
              <w:bottom w:val="single" w:sz="8" w:space="0" w:color="000000"/>
              <w:right w:val="single" w:sz="8" w:space="0" w:color="auto"/>
            </w:tcBorders>
            <w:shd w:val="clear" w:color="000000" w:fill="FFFFFF"/>
            <w:vAlign w:val="center"/>
            <w:hideMark/>
          </w:tcPr>
          <w:p w14:paraId="105A9C75" w14:textId="77777777" w:rsidR="00D240CA" w:rsidRPr="00433024" w:rsidRDefault="00D240CA" w:rsidP="00AE50E4">
            <w:pPr>
              <w:jc w:val="center"/>
              <w:rPr>
                <w:rFonts w:ascii="Arial Narrow" w:hAnsi="Arial Narrow" w:cs="Calibri"/>
                <w:b/>
                <w:bCs/>
                <w:color w:val="000000"/>
                <w:sz w:val="20"/>
                <w:szCs w:val="20"/>
                <w:lang w:eastAsia="zh-CN"/>
              </w:rPr>
            </w:pPr>
            <w:r>
              <w:rPr>
                <w:rFonts w:ascii="Arial Narrow" w:hAnsi="Arial Narrow" w:cs="Calibri"/>
                <w:b/>
                <w:bCs/>
                <w:color w:val="000000"/>
                <w:sz w:val="20"/>
                <w:szCs w:val="20"/>
                <w:lang w:eastAsia="zh-CN"/>
              </w:rPr>
              <w:t>Diff.</w:t>
            </w:r>
          </w:p>
        </w:tc>
        <w:tc>
          <w:tcPr>
            <w:tcW w:w="596" w:type="pct"/>
            <w:vMerge/>
            <w:tcBorders>
              <w:left w:val="single" w:sz="8" w:space="0" w:color="auto"/>
              <w:bottom w:val="single" w:sz="8" w:space="0" w:color="000000"/>
              <w:right w:val="single" w:sz="8" w:space="0" w:color="auto"/>
            </w:tcBorders>
            <w:vAlign w:val="center"/>
            <w:hideMark/>
          </w:tcPr>
          <w:p w14:paraId="7F30ED72" w14:textId="77777777" w:rsidR="00D240CA" w:rsidRPr="00433024" w:rsidRDefault="00D240CA" w:rsidP="00AE50E4">
            <w:pPr>
              <w:rPr>
                <w:rFonts w:ascii="Arial Narrow" w:hAnsi="Arial Narrow" w:cs="Calibri"/>
                <w:b/>
                <w:bCs/>
                <w:color w:val="000000"/>
                <w:sz w:val="20"/>
                <w:szCs w:val="20"/>
                <w:lang w:eastAsia="zh-CN"/>
              </w:rPr>
            </w:pPr>
          </w:p>
        </w:tc>
      </w:tr>
      <w:tr w:rsidR="002049AC" w:rsidRPr="00433024" w14:paraId="32F6134F" w14:textId="77777777" w:rsidTr="002049AC">
        <w:trPr>
          <w:trHeight w:val="50"/>
          <w:jc w:val="center"/>
        </w:trPr>
        <w:tc>
          <w:tcPr>
            <w:tcW w:w="1096"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3BD8320B" w14:textId="77777777" w:rsidR="00385755" w:rsidRPr="00433024" w:rsidRDefault="00385755" w:rsidP="00385755">
            <w:pPr>
              <w:rPr>
                <w:rFonts w:ascii="Arial Narrow" w:hAnsi="Arial Narrow" w:cs="Calibri"/>
                <w:color w:val="000000"/>
                <w:sz w:val="20"/>
                <w:szCs w:val="20"/>
                <w:lang w:eastAsia="zh-CN"/>
              </w:rPr>
            </w:pPr>
            <w:r w:rsidRPr="00433024">
              <w:rPr>
                <w:rFonts w:ascii="Arial Narrow" w:hAnsi="Arial Narrow" w:cs="Calibri"/>
                <w:color w:val="000000"/>
                <w:sz w:val="20"/>
                <w:szCs w:val="20"/>
              </w:rPr>
              <w:t>(VAR) vs (NRT)</w:t>
            </w:r>
            <w:r>
              <w:rPr>
                <w:rFonts w:ascii="Arial Narrow" w:hAnsi="Arial Narrow" w:cs="Calibri"/>
                <w:color w:val="000000"/>
                <w:sz w:val="20"/>
                <w:szCs w:val="20"/>
              </w:rPr>
              <w:t xml:space="preserve"> </w:t>
            </w:r>
            <w:r w:rsidRPr="00433024">
              <w:rPr>
                <w:rFonts w:ascii="Arial Narrow" w:hAnsi="Arial Narrow" w:cs="Calibri"/>
                <w:color w:val="000000"/>
                <w:sz w:val="20"/>
                <w:szCs w:val="20"/>
                <w:vertAlign w:val="superscript"/>
              </w:rPr>
              <w:t xml:space="preserve">a </w:t>
            </w:r>
          </w:p>
        </w:tc>
        <w:tc>
          <w:tcPr>
            <w:tcW w:w="551" w:type="pct"/>
            <w:tcBorders>
              <w:top w:val="single" w:sz="4" w:space="0" w:color="auto"/>
              <w:left w:val="nil"/>
              <w:bottom w:val="single" w:sz="8" w:space="0" w:color="auto"/>
              <w:right w:val="single" w:sz="8" w:space="0" w:color="auto"/>
            </w:tcBorders>
            <w:shd w:val="solid" w:color="000000" w:fill="000000"/>
            <w:vAlign w:val="center"/>
            <w:hideMark/>
          </w:tcPr>
          <w:p w14:paraId="70049A2C" w14:textId="72C7DD55"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6"/>
                <w:sz w:val="20"/>
                <w:szCs w:val="20"/>
                <w:fitText w:val="192" w:id="-1402797056"/>
                <w14:textFill>
                  <w14:solidFill>
                    <w14:srgbClr w14:val="000000">
                      <w14:alpha w14:val="100000"/>
                    </w14:srgbClr>
                  </w14:solidFill>
                </w14:textFill>
              </w:rPr>
              <w:t>|</w:t>
            </w:r>
            <w:r w:rsidRPr="002049AC">
              <w:rPr>
                <w:rFonts w:ascii="Arial Narrow" w:hAnsi="Arial Narrow" w:cs="Calibri"/>
                <w:color w:val="000000"/>
                <w:sz w:val="20"/>
                <w:szCs w:val="20"/>
                <w:fitText w:val="192" w:id="-1402797056"/>
                <w14:textFill>
                  <w14:solidFill>
                    <w14:srgbClr w14:val="000000">
                      <w14:alpha w14:val="100000"/>
                    </w14:srgbClr>
                  </w14:solidFill>
                </w14:textFill>
              </w:rPr>
              <w:t>|</w:t>
            </w:r>
          </w:p>
        </w:tc>
        <w:tc>
          <w:tcPr>
            <w:tcW w:w="551" w:type="pct"/>
            <w:tcBorders>
              <w:top w:val="single" w:sz="8" w:space="0" w:color="000000"/>
              <w:left w:val="nil"/>
              <w:bottom w:val="single" w:sz="8" w:space="0" w:color="auto"/>
              <w:right w:val="single" w:sz="8" w:space="0" w:color="auto"/>
            </w:tcBorders>
            <w:shd w:val="solid" w:color="000000" w:fill="000000"/>
            <w:vAlign w:val="center"/>
            <w:hideMark/>
          </w:tcPr>
          <w:p w14:paraId="7B9B8371" w14:textId="7F2BB5E7"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5"/>
                <w:sz w:val="20"/>
                <w:szCs w:val="20"/>
                <w:fitText w:val="191" w:id="-1402797055"/>
                <w14:textFill>
                  <w14:solidFill>
                    <w14:srgbClr w14:val="000000">
                      <w14:alpha w14:val="100000"/>
                    </w14:srgbClr>
                  </w14:solidFill>
                </w14:textFill>
              </w:rPr>
              <w:t>|</w:t>
            </w:r>
            <w:r w:rsidRPr="002049AC">
              <w:rPr>
                <w:rFonts w:ascii="Arial Narrow" w:hAnsi="Arial Narrow" w:cs="Calibri"/>
                <w:color w:val="000000"/>
                <w:sz w:val="20"/>
                <w:szCs w:val="20"/>
                <w:fitText w:val="191" w:id="-1402797055"/>
                <w14:textFill>
                  <w14:solidFill>
                    <w14:srgbClr w14:val="000000">
                      <w14:alpha w14:val="100000"/>
                    </w14:srgbClr>
                  </w14:solidFill>
                </w14:textFill>
              </w:rPr>
              <w:t>|</w:t>
            </w:r>
          </w:p>
        </w:tc>
        <w:tc>
          <w:tcPr>
            <w:tcW w:w="552" w:type="pct"/>
            <w:tcBorders>
              <w:top w:val="single" w:sz="8" w:space="0" w:color="000000"/>
              <w:left w:val="nil"/>
              <w:bottom w:val="single" w:sz="8" w:space="0" w:color="auto"/>
              <w:right w:val="single" w:sz="8" w:space="0" w:color="auto"/>
            </w:tcBorders>
            <w:shd w:val="solid" w:color="000000" w:fill="000000"/>
            <w:vAlign w:val="center"/>
            <w:hideMark/>
          </w:tcPr>
          <w:p w14:paraId="180E70D4" w14:textId="35BA7709"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z w:val="20"/>
                <w:szCs w:val="20"/>
                <w14:textFill>
                  <w14:solidFill>
                    <w14:srgbClr w14:val="000000">
                      <w14:alpha w14:val="100000"/>
                    </w14:srgbClr>
                  </w14:solidFill>
                </w14:textFill>
              </w:rPr>
              <w:t>|</w:t>
            </w:r>
          </w:p>
        </w:tc>
        <w:tc>
          <w:tcPr>
            <w:tcW w:w="551" w:type="pct"/>
            <w:tcBorders>
              <w:top w:val="single" w:sz="8" w:space="0" w:color="000000"/>
              <w:left w:val="nil"/>
              <w:bottom w:val="single" w:sz="8" w:space="0" w:color="auto"/>
              <w:right w:val="single" w:sz="8" w:space="0" w:color="auto"/>
            </w:tcBorders>
            <w:shd w:val="solid" w:color="000000" w:fill="000000"/>
            <w:vAlign w:val="center"/>
            <w:hideMark/>
          </w:tcPr>
          <w:p w14:paraId="7D0B2258" w14:textId="23FF2E01"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hint="eastAsia"/>
                <w:color w:val="000000"/>
                <w:w w:val="15"/>
                <w:sz w:val="20"/>
                <w:szCs w:val="20"/>
                <w:fitText w:val="55" w:id="-1402797054"/>
                <w14:textFill>
                  <w14:solidFill>
                    <w14:srgbClr w14:val="000000">
                      <w14:alpha w14:val="100000"/>
                    </w14:srgbClr>
                  </w14:solidFill>
                </w14:textFill>
              </w:rPr>
              <w:t xml:space="preserve">　</w:t>
            </w:r>
            <w:r w:rsidRPr="002049AC">
              <w:rPr>
                <w:rFonts w:ascii="Arial Narrow" w:hAnsi="Arial Narrow" w:cs="Calibri"/>
                <w:color w:val="000000"/>
                <w:w w:val="15"/>
                <w:sz w:val="20"/>
                <w:szCs w:val="20"/>
                <w:fitText w:val="55" w:id="-1402797054"/>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fitText w:val="55" w:id="-1402797054"/>
                <w14:textFill>
                  <w14:solidFill>
                    <w14:srgbClr w14:val="000000">
                      <w14:alpha w14:val="100000"/>
                    </w14:srgbClr>
                  </w14:solidFill>
                </w14:textFill>
              </w:rPr>
              <w:t xml:space="preserve">　</w:t>
            </w:r>
          </w:p>
        </w:tc>
        <w:tc>
          <w:tcPr>
            <w:tcW w:w="551" w:type="pct"/>
            <w:tcBorders>
              <w:top w:val="single" w:sz="8" w:space="0" w:color="000000"/>
              <w:left w:val="nil"/>
              <w:bottom w:val="single" w:sz="8" w:space="0" w:color="auto"/>
              <w:right w:val="single" w:sz="8" w:space="0" w:color="auto"/>
            </w:tcBorders>
            <w:shd w:val="solid" w:color="000000" w:fill="000000"/>
            <w:vAlign w:val="center"/>
            <w:hideMark/>
          </w:tcPr>
          <w:p w14:paraId="2F31860D" w14:textId="653D6CE5"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hint="eastAsia"/>
                <w:color w:val="000000"/>
                <w:w w:val="15"/>
                <w:sz w:val="20"/>
                <w:szCs w:val="20"/>
                <w:fitText w:val="55" w:id="-1402797053"/>
                <w14:textFill>
                  <w14:solidFill>
                    <w14:srgbClr w14:val="000000">
                      <w14:alpha w14:val="100000"/>
                    </w14:srgbClr>
                  </w14:solidFill>
                </w14:textFill>
              </w:rPr>
              <w:t xml:space="preserve">　</w:t>
            </w:r>
            <w:r w:rsidRPr="002049AC">
              <w:rPr>
                <w:rFonts w:ascii="Arial Narrow" w:hAnsi="Arial Narrow" w:cs="Calibri"/>
                <w:color w:val="000000"/>
                <w:w w:val="15"/>
                <w:sz w:val="20"/>
                <w:szCs w:val="20"/>
                <w:fitText w:val="55" w:id="-1402797053"/>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fitText w:val="55" w:id="-1402797053"/>
                <w14:textFill>
                  <w14:solidFill>
                    <w14:srgbClr w14:val="000000">
                      <w14:alpha w14:val="100000"/>
                    </w14:srgbClr>
                  </w14:solidFill>
                </w14:textFill>
              </w:rPr>
              <w:t xml:space="preserve">　</w:t>
            </w:r>
          </w:p>
        </w:tc>
        <w:tc>
          <w:tcPr>
            <w:tcW w:w="552" w:type="pct"/>
            <w:tcBorders>
              <w:top w:val="single" w:sz="8" w:space="0" w:color="000000"/>
              <w:left w:val="nil"/>
              <w:bottom w:val="single" w:sz="8" w:space="0" w:color="auto"/>
              <w:right w:val="single" w:sz="8" w:space="0" w:color="auto"/>
            </w:tcBorders>
            <w:shd w:val="solid" w:color="000000" w:fill="000000"/>
            <w:vAlign w:val="center"/>
            <w:hideMark/>
          </w:tcPr>
          <w:p w14:paraId="19F072C6" w14:textId="6FCEAB9A" w:rsidR="00385755" w:rsidRPr="002049AC" w:rsidRDefault="002049AC" w:rsidP="00385755">
            <w:pPr>
              <w:jc w:val="center"/>
              <w:rPr>
                <w:rFonts w:ascii="Arial Narrow" w:hAnsi="Arial Narrow" w:cs="Calibri"/>
                <w:color w:val="000000"/>
                <w:sz w:val="20"/>
                <w:szCs w:val="20"/>
                <w:lang w:eastAsia="zh-CN"/>
              </w:rPr>
            </w:pPr>
            <w:r w:rsidRPr="002049AC">
              <w:rPr>
                <w:rFonts w:hint="eastAsia"/>
                <w:color w:val="000000"/>
                <w:w w:val="22"/>
                <w:sz w:val="20"/>
                <w:fitText w:val="109" w:id="-1402797052"/>
                <w14:textFill>
                  <w14:solidFill>
                    <w14:srgbClr w14:val="000000">
                      <w14:alpha w14:val="100000"/>
                    </w14:srgbClr>
                  </w14:solidFill>
                </w14:textFill>
              </w:rPr>
              <w:t xml:space="preserve">　</w:t>
            </w:r>
            <w:r w:rsidRPr="002049AC">
              <w:rPr>
                <w:color w:val="000000"/>
                <w:w w:val="22"/>
                <w:sz w:val="20"/>
                <w:fitText w:val="109" w:id="-1402797052"/>
                <w14:textFill>
                  <w14:solidFill>
                    <w14:srgbClr w14:val="000000">
                      <w14:alpha w14:val="100000"/>
                    </w14:srgbClr>
                  </w14:solidFill>
                </w14:textFill>
              </w:rPr>
              <w:t>|</w:t>
            </w:r>
            <w:r w:rsidRPr="002049AC">
              <w:rPr>
                <w:rFonts w:hint="eastAsia"/>
                <w:color w:val="000000"/>
                <w:w w:val="22"/>
                <w:sz w:val="20"/>
                <w:fitText w:val="109" w:id="-1402797052"/>
                <w14:textFill>
                  <w14:solidFill>
                    <w14:srgbClr w14:val="000000">
                      <w14:alpha w14:val="100000"/>
                    </w14:srgbClr>
                  </w14:solidFill>
                </w14:textFill>
              </w:rPr>
              <w:t xml:space="preserve">　</w:t>
            </w:r>
          </w:p>
        </w:tc>
        <w:tc>
          <w:tcPr>
            <w:tcW w:w="596" w:type="pct"/>
            <w:tcBorders>
              <w:top w:val="nil"/>
              <w:left w:val="nil"/>
              <w:bottom w:val="single" w:sz="8" w:space="0" w:color="auto"/>
              <w:right w:val="single" w:sz="8" w:space="0" w:color="auto"/>
            </w:tcBorders>
            <w:shd w:val="clear" w:color="auto" w:fill="000000" w:themeFill="text1"/>
            <w:vAlign w:val="center"/>
            <w:hideMark/>
          </w:tcPr>
          <w:p w14:paraId="386FC56F" w14:textId="76D3FD6B"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color w:val="000000"/>
                <w:spacing w:val="205"/>
                <w:sz w:val="20"/>
                <w:szCs w:val="20"/>
                <w:shd w:val="solid" w:color="000000" w:fill="000000"/>
                <w:fitText w:val="291" w:id="-1402797051"/>
                <w14:textFill>
                  <w14:solidFill>
                    <w14:srgbClr w14:val="000000">
                      <w14:alpha w14:val="100000"/>
                    </w14:srgbClr>
                  </w14:solidFill>
                </w14:textFill>
              </w:rPr>
              <w:t>|</w:t>
            </w:r>
            <w:r w:rsidRPr="002049AC">
              <w:rPr>
                <w:rFonts w:ascii="Arial Narrow" w:hAnsi="Arial Narrow" w:cs="Calibri"/>
                <w:color w:val="000000"/>
                <w:sz w:val="20"/>
                <w:szCs w:val="20"/>
                <w:shd w:val="solid" w:color="000000" w:fill="000000"/>
                <w:fitText w:val="291" w:id="-1402797051"/>
                <w14:textFill>
                  <w14:solidFill>
                    <w14:srgbClr w14:val="000000">
                      <w14:alpha w14:val="100000"/>
                    </w14:srgbClr>
                  </w14:solidFill>
                </w14:textFill>
              </w:rPr>
              <w:t>|</w:t>
            </w:r>
            <w:r w:rsidRPr="002049AC">
              <w:rPr>
                <w:rFonts w:ascii="Arial Narrow" w:hAnsi="Arial Narrow" w:cs="Calibri"/>
                <w:color w:val="000000"/>
                <w:sz w:val="20"/>
                <w:szCs w:val="20"/>
              </w:rPr>
              <w:t xml:space="preserve"> </w:t>
            </w:r>
          </w:p>
        </w:tc>
      </w:tr>
      <w:tr w:rsidR="002049AC" w:rsidRPr="00433024" w14:paraId="06368E5A" w14:textId="77777777" w:rsidTr="002049AC">
        <w:trPr>
          <w:trHeight w:val="50"/>
          <w:jc w:val="center"/>
        </w:trPr>
        <w:tc>
          <w:tcPr>
            <w:tcW w:w="1096" w:type="pct"/>
            <w:tcBorders>
              <w:top w:val="nil"/>
              <w:left w:val="single" w:sz="8" w:space="0" w:color="auto"/>
              <w:bottom w:val="single" w:sz="8" w:space="0" w:color="auto"/>
              <w:right w:val="single" w:sz="8" w:space="0" w:color="auto"/>
            </w:tcBorders>
            <w:shd w:val="clear" w:color="000000" w:fill="FFFFFF"/>
            <w:vAlign w:val="center"/>
            <w:hideMark/>
          </w:tcPr>
          <w:p w14:paraId="254F8B54" w14:textId="77777777" w:rsidR="00385755" w:rsidRPr="00433024" w:rsidRDefault="00385755" w:rsidP="00385755">
            <w:pPr>
              <w:rPr>
                <w:rFonts w:ascii="Arial Narrow" w:hAnsi="Arial Narrow" w:cs="Calibri"/>
                <w:color w:val="000000"/>
                <w:sz w:val="20"/>
                <w:szCs w:val="20"/>
                <w:lang w:eastAsia="zh-CN"/>
              </w:rPr>
            </w:pPr>
            <w:r w:rsidRPr="00433024">
              <w:rPr>
                <w:rFonts w:ascii="Arial Narrow" w:hAnsi="Arial Narrow" w:cs="Calibri"/>
                <w:color w:val="000000"/>
                <w:sz w:val="20"/>
                <w:szCs w:val="20"/>
              </w:rPr>
              <w:t>(VAR+NRT)</w:t>
            </w:r>
            <w:r>
              <w:rPr>
                <w:rFonts w:ascii="Arial Narrow" w:hAnsi="Arial Narrow" w:cs="Calibri"/>
                <w:color w:val="000000"/>
                <w:sz w:val="20"/>
                <w:szCs w:val="20"/>
              </w:rPr>
              <w:t xml:space="preserve"> </w:t>
            </w:r>
            <w:r w:rsidRPr="00433024">
              <w:rPr>
                <w:rFonts w:ascii="Arial Narrow" w:hAnsi="Arial Narrow" w:cs="Calibri"/>
                <w:color w:val="000000"/>
                <w:sz w:val="20"/>
                <w:szCs w:val="20"/>
                <w:vertAlign w:val="superscript"/>
              </w:rPr>
              <w:t>b</w:t>
            </w:r>
            <w:r>
              <w:rPr>
                <w:rFonts w:ascii="Arial Narrow" w:hAnsi="Arial Narrow" w:cs="Calibri"/>
                <w:color w:val="000000"/>
                <w:sz w:val="20"/>
                <w:szCs w:val="20"/>
              </w:rPr>
              <w:t xml:space="preserve"> v</w:t>
            </w:r>
            <w:r w:rsidRPr="00433024">
              <w:rPr>
                <w:rFonts w:ascii="Arial Narrow" w:hAnsi="Arial Narrow" w:cs="Calibri"/>
                <w:color w:val="000000"/>
                <w:sz w:val="20"/>
                <w:szCs w:val="20"/>
              </w:rPr>
              <w:t>s (VAR)</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77A0CFE2" w14:textId="3927E69F"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6"/>
                <w:sz w:val="20"/>
                <w:szCs w:val="20"/>
                <w:fitText w:val="192" w:id="-1402796800"/>
                <w14:textFill>
                  <w14:solidFill>
                    <w14:srgbClr w14:val="000000">
                      <w14:alpha w14:val="100000"/>
                    </w14:srgbClr>
                  </w14:solidFill>
                </w14:textFill>
              </w:rPr>
              <w:t>|</w:t>
            </w:r>
            <w:r w:rsidRPr="002049AC">
              <w:rPr>
                <w:rFonts w:ascii="Arial Narrow" w:hAnsi="Arial Narrow" w:cs="Calibri"/>
                <w:color w:val="000000"/>
                <w:sz w:val="20"/>
                <w:szCs w:val="20"/>
                <w:fitText w:val="192" w:id="-1402796800"/>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6F53FE0B" w14:textId="1F2C5560"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5"/>
                <w:sz w:val="20"/>
                <w:szCs w:val="20"/>
                <w:fitText w:val="191" w:id="-1402796799"/>
                <w14:textFill>
                  <w14:solidFill>
                    <w14:srgbClr w14:val="000000">
                      <w14:alpha w14:val="100000"/>
                    </w14:srgbClr>
                  </w14:solidFill>
                </w14:textFill>
              </w:rPr>
              <w:t>|</w:t>
            </w:r>
            <w:r w:rsidRPr="002049AC">
              <w:rPr>
                <w:rFonts w:ascii="Arial Narrow" w:hAnsi="Arial Narrow" w:cs="Calibri"/>
                <w:color w:val="000000"/>
                <w:sz w:val="20"/>
                <w:szCs w:val="20"/>
                <w:fitText w:val="191" w:id="-1402796799"/>
                <w14:textFill>
                  <w14:solidFill>
                    <w14:srgbClr w14:val="000000">
                      <w14:alpha w14:val="100000"/>
                    </w14:srgbClr>
                  </w14:solidFill>
                </w14:textFill>
              </w:rPr>
              <w:t>|</w:t>
            </w:r>
          </w:p>
        </w:tc>
        <w:tc>
          <w:tcPr>
            <w:tcW w:w="552" w:type="pct"/>
            <w:tcBorders>
              <w:top w:val="single" w:sz="8" w:space="0" w:color="auto"/>
              <w:left w:val="nil"/>
              <w:bottom w:val="single" w:sz="8" w:space="0" w:color="auto"/>
              <w:right w:val="single" w:sz="8" w:space="0" w:color="auto"/>
            </w:tcBorders>
            <w:shd w:val="solid" w:color="000000" w:fill="000000"/>
            <w:vAlign w:val="center"/>
            <w:hideMark/>
          </w:tcPr>
          <w:p w14:paraId="0445F066" w14:textId="723B3B06"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z w:val="20"/>
                <w:szCs w:val="20"/>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0A242B09" w14:textId="4CAECF05"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hint="eastAsia"/>
                <w:color w:val="000000"/>
                <w:w w:val="15"/>
                <w:sz w:val="20"/>
                <w:szCs w:val="20"/>
                <w:fitText w:val="55" w:id="-1402796798"/>
                <w14:textFill>
                  <w14:solidFill>
                    <w14:srgbClr w14:val="000000">
                      <w14:alpha w14:val="100000"/>
                    </w14:srgbClr>
                  </w14:solidFill>
                </w14:textFill>
              </w:rPr>
              <w:t xml:space="preserve">　</w:t>
            </w:r>
            <w:r w:rsidRPr="002049AC">
              <w:rPr>
                <w:rFonts w:ascii="Arial Narrow" w:hAnsi="Arial Narrow" w:cs="Calibri"/>
                <w:color w:val="000000"/>
                <w:w w:val="15"/>
                <w:sz w:val="20"/>
                <w:szCs w:val="20"/>
                <w:fitText w:val="55" w:id="-1402796798"/>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fitText w:val="55" w:id="-1402796798"/>
                <w14:textFill>
                  <w14:solidFill>
                    <w14:srgbClr w14:val="000000">
                      <w14:alpha w14:val="100000"/>
                    </w14:srgbClr>
                  </w14:solidFill>
                </w14:textFill>
              </w:rPr>
              <w:t xml:space="preserve">　</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2893B1AB" w14:textId="20ECC246"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hint="eastAsia"/>
                <w:color w:val="000000"/>
                <w:w w:val="15"/>
                <w:sz w:val="20"/>
                <w:szCs w:val="20"/>
                <w:fitText w:val="55" w:id="-1402796797"/>
                <w14:textFill>
                  <w14:solidFill>
                    <w14:srgbClr w14:val="000000">
                      <w14:alpha w14:val="100000"/>
                    </w14:srgbClr>
                  </w14:solidFill>
                </w14:textFill>
              </w:rPr>
              <w:t xml:space="preserve">　</w:t>
            </w:r>
            <w:r w:rsidRPr="002049AC">
              <w:rPr>
                <w:rFonts w:ascii="Arial Narrow" w:hAnsi="Arial Narrow" w:cs="Calibri"/>
                <w:color w:val="000000"/>
                <w:w w:val="15"/>
                <w:sz w:val="20"/>
                <w:szCs w:val="20"/>
                <w:fitText w:val="55" w:id="-1402796797"/>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fitText w:val="55" w:id="-1402796797"/>
                <w14:textFill>
                  <w14:solidFill>
                    <w14:srgbClr w14:val="000000">
                      <w14:alpha w14:val="100000"/>
                    </w14:srgbClr>
                  </w14:solidFill>
                </w14:textFill>
              </w:rPr>
              <w:t xml:space="preserve">　</w:t>
            </w:r>
          </w:p>
        </w:tc>
        <w:tc>
          <w:tcPr>
            <w:tcW w:w="552" w:type="pct"/>
            <w:tcBorders>
              <w:top w:val="single" w:sz="8" w:space="0" w:color="auto"/>
              <w:left w:val="nil"/>
              <w:bottom w:val="single" w:sz="8" w:space="0" w:color="auto"/>
              <w:right w:val="single" w:sz="8" w:space="0" w:color="auto"/>
            </w:tcBorders>
            <w:shd w:val="solid" w:color="000000" w:fill="000000"/>
            <w:vAlign w:val="center"/>
            <w:hideMark/>
          </w:tcPr>
          <w:p w14:paraId="4513A5D8" w14:textId="64FD4C49" w:rsidR="00385755" w:rsidRPr="002049AC" w:rsidRDefault="002049AC" w:rsidP="00385755">
            <w:pPr>
              <w:jc w:val="center"/>
              <w:rPr>
                <w:rFonts w:ascii="Arial Narrow" w:hAnsi="Arial Narrow" w:cs="Calibri"/>
                <w:color w:val="000000"/>
                <w:sz w:val="20"/>
                <w:szCs w:val="20"/>
                <w:lang w:eastAsia="zh-CN"/>
              </w:rPr>
            </w:pPr>
            <w:r w:rsidRPr="002049AC">
              <w:rPr>
                <w:rFonts w:hint="eastAsia"/>
                <w:color w:val="000000"/>
                <w:w w:val="22"/>
                <w:sz w:val="20"/>
                <w:fitText w:val="109" w:id="-1402796796"/>
                <w14:textFill>
                  <w14:solidFill>
                    <w14:srgbClr w14:val="000000">
                      <w14:alpha w14:val="100000"/>
                    </w14:srgbClr>
                  </w14:solidFill>
                </w14:textFill>
              </w:rPr>
              <w:t xml:space="preserve">　</w:t>
            </w:r>
            <w:r w:rsidRPr="002049AC">
              <w:rPr>
                <w:color w:val="000000"/>
                <w:w w:val="22"/>
                <w:sz w:val="20"/>
                <w:fitText w:val="109" w:id="-1402796796"/>
                <w14:textFill>
                  <w14:solidFill>
                    <w14:srgbClr w14:val="000000">
                      <w14:alpha w14:val="100000"/>
                    </w14:srgbClr>
                  </w14:solidFill>
                </w14:textFill>
              </w:rPr>
              <w:t>|</w:t>
            </w:r>
            <w:r w:rsidRPr="002049AC">
              <w:rPr>
                <w:rFonts w:hint="eastAsia"/>
                <w:color w:val="000000"/>
                <w:w w:val="22"/>
                <w:sz w:val="20"/>
                <w:fitText w:val="109" w:id="-1402796796"/>
                <w14:textFill>
                  <w14:solidFill>
                    <w14:srgbClr w14:val="000000">
                      <w14:alpha w14:val="100000"/>
                    </w14:srgbClr>
                  </w14:solidFill>
                </w14:textFill>
              </w:rPr>
              <w:t xml:space="preserve">　</w:t>
            </w:r>
          </w:p>
        </w:tc>
        <w:tc>
          <w:tcPr>
            <w:tcW w:w="596" w:type="pct"/>
            <w:tcBorders>
              <w:top w:val="nil"/>
              <w:left w:val="nil"/>
              <w:bottom w:val="single" w:sz="8" w:space="0" w:color="auto"/>
              <w:right w:val="single" w:sz="8" w:space="0" w:color="auto"/>
            </w:tcBorders>
            <w:shd w:val="clear" w:color="auto" w:fill="000000" w:themeFill="text1"/>
            <w:vAlign w:val="center"/>
            <w:hideMark/>
          </w:tcPr>
          <w:p w14:paraId="1DCE1634" w14:textId="0E198E43"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color w:val="000000"/>
                <w:spacing w:val="205"/>
                <w:sz w:val="20"/>
                <w:szCs w:val="20"/>
                <w:shd w:val="solid" w:color="000000" w:fill="000000"/>
                <w:fitText w:val="291" w:id="-1402796544"/>
                <w14:textFill>
                  <w14:solidFill>
                    <w14:srgbClr w14:val="000000">
                      <w14:alpha w14:val="100000"/>
                    </w14:srgbClr>
                  </w14:solidFill>
                </w14:textFill>
              </w:rPr>
              <w:t>|</w:t>
            </w:r>
            <w:r w:rsidRPr="002049AC">
              <w:rPr>
                <w:rFonts w:ascii="Arial Narrow" w:hAnsi="Arial Narrow" w:cs="Calibri"/>
                <w:color w:val="000000"/>
                <w:sz w:val="20"/>
                <w:szCs w:val="20"/>
                <w:shd w:val="solid" w:color="000000" w:fill="000000"/>
                <w:fitText w:val="291" w:id="-1402796544"/>
                <w14:textFill>
                  <w14:solidFill>
                    <w14:srgbClr w14:val="000000">
                      <w14:alpha w14:val="100000"/>
                    </w14:srgbClr>
                  </w14:solidFill>
                </w14:textFill>
              </w:rPr>
              <w:t>|</w:t>
            </w:r>
            <w:r w:rsidRPr="002049AC">
              <w:rPr>
                <w:rFonts w:ascii="Arial Narrow" w:hAnsi="Arial Narrow" w:cs="Calibri"/>
                <w:color w:val="000000"/>
                <w:sz w:val="20"/>
                <w:szCs w:val="20"/>
              </w:rPr>
              <w:t xml:space="preserve"> </w:t>
            </w:r>
          </w:p>
        </w:tc>
      </w:tr>
      <w:tr w:rsidR="002049AC" w:rsidRPr="00433024" w14:paraId="7EA593BB" w14:textId="77777777" w:rsidTr="002049AC">
        <w:trPr>
          <w:trHeight w:val="50"/>
          <w:jc w:val="center"/>
        </w:trPr>
        <w:tc>
          <w:tcPr>
            <w:tcW w:w="1096" w:type="pct"/>
            <w:tcBorders>
              <w:top w:val="nil"/>
              <w:left w:val="single" w:sz="8" w:space="0" w:color="auto"/>
              <w:bottom w:val="single" w:sz="8" w:space="0" w:color="auto"/>
              <w:right w:val="single" w:sz="8" w:space="0" w:color="auto"/>
            </w:tcBorders>
            <w:shd w:val="clear" w:color="000000" w:fill="FFFFFF"/>
            <w:vAlign w:val="center"/>
          </w:tcPr>
          <w:p w14:paraId="75FFD4C7" w14:textId="77777777" w:rsidR="00385755" w:rsidRPr="00433024" w:rsidRDefault="00385755" w:rsidP="00385755">
            <w:pPr>
              <w:rPr>
                <w:rFonts w:ascii="Arial Narrow" w:hAnsi="Arial Narrow" w:cs="Calibri"/>
                <w:color w:val="000000"/>
                <w:sz w:val="20"/>
                <w:szCs w:val="20"/>
              </w:rPr>
            </w:pPr>
            <w:r>
              <w:rPr>
                <w:rFonts w:ascii="Arial Narrow" w:hAnsi="Arial Narrow" w:cs="Calibri"/>
                <w:color w:val="000000"/>
                <w:sz w:val="20"/>
                <w:szCs w:val="20"/>
              </w:rPr>
              <w:t xml:space="preserve">(VAR+NRT) </w:t>
            </w:r>
            <w:r w:rsidRPr="00D6368F">
              <w:rPr>
                <w:rFonts w:ascii="Arial Narrow" w:hAnsi="Arial Narrow" w:cs="Calibri"/>
                <w:color w:val="000000"/>
                <w:sz w:val="20"/>
                <w:szCs w:val="20"/>
                <w:vertAlign w:val="superscript"/>
              </w:rPr>
              <w:t>b</w:t>
            </w:r>
            <w:r>
              <w:rPr>
                <w:rFonts w:ascii="Arial Narrow" w:hAnsi="Arial Narrow" w:cs="Calibri"/>
                <w:color w:val="000000"/>
                <w:sz w:val="20"/>
                <w:szCs w:val="20"/>
              </w:rPr>
              <w:t xml:space="preserve"> vs (NRT)</w:t>
            </w:r>
          </w:p>
        </w:tc>
        <w:tc>
          <w:tcPr>
            <w:tcW w:w="551" w:type="pct"/>
            <w:tcBorders>
              <w:top w:val="single" w:sz="8" w:space="0" w:color="auto"/>
              <w:left w:val="nil"/>
              <w:bottom w:val="single" w:sz="8" w:space="0" w:color="auto"/>
              <w:right w:val="single" w:sz="8" w:space="0" w:color="auto"/>
            </w:tcBorders>
            <w:shd w:val="solid" w:color="000000" w:fill="000000"/>
            <w:vAlign w:val="center"/>
          </w:tcPr>
          <w:p w14:paraId="7292DE6F" w14:textId="35D6CD7E"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color w:val="000000"/>
                <w:spacing w:val="106"/>
                <w:sz w:val="20"/>
                <w:szCs w:val="20"/>
                <w:fitText w:val="192" w:id="-1402796543"/>
                <w14:textFill>
                  <w14:solidFill>
                    <w14:srgbClr w14:val="000000">
                      <w14:alpha w14:val="100000"/>
                    </w14:srgbClr>
                  </w14:solidFill>
                </w14:textFill>
              </w:rPr>
              <w:t>|</w:t>
            </w:r>
            <w:r w:rsidRPr="002049AC">
              <w:rPr>
                <w:rFonts w:ascii="Arial Narrow" w:hAnsi="Arial Narrow" w:cs="Calibri"/>
                <w:color w:val="000000"/>
                <w:sz w:val="20"/>
                <w:szCs w:val="20"/>
                <w:fitText w:val="192" w:id="-1402796543"/>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tcPr>
          <w:p w14:paraId="076C4A2E" w14:textId="1D955671"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color w:val="000000"/>
                <w:spacing w:val="105"/>
                <w:sz w:val="20"/>
                <w:szCs w:val="20"/>
                <w:fitText w:val="191" w:id="-1402796542"/>
                <w14:textFill>
                  <w14:solidFill>
                    <w14:srgbClr w14:val="000000">
                      <w14:alpha w14:val="100000"/>
                    </w14:srgbClr>
                  </w14:solidFill>
                </w14:textFill>
              </w:rPr>
              <w:t>|</w:t>
            </w:r>
            <w:r w:rsidRPr="002049AC">
              <w:rPr>
                <w:rFonts w:ascii="Arial Narrow" w:hAnsi="Arial Narrow" w:cs="Calibri"/>
                <w:color w:val="000000"/>
                <w:sz w:val="20"/>
                <w:szCs w:val="20"/>
                <w:fitText w:val="191" w:id="-1402796542"/>
                <w14:textFill>
                  <w14:solidFill>
                    <w14:srgbClr w14:val="000000">
                      <w14:alpha w14:val="100000"/>
                    </w14:srgbClr>
                  </w14:solidFill>
                </w14:textFill>
              </w:rPr>
              <w:t>|</w:t>
            </w:r>
          </w:p>
        </w:tc>
        <w:tc>
          <w:tcPr>
            <w:tcW w:w="552" w:type="pct"/>
            <w:tcBorders>
              <w:top w:val="single" w:sz="8" w:space="0" w:color="auto"/>
              <w:left w:val="nil"/>
              <w:bottom w:val="single" w:sz="8" w:space="0" w:color="auto"/>
              <w:right w:val="single" w:sz="8" w:space="0" w:color="auto"/>
            </w:tcBorders>
            <w:shd w:val="solid" w:color="000000" w:fill="000000"/>
            <w:vAlign w:val="center"/>
          </w:tcPr>
          <w:p w14:paraId="606671F1" w14:textId="41DB01DF"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color w:val="000000"/>
                <w:sz w:val="20"/>
                <w:szCs w:val="20"/>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tcPr>
          <w:p w14:paraId="552E2356" w14:textId="7C2D0315"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hint="eastAsia"/>
                <w:color w:val="000000"/>
                <w:w w:val="15"/>
                <w:sz w:val="20"/>
                <w:szCs w:val="20"/>
                <w:fitText w:val="55" w:id="-1402796541"/>
                <w14:textFill>
                  <w14:solidFill>
                    <w14:srgbClr w14:val="000000">
                      <w14:alpha w14:val="100000"/>
                    </w14:srgbClr>
                  </w14:solidFill>
                </w14:textFill>
              </w:rPr>
              <w:t xml:space="preserve">　</w:t>
            </w:r>
            <w:r w:rsidRPr="002049AC">
              <w:rPr>
                <w:rFonts w:ascii="Arial Narrow" w:hAnsi="Arial Narrow" w:cs="Calibri"/>
                <w:color w:val="000000"/>
                <w:w w:val="15"/>
                <w:sz w:val="20"/>
                <w:szCs w:val="20"/>
                <w:fitText w:val="55" w:id="-1402796541"/>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fitText w:val="55" w:id="-1402796541"/>
                <w14:textFill>
                  <w14:solidFill>
                    <w14:srgbClr w14:val="000000">
                      <w14:alpha w14:val="100000"/>
                    </w14:srgbClr>
                  </w14:solidFill>
                </w14:textFill>
              </w:rPr>
              <w:t xml:space="preserve">　</w:t>
            </w:r>
          </w:p>
        </w:tc>
        <w:tc>
          <w:tcPr>
            <w:tcW w:w="551" w:type="pct"/>
            <w:tcBorders>
              <w:top w:val="single" w:sz="8" w:space="0" w:color="auto"/>
              <w:left w:val="nil"/>
              <w:bottom w:val="single" w:sz="8" w:space="0" w:color="auto"/>
              <w:right w:val="single" w:sz="8" w:space="0" w:color="auto"/>
            </w:tcBorders>
            <w:shd w:val="solid" w:color="000000" w:fill="000000"/>
            <w:vAlign w:val="center"/>
          </w:tcPr>
          <w:p w14:paraId="660E6C96" w14:textId="6AA26026"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hint="eastAsia"/>
                <w:color w:val="000000"/>
                <w:w w:val="15"/>
                <w:sz w:val="20"/>
                <w:szCs w:val="20"/>
                <w:fitText w:val="55" w:id="-1402796288"/>
                <w14:textFill>
                  <w14:solidFill>
                    <w14:srgbClr w14:val="000000">
                      <w14:alpha w14:val="100000"/>
                    </w14:srgbClr>
                  </w14:solidFill>
                </w14:textFill>
              </w:rPr>
              <w:t xml:space="preserve">　</w:t>
            </w:r>
            <w:r w:rsidRPr="002049AC">
              <w:rPr>
                <w:rFonts w:ascii="Arial Narrow" w:hAnsi="Arial Narrow" w:cs="Calibri"/>
                <w:color w:val="000000"/>
                <w:w w:val="15"/>
                <w:sz w:val="20"/>
                <w:szCs w:val="20"/>
                <w:fitText w:val="55" w:id="-1402796288"/>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fitText w:val="55" w:id="-1402796288"/>
                <w14:textFill>
                  <w14:solidFill>
                    <w14:srgbClr w14:val="000000">
                      <w14:alpha w14:val="100000"/>
                    </w14:srgbClr>
                  </w14:solidFill>
                </w14:textFill>
              </w:rPr>
              <w:t xml:space="preserve">　</w:t>
            </w:r>
          </w:p>
        </w:tc>
        <w:tc>
          <w:tcPr>
            <w:tcW w:w="552" w:type="pct"/>
            <w:tcBorders>
              <w:top w:val="single" w:sz="8" w:space="0" w:color="auto"/>
              <w:left w:val="nil"/>
              <w:bottom w:val="single" w:sz="8" w:space="0" w:color="auto"/>
              <w:right w:val="single" w:sz="8" w:space="0" w:color="auto"/>
            </w:tcBorders>
            <w:shd w:val="solid" w:color="000000" w:fill="000000"/>
            <w:vAlign w:val="center"/>
          </w:tcPr>
          <w:p w14:paraId="5268A83C" w14:textId="650A2DFF" w:rsidR="00385755" w:rsidRPr="002049AC" w:rsidRDefault="002049AC" w:rsidP="00385755">
            <w:pPr>
              <w:jc w:val="center"/>
              <w:rPr>
                <w:color w:val="000000"/>
                <w:sz w:val="20"/>
              </w:rPr>
            </w:pPr>
            <w:r w:rsidRPr="002049AC">
              <w:rPr>
                <w:rFonts w:hint="eastAsia"/>
                <w:color w:val="000000"/>
                <w:w w:val="22"/>
                <w:sz w:val="20"/>
                <w:fitText w:val="109" w:id="-1402796287"/>
                <w14:textFill>
                  <w14:solidFill>
                    <w14:srgbClr w14:val="000000">
                      <w14:alpha w14:val="100000"/>
                    </w14:srgbClr>
                  </w14:solidFill>
                </w14:textFill>
              </w:rPr>
              <w:t xml:space="preserve">　</w:t>
            </w:r>
            <w:r w:rsidRPr="002049AC">
              <w:rPr>
                <w:color w:val="000000"/>
                <w:w w:val="22"/>
                <w:sz w:val="20"/>
                <w:fitText w:val="109" w:id="-1402796287"/>
                <w14:textFill>
                  <w14:solidFill>
                    <w14:srgbClr w14:val="000000">
                      <w14:alpha w14:val="100000"/>
                    </w14:srgbClr>
                  </w14:solidFill>
                </w14:textFill>
              </w:rPr>
              <w:t>|</w:t>
            </w:r>
            <w:r w:rsidRPr="002049AC">
              <w:rPr>
                <w:rFonts w:hint="eastAsia"/>
                <w:color w:val="000000"/>
                <w:w w:val="22"/>
                <w:sz w:val="20"/>
                <w:fitText w:val="109" w:id="-1402796287"/>
                <w14:textFill>
                  <w14:solidFill>
                    <w14:srgbClr w14:val="000000">
                      <w14:alpha w14:val="100000"/>
                    </w14:srgbClr>
                  </w14:solidFill>
                </w14:textFill>
              </w:rPr>
              <w:t xml:space="preserve">　</w:t>
            </w:r>
          </w:p>
        </w:tc>
        <w:tc>
          <w:tcPr>
            <w:tcW w:w="596" w:type="pct"/>
            <w:tcBorders>
              <w:top w:val="single" w:sz="8" w:space="0" w:color="auto"/>
              <w:left w:val="nil"/>
              <w:bottom w:val="single" w:sz="8" w:space="0" w:color="auto"/>
              <w:right w:val="single" w:sz="8" w:space="0" w:color="auto"/>
            </w:tcBorders>
            <w:shd w:val="solid" w:color="000000" w:fill="000000"/>
            <w:vAlign w:val="center"/>
          </w:tcPr>
          <w:p w14:paraId="140AD54C" w14:textId="37427284"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color w:val="000000"/>
                <w:spacing w:val="205"/>
                <w:sz w:val="20"/>
                <w:szCs w:val="20"/>
                <w:fitText w:val="291" w:id="-1402796286"/>
                <w14:textFill>
                  <w14:solidFill>
                    <w14:srgbClr w14:val="000000">
                      <w14:alpha w14:val="100000"/>
                    </w14:srgbClr>
                  </w14:solidFill>
                </w14:textFill>
              </w:rPr>
              <w:t>|</w:t>
            </w:r>
            <w:r w:rsidRPr="002049AC">
              <w:rPr>
                <w:rFonts w:ascii="Arial Narrow" w:hAnsi="Arial Narrow" w:cs="Calibri"/>
                <w:color w:val="000000"/>
                <w:sz w:val="20"/>
                <w:szCs w:val="20"/>
                <w:fitText w:val="291" w:id="-1402796286"/>
                <w14:textFill>
                  <w14:solidFill>
                    <w14:srgbClr w14:val="000000">
                      <w14:alpha w14:val="100000"/>
                    </w14:srgbClr>
                  </w14:solidFill>
                </w14:textFill>
              </w:rPr>
              <w:t>|</w:t>
            </w:r>
          </w:p>
        </w:tc>
      </w:tr>
      <w:tr w:rsidR="002049AC" w:rsidRPr="00433024" w14:paraId="5E8A6FC4" w14:textId="77777777" w:rsidTr="002049AC">
        <w:trPr>
          <w:trHeight w:val="50"/>
          <w:jc w:val="center"/>
        </w:trPr>
        <w:tc>
          <w:tcPr>
            <w:tcW w:w="1096" w:type="pct"/>
            <w:tcBorders>
              <w:top w:val="nil"/>
              <w:left w:val="single" w:sz="8" w:space="0" w:color="auto"/>
              <w:bottom w:val="single" w:sz="8" w:space="0" w:color="auto"/>
              <w:right w:val="single" w:sz="8" w:space="0" w:color="auto"/>
            </w:tcBorders>
            <w:shd w:val="clear" w:color="000000" w:fill="FFFFFF"/>
            <w:vAlign w:val="center"/>
            <w:hideMark/>
          </w:tcPr>
          <w:p w14:paraId="312165F2" w14:textId="77777777" w:rsidR="00385755" w:rsidRPr="000D7693" w:rsidRDefault="00385755" w:rsidP="00385755">
            <w:pPr>
              <w:rPr>
                <w:rFonts w:ascii="Arial Narrow" w:hAnsi="Arial Narrow"/>
                <w:color w:val="000000"/>
                <w:sz w:val="20"/>
                <w:lang w:val="fr-FR"/>
              </w:rPr>
            </w:pPr>
            <w:r w:rsidRPr="00433024">
              <w:rPr>
                <w:rFonts w:ascii="Arial Narrow" w:hAnsi="Arial Narrow" w:cs="Calibri"/>
                <w:color w:val="000000"/>
                <w:sz w:val="20"/>
                <w:szCs w:val="20"/>
                <w:lang w:val="fr-FR"/>
              </w:rPr>
              <w:t>(NRT+NRT)</w:t>
            </w:r>
            <w:r w:rsidRPr="00433024">
              <w:rPr>
                <w:rFonts w:ascii="Arial Narrow" w:hAnsi="Arial Narrow" w:cs="Calibri"/>
                <w:color w:val="000000"/>
                <w:sz w:val="20"/>
                <w:szCs w:val="20"/>
                <w:vertAlign w:val="superscript"/>
              </w:rPr>
              <w:t xml:space="preserve"> b</w:t>
            </w:r>
            <w:r w:rsidRPr="00433024">
              <w:rPr>
                <w:rFonts w:ascii="Arial Narrow" w:hAnsi="Arial Narrow" w:cs="Calibri"/>
                <w:color w:val="000000"/>
                <w:sz w:val="20"/>
                <w:szCs w:val="20"/>
                <w:lang w:val="fr-FR"/>
              </w:rPr>
              <w:t xml:space="preserve"> vs </w:t>
            </w:r>
            <w:r>
              <w:rPr>
                <w:rFonts w:ascii="Arial Narrow" w:hAnsi="Arial Narrow" w:cs="Calibri"/>
                <w:color w:val="000000"/>
                <w:sz w:val="20"/>
                <w:szCs w:val="20"/>
                <w:lang w:val="fr-FR"/>
              </w:rPr>
              <w:t>(</w:t>
            </w:r>
            <w:r w:rsidRPr="00433024">
              <w:rPr>
                <w:rFonts w:ascii="Arial Narrow" w:hAnsi="Arial Narrow" w:cs="Calibri"/>
                <w:color w:val="000000"/>
                <w:sz w:val="20"/>
                <w:szCs w:val="20"/>
                <w:lang w:val="fr-FR"/>
              </w:rPr>
              <w:t>VAR</w:t>
            </w:r>
            <w:r>
              <w:rPr>
                <w:rFonts w:ascii="Arial Narrow" w:hAnsi="Arial Narrow" w:cs="Calibri"/>
                <w:color w:val="000000"/>
                <w:sz w:val="20"/>
                <w:szCs w:val="20"/>
                <w:lang w:val="fr-FR"/>
              </w:rPr>
              <w:t>)</w:t>
            </w:r>
            <w:r w:rsidRPr="00433024">
              <w:rPr>
                <w:rFonts w:ascii="Arial Narrow" w:hAnsi="Arial Narrow" w:cs="Calibri"/>
                <w:color w:val="000000"/>
                <w:sz w:val="20"/>
                <w:szCs w:val="20"/>
                <w:lang w:val="fr-FR"/>
              </w:rPr>
              <w:t xml:space="preserve"> </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6950B5E0" w14:textId="294ECB5E"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6"/>
                <w:sz w:val="20"/>
                <w:szCs w:val="20"/>
                <w:fitText w:val="192" w:id="-1402796285"/>
                <w14:textFill>
                  <w14:solidFill>
                    <w14:srgbClr w14:val="000000">
                      <w14:alpha w14:val="100000"/>
                    </w14:srgbClr>
                  </w14:solidFill>
                </w14:textFill>
              </w:rPr>
              <w:t>|</w:t>
            </w:r>
            <w:r w:rsidRPr="002049AC">
              <w:rPr>
                <w:rFonts w:ascii="Arial Narrow" w:hAnsi="Arial Narrow" w:cs="Calibri"/>
                <w:color w:val="000000"/>
                <w:sz w:val="20"/>
                <w:szCs w:val="20"/>
                <w:fitText w:val="192" w:id="-1402796285"/>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585E3EB8" w14:textId="26C9662E"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5"/>
                <w:sz w:val="20"/>
                <w:szCs w:val="20"/>
                <w:fitText w:val="191" w:id="-1402796284"/>
                <w14:textFill>
                  <w14:solidFill>
                    <w14:srgbClr w14:val="000000">
                      <w14:alpha w14:val="100000"/>
                    </w14:srgbClr>
                  </w14:solidFill>
                </w14:textFill>
              </w:rPr>
              <w:t>|</w:t>
            </w:r>
            <w:r w:rsidRPr="002049AC">
              <w:rPr>
                <w:rFonts w:ascii="Arial Narrow" w:hAnsi="Arial Narrow" w:cs="Calibri"/>
                <w:color w:val="000000"/>
                <w:sz w:val="20"/>
                <w:szCs w:val="20"/>
                <w:fitText w:val="191" w:id="-1402796284"/>
                <w14:textFill>
                  <w14:solidFill>
                    <w14:srgbClr w14:val="000000">
                      <w14:alpha w14:val="100000"/>
                    </w14:srgbClr>
                  </w14:solidFill>
                </w14:textFill>
              </w:rPr>
              <w:t>|</w:t>
            </w:r>
          </w:p>
        </w:tc>
        <w:tc>
          <w:tcPr>
            <w:tcW w:w="552" w:type="pct"/>
            <w:tcBorders>
              <w:top w:val="single" w:sz="8" w:space="0" w:color="auto"/>
              <w:left w:val="nil"/>
              <w:bottom w:val="single" w:sz="8" w:space="0" w:color="auto"/>
              <w:right w:val="single" w:sz="8" w:space="0" w:color="auto"/>
            </w:tcBorders>
            <w:shd w:val="solid" w:color="000000" w:fill="000000"/>
            <w:vAlign w:val="center"/>
            <w:hideMark/>
          </w:tcPr>
          <w:p w14:paraId="32990BB6" w14:textId="1E5B8562"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z w:val="20"/>
                <w:szCs w:val="20"/>
                <w14:textFill>
                  <w14:solidFill>
                    <w14:srgbClr w14:val="000000">
                      <w14:alpha w14:val="100000"/>
                    </w14:srgbClr>
                  </w14:solidFill>
                </w14:textFill>
              </w:rPr>
              <w:t>|</w:t>
            </w:r>
          </w:p>
        </w:tc>
        <w:tc>
          <w:tcPr>
            <w:tcW w:w="551" w:type="pct"/>
            <w:tcBorders>
              <w:top w:val="nil"/>
              <w:left w:val="nil"/>
              <w:bottom w:val="single" w:sz="8" w:space="0" w:color="auto"/>
              <w:right w:val="single" w:sz="8" w:space="0" w:color="auto"/>
            </w:tcBorders>
            <w:shd w:val="clear" w:color="auto" w:fill="000000" w:themeFill="text1"/>
            <w:vAlign w:val="center"/>
            <w:hideMark/>
          </w:tcPr>
          <w:p w14:paraId="34630A0D" w14:textId="0D51B220"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hint="eastAsia"/>
                <w:color w:val="000000"/>
                <w:w w:val="15"/>
                <w:sz w:val="20"/>
                <w:szCs w:val="20"/>
                <w:shd w:val="solid" w:color="000000" w:fill="000000"/>
                <w:fitText w:val="55" w:id="-1402796032"/>
                <w14:textFill>
                  <w14:solidFill>
                    <w14:srgbClr w14:val="000000">
                      <w14:alpha w14:val="100000"/>
                    </w14:srgbClr>
                  </w14:solidFill>
                </w14:textFill>
              </w:rPr>
              <w:t xml:space="preserve">　</w:t>
            </w:r>
            <w:r w:rsidRPr="002049AC">
              <w:rPr>
                <w:rFonts w:ascii="Arial Narrow" w:hAnsi="Arial Narrow" w:cs="Calibri"/>
                <w:color w:val="000000"/>
                <w:w w:val="15"/>
                <w:sz w:val="20"/>
                <w:szCs w:val="20"/>
                <w:shd w:val="solid" w:color="000000" w:fill="000000"/>
                <w:fitText w:val="55" w:id="-1402796032"/>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shd w:val="solid" w:color="000000" w:fill="000000"/>
                <w:fitText w:val="55" w:id="-1402796032"/>
                <w14:textFill>
                  <w14:solidFill>
                    <w14:srgbClr w14:val="000000">
                      <w14:alpha w14:val="100000"/>
                    </w14:srgbClr>
                  </w14:solidFill>
                </w14:textFill>
              </w:rPr>
              <w:t xml:space="preserve">　</w:t>
            </w:r>
            <w:r w:rsidRPr="002049AC">
              <w:rPr>
                <w:rFonts w:ascii="Arial Narrow" w:hAnsi="Arial Narrow" w:cs="Calibri"/>
                <w:color w:val="000000"/>
                <w:sz w:val="20"/>
                <w:szCs w:val="20"/>
              </w:rPr>
              <w:t xml:space="preserve"> </w:t>
            </w:r>
          </w:p>
        </w:tc>
        <w:tc>
          <w:tcPr>
            <w:tcW w:w="551" w:type="pct"/>
            <w:tcBorders>
              <w:top w:val="nil"/>
              <w:left w:val="nil"/>
              <w:bottom w:val="single" w:sz="8" w:space="0" w:color="auto"/>
              <w:right w:val="single" w:sz="8" w:space="0" w:color="auto"/>
            </w:tcBorders>
            <w:shd w:val="clear" w:color="auto" w:fill="000000" w:themeFill="text1"/>
            <w:vAlign w:val="center"/>
            <w:hideMark/>
          </w:tcPr>
          <w:p w14:paraId="568572C2" w14:textId="50779FE0"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hint="eastAsia"/>
                <w:color w:val="000000"/>
                <w:w w:val="15"/>
                <w:sz w:val="20"/>
                <w:szCs w:val="20"/>
                <w:shd w:val="solid" w:color="000000" w:fill="000000"/>
                <w:fitText w:val="55" w:id="-1402796031"/>
                <w14:textFill>
                  <w14:solidFill>
                    <w14:srgbClr w14:val="000000">
                      <w14:alpha w14:val="100000"/>
                    </w14:srgbClr>
                  </w14:solidFill>
                </w14:textFill>
              </w:rPr>
              <w:t xml:space="preserve">　</w:t>
            </w:r>
            <w:r w:rsidRPr="002049AC">
              <w:rPr>
                <w:rFonts w:ascii="Arial Narrow" w:hAnsi="Arial Narrow" w:cs="Calibri"/>
                <w:color w:val="000000"/>
                <w:w w:val="15"/>
                <w:sz w:val="20"/>
                <w:szCs w:val="20"/>
                <w:shd w:val="solid" w:color="000000" w:fill="000000"/>
                <w:fitText w:val="55" w:id="-1402796031"/>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shd w:val="solid" w:color="000000" w:fill="000000"/>
                <w:fitText w:val="55" w:id="-1402796031"/>
                <w14:textFill>
                  <w14:solidFill>
                    <w14:srgbClr w14:val="000000">
                      <w14:alpha w14:val="100000"/>
                    </w14:srgbClr>
                  </w14:solidFill>
                </w14:textFill>
              </w:rPr>
              <w:t xml:space="preserve">　</w:t>
            </w:r>
            <w:r w:rsidRPr="002049AC">
              <w:rPr>
                <w:rFonts w:ascii="Arial Narrow" w:hAnsi="Arial Narrow" w:cs="Calibri"/>
                <w:color w:val="000000"/>
                <w:sz w:val="20"/>
                <w:szCs w:val="20"/>
              </w:rPr>
              <w:t xml:space="preserve"> </w:t>
            </w:r>
          </w:p>
        </w:tc>
        <w:tc>
          <w:tcPr>
            <w:tcW w:w="552" w:type="pct"/>
            <w:tcBorders>
              <w:top w:val="single" w:sz="8" w:space="0" w:color="auto"/>
              <w:left w:val="nil"/>
              <w:bottom w:val="single" w:sz="8" w:space="0" w:color="auto"/>
              <w:right w:val="single" w:sz="8" w:space="0" w:color="auto"/>
            </w:tcBorders>
            <w:shd w:val="solid" w:color="000000" w:fill="000000"/>
            <w:vAlign w:val="center"/>
            <w:hideMark/>
          </w:tcPr>
          <w:p w14:paraId="589054BE" w14:textId="1551FBFB" w:rsidR="00385755" w:rsidRPr="002049AC" w:rsidRDefault="002049AC" w:rsidP="00385755">
            <w:pPr>
              <w:jc w:val="center"/>
              <w:rPr>
                <w:color w:val="000000"/>
                <w:sz w:val="20"/>
              </w:rPr>
            </w:pPr>
            <w:r w:rsidRPr="002049AC">
              <w:rPr>
                <w:rFonts w:hint="eastAsia"/>
                <w:color w:val="000000"/>
                <w:w w:val="22"/>
                <w:sz w:val="20"/>
                <w:fitText w:val="109" w:id="-1402796030"/>
                <w14:textFill>
                  <w14:solidFill>
                    <w14:srgbClr w14:val="000000">
                      <w14:alpha w14:val="100000"/>
                    </w14:srgbClr>
                  </w14:solidFill>
                </w14:textFill>
              </w:rPr>
              <w:t xml:space="preserve">　</w:t>
            </w:r>
            <w:r w:rsidRPr="002049AC">
              <w:rPr>
                <w:color w:val="000000"/>
                <w:w w:val="22"/>
                <w:sz w:val="20"/>
                <w:fitText w:val="109" w:id="-1402796030"/>
                <w14:textFill>
                  <w14:solidFill>
                    <w14:srgbClr w14:val="000000">
                      <w14:alpha w14:val="100000"/>
                    </w14:srgbClr>
                  </w14:solidFill>
                </w14:textFill>
              </w:rPr>
              <w:t>|</w:t>
            </w:r>
            <w:r w:rsidRPr="002049AC">
              <w:rPr>
                <w:rFonts w:hint="eastAsia"/>
                <w:color w:val="000000"/>
                <w:w w:val="22"/>
                <w:sz w:val="20"/>
                <w:fitText w:val="109" w:id="-1402796030"/>
                <w14:textFill>
                  <w14:solidFill>
                    <w14:srgbClr w14:val="000000">
                      <w14:alpha w14:val="100000"/>
                    </w14:srgbClr>
                  </w14:solidFill>
                </w14:textFill>
              </w:rPr>
              <w:t xml:space="preserve">　</w:t>
            </w:r>
          </w:p>
        </w:tc>
        <w:tc>
          <w:tcPr>
            <w:tcW w:w="596" w:type="pct"/>
            <w:tcBorders>
              <w:top w:val="nil"/>
              <w:left w:val="nil"/>
              <w:bottom w:val="single" w:sz="8" w:space="0" w:color="auto"/>
              <w:right w:val="single" w:sz="8" w:space="0" w:color="auto"/>
            </w:tcBorders>
            <w:shd w:val="clear" w:color="auto" w:fill="000000" w:themeFill="text1"/>
            <w:vAlign w:val="center"/>
            <w:hideMark/>
          </w:tcPr>
          <w:p w14:paraId="340FD5D1" w14:textId="6248430D" w:rsidR="00385755" w:rsidRPr="002049AC" w:rsidRDefault="002049AC" w:rsidP="00385755">
            <w:pPr>
              <w:jc w:val="center"/>
              <w:rPr>
                <w:rFonts w:ascii="Arial Narrow" w:hAnsi="Arial Narrow" w:cs="Calibri"/>
                <w:color w:val="000000"/>
                <w:sz w:val="20"/>
                <w:szCs w:val="20"/>
              </w:rPr>
            </w:pPr>
            <w:r w:rsidRPr="002049AC">
              <w:rPr>
                <w:rFonts w:ascii="Arial Narrow" w:hAnsi="Arial Narrow" w:cs="Calibri"/>
                <w:color w:val="000000"/>
                <w:spacing w:val="205"/>
                <w:sz w:val="20"/>
                <w:szCs w:val="20"/>
                <w:shd w:val="solid" w:color="000000" w:fill="000000"/>
                <w:fitText w:val="291" w:id="-1402796029"/>
                <w14:textFill>
                  <w14:solidFill>
                    <w14:srgbClr w14:val="000000">
                      <w14:alpha w14:val="100000"/>
                    </w14:srgbClr>
                  </w14:solidFill>
                </w14:textFill>
              </w:rPr>
              <w:t>|</w:t>
            </w:r>
            <w:r w:rsidRPr="002049AC">
              <w:rPr>
                <w:rFonts w:ascii="Arial Narrow" w:hAnsi="Arial Narrow" w:cs="Calibri"/>
                <w:color w:val="000000"/>
                <w:sz w:val="20"/>
                <w:szCs w:val="20"/>
                <w:shd w:val="solid" w:color="000000" w:fill="000000"/>
                <w:fitText w:val="291" w:id="-1402796029"/>
                <w14:textFill>
                  <w14:solidFill>
                    <w14:srgbClr w14:val="000000">
                      <w14:alpha w14:val="100000"/>
                    </w14:srgbClr>
                  </w14:solidFill>
                </w14:textFill>
              </w:rPr>
              <w:t>|</w:t>
            </w:r>
            <w:r w:rsidRPr="002049AC">
              <w:rPr>
                <w:rFonts w:ascii="Arial Narrow" w:hAnsi="Arial Narrow" w:cs="Calibri"/>
                <w:color w:val="000000"/>
                <w:sz w:val="20"/>
                <w:szCs w:val="20"/>
              </w:rPr>
              <w:t xml:space="preserve"> </w:t>
            </w:r>
          </w:p>
        </w:tc>
      </w:tr>
      <w:tr w:rsidR="002049AC" w:rsidRPr="00433024" w14:paraId="184A5BB4" w14:textId="77777777" w:rsidTr="00A91078">
        <w:trPr>
          <w:trHeight w:val="50"/>
          <w:jc w:val="center"/>
        </w:trPr>
        <w:tc>
          <w:tcPr>
            <w:tcW w:w="1096" w:type="pct"/>
            <w:tcBorders>
              <w:top w:val="nil"/>
              <w:left w:val="single" w:sz="8" w:space="0" w:color="auto"/>
              <w:bottom w:val="single" w:sz="8" w:space="0" w:color="auto"/>
              <w:right w:val="single" w:sz="8" w:space="0" w:color="auto"/>
            </w:tcBorders>
            <w:shd w:val="clear" w:color="000000" w:fill="FFFFFF"/>
            <w:vAlign w:val="center"/>
            <w:hideMark/>
          </w:tcPr>
          <w:p w14:paraId="7FEE9EEC" w14:textId="77777777" w:rsidR="00385755" w:rsidRPr="00433024" w:rsidRDefault="00385755" w:rsidP="00385755">
            <w:pPr>
              <w:rPr>
                <w:rFonts w:ascii="Arial Narrow" w:hAnsi="Arial Narrow" w:cs="Calibri"/>
                <w:color w:val="000000"/>
                <w:sz w:val="20"/>
                <w:szCs w:val="20"/>
                <w:lang w:eastAsia="zh-CN"/>
              </w:rPr>
            </w:pPr>
            <w:r w:rsidRPr="00433024">
              <w:rPr>
                <w:rFonts w:ascii="Arial Narrow" w:hAnsi="Arial Narrow" w:cs="Calibri"/>
                <w:color w:val="000000"/>
                <w:sz w:val="20"/>
                <w:szCs w:val="20"/>
              </w:rPr>
              <w:t>(NRT+NRT)</w:t>
            </w:r>
            <w:r w:rsidRPr="00433024">
              <w:rPr>
                <w:rFonts w:ascii="Arial Narrow" w:hAnsi="Arial Narrow" w:cs="Calibri"/>
                <w:color w:val="000000"/>
                <w:sz w:val="20"/>
                <w:szCs w:val="20"/>
                <w:vertAlign w:val="superscript"/>
              </w:rPr>
              <w:t xml:space="preserve"> b</w:t>
            </w:r>
            <w:r w:rsidRPr="00433024">
              <w:rPr>
                <w:rFonts w:ascii="Arial Narrow" w:hAnsi="Arial Narrow" w:cs="Calibri"/>
                <w:color w:val="000000"/>
                <w:sz w:val="20"/>
                <w:szCs w:val="20"/>
              </w:rPr>
              <w:t xml:space="preserve"> vs </w:t>
            </w:r>
            <w:r>
              <w:rPr>
                <w:rFonts w:ascii="Arial Narrow" w:hAnsi="Arial Narrow" w:cs="Calibri"/>
                <w:color w:val="000000"/>
                <w:sz w:val="20"/>
                <w:szCs w:val="20"/>
              </w:rPr>
              <w:t>(</w:t>
            </w:r>
            <w:r w:rsidRPr="00433024">
              <w:rPr>
                <w:rFonts w:ascii="Arial Narrow" w:hAnsi="Arial Narrow" w:cs="Calibri"/>
                <w:color w:val="000000"/>
                <w:sz w:val="20"/>
                <w:szCs w:val="20"/>
              </w:rPr>
              <w:t>NRT</w:t>
            </w:r>
            <w:r>
              <w:rPr>
                <w:rFonts w:ascii="Arial Narrow" w:hAnsi="Arial Narrow" w:cs="Calibri"/>
                <w:color w:val="000000"/>
                <w:sz w:val="20"/>
                <w:szCs w:val="20"/>
              </w:rPr>
              <w:t>)</w:t>
            </w:r>
            <w:r w:rsidRPr="00433024">
              <w:rPr>
                <w:rFonts w:ascii="Arial Narrow" w:hAnsi="Arial Narrow" w:cs="Calibri"/>
                <w:color w:val="000000"/>
                <w:sz w:val="20"/>
                <w:szCs w:val="20"/>
              </w:rPr>
              <w:t xml:space="preserve"> </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0053B315" w14:textId="30442452"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6"/>
                <w:sz w:val="20"/>
                <w:szCs w:val="20"/>
                <w:fitText w:val="192" w:id="-1402795776"/>
                <w14:textFill>
                  <w14:solidFill>
                    <w14:srgbClr w14:val="000000">
                      <w14:alpha w14:val="100000"/>
                    </w14:srgbClr>
                  </w14:solidFill>
                </w14:textFill>
              </w:rPr>
              <w:t>|</w:t>
            </w:r>
            <w:r w:rsidRPr="002049AC">
              <w:rPr>
                <w:rFonts w:ascii="Arial Narrow" w:hAnsi="Arial Narrow" w:cs="Calibri"/>
                <w:color w:val="000000"/>
                <w:sz w:val="20"/>
                <w:szCs w:val="20"/>
                <w:fitText w:val="192" w:id="-1402795776"/>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2609DD1C" w14:textId="5E367D16"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5"/>
                <w:sz w:val="20"/>
                <w:szCs w:val="20"/>
                <w:fitText w:val="191" w:id="-1402795775"/>
                <w14:textFill>
                  <w14:solidFill>
                    <w14:srgbClr w14:val="000000">
                      <w14:alpha w14:val="100000"/>
                    </w14:srgbClr>
                  </w14:solidFill>
                </w14:textFill>
              </w:rPr>
              <w:t>|</w:t>
            </w:r>
            <w:r w:rsidRPr="002049AC">
              <w:rPr>
                <w:rFonts w:ascii="Arial Narrow" w:hAnsi="Arial Narrow" w:cs="Calibri"/>
                <w:color w:val="000000"/>
                <w:sz w:val="20"/>
                <w:szCs w:val="20"/>
                <w:fitText w:val="191" w:id="-1402795775"/>
                <w14:textFill>
                  <w14:solidFill>
                    <w14:srgbClr w14:val="000000">
                      <w14:alpha w14:val="100000"/>
                    </w14:srgbClr>
                  </w14:solidFill>
                </w14:textFill>
              </w:rPr>
              <w:t>|</w:t>
            </w:r>
          </w:p>
        </w:tc>
        <w:tc>
          <w:tcPr>
            <w:tcW w:w="552" w:type="pct"/>
            <w:tcBorders>
              <w:top w:val="single" w:sz="8" w:space="0" w:color="auto"/>
              <w:left w:val="nil"/>
              <w:bottom w:val="single" w:sz="8" w:space="0" w:color="auto"/>
              <w:right w:val="single" w:sz="8" w:space="0" w:color="auto"/>
            </w:tcBorders>
            <w:shd w:val="solid" w:color="000000" w:fill="000000"/>
            <w:vAlign w:val="center"/>
            <w:hideMark/>
          </w:tcPr>
          <w:p w14:paraId="637442A7" w14:textId="731B3B6F"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z w:val="20"/>
                <w:szCs w:val="20"/>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7E2DF3D4" w14:textId="573EF5D7"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hint="eastAsia"/>
                <w:color w:val="000000"/>
                <w:w w:val="15"/>
                <w:sz w:val="20"/>
                <w:szCs w:val="20"/>
                <w:fitText w:val="55" w:id="-1402795774"/>
                <w14:textFill>
                  <w14:solidFill>
                    <w14:srgbClr w14:val="000000">
                      <w14:alpha w14:val="100000"/>
                    </w14:srgbClr>
                  </w14:solidFill>
                </w14:textFill>
              </w:rPr>
              <w:t xml:space="preserve">　</w:t>
            </w:r>
            <w:r w:rsidRPr="002049AC">
              <w:rPr>
                <w:rFonts w:ascii="Arial Narrow" w:hAnsi="Arial Narrow" w:cs="Calibri"/>
                <w:color w:val="000000"/>
                <w:w w:val="15"/>
                <w:sz w:val="20"/>
                <w:szCs w:val="20"/>
                <w:fitText w:val="55" w:id="-1402795774"/>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fitText w:val="55" w:id="-1402795774"/>
                <w14:textFill>
                  <w14:solidFill>
                    <w14:srgbClr w14:val="000000">
                      <w14:alpha w14:val="100000"/>
                    </w14:srgbClr>
                  </w14:solidFill>
                </w14:textFill>
              </w:rPr>
              <w:t xml:space="preserve">　</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43F01330" w14:textId="0E3CD842"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hint="eastAsia"/>
                <w:color w:val="000000"/>
                <w:w w:val="15"/>
                <w:sz w:val="20"/>
                <w:szCs w:val="20"/>
                <w:fitText w:val="55" w:id="-1402795773"/>
                <w14:textFill>
                  <w14:solidFill>
                    <w14:srgbClr w14:val="000000">
                      <w14:alpha w14:val="100000"/>
                    </w14:srgbClr>
                  </w14:solidFill>
                </w14:textFill>
              </w:rPr>
              <w:t xml:space="preserve">　</w:t>
            </w:r>
            <w:r w:rsidRPr="002049AC">
              <w:rPr>
                <w:rFonts w:ascii="Arial Narrow" w:hAnsi="Arial Narrow" w:cs="Calibri"/>
                <w:color w:val="000000"/>
                <w:w w:val="15"/>
                <w:sz w:val="20"/>
                <w:szCs w:val="20"/>
                <w:fitText w:val="55" w:id="-1402795773"/>
                <w14:textFill>
                  <w14:solidFill>
                    <w14:srgbClr w14:val="000000">
                      <w14:alpha w14:val="100000"/>
                    </w14:srgbClr>
                  </w14:solidFill>
                </w14:textFill>
              </w:rPr>
              <w:t>|</w:t>
            </w:r>
            <w:r w:rsidRPr="002049AC">
              <w:rPr>
                <w:rFonts w:ascii="Arial Narrow" w:hAnsi="Arial Narrow" w:cs="Calibri" w:hint="eastAsia"/>
                <w:color w:val="000000"/>
                <w:spacing w:val="-10"/>
                <w:w w:val="15"/>
                <w:sz w:val="20"/>
                <w:szCs w:val="20"/>
                <w:fitText w:val="55" w:id="-1402795773"/>
                <w14:textFill>
                  <w14:solidFill>
                    <w14:srgbClr w14:val="000000">
                      <w14:alpha w14:val="100000"/>
                    </w14:srgbClr>
                  </w14:solidFill>
                </w14:textFill>
              </w:rPr>
              <w:t xml:space="preserve">　</w:t>
            </w:r>
          </w:p>
        </w:tc>
        <w:tc>
          <w:tcPr>
            <w:tcW w:w="552" w:type="pct"/>
            <w:tcBorders>
              <w:top w:val="single" w:sz="8" w:space="0" w:color="auto"/>
              <w:left w:val="nil"/>
              <w:bottom w:val="single" w:sz="8" w:space="0" w:color="auto"/>
              <w:right w:val="single" w:sz="8" w:space="0" w:color="auto"/>
            </w:tcBorders>
            <w:shd w:val="solid" w:color="000000" w:fill="000000"/>
            <w:vAlign w:val="center"/>
            <w:hideMark/>
          </w:tcPr>
          <w:p w14:paraId="6C1CE5FC" w14:textId="3E67D271" w:rsidR="00385755" w:rsidRPr="002049AC" w:rsidRDefault="002049AC" w:rsidP="00385755">
            <w:pPr>
              <w:jc w:val="center"/>
              <w:rPr>
                <w:color w:val="000000"/>
                <w:sz w:val="20"/>
              </w:rPr>
            </w:pPr>
            <w:r w:rsidRPr="002049AC">
              <w:rPr>
                <w:rFonts w:hint="eastAsia"/>
                <w:color w:val="000000"/>
                <w:w w:val="22"/>
                <w:sz w:val="20"/>
                <w:fitText w:val="109" w:id="-1402795772"/>
                <w14:textFill>
                  <w14:solidFill>
                    <w14:srgbClr w14:val="000000">
                      <w14:alpha w14:val="100000"/>
                    </w14:srgbClr>
                  </w14:solidFill>
                </w14:textFill>
              </w:rPr>
              <w:t xml:space="preserve">　</w:t>
            </w:r>
            <w:r w:rsidRPr="002049AC">
              <w:rPr>
                <w:color w:val="000000"/>
                <w:w w:val="22"/>
                <w:sz w:val="20"/>
                <w:fitText w:val="109" w:id="-1402795772"/>
                <w14:textFill>
                  <w14:solidFill>
                    <w14:srgbClr w14:val="000000">
                      <w14:alpha w14:val="100000"/>
                    </w14:srgbClr>
                  </w14:solidFill>
                </w14:textFill>
              </w:rPr>
              <w:t>|</w:t>
            </w:r>
            <w:r w:rsidRPr="002049AC">
              <w:rPr>
                <w:rFonts w:hint="eastAsia"/>
                <w:color w:val="000000"/>
                <w:w w:val="22"/>
                <w:sz w:val="20"/>
                <w:fitText w:val="109" w:id="-1402795772"/>
                <w14:textFill>
                  <w14:solidFill>
                    <w14:srgbClr w14:val="000000">
                      <w14:alpha w14:val="100000"/>
                    </w14:srgbClr>
                  </w14:solidFill>
                </w14:textFill>
              </w:rPr>
              <w:t xml:space="preserve">　</w:t>
            </w:r>
          </w:p>
        </w:tc>
        <w:tc>
          <w:tcPr>
            <w:tcW w:w="596" w:type="pct"/>
            <w:tcBorders>
              <w:top w:val="nil"/>
              <w:left w:val="nil"/>
              <w:bottom w:val="single" w:sz="8" w:space="0" w:color="auto"/>
              <w:right w:val="single" w:sz="8" w:space="0" w:color="auto"/>
            </w:tcBorders>
            <w:shd w:val="clear" w:color="auto" w:fill="000000" w:themeFill="text1"/>
            <w:vAlign w:val="center"/>
            <w:hideMark/>
          </w:tcPr>
          <w:p w14:paraId="2BAFF4AD" w14:textId="7258DDE2" w:rsidR="00385755" w:rsidRPr="002049AC" w:rsidRDefault="002049AC" w:rsidP="00385755">
            <w:pPr>
              <w:jc w:val="center"/>
              <w:rPr>
                <w:rFonts w:ascii="Arial Narrow" w:hAnsi="Arial Narrow" w:cs="Calibri"/>
                <w:color w:val="000000"/>
                <w:sz w:val="20"/>
                <w:szCs w:val="20"/>
              </w:rPr>
            </w:pPr>
            <w:r w:rsidRPr="00A91078">
              <w:rPr>
                <w:rFonts w:ascii="Arial Narrow" w:hAnsi="Arial Narrow" w:cs="Calibri"/>
                <w:color w:val="000000"/>
                <w:spacing w:val="205"/>
                <w:sz w:val="20"/>
                <w:szCs w:val="20"/>
                <w:shd w:val="solid" w:color="000000" w:fill="000000"/>
                <w:fitText w:val="291" w:id="-1402795520"/>
                <w14:textFill>
                  <w14:solidFill>
                    <w14:srgbClr w14:val="000000">
                      <w14:alpha w14:val="100000"/>
                    </w14:srgbClr>
                  </w14:solidFill>
                </w14:textFill>
              </w:rPr>
              <w:t>|</w:t>
            </w:r>
            <w:r w:rsidRPr="00A91078">
              <w:rPr>
                <w:rFonts w:ascii="Arial Narrow" w:hAnsi="Arial Narrow" w:cs="Calibri"/>
                <w:color w:val="000000"/>
                <w:sz w:val="20"/>
                <w:szCs w:val="20"/>
                <w:shd w:val="solid" w:color="000000" w:fill="000000"/>
                <w:fitText w:val="291" w:id="-1402795520"/>
                <w14:textFill>
                  <w14:solidFill>
                    <w14:srgbClr w14:val="000000">
                      <w14:alpha w14:val="100000"/>
                    </w14:srgbClr>
                  </w14:solidFill>
                </w14:textFill>
              </w:rPr>
              <w:t>|</w:t>
            </w:r>
            <w:r w:rsidRPr="002049AC">
              <w:rPr>
                <w:rFonts w:ascii="Arial Narrow" w:hAnsi="Arial Narrow" w:cs="Calibri"/>
                <w:color w:val="000000"/>
                <w:sz w:val="20"/>
                <w:szCs w:val="20"/>
              </w:rPr>
              <w:t xml:space="preserve"> </w:t>
            </w:r>
          </w:p>
        </w:tc>
      </w:tr>
      <w:tr w:rsidR="00A91078" w:rsidRPr="00433024" w14:paraId="7AB9EDAF" w14:textId="77777777" w:rsidTr="00A91078">
        <w:trPr>
          <w:trHeight w:val="50"/>
          <w:jc w:val="center"/>
        </w:trPr>
        <w:tc>
          <w:tcPr>
            <w:tcW w:w="1096" w:type="pct"/>
            <w:tcBorders>
              <w:top w:val="nil"/>
              <w:left w:val="single" w:sz="8" w:space="0" w:color="auto"/>
              <w:bottom w:val="single" w:sz="8" w:space="0" w:color="auto"/>
              <w:right w:val="single" w:sz="8" w:space="0" w:color="auto"/>
            </w:tcBorders>
            <w:shd w:val="clear" w:color="000000" w:fill="FFFFFF"/>
            <w:vAlign w:val="center"/>
            <w:hideMark/>
          </w:tcPr>
          <w:p w14:paraId="77ACCD79" w14:textId="77777777" w:rsidR="00385755" w:rsidRPr="00433024" w:rsidRDefault="00385755" w:rsidP="00385755">
            <w:pPr>
              <w:rPr>
                <w:rFonts w:ascii="Arial Narrow" w:hAnsi="Arial Narrow" w:cs="Calibri"/>
                <w:color w:val="000000"/>
                <w:sz w:val="20"/>
                <w:szCs w:val="20"/>
                <w:lang w:eastAsia="zh-CN"/>
              </w:rPr>
            </w:pPr>
            <w:r w:rsidRPr="00433024">
              <w:rPr>
                <w:rFonts w:ascii="Arial Narrow" w:hAnsi="Arial Narrow" w:cs="Calibri"/>
                <w:color w:val="000000"/>
                <w:sz w:val="20"/>
                <w:szCs w:val="20"/>
              </w:rPr>
              <w:t>(VAR+NRT &amp; NRT+NRT)</w:t>
            </w:r>
            <w:r>
              <w:rPr>
                <w:rFonts w:ascii="Arial Narrow" w:hAnsi="Arial Narrow" w:cs="Calibri"/>
                <w:color w:val="000000"/>
                <w:sz w:val="20"/>
                <w:szCs w:val="20"/>
              </w:rPr>
              <w:t xml:space="preserve"> </w:t>
            </w:r>
            <w:r w:rsidRPr="00433024">
              <w:rPr>
                <w:rFonts w:ascii="Arial Narrow" w:hAnsi="Arial Narrow" w:cs="Calibri"/>
                <w:color w:val="000000"/>
                <w:sz w:val="20"/>
                <w:szCs w:val="20"/>
                <w:vertAlign w:val="superscript"/>
              </w:rPr>
              <w:t>b</w:t>
            </w:r>
            <w:r w:rsidRPr="00433024">
              <w:rPr>
                <w:rFonts w:ascii="Arial Narrow" w:hAnsi="Arial Narrow" w:cs="Calibri"/>
                <w:color w:val="000000"/>
                <w:sz w:val="20"/>
                <w:szCs w:val="20"/>
              </w:rPr>
              <w:t xml:space="preserve"> vs (VAR+NRT)</w:t>
            </w:r>
            <w:r>
              <w:rPr>
                <w:rFonts w:ascii="Arial Narrow" w:hAnsi="Arial Narrow" w:cs="Calibri"/>
                <w:color w:val="000000"/>
                <w:sz w:val="20"/>
                <w:szCs w:val="20"/>
              </w:rPr>
              <w:t xml:space="preserve"> </w:t>
            </w:r>
            <w:r w:rsidRPr="00433024">
              <w:rPr>
                <w:rFonts w:ascii="Arial Narrow" w:hAnsi="Arial Narrow" w:cs="Calibri"/>
                <w:color w:val="000000"/>
                <w:sz w:val="20"/>
                <w:szCs w:val="20"/>
                <w:vertAlign w:val="superscript"/>
              </w:rPr>
              <w:t>b</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3B5386EE" w14:textId="18A7ABC9"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6"/>
                <w:sz w:val="20"/>
                <w:szCs w:val="20"/>
                <w:fitText w:val="192" w:id="-1402795519"/>
                <w14:textFill>
                  <w14:solidFill>
                    <w14:srgbClr w14:val="000000">
                      <w14:alpha w14:val="100000"/>
                    </w14:srgbClr>
                  </w14:solidFill>
                </w14:textFill>
              </w:rPr>
              <w:t>|</w:t>
            </w:r>
            <w:r w:rsidRPr="002049AC">
              <w:rPr>
                <w:rFonts w:ascii="Arial Narrow" w:hAnsi="Arial Narrow" w:cs="Calibri"/>
                <w:color w:val="000000"/>
                <w:sz w:val="20"/>
                <w:szCs w:val="20"/>
                <w:fitText w:val="192" w:id="-1402795519"/>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0E6C2890" w14:textId="57544681"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pacing w:val="105"/>
                <w:sz w:val="20"/>
                <w:szCs w:val="20"/>
                <w:fitText w:val="191" w:id="-1402795518"/>
                <w14:textFill>
                  <w14:solidFill>
                    <w14:srgbClr w14:val="000000">
                      <w14:alpha w14:val="100000"/>
                    </w14:srgbClr>
                  </w14:solidFill>
                </w14:textFill>
              </w:rPr>
              <w:t>|</w:t>
            </w:r>
            <w:r w:rsidRPr="002049AC">
              <w:rPr>
                <w:rFonts w:ascii="Arial Narrow" w:hAnsi="Arial Narrow" w:cs="Calibri"/>
                <w:color w:val="000000"/>
                <w:sz w:val="20"/>
                <w:szCs w:val="20"/>
                <w:fitText w:val="191" w:id="-1402795518"/>
                <w14:textFill>
                  <w14:solidFill>
                    <w14:srgbClr w14:val="000000">
                      <w14:alpha w14:val="100000"/>
                    </w14:srgbClr>
                  </w14:solidFill>
                </w14:textFill>
              </w:rPr>
              <w:t>|</w:t>
            </w:r>
          </w:p>
        </w:tc>
        <w:tc>
          <w:tcPr>
            <w:tcW w:w="552" w:type="pct"/>
            <w:tcBorders>
              <w:top w:val="single" w:sz="8" w:space="0" w:color="auto"/>
              <w:left w:val="nil"/>
              <w:bottom w:val="single" w:sz="8" w:space="0" w:color="auto"/>
              <w:right w:val="single" w:sz="8" w:space="0" w:color="auto"/>
            </w:tcBorders>
            <w:shd w:val="solid" w:color="000000" w:fill="000000"/>
            <w:vAlign w:val="center"/>
            <w:hideMark/>
          </w:tcPr>
          <w:p w14:paraId="665CD674" w14:textId="601DDAB6" w:rsidR="00385755" w:rsidRPr="002049AC" w:rsidRDefault="002049AC" w:rsidP="00385755">
            <w:pPr>
              <w:jc w:val="center"/>
              <w:rPr>
                <w:rFonts w:ascii="Arial Narrow" w:hAnsi="Arial Narrow" w:cs="Calibri"/>
                <w:color w:val="000000"/>
                <w:sz w:val="20"/>
                <w:szCs w:val="20"/>
                <w:lang w:eastAsia="zh-CN"/>
              </w:rPr>
            </w:pPr>
            <w:r w:rsidRPr="002049AC">
              <w:rPr>
                <w:rFonts w:ascii="Arial Narrow" w:hAnsi="Arial Narrow" w:cs="Calibri"/>
                <w:color w:val="000000"/>
                <w:sz w:val="20"/>
                <w:szCs w:val="20"/>
                <w14:textFill>
                  <w14:solidFill>
                    <w14:srgbClr w14:val="000000">
                      <w14:alpha w14:val="100000"/>
                    </w14:srgbClr>
                  </w14:solidFill>
                </w14:textFill>
              </w:rPr>
              <w:t>|</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129C1E8C" w14:textId="3BB6A4A2" w:rsidR="00385755" w:rsidRPr="00A91078" w:rsidRDefault="00A91078" w:rsidP="00385755">
            <w:pPr>
              <w:jc w:val="center"/>
              <w:rPr>
                <w:rFonts w:ascii="Arial Narrow" w:hAnsi="Arial Narrow" w:cs="Calibri"/>
                <w:color w:val="000000"/>
                <w:sz w:val="20"/>
                <w:szCs w:val="20"/>
                <w:lang w:eastAsia="zh-CN"/>
              </w:rPr>
            </w:pPr>
            <w:r w:rsidRPr="00A91078">
              <w:rPr>
                <w:rFonts w:ascii="Arial Narrow" w:hAnsi="Arial Narrow" w:cs="Calibri" w:hint="eastAsia"/>
                <w:color w:val="000000"/>
                <w:w w:val="15"/>
                <w:sz w:val="20"/>
                <w:szCs w:val="20"/>
                <w:fitText w:val="55" w:id="-1402795517"/>
                <w14:textFill>
                  <w14:solidFill>
                    <w14:srgbClr w14:val="000000">
                      <w14:alpha w14:val="100000"/>
                    </w14:srgbClr>
                  </w14:solidFill>
                </w14:textFill>
              </w:rPr>
              <w:t xml:space="preserve">　</w:t>
            </w:r>
            <w:r w:rsidRPr="00A91078">
              <w:rPr>
                <w:rFonts w:ascii="Arial Narrow" w:hAnsi="Arial Narrow" w:cs="Calibri"/>
                <w:color w:val="000000"/>
                <w:w w:val="15"/>
                <w:sz w:val="20"/>
                <w:szCs w:val="20"/>
                <w:fitText w:val="55" w:id="-1402795517"/>
                <w14:textFill>
                  <w14:solidFill>
                    <w14:srgbClr w14:val="000000">
                      <w14:alpha w14:val="100000"/>
                    </w14:srgbClr>
                  </w14:solidFill>
                </w14:textFill>
              </w:rPr>
              <w:t>|</w:t>
            </w:r>
            <w:r w:rsidRPr="00A91078">
              <w:rPr>
                <w:rFonts w:ascii="Arial Narrow" w:hAnsi="Arial Narrow" w:cs="Calibri" w:hint="eastAsia"/>
                <w:color w:val="000000"/>
                <w:spacing w:val="-10"/>
                <w:w w:val="15"/>
                <w:sz w:val="20"/>
                <w:szCs w:val="20"/>
                <w:fitText w:val="55" w:id="-1402795517"/>
                <w14:textFill>
                  <w14:solidFill>
                    <w14:srgbClr w14:val="000000">
                      <w14:alpha w14:val="100000"/>
                    </w14:srgbClr>
                  </w14:solidFill>
                </w14:textFill>
              </w:rPr>
              <w:t xml:space="preserve">　</w:t>
            </w:r>
          </w:p>
        </w:tc>
        <w:tc>
          <w:tcPr>
            <w:tcW w:w="551" w:type="pct"/>
            <w:tcBorders>
              <w:top w:val="single" w:sz="8" w:space="0" w:color="auto"/>
              <w:left w:val="nil"/>
              <w:bottom w:val="single" w:sz="8" w:space="0" w:color="auto"/>
              <w:right w:val="single" w:sz="8" w:space="0" w:color="auto"/>
            </w:tcBorders>
            <w:shd w:val="solid" w:color="000000" w:fill="000000"/>
            <w:vAlign w:val="center"/>
            <w:hideMark/>
          </w:tcPr>
          <w:p w14:paraId="0A4CA4BF" w14:textId="0CB0778C" w:rsidR="00385755" w:rsidRPr="00A91078" w:rsidRDefault="00A91078" w:rsidP="00385755">
            <w:pPr>
              <w:jc w:val="center"/>
              <w:rPr>
                <w:rFonts w:ascii="Arial Narrow" w:hAnsi="Arial Narrow" w:cs="Calibri"/>
                <w:color w:val="000000"/>
                <w:sz w:val="20"/>
                <w:szCs w:val="20"/>
                <w:lang w:eastAsia="zh-CN"/>
              </w:rPr>
            </w:pPr>
            <w:r w:rsidRPr="00A91078">
              <w:rPr>
                <w:rFonts w:ascii="Arial Narrow" w:hAnsi="Arial Narrow" w:cs="Calibri" w:hint="eastAsia"/>
                <w:color w:val="000000"/>
                <w:w w:val="15"/>
                <w:sz w:val="20"/>
                <w:szCs w:val="20"/>
                <w:fitText w:val="55" w:id="-1402795516"/>
                <w14:textFill>
                  <w14:solidFill>
                    <w14:srgbClr w14:val="000000">
                      <w14:alpha w14:val="100000"/>
                    </w14:srgbClr>
                  </w14:solidFill>
                </w14:textFill>
              </w:rPr>
              <w:t xml:space="preserve">　</w:t>
            </w:r>
            <w:r w:rsidRPr="00A91078">
              <w:rPr>
                <w:rFonts w:ascii="Arial Narrow" w:hAnsi="Arial Narrow" w:cs="Calibri"/>
                <w:color w:val="000000"/>
                <w:w w:val="15"/>
                <w:sz w:val="20"/>
                <w:szCs w:val="20"/>
                <w:fitText w:val="55" w:id="-1402795516"/>
                <w14:textFill>
                  <w14:solidFill>
                    <w14:srgbClr w14:val="000000">
                      <w14:alpha w14:val="100000"/>
                    </w14:srgbClr>
                  </w14:solidFill>
                </w14:textFill>
              </w:rPr>
              <w:t>|</w:t>
            </w:r>
            <w:r w:rsidRPr="00A91078">
              <w:rPr>
                <w:rFonts w:ascii="Arial Narrow" w:hAnsi="Arial Narrow" w:cs="Calibri" w:hint="eastAsia"/>
                <w:color w:val="000000"/>
                <w:spacing w:val="-10"/>
                <w:w w:val="15"/>
                <w:sz w:val="20"/>
                <w:szCs w:val="20"/>
                <w:fitText w:val="55" w:id="-1402795516"/>
                <w14:textFill>
                  <w14:solidFill>
                    <w14:srgbClr w14:val="000000">
                      <w14:alpha w14:val="100000"/>
                    </w14:srgbClr>
                  </w14:solidFill>
                </w14:textFill>
              </w:rPr>
              <w:t xml:space="preserve">　</w:t>
            </w:r>
          </w:p>
        </w:tc>
        <w:tc>
          <w:tcPr>
            <w:tcW w:w="552" w:type="pct"/>
            <w:tcBorders>
              <w:top w:val="single" w:sz="8" w:space="0" w:color="auto"/>
              <w:left w:val="nil"/>
              <w:bottom w:val="single" w:sz="8" w:space="0" w:color="auto"/>
              <w:right w:val="single" w:sz="8" w:space="0" w:color="auto"/>
            </w:tcBorders>
            <w:shd w:val="solid" w:color="000000" w:fill="000000"/>
            <w:vAlign w:val="center"/>
            <w:hideMark/>
          </w:tcPr>
          <w:p w14:paraId="3958FC98" w14:textId="48B63F5D" w:rsidR="00385755" w:rsidRPr="00A91078" w:rsidRDefault="00A91078" w:rsidP="00385755">
            <w:pPr>
              <w:jc w:val="center"/>
              <w:rPr>
                <w:color w:val="000000"/>
                <w:sz w:val="20"/>
              </w:rPr>
            </w:pPr>
            <w:r w:rsidRPr="00A91078">
              <w:rPr>
                <w:color w:val="000000"/>
                <w:spacing w:val="7"/>
                <w:sz w:val="20"/>
                <w:szCs w:val="20"/>
                <w:fitText w:val="392" w:id="-1402795515"/>
                <w14:textFill>
                  <w14:solidFill>
                    <w14:srgbClr w14:val="000000">
                      <w14:alpha w14:val="100000"/>
                    </w14:srgbClr>
                  </w14:solidFill>
                </w14:textFill>
              </w:rPr>
              <w:t>|||</w:t>
            </w:r>
            <w:r w:rsidRPr="00A91078">
              <w:rPr>
                <w:color w:val="000000"/>
                <w:spacing w:val="3"/>
                <w:sz w:val="20"/>
                <w:szCs w:val="20"/>
                <w:fitText w:val="392" w:id="-1402795515"/>
                <w14:textFill>
                  <w14:solidFill>
                    <w14:srgbClr w14:val="000000">
                      <w14:alpha w14:val="100000"/>
                    </w14:srgbClr>
                  </w14:solidFill>
                </w14:textFill>
              </w:rPr>
              <w:t>|</w:t>
            </w:r>
          </w:p>
        </w:tc>
        <w:tc>
          <w:tcPr>
            <w:tcW w:w="596" w:type="pct"/>
            <w:tcBorders>
              <w:top w:val="single" w:sz="8" w:space="0" w:color="auto"/>
              <w:left w:val="nil"/>
              <w:bottom w:val="single" w:sz="8" w:space="0" w:color="auto"/>
              <w:right w:val="single" w:sz="8" w:space="0" w:color="auto"/>
            </w:tcBorders>
            <w:shd w:val="clear" w:color="auto" w:fill="000000" w:themeFill="text1"/>
            <w:vAlign w:val="center"/>
            <w:hideMark/>
          </w:tcPr>
          <w:p w14:paraId="25DF1874" w14:textId="57A79421" w:rsidR="00385755" w:rsidRPr="00A91078" w:rsidRDefault="00A91078" w:rsidP="00385755">
            <w:pPr>
              <w:jc w:val="center"/>
              <w:rPr>
                <w:rFonts w:ascii="Arial Narrow" w:hAnsi="Arial Narrow" w:cs="Calibri"/>
                <w:color w:val="000000"/>
                <w:sz w:val="20"/>
                <w:szCs w:val="20"/>
              </w:rPr>
            </w:pPr>
            <w:r w:rsidRPr="00A91078">
              <w:rPr>
                <w:rFonts w:ascii="Arial Narrow" w:hAnsi="Arial Narrow" w:cs="Calibri"/>
                <w:color w:val="000000"/>
                <w:spacing w:val="32"/>
                <w:sz w:val="20"/>
                <w:szCs w:val="20"/>
                <w:fitText w:val="565" w:id="-1402795264"/>
                <w14:textFill>
                  <w14:solidFill>
                    <w14:srgbClr w14:val="000000">
                      <w14:alpha w14:val="100000"/>
                    </w14:srgbClr>
                  </w14:solidFill>
                </w14:textFill>
              </w:rPr>
              <w:t>|||||||</w:t>
            </w:r>
            <w:r w:rsidRPr="00A91078">
              <w:rPr>
                <w:rFonts w:ascii="Arial Narrow" w:hAnsi="Arial Narrow" w:cs="Calibri"/>
                <w:color w:val="000000"/>
                <w:spacing w:val="1"/>
                <w:sz w:val="20"/>
                <w:szCs w:val="20"/>
                <w:fitText w:val="565" w:id="-1402795264"/>
                <w14:textFill>
                  <w14:solidFill>
                    <w14:srgbClr w14:val="000000">
                      <w14:alpha w14:val="100000"/>
                    </w14:srgbClr>
                  </w14:solidFill>
                </w14:textFill>
              </w:rPr>
              <w:t>|</w:t>
            </w:r>
          </w:p>
        </w:tc>
      </w:tr>
    </w:tbl>
    <w:p w14:paraId="49E040B8" w14:textId="5C1C8E04" w:rsidR="00D240CA" w:rsidRPr="00E4397F" w:rsidRDefault="00D240CA" w:rsidP="00FA56FA">
      <w:pPr>
        <w:spacing w:after="0"/>
        <w:jc w:val="both"/>
        <w:rPr>
          <w:rFonts w:ascii="Arial Narrow" w:hAnsi="Arial Narrow"/>
          <w:sz w:val="20"/>
          <w:szCs w:val="20"/>
        </w:rPr>
      </w:pPr>
      <w:r w:rsidRPr="00E4397F">
        <w:rPr>
          <w:rFonts w:ascii="Arial Narrow" w:hAnsi="Arial Narrow"/>
          <w:sz w:val="20"/>
          <w:szCs w:val="20"/>
          <w:vertAlign w:val="superscript"/>
        </w:rPr>
        <w:t xml:space="preserve">a </w:t>
      </w:r>
      <w:r w:rsidRPr="00E4397F">
        <w:rPr>
          <w:rFonts w:ascii="Arial Narrow" w:hAnsi="Arial Narrow"/>
          <w:sz w:val="20"/>
          <w:szCs w:val="20"/>
        </w:rPr>
        <w:t>This only consider</w:t>
      </w:r>
      <w:r>
        <w:rPr>
          <w:rFonts w:ascii="Arial Narrow" w:hAnsi="Arial Narrow"/>
          <w:sz w:val="20"/>
          <w:szCs w:val="20"/>
        </w:rPr>
        <w:t>ed</w:t>
      </w:r>
      <w:r w:rsidRPr="00E4397F">
        <w:rPr>
          <w:rFonts w:ascii="Arial Narrow" w:hAnsi="Arial Narrow"/>
          <w:sz w:val="20"/>
          <w:szCs w:val="20"/>
        </w:rPr>
        <w:t xml:space="preserve"> the use of NRT </w:t>
      </w:r>
      <w:r w:rsidRPr="00FA56FA">
        <w:rPr>
          <w:rFonts w:ascii="Arial Narrow" w:hAnsi="Arial Narrow"/>
          <w:sz w:val="20"/>
          <w:szCs w:val="20"/>
        </w:rPr>
        <w:t>versus</w:t>
      </w:r>
      <w:r w:rsidRPr="00E4397F">
        <w:rPr>
          <w:rFonts w:ascii="Arial Narrow" w:hAnsi="Arial Narrow"/>
          <w:sz w:val="20"/>
          <w:szCs w:val="20"/>
        </w:rPr>
        <w:t xml:space="preserve"> VAR on the first attempt. The assumed use of NRT and VAR for subsequent attempts </w:t>
      </w:r>
      <w:r>
        <w:rPr>
          <w:rFonts w:ascii="Arial Narrow" w:hAnsi="Arial Narrow"/>
          <w:sz w:val="20"/>
          <w:szCs w:val="20"/>
        </w:rPr>
        <w:t>wa</w:t>
      </w:r>
      <w:r w:rsidRPr="00E4397F">
        <w:rPr>
          <w:rFonts w:ascii="Arial Narrow" w:hAnsi="Arial Narrow"/>
          <w:sz w:val="20"/>
          <w:szCs w:val="20"/>
        </w:rPr>
        <w:t xml:space="preserve">s assumed to be the same in both cases. </w:t>
      </w:r>
    </w:p>
    <w:p w14:paraId="3B1FAD48" w14:textId="4C1B0809" w:rsidR="00D240CA" w:rsidRDefault="00D240CA" w:rsidP="00490E48">
      <w:pPr>
        <w:spacing w:after="120"/>
        <w:jc w:val="both"/>
        <w:rPr>
          <w:rFonts w:ascii="Arial Narrow" w:hAnsi="Arial Narrow"/>
          <w:sz w:val="20"/>
          <w:szCs w:val="20"/>
        </w:rPr>
      </w:pPr>
      <w:r w:rsidRPr="00E4397F">
        <w:rPr>
          <w:rFonts w:ascii="Arial Narrow" w:hAnsi="Arial Narrow"/>
          <w:sz w:val="20"/>
          <w:szCs w:val="20"/>
          <w:vertAlign w:val="superscript"/>
        </w:rPr>
        <w:t xml:space="preserve">b </w:t>
      </w:r>
      <w:r w:rsidRPr="00E4397F">
        <w:rPr>
          <w:rFonts w:ascii="Arial Narrow" w:hAnsi="Arial Narrow"/>
          <w:sz w:val="20"/>
          <w:szCs w:val="20"/>
        </w:rPr>
        <w:t xml:space="preserve">Assumptions </w:t>
      </w:r>
      <w:r>
        <w:rPr>
          <w:rFonts w:ascii="Arial Narrow" w:hAnsi="Arial Narrow"/>
          <w:sz w:val="20"/>
          <w:szCs w:val="20"/>
        </w:rPr>
        <w:t>we</w:t>
      </w:r>
      <w:r w:rsidRPr="00E4397F">
        <w:rPr>
          <w:rFonts w:ascii="Arial Narrow" w:hAnsi="Arial Narrow"/>
          <w:sz w:val="20"/>
          <w:szCs w:val="20"/>
        </w:rPr>
        <w:t>re also made about how the listing of these new combinations w</w:t>
      </w:r>
      <w:r>
        <w:rPr>
          <w:rFonts w:ascii="Arial Narrow" w:hAnsi="Arial Narrow"/>
          <w:sz w:val="20"/>
          <w:szCs w:val="20"/>
        </w:rPr>
        <w:t>ould</w:t>
      </w:r>
      <w:r w:rsidRPr="00E4397F">
        <w:rPr>
          <w:rFonts w:ascii="Arial Narrow" w:hAnsi="Arial Narrow"/>
          <w:sz w:val="20"/>
          <w:szCs w:val="20"/>
        </w:rPr>
        <w:t xml:space="preserve"> also impact on </w:t>
      </w:r>
      <w:r>
        <w:rPr>
          <w:rFonts w:ascii="Arial Narrow" w:hAnsi="Arial Narrow"/>
          <w:sz w:val="20"/>
          <w:szCs w:val="20"/>
        </w:rPr>
        <w:t xml:space="preserve">the </w:t>
      </w:r>
      <w:r w:rsidRPr="00E4397F">
        <w:rPr>
          <w:rFonts w:ascii="Arial Narrow" w:hAnsi="Arial Narrow"/>
          <w:sz w:val="20"/>
          <w:szCs w:val="20"/>
        </w:rPr>
        <w:t xml:space="preserve">use of products in subsequent quit attempts. These results </w:t>
      </w:r>
      <w:r>
        <w:rPr>
          <w:rFonts w:ascii="Arial Narrow" w:hAnsi="Arial Narrow"/>
          <w:sz w:val="20"/>
          <w:szCs w:val="20"/>
        </w:rPr>
        <w:t>we</w:t>
      </w:r>
      <w:r w:rsidRPr="00E4397F">
        <w:rPr>
          <w:rFonts w:ascii="Arial Narrow" w:hAnsi="Arial Narrow"/>
          <w:sz w:val="20"/>
          <w:szCs w:val="20"/>
        </w:rPr>
        <w:t>re produced by simulating 600,000 patients through each possible scenario for 50 years. 600,000 patients were used to minimise the Monte Carlo error.</w:t>
      </w:r>
    </w:p>
    <w:p w14:paraId="65586A56" w14:textId="2446823F" w:rsidR="008F0703" w:rsidRPr="0039116F" w:rsidRDefault="008F0703" w:rsidP="008F0703">
      <w:pPr>
        <w:pStyle w:val="Heading3"/>
        <w:spacing w:before="120" w:after="120"/>
        <w:jc w:val="both"/>
      </w:pPr>
      <w:bookmarkStart w:id="68" w:name="_Toc111710700"/>
      <w:r>
        <w:t>4.</w:t>
      </w:r>
      <w:r w:rsidR="00DD32C3">
        <w:t>3</w:t>
      </w:r>
      <w:r>
        <w:t xml:space="preserve"> </w:t>
      </w:r>
      <w:r w:rsidRPr="008F0703">
        <w:t>Predicted use and budget impact analysis</w:t>
      </w:r>
      <w:bookmarkEnd w:id="68"/>
    </w:p>
    <w:p w14:paraId="41F6F09E" w14:textId="0090245B" w:rsidR="00AA2025" w:rsidRDefault="00CC0674" w:rsidP="002C4FA4">
      <w:pPr>
        <w:spacing w:after="120"/>
        <w:jc w:val="both"/>
        <w:rPr>
          <w:rFonts w:cstheme="minorBidi"/>
          <w:b/>
          <w:bCs/>
          <w:szCs w:val="24"/>
        </w:rPr>
      </w:pPr>
      <w:r>
        <w:rPr>
          <w:rFonts w:cstheme="minorBidi"/>
        </w:rPr>
        <w:t>T</w:t>
      </w:r>
      <w:r w:rsidR="00187CB7" w:rsidRPr="00A713C1">
        <w:rPr>
          <w:rFonts w:cstheme="minorBidi"/>
        </w:rPr>
        <w:t>able</w:t>
      </w:r>
      <w:r>
        <w:rPr>
          <w:rFonts w:cstheme="minorBidi"/>
        </w:rPr>
        <w:t xml:space="preserve"> </w:t>
      </w:r>
      <w:r w:rsidR="00DD32C3">
        <w:rPr>
          <w:rFonts w:cstheme="minorBidi"/>
        </w:rPr>
        <w:t>2</w:t>
      </w:r>
      <w:r>
        <w:rPr>
          <w:rFonts w:cstheme="minorBidi"/>
        </w:rPr>
        <w:t xml:space="preserve"> </w:t>
      </w:r>
      <w:r w:rsidR="006F1429" w:rsidRPr="00A713C1">
        <w:rPr>
          <w:rFonts w:cstheme="minorBidi"/>
        </w:rPr>
        <w:t>below presents the estimated financial implications to the PBS/</w:t>
      </w:r>
      <w:r w:rsidR="00D240CA" w:rsidRPr="00A713C1">
        <w:rPr>
          <w:rFonts w:cstheme="minorBidi"/>
        </w:rPr>
        <w:t>Repatriation Pharmaceutical Benefits Scheme (</w:t>
      </w:r>
      <w:r w:rsidR="006F1429" w:rsidRPr="00A713C1">
        <w:rPr>
          <w:rFonts w:cstheme="minorBidi"/>
        </w:rPr>
        <w:t>RPBS</w:t>
      </w:r>
      <w:r w:rsidR="00D240CA" w:rsidRPr="00A713C1">
        <w:rPr>
          <w:rFonts w:cstheme="minorBidi"/>
        </w:rPr>
        <w:t>)</w:t>
      </w:r>
      <w:r w:rsidR="006F1429" w:rsidRPr="00A713C1">
        <w:rPr>
          <w:rFonts w:cstheme="minorBidi"/>
        </w:rPr>
        <w:t xml:space="preserve">, MBS, and the health system combined in each financial year to 2026-2027 for the three listing scenarios: VAR+NRT only (Scenario 1), NRT+NRT only (Scenario 2) and both VAR+NRT and NRT+NRT (Scenario 3). Under the base </w:t>
      </w:r>
      <w:r w:rsidR="006F1429" w:rsidRPr="00ED2274">
        <w:rPr>
          <w:szCs w:val="24"/>
        </w:rPr>
        <w:lastRenderedPageBreak/>
        <w:t xml:space="preserve">case assumptions, the incremental cost to the PBS for the first five-years is approximately </w:t>
      </w:r>
      <w:bookmarkStart w:id="69" w:name="_Hlk111716557"/>
      <w:r w:rsidR="00ED2274" w:rsidRPr="00DD7F8C">
        <w:rPr>
          <w:szCs w:val="24"/>
        </w:rPr>
        <w:t>$60 million to &lt; $70 million</w:t>
      </w:r>
      <w:r w:rsidR="00DD63D4">
        <w:rPr>
          <w:szCs w:val="24"/>
        </w:rPr>
        <w:t xml:space="preserve"> </w:t>
      </w:r>
      <w:r w:rsidR="006F1429" w:rsidRPr="00CD55D5">
        <w:rPr>
          <w:szCs w:val="24"/>
        </w:rPr>
        <w:t>for Scenario</w:t>
      </w:r>
      <w:r w:rsidR="00DD63D4">
        <w:rPr>
          <w:szCs w:val="24"/>
        </w:rPr>
        <w:t>’s</w:t>
      </w:r>
      <w:r w:rsidR="006F1429" w:rsidRPr="00CE2A4F">
        <w:rPr>
          <w:szCs w:val="24"/>
        </w:rPr>
        <w:t xml:space="preserve"> 1</w:t>
      </w:r>
      <w:r w:rsidR="00ED2274" w:rsidRPr="00CE2A4F">
        <w:rPr>
          <w:szCs w:val="24"/>
        </w:rPr>
        <w:t xml:space="preserve"> and </w:t>
      </w:r>
      <w:r w:rsidR="006F1429" w:rsidRPr="00CD55D5">
        <w:rPr>
          <w:szCs w:val="24"/>
        </w:rPr>
        <w:t xml:space="preserve">2 and </w:t>
      </w:r>
      <w:r w:rsidR="00ED2274" w:rsidRPr="00ED2274">
        <w:rPr>
          <w:color w:val="222222"/>
          <w:szCs w:val="24"/>
          <w:shd w:val="clear" w:color="auto" w:fill="FFFFFF"/>
        </w:rPr>
        <w:t>$90 million to &lt; $100 </w:t>
      </w:r>
      <w:r w:rsidR="00ED2274" w:rsidRPr="00DD63D4">
        <w:rPr>
          <w:color w:val="222222"/>
          <w:szCs w:val="24"/>
          <w:shd w:val="clear" w:color="auto" w:fill="FFFFFF"/>
        </w:rPr>
        <w:t>million</w:t>
      </w:r>
      <w:r w:rsidR="00DD63D4" w:rsidRPr="00DF35DA">
        <w:rPr>
          <w:szCs w:val="24"/>
        </w:rPr>
        <w:t xml:space="preserve"> </w:t>
      </w:r>
      <w:r w:rsidR="006F1429" w:rsidRPr="00CD55D5">
        <w:rPr>
          <w:szCs w:val="24"/>
        </w:rPr>
        <w:t>for Scenario 3.</w:t>
      </w:r>
      <w:bookmarkEnd w:id="69"/>
      <w:r w:rsidR="006F1429" w:rsidRPr="00CD55D5">
        <w:rPr>
          <w:szCs w:val="24"/>
        </w:rPr>
        <w:t xml:space="preserve"> The proposed additional listings first increase costs given the substitution</w:t>
      </w:r>
      <w:r w:rsidR="006F1429" w:rsidRPr="00ED2274">
        <w:rPr>
          <w:rFonts w:ascii="Calibri" w:hAnsi="Calibri" w:cs="Calibri"/>
        </w:rPr>
        <w:t xml:space="preserve"> </w:t>
      </w:r>
      <w:r w:rsidR="006F1429" w:rsidRPr="00A713C1">
        <w:rPr>
          <w:rFonts w:cstheme="minorBidi"/>
        </w:rPr>
        <w:t>to more expensive therapy, but the more effective therapies are then assumed to reduce the need for future assisted quit attempts. Also, it is assumed that the substitution to the newly listed therapies will increase over time as more clinicians change their standard of care.</w:t>
      </w:r>
      <w:bookmarkStart w:id="70" w:name="_Toc93400758"/>
      <w:bookmarkStart w:id="71" w:name="_Hlk93482975"/>
    </w:p>
    <w:p w14:paraId="456EAB5D" w14:textId="05023D51" w:rsidR="006F1429" w:rsidRPr="005F5022" w:rsidRDefault="00CC0674" w:rsidP="00940D1A">
      <w:pPr>
        <w:spacing w:before="120" w:after="120"/>
        <w:jc w:val="both"/>
        <w:rPr>
          <w:rFonts w:cstheme="minorBidi"/>
          <w:bCs/>
          <w:szCs w:val="24"/>
        </w:rPr>
      </w:pPr>
      <w:r w:rsidRPr="005F5022">
        <w:rPr>
          <w:rFonts w:cstheme="minorBidi"/>
          <w:b/>
          <w:bCs/>
          <w:szCs w:val="24"/>
        </w:rPr>
        <w:t xml:space="preserve">Table </w:t>
      </w:r>
      <w:r w:rsidR="00DD32C3" w:rsidRPr="005F5022">
        <w:rPr>
          <w:rFonts w:cstheme="minorBidi"/>
          <w:b/>
          <w:bCs/>
          <w:szCs w:val="24"/>
        </w:rPr>
        <w:t>2</w:t>
      </w:r>
      <w:r w:rsidRPr="005F5022">
        <w:rPr>
          <w:rFonts w:cstheme="minorBidi"/>
          <w:b/>
          <w:bCs/>
          <w:szCs w:val="24"/>
        </w:rPr>
        <w:t>: Estimated incremental net cost to the PBS/RPBS (less co-payment) and MBS under the proposed listing scenarios relative to the current PBS restrictions</w:t>
      </w:r>
      <w:bookmarkEnd w:id="70"/>
      <w:bookmarkEnd w:id="71"/>
    </w:p>
    <w:tbl>
      <w:tblPr>
        <w:tblStyle w:val="TableGrid"/>
        <w:tblW w:w="5000" w:type="pct"/>
        <w:tblCellMar>
          <w:left w:w="28" w:type="dxa"/>
          <w:right w:w="28" w:type="dxa"/>
        </w:tblCellMar>
        <w:tblLook w:val="04A0" w:firstRow="1" w:lastRow="0" w:firstColumn="1" w:lastColumn="0" w:noHBand="0" w:noVBand="1"/>
      </w:tblPr>
      <w:tblGrid>
        <w:gridCol w:w="2664"/>
        <w:gridCol w:w="1271"/>
        <w:gridCol w:w="1271"/>
        <w:gridCol w:w="1271"/>
        <w:gridCol w:w="1271"/>
        <w:gridCol w:w="1268"/>
      </w:tblGrid>
      <w:tr w:rsidR="00A91078" w:rsidRPr="00A91078" w14:paraId="55682130" w14:textId="77777777" w:rsidTr="00102473">
        <w:tc>
          <w:tcPr>
            <w:tcW w:w="1477" w:type="pct"/>
            <w:tcBorders>
              <w:top w:val="single" w:sz="4" w:space="0" w:color="auto"/>
              <w:left w:val="single" w:sz="4" w:space="0" w:color="auto"/>
              <w:bottom w:val="single" w:sz="4" w:space="0" w:color="auto"/>
              <w:right w:val="single" w:sz="4" w:space="0" w:color="auto"/>
            </w:tcBorders>
          </w:tcPr>
          <w:p w14:paraId="7D84E4AC" w14:textId="77777777" w:rsidR="00A91078" w:rsidRPr="00A91078" w:rsidRDefault="00A91078" w:rsidP="00A91078">
            <w:pPr>
              <w:keepNext/>
              <w:jc w:val="both"/>
              <w:rPr>
                <w:rFonts w:ascii="Arial Narrow" w:hAnsi="Arial Narrow" w:cs="Times New Roman"/>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E4598F6"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b/>
                <w:bCs/>
              </w:rPr>
              <w:t>2022-2023</w:t>
            </w:r>
          </w:p>
        </w:tc>
        <w:tc>
          <w:tcPr>
            <w:tcW w:w="705" w:type="pct"/>
            <w:tcBorders>
              <w:top w:val="single" w:sz="4" w:space="0" w:color="auto"/>
              <w:left w:val="single" w:sz="4" w:space="0" w:color="auto"/>
              <w:bottom w:val="single" w:sz="4" w:space="0" w:color="auto"/>
              <w:right w:val="single" w:sz="4" w:space="0" w:color="auto"/>
            </w:tcBorders>
            <w:vAlign w:val="center"/>
            <w:hideMark/>
          </w:tcPr>
          <w:p w14:paraId="7F0A0695"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b/>
                <w:bCs/>
              </w:rPr>
              <w:t>2023-2024</w:t>
            </w:r>
          </w:p>
        </w:tc>
        <w:tc>
          <w:tcPr>
            <w:tcW w:w="705" w:type="pct"/>
            <w:tcBorders>
              <w:top w:val="single" w:sz="4" w:space="0" w:color="auto"/>
              <w:left w:val="single" w:sz="4" w:space="0" w:color="auto"/>
              <w:bottom w:val="single" w:sz="4" w:space="0" w:color="auto"/>
              <w:right w:val="single" w:sz="4" w:space="0" w:color="auto"/>
            </w:tcBorders>
            <w:vAlign w:val="center"/>
            <w:hideMark/>
          </w:tcPr>
          <w:p w14:paraId="3EAB6DA7"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b/>
                <w:bCs/>
              </w:rPr>
              <w:t>2024-2025</w:t>
            </w:r>
          </w:p>
        </w:tc>
        <w:tc>
          <w:tcPr>
            <w:tcW w:w="705" w:type="pct"/>
            <w:tcBorders>
              <w:top w:val="single" w:sz="4" w:space="0" w:color="auto"/>
              <w:left w:val="single" w:sz="4" w:space="0" w:color="auto"/>
              <w:bottom w:val="single" w:sz="4" w:space="0" w:color="auto"/>
              <w:right w:val="single" w:sz="4" w:space="0" w:color="auto"/>
            </w:tcBorders>
            <w:vAlign w:val="center"/>
            <w:hideMark/>
          </w:tcPr>
          <w:p w14:paraId="519A6C52"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b/>
                <w:bCs/>
              </w:rPr>
              <w:t>2025-2026</w:t>
            </w:r>
          </w:p>
        </w:tc>
        <w:tc>
          <w:tcPr>
            <w:tcW w:w="703" w:type="pct"/>
            <w:tcBorders>
              <w:top w:val="single" w:sz="4" w:space="0" w:color="auto"/>
              <w:left w:val="single" w:sz="4" w:space="0" w:color="auto"/>
              <w:bottom w:val="single" w:sz="4" w:space="0" w:color="auto"/>
              <w:right w:val="single" w:sz="4" w:space="0" w:color="auto"/>
            </w:tcBorders>
            <w:vAlign w:val="center"/>
            <w:hideMark/>
          </w:tcPr>
          <w:p w14:paraId="2C3A58A9"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b/>
                <w:bCs/>
              </w:rPr>
              <w:t>2026-2027</w:t>
            </w:r>
          </w:p>
        </w:tc>
      </w:tr>
      <w:tr w:rsidR="00A91078" w:rsidRPr="00A91078" w14:paraId="7900BEE2" w14:textId="77777777" w:rsidTr="00102473">
        <w:tc>
          <w:tcPr>
            <w:tcW w:w="5000" w:type="pct"/>
            <w:gridSpan w:val="6"/>
            <w:tcBorders>
              <w:top w:val="single" w:sz="4" w:space="0" w:color="auto"/>
              <w:left w:val="single" w:sz="4" w:space="0" w:color="auto"/>
              <w:bottom w:val="single" w:sz="4" w:space="0" w:color="auto"/>
              <w:right w:val="single" w:sz="4" w:space="0" w:color="auto"/>
            </w:tcBorders>
            <w:hideMark/>
          </w:tcPr>
          <w:p w14:paraId="16CE0775" w14:textId="77777777" w:rsidR="00A91078" w:rsidRPr="00A91078" w:rsidRDefault="00A91078" w:rsidP="00A91078">
            <w:pPr>
              <w:keepNext/>
              <w:jc w:val="both"/>
              <w:rPr>
                <w:rFonts w:ascii="Calibri" w:hAnsi="Calibri" w:cs="Times New Roman"/>
                <w:szCs w:val="24"/>
              </w:rPr>
            </w:pPr>
            <w:r w:rsidRPr="00A91078">
              <w:rPr>
                <w:rFonts w:ascii="Arial Narrow" w:hAnsi="Arial Narrow" w:cs="Times New Roman"/>
                <w:b/>
                <w:bCs/>
              </w:rPr>
              <w:t>Scenario 1 (VAR+NRT listed on the PBS)</w:t>
            </w:r>
          </w:p>
        </w:tc>
      </w:tr>
      <w:tr w:rsidR="00A91078" w:rsidRPr="00A91078" w14:paraId="1B17871E" w14:textId="77777777" w:rsidTr="00102473">
        <w:tc>
          <w:tcPr>
            <w:tcW w:w="1477" w:type="pct"/>
            <w:tcBorders>
              <w:top w:val="single" w:sz="4" w:space="0" w:color="auto"/>
              <w:left w:val="single" w:sz="4" w:space="0" w:color="auto"/>
              <w:bottom w:val="nil"/>
              <w:right w:val="single" w:sz="4" w:space="0" w:color="auto"/>
            </w:tcBorders>
            <w:hideMark/>
          </w:tcPr>
          <w:p w14:paraId="2CA7EAD3" w14:textId="77777777" w:rsidR="00A91078" w:rsidRPr="00A91078" w:rsidRDefault="00A91078" w:rsidP="00A91078">
            <w:pPr>
              <w:keepNext/>
              <w:jc w:val="both"/>
              <w:rPr>
                <w:rFonts w:ascii="Arial Narrow" w:hAnsi="Arial Narrow" w:cs="Times New Roman"/>
                <w:b/>
                <w:bCs/>
              </w:rPr>
            </w:pPr>
            <w:r w:rsidRPr="00A91078">
              <w:rPr>
                <w:rFonts w:ascii="Arial Narrow" w:hAnsi="Arial Narrow" w:cs="Times New Roman"/>
                <w:b/>
                <w:bCs/>
              </w:rPr>
              <w:t>PBS/RPBS net cost (less co-pay)</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40E86AE8"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7"/>
                <w14:textFill>
                  <w14:solidFill>
                    <w14:srgbClr w14:val="000000">
                      <w14:alpha w14:val="100000"/>
                    </w14:srgbClr>
                  </w14:solidFill>
                </w14:textFill>
              </w:rPr>
              <w:t>|||||||||</w:t>
            </w:r>
            <w:r w:rsidRPr="00A91078">
              <w:rPr>
                <w:rFonts w:ascii="Arial Narrow" w:hAnsi="Arial Narrow" w:cs="Times New Roman"/>
                <w:b/>
                <w:color w:val="000000"/>
                <w:spacing w:val="4"/>
                <w:fitText w:val="670" w:id="-1402794747"/>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2F5A2059"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6"/>
                <w14:textFill>
                  <w14:solidFill>
                    <w14:srgbClr w14:val="000000">
                      <w14:alpha w14:val="100000"/>
                    </w14:srgbClr>
                  </w14:solidFill>
                </w14:textFill>
              </w:rPr>
              <w:t>|||||||||</w:t>
            </w:r>
            <w:r w:rsidRPr="00A91078">
              <w:rPr>
                <w:rFonts w:ascii="Arial Narrow" w:hAnsi="Arial Narrow" w:cs="Times New Roman"/>
                <w:b/>
                <w:color w:val="000000"/>
                <w:spacing w:val="4"/>
                <w:fitText w:val="670" w:id="-1402794746"/>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2F97B68C"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5"/>
                <w14:textFill>
                  <w14:solidFill>
                    <w14:srgbClr w14:val="000000">
                      <w14:alpha w14:val="100000"/>
                    </w14:srgbClr>
                  </w14:solidFill>
                </w14:textFill>
              </w:rPr>
              <w:t>|||||||||</w:t>
            </w:r>
            <w:r w:rsidRPr="00A91078">
              <w:rPr>
                <w:rFonts w:ascii="Arial Narrow" w:hAnsi="Arial Narrow" w:cs="Times New Roman"/>
                <w:b/>
                <w:color w:val="000000"/>
                <w:spacing w:val="4"/>
                <w:fitText w:val="670" w:id="-1402794745"/>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6A42E5E2"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4"/>
                <w14:textFill>
                  <w14:solidFill>
                    <w14:srgbClr w14:val="000000">
                      <w14:alpha w14:val="100000"/>
                    </w14:srgbClr>
                  </w14:solidFill>
                </w14:textFill>
              </w:rPr>
              <w:t>|||||||||</w:t>
            </w:r>
            <w:r w:rsidRPr="00A91078">
              <w:rPr>
                <w:rFonts w:ascii="Arial Narrow" w:hAnsi="Arial Narrow" w:cs="Times New Roman"/>
                <w:b/>
                <w:color w:val="000000"/>
                <w:spacing w:val="4"/>
                <w:fitText w:val="670" w:id="-1402794744"/>
                <w14:textFill>
                  <w14:solidFill>
                    <w14:srgbClr w14:val="000000">
                      <w14:alpha w14:val="100000"/>
                    </w14:srgbClr>
                  </w14:solidFill>
                </w14:textFill>
              </w:rPr>
              <w:t>|</w:t>
            </w:r>
          </w:p>
        </w:tc>
        <w:tc>
          <w:tcPr>
            <w:tcW w:w="703" w:type="pct"/>
            <w:tcBorders>
              <w:top w:val="single" w:sz="4" w:space="0" w:color="auto"/>
              <w:left w:val="single" w:sz="4" w:space="0" w:color="auto"/>
              <w:bottom w:val="nil"/>
              <w:right w:val="single" w:sz="4" w:space="0" w:color="auto"/>
            </w:tcBorders>
            <w:shd w:val="solid" w:color="000000" w:fill="000000"/>
            <w:vAlign w:val="center"/>
            <w:hideMark/>
          </w:tcPr>
          <w:p w14:paraId="237A04D1"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3"/>
                <w14:textFill>
                  <w14:solidFill>
                    <w14:srgbClr w14:val="000000">
                      <w14:alpha w14:val="100000"/>
                    </w14:srgbClr>
                  </w14:solidFill>
                </w14:textFill>
              </w:rPr>
              <w:t>|||||||||</w:t>
            </w:r>
            <w:r w:rsidRPr="00A91078">
              <w:rPr>
                <w:rFonts w:ascii="Arial Narrow" w:hAnsi="Arial Narrow" w:cs="Times New Roman"/>
                <w:b/>
                <w:color w:val="000000"/>
                <w:spacing w:val="4"/>
                <w:fitText w:val="670" w:id="-1402794743"/>
                <w14:textFill>
                  <w14:solidFill>
                    <w14:srgbClr w14:val="000000">
                      <w14:alpha w14:val="100000"/>
                    </w14:srgbClr>
                  </w14:solidFill>
                </w14:textFill>
              </w:rPr>
              <w:t>|</w:t>
            </w:r>
          </w:p>
        </w:tc>
      </w:tr>
      <w:tr w:rsidR="00A91078" w:rsidRPr="00A91078" w14:paraId="08983C70" w14:textId="77777777" w:rsidTr="00102473">
        <w:tc>
          <w:tcPr>
            <w:tcW w:w="1477" w:type="pct"/>
            <w:tcBorders>
              <w:top w:val="nil"/>
              <w:left w:val="single" w:sz="4" w:space="0" w:color="auto"/>
              <w:bottom w:val="nil"/>
              <w:right w:val="single" w:sz="4" w:space="0" w:color="auto"/>
            </w:tcBorders>
            <w:hideMark/>
          </w:tcPr>
          <w:p w14:paraId="70A73E6C"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VAR</w:t>
            </w:r>
          </w:p>
        </w:tc>
        <w:tc>
          <w:tcPr>
            <w:tcW w:w="705" w:type="pct"/>
            <w:tcBorders>
              <w:top w:val="nil"/>
              <w:left w:val="single" w:sz="4" w:space="0" w:color="auto"/>
              <w:bottom w:val="nil"/>
              <w:right w:val="single" w:sz="4" w:space="0" w:color="auto"/>
            </w:tcBorders>
            <w:shd w:val="solid" w:color="000000" w:fill="000000"/>
            <w:vAlign w:val="center"/>
            <w:hideMark/>
          </w:tcPr>
          <w:p w14:paraId="5B129BBC"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42"/>
                <w14:textFill>
                  <w14:solidFill>
                    <w14:srgbClr w14:val="000000">
                      <w14:alpha w14:val="100000"/>
                    </w14:srgbClr>
                  </w14:solidFill>
                </w14:textFill>
              </w:rPr>
              <w:t>|||||</w:t>
            </w:r>
            <w:r w:rsidRPr="00A91078">
              <w:rPr>
                <w:rFonts w:ascii="Arial Narrow" w:hAnsi="Arial Narrow" w:cs="Times New Roman"/>
                <w:color w:val="000000"/>
                <w:spacing w:val="5"/>
                <w:fitText w:val="530" w:id="-1402794742"/>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73ED67B7"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41"/>
                <w14:textFill>
                  <w14:solidFill>
                    <w14:srgbClr w14:val="000000">
                      <w14:alpha w14:val="100000"/>
                    </w14:srgbClr>
                  </w14:solidFill>
                </w14:textFill>
              </w:rPr>
              <w:t>|||||</w:t>
            </w:r>
            <w:r w:rsidRPr="00A91078">
              <w:rPr>
                <w:rFonts w:ascii="Arial Narrow" w:hAnsi="Arial Narrow" w:cs="Times New Roman"/>
                <w:color w:val="000000"/>
                <w:spacing w:val="5"/>
                <w:fitText w:val="530" w:id="-1402794741"/>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75B0D150"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40"/>
                <w14:textFill>
                  <w14:solidFill>
                    <w14:srgbClr w14:val="000000">
                      <w14:alpha w14:val="100000"/>
                    </w14:srgbClr>
                  </w14:solidFill>
                </w14:textFill>
              </w:rPr>
              <w:t>|||||</w:t>
            </w:r>
            <w:r w:rsidRPr="00A91078">
              <w:rPr>
                <w:rFonts w:ascii="Arial Narrow" w:hAnsi="Arial Narrow" w:cs="Times New Roman"/>
                <w:color w:val="000000"/>
                <w:spacing w:val="5"/>
                <w:fitText w:val="530" w:id="-1402794740"/>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1B5AD164"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39"/>
                <w14:textFill>
                  <w14:solidFill>
                    <w14:srgbClr w14:val="000000">
                      <w14:alpha w14:val="100000"/>
                    </w14:srgbClr>
                  </w14:solidFill>
                </w14:textFill>
              </w:rPr>
              <w:t>|||||</w:t>
            </w:r>
            <w:r w:rsidRPr="00A91078">
              <w:rPr>
                <w:rFonts w:ascii="Arial Narrow" w:hAnsi="Arial Narrow" w:cs="Times New Roman"/>
                <w:color w:val="000000"/>
                <w:spacing w:val="5"/>
                <w:fitText w:val="530" w:id="-1402794739"/>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061FAF64"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38"/>
                <w14:textFill>
                  <w14:solidFill>
                    <w14:srgbClr w14:val="000000">
                      <w14:alpha w14:val="100000"/>
                    </w14:srgbClr>
                  </w14:solidFill>
                </w14:textFill>
              </w:rPr>
              <w:t>|||||</w:t>
            </w:r>
            <w:r w:rsidRPr="00A91078">
              <w:rPr>
                <w:rFonts w:ascii="Arial Narrow" w:hAnsi="Arial Narrow" w:cs="Times New Roman"/>
                <w:color w:val="000000"/>
                <w:spacing w:val="5"/>
                <w:fitText w:val="530" w:id="-1402794738"/>
                <w14:textFill>
                  <w14:solidFill>
                    <w14:srgbClr w14:val="000000">
                      <w14:alpha w14:val="100000"/>
                    </w14:srgbClr>
                  </w14:solidFill>
                </w14:textFill>
              </w:rPr>
              <w:t>|</w:t>
            </w:r>
          </w:p>
        </w:tc>
      </w:tr>
      <w:tr w:rsidR="00A91078" w:rsidRPr="00A91078" w14:paraId="03D6CFD8" w14:textId="77777777" w:rsidTr="00A91078">
        <w:tc>
          <w:tcPr>
            <w:tcW w:w="1477" w:type="pct"/>
            <w:tcBorders>
              <w:top w:val="nil"/>
              <w:left w:val="single" w:sz="4" w:space="0" w:color="auto"/>
              <w:bottom w:val="nil"/>
              <w:right w:val="single" w:sz="4" w:space="0" w:color="auto"/>
            </w:tcBorders>
            <w:hideMark/>
          </w:tcPr>
          <w:p w14:paraId="53535580"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NRT</w:t>
            </w:r>
          </w:p>
        </w:tc>
        <w:tc>
          <w:tcPr>
            <w:tcW w:w="705" w:type="pct"/>
            <w:tcBorders>
              <w:top w:val="nil"/>
              <w:left w:val="single" w:sz="4" w:space="0" w:color="auto"/>
              <w:bottom w:val="nil"/>
              <w:right w:val="single" w:sz="4" w:space="0" w:color="auto"/>
            </w:tcBorders>
            <w:shd w:val="solid" w:color="000000" w:fill="000000"/>
            <w:vAlign w:val="center"/>
            <w:hideMark/>
          </w:tcPr>
          <w:p w14:paraId="3F03EDE9"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37"/>
                <w14:textFill>
                  <w14:solidFill>
                    <w14:srgbClr w14:val="000000">
                      <w14:alpha w14:val="100000"/>
                    </w14:srgbClr>
                  </w14:solidFill>
                </w14:textFill>
              </w:rPr>
              <w:t>|||||</w:t>
            </w:r>
            <w:r w:rsidRPr="00A91078">
              <w:rPr>
                <w:rFonts w:ascii="Arial Narrow" w:hAnsi="Arial Narrow" w:cs="Times New Roman"/>
                <w:color w:val="000000"/>
                <w:spacing w:val="5"/>
                <w:fitText w:val="530" w:id="-1402794737"/>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14CAD864"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36"/>
                <w14:textFill>
                  <w14:solidFill>
                    <w14:srgbClr w14:val="000000">
                      <w14:alpha w14:val="100000"/>
                    </w14:srgbClr>
                  </w14:solidFill>
                </w14:textFill>
              </w:rPr>
              <w:t>|||||</w:t>
            </w:r>
            <w:r w:rsidRPr="00A91078">
              <w:rPr>
                <w:rFonts w:ascii="Arial Narrow" w:hAnsi="Arial Narrow" w:cs="Times New Roman"/>
                <w:color w:val="000000"/>
                <w:spacing w:val="5"/>
                <w:fitText w:val="530" w:id="-1402794736"/>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44DC3883"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52"/>
                <w14:textFill>
                  <w14:solidFill>
                    <w14:srgbClr w14:val="000000">
                      <w14:alpha w14:val="100000"/>
                    </w14:srgbClr>
                  </w14:solidFill>
                </w14:textFill>
              </w:rPr>
              <w:t>|||||</w:t>
            </w:r>
            <w:r w:rsidRPr="00A91078">
              <w:rPr>
                <w:rFonts w:ascii="Arial Narrow" w:hAnsi="Arial Narrow" w:cs="Times New Roman"/>
                <w:color w:val="000000"/>
                <w:spacing w:val="5"/>
                <w:fitText w:val="530" w:id="-1402794752"/>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4F70DEAB"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51"/>
                <w14:textFill>
                  <w14:solidFill>
                    <w14:srgbClr w14:val="000000">
                      <w14:alpha w14:val="100000"/>
                    </w14:srgbClr>
                  </w14:solidFill>
                </w14:textFill>
              </w:rPr>
              <w:t>|||||</w:t>
            </w:r>
            <w:r w:rsidRPr="00A91078">
              <w:rPr>
                <w:rFonts w:ascii="Arial Narrow" w:hAnsi="Arial Narrow" w:cs="Times New Roman"/>
                <w:color w:val="000000"/>
                <w:spacing w:val="5"/>
                <w:fitText w:val="530" w:id="-1402794751"/>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clear" w:color="auto" w:fill="000000"/>
            <w:vAlign w:val="center"/>
            <w:hideMark/>
          </w:tcPr>
          <w:p w14:paraId="381B213C"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50"/>
                <w14:textFill>
                  <w14:solidFill>
                    <w14:srgbClr w14:val="000000">
                      <w14:alpha w14:val="100000"/>
                    </w14:srgbClr>
                  </w14:solidFill>
                </w14:textFill>
              </w:rPr>
              <w:t>|||||</w:t>
            </w:r>
            <w:r w:rsidRPr="00A91078">
              <w:rPr>
                <w:rFonts w:ascii="Arial Narrow" w:hAnsi="Arial Narrow" w:cs="Times New Roman"/>
                <w:color w:val="000000"/>
                <w:spacing w:val="5"/>
                <w:fitText w:val="530" w:id="-1402794750"/>
                <w14:textFill>
                  <w14:solidFill>
                    <w14:srgbClr w14:val="000000">
                      <w14:alpha w14:val="100000"/>
                    </w14:srgbClr>
                  </w14:solidFill>
                </w14:textFill>
              </w:rPr>
              <w:t>|</w:t>
            </w:r>
          </w:p>
        </w:tc>
      </w:tr>
      <w:tr w:rsidR="00A91078" w:rsidRPr="00A91078" w14:paraId="1EC2B0C7" w14:textId="77777777" w:rsidTr="00102473">
        <w:tc>
          <w:tcPr>
            <w:tcW w:w="1477" w:type="pct"/>
            <w:tcBorders>
              <w:top w:val="nil"/>
              <w:left w:val="single" w:sz="4" w:space="0" w:color="auto"/>
              <w:bottom w:val="nil"/>
              <w:right w:val="single" w:sz="4" w:space="0" w:color="auto"/>
            </w:tcBorders>
            <w:hideMark/>
          </w:tcPr>
          <w:p w14:paraId="62F04B29"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BUP</w:t>
            </w:r>
          </w:p>
        </w:tc>
        <w:tc>
          <w:tcPr>
            <w:tcW w:w="705" w:type="pct"/>
            <w:tcBorders>
              <w:top w:val="nil"/>
              <w:left w:val="single" w:sz="4" w:space="0" w:color="auto"/>
              <w:bottom w:val="nil"/>
              <w:right w:val="single" w:sz="4" w:space="0" w:color="auto"/>
            </w:tcBorders>
            <w:shd w:val="solid" w:color="000000" w:fill="000000"/>
            <w:vAlign w:val="center"/>
            <w:hideMark/>
          </w:tcPr>
          <w:p w14:paraId="37805EDA" w14:textId="77777777" w:rsidR="00A91078" w:rsidRPr="00A91078" w:rsidRDefault="00A91078" w:rsidP="00A91078">
            <w:pPr>
              <w:keepNext/>
              <w:jc w:val="center"/>
              <w:rPr>
                <w:rFonts w:ascii="Arial Narrow" w:hAnsi="Arial Narrow" w:cs="Times New Roman"/>
              </w:rPr>
            </w:pPr>
            <w:r w:rsidRPr="00A91078">
              <w:rPr>
                <w:rFonts w:ascii="MS Gothic" w:eastAsia="MS Gothic" w:hAnsi="MS Gothic" w:cs="MS Gothic" w:hint="eastAsia"/>
                <w:color w:val="000000"/>
                <w:w w:val="15"/>
                <w:fitText w:val="60" w:id="-1402794749"/>
                <w14:textFill>
                  <w14:solidFill>
                    <w14:srgbClr w14:val="000000">
                      <w14:alpha w14:val="100000"/>
                    </w14:srgbClr>
                  </w14:solidFill>
                </w14:textFill>
              </w:rPr>
              <w:t xml:space="preserve">　</w:t>
            </w:r>
            <w:r w:rsidRPr="00A91078">
              <w:rPr>
                <w:rFonts w:ascii="Arial Narrow" w:hAnsi="Arial Narrow" w:cs="Times New Roman"/>
                <w:color w:val="000000"/>
                <w:w w:val="15"/>
                <w:fitText w:val="60" w:id="-1402794749"/>
                <w14:textFill>
                  <w14:solidFill>
                    <w14:srgbClr w14:val="000000">
                      <w14:alpha w14:val="100000"/>
                    </w14:srgbClr>
                  </w14:solidFill>
                </w14:textFill>
              </w:rPr>
              <w:t>|</w:t>
            </w:r>
            <w:r w:rsidRPr="00A91078">
              <w:rPr>
                <w:rFonts w:ascii="MS Gothic" w:eastAsia="MS Gothic" w:hAnsi="MS Gothic" w:cs="MS Gothic" w:hint="eastAsia"/>
                <w:color w:val="000000"/>
                <w:w w:val="15"/>
                <w:fitText w:val="60" w:id="-1402794749"/>
                <w14:textFill>
                  <w14:solidFill>
                    <w14:srgbClr w14:val="000000">
                      <w14:alpha w14:val="100000"/>
                    </w14:srgbClr>
                  </w14:solidFill>
                </w14:textFill>
              </w:rPr>
              <w:t xml:space="preserve">　</w:t>
            </w:r>
          </w:p>
        </w:tc>
        <w:tc>
          <w:tcPr>
            <w:tcW w:w="705" w:type="pct"/>
            <w:tcBorders>
              <w:top w:val="nil"/>
              <w:left w:val="single" w:sz="4" w:space="0" w:color="auto"/>
              <w:bottom w:val="nil"/>
              <w:right w:val="single" w:sz="4" w:space="0" w:color="auto"/>
            </w:tcBorders>
            <w:shd w:val="solid" w:color="000000" w:fill="000000"/>
            <w:vAlign w:val="center"/>
            <w:hideMark/>
          </w:tcPr>
          <w:p w14:paraId="52C3ADCE"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46"/>
                <w:fitText w:val="310" w:id="-1402794748"/>
                <w14:textFill>
                  <w14:solidFill>
                    <w14:srgbClr w14:val="000000">
                      <w14:alpha w14:val="100000"/>
                    </w14:srgbClr>
                  </w14:solidFill>
                </w14:textFill>
              </w:rPr>
              <w:t>|||</w:t>
            </w:r>
            <w:r w:rsidRPr="00A91078">
              <w:rPr>
                <w:rFonts w:ascii="Arial Narrow" w:hAnsi="Arial Narrow" w:cs="Times New Roman"/>
                <w:color w:val="000000"/>
                <w:spacing w:val="2"/>
                <w:fitText w:val="310" w:id="-1402794748"/>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37EFA528"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46"/>
                <w:fitText w:val="310" w:id="-1402794747"/>
                <w14:textFill>
                  <w14:solidFill>
                    <w14:srgbClr w14:val="000000">
                      <w14:alpha w14:val="100000"/>
                    </w14:srgbClr>
                  </w14:solidFill>
                </w14:textFill>
              </w:rPr>
              <w:t>|||</w:t>
            </w:r>
            <w:r w:rsidRPr="00A91078">
              <w:rPr>
                <w:rFonts w:ascii="Arial Narrow" w:hAnsi="Arial Narrow" w:cs="Times New Roman"/>
                <w:color w:val="000000"/>
                <w:spacing w:val="2"/>
                <w:fitText w:val="310" w:id="-1402794747"/>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7F9FC9E4"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38"/>
                <w:fitText w:val="450" w:id="-1402794746"/>
                <w14:textFill>
                  <w14:solidFill>
                    <w14:srgbClr w14:val="000000">
                      <w14:alpha w14:val="100000"/>
                    </w14:srgbClr>
                  </w14:solidFill>
                </w14:textFill>
              </w:rPr>
              <w:t>|||||</w:t>
            </w:r>
            <w:r w:rsidRPr="00A91078">
              <w:rPr>
                <w:rFonts w:ascii="Arial Narrow" w:hAnsi="Arial Narrow" w:cs="Times New Roman"/>
                <w:color w:val="000000"/>
                <w:spacing w:val="5"/>
                <w:fitText w:val="450" w:id="-1402794746"/>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30113248"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38"/>
                <w:fitText w:val="450" w:id="-1402794745"/>
                <w14:textFill>
                  <w14:solidFill>
                    <w14:srgbClr w14:val="000000">
                      <w14:alpha w14:val="100000"/>
                    </w14:srgbClr>
                  </w14:solidFill>
                </w14:textFill>
              </w:rPr>
              <w:t>|||||</w:t>
            </w:r>
            <w:r w:rsidRPr="00A91078">
              <w:rPr>
                <w:rFonts w:ascii="Arial Narrow" w:hAnsi="Arial Narrow" w:cs="Times New Roman"/>
                <w:color w:val="000000"/>
                <w:spacing w:val="5"/>
                <w:fitText w:val="450" w:id="-1402794745"/>
                <w14:textFill>
                  <w14:solidFill>
                    <w14:srgbClr w14:val="000000">
                      <w14:alpha w14:val="100000"/>
                    </w14:srgbClr>
                  </w14:solidFill>
                </w14:textFill>
              </w:rPr>
              <w:t>|</w:t>
            </w:r>
          </w:p>
        </w:tc>
      </w:tr>
      <w:tr w:rsidR="00A91078" w:rsidRPr="00A91078" w14:paraId="00B3F4B9" w14:textId="77777777" w:rsidTr="00102473">
        <w:tc>
          <w:tcPr>
            <w:tcW w:w="1477" w:type="pct"/>
            <w:tcBorders>
              <w:top w:val="nil"/>
              <w:left w:val="single" w:sz="4" w:space="0" w:color="auto"/>
              <w:bottom w:val="nil"/>
              <w:right w:val="single" w:sz="4" w:space="0" w:color="auto"/>
            </w:tcBorders>
            <w:hideMark/>
          </w:tcPr>
          <w:p w14:paraId="2E0473BF" w14:textId="77777777" w:rsidR="00A91078" w:rsidRPr="00A91078" w:rsidRDefault="00A91078" w:rsidP="00A91078">
            <w:pPr>
              <w:keepNext/>
              <w:jc w:val="both"/>
              <w:rPr>
                <w:rFonts w:ascii="Arial Narrow" w:hAnsi="Arial Narrow" w:cs="Times New Roman"/>
              </w:rPr>
            </w:pPr>
            <w:r w:rsidRPr="00A91078">
              <w:rPr>
                <w:rFonts w:ascii="Arial Narrow" w:hAnsi="Arial Narrow" w:cs="Times New Roman"/>
              </w:rPr>
              <w:t>MBS net cost</w:t>
            </w:r>
          </w:p>
        </w:tc>
        <w:tc>
          <w:tcPr>
            <w:tcW w:w="705" w:type="pct"/>
            <w:tcBorders>
              <w:top w:val="nil"/>
              <w:left w:val="single" w:sz="4" w:space="0" w:color="auto"/>
              <w:bottom w:val="nil"/>
              <w:right w:val="single" w:sz="4" w:space="0" w:color="auto"/>
            </w:tcBorders>
            <w:shd w:val="solid" w:color="000000" w:fill="000000"/>
            <w:vAlign w:val="center"/>
            <w:hideMark/>
          </w:tcPr>
          <w:p w14:paraId="7BD93BBA"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4"/>
                <w14:textFill>
                  <w14:solidFill>
                    <w14:srgbClr w14:val="000000">
                      <w14:alpha w14:val="100000"/>
                    </w14:srgbClr>
                  </w14:solidFill>
                </w14:textFill>
              </w:rPr>
              <w:t>|||||</w:t>
            </w:r>
            <w:r w:rsidRPr="00A91078">
              <w:rPr>
                <w:rFonts w:ascii="Arial Narrow" w:hAnsi="Arial Narrow" w:cs="Times New Roman"/>
                <w:b/>
                <w:color w:val="000000"/>
                <w:spacing w:val="5"/>
                <w:fitText w:val="530" w:id="-1402794744"/>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57D54A80"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3"/>
                <w14:textFill>
                  <w14:solidFill>
                    <w14:srgbClr w14:val="000000">
                      <w14:alpha w14:val="100000"/>
                    </w14:srgbClr>
                  </w14:solidFill>
                </w14:textFill>
              </w:rPr>
              <w:t>|||||</w:t>
            </w:r>
            <w:r w:rsidRPr="00A91078">
              <w:rPr>
                <w:rFonts w:ascii="Arial Narrow" w:hAnsi="Arial Narrow" w:cs="Times New Roman"/>
                <w:b/>
                <w:color w:val="000000"/>
                <w:spacing w:val="5"/>
                <w:fitText w:val="530" w:id="-1402794743"/>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2C97FB20"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2"/>
                <w14:textFill>
                  <w14:solidFill>
                    <w14:srgbClr w14:val="000000">
                      <w14:alpha w14:val="100000"/>
                    </w14:srgbClr>
                  </w14:solidFill>
                </w14:textFill>
              </w:rPr>
              <w:t>|||||</w:t>
            </w:r>
            <w:r w:rsidRPr="00A91078">
              <w:rPr>
                <w:rFonts w:ascii="Arial Narrow" w:hAnsi="Arial Narrow" w:cs="Times New Roman"/>
                <w:b/>
                <w:color w:val="000000"/>
                <w:spacing w:val="5"/>
                <w:fitText w:val="530" w:id="-1402794742"/>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5D89C04F"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1"/>
                <w14:textFill>
                  <w14:solidFill>
                    <w14:srgbClr w14:val="000000">
                      <w14:alpha w14:val="100000"/>
                    </w14:srgbClr>
                  </w14:solidFill>
                </w14:textFill>
              </w:rPr>
              <w:t>|||||</w:t>
            </w:r>
            <w:r w:rsidRPr="00A91078">
              <w:rPr>
                <w:rFonts w:ascii="Arial Narrow" w:hAnsi="Arial Narrow" w:cs="Times New Roman"/>
                <w:b/>
                <w:color w:val="000000"/>
                <w:spacing w:val="5"/>
                <w:fitText w:val="530" w:id="-1402794741"/>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08A36DB2"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0"/>
                <w14:textFill>
                  <w14:solidFill>
                    <w14:srgbClr w14:val="000000">
                      <w14:alpha w14:val="100000"/>
                    </w14:srgbClr>
                  </w14:solidFill>
                </w14:textFill>
              </w:rPr>
              <w:t>|||||</w:t>
            </w:r>
            <w:r w:rsidRPr="00A91078">
              <w:rPr>
                <w:rFonts w:ascii="Arial Narrow" w:hAnsi="Arial Narrow" w:cs="Times New Roman"/>
                <w:b/>
                <w:color w:val="000000"/>
                <w:spacing w:val="5"/>
                <w:fitText w:val="530" w:id="-1402794740"/>
                <w14:textFill>
                  <w14:solidFill>
                    <w14:srgbClr w14:val="000000">
                      <w14:alpha w14:val="100000"/>
                    </w14:srgbClr>
                  </w14:solidFill>
                </w14:textFill>
              </w:rPr>
              <w:t>|</w:t>
            </w:r>
          </w:p>
        </w:tc>
      </w:tr>
      <w:tr w:rsidR="00A91078" w:rsidRPr="00A91078" w14:paraId="3A5C7A57" w14:textId="77777777" w:rsidTr="00102473">
        <w:tc>
          <w:tcPr>
            <w:tcW w:w="1477" w:type="pct"/>
            <w:tcBorders>
              <w:top w:val="nil"/>
              <w:left w:val="single" w:sz="4" w:space="0" w:color="auto"/>
              <w:bottom w:val="single" w:sz="4" w:space="0" w:color="auto"/>
              <w:right w:val="single" w:sz="4" w:space="0" w:color="auto"/>
            </w:tcBorders>
            <w:hideMark/>
          </w:tcPr>
          <w:p w14:paraId="12C01362" w14:textId="77777777" w:rsidR="00A91078" w:rsidRPr="00A91078" w:rsidRDefault="00A91078" w:rsidP="00A91078">
            <w:pPr>
              <w:keepNext/>
              <w:jc w:val="both"/>
              <w:rPr>
                <w:rFonts w:ascii="Arial Narrow" w:hAnsi="Arial Narrow" w:cs="Times New Roman"/>
              </w:rPr>
            </w:pPr>
            <w:r w:rsidRPr="00A91078">
              <w:rPr>
                <w:rFonts w:ascii="Arial Narrow" w:hAnsi="Arial Narrow" w:cs="Times New Roman"/>
              </w:rPr>
              <w:t>Health budget net cost</w:t>
            </w:r>
          </w:p>
        </w:tc>
        <w:tc>
          <w:tcPr>
            <w:tcW w:w="705" w:type="pct"/>
            <w:tcBorders>
              <w:top w:val="nil"/>
              <w:left w:val="single" w:sz="4" w:space="0" w:color="auto"/>
              <w:bottom w:val="single" w:sz="4" w:space="0" w:color="auto"/>
              <w:right w:val="single" w:sz="4" w:space="0" w:color="auto"/>
            </w:tcBorders>
            <w:shd w:val="solid" w:color="000000" w:fill="000000"/>
            <w:vAlign w:val="center"/>
            <w:hideMark/>
          </w:tcPr>
          <w:p w14:paraId="6DB45697"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39"/>
                <w14:textFill>
                  <w14:solidFill>
                    <w14:srgbClr w14:val="000000">
                      <w14:alpha w14:val="100000"/>
                    </w14:srgbClr>
                  </w14:solidFill>
                </w14:textFill>
              </w:rPr>
              <w:t>|||||||||</w:t>
            </w:r>
            <w:r w:rsidRPr="00A91078">
              <w:rPr>
                <w:rFonts w:ascii="Arial Narrow" w:hAnsi="Arial Narrow" w:cs="Times New Roman"/>
                <w:b/>
                <w:color w:val="000000"/>
                <w:spacing w:val="4"/>
                <w:fitText w:val="670" w:id="-1402794739"/>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center"/>
            <w:hideMark/>
          </w:tcPr>
          <w:p w14:paraId="3A6AC8D8"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38"/>
                <w14:textFill>
                  <w14:solidFill>
                    <w14:srgbClr w14:val="000000">
                      <w14:alpha w14:val="100000"/>
                    </w14:srgbClr>
                  </w14:solidFill>
                </w14:textFill>
              </w:rPr>
              <w:t>|||||||||</w:t>
            </w:r>
            <w:r w:rsidRPr="00A91078">
              <w:rPr>
                <w:rFonts w:ascii="Arial Narrow" w:hAnsi="Arial Narrow" w:cs="Times New Roman"/>
                <w:b/>
                <w:color w:val="000000"/>
                <w:spacing w:val="4"/>
                <w:fitText w:val="670" w:id="-1402794738"/>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center"/>
            <w:hideMark/>
          </w:tcPr>
          <w:p w14:paraId="2DA7CA94"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37"/>
                <w14:textFill>
                  <w14:solidFill>
                    <w14:srgbClr w14:val="000000">
                      <w14:alpha w14:val="100000"/>
                    </w14:srgbClr>
                  </w14:solidFill>
                </w14:textFill>
              </w:rPr>
              <w:t>|||||||||</w:t>
            </w:r>
            <w:r w:rsidRPr="00A91078">
              <w:rPr>
                <w:rFonts w:ascii="Arial Narrow" w:hAnsi="Arial Narrow" w:cs="Times New Roman"/>
                <w:b/>
                <w:color w:val="000000"/>
                <w:spacing w:val="4"/>
                <w:fitText w:val="670" w:id="-1402794737"/>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center"/>
            <w:hideMark/>
          </w:tcPr>
          <w:p w14:paraId="19136DE1"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36"/>
                <w14:textFill>
                  <w14:solidFill>
                    <w14:srgbClr w14:val="000000">
                      <w14:alpha w14:val="100000"/>
                    </w14:srgbClr>
                  </w14:solidFill>
                </w14:textFill>
              </w:rPr>
              <w:t>|||||||||</w:t>
            </w:r>
            <w:r w:rsidRPr="00A91078">
              <w:rPr>
                <w:rFonts w:ascii="Arial Narrow" w:hAnsi="Arial Narrow" w:cs="Times New Roman"/>
                <w:b/>
                <w:color w:val="000000"/>
                <w:spacing w:val="4"/>
                <w:fitText w:val="670" w:id="-1402794736"/>
                <w14:textFill>
                  <w14:solidFill>
                    <w14:srgbClr w14:val="000000">
                      <w14:alpha w14:val="100000"/>
                    </w14:srgbClr>
                  </w14:solidFill>
                </w14:textFill>
              </w:rPr>
              <w:t>|</w:t>
            </w:r>
          </w:p>
        </w:tc>
        <w:tc>
          <w:tcPr>
            <w:tcW w:w="703" w:type="pct"/>
            <w:tcBorders>
              <w:top w:val="nil"/>
              <w:left w:val="single" w:sz="4" w:space="0" w:color="auto"/>
              <w:bottom w:val="single" w:sz="4" w:space="0" w:color="auto"/>
              <w:right w:val="single" w:sz="4" w:space="0" w:color="auto"/>
            </w:tcBorders>
            <w:shd w:val="solid" w:color="000000" w:fill="000000"/>
            <w:vAlign w:val="center"/>
            <w:hideMark/>
          </w:tcPr>
          <w:p w14:paraId="196B099D"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52"/>
                <w14:textFill>
                  <w14:solidFill>
                    <w14:srgbClr w14:val="000000">
                      <w14:alpha w14:val="100000"/>
                    </w14:srgbClr>
                  </w14:solidFill>
                </w14:textFill>
              </w:rPr>
              <w:t>|||||||||</w:t>
            </w:r>
            <w:r w:rsidRPr="00A91078">
              <w:rPr>
                <w:rFonts w:ascii="Arial Narrow" w:hAnsi="Arial Narrow" w:cs="Times New Roman"/>
                <w:b/>
                <w:color w:val="000000"/>
                <w:spacing w:val="4"/>
                <w:fitText w:val="670" w:id="-1402794752"/>
                <w14:textFill>
                  <w14:solidFill>
                    <w14:srgbClr w14:val="000000">
                      <w14:alpha w14:val="100000"/>
                    </w14:srgbClr>
                  </w14:solidFill>
                </w14:textFill>
              </w:rPr>
              <w:t>|</w:t>
            </w:r>
          </w:p>
        </w:tc>
      </w:tr>
      <w:tr w:rsidR="00A91078" w:rsidRPr="00A91078" w14:paraId="6B5AD745" w14:textId="77777777" w:rsidTr="00102473">
        <w:tc>
          <w:tcPr>
            <w:tcW w:w="5000" w:type="pct"/>
            <w:gridSpan w:val="6"/>
            <w:tcBorders>
              <w:top w:val="single" w:sz="4" w:space="0" w:color="auto"/>
              <w:left w:val="single" w:sz="4" w:space="0" w:color="auto"/>
              <w:bottom w:val="single" w:sz="4" w:space="0" w:color="auto"/>
              <w:right w:val="single" w:sz="4" w:space="0" w:color="auto"/>
            </w:tcBorders>
            <w:hideMark/>
          </w:tcPr>
          <w:p w14:paraId="08CE3F30" w14:textId="77777777" w:rsidR="00A91078" w:rsidRPr="00A91078" w:rsidRDefault="00A91078" w:rsidP="00A91078">
            <w:pPr>
              <w:keepNext/>
              <w:rPr>
                <w:rFonts w:ascii="Calibri" w:hAnsi="Calibri" w:cs="Times New Roman"/>
                <w:szCs w:val="24"/>
              </w:rPr>
            </w:pPr>
            <w:r w:rsidRPr="00A91078">
              <w:rPr>
                <w:rFonts w:ascii="Arial Narrow" w:hAnsi="Arial Narrow" w:cs="Times New Roman"/>
                <w:b/>
                <w:bCs/>
              </w:rPr>
              <w:t>Scenario 2 (NRT+NRT listed on the PBS)</w:t>
            </w:r>
          </w:p>
        </w:tc>
      </w:tr>
      <w:tr w:rsidR="00A91078" w:rsidRPr="00A91078" w14:paraId="7F0785BE" w14:textId="77777777" w:rsidTr="00A91078">
        <w:tc>
          <w:tcPr>
            <w:tcW w:w="1477" w:type="pct"/>
            <w:tcBorders>
              <w:top w:val="single" w:sz="4" w:space="0" w:color="auto"/>
              <w:left w:val="single" w:sz="4" w:space="0" w:color="auto"/>
              <w:bottom w:val="nil"/>
              <w:right w:val="single" w:sz="4" w:space="0" w:color="auto"/>
            </w:tcBorders>
            <w:hideMark/>
          </w:tcPr>
          <w:p w14:paraId="1701732C" w14:textId="77777777" w:rsidR="00A91078" w:rsidRPr="00A91078" w:rsidRDefault="00A91078" w:rsidP="00A91078">
            <w:pPr>
              <w:keepNext/>
              <w:jc w:val="both"/>
              <w:rPr>
                <w:rFonts w:ascii="Arial Narrow" w:hAnsi="Arial Narrow" w:cs="Times New Roman"/>
                <w:b/>
                <w:bCs/>
              </w:rPr>
            </w:pPr>
            <w:r w:rsidRPr="00A91078">
              <w:rPr>
                <w:rFonts w:ascii="Arial Narrow" w:hAnsi="Arial Narrow" w:cs="Times New Roman"/>
                <w:b/>
                <w:bCs/>
              </w:rPr>
              <w:t>PBS/RPBS net cost (less co-pay)</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2DAC1143"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51"/>
                <w14:textFill>
                  <w14:solidFill>
                    <w14:srgbClr w14:val="000000">
                      <w14:alpha w14:val="100000"/>
                    </w14:srgbClr>
                  </w14:solidFill>
                </w14:textFill>
              </w:rPr>
              <w:t>|||||||||</w:t>
            </w:r>
            <w:r w:rsidRPr="00A91078">
              <w:rPr>
                <w:rFonts w:ascii="Arial Narrow" w:hAnsi="Arial Narrow" w:cs="Times New Roman"/>
                <w:b/>
                <w:color w:val="000000"/>
                <w:spacing w:val="4"/>
                <w:fitText w:val="670" w:id="-1402794751"/>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3D1F0C9C"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50"/>
                <w14:textFill>
                  <w14:solidFill>
                    <w14:srgbClr w14:val="000000">
                      <w14:alpha w14:val="100000"/>
                    </w14:srgbClr>
                  </w14:solidFill>
                </w14:textFill>
              </w:rPr>
              <w:t>|||||||||</w:t>
            </w:r>
            <w:r w:rsidRPr="00A91078">
              <w:rPr>
                <w:rFonts w:ascii="Arial Narrow" w:hAnsi="Arial Narrow" w:cs="Times New Roman"/>
                <w:b/>
                <w:color w:val="000000"/>
                <w:spacing w:val="4"/>
                <w:fitText w:val="670" w:id="-1402794750"/>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6B338B45"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9"/>
                <w14:textFill>
                  <w14:solidFill>
                    <w14:srgbClr w14:val="000000">
                      <w14:alpha w14:val="100000"/>
                    </w14:srgbClr>
                  </w14:solidFill>
                </w14:textFill>
              </w:rPr>
              <w:t>|||||||||</w:t>
            </w:r>
            <w:r w:rsidRPr="00A91078">
              <w:rPr>
                <w:rFonts w:ascii="Arial Narrow" w:hAnsi="Arial Narrow" w:cs="Times New Roman"/>
                <w:b/>
                <w:color w:val="000000"/>
                <w:spacing w:val="4"/>
                <w:fitText w:val="670" w:id="-1402794749"/>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3372C4A9"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8"/>
                <w14:textFill>
                  <w14:solidFill>
                    <w14:srgbClr w14:val="000000">
                      <w14:alpha w14:val="100000"/>
                    </w14:srgbClr>
                  </w14:solidFill>
                </w14:textFill>
              </w:rPr>
              <w:t>|||||||||</w:t>
            </w:r>
            <w:r w:rsidRPr="00A91078">
              <w:rPr>
                <w:rFonts w:ascii="Arial Narrow" w:hAnsi="Arial Narrow" w:cs="Times New Roman"/>
                <w:b/>
                <w:color w:val="000000"/>
                <w:spacing w:val="4"/>
                <w:fitText w:val="670" w:id="-1402794748"/>
                <w14:textFill>
                  <w14:solidFill>
                    <w14:srgbClr w14:val="000000">
                      <w14:alpha w14:val="100000"/>
                    </w14:srgbClr>
                  </w14:solidFill>
                </w14:textFill>
              </w:rPr>
              <w:t>|</w:t>
            </w:r>
          </w:p>
        </w:tc>
        <w:tc>
          <w:tcPr>
            <w:tcW w:w="703" w:type="pct"/>
            <w:tcBorders>
              <w:top w:val="single" w:sz="4" w:space="0" w:color="auto"/>
              <w:left w:val="single" w:sz="4" w:space="0" w:color="auto"/>
              <w:bottom w:val="nil"/>
              <w:right w:val="single" w:sz="4" w:space="0" w:color="auto"/>
            </w:tcBorders>
            <w:shd w:val="clear" w:color="auto" w:fill="000000"/>
            <w:vAlign w:val="center"/>
            <w:hideMark/>
          </w:tcPr>
          <w:p w14:paraId="54EF6521"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shd w:val="solid" w:color="000000" w:fill="000000"/>
                <w:fitText w:val="670" w:id="-1402794747"/>
                <w14:textFill>
                  <w14:solidFill>
                    <w14:srgbClr w14:val="000000">
                      <w14:alpha w14:val="100000"/>
                    </w14:srgbClr>
                  </w14:solidFill>
                </w14:textFill>
              </w:rPr>
              <w:t>|||||||||</w:t>
            </w:r>
            <w:r w:rsidRPr="00A91078">
              <w:rPr>
                <w:rFonts w:ascii="Arial Narrow" w:hAnsi="Arial Narrow" w:cs="Times New Roman"/>
                <w:b/>
                <w:color w:val="000000"/>
                <w:spacing w:val="4"/>
                <w:shd w:val="solid" w:color="000000" w:fill="000000"/>
                <w:fitText w:val="670" w:id="-1402794747"/>
                <w14:textFill>
                  <w14:solidFill>
                    <w14:srgbClr w14:val="000000">
                      <w14:alpha w14:val="100000"/>
                    </w14:srgbClr>
                  </w14:solidFill>
                </w14:textFill>
              </w:rPr>
              <w:t>|</w:t>
            </w:r>
          </w:p>
        </w:tc>
      </w:tr>
      <w:tr w:rsidR="00A91078" w:rsidRPr="00A91078" w14:paraId="1FC27B8E" w14:textId="77777777" w:rsidTr="00102473">
        <w:tc>
          <w:tcPr>
            <w:tcW w:w="1477" w:type="pct"/>
            <w:tcBorders>
              <w:top w:val="nil"/>
              <w:left w:val="single" w:sz="4" w:space="0" w:color="auto"/>
              <w:bottom w:val="nil"/>
              <w:right w:val="single" w:sz="4" w:space="0" w:color="auto"/>
            </w:tcBorders>
            <w:hideMark/>
          </w:tcPr>
          <w:p w14:paraId="5EA2B34C"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VAR</w:t>
            </w:r>
          </w:p>
        </w:tc>
        <w:tc>
          <w:tcPr>
            <w:tcW w:w="705" w:type="pct"/>
            <w:tcBorders>
              <w:top w:val="nil"/>
              <w:left w:val="single" w:sz="4" w:space="0" w:color="auto"/>
              <w:bottom w:val="nil"/>
              <w:right w:val="single" w:sz="4" w:space="0" w:color="auto"/>
            </w:tcBorders>
            <w:shd w:val="solid" w:color="000000" w:fill="000000"/>
            <w:vAlign w:val="center"/>
            <w:hideMark/>
          </w:tcPr>
          <w:p w14:paraId="22C54C65"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6"/>
                <w:fitText w:val="660" w:id="-1402794746"/>
                <w14:textFill>
                  <w14:solidFill>
                    <w14:srgbClr w14:val="000000">
                      <w14:alpha w14:val="100000"/>
                    </w14:srgbClr>
                  </w14:solidFill>
                </w14:textFill>
              </w:rPr>
              <w:t>|||||||||</w:t>
            </w:r>
            <w:r w:rsidRPr="00A91078">
              <w:rPr>
                <w:rFonts w:ascii="Arial Narrow" w:hAnsi="Arial Narrow" w:cs="Times New Roman"/>
                <w:color w:val="000000"/>
                <w:spacing w:val="1"/>
                <w:fitText w:val="660" w:id="-1402794746"/>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061073BF"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6"/>
                <w:fitText w:val="660" w:id="-1402794745"/>
                <w14:textFill>
                  <w14:solidFill>
                    <w14:srgbClr w14:val="000000">
                      <w14:alpha w14:val="100000"/>
                    </w14:srgbClr>
                  </w14:solidFill>
                </w14:textFill>
              </w:rPr>
              <w:t>|||||||||</w:t>
            </w:r>
            <w:r w:rsidRPr="00A91078">
              <w:rPr>
                <w:rFonts w:ascii="Arial Narrow" w:hAnsi="Arial Narrow" w:cs="Times New Roman"/>
                <w:color w:val="000000"/>
                <w:spacing w:val="1"/>
                <w:fitText w:val="660" w:id="-1402794745"/>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40350A94"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6"/>
                <w:fitText w:val="660" w:id="-1402794744"/>
                <w14:textFill>
                  <w14:solidFill>
                    <w14:srgbClr w14:val="000000">
                      <w14:alpha w14:val="100000"/>
                    </w14:srgbClr>
                  </w14:solidFill>
                </w14:textFill>
              </w:rPr>
              <w:t>|||||||||</w:t>
            </w:r>
            <w:r w:rsidRPr="00A91078">
              <w:rPr>
                <w:rFonts w:ascii="Arial Narrow" w:hAnsi="Arial Narrow" w:cs="Times New Roman"/>
                <w:color w:val="000000"/>
                <w:spacing w:val="1"/>
                <w:fitText w:val="660" w:id="-1402794744"/>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4DE39F57"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6"/>
                <w:fitText w:val="660" w:id="-1402794743"/>
                <w14:textFill>
                  <w14:solidFill>
                    <w14:srgbClr w14:val="000000">
                      <w14:alpha w14:val="100000"/>
                    </w14:srgbClr>
                  </w14:solidFill>
                </w14:textFill>
              </w:rPr>
              <w:t>|||||||||</w:t>
            </w:r>
            <w:r w:rsidRPr="00A91078">
              <w:rPr>
                <w:rFonts w:ascii="Arial Narrow" w:hAnsi="Arial Narrow" w:cs="Times New Roman"/>
                <w:color w:val="000000"/>
                <w:spacing w:val="1"/>
                <w:fitText w:val="660" w:id="-1402794743"/>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3064A2B3"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44"/>
                <w:fitText w:val="650" w:id="-1402794742"/>
                <w14:textFill>
                  <w14:solidFill>
                    <w14:srgbClr w14:val="000000">
                      <w14:alpha w14:val="100000"/>
                    </w14:srgbClr>
                  </w14:solidFill>
                </w14:textFill>
              </w:rPr>
              <w:t>|||||||</w:t>
            </w:r>
            <w:r w:rsidRPr="00A91078">
              <w:rPr>
                <w:rFonts w:ascii="Arial Narrow" w:hAnsi="Arial Narrow" w:cs="Times New Roman"/>
                <w:color w:val="000000"/>
                <w:spacing w:val="2"/>
                <w:fitText w:val="650" w:id="-1402794742"/>
                <w14:textFill>
                  <w14:solidFill>
                    <w14:srgbClr w14:val="000000">
                      <w14:alpha w14:val="100000"/>
                    </w14:srgbClr>
                  </w14:solidFill>
                </w14:textFill>
              </w:rPr>
              <w:t>|</w:t>
            </w:r>
          </w:p>
        </w:tc>
      </w:tr>
      <w:tr w:rsidR="00A91078" w:rsidRPr="00A91078" w14:paraId="27C8EE8E" w14:textId="77777777" w:rsidTr="00A91078">
        <w:tc>
          <w:tcPr>
            <w:tcW w:w="1477" w:type="pct"/>
            <w:tcBorders>
              <w:top w:val="nil"/>
              <w:left w:val="single" w:sz="4" w:space="0" w:color="auto"/>
              <w:bottom w:val="nil"/>
              <w:right w:val="single" w:sz="4" w:space="0" w:color="auto"/>
            </w:tcBorders>
            <w:hideMark/>
          </w:tcPr>
          <w:p w14:paraId="030AB7DA"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NRT</w:t>
            </w:r>
          </w:p>
        </w:tc>
        <w:tc>
          <w:tcPr>
            <w:tcW w:w="705" w:type="pct"/>
            <w:tcBorders>
              <w:top w:val="nil"/>
              <w:left w:val="single" w:sz="4" w:space="0" w:color="auto"/>
              <w:bottom w:val="nil"/>
              <w:right w:val="single" w:sz="4" w:space="0" w:color="auto"/>
            </w:tcBorders>
            <w:shd w:val="solid" w:color="000000" w:fill="000000"/>
            <w:vAlign w:val="center"/>
            <w:hideMark/>
          </w:tcPr>
          <w:p w14:paraId="4D3BE1B0"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41"/>
                <w14:textFill>
                  <w14:solidFill>
                    <w14:srgbClr w14:val="000000">
                      <w14:alpha w14:val="100000"/>
                    </w14:srgbClr>
                  </w14:solidFill>
                </w14:textFill>
              </w:rPr>
              <w:t>|||||||||</w:t>
            </w:r>
            <w:r w:rsidRPr="00A91078">
              <w:rPr>
                <w:rFonts w:ascii="Arial Narrow" w:hAnsi="Arial Narrow" w:cs="Times New Roman"/>
                <w:color w:val="000000"/>
                <w:spacing w:val="2"/>
                <w:fitText w:val="670" w:id="-1402794741"/>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0D4DFF53"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40"/>
                <w14:textFill>
                  <w14:solidFill>
                    <w14:srgbClr w14:val="000000">
                      <w14:alpha w14:val="100000"/>
                    </w14:srgbClr>
                  </w14:solidFill>
                </w14:textFill>
              </w:rPr>
              <w:t>|||||||||</w:t>
            </w:r>
            <w:r w:rsidRPr="00A91078">
              <w:rPr>
                <w:rFonts w:ascii="Arial Narrow" w:hAnsi="Arial Narrow" w:cs="Times New Roman"/>
                <w:color w:val="000000"/>
                <w:spacing w:val="2"/>
                <w:fitText w:val="670" w:id="-1402794740"/>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0448CA3B"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39"/>
                <w14:textFill>
                  <w14:solidFill>
                    <w14:srgbClr w14:val="000000">
                      <w14:alpha w14:val="100000"/>
                    </w14:srgbClr>
                  </w14:solidFill>
                </w14:textFill>
              </w:rPr>
              <w:t>|||||||||</w:t>
            </w:r>
            <w:r w:rsidRPr="00A91078">
              <w:rPr>
                <w:rFonts w:ascii="Arial Narrow" w:hAnsi="Arial Narrow" w:cs="Times New Roman"/>
                <w:color w:val="000000"/>
                <w:spacing w:val="2"/>
                <w:fitText w:val="670" w:id="-1402794739"/>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7782D9F3"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38"/>
                <w14:textFill>
                  <w14:solidFill>
                    <w14:srgbClr w14:val="000000">
                      <w14:alpha w14:val="100000"/>
                    </w14:srgbClr>
                  </w14:solidFill>
                </w14:textFill>
              </w:rPr>
              <w:t>|||||||||</w:t>
            </w:r>
            <w:r w:rsidRPr="00A91078">
              <w:rPr>
                <w:rFonts w:ascii="Arial Narrow" w:hAnsi="Arial Narrow" w:cs="Times New Roman"/>
                <w:color w:val="000000"/>
                <w:spacing w:val="2"/>
                <w:fitText w:val="670" w:id="-1402794738"/>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clear" w:color="auto" w:fill="000000"/>
            <w:vAlign w:val="center"/>
            <w:hideMark/>
          </w:tcPr>
          <w:p w14:paraId="71F03908"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37"/>
                <w14:textFill>
                  <w14:solidFill>
                    <w14:srgbClr w14:val="000000">
                      <w14:alpha w14:val="100000"/>
                    </w14:srgbClr>
                  </w14:solidFill>
                </w14:textFill>
              </w:rPr>
              <w:t>|||||||||</w:t>
            </w:r>
            <w:r w:rsidRPr="00A91078">
              <w:rPr>
                <w:rFonts w:ascii="Arial Narrow" w:hAnsi="Arial Narrow" w:cs="Times New Roman"/>
                <w:color w:val="000000"/>
                <w:spacing w:val="2"/>
                <w:fitText w:val="670" w:id="-1402794737"/>
                <w14:textFill>
                  <w14:solidFill>
                    <w14:srgbClr w14:val="000000">
                      <w14:alpha w14:val="100000"/>
                    </w14:srgbClr>
                  </w14:solidFill>
                </w14:textFill>
              </w:rPr>
              <w:t>|</w:t>
            </w:r>
          </w:p>
        </w:tc>
      </w:tr>
      <w:tr w:rsidR="00A91078" w:rsidRPr="00A91078" w14:paraId="5964B33E" w14:textId="77777777" w:rsidTr="00A91078">
        <w:tc>
          <w:tcPr>
            <w:tcW w:w="1477" w:type="pct"/>
            <w:tcBorders>
              <w:top w:val="nil"/>
              <w:left w:val="single" w:sz="4" w:space="0" w:color="auto"/>
              <w:bottom w:val="nil"/>
              <w:right w:val="single" w:sz="4" w:space="0" w:color="auto"/>
            </w:tcBorders>
            <w:hideMark/>
          </w:tcPr>
          <w:p w14:paraId="627480CB"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BUP</w:t>
            </w:r>
          </w:p>
        </w:tc>
        <w:tc>
          <w:tcPr>
            <w:tcW w:w="705" w:type="pct"/>
            <w:tcBorders>
              <w:top w:val="nil"/>
              <w:left w:val="single" w:sz="4" w:space="0" w:color="auto"/>
              <w:bottom w:val="nil"/>
              <w:right w:val="single" w:sz="4" w:space="0" w:color="auto"/>
            </w:tcBorders>
            <w:shd w:val="solid" w:color="000000" w:fill="000000"/>
            <w:vAlign w:val="center"/>
            <w:hideMark/>
          </w:tcPr>
          <w:p w14:paraId="2A7DE954" w14:textId="77777777" w:rsidR="00A91078" w:rsidRPr="00A91078" w:rsidRDefault="00A91078" w:rsidP="00A91078">
            <w:pPr>
              <w:keepNext/>
              <w:jc w:val="center"/>
              <w:rPr>
                <w:rFonts w:ascii="Arial Narrow" w:hAnsi="Arial Narrow" w:cs="Times New Roman"/>
              </w:rPr>
            </w:pPr>
            <w:r w:rsidRPr="00A91078">
              <w:rPr>
                <w:rFonts w:ascii="MS Gothic" w:eastAsia="MS Gothic" w:hAnsi="MS Gothic" w:cs="MS Gothic" w:hint="eastAsia"/>
                <w:color w:val="000000"/>
                <w:w w:val="15"/>
                <w:fitText w:val="60" w:id="-1402794736"/>
                <w14:textFill>
                  <w14:solidFill>
                    <w14:srgbClr w14:val="000000">
                      <w14:alpha w14:val="100000"/>
                    </w14:srgbClr>
                  </w14:solidFill>
                </w14:textFill>
              </w:rPr>
              <w:t xml:space="preserve">　</w:t>
            </w:r>
            <w:r w:rsidRPr="00A91078">
              <w:rPr>
                <w:rFonts w:ascii="Arial Narrow" w:hAnsi="Arial Narrow" w:cs="Times New Roman"/>
                <w:color w:val="000000"/>
                <w:w w:val="15"/>
                <w:fitText w:val="60" w:id="-1402794736"/>
                <w14:textFill>
                  <w14:solidFill>
                    <w14:srgbClr w14:val="000000">
                      <w14:alpha w14:val="100000"/>
                    </w14:srgbClr>
                  </w14:solidFill>
                </w14:textFill>
              </w:rPr>
              <w:t>|</w:t>
            </w:r>
            <w:r w:rsidRPr="00A91078">
              <w:rPr>
                <w:rFonts w:ascii="MS Gothic" w:eastAsia="MS Gothic" w:hAnsi="MS Gothic" w:cs="MS Gothic" w:hint="eastAsia"/>
                <w:color w:val="000000"/>
                <w:w w:val="15"/>
                <w:fitText w:val="60" w:id="-1402794736"/>
                <w14:textFill>
                  <w14:solidFill>
                    <w14:srgbClr w14:val="000000">
                      <w14:alpha w14:val="100000"/>
                    </w14:srgbClr>
                  </w14:solidFill>
                </w14:textFill>
              </w:rPr>
              <w:t xml:space="preserve">　</w:t>
            </w:r>
          </w:p>
        </w:tc>
        <w:tc>
          <w:tcPr>
            <w:tcW w:w="705" w:type="pct"/>
            <w:tcBorders>
              <w:top w:val="nil"/>
              <w:left w:val="single" w:sz="4" w:space="0" w:color="auto"/>
              <w:bottom w:val="nil"/>
              <w:right w:val="single" w:sz="4" w:space="0" w:color="auto"/>
            </w:tcBorders>
            <w:shd w:val="solid" w:color="000000" w:fill="000000"/>
            <w:vAlign w:val="center"/>
            <w:hideMark/>
          </w:tcPr>
          <w:p w14:paraId="3B6CFF7A"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46"/>
                <w:fitText w:val="310" w:id="-1402794752"/>
                <w14:textFill>
                  <w14:solidFill>
                    <w14:srgbClr w14:val="000000">
                      <w14:alpha w14:val="100000"/>
                    </w14:srgbClr>
                  </w14:solidFill>
                </w14:textFill>
              </w:rPr>
              <w:t>|||</w:t>
            </w:r>
            <w:r w:rsidRPr="00A91078">
              <w:rPr>
                <w:rFonts w:ascii="Arial Narrow" w:hAnsi="Arial Narrow" w:cs="Times New Roman"/>
                <w:color w:val="000000"/>
                <w:spacing w:val="2"/>
                <w:fitText w:val="310" w:id="-1402794752"/>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5F91BB7E"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46"/>
                <w:fitText w:val="310" w:id="-1402794751"/>
                <w14:textFill>
                  <w14:solidFill>
                    <w14:srgbClr w14:val="000000">
                      <w14:alpha w14:val="100000"/>
                    </w14:srgbClr>
                  </w14:solidFill>
                </w14:textFill>
              </w:rPr>
              <w:t>|||</w:t>
            </w:r>
            <w:r w:rsidRPr="00A91078">
              <w:rPr>
                <w:rFonts w:ascii="Arial Narrow" w:hAnsi="Arial Narrow" w:cs="Times New Roman"/>
                <w:color w:val="000000"/>
                <w:spacing w:val="2"/>
                <w:fitText w:val="310" w:id="-1402794751"/>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74D2B83F"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46"/>
                <w:fitText w:val="310" w:id="-1402794750"/>
                <w14:textFill>
                  <w14:solidFill>
                    <w14:srgbClr w14:val="000000">
                      <w14:alpha w14:val="100000"/>
                    </w14:srgbClr>
                  </w14:solidFill>
                </w14:textFill>
              </w:rPr>
              <w:t>|||</w:t>
            </w:r>
            <w:r w:rsidRPr="00A91078">
              <w:rPr>
                <w:rFonts w:ascii="Arial Narrow" w:hAnsi="Arial Narrow" w:cs="Times New Roman"/>
                <w:color w:val="000000"/>
                <w:spacing w:val="2"/>
                <w:fitText w:val="310" w:id="-1402794750"/>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clear" w:color="auto" w:fill="000000"/>
            <w:vAlign w:val="center"/>
            <w:hideMark/>
          </w:tcPr>
          <w:p w14:paraId="52F3432B"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46"/>
                <w:shd w:val="solid" w:color="000000" w:fill="000000"/>
                <w:fitText w:val="310" w:id="-1402794749"/>
                <w14:textFill>
                  <w14:solidFill>
                    <w14:srgbClr w14:val="000000">
                      <w14:alpha w14:val="100000"/>
                    </w14:srgbClr>
                  </w14:solidFill>
                </w14:textFill>
              </w:rPr>
              <w:t>|||</w:t>
            </w:r>
            <w:r w:rsidRPr="00A91078">
              <w:rPr>
                <w:rFonts w:ascii="Arial Narrow" w:hAnsi="Arial Narrow" w:cs="Times New Roman"/>
                <w:color w:val="000000"/>
                <w:spacing w:val="2"/>
                <w:shd w:val="solid" w:color="000000" w:fill="000000"/>
                <w:fitText w:val="310" w:id="-1402794749"/>
                <w14:textFill>
                  <w14:solidFill>
                    <w14:srgbClr w14:val="000000">
                      <w14:alpha w14:val="100000"/>
                    </w14:srgbClr>
                  </w14:solidFill>
                </w14:textFill>
              </w:rPr>
              <w:t>|</w:t>
            </w:r>
          </w:p>
        </w:tc>
      </w:tr>
      <w:tr w:rsidR="00A91078" w:rsidRPr="00A91078" w14:paraId="0C10F99B" w14:textId="77777777" w:rsidTr="00102473">
        <w:tc>
          <w:tcPr>
            <w:tcW w:w="1477" w:type="pct"/>
            <w:tcBorders>
              <w:top w:val="nil"/>
              <w:left w:val="single" w:sz="4" w:space="0" w:color="auto"/>
              <w:bottom w:val="nil"/>
              <w:right w:val="single" w:sz="4" w:space="0" w:color="auto"/>
            </w:tcBorders>
            <w:hideMark/>
          </w:tcPr>
          <w:p w14:paraId="073D3D93" w14:textId="77777777" w:rsidR="00A91078" w:rsidRPr="00A91078" w:rsidRDefault="00A91078" w:rsidP="00A91078">
            <w:pPr>
              <w:keepNext/>
              <w:jc w:val="both"/>
              <w:rPr>
                <w:rFonts w:ascii="Arial Narrow" w:hAnsi="Arial Narrow" w:cs="Times New Roman"/>
                <w:b/>
                <w:bCs/>
              </w:rPr>
            </w:pPr>
            <w:r w:rsidRPr="00A91078">
              <w:rPr>
                <w:rFonts w:ascii="Arial Narrow" w:hAnsi="Arial Narrow" w:cs="Times New Roman"/>
                <w:b/>
                <w:bCs/>
              </w:rPr>
              <w:t>MBS net cost</w:t>
            </w:r>
          </w:p>
        </w:tc>
        <w:tc>
          <w:tcPr>
            <w:tcW w:w="705" w:type="pct"/>
            <w:tcBorders>
              <w:top w:val="nil"/>
              <w:left w:val="single" w:sz="4" w:space="0" w:color="auto"/>
              <w:bottom w:val="nil"/>
              <w:right w:val="single" w:sz="4" w:space="0" w:color="auto"/>
            </w:tcBorders>
            <w:shd w:val="solid" w:color="000000" w:fill="000000"/>
            <w:vAlign w:val="center"/>
            <w:hideMark/>
          </w:tcPr>
          <w:p w14:paraId="536FE108"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8"/>
                <w14:textFill>
                  <w14:solidFill>
                    <w14:srgbClr w14:val="000000">
                      <w14:alpha w14:val="100000"/>
                    </w14:srgbClr>
                  </w14:solidFill>
                </w14:textFill>
              </w:rPr>
              <w:t>|||||</w:t>
            </w:r>
            <w:r w:rsidRPr="00A91078">
              <w:rPr>
                <w:rFonts w:ascii="Arial Narrow" w:hAnsi="Arial Narrow" w:cs="Times New Roman"/>
                <w:b/>
                <w:color w:val="000000"/>
                <w:spacing w:val="5"/>
                <w:fitText w:val="530" w:id="-1402794748"/>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0618C554"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7"/>
                <w14:textFill>
                  <w14:solidFill>
                    <w14:srgbClr w14:val="000000">
                      <w14:alpha w14:val="100000"/>
                    </w14:srgbClr>
                  </w14:solidFill>
                </w14:textFill>
              </w:rPr>
              <w:t>|||||</w:t>
            </w:r>
            <w:r w:rsidRPr="00A91078">
              <w:rPr>
                <w:rFonts w:ascii="Arial Narrow" w:hAnsi="Arial Narrow" w:cs="Times New Roman"/>
                <w:b/>
                <w:color w:val="000000"/>
                <w:spacing w:val="5"/>
                <w:fitText w:val="530" w:id="-1402794747"/>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7F56DDAF"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6"/>
                <w14:textFill>
                  <w14:solidFill>
                    <w14:srgbClr w14:val="000000">
                      <w14:alpha w14:val="100000"/>
                    </w14:srgbClr>
                  </w14:solidFill>
                </w14:textFill>
              </w:rPr>
              <w:t>|||||</w:t>
            </w:r>
            <w:r w:rsidRPr="00A91078">
              <w:rPr>
                <w:rFonts w:ascii="Arial Narrow" w:hAnsi="Arial Narrow" w:cs="Times New Roman"/>
                <w:b/>
                <w:color w:val="000000"/>
                <w:spacing w:val="5"/>
                <w:fitText w:val="530" w:id="-1402794746"/>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42838F4A"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45"/>
                <w:fitText w:val="320" w:id="-1402794745"/>
                <w14:textFill>
                  <w14:solidFill>
                    <w14:srgbClr w14:val="000000">
                      <w14:alpha w14:val="100000"/>
                    </w14:srgbClr>
                  </w14:solidFill>
                </w14:textFill>
              </w:rPr>
              <w:t>|||</w:t>
            </w:r>
            <w:r w:rsidRPr="00A91078">
              <w:rPr>
                <w:rFonts w:ascii="Arial Narrow" w:hAnsi="Arial Narrow" w:cs="Times New Roman"/>
                <w:b/>
                <w:color w:val="000000"/>
                <w:spacing w:val="2"/>
                <w:fitText w:val="320" w:id="-1402794745"/>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4C1CE884"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48"/>
                <w:fitText w:val="330" w:id="-1402794744"/>
                <w14:textFill>
                  <w14:solidFill>
                    <w14:srgbClr w14:val="000000">
                      <w14:alpha w14:val="100000"/>
                    </w14:srgbClr>
                  </w14:solidFill>
                </w14:textFill>
              </w:rPr>
              <w:t>|||</w:t>
            </w:r>
            <w:r w:rsidRPr="00A91078">
              <w:rPr>
                <w:rFonts w:ascii="Arial Narrow" w:hAnsi="Arial Narrow" w:cs="Times New Roman"/>
                <w:b/>
                <w:color w:val="000000"/>
                <w:spacing w:val="3"/>
                <w:fitText w:val="330" w:id="-1402794744"/>
                <w14:textFill>
                  <w14:solidFill>
                    <w14:srgbClr w14:val="000000">
                      <w14:alpha w14:val="100000"/>
                    </w14:srgbClr>
                  </w14:solidFill>
                </w14:textFill>
              </w:rPr>
              <w:t>|</w:t>
            </w:r>
          </w:p>
        </w:tc>
      </w:tr>
      <w:tr w:rsidR="00A91078" w:rsidRPr="00A91078" w14:paraId="4A68B515" w14:textId="77777777" w:rsidTr="00102473">
        <w:tc>
          <w:tcPr>
            <w:tcW w:w="1477" w:type="pct"/>
            <w:tcBorders>
              <w:top w:val="nil"/>
              <w:left w:val="single" w:sz="4" w:space="0" w:color="auto"/>
              <w:bottom w:val="single" w:sz="4" w:space="0" w:color="auto"/>
              <w:right w:val="single" w:sz="4" w:space="0" w:color="auto"/>
            </w:tcBorders>
            <w:hideMark/>
          </w:tcPr>
          <w:p w14:paraId="02446722" w14:textId="77777777" w:rsidR="00A91078" w:rsidRPr="00A91078" w:rsidRDefault="00A91078" w:rsidP="00A91078">
            <w:pPr>
              <w:keepNext/>
              <w:jc w:val="both"/>
              <w:rPr>
                <w:rFonts w:ascii="Arial Narrow" w:hAnsi="Arial Narrow" w:cs="Times New Roman"/>
                <w:b/>
                <w:bCs/>
              </w:rPr>
            </w:pPr>
            <w:r w:rsidRPr="00A91078">
              <w:rPr>
                <w:rFonts w:ascii="Arial Narrow" w:hAnsi="Arial Narrow" w:cs="Times New Roman"/>
                <w:b/>
                <w:bCs/>
              </w:rPr>
              <w:t>Health budget net cost</w:t>
            </w:r>
          </w:p>
        </w:tc>
        <w:tc>
          <w:tcPr>
            <w:tcW w:w="705" w:type="pct"/>
            <w:tcBorders>
              <w:top w:val="nil"/>
              <w:left w:val="single" w:sz="4" w:space="0" w:color="auto"/>
              <w:bottom w:val="single" w:sz="4" w:space="0" w:color="auto"/>
              <w:right w:val="single" w:sz="4" w:space="0" w:color="auto"/>
            </w:tcBorders>
            <w:shd w:val="solid" w:color="000000" w:fill="000000"/>
            <w:vAlign w:val="center"/>
            <w:hideMark/>
          </w:tcPr>
          <w:p w14:paraId="15354332"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3"/>
                <w14:textFill>
                  <w14:solidFill>
                    <w14:srgbClr w14:val="000000">
                      <w14:alpha w14:val="100000"/>
                    </w14:srgbClr>
                  </w14:solidFill>
                </w14:textFill>
              </w:rPr>
              <w:t>|||||||||</w:t>
            </w:r>
            <w:r w:rsidRPr="00A91078">
              <w:rPr>
                <w:rFonts w:ascii="Arial Narrow" w:hAnsi="Arial Narrow" w:cs="Times New Roman"/>
                <w:b/>
                <w:color w:val="000000"/>
                <w:spacing w:val="4"/>
                <w:fitText w:val="670" w:id="-1402794743"/>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center"/>
            <w:hideMark/>
          </w:tcPr>
          <w:p w14:paraId="375F7F5A"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2"/>
                <w14:textFill>
                  <w14:solidFill>
                    <w14:srgbClr w14:val="000000">
                      <w14:alpha w14:val="100000"/>
                    </w14:srgbClr>
                  </w14:solidFill>
                </w14:textFill>
              </w:rPr>
              <w:t>|||||||||</w:t>
            </w:r>
            <w:r w:rsidRPr="00A91078">
              <w:rPr>
                <w:rFonts w:ascii="Arial Narrow" w:hAnsi="Arial Narrow" w:cs="Times New Roman"/>
                <w:b/>
                <w:color w:val="000000"/>
                <w:spacing w:val="4"/>
                <w:fitText w:val="670" w:id="-1402794742"/>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center"/>
            <w:hideMark/>
          </w:tcPr>
          <w:p w14:paraId="65A5744A"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1"/>
                <w14:textFill>
                  <w14:solidFill>
                    <w14:srgbClr w14:val="000000">
                      <w14:alpha w14:val="100000"/>
                    </w14:srgbClr>
                  </w14:solidFill>
                </w14:textFill>
              </w:rPr>
              <w:t>|||||||||</w:t>
            </w:r>
            <w:r w:rsidRPr="00A91078">
              <w:rPr>
                <w:rFonts w:ascii="Arial Narrow" w:hAnsi="Arial Narrow" w:cs="Times New Roman"/>
                <w:b/>
                <w:color w:val="000000"/>
                <w:spacing w:val="4"/>
                <w:fitText w:val="670" w:id="-1402794741"/>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center"/>
            <w:hideMark/>
          </w:tcPr>
          <w:p w14:paraId="176B177F"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0"/>
                <w14:textFill>
                  <w14:solidFill>
                    <w14:srgbClr w14:val="000000">
                      <w14:alpha w14:val="100000"/>
                    </w14:srgbClr>
                  </w14:solidFill>
                </w14:textFill>
              </w:rPr>
              <w:t>|||||||||</w:t>
            </w:r>
            <w:r w:rsidRPr="00A91078">
              <w:rPr>
                <w:rFonts w:ascii="Arial Narrow" w:hAnsi="Arial Narrow" w:cs="Times New Roman"/>
                <w:b/>
                <w:color w:val="000000"/>
                <w:spacing w:val="4"/>
                <w:fitText w:val="670" w:id="-1402794740"/>
                <w14:textFill>
                  <w14:solidFill>
                    <w14:srgbClr w14:val="000000">
                      <w14:alpha w14:val="100000"/>
                    </w14:srgbClr>
                  </w14:solidFill>
                </w14:textFill>
              </w:rPr>
              <w:t>|</w:t>
            </w:r>
          </w:p>
        </w:tc>
        <w:tc>
          <w:tcPr>
            <w:tcW w:w="703" w:type="pct"/>
            <w:tcBorders>
              <w:top w:val="nil"/>
              <w:left w:val="single" w:sz="4" w:space="0" w:color="auto"/>
              <w:bottom w:val="single" w:sz="4" w:space="0" w:color="auto"/>
              <w:right w:val="single" w:sz="4" w:space="0" w:color="auto"/>
            </w:tcBorders>
            <w:shd w:val="solid" w:color="000000" w:fill="000000"/>
            <w:vAlign w:val="center"/>
            <w:hideMark/>
          </w:tcPr>
          <w:p w14:paraId="02712A19"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39"/>
                <w14:textFill>
                  <w14:solidFill>
                    <w14:srgbClr w14:val="000000">
                      <w14:alpha w14:val="100000"/>
                    </w14:srgbClr>
                  </w14:solidFill>
                </w14:textFill>
              </w:rPr>
              <w:t>|||||||||</w:t>
            </w:r>
            <w:r w:rsidRPr="00A91078">
              <w:rPr>
                <w:rFonts w:ascii="Arial Narrow" w:hAnsi="Arial Narrow" w:cs="Times New Roman"/>
                <w:b/>
                <w:color w:val="000000"/>
                <w:spacing w:val="4"/>
                <w:fitText w:val="670" w:id="-1402794739"/>
                <w14:textFill>
                  <w14:solidFill>
                    <w14:srgbClr w14:val="000000">
                      <w14:alpha w14:val="100000"/>
                    </w14:srgbClr>
                  </w14:solidFill>
                </w14:textFill>
              </w:rPr>
              <w:t>|</w:t>
            </w:r>
          </w:p>
        </w:tc>
      </w:tr>
      <w:tr w:rsidR="00A91078" w:rsidRPr="00A91078" w14:paraId="14F5E064" w14:textId="77777777" w:rsidTr="00102473">
        <w:tc>
          <w:tcPr>
            <w:tcW w:w="5000" w:type="pct"/>
            <w:gridSpan w:val="6"/>
            <w:tcBorders>
              <w:top w:val="single" w:sz="4" w:space="0" w:color="auto"/>
              <w:left w:val="single" w:sz="4" w:space="0" w:color="auto"/>
              <w:bottom w:val="single" w:sz="4" w:space="0" w:color="auto"/>
              <w:right w:val="single" w:sz="4" w:space="0" w:color="auto"/>
            </w:tcBorders>
            <w:hideMark/>
          </w:tcPr>
          <w:p w14:paraId="2DF7C2B8" w14:textId="77777777" w:rsidR="00A91078" w:rsidRPr="00A91078" w:rsidRDefault="00A91078" w:rsidP="00A91078">
            <w:pPr>
              <w:keepNext/>
              <w:rPr>
                <w:rFonts w:ascii="Calibri" w:hAnsi="Calibri" w:cs="Times New Roman"/>
                <w:szCs w:val="24"/>
              </w:rPr>
            </w:pPr>
            <w:r w:rsidRPr="00A91078">
              <w:rPr>
                <w:rFonts w:ascii="Arial Narrow" w:hAnsi="Arial Narrow" w:cs="Times New Roman"/>
                <w:b/>
                <w:bCs/>
              </w:rPr>
              <w:t>Scenario 3 (both VAR+NRT and NRT+NRT listed on the PBS)</w:t>
            </w:r>
          </w:p>
        </w:tc>
      </w:tr>
      <w:tr w:rsidR="00A91078" w:rsidRPr="00A91078" w14:paraId="31A75D39" w14:textId="77777777" w:rsidTr="00102473">
        <w:tc>
          <w:tcPr>
            <w:tcW w:w="1477" w:type="pct"/>
            <w:tcBorders>
              <w:top w:val="single" w:sz="4" w:space="0" w:color="auto"/>
              <w:left w:val="single" w:sz="4" w:space="0" w:color="auto"/>
              <w:bottom w:val="nil"/>
              <w:right w:val="single" w:sz="4" w:space="0" w:color="auto"/>
            </w:tcBorders>
            <w:hideMark/>
          </w:tcPr>
          <w:p w14:paraId="37AE241C" w14:textId="77777777" w:rsidR="00A91078" w:rsidRPr="00A91078" w:rsidRDefault="00A91078" w:rsidP="00A91078">
            <w:pPr>
              <w:keepNext/>
              <w:jc w:val="both"/>
              <w:rPr>
                <w:rFonts w:ascii="Arial Narrow" w:hAnsi="Arial Narrow" w:cs="Times New Roman"/>
                <w:b/>
                <w:bCs/>
              </w:rPr>
            </w:pPr>
            <w:r w:rsidRPr="00A91078">
              <w:rPr>
                <w:rFonts w:ascii="Arial Narrow" w:hAnsi="Arial Narrow" w:cs="Times New Roman"/>
                <w:b/>
                <w:bCs/>
              </w:rPr>
              <w:t>PBS/RPBS net cost (less co-pay)</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2EAC2076"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38"/>
                <w14:textFill>
                  <w14:solidFill>
                    <w14:srgbClr w14:val="000000">
                      <w14:alpha w14:val="100000"/>
                    </w14:srgbClr>
                  </w14:solidFill>
                </w14:textFill>
              </w:rPr>
              <w:t>|||||||||</w:t>
            </w:r>
            <w:r w:rsidRPr="00A91078">
              <w:rPr>
                <w:rFonts w:ascii="Arial Narrow" w:hAnsi="Arial Narrow" w:cs="Times New Roman"/>
                <w:b/>
                <w:color w:val="000000"/>
                <w:spacing w:val="4"/>
                <w:fitText w:val="670" w:id="-1402794738"/>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1C6623FD"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37"/>
                <w14:textFill>
                  <w14:solidFill>
                    <w14:srgbClr w14:val="000000">
                      <w14:alpha w14:val="100000"/>
                    </w14:srgbClr>
                  </w14:solidFill>
                </w14:textFill>
              </w:rPr>
              <w:t>|||||||||</w:t>
            </w:r>
            <w:r w:rsidRPr="00A91078">
              <w:rPr>
                <w:rFonts w:ascii="Arial Narrow" w:hAnsi="Arial Narrow" w:cs="Times New Roman"/>
                <w:b/>
                <w:color w:val="000000"/>
                <w:spacing w:val="4"/>
                <w:fitText w:val="670" w:id="-1402794737"/>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157F6194"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36"/>
                <w14:textFill>
                  <w14:solidFill>
                    <w14:srgbClr w14:val="000000">
                      <w14:alpha w14:val="100000"/>
                    </w14:srgbClr>
                  </w14:solidFill>
                </w14:textFill>
              </w:rPr>
              <w:t>|||||||||</w:t>
            </w:r>
            <w:r w:rsidRPr="00A91078">
              <w:rPr>
                <w:rFonts w:ascii="Arial Narrow" w:hAnsi="Arial Narrow" w:cs="Times New Roman"/>
                <w:b/>
                <w:color w:val="000000"/>
                <w:spacing w:val="4"/>
                <w:fitText w:val="670" w:id="-1402794736"/>
                <w14:textFill>
                  <w14:solidFill>
                    <w14:srgbClr w14:val="000000">
                      <w14:alpha w14:val="100000"/>
                    </w14:srgbClr>
                  </w14:solidFill>
                </w14:textFill>
              </w:rPr>
              <w:t>|</w:t>
            </w:r>
          </w:p>
        </w:tc>
        <w:tc>
          <w:tcPr>
            <w:tcW w:w="705" w:type="pct"/>
            <w:tcBorders>
              <w:top w:val="single" w:sz="4" w:space="0" w:color="auto"/>
              <w:left w:val="single" w:sz="4" w:space="0" w:color="auto"/>
              <w:bottom w:val="nil"/>
              <w:right w:val="single" w:sz="4" w:space="0" w:color="auto"/>
            </w:tcBorders>
            <w:shd w:val="solid" w:color="000000" w:fill="000000"/>
            <w:vAlign w:val="center"/>
            <w:hideMark/>
          </w:tcPr>
          <w:p w14:paraId="52CF14E0"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52"/>
                <w14:textFill>
                  <w14:solidFill>
                    <w14:srgbClr w14:val="000000">
                      <w14:alpha w14:val="100000"/>
                    </w14:srgbClr>
                  </w14:solidFill>
                </w14:textFill>
              </w:rPr>
              <w:t>|||||||||</w:t>
            </w:r>
            <w:r w:rsidRPr="00A91078">
              <w:rPr>
                <w:rFonts w:ascii="Arial Narrow" w:hAnsi="Arial Narrow" w:cs="Times New Roman"/>
                <w:b/>
                <w:color w:val="000000"/>
                <w:spacing w:val="4"/>
                <w:fitText w:val="670" w:id="-1402794752"/>
                <w14:textFill>
                  <w14:solidFill>
                    <w14:srgbClr w14:val="000000">
                      <w14:alpha w14:val="100000"/>
                    </w14:srgbClr>
                  </w14:solidFill>
                </w14:textFill>
              </w:rPr>
              <w:t>|</w:t>
            </w:r>
          </w:p>
        </w:tc>
        <w:tc>
          <w:tcPr>
            <w:tcW w:w="703" w:type="pct"/>
            <w:tcBorders>
              <w:top w:val="single" w:sz="4" w:space="0" w:color="auto"/>
              <w:left w:val="single" w:sz="4" w:space="0" w:color="auto"/>
              <w:bottom w:val="nil"/>
              <w:right w:val="single" w:sz="4" w:space="0" w:color="auto"/>
            </w:tcBorders>
            <w:shd w:val="solid" w:color="000000" w:fill="000000"/>
            <w:vAlign w:val="center"/>
            <w:hideMark/>
          </w:tcPr>
          <w:p w14:paraId="6D60B25C"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51"/>
                <w14:textFill>
                  <w14:solidFill>
                    <w14:srgbClr w14:val="000000">
                      <w14:alpha w14:val="100000"/>
                    </w14:srgbClr>
                  </w14:solidFill>
                </w14:textFill>
              </w:rPr>
              <w:t>|||||||||</w:t>
            </w:r>
            <w:r w:rsidRPr="00A91078">
              <w:rPr>
                <w:rFonts w:ascii="Arial Narrow" w:hAnsi="Arial Narrow" w:cs="Times New Roman"/>
                <w:b/>
                <w:color w:val="000000"/>
                <w:spacing w:val="4"/>
                <w:fitText w:val="670" w:id="-1402794751"/>
                <w14:textFill>
                  <w14:solidFill>
                    <w14:srgbClr w14:val="000000">
                      <w14:alpha w14:val="100000"/>
                    </w14:srgbClr>
                  </w14:solidFill>
                </w14:textFill>
              </w:rPr>
              <w:t>|</w:t>
            </w:r>
          </w:p>
        </w:tc>
      </w:tr>
      <w:tr w:rsidR="00A91078" w:rsidRPr="00A91078" w14:paraId="6B4DC042" w14:textId="77777777" w:rsidTr="00A91078">
        <w:tc>
          <w:tcPr>
            <w:tcW w:w="1477" w:type="pct"/>
            <w:tcBorders>
              <w:top w:val="nil"/>
              <w:left w:val="single" w:sz="4" w:space="0" w:color="auto"/>
              <w:bottom w:val="nil"/>
              <w:right w:val="single" w:sz="4" w:space="0" w:color="auto"/>
            </w:tcBorders>
            <w:hideMark/>
          </w:tcPr>
          <w:p w14:paraId="7CB01976"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VAR</w:t>
            </w:r>
          </w:p>
        </w:tc>
        <w:tc>
          <w:tcPr>
            <w:tcW w:w="705" w:type="pct"/>
            <w:tcBorders>
              <w:top w:val="nil"/>
              <w:left w:val="single" w:sz="4" w:space="0" w:color="auto"/>
              <w:bottom w:val="nil"/>
              <w:right w:val="single" w:sz="4" w:space="0" w:color="auto"/>
            </w:tcBorders>
            <w:shd w:val="solid" w:color="000000" w:fill="000000"/>
            <w:vAlign w:val="center"/>
            <w:hideMark/>
          </w:tcPr>
          <w:p w14:paraId="0ACDC832"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50"/>
                <w14:textFill>
                  <w14:solidFill>
                    <w14:srgbClr w14:val="000000">
                      <w14:alpha w14:val="100000"/>
                    </w14:srgbClr>
                  </w14:solidFill>
                </w14:textFill>
              </w:rPr>
              <w:t>|||||</w:t>
            </w:r>
            <w:r w:rsidRPr="00A91078">
              <w:rPr>
                <w:rFonts w:ascii="Arial Narrow" w:hAnsi="Arial Narrow" w:cs="Times New Roman"/>
                <w:color w:val="000000"/>
                <w:spacing w:val="5"/>
                <w:fitText w:val="530" w:id="-1402794750"/>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clear" w:color="auto" w:fill="000000"/>
            <w:vAlign w:val="center"/>
            <w:hideMark/>
          </w:tcPr>
          <w:p w14:paraId="1385D140"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49"/>
                <w14:textFill>
                  <w14:solidFill>
                    <w14:srgbClr w14:val="000000">
                      <w14:alpha w14:val="100000"/>
                    </w14:srgbClr>
                  </w14:solidFill>
                </w14:textFill>
              </w:rPr>
              <w:t>|||||</w:t>
            </w:r>
            <w:r w:rsidRPr="00A91078">
              <w:rPr>
                <w:rFonts w:ascii="Arial Narrow" w:hAnsi="Arial Narrow" w:cs="Times New Roman"/>
                <w:color w:val="000000"/>
                <w:spacing w:val="5"/>
                <w:fitText w:val="530" w:id="-1402794749"/>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clear" w:color="auto" w:fill="000000"/>
            <w:vAlign w:val="center"/>
            <w:hideMark/>
          </w:tcPr>
          <w:p w14:paraId="0FB948BD"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shd w:val="solid" w:color="000000" w:fill="000000"/>
                <w:fitText w:val="530" w:id="-1402794748"/>
                <w14:textFill>
                  <w14:solidFill>
                    <w14:srgbClr w14:val="000000">
                      <w14:alpha w14:val="100000"/>
                    </w14:srgbClr>
                  </w14:solidFill>
                </w14:textFill>
              </w:rPr>
              <w:t>|||||</w:t>
            </w:r>
            <w:r w:rsidRPr="00A91078">
              <w:rPr>
                <w:rFonts w:ascii="Arial Narrow" w:hAnsi="Arial Narrow" w:cs="Times New Roman"/>
                <w:color w:val="000000"/>
                <w:spacing w:val="5"/>
                <w:shd w:val="solid" w:color="000000" w:fill="000000"/>
                <w:fitText w:val="530" w:id="-1402794748"/>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52282EE2"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47"/>
                <w14:textFill>
                  <w14:solidFill>
                    <w14:srgbClr w14:val="000000">
                      <w14:alpha w14:val="100000"/>
                    </w14:srgbClr>
                  </w14:solidFill>
                </w14:textFill>
              </w:rPr>
              <w:t>|||||</w:t>
            </w:r>
            <w:r w:rsidRPr="00A91078">
              <w:rPr>
                <w:rFonts w:ascii="Arial Narrow" w:hAnsi="Arial Narrow" w:cs="Times New Roman"/>
                <w:color w:val="000000"/>
                <w:spacing w:val="5"/>
                <w:fitText w:val="530" w:id="-1402794747"/>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6A9B8517"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54"/>
                <w:fitText w:val="530" w:id="-1402794746"/>
                <w14:textFill>
                  <w14:solidFill>
                    <w14:srgbClr w14:val="000000">
                      <w14:alpha w14:val="100000"/>
                    </w14:srgbClr>
                  </w14:solidFill>
                </w14:textFill>
              </w:rPr>
              <w:t>|||||</w:t>
            </w:r>
            <w:r w:rsidRPr="00A91078">
              <w:rPr>
                <w:rFonts w:ascii="Arial Narrow" w:hAnsi="Arial Narrow" w:cs="Times New Roman"/>
                <w:color w:val="000000"/>
                <w:spacing w:val="5"/>
                <w:fitText w:val="530" w:id="-1402794746"/>
                <w14:textFill>
                  <w14:solidFill>
                    <w14:srgbClr w14:val="000000">
                      <w14:alpha w14:val="100000"/>
                    </w14:srgbClr>
                  </w14:solidFill>
                </w14:textFill>
              </w:rPr>
              <w:t>|</w:t>
            </w:r>
          </w:p>
        </w:tc>
      </w:tr>
      <w:tr w:rsidR="00A91078" w:rsidRPr="00A91078" w14:paraId="00FCF28D" w14:textId="77777777" w:rsidTr="00102473">
        <w:tc>
          <w:tcPr>
            <w:tcW w:w="1477" w:type="pct"/>
            <w:tcBorders>
              <w:top w:val="nil"/>
              <w:left w:val="single" w:sz="4" w:space="0" w:color="auto"/>
              <w:bottom w:val="nil"/>
              <w:right w:val="single" w:sz="4" w:space="0" w:color="auto"/>
            </w:tcBorders>
            <w:hideMark/>
          </w:tcPr>
          <w:p w14:paraId="20D59C50"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NRT</w:t>
            </w:r>
          </w:p>
        </w:tc>
        <w:tc>
          <w:tcPr>
            <w:tcW w:w="705" w:type="pct"/>
            <w:tcBorders>
              <w:top w:val="nil"/>
              <w:left w:val="single" w:sz="4" w:space="0" w:color="auto"/>
              <w:bottom w:val="nil"/>
              <w:right w:val="single" w:sz="4" w:space="0" w:color="auto"/>
            </w:tcBorders>
            <w:shd w:val="solid" w:color="000000" w:fill="000000"/>
            <w:vAlign w:val="center"/>
            <w:hideMark/>
          </w:tcPr>
          <w:p w14:paraId="3DDA781D"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45"/>
                <w14:textFill>
                  <w14:solidFill>
                    <w14:srgbClr w14:val="000000">
                      <w14:alpha w14:val="100000"/>
                    </w14:srgbClr>
                  </w14:solidFill>
                </w14:textFill>
              </w:rPr>
              <w:t>|||||||||</w:t>
            </w:r>
            <w:r w:rsidRPr="00A91078">
              <w:rPr>
                <w:rFonts w:ascii="Arial Narrow" w:hAnsi="Arial Narrow" w:cs="Times New Roman"/>
                <w:color w:val="000000"/>
                <w:spacing w:val="2"/>
                <w:fitText w:val="670" w:id="-1402794745"/>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013EBC38"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44"/>
                <w14:textFill>
                  <w14:solidFill>
                    <w14:srgbClr w14:val="000000">
                      <w14:alpha w14:val="100000"/>
                    </w14:srgbClr>
                  </w14:solidFill>
                </w14:textFill>
              </w:rPr>
              <w:t>|||||||||</w:t>
            </w:r>
            <w:r w:rsidRPr="00A91078">
              <w:rPr>
                <w:rFonts w:ascii="Arial Narrow" w:hAnsi="Arial Narrow" w:cs="Times New Roman"/>
                <w:color w:val="000000"/>
                <w:spacing w:val="2"/>
                <w:fitText w:val="670" w:id="-1402794744"/>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5EC74EFD"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43"/>
                <w14:textFill>
                  <w14:solidFill>
                    <w14:srgbClr w14:val="000000">
                      <w14:alpha w14:val="100000"/>
                    </w14:srgbClr>
                  </w14:solidFill>
                </w14:textFill>
              </w:rPr>
              <w:t>|||||||||</w:t>
            </w:r>
            <w:r w:rsidRPr="00A91078">
              <w:rPr>
                <w:rFonts w:ascii="Arial Narrow" w:hAnsi="Arial Narrow" w:cs="Times New Roman"/>
                <w:color w:val="000000"/>
                <w:spacing w:val="2"/>
                <w:fitText w:val="670" w:id="-1402794743"/>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1F2E24EB"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42"/>
                <w14:textFill>
                  <w14:solidFill>
                    <w14:srgbClr w14:val="000000">
                      <w14:alpha w14:val="100000"/>
                    </w14:srgbClr>
                  </w14:solidFill>
                </w14:textFill>
              </w:rPr>
              <w:t>|||||||||</w:t>
            </w:r>
            <w:r w:rsidRPr="00A91078">
              <w:rPr>
                <w:rFonts w:ascii="Arial Narrow" w:hAnsi="Arial Narrow" w:cs="Times New Roman"/>
                <w:color w:val="000000"/>
                <w:spacing w:val="2"/>
                <w:fitText w:val="670" w:id="-1402794742"/>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484B049E"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27"/>
                <w:fitText w:val="670" w:id="-1402794741"/>
                <w14:textFill>
                  <w14:solidFill>
                    <w14:srgbClr w14:val="000000">
                      <w14:alpha w14:val="100000"/>
                    </w14:srgbClr>
                  </w14:solidFill>
                </w14:textFill>
              </w:rPr>
              <w:t>|||||||||</w:t>
            </w:r>
            <w:r w:rsidRPr="00A91078">
              <w:rPr>
                <w:rFonts w:ascii="Arial Narrow" w:hAnsi="Arial Narrow" w:cs="Times New Roman"/>
                <w:color w:val="000000"/>
                <w:spacing w:val="2"/>
                <w:fitText w:val="670" w:id="-1402794741"/>
                <w14:textFill>
                  <w14:solidFill>
                    <w14:srgbClr w14:val="000000">
                      <w14:alpha w14:val="100000"/>
                    </w14:srgbClr>
                  </w14:solidFill>
                </w14:textFill>
              </w:rPr>
              <w:t>|</w:t>
            </w:r>
          </w:p>
        </w:tc>
      </w:tr>
      <w:tr w:rsidR="00A91078" w:rsidRPr="00A91078" w14:paraId="1CB14B0A" w14:textId="77777777" w:rsidTr="00102473">
        <w:tc>
          <w:tcPr>
            <w:tcW w:w="1477" w:type="pct"/>
            <w:tcBorders>
              <w:top w:val="nil"/>
              <w:left w:val="single" w:sz="4" w:space="0" w:color="auto"/>
              <w:bottom w:val="nil"/>
              <w:right w:val="single" w:sz="4" w:space="0" w:color="auto"/>
            </w:tcBorders>
            <w:hideMark/>
          </w:tcPr>
          <w:p w14:paraId="02F1B3D6" w14:textId="77777777" w:rsidR="00A91078" w:rsidRPr="00A91078" w:rsidRDefault="00A91078" w:rsidP="00A91078">
            <w:pPr>
              <w:keepNext/>
              <w:ind w:left="112"/>
              <w:jc w:val="both"/>
              <w:rPr>
                <w:rFonts w:ascii="Arial Narrow" w:hAnsi="Arial Narrow" w:cs="Times New Roman"/>
              </w:rPr>
            </w:pPr>
            <w:r w:rsidRPr="00A91078">
              <w:rPr>
                <w:rFonts w:ascii="Arial Narrow" w:hAnsi="Arial Narrow" w:cs="Times New Roman"/>
              </w:rPr>
              <w:t>BUP</w:t>
            </w:r>
          </w:p>
        </w:tc>
        <w:tc>
          <w:tcPr>
            <w:tcW w:w="705" w:type="pct"/>
            <w:tcBorders>
              <w:top w:val="nil"/>
              <w:left w:val="single" w:sz="4" w:space="0" w:color="auto"/>
              <w:bottom w:val="nil"/>
              <w:right w:val="single" w:sz="4" w:space="0" w:color="auto"/>
            </w:tcBorders>
            <w:shd w:val="solid" w:color="000000" w:fill="000000"/>
            <w:vAlign w:val="center"/>
            <w:hideMark/>
          </w:tcPr>
          <w:p w14:paraId="0D8CDD75" w14:textId="77777777" w:rsidR="00A91078" w:rsidRPr="00A91078" w:rsidRDefault="00A91078" w:rsidP="00A91078">
            <w:pPr>
              <w:keepNext/>
              <w:jc w:val="center"/>
              <w:rPr>
                <w:rFonts w:ascii="Arial Narrow" w:hAnsi="Arial Narrow" w:cs="Times New Roman"/>
              </w:rPr>
            </w:pPr>
            <w:r w:rsidRPr="00A91078">
              <w:rPr>
                <w:rFonts w:ascii="MS Gothic" w:eastAsia="MS Gothic" w:hAnsi="MS Gothic" w:cs="MS Gothic" w:hint="eastAsia"/>
                <w:color w:val="000000"/>
                <w:w w:val="15"/>
                <w:fitText w:val="60" w:id="-1402794740"/>
                <w14:textFill>
                  <w14:solidFill>
                    <w14:srgbClr w14:val="000000">
                      <w14:alpha w14:val="100000"/>
                    </w14:srgbClr>
                  </w14:solidFill>
                </w14:textFill>
              </w:rPr>
              <w:t xml:space="preserve">　</w:t>
            </w:r>
            <w:r w:rsidRPr="00A91078">
              <w:rPr>
                <w:rFonts w:ascii="Arial Narrow" w:hAnsi="Arial Narrow" w:cs="Times New Roman"/>
                <w:color w:val="000000"/>
                <w:w w:val="15"/>
                <w:fitText w:val="60" w:id="-1402794740"/>
                <w14:textFill>
                  <w14:solidFill>
                    <w14:srgbClr w14:val="000000">
                      <w14:alpha w14:val="100000"/>
                    </w14:srgbClr>
                  </w14:solidFill>
                </w14:textFill>
              </w:rPr>
              <w:t>|</w:t>
            </w:r>
            <w:r w:rsidRPr="00A91078">
              <w:rPr>
                <w:rFonts w:ascii="MS Gothic" w:eastAsia="MS Gothic" w:hAnsi="MS Gothic" w:cs="MS Gothic" w:hint="eastAsia"/>
                <w:color w:val="000000"/>
                <w:w w:val="15"/>
                <w:fitText w:val="60" w:id="-1402794740"/>
                <w14:textFill>
                  <w14:solidFill>
                    <w14:srgbClr w14:val="000000">
                      <w14:alpha w14:val="100000"/>
                    </w14:srgbClr>
                  </w14:solidFill>
                </w14:textFill>
              </w:rPr>
              <w:t xml:space="preserve">　</w:t>
            </w:r>
          </w:p>
        </w:tc>
        <w:tc>
          <w:tcPr>
            <w:tcW w:w="705" w:type="pct"/>
            <w:tcBorders>
              <w:top w:val="nil"/>
              <w:left w:val="single" w:sz="4" w:space="0" w:color="auto"/>
              <w:bottom w:val="nil"/>
              <w:right w:val="single" w:sz="4" w:space="0" w:color="auto"/>
            </w:tcBorders>
            <w:shd w:val="solid" w:color="000000" w:fill="000000"/>
            <w:vAlign w:val="center"/>
            <w:hideMark/>
          </w:tcPr>
          <w:p w14:paraId="70187FC4"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38"/>
                <w:fitText w:val="450" w:id="-1402794739"/>
                <w14:textFill>
                  <w14:solidFill>
                    <w14:srgbClr w14:val="000000">
                      <w14:alpha w14:val="100000"/>
                    </w14:srgbClr>
                  </w14:solidFill>
                </w14:textFill>
              </w:rPr>
              <w:t>|||||</w:t>
            </w:r>
            <w:r w:rsidRPr="00A91078">
              <w:rPr>
                <w:rFonts w:ascii="Arial Narrow" w:hAnsi="Arial Narrow" w:cs="Times New Roman"/>
                <w:color w:val="000000"/>
                <w:spacing w:val="5"/>
                <w:fitText w:val="450" w:id="-1402794739"/>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76EA84D6"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38"/>
                <w:fitText w:val="450" w:id="-1402794738"/>
                <w14:textFill>
                  <w14:solidFill>
                    <w14:srgbClr w14:val="000000">
                      <w14:alpha w14:val="100000"/>
                    </w14:srgbClr>
                  </w14:solidFill>
                </w14:textFill>
              </w:rPr>
              <w:t>|||||</w:t>
            </w:r>
            <w:r w:rsidRPr="00A91078">
              <w:rPr>
                <w:rFonts w:ascii="Arial Narrow" w:hAnsi="Arial Narrow" w:cs="Times New Roman"/>
                <w:color w:val="000000"/>
                <w:spacing w:val="5"/>
                <w:fitText w:val="450" w:id="-1402794738"/>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1DF70D4A"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38"/>
                <w:fitText w:val="450" w:id="-1402794737"/>
                <w14:textFill>
                  <w14:solidFill>
                    <w14:srgbClr w14:val="000000">
                      <w14:alpha w14:val="100000"/>
                    </w14:srgbClr>
                  </w14:solidFill>
                </w14:textFill>
              </w:rPr>
              <w:t>|||||</w:t>
            </w:r>
            <w:r w:rsidRPr="00A91078">
              <w:rPr>
                <w:rFonts w:ascii="Arial Narrow" w:hAnsi="Arial Narrow" w:cs="Times New Roman"/>
                <w:color w:val="000000"/>
                <w:spacing w:val="5"/>
                <w:fitText w:val="450" w:id="-1402794737"/>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29C599FD" w14:textId="77777777" w:rsidR="00A91078" w:rsidRPr="00A91078" w:rsidRDefault="00A91078" w:rsidP="00A91078">
            <w:pPr>
              <w:keepNext/>
              <w:jc w:val="center"/>
              <w:rPr>
                <w:rFonts w:ascii="Arial Narrow" w:hAnsi="Arial Narrow" w:cs="Times New Roman"/>
              </w:rPr>
            </w:pPr>
            <w:r w:rsidRPr="00A91078">
              <w:rPr>
                <w:rFonts w:ascii="Arial Narrow" w:hAnsi="Arial Narrow" w:cs="Times New Roman"/>
                <w:color w:val="000000"/>
                <w:spacing w:val="38"/>
                <w:fitText w:val="450" w:id="-1402794736"/>
                <w14:textFill>
                  <w14:solidFill>
                    <w14:srgbClr w14:val="000000">
                      <w14:alpha w14:val="100000"/>
                    </w14:srgbClr>
                  </w14:solidFill>
                </w14:textFill>
              </w:rPr>
              <w:t>|||||</w:t>
            </w:r>
            <w:r w:rsidRPr="00A91078">
              <w:rPr>
                <w:rFonts w:ascii="Arial Narrow" w:hAnsi="Arial Narrow" w:cs="Times New Roman"/>
                <w:color w:val="000000"/>
                <w:spacing w:val="5"/>
                <w:fitText w:val="450" w:id="-1402794736"/>
                <w14:textFill>
                  <w14:solidFill>
                    <w14:srgbClr w14:val="000000">
                      <w14:alpha w14:val="100000"/>
                    </w14:srgbClr>
                  </w14:solidFill>
                </w14:textFill>
              </w:rPr>
              <w:t>|</w:t>
            </w:r>
          </w:p>
        </w:tc>
      </w:tr>
      <w:tr w:rsidR="00A91078" w:rsidRPr="00A91078" w14:paraId="69F76881" w14:textId="77777777" w:rsidTr="00A91078">
        <w:tc>
          <w:tcPr>
            <w:tcW w:w="1477" w:type="pct"/>
            <w:tcBorders>
              <w:top w:val="nil"/>
              <w:left w:val="single" w:sz="4" w:space="0" w:color="auto"/>
              <w:bottom w:val="nil"/>
              <w:right w:val="single" w:sz="4" w:space="0" w:color="auto"/>
            </w:tcBorders>
            <w:hideMark/>
          </w:tcPr>
          <w:p w14:paraId="58988716" w14:textId="77777777" w:rsidR="00A91078" w:rsidRPr="00A91078" w:rsidRDefault="00A91078" w:rsidP="00A91078">
            <w:pPr>
              <w:keepNext/>
              <w:jc w:val="both"/>
              <w:rPr>
                <w:rFonts w:ascii="Arial Narrow" w:hAnsi="Arial Narrow" w:cs="Times New Roman"/>
                <w:b/>
                <w:bCs/>
              </w:rPr>
            </w:pPr>
            <w:r w:rsidRPr="00A91078">
              <w:rPr>
                <w:rFonts w:ascii="Arial Narrow" w:hAnsi="Arial Narrow" w:cs="Times New Roman"/>
                <w:b/>
                <w:bCs/>
              </w:rPr>
              <w:t>MBS net cost</w:t>
            </w:r>
          </w:p>
        </w:tc>
        <w:tc>
          <w:tcPr>
            <w:tcW w:w="705" w:type="pct"/>
            <w:tcBorders>
              <w:top w:val="nil"/>
              <w:left w:val="single" w:sz="4" w:space="0" w:color="auto"/>
              <w:bottom w:val="nil"/>
              <w:right w:val="single" w:sz="4" w:space="0" w:color="auto"/>
            </w:tcBorders>
            <w:shd w:val="clear" w:color="auto" w:fill="000000"/>
            <w:vAlign w:val="center"/>
            <w:hideMark/>
          </w:tcPr>
          <w:p w14:paraId="6E8349A1"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shd w:val="solid" w:color="000000" w:fill="000000"/>
                <w:fitText w:val="530" w:id="-1402794752"/>
                <w14:textFill>
                  <w14:solidFill>
                    <w14:srgbClr w14:val="000000">
                      <w14:alpha w14:val="100000"/>
                    </w14:srgbClr>
                  </w14:solidFill>
                </w14:textFill>
              </w:rPr>
              <w:t>|||||</w:t>
            </w:r>
            <w:r w:rsidRPr="00A91078">
              <w:rPr>
                <w:rFonts w:ascii="Arial Narrow" w:hAnsi="Arial Narrow" w:cs="Times New Roman"/>
                <w:b/>
                <w:color w:val="000000"/>
                <w:spacing w:val="5"/>
                <w:shd w:val="solid" w:color="000000" w:fill="000000"/>
                <w:fitText w:val="530" w:id="-1402794752"/>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3DACA23F"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51"/>
                <w14:textFill>
                  <w14:solidFill>
                    <w14:srgbClr w14:val="000000">
                      <w14:alpha w14:val="100000"/>
                    </w14:srgbClr>
                  </w14:solidFill>
                </w14:textFill>
              </w:rPr>
              <w:t>|||||</w:t>
            </w:r>
            <w:r w:rsidRPr="00A91078">
              <w:rPr>
                <w:rFonts w:ascii="Arial Narrow" w:hAnsi="Arial Narrow" w:cs="Times New Roman"/>
                <w:b/>
                <w:color w:val="000000"/>
                <w:spacing w:val="5"/>
                <w:fitText w:val="530" w:id="-1402794751"/>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22D90F00"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50"/>
                <w14:textFill>
                  <w14:solidFill>
                    <w14:srgbClr w14:val="000000">
                      <w14:alpha w14:val="100000"/>
                    </w14:srgbClr>
                  </w14:solidFill>
                </w14:textFill>
              </w:rPr>
              <w:t>|||||</w:t>
            </w:r>
            <w:r w:rsidRPr="00A91078">
              <w:rPr>
                <w:rFonts w:ascii="Arial Narrow" w:hAnsi="Arial Narrow" w:cs="Times New Roman"/>
                <w:b/>
                <w:color w:val="000000"/>
                <w:spacing w:val="5"/>
                <w:fitText w:val="530" w:id="-1402794750"/>
                <w14:textFill>
                  <w14:solidFill>
                    <w14:srgbClr w14:val="000000">
                      <w14:alpha w14:val="100000"/>
                    </w14:srgbClr>
                  </w14:solidFill>
                </w14:textFill>
              </w:rPr>
              <w:t>|</w:t>
            </w:r>
          </w:p>
        </w:tc>
        <w:tc>
          <w:tcPr>
            <w:tcW w:w="705" w:type="pct"/>
            <w:tcBorders>
              <w:top w:val="nil"/>
              <w:left w:val="single" w:sz="4" w:space="0" w:color="auto"/>
              <w:bottom w:val="nil"/>
              <w:right w:val="single" w:sz="4" w:space="0" w:color="auto"/>
            </w:tcBorders>
            <w:shd w:val="solid" w:color="000000" w:fill="000000"/>
            <w:vAlign w:val="center"/>
            <w:hideMark/>
          </w:tcPr>
          <w:p w14:paraId="7C212ABE"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9"/>
                <w14:textFill>
                  <w14:solidFill>
                    <w14:srgbClr w14:val="000000">
                      <w14:alpha w14:val="100000"/>
                    </w14:srgbClr>
                  </w14:solidFill>
                </w14:textFill>
              </w:rPr>
              <w:t>|||||</w:t>
            </w:r>
            <w:r w:rsidRPr="00A91078">
              <w:rPr>
                <w:rFonts w:ascii="Arial Narrow" w:hAnsi="Arial Narrow" w:cs="Times New Roman"/>
                <w:b/>
                <w:color w:val="000000"/>
                <w:spacing w:val="5"/>
                <w:fitText w:val="530" w:id="-1402794749"/>
                <w14:textFill>
                  <w14:solidFill>
                    <w14:srgbClr w14:val="000000">
                      <w14:alpha w14:val="100000"/>
                    </w14:srgbClr>
                  </w14:solidFill>
                </w14:textFill>
              </w:rPr>
              <w:t>|</w:t>
            </w:r>
          </w:p>
        </w:tc>
        <w:tc>
          <w:tcPr>
            <w:tcW w:w="703" w:type="pct"/>
            <w:tcBorders>
              <w:top w:val="nil"/>
              <w:left w:val="single" w:sz="4" w:space="0" w:color="auto"/>
              <w:bottom w:val="nil"/>
              <w:right w:val="single" w:sz="4" w:space="0" w:color="auto"/>
            </w:tcBorders>
            <w:shd w:val="solid" w:color="000000" w:fill="000000"/>
            <w:vAlign w:val="center"/>
            <w:hideMark/>
          </w:tcPr>
          <w:p w14:paraId="1F71C09F"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50"/>
                <w:fitText w:val="530" w:id="-1402794748"/>
                <w14:textFill>
                  <w14:solidFill>
                    <w14:srgbClr w14:val="000000">
                      <w14:alpha w14:val="100000"/>
                    </w14:srgbClr>
                  </w14:solidFill>
                </w14:textFill>
              </w:rPr>
              <w:t>|||||</w:t>
            </w:r>
            <w:r w:rsidRPr="00A91078">
              <w:rPr>
                <w:rFonts w:ascii="Arial Narrow" w:hAnsi="Arial Narrow" w:cs="Times New Roman"/>
                <w:b/>
                <w:color w:val="000000"/>
                <w:spacing w:val="5"/>
                <w:fitText w:val="530" w:id="-1402794748"/>
                <w14:textFill>
                  <w14:solidFill>
                    <w14:srgbClr w14:val="000000">
                      <w14:alpha w14:val="100000"/>
                    </w14:srgbClr>
                  </w14:solidFill>
                </w14:textFill>
              </w:rPr>
              <w:t>|</w:t>
            </w:r>
          </w:p>
        </w:tc>
      </w:tr>
      <w:tr w:rsidR="00A91078" w:rsidRPr="00A91078" w14:paraId="6CE4C244" w14:textId="77777777" w:rsidTr="00102473">
        <w:tc>
          <w:tcPr>
            <w:tcW w:w="1477" w:type="pct"/>
            <w:tcBorders>
              <w:top w:val="nil"/>
              <w:left w:val="single" w:sz="4" w:space="0" w:color="auto"/>
              <w:bottom w:val="single" w:sz="4" w:space="0" w:color="auto"/>
              <w:right w:val="single" w:sz="4" w:space="0" w:color="auto"/>
            </w:tcBorders>
            <w:hideMark/>
          </w:tcPr>
          <w:p w14:paraId="53710769" w14:textId="77777777" w:rsidR="00A91078" w:rsidRPr="00A91078" w:rsidRDefault="00A91078" w:rsidP="00A91078">
            <w:pPr>
              <w:keepNext/>
              <w:jc w:val="both"/>
              <w:rPr>
                <w:rFonts w:ascii="Arial Narrow" w:hAnsi="Arial Narrow" w:cs="Times New Roman"/>
                <w:b/>
                <w:bCs/>
              </w:rPr>
            </w:pPr>
            <w:r w:rsidRPr="00A91078">
              <w:rPr>
                <w:rFonts w:ascii="Arial Narrow" w:hAnsi="Arial Narrow" w:cs="Times New Roman"/>
                <w:b/>
                <w:bCs/>
              </w:rPr>
              <w:t>Health budget net cost</w:t>
            </w:r>
          </w:p>
        </w:tc>
        <w:tc>
          <w:tcPr>
            <w:tcW w:w="705" w:type="pct"/>
            <w:tcBorders>
              <w:top w:val="nil"/>
              <w:left w:val="single" w:sz="4" w:space="0" w:color="auto"/>
              <w:bottom w:val="single" w:sz="4" w:space="0" w:color="auto"/>
              <w:right w:val="single" w:sz="4" w:space="0" w:color="auto"/>
            </w:tcBorders>
            <w:shd w:val="solid" w:color="000000" w:fill="000000"/>
            <w:vAlign w:val="bottom"/>
            <w:hideMark/>
          </w:tcPr>
          <w:p w14:paraId="32362C39"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7"/>
                <w14:textFill>
                  <w14:solidFill>
                    <w14:srgbClr w14:val="000000">
                      <w14:alpha w14:val="100000"/>
                    </w14:srgbClr>
                  </w14:solidFill>
                </w14:textFill>
              </w:rPr>
              <w:t>|||||||||</w:t>
            </w:r>
            <w:r w:rsidRPr="00A91078">
              <w:rPr>
                <w:rFonts w:ascii="Arial Narrow" w:hAnsi="Arial Narrow" w:cs="Times New Roman"/>
                <w:b/>
                <w:color w:val="000000"/>
                <w:spacing w:val="4"/>
                <w:fitText w:val="670" w:id="-1402794747"/>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bottom"/>
            <w:hideMark/>
          </w:tcPr>
          <w:p w14:paraId="634B61D1"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6"/>
                <w14:textFill>
                  <w14:solidFill>
                    <w14:srgbClr w14:val="000000">
                      <w14:alpha w14:val="100000"/>
                    </w14:srgbClr>
                  </w14:solidFill>
                </w14:textFill>
              </w:rPr>
              <w:t>|||||||||</w:t>
            </w:r>
            <w:r w:rsidRPr="00A91078">
              <w:rPr>
                <w:rFonts w:ascii="Arial Narrow" w:hAnsi="Arial Narrow" w:cs="Times New Roman"/>
                <w:b/>
                <w:color w:val="000000"/>
                <w:spacing w:val="4"/>
                <w:fitText w:val="670" w:id="-1402794746"/>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bottom"/>
            <w:hideMark/>
          </w:tcPr>
          <w:p w14:paraId="5DF48A55"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5"/>
                <w14:textFill>
                  <w14:solidFill>
                    <w14:srgbClr w14:val="000000">
                      <w14:alpha w14:val="100000"/>
                    </w14:srgbClr>
                  </w14:solidFill>
                </w14:textFill>
              </w:rPr>
              <w:t>|||||||||</w:t>
            </w:r>
            <w:r w:rsidRPr="00A91078">
              <w:rPr>
                <w:rFonts w:ascii="Arial Narrow" w:hAnsi="Arial Narrow" w:cs="Times New Roman"/>
                <w:b/>
                <w:color w:val="000000"/>
                <w:spacing w:val="4"/>
                <w:fitText w:val="670" w:id="-1402794745"/>
                <w14:textFill>
                  <w14:solidFill>
                    <w14:srgbClr w14:val="000000">
                      <w14:alpha w14:val="100000"/>
                    </w14:srgbClr>
                  </w14:solidFill>
                </w14:textFill>
              </w:rPr>
              <w:t>|</w:t>
            </w:r>
          </w:p>
        </w:tc>
        <w:tc>
          <w:tcPr>
            <w:tcW w:w="705" w:type="pct"/>
            <w:tcBorders>
              <w:top w:val="nil"/>
              <w:left w:val="single" w:sz="4" w:space="0" w:color="auto"/>
              <w:bottom w:val="single" w:sz="4" w:space="0" w:color="auto"/>
              <w:right w:val="single" w:sz="4" w:space="0" w:color="auto"/>
            </w:tcBorders>
            <w:shd w:val="solid" w:color="000000" w:fill="000000"/>
            <w:vAlign w:val="bottom"/>
            <w:hideMark/>
          </w:tcPr>
          <w:p w14:paraId="096BBEF1"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4"/>
                <w14:textFill>
                  <w14:solidFill>
                    <w14:srgbClr w14:val="000000">
                      <w14:alpha w14:val="100000"/>
                    </w14:srgbClr>
                  </w14:solidFill>
                </w14:textFill>
              </w:rPr>
              <w:t>|||||||||</w:t>
            </w:r>
            <w:r w:rsidRPr="00A91078">
              <w:rPr>
                <w:rFonts w:ascii="Arial Narrow" w:hAnsi="Arial Narrow" w:cs="Times New Roman"/>
                <w:b/>
                <w:color w:val="000000"/>
                <w:spacing w:val="4"/>
                <w:fitText w:val="670" w:id="-1402794744"/>
                <w14:textFill>
                  <w14:solidFill>
                    <w14:srgbClr w14:val="000000">
                      <w14:alpha w14:val="100000"/>
                    </w14:srgbClr>
                  </w14:solidFill>
                </w14:textFill>
              </w:rPr>
              <w:t>|</w:t>
            </w:r>
          </w:p>
        </w:tc>
        <w:tc>
          <w:tcPr>
            <w:tcW w:w="703" w:type="pct"/>
            <w:tcBorders>
              <w:top w:val="nil"/>
              <w:left w:val="single" w:sz="4" w:space="0" w:color="auto"/>
              <w:bottom w:val="single" w:sz="4" w:space="0" w:color="auto"/>
              <w:right w:val="single" w:sz="4" w:space="0" w:color="auto"/>
            </w:tcBorders>
            <w:shd w:val="solid" w:color="000000" w:fill="000000"/>
            <w:vAlign w:val="bottom"/>
            <w:hideMark/>
          </w:tcPr>
          <w:p w14:paraId="0588D1C9" w14:textId="77777777" w:rsidR="00A91078" w:rsidRPr="00A91078" w:rsidRDefault="00A91078" w:rsidP="00A91078">
            <w:pPr>
              <w:keepNext/>
              <w:jc w:val="center"/>
              <w:rPr>
                <w:rFonts w:ascii="Arial Narrow" w:hAnsi="Arial Narrow" w:cs="Times New Roman"/>
                <w:b/>
              </w:rPr>
            </w:pPr>
            <w:r w:rsidRPr="00A91078">
              <w:rPr>
                <w:rFonts w:ascii="Arial Narrow" w:hAnsi="Arial Narrow" w:cs="Times New Roman"/>
                <w:b/>
                <w:color w:val="000000"/>
                <w:spacing w:val="23"/>
                <w:fitText w:val="670" w:id="-1402794743"/>
                <w14:textFill>
                  <w14:solidFill>
                    <w14:srgbClr w14:val="000000">
                      <w14:alpha w14:val="100000"/>
                    </w14:srgbClr>
                  </w14:solidFill>
                </w14:textFill>
              </w:rPr>
              <w:t>|||||||||</w:t>
            </w:r>
            <w:r w:rsidRPr="00A91078">
              <w:rPr>
                <w:rFonts w:ascii="Arial Narrow" w:hAnsi="Arial Narrow" w:cs="Times New Roman"/>
                <w:b/>
                <w:color w:val="000000"/>
                <w:spacing w:val="4"/>
                <w:fitText w:val="670" w:id="-1402794743"/>
                <w14:textFill>
                  <w14:solidFill>
                    <w14:srgbClr w14:val="000000">
                      <w14:alpha w14:val="100000"/>
                    </w14:srgbClr>
                  </w14:solidFill>
                </w14:textFill>
              </w:rPr>
              <w:t>|</w:t>
            </w:r>
          </w:p>
        </w:tc>
      </w:tr>
    </w:tbl>
    <w:p w14:paraId="31A3D78B" w14:textId="1E9F95E2" w:rsidR="00CC0674" w:rsidRPr="00CC0674" w:rsidRDefault="00CC0674" w:rsidP="00FA56FA">
      <w:pPr>
        <w:spacing w:before="120" w:after="120"/>
        <w:jc w:val="both"/>
        <w:rPr>
          <w:rFonts w:cstheme="minorBidi"/>
        </w:rPr>
      </w:pPr>
      <w:r w:rsidRPr="00CC0674">
        <w:rPr>
          <w:rFonts w:cstheme="minorBidi"/>
        </w:rPr>
        <w:t xml:space="preserve">A significant proportion of these additional costs are likely to come from those currently making attempts using </w:t>
      </w:r>
      <w:r>
        <w:rPr>
          <w:rFonts w:cstheme="minorBidi"/>
        </w:rPr>
        <w:t>OTC</w:t>
      </w:r>
      <w:r w:rsidRPr="00CC0674">
        <w:rPr>
          <w:rFonts w:cstheme="minorBidi"/>
        </w:rPr>
        <w:t xml:space="preserve"> products or those who are already using combination products by supplementing their PBS prescription with </w:t>
      </w:r>
      <w:r>
        <w:rPr>
          <w:rFonts w:cstheme="minorBidi"/>
        </w:rPr>
        <w:t>OTC</w:t>
      </w:r>
      <w:r w:rsidRPr="00CC0674">
        <w:rPr>
          <w:rFonts w:cstheme="minorBidi"/>
        </w:rPr>
        <w:t xml:space="preserve"> products. Further subsidising quit attempts may encourage adherence which may also increase successful quitting. These financial estimates rely heavily on the extent of the substitution away from existing products and whether these existing products are currently accessed </w:t>
      </w:r>
      <w:r w:rsidR="00DF6E39">
        <w:rPr>
          <w:rFonts w:cstheme="minorBidi"/>
        </w:rPr>
        <w:t>OTC</w:t>
      </w:r>
      <w:r w:rsidRPr="00CC0674">
        <w:rPr>
          <w:rFonts w:cstheme="minorBidi"/>
        </w:rPr>
        <w:t xml:space="preserve"> or through the PBS and there remains significant uncertainty regarding the rates of substitution we may see in practice. Assuming higher rates of substitution, such that combination therapy replaces most monotherapy on the PBS or where twice as many patients switch from non-PBS to PBS- therapy, increases these estimates by 20% to 75%. There is also a risk that the financial implications may be considerably greater than those estimated above should the proposed listing of combination therapy encourage patients to make additional assisted quit attempt</w:t>
      </w:r>
      <w:r w:rsidR="00DF6E39">
        <w:rPr>
          <w:rFonts w:cstheme="minorBidi"/>
        </w:rPr>
        <w:t>s</w:t>
      </w:r>
      <w:r w:rsidRPr="00CC0674">
        <w:rPr>
          <w:rFonts w:cstheme="minorBidi"/>
        </w:rPr>
        <w:t>.</w:t>
      </w:r>
    </w:p>
    <w:p w14:paraId="7590C9DB" w14:textId="4A35CD0E" w:rsidR="00CC0674" w:rsidRPr="00CC0674" w:rsidRDefault="00DF6E39" w:rsidP="00FA56FA">
      <w:pPr>
        <w:spacing w:before="120" w:after="120"/>
        <w:jc w:val="both"/>
        <w:rPr>
          <w:rFonts w:cstheme="minorBidi"/>
        </w:rPr>
      </w:pPr>
      <w:r>
        <w:rPr>
          <w:rFonts w:cstheme="minorBidi"/>
        </w:rPr>
        <w:t>T</w:t>
      </w:r>
      <w:r w:rsidR="00CC0674" w:rsidRPr="00CC0674">
        <w:rPr>
          <w:rFonts w:cstheme="minorBidi"/>
        </w:rPr>
        <w:t>hese estimates</w:t>
      </w:r>
      <w:r>
        <w:rPr>
          <w:rFonts w:cstheme="minorBidi"/>
        </w:rPr>
        <w:t xml:space="preserve"> also</w:t>
      </w:r>
      <w:r w:rsidR="00CC0674" w:rsidRPr="00CC0674">
        <w:rPr>
          <w:rFonts w:cstheme="minorBidi"/>
        </w:rPr>
        <w:t xml:space="preserve"> ignore the likely financial implications that will arise due to the current shortage of </w:t>
      </w:r>
      <w:r w:rsidR="00090573">
        <w:rPr>
          <w:rFonts w:cstheme="minorBidi"/>
        </w:rPr>
        <w:t>varenicline</w:t>
      </w:r>
      <w:r w:rsidR="00CC0674" w:rsidRPr="00CC0674">
        <w:rPr>
          <w:rFonts w:cstheme="minorBidi"/>
        </w:rPr>
        <w:t xml:space="preserve">. A sensitivity analysis accounting for this market shock found that the impact on the incremental costs depends on the extent that other PBS-listed therapies (NRT and </w:t>
      </w:r>
      <w:r w:rsidR="004C7CBB">
        <w:rPr>
          <w:rFonts w:cstheme="minorBidi"/>
        </w:rPr>
        <w:t>bupropion</w:t>
      </w:r>
      <w:r w:rsidR="00CC0674" w:rsidRPr="00CC0674">
        <w:rPr>
          <w:rFonts w:cstheme="minorBidi"/>
        </w:rPr>
        <w:t>) would substitute for VAR when unavailable.</w:t>
      </w:r>
    </w:p>
    <w:p w14:paraId="2AA0E06E" w14:textId="16609D70" w:rsidR="0039116F" w:rsidRPr="0039116F" w:rsidRDefault="0039116F" w:rsidP="0039116F">
      <w:pPr>
        <w:pStyle w:val="Heading3"/>
        <w:spacing w:before="120" w:after="120"/>
        <w:jc w:val="both"/>
      </w:pPr>
      <w:bookmarkStart w:id="72" w:name="_Toc111710701"/>
      <w:r>
        <w:t>4.</w:t>
      </w:r>
      <w:r w:rsidR="00DD32C3">
        <w:t>4</w:t>
      </w:r>
      <w:r>
        <w:t xml:space="preserve"> Stakeholder views (forum and public consultations)</w:t>
      </w:r>
      <w:bookmarkEnd w:id="72"/>
    </w:p>
    <w:p w14:paraId="7EC43421" w14:textId="44BD97E3" w:rsidR="00F31D41" w:rsidRDefault="00F31D41" w:rsidP="00A713C1">
      <w:pPr>
        <w:spacing w:before="120" w:after="120"/>
        <w:jc w:val="both"/>
      </w:pPr>
      <w:r>
        <w:t xml:space="preserve">Stakeholders considered that optimising the use of smoking cessation therapies on the PBS (such as allowing combination </w:t>
      </w:r>
      <w:r w:rsidR="00E945DA">
        <w:t>therapy or</w:t>
      </w:r>
      <w:r>
        <w:t xml:space="preserve"> allowing dosage or length of treatment to </w:t>
      </w:r>
      <w:r w:rsidR="00E0101E">
        <w:t xml:space="preserve">be </w:t>
      </w:r>
      <w:r w:rsidR="00E0101E">
        <w:lastRenderedPageBreak/>
        <w:t xml:space="preserve">tailored to </w:t>
      </w:r>
      <w:r>
        <w:t xml:space="preserve">the individual) </w:t>
      </w:r>
      <w:r w:rsidR="00E0101E">
        <w:t xml:space="preserve">would lead to more successful quit attempts and </w:t>
      </w:r>
      <w:r w:rsidR="00A356C1">
        <w:t xml:space="preserve">therefore </w:t>
      </w:r>
      <w:r>
        <w:t>cost-effectiveness would be improved.</w:t>
      </w:r>
      <w:r w:rsidR="005E2871">
        <w:t xml:space="preserve"> </w:t>
      </w:r>
    </w:p>
    <w:p w14:paraId="74644768" w14:textId="5C4BC959" w:rsidR="00F31D41" w:rsidRDefault="00F31D41" w:rsidP="00523139">
      <w:pPr>
        <w:spacing w:before="120" w:after="120"/>
        <w:jc w:val="both"/>
      </w:pPr>
      <w:r>
        <w:t>Stakeholders noted the significant</w:t>
      </w:r>
      <w:r w:rsidR="00E53807">
        <w:t xml:space="preserve"> quality of life and</w:t>
      </w:r>
      <w:r>
        <w:t xml:space="preserve"> financial burden the health consequences of smoking have on individuals and on society. Stakeholders considered that </w:t>
      </w:r>
      <w:r w:rsidR="004C3633">
        <w:t xml:space="preserve">any </w:t>
      </w:r>
      <w:r>
        <w:t>additional costs to the PBS for optimising smoking cessation therapy would be outweighed by savings in treating smoking related diseases, such as hypertension.</w:t>
      </w:r>
    </w:p>
    <w:p w14:paraId="57FE5D8D" w14:textId="052F7874" w:rsidR="00140915" w:rsidRDefault="00140915" w:rsidP="005B17E4">
      <w:pPr>
        <w:spacing w:before="120" w:after="120"/>
        <w:jc w:val="both"/>
      </w:pPr>
      <w:r>
        <w:t>Some stakeholders recommended</w:t>
      </w:r>
      <w:r w:rsidR="00795743">
        <w:t xml:space="preserve"> that</w:t>
      </w:r>
      <w:r>
        <w:t xml:space="preserve"> a </w:t>
      </w:r>
      <w:r w:rsidR="00E945DA">
        <w:t>CER</w:t>
      </w:r>
      <w:r>
        <w:t xml:space="preserve"> should include the addition of the nicotine mouth spray and nicotine inhalator to the PBS.</w:t>
      </w:r>
    </w:p>
    <w:p w14:paraId="6545434D" w14:textId="6A052319" w:rsidR="007E2DFC" w:rsidRPr="001E7257" w:rsidRDefault="00E945DA" w:rsidP="00FF3A5C">
      <w:pPr>
        <w:pStyle w:val="Heading1"/>
        <w:spacing w:before="0"/>
      </w:pPr>
      <w:r>
        <w:br w:type="page"/>
      </w:r>
      <w:bookmarkStart w:id="73" w:name="_Toc111710702"/>
      <w:r w:rsidR="0072063E">
        <w:lastRenderedPageBreak/>
        <w:t>R</w:t>
      </w:r>
      <w:r w:rsidR="008A4CC3" w:rsidRPr="001E7257">
        <w:t xml:space="preserve">eview </w:t>
      </w:r>
      <w:r w:rsidR="00E625FF">
        <w:t>‘</w:t>
      </w:r>
      <w:r>
        <w:t>o</w:t>
      </w:r>
      <w:r w:rsidR="008A4CC3" w:rsidRPr="001E7257">
        <w:t>ptions</w:t>
      </w:r>
      <w:r w:rsidR="00E625FF">
        <w:t>’</w:t>
      </w:r>
      <w:bookmarkEnd w:id="73"/>
    </w:p>
    <w:p w14:paraId="6DE2D5B1" w14:textId="7382B017" w:rsidR="00A13556" w:rsidRPr="00A13556" w:rsidRDefault="00217F24" w:rsidP="00523139">
      <w:pPr>
        <w:spacing w:before="240" w:after="120"/>
        <w:jc w:val="both"/>
        <w:rPr>
          <w:highlight w:val="yellow"/>
        </w:rPr>
      </w:pPr>
      <w:r w:rsidRPr="00A13556">
        <w:rPr>
          <w:szCs w:val="24"/>
        </w:rPr>
        <w:t xml:space="preserve">The following </w:t>
      </w:r>
      <w:r w:rsidR="00E625FF">
        <w:rPr>
          <w:szCs w:val="24"/>
        </w:rPr>
        <w:t>‘</w:t>
      </w:r>
      <w:r w:rsidRPr="00A13556">
        <w:rPr>
          <w:szCs w:val="24"/>
        </w:rPr>
        <w:t>options</w:t>
      </w:r>
      <w:r w:rsidR="00E625FF">
        <w:rPr>
          <w:szCs w:val="24"/>
        </w:rPr>
        <w:t>’</w:t>
      </w:r>
      <w:r w:rsidRPr="00A13556">
        <w:rPr>
          <w:szCs w:val="24"/>
        </w:rPr>
        <w:t xml:space="preserve"> were raised by the </w:t>
      </w:r>
      <w:r w:rsidR="00E945DA">
        <w:rPr>
          <w:szCs w:val="24"/>
        </w:rPr>
        <w:t>r</w:t>
      </w:r>
      <w:r w:rsidR="00A13556" w:rsidRPr="00A13556">
        <w:rPr>
          <w:szCs w:val="24"/>
        </w:rPr>
        <w:t xml:space="preserve">eference </w:t>
      </w:r>
      <w:r w:rsidR="00E945DA">
        <w:rPr>
          <w:szCs w:val="24"/>
        </w:rPr>
        <w:t>g</w:t>
      </w:r>
      <w:r w:rsidR="00A13556" w:rsidRPr="00A13556">
        <w:rPr>
          <w:szCs w:val="24"/>
        </w:rPr>
        <w:t xml:space="preserve">roup for the </w:t>
      </w:r>
      <w:r w:rsidR="00E945DA">
        <w:rPr>
          <w:szCs w:val="24"/>
        </w:rPr>
        <w:t>PMR</w:t>
      </w:r>
      <w:r w:rsidRPr="00A13556">
        <w:rPr>
          <w:szCs w:val="24"/>
        </w:rPr>
        <w:t xml:space="preserve"> of medicines for smoking cessation, in considering the available evidence.</w:t>
      </w:r>
      <w:r w:rsidR="00A13556">
        <w:rPr>
          <w:szCs w:val="24"/>
        </w:rPr>
        <w:t xml:space="preserve"> </w:t>
      </w:r>
      <w:r w:rsidR="00A13556" w:rsidRPr="001E7257">
        <w:t>The Drug Utilisation Sub</w:t>
      </w:r>
      <w:r w:rsidR="00155E83">
        <w:t>-</w:t>
      </w:r>
      <w:r w:rsidR="00A13556" w:rsidRPr="001E7257">
        <w:t xml:space="preserve">Committee (DUSC) and the ESC will also provide advice on the following review options. </w:t>
      </w:r>
      <w:r w:rsidRPr="00A13556">
        <w:rPr>
          <w:szCs w:val="24"/>
        </w:rPr>
        <w:t xml:space="preserve">These options are provided to the </w:t>
      </w:r>
      <w:r w:rsidR="00E945DA">
        <w:rPr>
          <w:szCs w:val="24"/>
        </w:rPr>
        <w:t xml:space="preserve">PBAC </w:t>
      </w:r>
      <w:r w:rsidRPr="00A13556">
        <w:rPr>
          <w:szCs w:val="24"/>
        </w:rPr>
        <w:t xml:space="preserve">to assist in their consideration and formulation of recommendations and advice to government. </w:t>
      </w:r>
    </w:p>
    <w:p w14:paraId="71AF4AE1" w14:textId="6EEE2187" w:rsidR="00217F24" w:rsidRDefault="00217F24" w:rsidP="008F3AD7">
      <w:pPr>
        <w:spacing w:before="120" w:after="120"/>
        <w:jc w:val="both"/>
        <w:rPr>
          <w:szCs w:val="24"/>
        </w:rPr>
      </w:pPr>
      <w:r w:rsidRPr="00A13556">
        <w:rPr>
          <w:szCs w:val="24"/>
        </w:rPr>
        <w:t xml:space="preserve">Any alteration to the restrictions surrounding the </w:t>
      </w:r>
      <w:r w:rsidR="00A13556">
        <w:rPr>
          <w:szCs w:val="24"/>
        </w:rPr>
        <w:t>Pharmaceutical Benefits Scheme</w:t>
      </w:r>
      <w:r w:rsidRPr="00A13556">
        <w:rPr>
          <w:szCs w:val="24"/>
        </w:rPr>
        <w:t xml:space="preserve"> listing of medicines for smoking cessation would need to consider any impact on the cost-effectiveness of these medicines and the net cost to the PBS.</w:t>
      </w:r>
    </w:p>
    <w:p w14:paraId="6BBBD69F" w14:textId="57E09111" w:rsidR="008F3AD7" w:rsidRDefault="008F3AD7" w:rsidP="00523139">
      <w:pPr>
        <w:pStyle w:val="Heading3"/>
        <w:spacing w:before="120" w:after="120"/>
        <w:jc w:val="both"/>
      </w:pPr>
      <w:bookmarkStart w:id="74" w:name="_Toc111710703"/>
      <w:bookmarkStart w:id="75" w:name="_Hlk106978217"/>
      <w:r>
        <w:t>5.1 Option 1</w:t>
      </w:r>
      <w:bookmarkEnd w:id="74"/>
    </w:p>
    <w:bookmarkEnd w:id="75"/>
    <w:p w14:paraId="6CD87C44" w14:textId="37C3192B" w:rsidR="00217F24" w:rsidRPr="00A13556" w:rsidRDefault="00217F24" w:rsidP="00523139">
      <w:pPr>
        <w:spacing w:before="120" w:after="120"/>
        <w:jc w:val="both"/>
        <w:rPr>
          <w:b/>
          <w:szCs w:val="24"/>
        </w:rPr>
      </w:pPr>
      <w:r w:rsidRPr="00A13556">
        <w:rPr>
          <w:b/>
          <w:szCs w:val="24"/>
        </w:rPr>
        <w:t>Option 1a</w:t>
      </w:r>
    </w:p>
    <w:p w14:paraId="48243783" w14:textId="4D9C9647" w:rsidR="00217F24" w:rsidRPr="00A13556" w:rsidRDefault="00217F24" w:rsidP="00523139">
      <w:pPr>
        <w:pStyle w:val="ListParagraph"/>
        <w:numPr>
          <w:ilvl w:val="0"/>
          <w:numId w:val="56"/>
        </w:numPr>
        <w:spacing w:before="120" w:after="120"/>
        <w:ind w:left="357" w:hanging="357"/>
        <w:contextualSpacing w:val="0"/>
        <w:jc w:val="both"/>
        <w:rPr>
          <w:b/>
          <w:szCs w:val="24"/>
        </w:rPr>
      </w:pPr>
      <w:r w:rsidRPr="00A13556">
        <w:rPr>
          <w:szCs w:val="24"/>
        </w:rPr>
        <w:t>Allow an additional 12 weeks of PBS</w:t>
      </w:r>
      <w:r w:rsidR="005D0B0A">
        <w:rPr>
          <w:szCs w:val="24"/>
        </w:rPr>
        <w:t>-</w:t>
      </w:r>
      <w:r w:rsidRPr="00A13556">
        <w:rPr>
          <w:szCs w:val="24"/>
        </w:rPr>
        <w:t>subsidised NRT</w:t>
      </w:r>
      <w:r w:rsidRPr="00A13556">
        <w:rPr>
          <w:b/>
          <w:szCs w:val="24"/>
        </w:rPr>
        <w:t xml:space="preserve"> </w:t>
      </w:r>
      <w:r w:rsidRPr="00A13556">
        <w:rPr>
          <w:szCs w:val="24"/>
        </w:rPr>
        <w:t>therap</w:t>
      </w:r>
      <w:r w:rsidR="002A4642">
        <w:rPr>
          <w:szCs w:val="24"/>
        </w:rPr>
        <w:t>y in a 12-month period for non-I</w:t>
      </w:r>
      <w:r w:rsidRPr="00A13556">
        <w:rPr>
          <w:szCs w:val="24"/>
        </w:rPr>
        <w:t>ndigenous patients, for re-treatment of patients who ha</w:t>
      </w:r>
      <w:r w:rsidR="00A70E1E">
        <w:rPr>
          <w:szCs w:val="24"/>
        </w:rPr>
        <w:t>d an unsuccessful</w:t>
      </w:r>
      <w:r w:rsidRPr="00A13556">
        <w:rPr>
          <w:szCs w:val="24"/>
        </w:rPr>
        <w:t xml:space="preserve"> quit attempt.</w:t>
      </w:r>
    </w:p>
    <w:p w14:paraId="30726B57" w14:textId="77777777" w:rsidR="00217F24" w:rsidRPr="00523139" w:rsidRDefault="00217F24" w:rsidP="00523139">
      <w:pPr>
        <w:spacing w:before="120" w:after="120"/>
        <w:jc w:val="both"/>
        <w:rPr>
          <w:bCs/>
          <w:szCs w:val="24"/>
        </w:rPr>
      </w:pPr>
      <w:r w:rsidRPr="00523139">
        <w:rPr>
          <w:bCs/>
          <w:szCs w:val="24"/>
        </w:rPr>
        <w:t>AND</w:t>
      </w:r>
    </w:p>
    <w:p w14:paraId="308CBEC6" w14:textId="77777777" w:rsidR="00217F24" w:rsidRPr="00A13556" w:rsidRDefault="00217F24" w:rsidP="00523139">
      <w:pPr>
        <w:spacing w:before="120" w:after="120"/>
        <w:jc w:val="both"/>
        <w:rPr>
          <w:b/>
          <w:szCs w:val="24"/>
        </w:rPr>
      </w:pPr>
      <w:r w:rsidRPr="00A13556">
        <w:rPr>
          <w:b/>
          <w:szCs w:val="24"/>
        </w:rPr>
        <w:t>Option 1b</w:t>
      </w:r>
    </w:p>
    <w:p w14:paraId="227F876D" w14:textId="0B3E0826" w:rsidR="00217F24" w:rsidRPr="00A13556" w:rsidRDefault="00217F24" w:rsidP="00523139">
      <w:pPr>
        <w:pStyle w:val="ListParagraph"/>
        <w:numPr>
          <w:ilvl w:val="0"/>
          <w:numId w:val="56"/>
        </w:numPr>
        <w:spacing w:before="120" w:after="120"/>
        <w:ind w:left="357" w:hanging="357"/>
        <w:contextualSpacing w:val="0"/>
        <w:jc w:val="both"/>
        <w:rPr>
          <w:b/>
          <w:szCs w:val="24"/>
        </w:rPr>
      </w:pPr>
      <w:r w:rsidRPr="00A13556">
        <w:rPr>
          <w:szCs w:val="24"/>
        </w:rPr>
        <w:t>Allow an additional 12 weeks of PBS</w:t>
      </w:r>
      <w:r w:rsidR="005D0B0A">
        <w:rPr>
          <w:szCs w:val="24"/>
        </w:rPr>
        <w:t>-</w:t>
      </w:r>
      <w:r w:rsidRPr="00A13556">
        <w:rPr>
          <w:szCs w:val="24"/>
        </w:rPr>
        <w:t>subsidised NRT therap</w:t>
      </w:r>
      <w:r w:rsidR="002A4642">
        <w:rPr>
          <w:szCs w:val="24"/>
        </w:rPr>
        <w:t>y in a 12-month period for non-I</w:t>
      </w:r>
      <w:r w:rsidRPr="00A13556">
        <w:rPr>
          <w:szCs w:val="24"/>
        </w:rPr>
        <w:t>ndigenous patients, who have ceased smoking during the initial 12 weeks of therapy to prevent relapse.</w:t>
      </w:r>
    </w:p>
    <w:p w14:paraId="117B1DBE" w14:textId="4412CCCF" w:rsidR="00217F24" w:rsidRPr="00A13556" w:rsidRDefault="00217F24" w:rsidP="00523139">
      <w:pPr>
        <w:spacing w:before="120" w:after="120"/>
        <w:jc w:val="both"/>
        <w:rPr>
          <w:szCs w:val="24"/>
        </w:rPr>
      </w:pPr>
      <w:r w:rsidRPr="00A13556">
        <w:rPr>
          <w:szCs w:val="24"/>
        </w:rPr>
        <w:t>Note: Aboriginal and Torres Strait Islander persons already have access to 24 weeks of PBS</w:t>
      </w:r>
      <w:r w:rsidR="005D0B0A">
        <w:rPr>
          <w:szCs w:val="24"/>
        </w:rPr>
        <w:t>-</w:t>
      </w:r>
      <w:r w:rsidRPr="00A13556">
        <w:rPr>
          <w:szCs w:val="24"/>
        </w:rPr>
        <w:t>subsidised NRT in a 12</w:t>
      </w:r>
      <w:r w:rsidR="008F3AD7">
        <w:rPr>
          <w:szCs w:val="24"/>
        </w:rPr>
        <w:t>-</w:t>
      </w:r>
      <w:r w:rsidRPr="00A13556">
        <w:rPr>
          <w:szCs w:val="24"/>
        </w:rPr>
        <w:t>month period.</w:t>
      </w:r>
    </w:p>
    <w:p w14:paraId="3B30BDE4" w14:textId="77777777" w:rsidR="00217F24" w:rsidRPr="00A13556" w:rsidRDefault="00217F24" w:rsidP="00523139">
      <w:pPr>
        <w:spacing w:before="120" w:after="120"/>
        <w:jc w:val="both"/>
        <w:rPr>
          <w:b/>
          <w:szCs w:val="24"/>
        </w:rPr>
      </w:pPr>
      <w:r w:rsidRPr="00A13556">
        <w:rPr>
          <w:b/>
          <w:szCs w:val="24"/>
        </w:rPr>
        <w:t>Rationale</w:t>
      </w:r>
    </w:p>
    <w:p w14:paraId="57F1B2B0" w14:textId="77777777" w:rsidR="00217F24" w:rsidRPr="00A13556" w:rsidRDefault="00217F24" w:rsidP="00523139">
      <w:pPr>
        <w:pStyle w:val="ListParagraph"/>
        <w:numPr>
          <w:ilvl w:val="0"/>
          <w:numId w:val="57"/>
        </w:numPr>
        <w:spacing w:after="0"/>
        <w:ind w:left="357" w:hanging="357"/>
        <w:contextualSpacing w:val="0"/>
        <w:jc w:val="both"/>
        <w:rPr>
          <w:szCs w:val="24"/>
        </w:rPr>
      </w:pPr>
      <w:r w:rsidRPr="00A13556">
        <w:rPr>
          <w:szCs w:val="24"/>
        </w:rPr>
        <w:t>Stakeholder feedback supported extending the length of NRT therapy available on the PBS to increase the treatment options available for prescribers and consumers.</w:t>
      </w:r>
    </w:p>
    <w:p w14:paraId="6E60E220" w14:textId="61768073" w:rsidR="00217F24" w:rsidRPr="00A13556" w:rsidRDefault="00217F24" w:rsidP="00523139">
      <w:pPr>
        <w:pStyle w:val="ListParagraph"/>
        <w:numPr>
          <w:ilvl w:val="0"/>
          <w:numId w:val="57"/>
        </w:numPr>
        <w:spacing w:after="0"/>
        <w:ind w:left="357" w:hanging="357"/>
        <w:contextualSpacing w:val="0"/>
        <w:jc w:val="both"/>
        <w:rPr>
          <w:szCs w:val="24"/>
        </w:rPr>
      </w:pPr>
      <w:r w:rsidRPr="00A13556">
        <w:rPr>
          <w:szCs w:val="24"/>
        </w:rPr>
        <w:t xml:space="preserve">The </w:t>
      </w:r>
      <w:r w:rsidR="008F3AD7">
        <w:rPr>
          <w:szCs w:val="24"/>
        </w:rPr>
        <w:t>r</w:t>
      </w:r>
      <w:r w:rsidRPr="00A13556">
        <w:rPr>
          <w:szCs w:val="24"/>
        </w:rPr>
        <w:t xml:space="preserve">eference </w:t>
      </w:r>
      <w:r w:rsidR="008F3AD7">
        <w:rPr>
          <w:szCs w:val="24"/>
        </w:rPr>
        <w:t>g</w:t>
      </w:r>
      <w:r w:rsidRPr="00A13556">
        <w:rPr>
          <w:szCs w:val="24"/>
        </w:rPr>
        <w:t>roup noted that there was a lack of evidence from ToR 3 to support longer durations of treatment with NRT</w:t>
      </w:r>
      <w:r w:rsidR="006D78A9">
        <w:rPr>
          <w:szCs w:val="24"/>
        </w:rPr>
        <w:t xml:space="preserve"> </w:t>
      </w:r>
      <w:r w:rsidRPr="00A13556">
        <w:rPr>
          <w:szCs w:val="24"/>
        </w:rPr>
        <w:t>however</w:t>
      </w:r>
      <w:r w:rsidR="006D78A9">
        <w:rPr>
          <w:szCs w:val="24"/>
        </w:rPr>
        <w:t>,</w:t>
      </w:r>
      <w:r w:rsidRPr="00A13556">
        <w:rPr>
          <w:szCs w:val="24"/>
        </w:rPr>
        <w:t xml:space="preserve"> it supported removing barriers to people accessing smoking cessation products and greater flexibility for clinicians by allowing longer durations or multiple attempts at stopping within the same year, as this is consistent with public health messaging.</w:t>
      </w:r>
    </w:p>
    <w:p w14:paraId="15CFDDD0" w14:textId="2F5A875C" w:rsidR="00217F24" w:rsidRPr="00A13556" w:rsidRDefault="00217F24" w:rsidP="00523139">
      <w:pPr>
        <w:pStyle w:val="ListParagraph"/>
        <w:numPr>
          <w:ilvl w:val="0"/>
          <w:numId w:val="57"/>
        </w:numPr>
        <w:spacing w:after="120"/>
        <w:ind w:left="357" w:hanging="357"/>
        <w:contextualSpacing w:val="0"/>
        <w:jc w:val="both"/>
        <w:rPr>
          <w:szCs w:val="24"/>
        </w:rPr>
      </w:pPr>
      <w:r w:rsidRPr="00A13556">
        <w:rPr>
          <w:szCs w:val="24"/>
        </w:rPr>
        <w:t xml:space="preserve">The utilisation review of PBS medicines for smoking cessation (ToR 2) found only 12% of consumers prescribed NRT fill prescriptions for the full 12 weeks duration of therapy, suggesting that uptake (via the PBS) of longer durations of therapy will be low. Additionally, there was no significant difference in the median duration of NRT use between the general population and </w:t>
      </w:r>
      <w:r w:rsidR="008F3AD7">
        <w:rPr>
          <w:szCs w:val="24"/>
        </w:rPr>
        <w:t xml:space="preserve">the </w:t>
      </w:r>
      <w:r w:rsidRPr="00A13556">
        <w:rPr>
          <w:szCs w:val="24"/>
        </w:rPr>
        <w:t>Aboriginal and Torres Strait Islander population who currently have access to 24 weeks of PBS</w:t>
      </w:r>
      <w:r w:rsidR="005D0B0A">
        <w:rPr>
          <w:szCs w:val="24"/>
        </w:rPr>
        <w:t>-</w:t>
      </w:r>
      <w:r w:rsidRPr="00A13556">
        <w:rPr>
          <w:szCs w:val="24"/>
        </w:rPr>
        <w:t>subsidised NRT.</w:t>
      </w:r>
    </w:p>
    <w:p w14:paraId="14419AE0" w14:textId="4A429D8B" w:rsidR="00C567C0" w:rsidRDefault="00217F24" w:rsidP="002B5CD1">
      <w:pPr>
        <w:spacing w:before="120" w:after="120"/>
        <w:jc w:val="both"/>
        <w:rPr>
          <w:b/>
          <w:color w:val="222222"/>
          <w:szCs w:val="24"/>
        </w:rPr>
      </w:pPr>
      <w:r w:rsidRPr="00A13556">
        <w:rPr>
          <w:b/>
          <w:i/>
          <w:color w:val="222222"/>
          <w:szCs w:val="24"/>
        </w:rPr>
        <w:t xml:space="preserve">Background and evidence considered by the </w:t>
      </w:r>
      <w:r w:rsidR="008F3AD7">
        <w:rPr>
          <w:b/>
          <w:i/>
          <w:color w:val="222222"/>
          <w:szCs w:val="24"/>
        </w:rPr>
        <w:t>r</w:t>
      </w:r>
      <w:r w:rsidRPr="00A13556">
        <w:rPr>
          <w:b/>
          <w:i/>
          <w:color w:val="222222"/>
          <w:szCs w:val="24"/>
        </w:rPr>
        <w:t xml:space="preserve">eference </w:t>
      </w:r>
      <w:r w:rsidR="008F3AD7">
        <w:rPr>
          <w:b/>
          <w:i/>
          <w:color w:val="222222"/>
          <w:szCs w:val="24"/>
        </w:rPr>
        <w:t>g</w:t>
      </w:r>
      <w:r w:rsidRPr="00A13556">
        <w:rPr>
          <w:b/>
          <w:i/>
          <w:color w:val="222222"/>
          <w:szCs w:val="24"/>
        </w:rPr>
        <w:t>roup</w:t>
      </w:r>
      <w:r w:rsidRPr="00A13556">
        <w:rPr>
          <w:b/>
          <w:color w:val="222222"/>
          <w:szCs w:val="24"/>
        </w:rPr>
        <w:t xml:space="preserve"> </w:t>
      </w:r>
    </w:p>
    <w:p w14:paraId="627D3586" w14:textId="78A2C62B" w:rsidR="00217F24" w:rsidRPr="00A13556" w:rsidRDefault="00217F24" w:rsidP="00523139">
      <w:pPr>
        <w:spacing w:before="120" w:after="120"/>
        <w:jc w:val="both"/>
        <w:rPr>
          <w:b/>
          <w:color w:val="222222"/>
          <w:szCs w:val="24"/>
        </w:rPr>
      </w:pPr>
      <w:r w:rsidRPr="00A13556">
        <w:rPr>
          <w:color w:val="222222"/>
          <w:szCs w:val="24"/>
        </w:rPr>
        <w:t>The current PBS restrictions state that “</w:t>
      </w:r>
      <w:r w:rsidRPr="00A13556">
        <w:rPr>
          <w:i/>
          <w:szCs w:val="24"/>
        </w:rPr>
        <w:t>Patient must not receive more than 12 weeks</w:t>
      </w:r>
      <w:r w:rsidRPr="00A13556">
        <w:rPr>
          <w:b/>
          <w:i/>
          <w:szCs w:val="24"/>
        </w:rPr>
        <w:t xml:space="preserve"> </w:t>
      </w:r>
      <w:r w:rsidRPr="00A13556">
        <w:rPr>
          <w:i/>
          <w:szCs w:val="24"/>
        </w:rPr>
        <w:t>(or 24 weeks for Aboriginal and Torres Strait Islander people) of PBS-subsidised nicotine replacement therapy per 12-month period</w:t>
      </w:r>
      <w:r w:rsidRPr="00A13556">
        <w:rPr>
          <w:szCs w:val="24"/>
        </w:rPr>
        <w:t>.</w:t>
      </w:r>
      <w:r w:rsidR="008F3AD7">
        <w:rPr>
          <w:szCs w:val="24"/>
        </w:rPr>
        <w:t>”</w:t>
      </w:r>
      <w:r w:rsidRPr="00A13556">
        <w:rPr>
          <w:szCs w:val="24"/>
        </w:rPr>
        <w:t xml:space="preserve"> </w:t>
      </w:r>
      <w:r w:rsidRPr="00A13556">
        <w:rPr>
          <w:color w:val="222222"/>
          <w:szCs w:val="24"/>
        </w:rPr>
        <w:t xml:space="preserve">A course of NRT refers to 12 weeks of therapy available on the PBS. This may be prescribed as one original script and 2 repeats. Consumers do not need to </w:t>
      </w:r>
      <w:r w:rsidRPr="00A13556">
        <w:rPr>
          <w:color w:val="222222"/>
          <w:szCs w:val="24"/>
        </w:rPr>
        <w:lastRenderedPageBreak/>
        <w:t>return to the prescriber to complete the 12 weeks of therapy. The PBS does not allow for an increase in quantity or repeats.</w:t>
      </w:r>
    </w:p>
    <w:p w14:paraId="787B4206" w14:textId="24D3C7AB" w:rsidR="00217F24" w:rsidRPr="00A13556" w:rsidRDefault="00217F24" w:rsidP="00523139">
      <w:pPr>
        <w:spacing w:before="120" w:after="120"/>
        <w:jc w:val="both"/>
        <w:rPr>
          <w:color w:val="222222"/>
          <w:szCs w:val="24"/>
        </w:rPr>
      </w:pPr>
      <w:r w:rsidRPr="00A13556">
        <w:rPr>
          <w:color w:val="222222"/>
          <w:szCs w:val="24"/>
        </w:rPr>
        <w:t xml:space="preserve">Restrictions for Aboriginal and Torres Strait Islander persons currently allow for 24 weeks of therapy in a </w:t>
      </w:r>
      <w:r w:rsidR="008B5A2D" w:rsidRPr="00A13556">
        <w:rPr>
          <w:color w:val="222222"/>
          <w:szCs w:val="24"/>
        </w:rPr>
        <w:t>12-month</w:t>
      </w:r>
      <w:r w:rsidRPr="00A13556">
        <w:rPr>
          <w:color w:val="222222"/>
          <w:szCs w:val="24"/>
        </w:rPr>
        <w:t xml:space="preserve"> period. The wording of the restriction allows Aboriginal and Torres Strait Islander persons to access the additional course of NRT beyond 12 weeks, or to use it for a subsequent quit attempt within the </w:t>
      </w:r>
      <w:r w:rsidR="008B5A2D" w:rsidRPr="00A13556">
        <w:rPr>
          <w:color w:val="222222"/>
          <w:szCs w:val="24"/>
        </w:rPr>
        <w:t>12-month</w:t>
      </w:r>
      <w:r w:rsidRPr="00A13556">
        <w:rPr>
          <w:color w:val="222222"/>
          <w:szCs w:val="24"/>
        </w:rPr>
        <w:t xml:space="preserve"> period. To gain access to the additional course of therapy consumers would be required to return to the prescriber to access additional prescriptions. Howev</w:t>
      </w:r>
      <w:r w:rsidR="000C75E6">
        <w:rPr>
          <w:color w:val="222222"/>
          <w:szCs w:val="24"/>
        </w:rPr>
        <w:t xml:space="preserve">er, for consumers accessing </w:t>
      </w:r>
      <w:r w:rsidRPr="00A13556">
        <w:rPr>
          <w:color w:val="222222"/>
          <w:szCs w:val="24"/>
        </w:rPr>
        <w:t>NRT through the s100 Remote Area Access Scheme (RAAS) a prescription is not required.</w:t>
      </w:r>
    </w:p>
    <w:p w14:paraId="2BA0D30C" w14:textId="77777777" w:rsidR="00217F24" w:rsidRPr="00A13556" w:rsidRDefault="00217F24" w:rsidP="00523139">
      <w:pPr>
        <w:spacing w:before="120" w:after="120"/>
        <w:jc w:val="both"/>
        <w:rPr>
          <w:color w:val="222222"/>
          <w:szCs w:val="24"/>
        </w:rPr>
      </w:pPr>
      <w:r w:rsidRPr="00A13556">
        <w:rPr>
          <w:color w:val="222222"/>
          <w:szCs w:val="24"/>
        </w:rPr>
        <w:t>The Review Report for ToR 3 found the following in respect to treatment experienced consumers:</w:t>
      </w:r>
    </w:p>
    <w:p w14:paraId="53CD385E" w14:textId="77777777" w:rsidR="00217F24" w:rsidRPr="00A13556" w:rsidRDefault="00217F24" w:rsidP="00523139">
      <w:pPr>
        <w:pStyle w:val="ListParagraph"/>
        <w:keepNext/>
        <w:keepLines/>
        <w:numPr>
          <w:ilvl w:val="0"/>
          <w:numId w:val="54"/>
        </w:numPr>
        <w:spacing w:before="120" w:after="0"/>
        <w:ind w:left="357" w:right="-765" w:hanging="357"/>
        <w:contextualSpacing w:val="0"/>
        <w:jc w:val="both"/>
        <w:rPr>
          <w:color w:val="222222"/>
          <w:szCs w:val="24"/>
        </w:rPr>
      </w:pPr>
      <w:r w:rsidRPr="00A13556">
        <w:rPr>
          <w:color w:val="222222"/>
          <w:szCs w:val="24"/>
        </w:rPr>
        <w:t>NRT has not previously been considered by the PBAC for treatment-experienced patients.</w:t>
      </w:r>
    </w:p>
    <w:p w14:paraId="02F85328" w14:textId="77777777" w:rsidR="00217F24" w:rsidRPr="00A13556" w:rsidRDefault="00217F24" w:rsidP="00D25738">
      <w:pPr>
        <w:pStyle w:val="ListParagraph"/>
        <w:numPr>
          <w:ilvl w:val="0"/>
          <w:numId w:val="54"/>
        </w:numPr>
        <w:spacing w:after="120"/>
        <w:jc w:val="both"/>
        <w:rPr>
          <w:color w:val="222222"/>
          <w:szCs w:val="24"/>
        </w:rPr>
      </w:pPr>
      <w:r w:rsidRPr="00A13556">
        <w:rPr>
          <w:color w:val="222222"/>
          <w:szCs w:val="24"/>
        </w:rPr>
        <w:t>There were no statistically significant differences between NRT (either as gum or inhaler) and placebo in terms of efficacy as a relapse prevention treatment in abstainers. The adverse events reported were consistent with those expected of NRT.</w:t>
      </w:r>
    </w:p>
    <w:p w14:paraId="0B9AD351" w14:textId="1799564F" w:rsidR="00217F24" w:rsidRPr="00A13556" w:rsidRDefault="00217F24" w:rsidP="00D25738">
      <w:pPr>
        <w:pStyle w:val="ListParagraph"/>
        <w:numPr>
          <w:ilvl w:val="0"/>
          <w:numId w:val="54"/>
        </w:numPr>
        <w:spacing w:after="120"/>
        <w:jc w:val="both"/>
        <w:rPr>
          <w:color w:val="222222"/>
          <w:szCs w:val="24"/>
        </w:rPr>
      </w:pPr>
      <w:r w:rsidRPr="00A13556">
        <w:rPr>
          <w:color w:val="222222"/>
          <w:szCs w:val="24"/>
        </w:rPr>
        <w:t xml:space="preserve">The results of Gourlay et al. (1995), based on continuous abstinence rate, demonstrated no statistically significant difference between NRT patches and placebo in non-abstainers as retreatment at 6 months. However, there was a statistically significant improvement in smoking cessation rates using NRT patches based on 28-day point prevalence abstinence (RR: 2.49; 95% CI: 1.11, 5.57) at this point in the study by Gourlay et al. (1995) only. In terms of safety, there were no statistically significant differences between the two treatment arms for palpitations, </w:t>
      </w:r>
      <w:r w:rsidR="008F3AD7" w:rsidRPr="00A13556">
        <w:rPr>
          <w:color w:val="222222"/>
          <w:szCs w:val="24"/>
        </w:rPr>
        <w:t>tachycardia,</w:t>
      </w:r>
      <w:r w:rsidRPr="00A13556">
        <w:rPr>
          <w:color w:val="222222"/>
          <w:szCs w:val="24"/>
        </w:rPr>
        <w:t xml:space="preserve"> or chest pains. </w:t>
      </w:r>
    </w:p>
    <w:p w14:paraId="4DA97D3B" w14:textId="7090E3BF" w:rsidR="00217F24" w:rsidRPr="00A13556" w:rsidRDefault="00217F24" w:rsidP="00523139">
      <w:pPr>
        <w:spacing w:before="120" w:after="120"/>
        <w:jc w:val="both"/>
        <w:rPr>
          <w:color w:val="222222"/>
          <w:szCs w:val="24"/>
        </w:rPr>
      </w:pPr>
      <w:r w:rsidRPr="00A13556">
        <w:rPr>
          <w:color w:val="222222"/>
          <w:szCs w:val="24"/>
        </w:rPr>
        <w:t xml:space="preserve">The Review Report for ToR 3 also found the following </w:t>
      </w:r>
      <w:r w:rsidR="008F3AD7">
        <w:rPr>
          <w:color w:val="222222"/>
          <w:szCs w:val="24"/>
        </w:rPr>
        <w:t>with</w:t>
      </w:r>
      <w:r w:rsidRPr="00A13556">
        <w:rPr>
          <w:color w:val="222222"/>
          <w:szCs w:val="24"/>
        </w:rPr>
        <w:t xml:space="preserve"> respect to length of treatment for NRT: </w:t>
      </w:r>
    </w:p>
    <w:p w14:paraId="072D5585" w14:textId="5B16291E" w:rsidR="00217F24" w:rsidRPr="00523139" w:rsidRDefault="00217F24" w:rsidP="00523139">
      <w:pPr>
        <w:pStyle w:val="ListParagraph"/>
        <w:numPr>
          <w:ilvl w:val="0"/>
          <w:numId w:val="54"/>
        </w:numPr>
        <w:spacing w:before="120" w:after="0"/>
        <w:ind w:left="357" w:hanging="357"/>
        <w:contextualSpacing w:val="0"/>
        <w:jc w:val="both"/>
        <w:rPr>
          <w:color w:val="222222"/>
          <w:szCs w:val="24"/>
        </w:rPr>
      </w:pPr>
      <w:r w:rsidRPr="00A13556">
        <w:rPr>
          <w:color w:val="222222"/>
          <w:szCs w:val="24"/>
        </w:rPr>
        <w:t>There were no statistically significant differences between longer duration NRT and shorter duration NRT in terms of efficacy and safety (serious adverse events and treatment withdrawals)</w:t>
      </w:r>
      <w:r w:rsidR="008F3AD7">
        <w:rPr>
          <w:color w:val="222222"/>
          <w:szCs w:val="24"/>
        </w:rPr>
        <w:t xml:space="preserve">. </w:t>
      </w:r>
      <w:r w:rsidRPr="00523139">
        <w:rPr>
          <w:color w:val="222222"/>
          <w:szCs w:val="24"/>
        </w:rPr>
        <w:t>For this comparison, NRT was administered either as monotherapy (patch or gum) or combination therapy.</w:t>
      </w:r>
    </w:p>
    <w:p w14:paraId="7136729B" w14:textId="0B2D154F" w:rsidR="00217F24" w:rsidRPr="00A13556" w:rsidRDefault="00217F24" w:rsidP="00523139">
      <w:pPr>
        <w:pStyle w:val="ListParagraph"/>
        <w:numPr>
          <w:ilvl w:val="0"/>
          <w:numId w:val="54"/>
        </w:numPr>
        <w:spacing w:after="120"/>
        <w:ind w:left="357" w:hanging="357"/>
        <w:contextualSpacing w:val="0"/>
        <w:jc w:val="both"/>
        <w:rPr>
          <w:color w:val="222222"/>
          <w:szCs w:val="24"/>
        </w:rPr>
      </w:pPr>
      <w:r w:rsidRPr="00A13556">
        <w:rPr>
          <w:color w:val="222222"/>
          <w:szCs w:val="24"/>
        </w:rPr>
        <w:t>For other variations in NRT use (24-hour versus 16-hour patches, continue versus stop patch use on relapse, and 22 weeks of a combination of 35 mg patches and fast-acting NRT versus 10 weeks of 21 mg patches), there were no statistically significant differences in smoking cessation rates, serious adverse events, treatment withdrawals and cardiac events in all comparisons</w:t>
      </w:r>
      <w:r w:rsidR="00770514" w:rsidRPr="00A13556">
        <w:rPr>
          <w:color w:val="222222"/>
          <w:szCs w:val="24"/>
        </w:rPr>
        <w:t xml:space="preserve">. </w:t>
      </w:r>
    </w:p>
    <w:p w14:paraId="550ADC5B" w14:textId="49209F65" w:rsidR="001819DA" w:rsidRDefault="008F5852" w:rsidP="001819DA">
      <w:pPr>
        <w:pStyle w:val="Heading3"/>
        <w:spacing w:before="120" w:after="120"/>
        <w:jc w:val="both"/>
      </w:pPr>
      <w:bookmarkStart w:id="76" w:name="_Toc111710704"/>
      <w:r>
        <w:t xml:space="preserve">5.2 Option </w:t>
      </w:r>
      <w:r w:rsidR="002F3376">
        <w:t>2</w:t>
      </w:r>
      <w:bookmarkEnd w:id="76"/>
    </w:p>
    <w:p w14:paraId="50D7935A" w14:textId="7935561B" w:rsidR="00217F24" w:rsidRPr="00A13556" w:rsidRDefault="00217F24" w:rsidP="00523139">
      <w:pPr>
        <w:spacing w:before="120" w:after="120"/>
        <w:jc w:val="both"/>
        <w:rPr>
          <w:b/>
          <w:szCs w:val="24"/>
        </w:rPr>
      </w:pPr>
      <w:r w:rsidRPr="00A13556">
        <w:rPr>
          <w:b/>
          <w:szCs w:val="24"/>
        </w:rPr>
        <w:t>Option 2a</w:t>
      </w:r>
    </w:p>
    <w:p w14:paraId="2B5F7583" w14:textId="535A1842" w:rsidR="00217F24" w:rsidRPr="00523139" w:rsidRDefault="00217F24" w:rsidP="00523139">
      <w:pPr>
        <w:pStyle w:val="ListParagraph"/>
        <w:numPr>
          <w:ilvl w:val="0"/>
          <w:numId w:val="56"/>
        </w:numPr>
        <w:spacing w:before="120" w:after="120"/>
        <w:ind w:left="357" w:hanging="357"/>
        <w:contextualSpacing w:val="0"/>
        <w:jc w:val="both"/>
        <w:rPr>
          <w:b/>
          <w:szCs w:val="24"/>
        </w:rPr>
      </w:pPr>
      <w:r w:rsidRPr="00A13556">
        <w:rPr>
          <w:szCs w:val="24"/>
        </w:rPr>
        <w:t xml:space="preserve">Remove the requirement for nicotine patch, </w:t>
      </w:r>
      <w:r w:rsidR="001819DA" w:rsidRPr="00A13556">
        <w:rPr>
          <w:szCs w:val="24"/>
        </w:rPr>
        <w:t>lozenge,</w:t>
      </w:r>
      <w:r w:rsidRPr="00A13556">
        <w:rPr>
          <w:szCs w:val="24"/>
        </w:rPr>
        <w:t xml:space="preserve"> or gum to be used as monotherapy to allow for combinations of NRT patch + short acting formulations to be used concomitantly on the PBS.</w:t>
      </w:r>
    </w:p>
    <w:p w14:paraId="082BDFA9" w14:textId="77777777" w:rsidR="00217F24" w:rsidRPr="008F3AD7" w:rsidRDefault="00217F24" w:rsidP="00523139">
      <w:pPr>
        <w:pStyle w:val="ListParagraph"/>
        <w:spacing w:before="120" w:after="120"/>
        <w:ind w:left="0"/>
        <w:contextualSpacing w:val="0"/>
        <w:jc w:val="both"/>
        <w:rPr>
          <w:bCs/>
          <w:szCs w:val="24"/>
        </w:rPr>
      </w:pPr>
      <w:r w:rsidRPr="00523139">
        <w:rPr>
          <w:bCs/>
          <w:szCs w:val="24"/>
        </w:rPr>
        <w:t>AND</w:t>
      </w:r>
    </w:p>
    <w:p w14:paraId="16300B4C" w14:textId="77777777" w:rsidR="00217F24" w:rsidRPr="00A13556" w:rsidRDefault="00217F24" w:rsidP="00523139">
      <w:pPr>
        <w:spacing w:before="120" w:after="120"/>
        <w:jc w:val="both"/>
        <w:rPr>
          <w:b/>
          <w:szCs w:val="24"/>
        </w:rPr>
      </w:pPr>
      <w:r w:rsidRPr="00A13556">
        <w:rPr>
          <w:b/>
          <w:szCs w:val="24"/>
        </w:rPr>
        <w:t>Option 2b</w:t>
      </w:r>
    </w:p>
    <w:p w14:paraId="2070CBE3" w14:textId="306A5F2B" w:rsidR="00217F24" w:rsidRPr="001819DA" w:rsidRDefault="00217F24" w:rsidP="00523139">
      <w:pPr>
        <w:pStyle w:val="ListParagraph"/>
        <w:numPr>
          <w:ilvl w:val="0"/>
          <w:numId w:val="56"/>
        </w:numPr>
        <w:spacing w:before="120" w:after="120"/>
        <w:ind w:left="357" w:hanging="357"/>
        <w:contextualSpacing w:val="0"/>
        <w:jc w:val="both"/>
        <w:rPr>
          <w:szCs w:val="24"/>
        </w:rPr>
      </w:pPr>
      <w:r w:rsidRPr="00A13556">
        <w:rPr>
          <w:szCs w:val="24"/>
        </w:rPr>
        <w:t xml:space="preserve">Remove the requirement for nicotine patch, to be used as monotherapy to allow for combinations of NRT patch formulations to be used on the PBS, to allow for double </w:t>
      </w:r>
      <w:r w:rsidRPr="00A13556">
        <w:rPr>
          <w:szCs w:val="24"/>
        </w:rPr>
        <w:lastRenderedPageBreak/>
        <w:t>patching (</w:t>
      </w:r>
      <w:r w:rsidR="001819DA" w:rsidRPr="00A13556">
        <w:rPr>
          <w:szCs w:val="24"/>
        </w:rPr>
        <w:t>e.g.,</w:t>
      </w:r>
      <w:r w:rsidRPr="00A13556">
        <w:rPr>
          <w:szCs w:val="24"/>
        </w:rPr>
        <w:t xml:space="preserve"> two 21 mg/24 hours patches daily, 21mg + 14mg/24 hour patches daily) as second line therapy under an authority required restriction. Alternatively, double patching could be achieved by allowing increased quantities to be approved via a phone or online authority.</w:t>
      </w:r>
    </w:p>
    <w:p w14:paraId="224A98CF" w14:textId="77777777" w:rsidR="00217F24" w:rsidRPr="00A13556" w:rsidRDefault="00217F24" w:rsidP="00523139">
      <w:pPr>
        <w:spacing w:before="120" w:after="120"/>
        <w:jc w:val="both"/>
        <w:rPr>
          <w:b/>
          <w:szCs w:val="24"/>
        </w:rPr>
      </w:pPr>
      <w:r w:rsidRPr="00A13556" w:rsidDel="00832D75">
        <w:rPr>
          <w:szCs w:val="24"/>
        </w:rPr>
        <w:t xml:space="preserve"> </w:t>
      </w:r>
      <w:r w:rsidRPr="00A13556">
        <w:rPr>
          <w:b/>
          <w:szCs w:val="24"/>
        </w:rPr>
        <w:t>Rationale 2a</w:t>
      </w:r>
    </w:p>
    <w:p w14:paraId="22D512C5" w14:textId="37E7F933" w:rsidR="00217F24" w:rsidRPr="00A13556" w:rsidRDefault="00217F24" w:rsidP="00523139">
      <w:pPr>
        <w:pStyle w:val="ListParagraph"/>
        <w:numPr>
          <w:ilvl w:val="0"/>
          <w:numId w:val="57"/>
        </w:numPr>
        <w:spacing w:before="120" w:after="0"/>
        <w:ind w:left="357" w:hanging="357"/>
        <w:contextualSpacing w:val="0"/>
        <w:jc w:val="both"/>
        <w:rPr>
          <w:szCs w:val="24"/>
        </w:rPr>
      </w:pPr>
      <w:r w:rsidRPr="00A13556">
        <w:rPr>
          <w:szCs w:val="24"/>
        </w:rPr>
        <w:t xml:space="preserve">In the Review </w:t>
      </w:r>
      <w:r w:rsidR="004E2632">
        <w:rPr>
          <w:szCs w:val="24"/>
        </w:rPr>
        <w:t>R</w:t>
      </w:r>
      <w:r w:rsidRPr="00A13556">
        <w:rPr>
          <w:szCs w:val="24"/>
        </w:rPr>
        <w:t>eport, combination NRT was shown to be superior to NRT monotherapy (patch or fast-acting -</w:t>
      </w:r>
      <w:r w:rsidR="001819DA">
        <w:rPr>
          <w:szCs w:val="24"/>
        </w:rPr>
        <w:t xml:space="preserve"> </w:t>
      </w:r>
      <w:r w:rsidRPr="00A13556">
        <w:rPr>
          <w:szCs w:val="24"/>
        </w:rPr>
        <w:t xml:space="preserve">including gum and lozenge) in terms of efficacy. In terms of safety, there were no statistically significant differences in cardiac adverse events, serious adverse </w:t>
      </w:r>
      <w:r w:rsidR="001819DA" w:rsidRPr="00A13556">
        <w:rPr>
          <w:szCs w:val="24"/>
        </w:rPr>
        <w:t>events,</w:t>
      </w:r>
      <w:r w:rsidRPr="00A13556">
        <w:rPr>
          <w:szCs w:val="24"/>
        </w:rPr>
        <w:t xml:space="preserve"> or withdrawals due to treatment.</w:t>
      </w:r>
      <w:r w:rsidRPr="00A13556" w:rsidDel="00A620B1">
        <w:rPr>
          <w:szCs w:val="24"/>
        </w:rPr>
        <w:t xml:space="preserve"> </w:t>
      </w:r>
    </w:p>
    <w:p w14:paraId="633DD3AD" w14:textId="594FEAF9" w:rsidR="00217F24" w:rsidRPr="00A13556" w:rsidRDefault="00154AAA" w:rsidP="00D25738">
      <w:pPr>
        <w:pStyle w:val="ListParagraph"/>
        <w:numPr>
          <w:ilvl w:val="0"/>
          <w:numId w:val="57"/>
        </w:numPr>
        <w:spacing w:after="120"/>
        <w:jc w:val="both"/>
        <w:rPr>
          <w:szCs w:val="24"/>
        </w:rPr>
      </w:pPr>
      <w:r>
        <w:rPr>
          <w:szCs w:val="24"/>
        </w:rPr>
        <w:t>T</w:t>
      </w:r>
      <w:r w:rsidR="00217F24" w:rsidRPr="00A13556">
        <w:rPr>
          <w:szCs w:val="24"/>
        </w:rPr>
        <w:t xml:space="preserve">he use of two forms of NRT at the same </w:t>
      </w:r>
      <w:r w:rsidR="002F3376" w:rsidRPr="00A13556">
        <w:rPr>
          <w:szCs w:val="24"/>
        </w:rPr>
        <w:t>time is</w:t>
      </w:r>
      <w:r w:rsidR="00217F24" w:rsidRPr="00A13556">
        <w:rPr>
          <w:szCs w:val="24"/>
        </w:rPr>
        <w:t xml:space="preserve"> consistent with all guidelines reviewed in ToR 1 and TGA-approved dosing of NRT.</w:t>
      </w:r>
    </w:p>
    <w:p w14:paraId="55EE71F5" w14:textId="77777777" w:rsidR="00217F24" w:rsidRPr="00A13556" w:rsidRDefault="00217F24" w:rsidP="00D25738">
      <w:pPr>
        <w:pStyle w:val="ListParagraph"/>
        <w:numPr>
          <w:ilvl w:val="0"/>
          <w:numId w:val="57"/>
        </w:numPr>
        <w:spacing w:after="120"/>
        <w:jc w:val="both"/>
        <w:rPr>
          <w:szCs w:val="24"/>
        </w:rPr>
      </w:pPr>
      <w:r w:rsidRPr="00A13556">
        <w:rPr>
          <w:szCs w:val="24"/>
        </w:rPr>
        <w:t>Stakeholders strongly supported allowing combination NRT use on the PBS.</w:t>
      </w:r>
    </w:p>
    <w:p w14:paraId="3796A33D" w14:textId="77777777" w:rsidR="00217F24" w:rsidRPr="00A13556" w:rsidRDefault="00217F24" w:rsidP="00D25738">
      <w:pPr>
        <w:pStyle w:val="ListParagraph"/>
        <w:numPr>
          <w:ilvl w:val="0"/>
          <w:numId w:val="57"/>
        </w:numPr>
        <w:spacing w:after="120"/>
        <w:jc w:val="both"/>
        <w:rPr>
          <w:szCs w:val="24"/>
        </w:rPr>
      </w:pPr>
      <w:r w:rsidRPr="00A13556">
        <w:rPr>
          <w:szCs w:val="24"/>
        </w:rPr>
        <w:t>The reference group acknowledged that if the PBAC was of a mind to support combination therapy with NRT products listed on the PBS, it would need to consider the cost-effectiveness and net cost to government as part of any final recommendation.</w:t>
      </w:r>
    </w:p>
    <w:p w14:paraId="29012FD5" w14:textId="77777777" w:rsidR="00217F24" w:rsidRPr="00A13556" w:rsidRDefault="00217F24" w:rsidP="00D25738">
      <w:pPr>
        <w:pStyle w:val="ListParagraph"/>
        <w:numPr>
          <w:ilvl w:val="0"/>
          <w:numId w:val="57"/>
        </w:numPr>
        <w:spacing w:after="120"/>
        <w:jc w:val="both"/>
        <w:rPr>
          <w:szCs w:val="24"/>
        </w:rPr>
      </w:pPr>
      <w:r w:rsidRPr="00A13556">
        <w:rPr>
          <w:szCs w:val="24"/>
        </w:rPr>
        <w:t>Based on the Cochrane Review by Hartmann-Boyce (2018) and one RCT (Chen 2020), combination NRT (patch + lozenge, patch + lozenge and gum) was shown to be superior to placebo in terms of efficacy. There were no statistically significant differences between NRT patch + lozenge and placebo in terms of any adverse events and serious adverse events.</w:t>
      </w:r>
    </w:p>
    <w:p w14:paraId="2D94BB99" w14:textId="69F63D4D" w:rsidR="00217F24" w:rsidRPr="00A13556" w:rsidRDefault="00217F24" w:rsidP="00D25738">
      <w:pPr>
        <w:pStyle w:val="ListParagraph"/>
        <w:numPr>
          <w:ilvl w:val="0"/>
          <w:numId w:val="57"/>
        </w:numPr>
        <w:spacing w:after="120"/>
        <w:jc w:val="both"/>
        <w:rPr>
          <w:szCs w:val="24"/>
        </w:rPr>
      </w:pPr>
      <w:r w:rsidRPr="00A13556">
        <w:rPr>
          <w:szCs w:val="24"/>
        </w:rPr>
        <w:t xml:space="preserve">For the comparison of NRT patch + gum versus placebo, there were no statistically significant differences between the two treatment arms based on the meta-analysis of two studies conducted by Hartmann-Boyce et al. (2019), although the results numerically favoured NRT patch + gum. The non-significant result of NRT patch + gum was likely due to study design issues, such as small sample size, leading to insufficient power to detect a modest treatment effect with reasonable certainty. </w:t>
      </w:r>
    </w:p>
    <w:p w14:paraId="0216152B" w14:textId="63B79645" w:rsidR="002F3376" w:rsidRPr="00FC7DC2" w:rsidRDefault="00217F24" w:rsidP="00523139">
      <w:pPr>
        <w:pStyle w:val="ListParagraph"/>
        <w:numPr>
          <w:ilvl w:val="0"/>
          <w:numId w:val="57"/>
        </w:numPr>
        <w:spacing w:after="120"/>
        <w:ind w:left="357" w:hanging="357"/>
        <w:contextualSpacing w:val="0"/>
        <w:jc w:val="both"/>
        <w:rPr>
          <w:szCs w:val="24"/>
        </w:rPr>
      </w:pPr>
      <w:r w:rsidRPr="00A13556">
        <w:rPr>
          <w:szCs w:val="24"/>
        </w:rPr>
        <w:t xml:space="preserve">Based on one direct RCT (Chen 2020), combination NRT (patch + lozenge) was shown to be inferior to varenicline in terms of efficacy with no statistically significant differences in terms of safety. However, based on the results of the </w:t>
      </w:r>
      <w:r w:rsidR="0024607A">
        <w:rPr>
          <w:szCs w:val="24"/>
        </w:rPr>
        <w:t>NMA</w:t>
      </w:r>
      <w:r w:rsidRPr="00A13556">
        <w:rPr>
          <w:szCs w:val="24"/>
        </w:rPr>
        <w:t xml:space="preserve"> by Cahill et al. (2013), there was no statistically significant difference in smoking cessation rates between combination NRT and varenicline, although the results numerically favoured varenicline. The results of the </w:t>
      </w:r>
      <w:r w:rsidR="0024607A">
        <w:rPr>
          <w:szCs w:val="24"/>
        </w:rPr>
        <w:t>NMA</w:t>
      </w:r>
      <w:r w:rsidRPr="00A13556">
        <w:rPr>
          <w:szCs w:val="24"/>
        </w:rPr>
        <w:t xml:space="preserve"> should be interpreted with caution due to potential biases and uncertainties arising from heterogeneity and inconsistent outcomes between studies.</w:t>
      </w:r>
      <w:r w:rsidR="00D803BF">
        <w:rPr>
          <w:rStyle w:val="FootnoteReference"/>
          <w:szCs w:val="24"/>
        </w:rPr>
        <w:footnoteReference w:id="4"/>
      </w:r>
    </w:p>
    <w:p w14:paraId="6009A69C" w14:textId="73CFBDD6" w:rsidR="00217F24" w:rsidRPr="00A13556" w:rsidRDefault="00217F24" w:rsidP="00523139">
      <w:pPr>
        <w:spacing w:before="120" w:after="120"/>
        <w:jc w:val="both"/>
        <w:rPr>
          <w:b/>
          <w:szCs w:val="24"/>
        </w:rPr>
      </w:pPr>
      <w:r w:rsidRPr="00A13556">
        <w:rPr>
          <w:b/>
          <w:szCs w:val="24"/>
        </w:rPr>
        <w:t>Rational</w:t>
      </w:r>
      <w:r w:rsidR="001819DA">
        <w:rPr>
          <w:b/>
          <w:szCs w:val="24"/>
        </w:rPr>
        <w:t>e</w:t>
      </w:r>
      <w:r w:rsidRPr="00A13556">
        <w:rPr>
          <w:b/>
          <w:szCs w:val="24"/>
        </w:rPr>
        <w:t xml:space="preserve"> 2b</w:t>
      </w:r>
    </w:p>
    <w:p w14:paraId="6D49873C" w14:textId="77777777" w:rsidR="00217F24" w:rsidRPr="00A13556" w:rsidRDefault="00217F24" w:rsidP="00523139">
      <w:pPr>
        <w:pStyle w:val="ListParagraph"/>
        <w:numPr>
          <w:ilvl w:val="0"/>
          <w:numId w:val="57"/>
        </w:numPr>
        <w:spacing w:before="120" w:after="0"/>
        <w:ind w:left="357" w:hanging="357"/>
        <w:contextualSpacing w:val="0"/>
        <w:jc w:val="both"/>
        <w:rPr>
          <w:szCs w:val="24"/>
        </w:rPr>
      </w:pPr>
      <w:r w:rsidRPr="00A13556">
        <w:rPr>
          <w:szCs w:val="24"/>
        </w:rPr>
        <w:t xml:space="preserve">The reference group considered that high dose NRT was a useful treatment option for some patients who are highly nicotine dependent. However, they considered PBS restrictions should not allow higher doses (higher than 21mg/hr) first line and clinicians </w:t>
      </w:r>
      <w:r w:rsidRPr="00A13556">
        <w:rPr>
          <w:szCs w:val="24"/>
        </w:rPr>
        <w:lastRenderedPageBreak/>
        <w:t xml:space="preserve">should first trial standard dose NRT to avoid unnecessary treatment withdrawal and wastage. The reference group supported allowing high dose NRT under the PBS with an authority required level of restriction or increased quantities via authority approval. </w:t>
      </w:r>
    </w:p>
    <w:p w14:paraId="38D5FD76" w14:textId="77777777" w:rsidR="00217F24" w:rsidRPr="00A13556" w:rsidRDefault="00217F24" w:rsidP="00523139">
      <w:pPr>
        <w:pStyle w:val="ListParagraph"/>
        <w:numPr>
          <w:ilvl w:val="0"/>
          <w:numId w:val="57"/>
        </w:numPr>
        <w:spacing w:after="0"/>
        <w:ind w:left="357" w:hanging="357"/>
        <w:contextualSpacing w:val="0"/>
        <w:jc w:val="both"/>
        <w:rPr>
          <w:szCs w:val="24"/>
        </w:rPr>
      </w:pPr>
      <w:r w:rsidRPr="00A13556">
        <w:rPr>
          <w:szCs w:val="24"/>
        </w:rPr>
        <w:t xml:space="preserve">The reference group also noted that higher doses of NRT can be achieved by allowing combination NRT to be subsidised under the PBS. </w:t>
      </w:r>
    </w:p>
    <w:p w14:paraId="04696AAB" w14:textId="269AB3ED" w:rsidR="00217F24" w:rsidRPr="00A13556" w:rsidRDefault="00217F24" w:rsidP="00523139">
      <w:pPr>
        <w:pStyle w:val="ListParagraph"/>
        <w:numPr>
          <w:ilvl w:val="0"/>
          <w:numId w:val="57"/>
        </w:numPr>
        <w:spacing w:after="0"/>
        <w:ind w:left="357" w:hanging="357"/>
        <w:contextualSpacing w:val="0"/>
        <w:jc w:val="both"/>
        <w:rPr>
          <w:szCs w:val="24"/>
        </w:rPr>
      </w:pPr>
      <w:r w:rsidRPr="00A13556">
        <w:rPr>
          <w:szCs w:val="24"/>
        </w:rPr>
        <w:t>Stakeholders considered that the effectiveness of PBS-listed smoking cessation medicines could be improved by allowing higher doses (</w:t>
      </w:r>
      <w:r w:rsidR="001819DA" w:rsidRPr="00A13556">
        <w:rPr>
          <w:szCs w:val="24"/>
        </w:rPr>
        <w:t>i.e.,</w:t>
      </w:r>
      <w:r w:rsidRPr="00A13556">
        <w:rPr>
          <w:szCs w:val="24"/>
        </w:rPr>
        <w:t xml:space="preserve"> increased quantities) of currently listed NRT patches.</w:t>
      </w:r>
    </w:p>
    <w:p w14:paraId="5B2DCA95" w14:textId="77777777" w:rsidR="00217F24" w:rsidRPr="00A13556" w:rsidRDefault="00217F24" w:rsidP="00523139">
      <w:pPr>
        <w:pStyle w:val="ListParagraph"/>
        <w:numPr>
          <w:ilvl w:val="0"/>
          <w:numId w:val="57"/>
        </w:numPr>
        <w:spacing w:after="0"/>
        <w:ind w:left="357" w:hanging="357"/>
        <w:contextualSpacing w:val="0"/>
        <w:jc w:val="both"/>
        <w:rPr>
          <w:szCs w:val="24"/>
        </w:rPr>
      </w:pPr>
      <w:r w:rsidRPr="00A13556">
        <w:rPr>
          <w:szCs w:val="24"/>
        </w:rPr>
        <w:t>In the Cochrane Review by Lindson (2019), higher strength NRT patches (21 mg/24-hour) were shown to be superior to lower strength patches (14 mg/24-hour) in terms of efficacy. However, there were no statistically significant differences in smoking cessation rates reported for the other comparisons (25 mg/16-hour versus 15 mg/16-hour patches; 42/44 mg/24-hour versus 21/22 mg/24-hour patches). The majority of trials included in the Cochrane Review involved participants with a high level of dependence, who smoked 20 or more cigarettes a day.</w:t>
      </w:r>
    </w:p>
    <w:p w14:paraId="06C19345" w14:textId="77777777" w:rsidR="00217F24" w:rsidRPr="00A13556" w:rsidRDefault="00217F24" w:rsidP="00523139">
      <w:pPr>
        <w:pStyle w:val="ListParagraph"/>
        <w:numPr>
          <w:ilvl w:val="0"/>
          <w:numId w:val="57"/>
        </w:numPr>
        <w:spacing w:after="0"/>
        <w:ind w:left="357" w:hanging="357"/>
        <w:contextualSpacing w:val="0"/>
        <w:jc w:val="both"/>
        <w:rPr>
          <w:szCs w:val="24"/>
        </w:rPr>
      </w:pPr>
      <w:r w:rsidRPr="00A13556">
        <w:rPr>
          <w:szCs w:val="24"/>
        </w:rPr>
        <w:t>For the assessment of safety, there were no statistically significant differences in the key adverse event rates between higher strength and lower strength NRT patches, except for treatment withdrawals. The comparison between the 42/44 mg and 21/22 mg (24-hour) patches reported a significantly higher treatment withdrawal rate in patients treated with 42/44 mg (24-hour) patches.</w:t>
      </w:r>
    </w:p>
    <w:p w14:paraId="4B3B6913" w14:textId="77777777" w:rsidR="00217F24" w:rsidRPr="00A13556" w:rsidRDefault="00217F24" w:rsidP="00523139">
      <w:pPr>
        <w:pStyle w:val="ListParagraph"/>
        <w:numPr>
          <w:ilvl w:val="0"/>
          <w:numId w:val="57"/>
        </w:numPr>
        <w:spacing w:after="120"/>
        <w:ind w:left="357" w:hanging="357"/>
        <w:contextualSpacing w:val="0"/>
        <w:jc w:val="both"/>
        <w:rPr>
          <w:szCs w:val="24"/>
        </w:rPr>
      </w:pPr>
      <w:r w:rsidRPr="00A13556">
        <w:rPr>
          <w:szCs w:val="24"/>
        </w:rPr>
        <w:t>The allowable quantities for NRT patches in the current PBS restrictions do not account for ‘double-patching’ although several guidelines suggested that this may be useful for heavily dependent smokers.</w:t>
      </w:r>
    </w:p>
    <w:p w14:paraId="413AE1C8" w14:textId="77777777" w:rsidR="00217F24" w:rsidRPr="00A13556" w:rsidRDefault="00217F24" w:rsidP="00523139">
      <w:pPr>
        <w:spacing w:before="120" w:after="120"/>
        <w:jc w:val="both"/>
        <w:rPr>
          <w:b/>
          <w:color w:val="222222"/>
          <w:szCs w:val="24"/>
        </w:rPr>
      </w:pPr>
      <w:r w:rsidRPr="00A13556">
        <w:rPr>
          <w:b/>
          <w:i/>
          <w:color w:val="222222"/>
          <w:szCs w:val="24"/>
        </w:rPr>
        <w:t xml:space="preserve">Background </w:t>
      </w:r>
    </w:p>
    <w:p w14:paraId="0AF4945F" w14:textId="77777777" w:rsidR="00217F24" w:rsidRPr="00A13556" w:rsidRDefault="00217F24" w:rsidP="00523139">
      <w:pPr>
        <w:spacing w:before="120" w:after="120"/>
        <w:jc w:val="both"/>
        <w:rPr>
          <w:b/>
          <w:color w:val="222222"/>
          <w:szCs w:val="24"/>
        </w:rPr>
      </w:pPr>
      <w:r w:rsidRPr="00A13556">
        <w:rPr>
          <w:szCs w:val="24"/>
        </w:rPr>
        <w:t>The current PBS restrictions for NRT state “</w:t>
      </w:r>
      <w:r w:rsidRPr="00A13556">
        <w:rPr>
          <w:i/>
          <w:szCs w:val="24"/>
        </w:rPr>
        <w:t>the treatment must be the sole PBS-subsidised therapy for this condition”.</w:t>
      </w:r>
    </w:p>
    <w:p w14:paraId="63ECA467" w14:textId="17F555BB" w:rsidR="00217F24" w:rsidRPr="00A13556" w:rsidRDefault="00217F24" w:rsidP="00523139">
      <w:pPr>
        <w:spacing w:before="120" w:after="120"/>
        <w:jc w:val="both"/>
        <w:rPr>
          <w:szCs w:val="24"/>
        </w:rPr>
      </w:pPr>
      <w:r w:rsidRPr="00A13556">
        <w:rPr>
          <w:szCs w:val="24"/>
        </w:rPr>
        <w:t>Combinations of NRT for smoking cessation have not been previously considered by the PBAC. In March 2018, the PBAC noted that the latest clinical guidelines encouraged health professionals to consider recommending the use of combination NRT (</w:t>
      </w:r>
      <w:r w:rsidR="001819DA" w:rsidRPr="00A13556">
        <w:rPr>
          <w:szCs w:val="24"/>
        </w:rPr>
        <w:t>e.g.,</w:t>
      </w:r>
      <w:r w:rsidRPr="00A13556">
        <w:rPr>
          <w:szCs w:val="24"/>
        </w:rPr>
        <w:t xml:space="preserve"> NRT patch with NRT gum or lozenges).</w:t>
      </w:r>
    </w:p>
    <w:p w14:paraId="086BDD7C" w14:textId="45E58FC3" w:rsidR="00217F24" w:rsidRPr="00A13556" w:rsidRDefault="008F5852" w:rsidP="00523139">
      <w:pPr>
        <w:pStyle w:val="Heading3"/>
        <w:spacing w:before="120" w:after="120"/>
        <w:jc w:val="both"/>
      </w:pPr>
      <w:bookmarkStart w:id="77" w:name="_Toc111710705"/>
      <w:r>
        <w:t xml:space="preserve">5.3 </w:t>
      </w:r>
      <w:r w:rsidR="00217F24" w:rsidRPr="00A13556">
        <w:t>Option 3</w:t>
      </w:r>
      <w:bookmarkEnd w:id="77"/>
      <w:r w:rsidR="00154AAA">
        <w:t xml:space="preserve"> </w:t>
      </w:r>
    </w:p>
    <w:p w14:paraId="2D1C9E43" w14:textId="39E6971D" w:rsidR="00217F24" w:rsidRPr="00A13556" w:rsidRDefault="00217F24" w:rsidP="00523139">
      <w:pPr>
        <w:pStyle w:val="ListParagraph"/>
        <w:numPr>
          <w:ilvl w:val="0"/>
          <w:numId w:val="56"/>
        </w:numPr>
        <w:spacing w:before="120" w:after="120"/>
        <w:ind w:left="357" w:hanging="357"/>
        <w:contextualSpacing w:val="0"/>
        <w:jc w:val="both"/>
        <w:rPr>
          <w:szCs w:val="24"/>
        </w:rPr>
      </w:pPr>
      <w:r w:rsidRPr="00A13556">
        <w:rPr>
          <w:szCs w:val="24"/>
        </w:rPr>
        <w:t>Remove the requirement for varenicline to be used as monotherapy, to allow for use in combination with NRT on the PBS.</w:t>
      </w:r>
    </w:p>
    <w:p w14:paraId="3DF03D5E" w14:textId="77777777" w:rsidR="00217F24" w:rsidRPr="00A13556" w:rsidRDefault="00217F24" w:rsidP="00523139">
      <w:pPr>
        <w:spacing w:before="120" w:after="120"/>
        <w:jc w:val="both"/>
        <w:rPr>
          <w:szCs w:val="24"/>
        </w:rPr>
      </w:pPr>
      <w:r w:rsidRPr="00A13556">
        <w:rPr>
          <w:b/>
          <w:szCs w:val="24"/>
        </w:rPr>
        <w:t>Rationale</w:t>
      </w:r>
    </w:p>
    <w:p w14:paraId="446F0E7F" w14:textId="59201B20" w:rsidR="00217F24" w:rsidRPr="00A13556" w:rsidRDefault="00217F24" w:rsidP="00523139">
      <w:pPr>
        <w:pStyle w:val="ListParagraph"/>
        <w:numPr>
          <w:ilvl w:val="0"/>
          <w:numId w:val="57"/>
        </w:numPr>
        <w:spacing w:after="0"/>
        <w:ind w:left="357" w:hanging="357"/>
        <w:contextualSpacing w:val="0"/>
        <w:jc w:val="both"/>
        <w:rPr>
          <w:szCs w:val="24"/>
        </w:rPr>
      </w:pPr>
      <w:r w:rsidRPr="00A13556">
        <w:rPr>
          <w:szCs w:val="24"/>
        </w:rPr>
        <w:t xml:space="preserve">The Review Report found that varenicline in combination with NRT patch was shown to be superior to varenicline alone in terms of efficacy, but the results were no longer significant after excluding one RCT identified that had </w:t>
      </w:r>
      <w:r w:rsidR="00C567C0" w:rsidRPr="00A13556">
        <w:rPr>
          <w:szCs w:val="24"/>
        </w:rPr>
        <w:t>a different</w:t>
      </w:r>
      <w:r w:rsidRPr="00A13556">
        <w:rPr>
          <w:szCs w:val="24"/>
        </w:rPr>
        <w:t xml:space="preserve"> study design and participant characteristics. There were no statistically significant differences between varenicline plus NRT patch and varenicline alone in terms of nausea, insomnia, abnormal </w:t>
      </w:r>
      <w:r w:rsidR="00C567C0" w:rsidRPr="00A13556">
        <w:rPr>
          <w:szCs w:val="24"/>
        </w:rPr>
        <w:t>dreams,</w:t>
      </w:r>
      <w:r w:rsidRPr="00A13556">
        <w:rPr>
          <w:szCs w:val="24"/>
        </w:rPr>
        <w:t xml:space="preserve"> or headache.</w:t>
      </w:r>
    </w:p>
    <w:p w14:paraId="738C05AF" w14:textId="6DC965B3" w:rsidR="00217F24" w:rsidRPr="00523139" w:rsidRDefault="00217F24" w:rsidP="00523139">
      <w:pPr>
        <w:pStyle w:val="ListParagraph"/>
        <w:numPr>
          <w:ilvl w:val="0"/>
          <w:numId w:val="57"/>
        </w:numPr>
        <w:spacing w:after="0"/>
        <w:ind w:left="357" w:hanging="357"/>
        <w:contextualSpacing w:val="0"/>
        <w:jc w:val="both"/>
        <w:rPr>
          <w:szCs w:val="24"/>
        </w:rPr>
      </w:pPr>
      <w:r w:rsidRPr="00A13556">
        <w:rPr>
          <w:szCs w:val="24"/>
        </w:rPr>
        <w:t xml:space="preserve">The </w:t>
      </w:r>
      <w:r w:rsidR="00C567C0">
        <w:rPr>
          <w:szCs w:val="24"/>
        </w:rPr>
        <w:t>r</w:t>
      </w:r>
      <w:r w:rsidRPr="00A13556">
        <w:rPr>
          <w:szCs w:val="24"/>
        </w:rPr>
        <w:t xml:space="preserve">eference </w:t>
      </w:r>
      <w:r w:rsidR="00C567C0">
        <w:rPr>
          <w:szCs w:val="24"/>
        </w:rPr>
        <w:t>g</w:t>
      </w:r>
      <w:r w:rsidRPr="00A13556">
        <w:rPr>
          <w:szCs w:val="24"/>
        </w:rPr>
        <w:t xml:space="preserve">roup acknowledged that cost-effectiveness modelling for varenicline + NRT versus varenicline would be </w:t>
      </w:r>
      <w:r w:rsidR="00C567C0" w:rsidRPr="00A13556">
        <w:rPr>
          <w:szCs w:val="24"/>
        </w:rPr>
        <w:t>informative if</w:t>
      </w:r>
      <w:r w:rsidRPr="00A13556">
        <w:rPr>
          <w:szCs w:val="24"/>
        </w:rPr>
        <w:t xml:space="preserve"> the </w:t>
      </w:r>
      <w:r w:rsidR="00C567C0" w:rsidRPr="00A13556">
        <w:rPr>
          <w:szCs w:val="24"/>
        </w:rPr>
        <w:t>PBAC consider</w:t>
      </w:r>
      <w:r w:rsidRPr="00A13556">
        <w:rPr>
          <w:szCs w:val="24"/>
        </w:rPr>
        <w:t xml:space="preserve"> combination varenicline + NRT </w:t>
      </w:r>
      <w:r w:rsidR="008531D1">
        <w:rPr>
          <w:szCs w:val="24"/>
        </w:rPr>
        <w:t>a clinically effective treatment.</w:t>
      </w:r>
      <w:r w:rsidRPr="00A13556">
        <w:rPr>
          <w:szCs w:val="24"/>
        </w:rPr>
        <w:t xml:space="preserve"> </w:t>
      </w:r>
    </w:p>
    <w:p w14:paraId="5DC30BD3" w14:textId="77777777" w:rsidR="00217F24" w:rsidRPr="00523139" w:rsidRDefault="00217F24" w:rsidP="00523139">
      <w:pPr>
        <w:pStyle w:val="ListParagraph"/>
        <w:numPr>
          <w:ilvl w:val="0"/>
          <w:numId w:val="57"/>
        </w:numPr>
        <w:spacing w:after="0"/>
        <w:ind w:left="357" w:hanging="357"/>
        <w:contextualSpacing w:val="0"/>
        <w:jc w:val="both"/>
        <w:rPr>
          <w:szCs w:val="24"/>
        </w:rPr>
      </w:pPr>
      <w:r w:rsidRPr="00A13556">
        <w:rPr>
          <w:szCs w:val="24"/>
        </w:rPr>
        <w:lastRenderedPageBreak/>
        <w:t>Two national guidelines (RACGP and Cancer Council Victoria) and one international guideline (Canada) recommended the use of varenicline in combination with NRT as an alternative to varenicline alone.</w:t>
      </w:r>
    </w:p>
    <w:p w14:paraId="516FFBD0" w14:textId="493DDBD2" w:rsidR="00EC6AB5" w:rsidRPr="002F3376" w:rsidRDefault="00217F24" w:rsidP="00523139">
      <w:pPr>
        <w:pStyle w:val="ListParagraph"/>
        <w:numPr>
          <w:ilvl w:val="0"/>
          <w:numId w:val="57"/>
        </w:numPr>
        <w:spacing w:after="120"/>
        <w:ind w:left="357" w:hanging="357"/>
        <w:contextualSpacing w:val="0"/>
        <w:jc w:val="both"/>
        <w:rPr>
          <w:szCs w:val="24"/>
        </w:rPr>
      </w:pPr>
      <w:r w:rsidRPr="00A13556">
        <w:rPr>
          <w:szCs w:val="24"/>
        </w:rPr>
        <w:t>There were no statistically significant differences between varenicline plus bupropion compared to varenicline alone in terms of efficacy. While a significantly higher proportion of patients in the varenicline plus bupropion arm experienced any adverse events and psychiatric adverse events compared with patients in the varenicline alone arm, there were no statistically significant differences in serious adverse events and discontinuation due to adverse events.</w:t>
      </w:r>
    </w:p>
    <w:p w14:paraId="3D51934B" w14:textId="77777777" w:rsidR="00217F24" w:rsidRPr="00A13556" w:rsidRDefault="00217F24" w:rsidP="00523139">
      <w:pPr>
        <w:spacing w:before="120" w:after="120"/>
        <w:jc w:val="both"/>
        <w:rPr>
          <w:b/>
          <w:szCs w:val="24"/>
        </w:rPr>
      </w:pPr>
      <w:r w:rsidRPr="00A13556">
        <w:rPr>
          <w:b/>
          <w:i/>
          <w:szCs w:val="24"/>
        </w:rPr>
        <w:t xml:space="preserve">Background </w:t>
      </w:r>
    </w:p>
    <w:p w14:paraId="7D8C8ABF" w14:textId="77777777" w:rsidR="00217F24" w:rsidRPr="00A13556" w:rsidRDefault="00217F24" w:rsidP="00523139">
      <w:pPr>
        <w:spacing w:before="120" w:after="120"/>
        <w:jc w:val="both"/>
        <w:rPr>
          <w:b/>
          <w:szCs w:val="24"/>
        </w:rPr>
      </w:pPr>
      <w:r w:rsidRPr="00A13556">
        <w:rPr>
          <w:szCs w:val="24"/>
        </w:rPr>
        <w:t xml:space="preserve">The current PBS restrictions for varenicline state, </w:t>
      </w:r>
      <w:r w:rsidRPr="00A13556">
        <w:rPr>
          <w:i/>
          <w:szCs w:val="24"/>
        </w:rPr>
        <w:t xml:space="preserve">“the treatment must be the sole PBS-subsidised therapy for this condition”. </w:t>
      </w:r>
      <w:r w:rsidRPr="00A13556">
        <w:rPr>
          <w:szCs w:val="24"/>
        </w:rPr>
        <w:t>The PBAC has not previously considered a submission for the listing of varenicline in combination with NRT of bupropion.</w:t>
      </w:r>
    </w:p>
    <w:p w14:paraId="13B3ADD0" w14:textId="29BC8528" w:rsidR="00217F24" w:rsidRPr="00A13556" w:rsidRDefault="008F382B" w:rsidP="00523139">
      <w:pPr>
        <w:pStyle w:val="Heading3"/>
        <w:spacing w:before="120" w:after="120"/>
        <w:jc w:val="both"/>
      </w:pPr>
      <w:bookmarkStart w:id="78" w:name="_Toc111710706"/>
      <w:r>
        <w:t xml:space="preserve">5.4 </w:t>
      </w:r>
      <w:r w:rsidR="00217F24" w:rsidRPr="00A13556">
        <w:t>Option 4</w:t>
      </w:r>
      <w:bookmarkEnd w:id="78"/>
    </w:p>
    <w:p w14:paraId="6F1FB1BE" w14:textId="624F867A" w:rsidR="00217F24" w:rsidRPr="00523139" w:rsidRDefault="00217F24" w:rsidP="00523139">
      <w:pPr>
        <w:pStyle w:val="ListParagraph"/>
        <w:numPr>
          <w:ilvl w:val="0"/>
          <w:numId w:val="56"/>
        </w:numPr>
        <w:spacing w:before="120" w:after="120"/>
        <w:ind w:left="357" w:hanging="357"/>
        <w:contextualSpacing w:val="0"/>
        <w:jc w:val="both"/>
        <w:rPr>
          <w:szCs w:val="24"/>
        </w:rPr>
      </w:pPr>
      <w:r w:rsidRPr="00A13556">
        <w:rPr>
          <w:szCs w:val="24"/>
        </w:rPr>
        <w:t xml:space="preserve">Recommend an education campaign targeting prescribers to raise awareness of the improved effectiveness of smoking cessation pharmacotherapies when provided in combination with comprehensive support and </w:t>
      </w:r>
      <w:r w:rsidR="00C567C0" w:rsidRPr="00A13556">
        <w:rPr>
          <w:szCs w:val="24"/>
        </w:rPr>
        <w:t>counselling and</w:t>
      </w:r>
      <w:r w:rsidRPr="00A13556">
        <w:rPr>
          <w:szCs w:val="24"/>
        </w:rPr>
        <w:t xml:space="preserve"> enable prescribers to support best practice in recommending or providing comprehensive support and counselling services.</w:t>
      </w:r>
    </w:p>
    <w:p w14:paraId="2DF2B42B" w14:textId="77777777" w:rsidR="00217F24" w:rsidRPr="00A13556" w:rsidRDefault="00217F24" w:rsidP="00523139">
      <w:pPr>
        <w:spacing w:before="120" w:after="120"/>
        <w:jc w:val="both"/>
        <w:rPr>
          <w:b/>
          <w:szCs w:val="24"/>
        </w:rPr>
      </w:pPr>
      <w:r w:rsidRPr="00A13556">
        <w:rPr>
          <w:b/>
          <w:szCs w:val="24"/>
        </w:rPr>
        <w:t>Rationale</w:t>
      </w:r>
    </w:p>
    <w:p w14:paraId="52F6B00F" w14:textId="77777777" w:rsidR="00217F24" w:rsidRPr="00A13556" w:rsidRDefault="00217F24" w:rsidP="00D25738">
      <w:pPr>
        <w:pStyle w:val="ListParagraph"/>
        <w:numPr>
          <w:ilvl w:val="0"/>
          <w:numId w:val="61"/>
        </w:numPr>
        <w:spacing w:after="120"/>
        <w:jc w:val="both"/>
        <w:rPr>
          <w:szCs w:val="24"/>
        </w:rPr>
      </w:pPr>
      <w:r w:rsidRPr="00A13556">
        <w:rPr>
          <w:szCs w:val="24"/>
        </w:rPr>
        <w:t>The evidence considered in the Review Report found that smoking cessation rates improved when the following forms or counselling were used:</w:t>
      </w:r>
    </w:p>
    <w:p w14:paraId="5CCD1281" w14:textId="77777777" w:rsidR="00217F24" w:rsidRPr="00A13556" w:rsidRDefault="00217F24" w:rsidP="00D25738">
      <w:pPr>
        <w:pStyle w:val="ListParagraph"/>
        <w:numPr>
          <w:ilvl w:val="1"/>
          <w:numId w:val="61"/>
        </w:numPr>
        <w:spacing w:after="120"/>
        <w:jc w:val="both"/>
        <w:rPr>
          <w:szCs w:val="24"/>
        </w:rPr>
      </w:pPr>
      <w:r w:rsidRPr="00A13556">
        <w:rPr>
          <w:szCs w:val="24"/>
        </w:rPr>
        <w:t xml:space="preserve">proactive telephone counselling, </w:t>
      </w:r>
    </w:p>
    <w:p w14:paraId="424BBDA6" w14:textId="77777777" w:rsidR="00217F24" w:rsidRPr="00A13556" w:rsidRDefault="00217F24" w:rsidP="00D25738">
      <w:pPr>
        <w:pStyle w:val="ListParagraph"/>
        <w:numPr>
          <w:ilvl w:val="1"/>
          <w:numId w:val="61"/>
        </w:numPr>
        <w:spacing w:after="120"/>
        <w:jc w:val="both"/>
        <w:rPr>
          <w:szCs w:val="24"/>
        </w:rPr>
      </w:pPr>
      <w:r w:rsidRPr="00A13556">
        <w:rPr>
          <w:szCs w:val="24"/>
        </w:rPr>
        <w:t xml:space="preserve">more intensive face-to-face behavioural interventions delivered by community pharmacy personnel, and </w:t>
      </w:r>
    </w:p>
    <w:p w14:paraId="6EB75A86" w14:textId="3EA99ED7" w:rsidR="00217F24" w:rsidRPr="00A13556" w:rsidRDefault="00217F24" w:rsidP="00D25738">
      <w:pPr>
        <w:pStyle w:val="ListParagraph"/>
        <w:numPr>
          <w:ilvl w:val="1"/>
          <w:numId w:val="61"/>
        </w:numPr>
        <w:spacing w:after="120"/>
        <w:jc w:val="both"/>
        <w:rPr>
          <w:szCs w:val="24"/>
        </w:rPr>
      </w:pPr>
      <w:r w:rsidRPr="00A13556">
        <w:rPr>
          <w:szCs w:val="24"/>
        </w:rPr>
        <w:t>individual face-to-face counselling by a trained smoking cessation counsellor</w:t>
      </w:r>
      <w:r w:rsidR="00C567C0">
        <w:rPr>
          <w:szCs w:val="24"/>
        </w:rPr>
        <w:t>.</w:t>
      </w:r>
      <w:r w:rsidRPr="00A13556">
        <w:rPr>
          <w:szCs w:val="24"/>
        </w:rPr>
        <w:t xml:space="preserve"> </w:t>
      </w:r>
    </w:p>
    <w:p w14:paraId="0B18C2FD" w14:textId="77777777" w:rsidR="00217F24" w:rsidRPr="00A13556" w:rsidRDefault="00217F24" w:rsidP="00D25738">
      <w:pPr>
        <w:pStyle w:val="ListParagraph"/>
        <w:numPr>
          <w:ilvl w:val="0"/>
          <w:numId w:val="61"/>
        </w:numPr>
        <w:spacing w:after="120"/>
        <w:jc w:val="both"/>
        <w:rPr>
          <w:szCs w:val="24"/>
        </w:rPr>
      </w:pPr>
      <w:r w:rsidRPr="00A13556">
        <w:rPr>
          <w:szCs w:val="24"/>
        </w:rPr>
        <w:t xml:space="preserve">There was no difference in smoking cessation rates when using group therapy and print-based self-help materials. </w:t>
      </w:r>
    </w:p>
    <w:p w14:paraId="4FFD2493" w14:textId="77777777" w:rsidR="00217F24" w:rsidRPr="00A13556" w:rsidRDefault="00217F24" w:rsidP="00523139">
      <w:pPr>
        <w:pStyle w:val="ListParagraph"/>
        <w:numPr>
          <w:ilvl w:val="0"/>
          <w:numId w:val="61"/>
        </w:numPr>
        <w:spacing w:after="120"/>
        <w:jc w:val="both"/>
        <w:rPr>
          <w:szCs w:val="24"/>
        </w:rPr>
      </w:pPr>
      <w:r w:rsidRPr="00A13556">
        <w:rPr>
          <w:szCs w:val="24"/>
        </w:rPr>
        <w:t>Hartmann-Boyce et al. (2019) compared more intensive forms of behavioural therapy with less intensive forms. The analysis found a statistically significant improvement in smoking cessation rates for more intensive pharmacotherapy, irrespective of the type of pharmacotherapy. For specific pharmacotherapies the results found:</w:t>
      </w:r>
    </w:p>
    <w:p w14:paraId="3D70EBE0" w14:textId="77777777" w:rsidR="00217F24" w:rsidRPr="00A13556" w:rsidRDefault="00217F24" w:rsidP="00523139">
      <w:pPr>
        <w:pStyle w:val="ListParagraph"/>
        <w:numPr>
          <w:ilvl w:val="1"/>
          <w:numId w:val="61"/>
        </w:numPr>
        <w:spacing w:after="120"/>
        <w:jc w:val="both"/>
        <w:rPr>
          <w:szCs w:val="24"/>
        </w:rPr>
      </w:pPr>
      <w:r w:rsidRPr="00A13556">
        <w:rPr>
          <w:szCs w:val="24"/>
        </w:rPr>
        <w:t xml:space="preserve">A statistically significant improvement in smoking cessation rates in patients receiving more intensive behavioural intervention when used in combination with NRT or bupropion. </w:t>
      </w:r>
    </w:p>
    <w:p w14:paraId="3015CD5D" w14:textId="77777777" w:rsidR="00217F24" w:rsidRPr="00A13556" w:rsidRDefault="00217F24" w:rsidP="00523139">
      <w:pPr>
        <w:pStyle w:val="ListParagraph"/>
        <w:numPr>
          <w:ilvl w:val="1"/>
          <w:numId w:val="61"/>
        </w:numPr>
        <w:spacing w:after="120"/>
        <w:jc w:val="both"/>
        <w:rPr>
          <w:szCs w:val="24"/>
        </w:rPr>
      </w:pPr>
      <w:r w:rsidRPr="00A13556">
        <w:rPr>
          <w:szCs w:val="24"/>
        </w:rPr>
        <w:t xml:space="preserve">No statistically significant differences in smoking cessation rates between the more intensive and the less intensive arms when used in combination with varenicline or NRT plus bupropion, which was likely due to the smaller number of studies leading to lower precision rather than a true difference in effect. </w:t>
      </w:r>
    </w:p>
    <w:p w14:paraId="4F742C38" w14:textId="762B36C9" w:rsidR="00217F24" w:rsidRPr="00A13556" w:rsidRDefault="00217F24" w:rsidP="00523139">
      <w:pPr>
        <w:pStyle w:val="ListParagraph"/>
        <w:numPr>
          <w:ilvl w:val="0"/>
          <w:numId w:val="61"/>
        </w:numPr>
        <w:spacing w:after="120"/>
        <w:jc w:val="both"/>
        <w:rPr>
          <w:szCs w:val="24"/>
        </w:rPr>
      </w:pPr>
      <w:r w:rsidRPr="00A13556">
        <w:rPr>
          <w:szCs w:val="24"/>
        </w:rPr>
        <w:t xml:space="preserve">The findings from ToR 2 suggest the number of calls/contacts with Quitline were significantly less than the number of people dispensed smoking cessation medicines under the PBS. The </w:t>
      </w:r>
      <w:r w:rsidR="00FA3D39">
        <w:rPr>
          <w:szCs w:val="24"/>
        </w:rPr>
        <w:t>r</w:t>
      </w:r>
      <w:r w:rsidRPr="00A13556">
        <w:rPr>
          <w:szCs w:val="24"/>
        </w:rPr>
        <w:t xml:space="preserve">eference </w:t>
      </w:r>
      <w:r w:rsidR="00FA3D39">
        <w:rPr>
          <w:szCs w:val="24"/>
        </w:rPr>
        <w:t>g</w:t>
      </w:r>
      <w:r w:rsidRPr="00A13556">
        <w:rPr>
          <w:szCs w:val="24"/>
        </w:rPr>
        <w:t xml:space="preserve">roup noted that consumers may receive counselling through other means, such as through a </w:t>
      </w:r>
      <w:r w:rsidR="00FA3D39">
        <w:rPr>
          <w:szCs w:val="24"/>
        </w:rPr>
        <w:t>g</w:t>
      </w:r>
      <w:r w:rsidR="00FA3D39" w:rsidRPr="00FA3D39">
        <w:rPr>
          <w:szCs w:val="24"/>
        </w:rPr>
        <w:t xml:space="preserve">eneral </w:t>
      </w:r>
      <w:r w:rsidR="00FA3D39">
        <w:rPr>
          <w:szCs w:val="24"/>
        </w:rPr>
        <w:t>p</w:t>
      </w:r>
      <w:r w:rsidR="00FA3D39" w:rsidRPr="00FA3D39">
        <w:rPr>
          <w:szCs w:val="24"/>
        </w:rPr>
        <w:t xml:space="preserve">ractitioner </w:t>
      </w:r>
      <w:r w:rsidR="00FA3D39">
        <w:rPr>
          <w:szCs w:val="24"/>
        </w:rPr>
        <w:t>(</w:t>
      </w:r>
      <w:r w:rsidRPr="00A13556">
        <w:rPr>
          <w:szCs w:val="24"/>
        </w:rPr>
        <w:t>GP</w:t>
      </w:r>
      <w:r w:rsidR="00FA3D39">
        <w:rPr>
          <w:szCs w:val="24"/>
        </w:rPr>
        <w:t>)</w:t>
      </w:r>
      <w:r w:rsidRPr="00A13556">
        <w:rPr>
          <w:szCs w:val="24"/>
        </w:rPr>
        <w:t>.</w:t>
      </w:r>
    </w:p>
    <w:p w14:paraId="368CC2E3" w14:textId="23CE4223" w:rsidR="00D25738" w:rsidRPr="00523139" w:rsidRDefault="00217F24" w:rsidP="00523139">
      <w:pPr>
        <w:pStyle w:val="ListParagraph"/>
        <w:numPr>
          <w:ilvl w:val="0"/>
          <w:numId w:val="61"/>
        </w:numPr>
        <w:spacing w:after="120"/>
        <w:ind w:left="357" w:hanging="357"/>
        <w:contextualSpacing w:val="0"/>
        <w:jc w:val="both"/>
        <w:rPr>
          <w:b/>
          <w:i/>
          <w:color w:val="222222"/>
          <w:szCs w:val="24"/>
        </w:rPr>
      </w:pPr>
      <w:r w:rsidRPr="00A13556">
        <w:rPr>
          <w:szCs w:val="24"/>
        </w:rPr>
        <w:lastRenderedPageBreak/>
        <w:t xml:space="preserve">The </w:t>
      </w:r>
      <w:r w:rsidR="00FA3D39">
        <w:rPr>
          <w:szCs w:val="24"/>
        </w:rPr>
        <w:t>r</w:t>
      </w:r>
      <w:r w:rsidRPr="00A13556">
        <w:rPr>
          <w:szCs w:val="24"/>
        </w:rPr>
        <w:t xml:space="preserve">eference </w:t>
      </w:r>
      <w:r w:rsidR="00FA3D39">
        <w:rPr>
          <w:szCs w:val="24"/>
        </w:rPr>
        <w:t>g</w:t>
      </w:r>
      <w:r w:rsidRPr="00A13556">
        <w:rPr>
          <w:szCs w:val="24"/>
        </w:rPr>
        <w:t xml:space="preserve">roup considered that changes to the PBS restriction criteria for counselling would be difficult to enforce and would not improve counselling received by patients. </w:t>
      </w:r>
    </w:p>
    <w:p w14:paraId="166F4F32" w14:textId="577ECD09" w:rsidR="00217F24" w:rsidRPr="00A13556" w:rsidRDefault="00217F24" w:rsidP="00523139">
      <w:pPr>
        <w:spacing w:before="120" w:after="120"/>
        <w:jc w:val="both"/>
        <w:rPr>
          <w:b/>
          <w:i/>
          <w:color w:val="222222"/>
          <w:szCs w:val="24"/>
        </w:rPr>
      </w:pPr>
      <w:r w:rsidRPr="00A13556">
        <w:rPr>
          <w:b/>
          <w:i/>
          <w:color w:val="222222"/>
          <w:szCs w:val="24"/>
        </w:rPr>
        <w:t xml:space="preserve">Background </w:t>
      </w:r>
    </w:p>
    <w:p w14:paraId="473DDC19" w14:textId="3D41F930" w:rsidR="00217F24" w:rsidRPr="00A13556" w:rsidRDefault="00217F24" w:rsidP="00523139">
      <w:pPr>
        <w:spacing w:before="120" w:after="120"/>
        <w:jc w:val="both"/>
        <w:rPr>
          <w:b/>
          <w:i/>
          <w:color w:val="222222"/>
          <w:szCs w:val="24"/>
        </w:rPr>
      </w:pPr>
      <w:r w:rsidRPr="00A13556">
        <w:rPr>
          <w:szCs w:val="24"/>
        </w:rPr>
        <w:t xml:space="preserve">PBS restrictions for smoking cessation therapy state that </w:t>
      </w:r>
      <w:r w:rsidR="00FA3D39">
        <w:rPr>
          <w:szCs w:val="24"/>
        </w:rPr>
        <w:t>“</w:t>
      </w:r>
      <w:r w:rsidRPr="00A13556">
        <w:rPr>
          <w:i/>
          <w:szCs w:val="24"/>
        </w:rPr>
        <w:t>patient must be undergoing concurrent counselling for smoking cessation through a comprehensive support and counselling program or is about to enter such a program at the time PBS-subsidised treatment is initiated. Details of the support and counselling program must be documented in the patient's medical records at the time treatment is initiated.</w:t>
      </w:r>
      <w:r w:rsidR="00FA3D39">
        <w:rPr>
          <w:i/>
          <w:szCs w:val="24"/>
        </w:rPr>
        <w:t>”</w:t>
      </w:r>
    </w:p>
    <w:p w14:paraId="2B3187FF" w14:textId="5F968A92" w:rsidR="00217F24" w:rsidRPr="00A13556" w:rsidRDefault="00217F24" w:rsidP="00523139">
      <w:pPr>
        <w:spacing w:before="120" w:after="120"/>
        <w:jc w:val="both"/>
        <w:rPr>
          <w:szCs w:val="24"/>
        </w:rPr>
      </w:pPr>
      <w:r w:rsidRPr="00A13556">
        <w:rPr>
          <w:szCs w:val="24"/>
        </w:rPr>
        <w:t xml:space="preserve">The exception is the current PBS restrictions for Aboriginal and Torres Strait Islander </w:t>
      </w:r>
      <w:r w:rsidR="008B5A2D" w:rsidRPr="00A13556">
        <w:rPr>
          <w:szCs w:val="24"/>
        </w:rPr>
        <w:t>people, which</w:t>
      </w:r>
      <w:r w:rsidRPr="00A13556">
        <w:rPr>
          <w:szCs w:val="24"/>
        </w:rPr>
        <w:t xml:space="preserve"> recommend comprehensive support and counselling, but do not require it for PBS subsidy.</w:t>
      </w:r>
    </w:p>
    <w:p w14:paraId="263AFE1B" w14:textId="66370D24" w:rsidR="00217F24" w:rsidRPr="00A13556" w:rsidRDefault="00815A6D" w:rsidP="00523139">
      <w:pPr>
        <w:pStyle w:val="Heading3"/>
        <w:spacing w:before="120" w:after="120"/>
        <w:jc w:val="both"/>
      </w:pPr>
      <w:bookmarkStart w:id="79" w:name="_Toc111710707"/>
      <w:r>
        <w:t xml:space="preserve">5.5 </w:t>
      </w:r>
      <w:r w:rsidR="00217F24" w:rsidRPr="00A13556">
        <w:t>Option 5</w:t>
      </w:r>
      <w:bookmarkEnd w:id="79"/>
    </w:p>
    <w:p w14:paraId="40331BB0" w14:textId="77777777" w:rsidR="00217F24" w:rsidRPr="00A13556" w:rsidRDefault="00217F24" w:rsidP="00523139">
      <w:pPr>
        <w:pStyle w:val="ListParagraph"/>
        <w:numPr>
          <w:ilvl w:val="0"/>
          <w:numId w:val="56"/>
        </w:numPr>
        <w:spacing w:before="120" w:after="120"/>
        <w:ind w:left="357" w:hanging="357"/>
        <w:contextualSpacing w:val="0"/>
        <w:jc w:val="both"/>
        <w:rPr>
          <w:szCs w:val="24"/>
        </w:rPr>
      </w:pPr>
      <w:r w:rsidRPr="00A13556">
        <w:rPr>
          <w:szCs w:val="24"/>
        </w:rPr>
        <w:t>Consider the PBS listing of nicotine inhaler* and/or nicotine mouth spray.</w:t>
      </w:r>
    </w:p>
    <w:p w14:paraId="03BA0C87" w14:textId="77777777" w:rsidR="00217F24" w:rsidRPr="00A13556" w:rsidRDefault="00217F24" w:rsidP="00523139">
      <w:pPr>
        <w:spacing w:before="120" w:after="120"/>
        <w:jc w:val="both"/>
        <w:rPr>
          <w:szCs w:val="24"/>
        </w:rPr>
      </w:pPr>
      <w:r w:rsidRPr="00A13556">
        <w:rPr>
          <w:szCs w:val="24"/>
        </w:rPr>
        <w:t>*Nicotine inhaler products do not include electronic cigarettes or e-liquids which were excluded from the PMR of medicines for smoking cessation.</w:t>
      </w:r>
    </w:p>
    <w:p w14:paraId="137F4580" w14:textId="77777777" w:rsidR="00217F24" w:rsidRPr="00A13556" w:rsidRDefault="00217F24" w:rsidP="00523139">
      <w:pPr>
        <w:spacing w:before="120" w:after="120"/>
        <w:jc w:val="both"/>
        <w:rPr>
          <w:b/>
          <w:szCs w:val="24"/>
        </w:rPr>
      </w:pPr>
      <w:r w:rsidRPr="00A13556">
        <w:rPr>
          <w:b/>
          <w:szCs w:val="24"/>
        </w:rPr>
        <w:t>Rationale</w:t>
      </w:r>
    </w:p>
    <w:p w14:paraId="149A0AA8" w14:textId="77777777" w:rsidR="00217F24" w:rsidRPr="00A13556" w:rsidRDefault="00217F24" w:rsidP="00523139">
      <w:pPr>
        <w:pStyle w:val="ListParagraph"/>
        <w:numPr>
          <w:ilvl w:val="0"/>
          <w:numId w:val="63"/>
        </w:numPr>
        <w:spacing w:before="120" w:after="0"/>
        <w:ind w:left="357" w:hanging="357"/>
        <w:contextualSpacing w:val="0"/>
        <w:jc w:val="both"/>
        <w:rPr>
          <w:szCs w:val="24"/>
        </w:rPr>
      </w:pPr>
      <w:r w:rsidRPr="00A13556">
        <w:rPr>
          <w:szCs w:val="24"/>
        </w:rPr>
        <w:t>Stakeholders felt that all forms of NRT should be subsidised under the PBS because various formulations may not be clinically appropriate for certain patients. This includes nicotine inhalers and mouth spray.</w:t>
      </w:r>
    </w:p>
    <w:p w14:paraId="7497899F" w14:textId="77777777" w:rsidR="00217F24" w:rsidRPr="00A13556" w:rsidRDefault="00217F24" w:rsidP="00D25738">
      <w:pPr>
        <w:pStyle w:val="ListParagraph"/>
        <w:numPr>
          <w:ilvl w:val="0"/>
          <w:numId w:val="63"/>
        </w:numPr>
        <w:spacing w:after="240"/>
        <w:jc w:val="both"/>
        <w:rPr>
          <w:szCs w:val="24"/>
        </w:rPr>
      </w:pPr>
      <w:r w:rsidRPr="00A13556">
        <w:rPr>
          <w:szCs w:val="24"/>
        </w:rPr>
        <w:t>The reference group acknowledged that the PBAC would require a sponsor or other entity to make a submission requesting the PBS listing of these products demonstrating efficacy, safety and cost-effectiveness before a recommendation can be made.</w:t>
      </w:r>
    </w:p>
    <w:p w14:paraId="74879A9C" w14:textId="67B31D0F" w:rsidR="00217F24" w:rsidRPr="00A13556" w:rsidRDefault="00217F24" w:rsidP="00D25738">
      <w:pPr>
        <w:pStyle w:val="ListParagraph"/>
        <w:numPr>
          <w:ilvl w:val="0"/>
          <w:numId w:val="63"/>
        </w:numPr>
        <w:spacing w:after="120"/>
        <w:jc w:val="both"/>
        <w:rPr>
          <w:szCs w:val="24"/>
        </w:rPr>
      </w:pPr>
      <w:r w:rsidRPr="00A13556">
        <w:rPr>
          <w:szCs w:val="24"/>
        </w:rPr>
        <w:t>The Review Report for ToR 3 found that</w:t>
      </w:r>
      <w:r w:rsidR="00FA3D39">
        <w:rPr>
          <w:szCs w:val="24"/>
        </w:rPr>
        <w:t>:</w:t>
      </w:r>
      <w:r w:rsidRPr="00A13556">
        <w:rPr>
          <w:szCs w:val="24"/>
        </w:rPr>
        <w:t xml:space="preserve"> </w:t>
      </w:r>
    </w:p>
    <w:p w14:paraId="11434AA3" w14:textId="708B7039" w:rsidR="00217F24" w:rsidRPr="00A13556" w:rsidRDefault="00217F24" w:rsidP="00D25738">
      <w:pPr>
        <w:pStyle w:val="ListParagraph"/>
        <w:numPr>
          <w:ilvl w:val="0"/>
          <w:numId w:val="64"/>
        </w:numPr>
        <w:spacing w:after="120"/>
        <w:jc w:val="both"/>
        <w:rPr>
          <w:szCs w:val="24"/>
        </w:rPr>
      </w:pPr>
      <w:r w:rsidRPr="00A13556">
        <w:rPr>
          <w:szCs w:val="24"/>
        </w:rPr>
        <w:t>There were no statistically significant differences between NRT inhalers compared to patches in terms of efficacy in Lindson (2019). A statistically significant difference was found between NRT inhalers and placebo in Hartmann-Boyce et al. (2018)</w:t>
      </w:r>
      <w:r w:rsidR="006D78A9">
        <w:rPr>
          <w:szCs w:val="24"/>
        </w:rPr>
        <w:t xml:space="preserve"> </w:t>
      </w:r>
      <w:r w:rsidRPr="00A13556">
        <w:rPr>
          <w:szCs w:val="24"/>
        </w:rPr>
        <w:t>however</w:t>
      </w:r>
      <w:r w:rsidR="006D78A9">
        <w:rPr>
          <w:szCs w:val="24"/>
        </w:rPr>
        <w:t>,</w:t>
      </w:r>
      <w:r w:rsidRPr="00A13556">
        <w:rPr>
          <w:szCs w:val="24"/>
        </w:rPr>
        <w:t xml:space="preserve"> no statistically significant differences were found based on the results of the updated re-analysis after including the study identified in the supplemental literature search (Oncken et al. 2019).</w:t>
      </w:r>
    </w:p>
    <w:p w14:paraId="5D92FB59" w14:textId="77777777" w:rsidR="00217F24" w:rsidRPr="00A13556" w:rsidRDefault="00217F24" w:rsidP="00523139">
      <w:pPr>
        <w:pStyle w:val="ListParagraph"/>
        <w:numPr>
          <w:ilvl w:val="0"/>
          <w:numId w:val="64"/>
        </w:numPr>
        <w:spacing w:after="120"/>
        <w:ind w:left="1077" w:hanging="357"/>
        <w:contextualSpacing w:val="0"/>
        <w:jc w:val="both"/>
        <w:rPr>
          <w:szCs w:val="24"/>
        </w:rPr>
      </w:pPr>
      <w:r w:rsidRPr="00A13556">
        <w:rPr>
          <w:szCs w:val="24"/>
        </w:rPr>
        <w:t>NRT oral spray was shown to be superior to placebo in terms of efficacy.</w:t>
      </w:r>
    </w:p>
    <w:p w14:paraId="12CB619E" w14:textId="7E63E3D1" w:rsidR="00FA3D39" w:rsidRPr="00523139" w:rsidRDefault="00217F24" w:rsidP="00523139">
      <w:pPr>
        <w:spacing w:before="120" w:after="120"/>
        <w:jc w:val="both"/>
        <w:rPr>
          <w:b/>
          <w:i/>
          <w:iCs/>
          <w:color w:val="222222"/>
          <w:szCs w:val="24"/>
        </w:rPr>
      </w:pPr>
      <w:r w:rsidRPr="00523139">
        <w:rPr>
          <w:b/>
          <w:i/>
          <w:iCs/>
          <w:color w:val="222222"/>
          <w:szCs w:val="24"/>
        </w:rPr>
        <w:t xml:space="preserve">Background </w:t>
      </w:r>
    </w:p>
    <w:p w14:paraId="6AC15EA5" w14:textId="5927C5C1" w:rsidR="00217F24" w:rsidRPr="00A13556" w:rsidRDefault="00217F24" w:rsidP="00523139">
      <w:pPr>
        <w:spacing w:before="120" w:after="120"/>
        <w:jc w:val="both"/>
        <w:rPr>
          <w:b/>
          <w:color w:val="222222"/>
          <w:szCs w:val="24"/>
        </w:rPr>
      </w:pPr>
      <w:r w:rsidRPr="00A13556">
        <w:rPr>
          <w:szCs w:val="24"/>
        </w:rPr>
        <w:t>The forms of NRT available on the PBS are:</w:t>
      </w:r>
    </w:p>
    <w:p w14:paraId="1758CD90" w14:textId="77777777" w:rsidR="00217F24" w:rsidRPr="00A13556" w:rsidRDefault="00217F24" w:rsidP="00523139">
      <w:pPr>
        <w:pStyle w:val="ListParagraph"/>
        <w:numPr>
          <w:ilvl w:val="0"/>
          <w:numId w:val="55"/>
        </w:numPr>
        <w:spacing w:before="120" w:after="0"/>
        <w:ind w:left="357" w:hanging="357"/>
        <w:contextualSpacing w:val="0"/>
        <w:jc w:val="both"/>
        <w:rPr>
          <w:szCs w:val="24"/>
        </w:rPr>
      </w:pPr>
      <w:r w:rsidRPr="00A13556">
        <w:rPr>
          <w:szCs w:val="24"/>
        </w:rPr>
        <w:t>Nicotine patches (21mg/24hrs, 14mg/24hrs, 7mg/24hrs and 25mg/16hrs)</w:t>
      </w:r>
    </w:p>
    <w:p w14:paraId="44D2DD30" w14:textId="65DA6EA1" w:rsidR="00217F24" w:rsidRPr="00A13556" w:rsidRDefault="00217F24" w:rsidP="00FA3D39">
      <w:pPr>
        <w:pStyle w:val="ListParagraph"/>
        <w:numPr>
          <w:ilvl w:val="0"/>
          <w:numId w:val="55"/>
        </w:numPr>
        <w:spacing w:after="120"/>
        <w:jc w:val="both"/>
        <w:rPr>
          <w:szCs w:val="24"/>
        </w:rPr>
      </w:pPr>
      <w:r w:rsidRPr="00A13556">
        <w:rPr>
          <w:szCs w:val="24"/>
        </w:rPr>
        <w:t xml:space="preserve">Nicotine </w:t>
      </w:r>
      <w:r w:rsidR="00FA3D39">
        <w:rPr>
          <w:szCs w:val="24"/>
        </w:rPr>
        <w:t>g</w:t>
      </w:r>
      <w:r w:rsidRPr="00A13556">
        <w:rPr>
          <w:szCs w:val="24"/>
        </w:rPr>
        <w:t>um 2mg and 4mg</w:t>
      </w:r>
    </w:p>
    <w:p w14:paraId="687C460A" w14:textId="07D2F773" w:rsidR="00217F24" w:rsidRPr="00A13556" w:rsidRDefault="00217F24" w:rsidP="00523139">
      <w:pPr>
        <w:pStyle w:val="ListParagraph"/>
        <w:numPr>
          <w:ilvl w:val="0"/>
          <w:numId w:val="55"/>
        </w:numPr>
        <w:spacing w:after="120"/>
        <w:ind w:left="357" w:hanging="357"/>
        <w:contextualSpacing w:val="0"/>
        <w:jc w:val="both"/>
        <w:rPr>
          <w:szCs w:val="24"/>
        </w:rPr>
      </w:pPr>
      <w:r w:rsidRPr="00A13556">
        <w:rPr>
          <w:szCs w:val="24"/>
        </w:rPr>
        <w:t xml:space="preserve">Nicotine </w:t>
      </w:r>
      <w:r w:rsidR="00FA3D39">
        <w:rPr>
          <w:szCs w:val="24"/>
        </w:rPr>
        <w:t>l</w:t>
      </w:r>
      <w:r w:rsidRPr="00A13556">
        <w:rPr>
          <w:szCs w:val="24"/>
        </w:rPr>
        <w:t>ozenge 2mg and 4mg</w:t>
      </w:r>
    </w:p>
    <w:p w14:paraId="0297D20A" w14:textId="05F07D9B" w:rsidR="00217F24" w:rsidRDefault="00217F24" w:rsidP="00523139">
      <w:pPr>
        <w:spacing w:before="120" w:after="120"/>
        <w:jc w:val="both"/>
        <w:rPr>
          <w:szCs w:val="24"/>
        </w:rPr>
      </w:pPr>
      <w:r w:rsidRPr="00A13556">
        <w:rPr>
          <w:szCs w:val="24"/>
        </w:rPr>
        <w:t>The PBAC has not previously considered a submission for either nicotine inhaler or nicotine spray formulations.</w:t>
      </w:r>
    </w:p>
    <w:p w14:paraId="15618C66" w14:textId="1C38733A" w:rsidR="00217F24" w:rsidRPr="00A13556" w:rsidRDefault="00217F24" w:rsidP="00523139">
      <w:pPr>
        <w:spacing w:before="120" w:after="120"/>
        <w:jc w:val="both"/>
        <w:rPr>
          <w:b/>
          <w:i/>
          <w:szCs w:val="24"/>
        </w:rPr>
      </w:pPr>
      <w:r w:rsidRPr="00A13556">
        <w:rPr>
          <w:b/>
          <w:i/>
          <w:szCs w:val="24"/>
        </w:rPr>
        <w:t>Other Advice the PBAC may wish to consider providing to Government</w:t>
      </w:r>
    </w:p>
    <w:p w14:paraId="5A53D276" w14:textId="023AAC8E" w:rsidR="00217F24" w:rsidRPr="00A13556" w:rsidRDefault="00815A6D" w:rsidP="00523139">
      <w:pPr>
        <w:pStyle w:val="Heading3"/>
        <w:spacing w:before="120" w:after="120"/>
        <w:jc w:val="both"/>
      </w:pPr>
      <w:bookmarkStart w:id="80" w:name="_Toc111710708"/>
      <w:r>
        <w:lastRenderedPageBreak/>
        <w:t xml:space="preserve">5.6 </w:t>
      </w:r>
      <w:r w:rsidR="00217F24" w:rsidRPr="00A13556">
        <w:t>Option 6</w:t>
      </w:r>
      <w:bookmarkEnd w:id="80"/>
    </w:p>
    <w:p w14:paraId="5CBDEC8E" w14:textId="436BABE7" w:rsidR="00217F24" w:rsidRPr="00A13556" w:rsidRDefault="00217F24" w:rsidP="00523139">
      <w:pPr>
        <w:pStyle w:val="ListParagraph"/>
        <w:numPr>
          <w:ilvl w:val="0"/>
          <w:numId w:val="56"/>
        </w:numPr>
        <w:spacing w:before="120" w:after="120"/>
        <w:ind w:left="357" w:hanging="357"/>
        <w:contextualSpacing w:val="0"/>
        <w:jc w:val="both"/>
        <w:rPr>
          <w:szCs w:val="24"/>
        </w:rPr>
      </w:pPr>
      <w:r w:rsidRPr="00A13556">
        <w:rPr>
          <w:szCs w:val="24"/>
        </w:rPr>
        <w:t xml:space="preserve">That the </w:t>
      </w:r>
      <w:r w:rsidR="00FA3D39">
        <w:rPr>
          <w:szCs w:val="24"/>
        </w:rPr>
        <w:t>d</w:t>
      </w:r>
      <w:r w:rsidRPr="00A13556">
        <w:rPr>
          <w:szCs w:val="24"/>
        </w:rPr>
        <w:t xml:space="preserve">epartment follow-up with Queensland Quitline following its evaluation of the ‘Intensive Quit Support Program’ and to explore if there are other effective ways of providing access to government funded NRT in addition to the current PBS and section 100 arrangements. </w:t>
      </w:r>
    </w:p>
    <w:p w14:paraId="7D28EECE" w14:textId="77777777" w:rsidR="00217F24" w:rsidRPr="00A13556" w:rsidRDefault="00217F24" w:rsidP="00523139">
      <w:pPr>
        <w:spacing w:before="120" w:after="120"/>
        <w:jc w:val="both"/>
        <w:rPr>
          <w:b/>
          <w:szCs w:val="24"/>
        </w:rPr>
      </w:pPr>
      <w:r w:rsidRPr="00A13556">
        <w:rPr>
          <w:b/>
          <w:szCs w:val="24"/>
        </w:rPr>
        <w:t>Rationale</w:t>
      </w:r>
    </w:p>
    <w:p w14:paraId="265E5245" w14:textId="6C6C3B54" w:rsidR="00217F24" w:rsidRPr="00A13556" w:rsidRDefault="00217F24" w:rsidP="00523139">
      <w:pPr>
        <w:pStyle w:val="ListParagraph"/>
        <w:numPr>
          <w:ilvl w:val="0"/>
          <w:numId w:val="59"/>
        </w:numPr>
        <w:spacing w:before="120" w:after="0"/>
        <w:ind w:left="357" w:hanging="357"/>
        <w:contextualSpacing w:val="0"/>
        <w:jc w:val="both"/>
        <w:rPr>
          <w:szCs w:val="24"/>
        </w:rPr>
      </w:pPr>
      <w:r w:rsidRPr="00A13556">
        <w:rPr>
          <w:szCs w:val="24"/>
        </w:rPr>
        <w:t xml:space="preserve">The </w:t>
      </w:r>
      <w:r w:rsidR="00FA3D39">
        <w:rPr>
          <w:szCs w:val="24"/>
        </w:rPr>
        <w:t>r</w:t>
      </w:r>
      <w:r w:rsidRPr="00A13556">
        <w:rPr>
          <w:szCs w:val="24"/>
        </w:rPr>
        <w:t xml:space="preserve">eference group noted evidence from the Review </w:t>
      </w:r>
      <w:r w:rsidR="00FA3D39">
        <w:rPr>
          <w:szCs w:val="24"/>
        </w:rPr>
        <w:t>R</w:t>
      </w:r>
      <w:r w:rsidRPr="00A13556">
        <w:rPr>
          <w:szCs w:val="24"/>
        </w:rPr>
        <w:t xml:space="preserve">eport suggesting that the majority of NRT products are obtained </w:t>
      </w:r>
      <w:r w:rsidR="00D30600">
        <w:rPr>
          <w:szCs w:val="24"/>
        </w:rPr>
        <w:t>OTC</w:t>
      </w:r>
      <w:r w:rsidRPr="00A13556">
        <w:rPr>
          <w:szCs w:val="24"/>
        </w:rPr>
        <w:t>. The Review Report for ToR 2 found:</w:t>
      </w:r>
    </w:p>
    <w:p w14:paraId="0B86D73E" w14:textId="0F3BDBDE" w:rsidR="00217F24" w:rsidRPr="00A13556" w:rsidRDefault="00217F24" w:rsidP="00523139">
      <w:pPr>
        <w:pStyle w:val="ListParagraph"/>
        <w:numPr>
          <w:ilvl w:val="0"/>
          <w:numId w:val="64"/>
        </w:numPr>
        <w:spacing w:after="120"/>
        <w:jc w:val="both"/>
        <w:rPr>
          <w:szCs w:val="24"/>
        </w:rPr>
      </w:pPr>
      <w:r w:rsidRPr="00A13556">
        <w:rPr>
          <w:szCs w:val="24"/>
        </w:rPr>
        <w:t>PBS use of NRT in 2019 represented 7% of all NRT use in Australia. In the financial year 2019</w:t>
      </w:r>
      <w:r w:rsidR="004E2632">
        <w:rPr>
          <w:szCs w:val="24"/>
        </w:rPr>
        <w:t>/20</w:t>
      </w:r>
      <w:r w:rsidRPr="00A13556">
        <w:rPr>
          <w:szCs w:val="24"/>
        </w:rPr>
        <w:t xml:space="preserve">20 NRT patches accounted for 94% of all NRT products subsidised under the PBS, while the majority of NRT products sold </w:t>
      </w:r>
      <w:r w:rsidR="00D30600">
        <w:rPr>
          <w:szCs w:val="24"/>
        </w:rPr>
        <w:t>OTC</w:t>
      </w:r>
      <w:r w:rsidRPr="00A13556">
        <w:rPr>
          <w:szCs w:val="24"/>
        </w:rPr>
        <w:t xml:space="preserve"> were nicotine gums. However, nicotine gum and lozenge were only PBS</w:t>
      </w:r>
      <w:r w:rsidR="005D0B0A">
        <w:rPr>
          <w:szCs w:val="24"/>
        </w:rPr>
        <w:t>-</w:t>
      </w:r>
      <w:r w:rsidRPr="00A13556">
        <w:rPr>
          <w:szCs w:val="24"/>
        </w:rPr>
        <w:t xml:space="preserve">listed in February 2019 and therefore uptake of these forms of NRT may not have been fully realised   </w:t>
      </w:r>
    </w:p>
    <w:p w14:paraId="4EFC2583" w14:textId="066E79F1" w:rsidR="00217F24" w:rsidRPr="00A13556" w:rsidRDefault="00217F24" w:rsidP="00523139">
      <w:pPr>
        <w:pStyle w:val="ListParagraph"/>
        <w:numPr>
          <w:ilvl w:val="0"/>
          <w:numId w:val="64"/>
        </w:numPr>
        <w:spacing w:after="120"/>
        <w:jc w:val="both"/>
        <w:rPr>
          <w:szCs w:val="24"/>
        </w:rPr>
      </w:pPr>
      <w:r w:rsidRPr="00A13556">
        <w:rPr>
          <w:szCs w:val="24"/>
        </w:rPr>
        <w:t xml:space="preserve">There were 257.4 million NRT smoking cessation aids sold </w:t>
      </w:r>
      <w:r w:rsidR="00D30600">
        <w:rPr>
          <w:szCs w:val="24"/>
        </w:rPr>
        <w:t>OTC</w:t>
      </w:r>
      <w:r w:rsidRPr="00A13556">
        <w:rPr>
          <w:szCs w:val="24"/>
        </w:rPr>
        <w:t xml:space="preserve"> in 2019. The most commonly sold aid was NRT gum (194 million units in 2019), followed by NRT Lozenges (43.2 million units in 2019) and NRT patches.</w:t>
      </w:r>
    </w:p>
    <w:p w14:paraId="3A37F113" w14:textId="092086D4" w:rsidR="00217F24" w:rsidRPr="00A13556" w:rsidRDefault="00217F24" w:rsidP="00D25738">
      <w:pPr>
        <w:pStyle w:val="ListParagraph"/>
        <w:numPr>
          <w:ilvl w:val="0"/>
          <w:numId w:val="59"/>
        </w:numPr>
        <w:spacing w:after="240"/>
        <w:jc w:val="both"/>
        <w:rPr>
          <w:szCs w:val="24"/>
        </w:rPr>
      </w:pPr>
      <w:r w:rsidRPr="00A13556">
        <w:rPr>
          <w:szCs w:val="24"/>
        </w:rPr>
        <w:t>General patients are required to pay 3 co-payments for a 12</w:t>
      </w:r>
      <w:r w:rsidR="004E2632">
        <w:rPr>
          <w:szCs w:val="24"/>
        </w:rPr>
        <w:t>-</w:t>
      </w:r>
      <w:r w:rsidRPr="00A13556">
        <w:rPr>
          <w:szCs w:val="24"/>
        </w:rPr>
        <w:t xml:space="preserve">week course of NRT under the PBS, which amounts to $123.90, which may be a barrier to some patients. Further information on the costs of NRT products is provided in </w:t>
      </w:r>
      <w:r w:rsidR="004E2632" w:rsidRPr="0094759F">
        <w:rPr>
          <w:szCs w:val="24"/>
        </w:rPr>
        <w:t>T</w:t>
      </w:r>
      <w:r w:rsidRPr="0094759F">
        <w:rPr>
          <w:szCs w:val="24"/>
        </w:rPr>
        <w:t>able 2, p</w:t>
      </w:r>
      <w:r w:rsidR="00482CD7" w:rsidRPr="0094759F">
        <w:rPr>
          <w:szCs w:val="24"/>
        </w:rPr>
        <w:t>.</w:t>
      </w:r>
      <w:r w:rsidRPr="0094759F">
        <w:rPr>
          <w:szCs w:val="24"/>
        </w:rPr>
        <w:t>12 of</w:t>
      </w:r>
      <w:r w:rsidRPr="00A13556">
        <w:rPr>
          <w:szCs w:val="24"/>
        </w:rPr>
        <w:t xml:space="preserve"> the Review </w:t>
      </w:r>
      <w:r w:rsidR="0094759F">
        <w:rPr>
          <w:szCs w:val="24"/>
        </w:rPr>
        <w:t>Background r</w:t>
      </w:r>
      <w:r w:rsidRPr="00A13556">
        <w:rPr>
          <w:szCs w:val="24"/>
        </w:rPr>
        <w:t xml:space="preserve">eport. </w:t>
      </w:r>
    </w:p>
    <w:p w14:paraId="0F28419E" w14:textId="3E5A6EE1" w:rsidR="00217F24" w:rsidRPr="00A13556" w:rsidRDefault="00217F24" w:rsidP="00D25738">
      <w:pPr>
        <w:pStyle w:val="ListParagraph"/>
        <w:numPr>
          <w:ilvl w:val="0"/>
          <w:numId w:val="59"/>
        </w:numPr>
        <w:spacing w:after="240"/>
        <w:jc w:val="both"/>
        <w:rPr>
          <w:szCs w:val="24"/>
        </w:rPr>
      </w:pPr>
      <w:r w:rsidRPr="00A13556">
        <w:rPr>
          <w:szCs w:val="24"/>
        </w:rPr>
        <w:t xml:space="preserve">Stakeholders considered </w:t>
      </w:r>
      <w:r w:rsidR="004E2632">
        <w:rPr>
          <w:szCs w:val="24"/>
        </w:rPr>
        <w:t xml:space="preserve">that </w:t>
      </w:r>
      <w:r w:rsidRPr="00A13556">
        <w:rPr>
          <w:szCs w:val="24"/>
        </w:rPr>
        <w:t xml:space="preserve">the cost of </w:t>
      </w:r>
      <w:r w:rsidR="00D30600">
        <w:rPr>
          <w:szCs w:val="24"/>
        </w:rPr>
        <w:t>OTC</w:t>
      </w:r>
      <w:r w:rsidRPr="00A13556">
        <w:rPr>
          <w:szCs w:val="24"/>
        </w:rPr>
        <w:t xml:space="preserve"> NRT can be a significant barrier for many people, particularly those from populations with higher rates of smoking such as lower socioeconomic groups, Aboriginal and Torres Strait Islander people, and people with a mental illness. Stakeholders considered that financial cost was an important factor in </w:t>
      </w:r>
      <w:r w:rsidR="00A70E1E">
        <w:rPr>
          <w:szCs w:val="24"/>
        </w:rPr>
        <w:t>unsuccessful quit attempts</w:t>
      </w:r>
      <w:r w:rsidRPr="00A13556">
        <w:rPr>
          <w:szCs w:val="24"/>
        </w:rPr>
        <w:t>.</w:t>
      </w:r>
    </w:p>
    <w:p w14:paraId="4174E8C9" w14:textId="26A2E32C" w:rsidR="006504DF" w:rsidRPr="00493DFF" w:rsidRDefault="00217F24" w:rsidP="00C60303">
      <w:pPr>
        <w:pStyle w:val="ListParagraph"/>
        <w:numPr>
          <w:ilvl w:val="0"/>
          <w:numId w:val="59"/>
        </w:numPr>
        <w:spacing w:after="0"/>
        <w:ind w:left="357" w:hanging="357"/>
        <w:contextualSpacing w:val="0"/>
        <w:jc w:val="both"/>
        <w:rPr>
          <w:szCs w:val="24"/>
        </w:rPr>
        <w:sectPr w:rsidR="006504DF" w:rsidRPr="00493DFF" w:rsidSect="00433EF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sidRPr="00A13556">
        <w:rPr>
          <w:szCs w:val="24"/>
        </w:rPr>
        <w:t xml:space="preserve">The </w:t>
      </w:r>
      <w:r w:rsidR="004E2632">
        <w:rPr>
          <w:szCs w:val="24"/>
        </w:rPr>
        <w:t>r</w:t>
      </w:r>
      <w:r w:rsidRPr="00A13556">
        <w:rPr>
          <w:szCs w:val="24"/>
        </w:rPr>
        <w:t xml:space="preserve">eference </w:t>
      </w:r>
      <w:r w:rsidR="004E2632">
        <w:rPr>
          <w:szCs w:val="24"/>
        </w:rPr>
        <w:t>g</w:t>
      </w:r>
      <w:r w:rsidRPr="00A13556">
        <w:rPr>
          <w:szCs w:val="24"/>
        </w:rPr>
        <w:t xml:space="preserve">roup did not recommend specific alternative arrangements (in addition to the current PBS arrangements) </w:t>
      </w:r>
      <w:r w:rsidR="005E6ED3">
        <w:rPr>
          <w:szCs w:val="24"/>
        </w:rPr>
        <w:t>for the subsidised supply of</w:t>
      </w:r>
      <w:r w:rsidRPr="00A13556">
        <w:rPr>
          <w:szCs w:val="24"/>
        </w:rPr>
        <w:t xml:space="preserve"> </w:t>
      </w:r>
      <w:r w:rsidR="00770514" w:rsidRPr="00A13556">
        <w:rPr>
          <w:szCs w:val="24"/>
        </w:rPr>
        <w:t>NRT but</w:t>
      </w:r>
      <w:r w:rsidRPr="00A13556">
        <w:rPr>
          <w:szCs w:val="24"/>
        </w:rPr>
        <w:t xml:space="preserve"> recommended that the </w:t>
      </w:r>
      <w:r w:rsidR="004E2632">
        <w:rPr>
          <w:szCs w:val="24"/>
        </w:rPr>
        <w:t>d</w:t>
      </w:r>
      <w:r w:rsidRPr="00A13556">
        <w:rPr>
          <w:szCs w:val="24"/>
        </w:rPr>
        <w:t>epartment follow</w:t>
      </w:r>
      <w:r w:rsidR="004E2632">
        <w:rPr>
          <w:szCs w:val="24"/>
        </w:rPr>
        <w:t>-</w:t>
      </w:r>
      <w:r w:rsidRPr="00A13556">
        <w:rPr>
          <w:szCs w:val="24"/>
        </w:rPr>
        <w:t xml:space="preserve">up with Queensland Quitline following its evaluation of the ‘Intensive Quit Support Program’ to explore if there are other ways of providing access to government funded NRT. </w:t>
      </w:r>
    </w:p>
    <w:p w14:paraId="43EEF200" w14:textId="4D341E2A" w:rsidR="00923556" w:rsidRPr="00FE1642" w:rsidRDefault="00923556" w:rsidP="00554152">
      <w:pPr>
        <w:pStyle w:val="Heading1"/>
        <w:spacing w:before="0"/>
      </w:pPr>
      <w:bookmarkStart w:id="81" w:name="_Toc111710709"/>
      <w:r w:rsidRPr="00FE1642">
        <w:lastRenderedPageBreak/>
        <w:t>References</w:t>
      </w:r>
      <w:bookmarkEnd w:id="81"/>
    </w:p>
    <w:p w14:paraId="28AB30F3" w14:textId="4CDB0383" w:rsidR="00F608CD" w:rsidRPr="00F608CD" w:rsidRDefault="00FE1642" w:rsidP="00797212">
      <w:pPr>
        <w:pStyle w:val="EndNoteBibliography"/>
        <w:spacing w:after="0"/>
      </w:pPr>
      <w:r w:rsidRPr="007B4746">
        <w:rPr>
          <w:rFonts w:asciiTheme="minorHAnsi" w:hAnsiTheme="minorHAnsi" w:cstheme="minorHAnsi"/>
          <w:lang w:val="en-AU"/>
        </w:rPr>
        <w:fldChar w:fldCharType="begin"/>
      </w:r>
      <w:r w:rsidRPr="007B4746">
        <w:rPr>
          <w:rFonts w:asciiTheme="minorHAnsi" w:hAnsiTheme="minorHAnsi" w:cstheme="minorHAnsi"/>
          <w:lang w:val="en-AU"/>
        </w:rPr>
        <w:instrText xml:space="preserve"> ADDIN EN.REFLIST </w:instrText>
      </w:r>
      <w:r w:rsidRPr="007B4746">
        <w:rPr>
          <w:rFonts w:asciiTheme="minorHAnsi" w:hAnsiTheme="minorHAnsi" w:cstheme="minorHAnsi"/>
          <w:lang w:val="en-AU"/>
        </w:rPr>
        <w:fldChar w:fldCharType="separate"/>
      </w:r>
    </w:p>
    <w:p w14:paraId="64A81A10" w14:textId="21418E88" w:rsidR="00974807" w:rsidRPr="009E179C" w:rsidRDefault="00FE1642" w:rsidP="00BF12CA">
      <w:pPr>
        <w:pStyle w:val="EndNoteBibliography"/>
        <w:numPr>
          <w:ilvl w:val="0"/>
          <w:numId w:val="53"/>
        </w:numPr>
        <w:spacing w:before="0" w:after="0"/>
        <w:contextualSpacing w:val="0"/>
        <w:rPr>
          <w:rFonts w:asciiTheme="minorHAnsi" w:hAnsiTheme="minorHAnsi" w:cstheme="minorHAnsi"/>
        </w:rPr>
      </w:pPr>
      <w:r w:rsidRPr="007B4746">
        <w:fldChar w:fldCharType="end"/>
      </w:r>
      <w:bookmarkStart w:id="82" w:name="_ENREF_1"/>
      <w:r w:rsidR="00974807" w:rsidRPr="009E179C">
        <w:rPr>
          <w:rFonts w:asciiTheme="minorHAnsi" w:hAnsiTheme="minorHAnsi" w:cstheme="minorHAnsi"/>
        </w:rPr>
        <w:t>McDonough M. Update on Medicines for Smoking C</w:t>
      </w:r>
      <w:r w:rsidR="007174F9" w:rsidRPr="009E179C">
        <w:rPr>
          <w:rFonts w:asciiTheme="minorHAnsi" w:hAnsiTheme="minorHAnsi" w:cstheme="minorHAnsi"/>
        </w:rPr>
        <w:t>essatio</w:t>
      </w:r>
      <w:r w:rsidR="009E179C" w:rsidRPr="009E179C">
        <w:rPr>
          <w:rFonts w:asciiTheme="minorHAnsi" w:hAnsiTheme="minorHAnsi" w:cstheme="minorHAnsi"/>
        </w:rPr>
        <w:t xml:space="preserve">n. Aust Prescr 2015;38:106-11. </w:t>
      </w:r>
      <w:r w:rsidR="007174F9" w:rsidRPr="009E179C">
        <w:rPr>
          <w:rFonts w:asciiTheme="minorHAnsi" w:hAnsiTheme="minorHAnsi" w:cstheme="minorHAnsi"/>
        </w:rPr>
        <w:t xml:space="preserve">Available from: </w:t>
      </w:r>
      <w:bookmarkEnd w:id="82"/>
      <w:r w:rsidR="004A0A14" w:rsidRPr="009E179C">
        <w:rPr>
          <w:rFonts w:asciiTheme="minorHAnsi" w:hAnsiTheme="minorHAnsi" w:cstheme="minorHAnsi"/>
        </w:rPr>
        <w:fldChar w:fldCharType="begin"/>
      </w:r>
      <w:r w:rsidR="004A0A14" w:rsidRPr="009E179C">
        <w:rPr>
          <w:rFonts w:asciiTheme="minorHAnsi" w:hAnsiTheme="minorHAnsi" w:cstheme="minorHAnsi"/>
        </w:rPr>
        <w:instrText xml:space="preserve"> HYPERLINK "https://www.nps.org.au/australian-prescriber/articles/update-on-medicines-for-smoking-cessation" </w:instrText>
      </w:r>
      <w:r w:rsidR="004A0A14" w:rsidRPr="009E179C">
        <w:rPr>
          <w:rFonts w:asciiTheme="minorHAnsi" w:hAnsiTheme="minorHAnsi" w:cstheme="minorHAnsi"/>
        </w:rPr>
        <w:fldChar w:fldCharType="separate"/>
      </w:r>
      <w:r w:rsidR="004A0A14" w:rsidRPr="009E179C">
        <w:rPr>
          <w:rStyle w:val="Hyperlink"/>
          <w:rFonts w:asciiTheme="minorHAnsi" w:hAnsiTheme="minorHAnsi" w:cstheme="minorHAnsi"/>
        </w:rPr>
        <w:t>https://www.nps.org.au/australian-prescriber/articles/update-on-medicines-for-smoking-cessation</w:t>
      </w:r>
      <w:r w:rsidR="004A0A14" w:rsidRPr="009E179C">
        <w:rPr>
          <w:rFonts w:asciiTheme="minorHAnsi" w:hAnsiTheme="minorHAnsi" w:cstheme="minorHAnsi"/>
        </w:rPr>
        <w:fldChar w:fldCharType="end"/>
      </w:r>
      <w:r w:rsidR="00466EDF" w:rsidRPr="009E179C">
        <w:rPr>
          <w:rFonts w:asciiTheme="minorHAnsi" w:hAnsiTheme="minorHAnsi" w:cstheme="minorHAnsi"/>
        </w:rPr>
        <w:t>]</w:t>
      </w:r>
    </w:p>
    <w:p w14:paraId="010BD183" w14:textId="74593556" w:rsidR="00974807" w:rsidRPr="009E179C" w:rsidRDefault="00974807" w:rsidP="00BF12CA">
      <w:pPr>
        <w:pStyle w:val="EndNoteBibliography"/>
        <w:numPr>
          <w:ilvl w:val="0"/>
          <w:numId w:val="53"/>
        </w:numPr>
        <w:spacing w:after="0"/>
        <w:rPr>
          <w:rFonts w:asciiTheme="minorHAnsi" w:hAnsiTheme="minorHAnsi" w:cstheme="minorHAnsi"/>
        </w:rPr>
      </w:pPr>
      <w:r w:rsidRPr="009E179C">
        <w:rPr>
          <w:rFonts w:asciiTheme="minorHAnsi" w:hAnsiTheme="minorHAnsi" w:cstheme="minorHAnsi"/>
        </w:rPr>
        <w:t>Preventing Tobacco Use Among Youth and Young Adults: A Report of the Surgeon General [Internet]. National Center for Chronic Disease Prevention and Health Promotion (US) Office on Smoking and Health.</w:t>
      </w:r>
      <w:r w:rsidR="009E179C" w:rsidRPr="009E179C">
        <w:rPr>
          <w:rFonts w:asciiTheme="minorHAnsi" w:hAnsiTheme="minorHAnsi" w:cstheme="minorHAnsi"/>
        </w:rPr>
        <w:t xml:space="preserve"> </w:t>
      </w:r>
      <w:r w:rsidRPr="009E179C">
        <w:rPr>
          <w:rFonts w:asciiTheme="minorHAnsi" w:hAnsiTheme="minorHAnsi" w:cstheme="minorHAnsi"/>
        </w:rPr>
        <w:t xml:space="preserve">2012. Available from: </w:t>
      </w:r>
      <w:hyperlink r:id="rId17" w:history="1">
        <w:r w:rsidR="009E179C" w:rsidRPr="009E179C">
          <w:rPr>
            <w:rStyle w:val="Hyperlink"/>
            <w:rFonts w:asciiTheme="minorHAnsi" w:hAnsiTheme="minorHAnsi" w:cstheme="minorHAnsi"/>
          </w:rPr>
          <w:t>https://www.hhs.gov/surgeongeneral/reports-and-publications/tobacco/index.html</w:t>
        </w:r>
      </w:hyperlink>
    </w:p>
    <w:p w14:paraId="6C730D89" w14:textId="6B959864" w:rsidR="00974807" w:rsidRDefault="009E179C" w:rsidP="00BF12CA">
      <w:pPr>
        <w:pStyle w:val="EndNoteBibliography"/>
        <w:numPr>
          <w:ilvl w:val="0"/>
          <w:numId w:val="53"/>
        </w:numPr>
        <w:spacing w:after="0"/>
        <w:rPr>
          <w:rFonts w:asciiTheme="minorHAnsi" w:hAnsiTheme="minorHAnsi" w:cstheme="minorHAnsi"/>
        </w:rPr>
      </w:pPr>
      <w:r w:rsidRPr="009E179C">
        <w:rPr>
          <w:rFonts w:asciiTheme="minorHAnsi" w:hAnsiTheme="minorHAnsi" w:cstheme="minorHAnsi"/>
        </w:rPr>
        <w:t>The Path to Smoking Addiction Starts at Very Young Ages</w:t>
      </w:r>
      <w:r>
        <w:rPr>
          <w:rFonts w:asciiTheme="minorHAnsi" w:hAnsiTheme="minorHAnsi" w:cstheme="minorHAnsi"/>
        </w:rPr>
        <w:t xml:space="preserve"> [Internet]. </w:t>
      </w:r>
      <w:r w:rsidRPr="009E179C">
        <w:rPr>
          <w:rFonts w:asciiTheme="minorHAnsi" w:hAnsiTheme="minorHAnsi" w:cstheme="minorHAnsi"/>
        </w:rPr>
        <w:t>Campaign for Tobacco-Free Kids</w:t>
      </w:r>
      <w:r>
        <w:rPr>
          <w:rFonts w:asciiTheme="minorHAnsi" w:hAnsiTheme="minorHAnsi" w:cstheme="minorHAnsi"/>
        </w:rPr>
        <w:t xml:space="preserve">. 2020. Available from: </w:t>
      </w:r>
      <w:hyperlink r:id="rId18" w:history="1">
        <w:r w:rsidRPr="009E179C">
          <w:rPr>
            <w:rStyle w:val="Hyperlink"/>
            <w:rFonts w:asciiTheme="minorHAnsi" w:hAnsiTheme="minorHAnsi" w:cstheme="minorHAnsi"/>
          </w:rPr>
          <w:t>https://www.tobaccofreekids.org/assets/factsheets/0127.pdf</w:t>
        </w:r>
      </w:hyperlink>
    </w:p>
    <w:p w14:paraId="7DDD254F" w14:textId="77777777" w:rsidR="00201C11" w:rsidRPr="00201C11" w:rsidRDefault="00201C11" w:rsidP="00BF12CA">
      <w:pPr>
        <w:pStyle w:val="EndNoteBibliography"/>
        <w:numPr>
          <w:ilvl w:val="0"/>
          <w:numId w:val="53"/>
        </w:numPr>
        <w:spacing w:after="0"/>
        <w:rPr>
          <w:rFonts w:asciiTheme="minorHAnsi" w:hAnsiTheme="minorHAnsi" w:cstheme="minorHAnsi"/>
        </w:rPr>
      </w:pPr>
      <w:r w:rsidRPr="00201C11">
        <w:rPr>
          <w:rFonts w:asciiTheme="minorHAnsi" w:hAnsiTheme="minorHAnsi" w:cstheme="minorHAnsi"/>
        </w:rPr>
        <w:t>Australian Institute of Health and Welfare. Burden of tobacco use in Australia:</w:t>
      </w:r>
    </w:p>
    <w:p w14:paraId="27ED38B1" w14:textId="77777777" w:rsidR="00201C11" w:rsidRPr="00201C11" w:rsidRDefault="00201C11" w:rsidP="00BF12CA">
      <w:pPr>
        <w:pStyle w:val="EndNoteBibliography"/>
        <w:spacing w:after="0"/>
        <w:ind w:left="720"/>
        <w:rPr>
          <w:rFonts w:asciiTheme="minorHAnsi" w:hAnsiTheme="minorHAnsi" w:cstheme="minorHAnsi"/>
        </w:rPr>
      </w:pPr>
      <w:r w:rsidRPr="00201C11">
        <w:rPr>
          <w:rFonts w:asciiTheme="minorHAnsi" w:hAnsiTheme="minorHAnsi" w:cstheme="minorHAnsi"/>
        </w:rPr>
        <w:t>Australian Burden of Disease Study 2015. Australian Burden of Disease series no. 21.</w:t>
      </w:r>
    </w:p>
    <w:p w14:paraId="52A4B4D8" w14:textId="77777777" w:rsidR="00201C11" w:rsidRPr="00201C11" w:rsidRDefault="00201C11" w:rsidP="00BF12CA">
      <w:pPr>
        <w:pStyle w:val="EndNoteBibliography"/>
        <w:spacing w:after="0"/>
        <w:ind w:left="720"/>
        <w:rPr>
          <w:rFonts w:asciiTheme="minorHAnsi" w:hAnsiTheme="minorHAnsi" w:cstheme="minorHAnsi"/>
        </w:rPr>
      </w:pPr>
      <w:r w:rsidRPr="00201C11">
        <w:rPr>
          <w:rFonts w:asciiTheme="minorHAnsi" w:hAnsiTheme="minorHAnsi" w:cstheme="minorHAnsi"/>
        </w:rPr>
        <w:t>Cat. no. BOD 20. Canberra: AIHW; 2019. Available from:</w:t>
      </w:r>
    </w:p>
    <w:p w14:paraId="298B2830" w14:textId="57A2A4D7" w:rsidR="00201C11" w:rsidRDefault="00CB639E" w:rsidP="00BF12CA">
      <w:pPr>
        <w:pStyle w:val="EndNoteBibliography"/>
        <w:spacing w:after="0"/>
        <w:ind w:left="720"/>
        <w:rPr>
          <w:rFonts w:asciiTheme="minorHAnsi" w:hAnsiTheme="minorHAnsi" w:cstheme="minorHAnsi"/>
        </w:rPr>
      </w:pPr>
      <w:hyperlink r:id="rId19" w:history="1">
        <w:r w:rsidR="00201C11" w:rsidRPr="00201C11">
          <w:rPr>
            <w:rStyle w:val="Hyperlink"/>
            <w:rFonts w:asciiTheme="minorHAnsi" w:hAnsiTheme="minorHAnsi" w:cstheme="minorHAnsi"/>
          </w:rPr>
          <w:t>https://www.aihw.gov.au/getmedia/953dcb20-b369-4c6b-b20f-526bdead14cb/aihwbod-20.pdf.aspx?inline=true</w:t>
        </w:r>
      </w:hyperlink>
      <w:r w:rsidR="00201C11" w:rsidRPr="00201C11">
        <w:rPr>
          <w:rFonts w:asciiTheme="minorHAnsi" w:hAnsiTheme="minorHAnsi" w:cstheme="minorHAnsi"/>
        </w:rPr>
        <w:t>.</w:t>
      </w:r>
    </w:p>
    <w:p w14:paraId="159AA50C" w14:textId="2B37D144" w:rsidR="00201C11" w:rsidRDefault="00201C11" w:rsidP="00BF12CA">
      <w:pPr>
        <w:pStyle w:val="EndNoteBibliography"/>
        <w:numPr>
          <w:ilvl w:val="0"/>
          <w:numId w:val="53"/>
        </w:numPr>
        <w:spacing w:after="0"/>
        <w:rPr>
          <w:rFonts w:asciiTheme="minorHAnsi" w:hAnsiTheme="minorHAnsi" w:cstheme="minorHAnsi"/>
        </w:rPr>
      </w:pPr>
      <w:r w:rsidRPr="00201C11">
        <w:rPr>
          <w:rFonts w:asciiTheme="minorHAnsi" w:hAnsiTheme="minorHAnsi" w:cstheme="minorHAnsi"/>
        </w:rPr>
        <w:t>Tait R, Whetton S and Alsop S. Identifying the social costs of tobacco use in A</w:t>
      </w:r>
      <w:r>
        <w:rPr>
          <w:rFonts w:asciiTheme="minorHAnsi" w:hAnsiTheme="minorHAnsi" w:cstheme="minorHAnsi"/>
        </w:rPr>
        <w:t xml:space="preserve">ustralia </w:t>
      </w:r>
      <w:r w:rsidRPr="00201C11">
        <w:rPr>
          <w:rFonts w:asciiTheme="minorHAnsi" w:hAnsiTheme="minorHAnsi" w:cstheme="minorHAnsi"/>
        </w:rPr>
        <w:t>in</w:t>
      </w:r>
      <w:r>
        <w:rPr>
          <w:rFonts w:asciiTheme="minorHAnsi" w:hAnsiTheme="minorHAnsi" w:cstheme="minorHAnsi"/>
        </w:rPr>
        <w:t xml:space="preserve"> </w:t>
      </w:r>
      <w:r w:rsidRPr="00201C11">
        <w:rPr>
          <w:rFonts w:asciiTheme="minorHAnsi" w:hAnsiTheme="minorHAnsi" w:cstheme="minorHAnsi"/>
        </w:rPr>
        <w:t>2015/16. Perth: National Drug Research Institute, Curtin University; October 2019.</w:t>
      </w:r>
      <w:r>
        <w:rPr>
          <w:rFonts w:asciiTheme="minorHAnsi" w:hAnsiTheme="minorHAnsi" w:cstheme="minorHAnsi"/>
        </w:rPr>
        <w:t xml:space="preserve"> </w:t>
      </w:r>
      <w:r w:rsidRPr="00201C11">
        <w:rPr>
          <w:rFonts w:asciiTheme="minorHAnsi" w:hAnsiTheme="minorHAnsi" w:cstheme="minorHAnsi"/>
        </w:rPr>
        <w:t>Available</w:t>
      </w:r>
      <w:r w:rsidR="002B5CD1">
        <w:rPr>
          <w:rFonts w:asciiTheme="minorHAnsi" w:hAnsiTheme="minorHAnsi" w:cstheme="minorHAnsi"/>
        </w:rPr>
        <w:t xml:space="preserve"> </w:t>
      </w:r>
      <w:r w:rsidRPr="00201C11">
        <w:rPr>
          <w:rFonts w:asciiTheme="minorHAnsi" w:hAnsiTheme="minorHAnsi" w:cstheme="minorHAnsi"/>
        </w:rPr>
        <w:t>from:</w:t>
      </w:r>
      <w:r>
        <w:rPr>
          <w:rFonts w:asciiTheme="minorHAnsi" w:hAnsiTheme="minorHAnsi" w:cstheme="minorHAnsi"/>
        </w:rPr>
        <w:t xml:space="preserve"> </w:t>
      </w:r>
      <w:hyperlink r:id="rId20" w:history="1">
        <w:r w:rsidRPr="00201C11">
          <w:rPr>
            <w:rStyle w:val="Hyperlink"/>
            <w:rFonts w:asciiTheme="minorHAnsi" w:hAnsiTheme="minorHAnsi" w:cstheme="minorHAnsi"/>
          </w:rPr>
          <w:t>https://ndri.curtin.edu.au/ndri/media/documents/publications/T273.pdf</w:t>
        </w:r>
      </w:hyperlink>
      <w:r w:rsidRPr="00201C11">
        <w:rPr>
          <w:rFonts w:asciiTheme="minorHAnsi" w:hAnsiTheme="minorHAnsi" w:cstheme="minorHAnsi"/>
        </w:rPr>
        <w:t>.</w:t>
      </w:r>
    </w:p>
    <w:p w14:paraId="2DD6ECAE" w14:textId="13218025" w:rsidR="00490E48" w:rsidRDefault="00490E48" w:rsidP="00BF12CA">
      <w:pPr>
        <w:pStyle w:val="EndNoteBibliography"/>
        <w:numPr>
          <w:ilvl w:val="0"/>
          <w:numId w:val="53"/>
        </w:numPr>
        <w:spacing w:after="0"/>
        <w:rPr>
          <w:rFonts w:asciiTheme="minorHAnsi" w:hAnsiTheme="minorHAnsi" w:cstheme="minorHAnsi"/>
        </w:rPr>
      </w:pPr>
      <w:r w:rsidRPr="00490E48">
        <w:rPr>
          <w:rFonts w:asciiTheme="minorHAnsi" w:hAnsiTheme="minorHAnsi" w:cstheme="minorHAnsi"/>
        </w:rPr>
        <w:t xml:space="preserve">Baker TB, Piper ME, Smith SS, Bolt DM, Stein JH, Fiore MC. Effects of </w:t>
      </w:r>
      <w:r w:rsidR="006A74E6">
        <w:rPr>
          <w:rFonts w:asciiTheme="minorHAnsi" w:hAnsiTheme="minorHAnsi" w:cstheme="minorHAnsi"/>
        </w:rPr>
        <w:t>c</w:t>
      </w:r>
      <w:r w:rsidRPr="00490E48">
        <w:rPr>
          <w:rFonts w:asciiTheme="minorHAnsi" w:hAnsiTheme="minorHAnsi" w:cstheme="minorHAnsi"/>
        </w:rPr>
        <w:t xml:space="preserve">ombined </w:t>
      </w:r>
      <w:r w:rsidR="006A74E6">
        <w:rPr>
          <w:rFonts w:asciiTheme="minorHAnsi" w:hAnsiTheme="minorHAnsi" w:cstheme="minorHAnsi"/>
        </w:rPr>
        <w:t>v</w:t>
      </w:r>
      <w:r w:rsidRPr="00490E48">
        <w:rPr>
          <w:rFonts w:asciiTheme="minorHAnsi" w:hAnsiTheme="minorHAnsi" w:cstheme="minorHAnsi"/>
        </w:rPr>
        <w:t xml:space="preserve">arenicline </w:t>
      </w:r>
      <w:r w:rsidR="006A74E6">
        <w:rPr>
          <w:rFonts w:asciiTheme="minorHAnsi" w:hAnsiTheme="minorHAnsi" w:cstheme="minorHAnsi"/>
        </w:rPr>
        <w:t>w</w:t>
      </w:r>
      <w:r w:rsidRPr="00490E48">
        <w:rPr>
          <w:rFonts w:asciiTheme="minorHAnsi" w:hAnsiTheme="minorHAnsi" w:cstheme="minorHAnsi"/>
        </w:rPr>
        <w:t xml:space="preserve">ith </w:t>
      </w:r>
      <w:r w:rsidR="006A74E6">
        <w:rPr>
          <w:rFonts w:asciiTheme="minorHAnsi" w:hAnsiTheme="minorHAnsi" w:cstheme="minorHAnsi"/>
        </w:rPr>
        <w:t>n</w:t>
      </w:r>
      <w:r w:rsidRPr="00490E48">
        <w:rPr>
          <w:rFonts w:asciiTheme="minorHAnsi" w:hAnsiTheme="minorHAnsi" w:cstheme="minorHAnsi"/>
        </w:rPr>
        <w:t xml:space="preserve">icotine </w:t>
      </w:r>
      <w:r w:rsidR="006A74E6">
        <w:rPr>
          <w:rFonts w:asciiTheme="minorHAnsi" w:hAnsiTheme="minorHAnsi" w:cstheme="minorHAnsi"/>
        </w:rPr>
        <w:t>p</w:t>
      </w:r>
      <w:r w:rsidRPr="00490E48">
        <w:rPr>
          <w:rFonts w:asciiTheme="minorHAnsi" w:hAnsiTheme="minorHAnsi" w:cstheme="minorHAnsi"/>
        </w:rPr>
        <w:t xml:space="preserve">atch and of </w:t>
      </w:r>
      <w:r w:rsidR="006A74E6">
        <w:rPr>
          <w:rFonts w:asciiTheme="minorHAnsi" w:hAnsiTheme="minorHAnsi" w:cstheme="minorHAnsi"/>
        </w:rPr>
        <w:t>e</w:t>
      </w:r>
      <w:r w:rsidRPr="00490E48">
        <w:rPr>
          <w:rFonts w:asciiTheme="minorHAnsi" w:hAnsiTheme="minorHAnsi" w:cstheme="minorHAnsi"/>
        </w:rPr>
        <w:t xml:space="preserve">xtended </w:t>
      </w:r>
      <w:r w:rsidR="006A74E6">
        <w:rPr>
          <w:rFonts w:asciiTheme="minorHAnsi" w:hAnsiTheme="minorHAnsi" w:cstheme="minorHAnsi"/>
        </w:rPr>
        <w:t>t</w:t>
      </w:r>
      <w:r w:rsidRPr="00490E48">
        <w:rPr>
          <w:rFonts w:asciiTheme="minorHAnsi" w:hAnsiTheme="minorHAnsi" w:cstheme="minorHAnsi"/>
        </w:rPr>
        <w:t xml:space="preserve">reatment </w:t>
      </w:r>
      <w:r w:rsidR="006A74E6">
        <w:rPr>
          <w:rFonts w:asciiTheme="minorHAnsi" w:hAnsiTheme="minorHAnsi" w:cstheme="minorHAnsi"/>
        </w:rPr>
        <w:t>d</w:t>
      </w:r>
      <w:r w:rsidRPr="00490E48">
        <w:rPr>
          <w:rFonts w:asciiTheme="minorHAnsi" w:hAnsiTheme="minorHAnsi" w:cstheme="minorHAnsi"/>
        </w:rPr>
        <w:t xml:space="preserve">uration on </w:t>
      </w:r>
      <w:r w:rsidR="006A74E6">
        <w:rPr>
          <w:rFonts w:asciiTheme="minorHAnsi" w:hAnsiTheme="minorHAnsi" w:cstheme="minorHAnsi"/>
        </w:rPr>
        <w:t>s</w:t>
      </w:r>
      <w:r w:rsidRPr="00490E48">
        <w:rPr>
          <w:rFonts w:asciiTheme="minorHAnsi" w:hAnsiTheme="minorHAnsi" w:cstheme="minorHAnsi"/>
        </w:rPr>
        <w:t xml:space="preserve">moking </w:t>
      </w:r>
      <w:r w:rsidR="006A74E6">
        <w:rPr>
          <w:rFonts w:asciiTheme="minorHAnsi" w:hAnsiTheme="minorHAnsi" w:cstheme="minorHAnsi"/>
        </w:rPr>
        <w:t>c</w:t>
      </w:r>
      <w:r w:rsidRPr="00490E48">
        <w:rPr>
          <w:rFonts w:asciiTheme="minorHAnsi" w:hAnsiTheme="minorHAnsi" w:cstheme="minorHAnsi"/>
        </w:rPr>
        <w:t xml:space="preserve">essation: A </w:t>
      </w:r>
      <w:r w:rsidR="006A74E6">
        <w:rPr>
          <w:rFonts w:asciiTheme="minorHAnsi" w:hAnsiTheme="minorHAnsi" w:cstheme="minorHAnsi"/>
        </w:rPr>
        <w:t>r</w:t>
      </w:r>
      <w:r w:rsidRPr="00490E48">
        <w:rPr>
          <w:rFonts w:asciiTheme="minorHAnsi" w:hAnsiTheme="minorHAnsi" w:cstheme="minorHAnsi"/>
        </w:rPr>
        <w:t xml:space="preserve">andomized </w:t>
      </w:r>
      <w:r w:rsidR="006A74E6">
        <w:rPr>
          <w:rFonts w:asciiTheme="minorHAnsi" w:hAnsiTheme="minorHAnsi" w:cstheme="minorHAnsi"/>
        </w:rPr>
        <w:t>c</w:t>
      </w:r>
      <w:r w:rsidRPr="00490E48">
        <w:rPr>
          <w:rFonts w:asciiTheme="minorHAnsi" w:hAnsiTheme="minorHAnsi" w:cstheme="minorHAnsi"/>
        </w:rPr>
        <w:t xml:space="preserve">linical </w:t>
      </w:r>
      <w:r w:rsidR="006A74E6">
        <w:rPr>
          <w:rFonts w:asciiTheme="minorHAnsi" w:hAnsiTheme="minorHAnsi" w:cstheme="minorHAnsi"/>
        </w:rPr>
        <w:t>t</w:t>
      </w:r>
      <w:r w:rsidRPr="00490E48">
        <w:rPr>
          <w:rFonts w:asciiTheme="minorHAnsi" w:hAnsiTheme="minorHAnsi" w:cstheme="minorHAnsi"/>
        </w:rPr>
        <w:t>rial. JAMA. 2021;326(15):1485-93.</w:t>
      </w:r>
    </w:p>
    <w:p w14:paraId="1117728A" w14:textId="38D5E820" w:rsidR="00466EDF" w:rsidRPr="00D25738" w:rsidRDefault="00466EDF" w:rsidP="00974807">
      <w:pPr>
        <w:pStyle w:val="EndNoteBibliography"/>
        <w:spacing w:after="0"/>
        <w:jc w:val="both"/>
        <w:rPr>
          <w:rFonts w:asciiTheme="minorHAnsi" w:hAnsiTheme="minorHAnsi" w:cstheme="minorHAnsi"/>
        </w:rPr>
      </w:pPr>
    </w:p>
    <w:p w14:paraId="64ACDB4F" w14:textId="147A7F6C" w:rsidR="00466EDF" w:rsidRDefault="00466EDF">
      <w:pPr>
        <w:spacing w:line="276" w:lineRule="auto"/>
        <w:rPr>
          <w:rFonts w:ascii="Cambria" w:eastAsiaTheme="minorEastAsia" w:hAnsi="Cambria" w:cs="Calibri"/>
          <w:noProof/>
          <w:szCs w:val="20"/>
          <w:lang w:val="en-US"/>
        </w:rPr>
      </w:pPr>
      <w:r>
        <w:br w:type="page"/>
      </w:r>
    </w:p>
    <w:p w14:paraId="32B6570F" w14:textId="3AC155DF" w:rsidR="00466EDF" w:rsidRPr="00A41970" w:rsidRDefault="00466EDF" w:rsidP="00FF3A5C">
      <w:pPr>
        <w:pStyle w:val="Heading1"/>
        <w:spacing w:before="0"/>
      </w:pPr>
      <w:bookmarkStart w:id="83" w:name="_Ref493242406"/>
      <w:bookmarkStart w:id="84" w:name="_Toc503771667"/>
      <w:bookmarkStart w:id="85" w:name="_Toc64558276"/>
      <w:bookmarkStart w:id="86" w:name="_Toc111710710"/>
      <w:r w:rsidRPr="00A41970">
        <w:lastRenderedPageBreak/>
        <w:t xml:space="preserve">Appendix </w:t>
      </w:r>
      <w:r>
        <w:t>A</w:t>
      </w:r>
      <w:r w:rsidRPr="00A41970">
        <w:t xml:space="preserve"> – Reference </w:t>
      </w:r>
      <w:r w:rsidR="002B5CD1">
        <w:t>g</w:t>
      </w:r>
      <w:r w:rsidRPr="00A41970">
        <w:t xml:space="preserve">roup </w:t>
      </w:r>
      <w:r w:rsidR="002B5CD1">
        <w:t>m</w:t>
      </w:r>
      <w:r w:rsidRPr="00A41970">
        <w:t>embers</w:t>
      </w:r>
      <w:bookmarkEnd w:id="83"/>
      <w:bookmarkEnd w:id="84"/>
      <w:bookmarkEnd w:id="85"/>
      <w:bookmarkEnd w:id="86"/>
    </w:p>
    <w:tbl>
      <w:tblPr>
        <w:tblStyle w:val="TableGrid"/>
        <w:tblW w:w="5000" w:type="pct"/>
        <w:tblLook w:val="04A0" w:firstRow="1" w:lastRow="0" w:firstColumn="1" w:lastColumn="0" w:noHBand="0" w:noVBand="1"/>
      </w:tblPr>
      <w:tblGrid>
        <w:gridCol w:w="3540"/>
        <w:gridCol w:w="2470"/>
        <w:gridCol w:w="3006"/>
      </w:tblGrid>
      <w:tr w:rsidR="002B5CD1" w14:paraId="040878E5" w14:textId="77777777" w:rsidTr="00523139">
        <w:tc>
          <w:tcPr>
            <w:tcW w:w="1963" w:type="pct"/>
            <w:tcBorders>
              <w:top w:val="single" w:sz="4" w:space="0" w:color="auto"/>
              <w:left w:val="single" w:sz="4" w:space="0" w:color="auto"/>
              <w:bottom w:val="single" w:sz="4" w:space="0" w:color="auto"/>
              <w:right w:val="single" w:sz="4" w:space="0" w:color="auto"/>
            </w:tcBorders>
            <w:shd w:val="clear" w:color="auto" w:fill="auto"/>
          </w:tcPr>
          <w:p w14:paraId="5C27C08D" w14:textId="77777777" w:rsidR="002B5CD1" w:rsidRPr="00106A8F" w:rsidRDefault="002B5CD1" w:rsidP="002B5CD1">
            <w:pPr>
              <w:rPr>
                <w:b/>
                <w:bCs/>
                <w:color w:val="000000"/>
                <w:sz w:val="24"/>
                <w:szCs w:val="24"/>
              </w:rPr>
            </w:pPr>
            <w:bookmarkStart w:id="87" w:name="_Hlk111817624"/>
            <w:r w:rsidRPr="00106A8F">
              <w:rPr>
                <w:b/>
                <w:bCs/>
                <w:color w:val="000000"/>
                <w:sz w:val="24"/>
                <w:szCs w:val="24"/>
              </w:rPr>
              <w:t>Name</w:t>
            </w:r>
          </w:p>
          <w:p w14:paraId="5DED59A4" w14:textId="6E841508" w:rsidR="00770514" w:rsidRPr="00106A8F" w:rsidRDefault="00770514" w:rsidP="002B5CD1">
            <w:pPr>
              <w:rPr>
                <w:sz w:val="24"/>
                <w:szCs w:val="24"/>
              </w:rPr>
            </w:pPr>
          </w:p>
        </w:tc>
        <w:tc>
          <w:tcPr>
            <w:tcW w:w="1370" w:type="pct"/>
            <w:tcBorders>
              <w:top w:val="single" w:sz="4" w:space="0" w:color="auto"/>
              <w:left w:val="nil"/>
              <w:bottom w:val="single" w:sz="4" w:space="0" w:color="auto"/>
              <w:right w:val="single" w:sz="4" w:space="0" w:color="auto"/>
            </w:tcBorders>
            <w:shd w:val="clear" w:color="auto" w:fill="auto"/>
          </w:tcPr>
          <w:p w14:paraId="7594D239" w14:textId="6E3119D7" w:rsidR="002B5CD1" w:rsidRPr="00106A8F" w:rsidRDefault="002B5CD1" w:rsidP="002B5CD1">
            <w:pPr>
              <w:rPr>
                <w:sz w:val="24"/>
                <w:szCs w:val="24"/>
              </w:rPr>
            </w:pPr>
            <w:r w:rsidRPr="00106A8F">
              <w:rPr>
                <w:b/>
                <w:bCs/>
                <w:color w:val="000000"/>
                <w:sz w:val="24"/>
                <w:szCs w:val="24"/>
              </w:rPr>
              <w:t xml:space="preserve">Nominated By </w:t>
            </w:r>
          </w:p>
        </w:tc>
        <w:tc>
          <w:tcPr>
            <w:tcW w:w="1667" w:type="pct"/>
            <w:tcBorders>
              <w:top w:val="single" w:sz="4" w:space="0" w:color="auto"/>
              <w:left w:val="nil"/>
              <w:bottom w:val="single" w:sz="4" w:space="0" w:color="auto"/>
              <w:right w:val="single" w:sz="4" w:space="0" w:color="auto"/>
            </w:tcBorders>
            <w:shd w:val="clear" w:color="auto" w:fill="auto"/>
          </w:tcPr>
          <w:p w14:paraId="6951D941" w14:textId="6CB94091" w:rsidR="002B5CD1" w:rsidRPr="00106A8F" w:rsidRDefault="002B5CD1" w:rsidP="002B5CD1">
            <w:pPr>
              <w:rPr>
                <w:sz w:val="24"/>
                <w:szCs w:val="24"/>
              </w:rPr>
            </w:pPr>
            <w:r w:rsidRPr="00106A8F">
              <w:rPr>
                <w:b/>
                <w:bCs/>
                <w:color w:val="000000"/>
                <w:sz w:val="24"/>
                <w:szCs w:val="24"/>
              </w:rPr>
              <w:t>Capacity of Appointment</w:t>
            </w:r>
          </w:p>
        </w:tc>
      </w:tr>
      <w:tr w:rsidR="002B5CD1" w14:paraId="43A32CA8" w14:textId="77777777" w:rsidTr="00106A8F">
        <w:tc>
          <w:tcPr>
            <w:tcW w:w="1963" w:type="pct"/>
          </w:tcPr>
          <w:p w14:paraId="54129A58" w14:textId="3A3FDC78" w:rsidR="002B5CD1" w:rsidRPr="00106A8F" w:rsidRDefault="002B5CD1" w:rsidP="00106A8F">
            <w:pPr>
              <w:spacing w:before="120" w:after="120"/>
              <w:rPr>
                <w:sz w:val="24"/>
                <w:szCs w:val="24"/>
              </w:rPr>
            </w:pPr>
            <w:r w:rsidRPr="00106A8F">
              <w:rPr>
                <w:sz w:val="24"/>
                <w:szCs w:val="24"/>
              </w:rPr>
              <w:t>Professor Sanchia Aranda</w:t>
            </w:r>
          </w:p>
        </w:tc>
        <w:tc>
          <w:tcPr>
            <w:tcW w:w="1370" w:type="pct"/>
          </w:tcPr>
          <w:p w14:paraId="68B801CD" w14:textId="68F5A5AD" w:rsidR="002B5CD1" w:rsidRPr="00106A8F" w:rsidRDefault="002B5CD1" w:rsidP="00106A8F">
            <w:pPr>
              <w:spacing w:before="120" w:after="120"/>
              <w:rPr>
                <w:sz w:val="24"/>
                <w:szCs w:val="24"/>
              </w:rPr>
            </w:pPr>
            <w:r w:rsidRPr="00106A8F">
              <w:rPr>
                <w:sz w:val="24"/>
                <w:szCs w:val="24"/>
              </w:rPr>
              <w:t>Department of Health</w:t>
            </w:r>
          </w:p>
        </w:tc>
        <w:tc>
          <w:tcPr>
            <w:tcW w:w="1667" w:type="pct"/>
          </w:tcPr>
          <w:p w14:paraId="7629FB86" w14:textId="4160C9E2" w:rsidR="002B5CD1" w:rsidRPr="00106A8F" w:rsidRDefault="002B5CD1" w:rsidP="00106A8F">
            <w:pPr>
              <w:spacing w:before="120" w:after="120"/>
              <w:rPr>
                <w:sz w:val="24"/>
                <w:szCs w:val="24"/>
              </w:rPr>
            </w:pPr>
            <w:r w:rsidRPr="00106A8F">
              <w:rPr>
                <w:sz w:val="24"/>
                <w:szCs w:val="24"/>
              </w:rPr>
              <w:t>Chair</w:t>
            </w:r>
          </w:p>
        </w:tc>
      </w:tr>
      <w:tr w:rsidR="002B5CD1" w14:paraId="22B62C06" w14:textId="77777777" w:rsidTr="00106A8F">
        <w:tc>
          <w:tcPr>
            <w:tcW w:w="1963" w:type="pct"/>
          </w:tcPr>
          <w:p w14:paraId="65F4EEF0" w14:textId="3EF9B6A5" w:rsidR="002B5CD1" w:rsidRPr="00106A8F" w:rsidRDefault="002B5CD1" w:rsidP="00106A8F">
            <w:pPr>
              <w:spacing w:before="120" w:after="120"/>
              <w:rPr>
                <w:sz w:val="24"/>
                <w:szCs w:val="24"/>
              </w:rPr>
            </w:pPr>
            <w:r w:rsidRPr="00106A8F">
              <w:rPr>
                <w:sz w:val="24"/>
                <w:szCs w:val="24"/>
              </w:rPr>
              <w:t>Associate Professor Nicole Pratt</w:t>
            </w:r>
          </w:p>
        </w:tc>
        <w:tc>
          <w:tcPr>
            <w:tcW w:w="1370" w:type="pct"/>
          </w:tcPr>
          <w:p w14:paraId="007F5917" w14:textId="2FDED745" w:rsidR="002B5CD1" w:rsidRPr="00106A8F" w:rsidRDefault="002B5CD1" w:rsidP="00106A8F">
            <w:pPr>
              <w:spacing w:before="120" w:after="120"/>
              <w:rPr>
                <w:sz w:val="24"/>
                <w:szCs w:val="24"/>
              </w:rPr>
            </w:pPr>
            <w:r w:rsidRPr="00106A8F">
              <w:rPr>
                <w:sz w:val="24"/>
                <w:szCs w:val="24"/>
              </w:rPr>
              <w:t>DUSC</w:t>
            </w:r>
          </w:p>
        </w:tc>
        <w:tc>
          <w:tcPr>
            <w:tcW w:w="1667" w:type="pct"/>
          </w:tcPr>
          <w:p w14:paraId="30896A0C" w14:textId="0B94BEB0" w:rsidR="002B5CD1" w:rsidRPr="00106A8F" w:rsidRDefault="002B5CD1" w:rsidP="00106A8F">
            <w:pPr>
              <w:spacing w:before="120" w:after="120"/>
              <w:rPr>
                <w:sz w:val="24"/>
                <w:szCs w:val="24"/>
              </w:rPr>
            </w:pPr>
            <w:r w:rsidRPr="00106A8F">
              <w:rPr>
                <w:sz w:val="24"/>
                <w:szCs w:val="24"/>
              </w:rPr>
              <w:t>Technical Expert</w:t>
            </w:r>
          </w:p>
        </w:tc>
      </w:tr>
      <w:tr w:rsidR="002B5CD1" w14:paraId="35633458" w14:textId="77777777" w:rsidTr="00106A8F">
        <w:tc>
          <w:tcPr>
            <w:tcW w:w="1963" w:type="pct"/>
          </w:tcPr>
          <w:p w14:paraId="41C3A31B" w14:textId="0CE0A39F" w:rsidR="002B5CD1" w:rsidRPr="00106A8F" w:rsidRDefault="002B5CD1" w:rsidP="00106A8F">
            <w:pPr>
              <w:spacing w:before="120" w:after="120"/>
              <w:rPr>
                <w:sz w:val="24"/>
                <w:szCs w:val="24"/>
              </w:rPr>
            </w:pPr>
            <w:r w:rsidRPr="00106A8F">
              <w:rPr>
                <w:sz w:val="24"/>
                <w:szCs w:val="24"/>
              </w:rPr>
              <w:t>Professor Gillian Gould</w:t>
            </w:r>
          </w:p>
        </w:tc>
        <w:tc>
          <w:tcPr>
            <w:tcW w:w="1370" w:type="pct"/>
          </w:tcPr>
          <w:p w14:paraId="0955187E" w14:textId="257A1BE7" w:rsidR="002B5CD1" w:rsidRPr="00106A8F" w:rsidRDefault="002B5CD1" w:rsidP="00106A8F">
            <w:pPr>
              <w:spacing w:before="120" w:after="120"/>
              <w:rPr>
                <w:sz w:val="24"/>
                <w:szCs w:val="24"/>
              </w:rPr>
            </w:pPr>
            <w:r w:rsidRPr="00106A8F">
              <w:rPr>
                <w:sz w:val="24"/>
                <w:szCs w:val="24"/>
              </w:rPr>
              <w:t>Department of Health</w:t>
            </w:r>
          </w:p>
        </w:tc>
        <w:tc>
          <w:tcPr>
            <w:tcW w:w="1667" w:type="pct"/>
          </w:tcPr>
          <w:p w14:paraId="2099551E" w14:textId="35FEFAEC" w:rsidR="002B5CD1" w:rsidRPr="00106A8F" w:rsidRDefault="002B5CD1" w:rsidP="00106A8F">
            <w:pPr>
              <w:spacing w:before="120" w:after="120"/>
              <w:rPr>
                <w:sz w:val="24"/>
                <w:szCs w:val="24"/>
              </w:rPr>
            </w:pPr>
            <w:r w:rsidRPr="00106A8F">
              <w:rPr>
                <w:sz w:val="24"/>
                <w:szCs w:val="24"/>
              </w:rPr>
              <w:t>Technical Expert</w:t>
            </w:r>
          </w:p>
        </w:tc>
      </w:tr>
      <w:tr w:rsidR="002B5CD1" w14:paraId="1374EA6F" w14:textId="77777777" w:rsidTr="00106A8F">
        <w:tc>
          <w:tcPr>
            <w:tcW w:w="1963" w:type="pct"/>
          </w:tcPr>
          <w:p w14:paraId="39DBE2A5" w14:textId="0F4CE3DF" w:rsidR="002B5CD1" w:rsidRPr="00106A8F" w:rsidRDefault="002B5CD1" w:rsidP="00106A8F">
            <w:pPr>
              <w:spacing w:before="120" w:after="120"/>
              <w:rPr>
                <w:sz w:val="24"/>
                <w:szCs w:val="24"/>
              </w:rPr>
            </w:pPr>
            <w:r w:rsidRPr="00106A8F">
              <w:rPr>
                <w:sz w:val="24"/>
                <w:szCs w:val="24"/>
              </w:rPr>
              <w:t>Professor Rashmi Sharma</w:t>
            </w:r>
          </w:p>
        </w:tc>
        <w:tc>
          <w:tcPr>
            <w:tcW w:w="1370" w:type="pct"/>
          </w:tcPr>
          <w:p w14:paraId="4392A324" w14:textId="07B166C5" w:rsidR="002B5CD1" w:rsidRPr="00106A8F" w:rsidRDefault="002B5CD1" w:rsidP="00106A8F">
            <w:pPr>
              <w:spacing w:before="120" w:after="120"/>
              <w:rPr>
                <w:sz w:val="24"/>
                <w:szCs w:val="24"/>
              </w:rPr>
            </w:pPr>
            <w:r w:rsidRPr="00106A8F">
              <w:rPr>
                <w:sz w:val="24"/>
                <w:szCs w:val="24"/>
              </w:rPr>
              <w:t>Royal Australian College of General Practitioners</w:t>
            </w:r>
          </w:p>
        </w:tc>
        <w:tc>
          <w:tcPr>
            <w:tcW w:w="1667" w:type="pct"/>
          </w:tcPr>
          <w:p w14:paraId="6B8975B1" w14:textId="61FD1943" w:rsidR="002B5CD1" w:rsidRPr="00106A8F" w:rsidRDefault="002B5CD1" w:rsidP="00106A8F">
            <w:pPr>
              <w:spacing w:before="120" w:after="120"/>
              <w:rPr>
                <w:sz w:val="24"/>
                <w:szCs w:val="24"/>
              </w:rPr>
            </w:pPr>
            <w:r w:rsidRPr="00106A8F">
              <w:rPr>
                <w:sz w:val="24"/>
                <w:szCs w:val="24"/>
              </w:rPr>
              <w:t>Technical Expert</w:t>
            </w:r>
          </w:p>
        </w:tc>
      </w:tr>
      <w:tr w:rsidR="002B5CD1" w14:paraId="590A3B1F" w14:textId="77777777" w:rsidTr="00106A8F">
        <w:tc>
          <w:tcPr>
            <w:tcW w:w="1963" w:type="pct"/>
          </w:tcPr>
          <w:p w14:paraId="075263CB" w14:textId="156C4577" w:rsidR="002B5CD1" w:rsidRPr="00106A8F" w:rsidRDefault="002B5CD1" w:rsidP="00106A8F">
            <w:pPr>
              <w:spacing w:before="120" w:after="120"/>
              <w:rPr>
                <w:sz w:val="24"/>
                <w:szCs w:val="24"/>
              </w:rPr>
            </w:pPr>
            <w:r w:rsidRPr="00106A8F">
              <w:rPr>
                <w:sz w:val="24"/>
                <w:szCs w:val="24"/>
              </w:rPr>
              <w:t>Associate Professor Billingsley Kaambwa</w:t>
            </w:r>
          </w:p>
        </w:tc>
        <w:tc>
          <w:tcPr>
            <w:tcW w:w="1370" w:type="pct"/>
          </w:tcPr>
          <w:p w14:paraId="7ECB1073" w14:textId="0EED8F14" w:rsidR="002B5CD1" w:rsidRPr="00106A8F" w:rsidRDefault="002B5CD1" w:rsidP="00106A8F">
            <w:pPr>
              <w:spacing w:before="120" w:after="120"/>
              <w:rPr>
                <w:sz w:val="24"/>
                <w:szCs w:val="24"/>
              </w:rPr>
            </w:pPr>
            <w:r w:rsidRPr="00106A8F">
              <w:rPr>
                <w:color w:val="000000"/>
                <w:sz w:val="24"/>
                <w:szCs w:val="24"/>
              </w:rPr>
              <w:t>Australian Health Economics Society</w:t>
            </w:r>
          </w:p>
        </w:tc>
        <w:tc>
          <w:tcPr>
            <w:tcW w:w="1667" w:type="pct"/>
          </w:tcPr>
          <w:p w14:paraId="4F430456" w14:textId="4BE9E6B6" w:rsidR="002B5CD1" w:rsidRPr="00106A8F" w:rsidRDefault="002B5CD1" w:rsidP="00106A8F">
            <w:pPr>
              <w:spacing w:before="120" w:after="120"/>
              <w:rPr>
                <w:sz w:val="24"/>
                <w:szCs w:val="24"/>
              </w:rPr>
            </w:pPr>
            <w:r w:rsidRPr="00106A8F">
              <w:rPr>
                <w:sz w:val="24"/>
                <w:szCs w:val="24"/>
              </w:rPr>
              <w:t>Technical Expert</w:t>
            </w:r>
          </w:p>
        </w:tc>
      </w:tr>
      <w:tr w:rsidR="002B5CD1" w14:paraId="08B96F2A" w14:textId="77777777" w:rsidTr="00106A8F">
        <w:tc>
          <w:tcPr>
            <w:tcW w:w="1963" w:type="pct"/>
          </w:tcPr>
          <w:p w14:paraId="788AF2F8" w14:textId="6898B1E2" w:rsidR="002B5CD1" w:rsidRPr="00106A8F" w:rsidRDefault="002B5CD1" w:rsidP="00106A8F">
            <w:pPr>
              <w:spacing w:before="120" w:after="120"/>
              <w:rPr>
                <w:sz w:val="24"/>
                <w:szCs w:val="24"/>
              </w:rPr>
            </w:pPr>
            <w:r w:rsidRPr="00106A8F">
              <w:rPr>
                <w:sz w:val="24"/>
                <w:szCs w:val="24"/>
              </w:rPr>
              <w:t>Dr Angela Gowland</w:t>
            </w:r>
          </w:p>
        </w:tc>
        <w:tc>
          <w:tcPr>
            <w:tcW w:w="1370" w:type="pct"/>
          </w:tcPr>
          <w:p w14:paraId="059804B7" w14:textId="336C8F55" w:rsidR="002B5CD1" w:rsidRPr="00106A8F" w:rsidRDefault="002B5CD1" w:rsidP="00106A8F">
            <w:pPr>
              <w:spacing w:before="120" w:after="120"/>
              <w:rPr>
                <w:sz w:val="24"/>
                <w:szCs w:val="24"/>
              </w:rPr>
            </w:pPr>
            <w:r w:rsidRPr="00106A8F">
              <w:rPr>
                <w:color w:val="000000"/>
                <w:sz w:val="24"/>
                <w:szCs w:val="24"/>
              </w:rPr>
              <w:t>Therapeutic Goods Administration</w:t>
            </w:r>
          </w:p>
        </w:tc>
        <w:tc>
          <w:tcPr>
            <w:tcW w:w="1667" w:type="pct"/>
          </w:tcPr>
          <w:p w14:paraId="33F99442" w14:textId="657C71B7" w:rsidR="002B5CD1" w:rsidRPr="00106A8F" w:rsidRDefault="002B5CD1" w:rsidP="00106A8F">
            <w:pPr>
              <w:spacing w:before="120" w:after="120"/>
              <w:rPr>
                <w:sz w:val="24"/>
                <w:szCs w:val="24"/>
              </w:rPr>
            </w:pPr>
            <w:r w:rsidRPr="00106A8F">
              <w:rPr>
                <w:color w:val="000000"/>
                <w:sz w:val="24"/>
                <w:szCs w:val="24"/>
              </w:rPr>
              <w:t>Organisational Nominee</w:t>
            </w:r>
          </w:p>
        </w:tc>
      </w:tr>
      <w:tr w:rsidR="002B5CD1" w14:paraId="2B30E673" w14:textId="77777777" w:rsidTr="00106A8F">
        <w:tc>
          <w:tcPr>
            <w:tcW w:w="1963" w:type="pct"/>
          </w:tcPr>
          <w:p w14:paraId="4CEA40CD" w14:textId="729E8A36" w:rsidR="002B5CD1" w:rsidRPr="00106A8F" w:rsidRDefault="002B5CD1" w:rsidP="00106A8F">
            <w:pPr>
              <w:spacing w:before="120" w:after="120"/>
              <w:rPr>
                <w:sz w:val="24"/>
                <w:szCs w:val="24"/>
              </w:rPr>
            </w:pPr>
            <w:r w:rsidRPr="00106A8F">
              <w:rPr>
                <w:sz w:val="24"/>
                <w:szCs w:val="24"/>
              </w:rPr>
              <w:t>Associate Professor Richard Brightwell</w:t>
            </w:r>
          </w:p>
        </w:tc>
        <w:tc>
          <w:tcPr>
            <w:tcW w:w="1370" w:type="pct"/>
          </w:tcPr>
          <w:p w14:paraId="51C4C832" w14:textId="4CAEEC36" w:rsidR="002B5CD1" w:rsidRPr="00106A8F" w:rsidRDefault="002B5CD1" w:rsidP="00106A8F">
            <w:pPr>
              <w:spacing w:before="120" w:after="120"/>
              <w:rPr>
                <w:sz w:val="24"/>
                <w:szCs w:val="24"/>
              </w:rPr>
            </w:pPr>
            <w:r w:rsidRPr="00106A8F">
              <w:rPr>
                <w:sz w:val="24"/>
                <w:szCs w:val="24"/>
              </w:rPr>
              <w:t>Consumers Health Forum of Australia</w:t>
            </w:r>
          </w:p>
        </w:tc>
        <w:tc>
          <w:tcPr>
            <w:tcW w:w="1667" w:type="pct"/>
          </w:tcPr>
          <w:p w14:paraId="05410A32" w14:textId="49637129" w:rsidR="002B5CD1" w:rsidRPr="00106A8F" w:rsidRDefault="002B5CD1" w:rsidP="00106A8F">
            <w:pPr>
              <w:spacing w:before="120" w:after="120"/>
              <w:rPr>
                <w:sz w:val="24"/>
                <w:szCs w:val="24"/>
              </w:rPr>
            </w:pPr>
            <w:r w:rsidRPr="00106A8F">
              <w:rPr>
                <w:sz w:val="24"/>
                <w:szCs w:val="24"/>
              </w:rPr>
              <w:t>Consumer Advocate</w:t>
            </w:r>
          </w:p>
        </w:tc>
      </w:tr>
      <w:tr w:rsidR="002B5CD1" w14:paraId="6BC9E079" w14:textId="77777777" w:rsidTr="00106A8F">
        <w:tc>
          <w:tcPr>
            <w:tcW w:w="1963" w:type="pct"/>
          </w:tcPr>
          <w:p w14:paraId="4A76B7B5" w14:textId="20F1CFC6" w:rsidR="002B5CD1" w:rsidRPr="00106A8F" w:rsidRDefault="002B5CD1" w:rsidP="00106A8F">
            <w:pPr>
              <w:spacing w:before="120" w:after="120"/>
              <w:rPr>
                <w:sz w:val="24"/>
                <w:szCs w:val="24"/>
              </w:rPr>
            </w:pPr>
            <w:r w:rsidRPr="00106A8F">
              <w:rPr>
                <w:sz w:val="24"/>
                <w:szCs w:val="24"/>
              </w:rPr>
              <w:t>Yelitte Ho and Anonnya Chowdhury</w:t>
            </w:r>
          </w:p>
        </w:tc>
        <w:tc>
          <w:tcPr>
            <w:tcW w:w="1370" w:type="pct"/>
          </w:tcPr>
          <w:p w14:paraId="47727F62" w14:textId="5E5117F0" w:rsidR="002B5CD1" w:rsidRPr="00106A8F" w:rsidRDefault="002B5CD1" w:rsidP="00106A8F">
            <w:pPr>
              <w:spacing w:before="120" w:after="120"/>
              <w:rPr>
                <w:sz w:val="24"/>
                <w:szCs w:val="24"/>
              </w:rPr>
            </w:pPr>
            <w:r w:rsidRPr="00106A8F">
              <w:rPr>
                <w:sz w:val="24"/>
                <w:szCs w:val="24"/>
              </w:rPr>
              <w:t>Medicines Australia</w:t>
            </w:r>
          </w:p>
        </w:tc>
        <w:tc>
          <w:tcPr>
            <w:tcW w:w="1667" w:type="pct"/>
          </w:tcPr>
          <w:p w14:paraId="0E8DAA45" w14:textId="57145CE7" w:rsidR="002B5CD1" w:rsidRPr="00106A8F" w:rsidRDefault="002B5CD1" w:rsidP="00106A8F">
            <w:pPr>
              <w:spacing w:before="120" w:after="120"/>
              <w:rPr>
                <w:sz w:val="24"/>
                <w:szCs w:val="24"/>
              </w:rPr>
            </w:pPr>
            <w:r w:rsidRPr="00106A8F">
              <w:rPr>
                <w:sz w:val="24"/>
                <w:szCs w:val="24"/>
              </w:rPr>
              <w:t>Organisational Nominee</w:t>
            </w:r>
          </w:p>
        </w:tc>
      </w:tr>
      <w:bookmarkEnd w:id="87"/>
    </w:tbl>
    <w:p w14:paraId="3900920A" w14:textId="2B6B1D0E" w:rsidR="002B5CD1" w:rsidRPr="002F3376" w:rsidRDefault="002B5CD1" w:rsidP="002F3376"/>
    <w:sectPr w:rsidR="002B5CD1" w:rsidRPr="002F3376" w:rsidSect="00BF12CA">
      <w:headerReference w:type="even" r:id="rId21"/>
      <w:headerReference w:type="default" r:id="rId22"/>
      <w:footerReference w:type="default" r:id="rId23"/>
      <w:headerReference w:type="first" r:id="rId2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0C72" w14:textId="77777777" w:rsidR="007C49CD" w:rsidRDefault="007C49CD" w:rsidP="00A77877">
      <w:r>
        <w:separator/>
      </w:r>
    </w:p>
    <w:p w14:paraId="050E4005" w14:textId="77777777" w:rsidR="007C49CD" w:rsidRDefault="007C49CD" w:rsidP="00A77877"/>
    <w:p w14:paraId="0EBAA1B0" w14:textId="77777777" w:rsidR="007C49CD" w:rsidRDefault="007C49CD" w:rsidP="00A77877"/>
  </w:endnote>
  <w:endnote w:type="continuationSeparator" w:id="0">
    <w:p w14:paraId="3E1B7D75" w14:textId="77777777" w:rsidR="007C49CD" w:rsidRDefault="007C49CD" w:rsidP="00A77877">
      <w:r>
        <w:continuationSeparator/>
      </w:r>
    </w:p>
    <w:p w14:paraId="3FA8B46A" w14:textId="77777777" w:rsidR="007C49CD" w:rsidRDefault="007C49CD" w:rsidP="00A77877"/>
    <w:p w14:paraId="461E2837" w14:textId="77777777" w:rsidR="007C49CD" w:rsidRDefault="007C49CD" w:rsidP="00A77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D955" w14:textId="77777777" w:rsidR="001037FB" w:rsidRDefault="0010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369686"/>
      <w:docPartObj>
        <w:docPartGallery w:val="Page Numbers (Bottom of Page)"/>
        <w:docPartUnique/>
      </w:docPartObj>
    </w:sdtPr>
    <w:sdtEndPr>
      <w:rPr>
        <w:noProof/>
      </w:rPr>
    </w:sdtEndPr>
    <w:sdtContent>
      <w:p w14:paraId="4F594625" w14:textId="24CFD2C4" w:rsidR="003520DC" w:rsidRDefault="003520D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470595A" w14:textId="2B3946AE" w:rsidR="003520DC" w:rsidRPr="00212FCE" w:rsidRDefault="003520DC" w:rsidP="00A77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2375" w14:textId="02681A4E" w:rsidR="003520DC" w:rsidRDefault="00CB639E" w:rsidP="00CC2D13">
    <w:pPr>
      <w:pStyle w:val="Footer"/>
      <w:jc w:val="right"/>
      <w:rPr>
        <w:noProof/>
      </w:rPr>
    </w:pPr>
    <w:sdt>
      <w:sdtPr>
        <w:id w:val="867647723"/>
        <w:docPartObj>
          <w:docPartGallery w:val="Page Numbers (Bottom of Page)"/>
          <w:docPartUnique/>
        </w:docPartObj>
      </w:sdtPr>
      <w:sdtEndPr>
        <w:rPr>
          <w:noProof/>
        </w:rPr>
      </w:sdtEndPr>
      <w:sdtContent>
        <w:r w:rsidR="003520DC">
          <w:fldChar w:fldCharType="begin"/>
        </w:r>
        <w:r w:rsidR="003520DC">
          <w:instrText xml:space="preserve"> PAGE   \* MERGEFORMAT </w:instrText>
        </w:r>
        <w:r w:rsidR="003520DC">
          <w:fldChar w:fldCharType="separate"/>
        </w:r>
        <w:r w:rsidR="003520DC">
          <w:rPr>
            <w:noProof/>
          </w:rPr>
          <w:t>8</w:t>
        </w:r>
        <w:r w:rsidR="003520DC">
          <w:rPr>
            <w:noProof/>
          </w:rPr>
          <w:fldChar w:fldCharType="end"/>
        </w:r>
        <w:r w:rsidR="003520DC">
          <w:rPr>
            <w:noProof/>
          </w:rPr>
          <w:t xml:space="preserve"> </w:t>
        </w:r>
      </w:sdtContent>
    </w:sdt>
  </w:p>
  <w:p w14:paraId="29F13F55" w14:textId="77777777" w:rsidR="003520DC" w:rsidRDefault="003520DC" w:rsidP="00A77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EBB3" w14:textId="7C47C713" w:rsidR="003520DC" w:rsidRDefault="00CB639E" w:rsidP="001037FB">
    <w:pPr>
      <w:pStyle w:val="Footer"/>
      <w:tabs>
        <w:tab w:val="clear" w:pos="4513"/>
        <w:tab w:val="clear" w:pos="9026"/>
        <w:tab w:val="left" w:pos="7560"/>
      </w:tabs>
      <w:ind w:left="7560"/>
      <w:jc w:val="right"/>
    </w:pPr>
    <w:sdt>
      <w:sdtPr>
        <w:id w:val="636145619"/>
        <w:docPartObj>
          <w:docPartGallery w:val="Page Numbers (Bottom of Page)"/>
          <w:docPartUnique/>
        </w:docPartObj>
      </w:sdtPr>
      <w:sdtEndPr>
        <w:rPr>
          <w:noProof/>
        </w:rPr>
      </w:sdtEndPr>
      <w:sdtContent>
        <w:r w:rsidR="003520DC">
          <w:rPr>
            <w:noProof/>
          </w:rPr>
          <w:fldChar w:fldCharType="begin"/>
        </w:r>
        <w:r w:rsidR="003520DC">
          <w:rPr>
            <w:noProof/>
          </w:rPr>
          <w:instrText xml:space="preserve"> PAGE   \* MERGEFORMAT </w:instrText>
        </w:r>
        <w:r w:rsidR="003520DC">
          <w:rPr>
            <w:noProof/>
          </w:rPr>
          <w:fldChar w:fldCharType="separate"/>
        </w:r>
        <w:r w:rsidR="003520DC">
          <w:rPr>
            <w:noProof/>
          </w:rPr>
          <w:t>44</w:t>
        </w:r>
        <w:r w:rsidR="003520DC">
          <w:rPr>
            <w:noProof/>
          </w:rPr>
          <w:fldChar w:fldCharType="end"/>
        </w:r>
      </w:sdtContent>
    </w:sdt>
    <w:r w:rsidR="003520DC">
      <w:rPr>
        <w:noProof/>
      </w:rPr>
      <w:tab/>
    </w:r>
  </w:p>
  <w:p w14:paraId="442FFC48" w14:textId="77777777" w:rsidR="003520DC" w:rsidRDefault="003520DC" w:rsidP="00A778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FBBA" w14:textId="77777777" w:rsidR="007C49CD" w:rsidRDefault="007C49CD" w:rsidP="00A77877">
      <w:r>
        <w:separator/>
      </w:r>
    </w:p>
    <w:p w14:paraId="696A13DE" w14:textId="77777777" w:rsidR="007C49CD" w:rsidRDefault="007C49CD" w:rsidP="00A77877"/>
    <w:p w14:paraId="25890AE2" w14:textId="77777777" w:rsidR="007C49CD" w:rsidRDefault="007C49CD" w:rsidP="00A77877"/>
  </w:footnote>
  <w:footnote w:type="continuationSeparator" w:id="0">
    <w:p w14:paraId="0487ED26" w14:textId="77777777" w:rsidR="007C49CD" w:rsidRDefault="007C49CD" w:rsidP="00A77877">
      <w:r>
        <w:continuationSeparator/>
      </w:r>
    </w:p>
    <w:p w14:paraId="6DA18DA3" w14:textId="77777777" w:rsidR="007C49CD" w:rsidRDefault="007C49CD" w:rsidP="00A77877"/>
    <w:p w14:paraId="69C3A750" w14:textId="77777777" w:rsidR="007C49CD" w:rsidRDefault="007C49CD" w:rsidP="00A77877"/>
  </w:footnote>
  <w:footnote w:id="1">
    <w:p w14:paraId="6839C21F" w14:textId="24C34A1B" w:rsidR="003520DC" w:rsidRDefault="003520DC" w:rsidP="00523139">
      <w:pPr>
        <w:pStyle w:val="FootnoteText"/>
        <w:jc w:val="both"/>
      </w:pPr>
      <w:r>
        <w:rPr>
          <w:rStyle w:val="FootnoteReference"/>
        </w:rPr>
        <w:footnoteRef/>
      </w:r>
      <w:r>
        <w:t xml:space="preserve"> The </w:t>
      </w:r>
      <w:r w:rsidRPr="00DC3B4D">
        <w:t>Government of Western Australia</w:t>
      </w:r>
      <w:r>
        <w:t>, Department of Health,</w:t>
      </w:r>
      <w:r w:rsidRPr="00DC3B4D">
        <w:t xml:space="preserve"> </w:t>
      </w:r>
      <w:r>
        <w:t>‘</w:t>
      </w:r>
      <w:r w:rsidRPr="00DC3B4D">
        <w:t>Guidelines to manage nicotine withdrawal and cessation support</w:t>
      </w:r>
      <w:r>
        <w:t xml:space="preserve"> in nicotine dependent patients’</w:t>
      </w:r>
      <w:r w:rsidRPr="00DC3B4D">
        <w:t xml:space="preserve"> </w:t>
      </w:r>
      <w:r>
        <w:t>(</w:t>
      </w:r>
      <w:r w:rsidRPr="00DC3B4D">
        <w:t>2020</w:t>
      </w:r>
      <w:r>
        <w:t>) were rescinded on 30 June 2021.</w:t>
      </w:r>
    </w:p>
  </w:footnote>
  <w:footnote w:id="2">
    <w:p w14:paraId="248A841B" w14:textId="38B80386" w:rsidR="003520DC" w:rsidRDefault="003520DC" w:rsidP="00523139">
      <w:pPr>
        <w:pStyle w:val="FootnoteText"/>
        <w:jc w:val="both"/>
      </w:pPr>
      <w:r>
        <w:rPr>
          <w:rStyle w:val="FootnoteReference"/>
        </w:rPr>
        <w:footnoteRef/>
      </w:r>
      <w:r>
        <w:t xml:space="preserve"> </w:t>
      </w:r>
      <w:r w:rsidRPr="00FC0C0F">
        <w:t>Tackling Indigenous Smoking Program Final Evaluation Report</w:t>
      </w:r>
      <w:r>
        <w:t>.</w:t>
      </w:r>
      <w:r w:rsidRPr="00FC0C0F">
        <w:t xml:space="preserve"> Prepared for the Australian Government Department of Health July 2018 https://www.health.gov.au/sites/default/files/tackling-indigenous-smoking-program-final-evaluation-report.pdf</w:t>
      </w:r>
      <w:r>
        <w:t>.</w:t>
      </w:r>
    </w:p>
  </w:footnote>
  <w:footnote w:id="3">
    <w:p w14:paraId="38C1E1B5" w14:textId="6960DF9A" w:rsidR="003520DC" w:rsidRDefault="003520DC" w:rsidP="00561DE4">
      <w:pPr>
        <w:pStyle w:val="FootnoteText"/>
        <w:jc w:val="both"/>
      </w:pPr>
      <w:r>
        <w:rPr>
          <w:rStyle w:val="FootnoteReference"/>
        </w:rPr>
        <w:footnoteRef/>
      </w:r>
      <w:r>
        <w:t xml:space="preserve"> </w:t>
      </w:r>
      <w:r w:rsidRPr="00561DE4">
        <w:t xml:space="preserve">The efficacy of combination NRT relative to varenicline was investigated further as part of the ToR 4 report. For further information refer </w:t>
      </w:r>
      <w:r w:rsidRPr="003E16DB">
        <w:t xml:space="preserve">to </w:t>
      </w:r>
      <w:r w:rsidRPr="0094759F">
        <w:t>p.4</w:t>
      </w:r>
      <w:r w:rsidR="0094759F" w:rsidRPr="0094759F">
        <w:t>3</w:t>
      </w:r>
      <w:r w:rsidRPr="0094759F">
        <w:t xml:space="preserve"> of</w:t>
      </w:r>
      <w:r w:rsidRPr="003E16DB">
        <w:t xml:space="preserve"> ‘</w:t>
      </w:r>
      <w:r w:rsidRPr="003E16DB">
        <w:rPr>
          <w:bCs/>
        </w:rPr>
        <w:t>ToR</w:t>
      </w:r>
      <w:r w:rsidRPr="00561DE4">
        <w:rPr>
          <w:bCs/>
        </w:rPr>
        <w:t xml:space="preserve"> 4: Cost-effectiveness review of specified combinations of smoking cessation medicines and estimates for the Pharmaceutical Benefits Scheme.’</w:t>
      </w:r>
    </w:p>
  </w:footnote>
  <w:footnote w:id="4">
    <w:p w14:paraId="3E0E5768" w14:textId="73EC2914" w:rsidR="003520DC" w:rsidRPr="00482CD7" w:rsidRDefault="003520DC" w:rsidP="00561DE4">
      <w:pPr>
        <w:pStyle w:val="FootnoteText"/>
        <w:jc w:val="both"/>
        <w:rPr>
          <w:b/>
          <w:i/>
          <w:iCs/>
        </w:rPr>
      </w:pPr>
      <w:r>
        <w:rPr>
          <w:rStyle w:val="FootnoteReference"/>
        </w:rPr>
        <w:footnoteRef/>
      </w:r>
      <w:r>
        <w:t xml:space="preserve"> The efficacy of combination NRT relative to varenicline was investigated further as part of the ToR 4 report. For further information refer </w:t>
      </w:r>
      <w:r w:rsidRPr="0094759F">
        <w:t>to p.4</w:t>
      </w:r>
      <w:r w:rsidR="0094759F" w:rsidRPr="0094759F">
        <w:t>3</w:t>
      </w:r>
      <w:r w:rsidRPr="0094759F">
        <w:t xml:space="preserve"> of</w:t>
      </w:r>
      <w:r w:rsidRPr="003E16DB">
        <w:t xml:space="preserve"> ‘</w:t>
      </w:r>
      <w:r w:rsidRPr="003E16DB">
        <w:rPr>
          <w:bCs/>
        </w:rPr>
        <w:t>ToR</w:t>
      </w:r>
      <w:r w:rsidRPr="00482CD7">
        <w:rPr>
          <w:bCs/>
        </w:rPr>
        <w:t xml:space="preserve"> 4: Cost-effectiveness review of specified combinations of smoking cessation medicines and estimates for the Pharmaceutical Benefits Scheme</w:t>
      </w:r>
      <w:r>
        <w:rPr>
          <w:bCs/>
        </w:rPr>
        <w:t>.’</w:t>
      </w:r>
    </w:p>
    <w:p w14:paraId="2A214121" w14:textId="473C01A1" w:rsidR="003520DC" w:rsidRDefault="003520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4DF4" w14:textId="77777777" w:rsidR="001037FB" w:rsidRDefault="00103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EBC7" w14:textId="77777777" w:rsidR="001037FB" w:rsidRDefault="00103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755A" w14:textId="77777777" w:rsidR="001037FB" w:rsidRDefault="00103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F640" w14:textId="5FB981F3" w:rsidR="003520DC" w:rsidRDefault="003520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2CC2" w14:textId="6ABB2A2E" w:rsidR="003520DC" w:rsidRDefault="003520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CB28" w14:textId="32A78581" w:rsidR="003520DC" w:rsidRDefault="00352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598"/>
    <w:multiLevelType w:val="multilevel"/>
    <w:tmpl w:val="9468E100"/>
    <w:lvl w:ilvl="0">
      <w:start w:val="1"/>
      <w:numFmt w:val="decimal"/>
      <w:lvlText w:val="%1."/>
      <w:lvlJc w:val="left"/>
      <w:pPr>
        <w:ind w:left="363" w:hanging="360"/>
      </w:p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1083" w:hanging="108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443" w:hanging="144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803" w:hanging="1800"/>
      </w:pPr>
      <w:rPr>
        <w:rFonts w:hint="default"/>
      </w:rPr>
    </w:lvl>
    <w:lvl w:ilvl="8">
      <w:start w:val="1"/>
      <w:numFmt w:val="decimal"/>
      <w:isLgl/>
      <w:lvlText w:val="%1.%2.%3.%4.%5.%6.%7.%8.%9"/>
      <w:lvlJc w:val="left"/>
      <w:pPr>
        <w:ind w:left="2163" w:hanging="2160"/>
      </w:pPr>
      <w:rPr>
        <w:rFonts w:hint="default"/>
      </w:rPr>
    </w:lvl>
  </w:abstractNum>
  <w:abstractNum w:abstractNumId="1" w15:restartNumberingAfterBreak="0">
    <w:nsid w:val="015537C9"/>
    <w:multiLevelType w:val="hybridMultilevel"/>
    <w:tmpl w:val="17766D9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C3523E"/>
    <w:multiLevelType w:val="multilevel"/>
    <w:tmpl w:val="A76691B6"/>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4" w15:restartNumberingAfterBreak="0">
    <w:nsid w:val="04FF612A"/>
    <w:multiLevelType w:val="hybridMultilevel"/>
    <w:tmpl w:val="A512269E"/>
    <w:lvl w:ilvl="0" w:tplc="30E65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280574"/>
    <w:multiLevelType w:val="hybridMultilevel"/>
    <w:tmpl w:val="D02EF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C93084"/>
    <w:multiLevelType w:val="multilevel"/>
    <w:tmpl w:val="DEF855DA"/>
    <w:lvl w:ilvl="0">
      <w:start w:val="2"/>
      <w:numFmt w:val="decimal"/>
      <w:lvlText w:val="%1."/>
      <w:lvlJc w:val="left"/>
      <w:pPr>
        <w:ind w:left="36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08E73BEF"/>
    <w:multiLevelType w:val="hybridMultilevel"/>
    <w:tmpl w:val="7DC6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B474D7"/>
    <w:multiLevelType w:val="hybridMultilevel"/>
    <w:tmpl w:val="AAF05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E3406E"/>
    <w:multiLevelType w:val="hybridMultilevel"/>
    <w:tmpl w:val="D56A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44078F"/>
    <w:multiLevelType w:val="hybridMultilevel"/>
    <w:tmpl w:val="E6A87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E945E5"/>
    <w:multiLevelType w:val="hybridMultilevel"/>
    <w:tmpl w:val="26D63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1A34CC2"/>
    <w:multiLevelType w:val="hybridMultilevel"/>
    <w:tmpl w:val="FC8C4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4C11A7"/>
    <w:multiLevelType w:val="hybridMultilevel"/>
    <w:tmpl w:val="17D83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F4536D"/>
    <w:multiLevelType w:val="hybridMultilevel"/>
    <w:tmpl w:val="6F521200"/>
    <w:lvl w:ilvl="0" w:tplc="FB78C55A">
      <w:start w:val="1"/>
      <w:numFmt w:val="bullet"/>
      <w:pStyle w:val="BulletLast"/>
      <w:lvlText w:val=""/>
      <w:lvlJc w:val="left"/>
      <w:pPr>
        <w:ind w:left="36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62411D"/>
    <w:multiLevelType w:val="hybridMultilevel"/>
    <w:tmpl w:val="D450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C105DA"/>
    <w:multiLevelType w:val="hybridMultilevel"/>
    <w:tmpl w:val="BE766B44"/>
    <w:lvl w:ilvl="0" w:tplc="B310F748">
      <w:start w:val="12"/>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8" w15:restartNumberingAfterBreak="0">
    <w:nsid w:val="1B165081"/>
    <w:multiLevelType w:val="hybridMultilevel"/>
    <w:tmpl w:val="BEC054D6"/>
    <w:lvl w:ilvl="0" w:tplc="6A64ED6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C146F06"/>
    <w:multiLevelType w:val="hybridMultilevel"/>
    <w:tmpl w:val="0720A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D25B78"/>
    <w:multiLevelType w:val="hybridMultilevel"/>
    <w:tmpl w:val="763EC61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1" w15:restartNumberingAfterBreak="0">
    <w:nsid w:val="1FD27223"/>
    <w:multiLevelType w:val="hybridMultilevel"/>
    <w:tmpl w:val="0D5618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2FC44EE"/>
    <w:multiLevelType w:val="hybridMultilevel"/>
    <w:tmpl w:val="49F6F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453606"/>
    <w:multiLevelType w:val="hybridMultilevel"/>
    <w:tmpl w:val="85A0A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7619B2"/>
    <w:multiLevelType w:val="hybridMultilevel"/>
    <w:tmpl w:val="E9448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AA4ECA"/>
    <w:multiLevelType w:val="multilevel"/>
    <w:tmpl w:val="C32CF7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5AF7401"/>
    <w:multiLevelType w:val="hybridMultilevel"/>
    <w:tmpl w:val="1E840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B37554"/>
    <w:multiLevelType w:val="hybridMultilevel"/>
    <w:tmpl w:val="2D9AF246"/>
    <w:lvl w:ilvl="0" w:tplc="4F4A59EC">
      <w:start w:val="9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7B20248"/>
    <w:multiLevelType w:val="hybridMultilevel"/>
    <w:tmpl w:val="891A2C7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8226532"/>
    <w:multiLevelType w:val="hybridMultilevel"/>
    <w:tmpl w:val="E2C2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3E7C07"/>
    <w:multiLevelType w:val="hybridMultilevel"/>
    <w:tmpl w:val="F356E8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291670A5"/>
    <w:multiLevelType w:val="hybridMultilevel"/>
    <w:tmpl w:val="94F2B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345882"/>
    <w:multiLevelType w:val="hybridMultilevel"/>
    <w:tmpl w:val="D6308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94864F8"/>
    <w:multiLevelType w:val="multilevel"/>
    <w:tmpl w:val="828A45A4"/>
    <w:lvl w:ilvl="0">
      <w:start w:val="2"/>
      <w:numFmt w:val="decimal"/>
      <w:lvlText w:val="%1"/>
      <w:lvlJc w:val="left"/>
      <w:pPr>
        <w:ind w:left="360" w:hanging="360"/>
      </w:pPr>
      <w:rPr>
        <w:rFonts w:hint="default"/>
        <w:b/>
        <w:i/>
      </w:rPr>
    </w:lvl>
    <w:lvl w:ilvl="1">
      <w:start w:val="5"/>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5" w15:restartNumberingAfterBreak="0">
    <w:nsid w:val="2CC11791"/>
    <w:multiLevelType w:val="multilevel"/>
    <w:tmpl w:val="9468E100"/>
    <w:lvl w:ilvl="0">
      <w:start w:val="1"/>
      <w:numFmt w:val="decimal"/>
      <w:lvlText w:val="%1."/>
      <w:lvlJc w:val="left"/>
      <w:pPr>
        <w:ind w:left="363" w:hanging="360"/>
      </w:p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1083" w:hanging="108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443" w:hanging="144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803" w:hanging="1800"/>
      </w:pPr>
      <w:rPr>
        <w:rFonts w:hint="default"/>
      </w:rPr>
    </w:lvl>
    <w:lvl w:ilvl="8">
      <w:start w:val="1"/>
      <w:numFmt w:val="decimal"/>
      <w:isLgl/>
      <w:lvlText w:val="%1.%2.%3.%4.%5.%6.%7.%8.%9"/>
      <w:lvlJc w:val="left"/>
      <w:pPr>
        <w:ind w:left="2163" w:hanging="2160"/>
      </w:pPr>
      <w:rPr>
        <w:rFonts w:hint="default"/>
      </w:rPr>
    </w:lvl>
  </w:abstractNum>
  <w:abstractNum w:abstractNumId="36" w15:restartNumberingAfterBreak="0">
    <w:nsid w:val="33B31FEC"/>
    <w:multiLevelType w:val="hybridMultilevel"/>
    <w:tmpl w:val="98BE4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3BA2508"/>
    <w:multiLevelType w:val="hybridMultilevel"/>
    <w:tmpl w:val="C1C2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B8107D"/>
    <w:multiLevelType w:val="hybridMultilevel"/>
    <w:tmpl w:val="C7BAA0C2"/>
    <w:lvl w:ilvl="0" w:tplc="BEBA8FFE">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9BE5E52"/>
    <w:multiLevelType w:val="hybridMultilevel"/>
    <w:tmpl w:val="83E08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B742449"/>
    <w:multiLevelType w:val="hybridMultilevel"/>
    <w:tmpl w:val="990008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3BA02B17"/>
    <w:multiLevelType w:val="hybridMultilevel"/>
    <w:tmpl w:val="6E4CF9E8"/>
    <w:lvl w:ilvl="0" w:tplc="FE2EC4FC">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DB3DDF"/>
    <w:multiLevelType w:val="hybridMultilevel"/>
    <w:tmpl w:val="9D182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E050D2D"/>
    <w:multiLevelType w:val="hybridMultilevel"/>
    <w:tmpl w:val="33D6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BA2374"/>
    <w:multiLevelType w:val="hybridMultilevel"/>
    <w:tmpl w:val="7FEC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01E7AAA"/>
    <w:multiLevelType w:val="hybridMultilevel"/>
    <w:tmpl w:val="3ECA3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05368B7"/>
    <w:multiLevelType w:val="hybridMultilevel"/>
    <w:tmpl w:val="062E8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350178"/>
    <w:multiLevelType w:val="hybridMultilevel"/>
    <w:tmpl w:val="BC44F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3A666A3"/>
    <w:multiLevelType w:val="hybridMultilevel"/>
    <w:tmpl w:val="EA069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1B74FF"/>
    <w:multiLevelType w:val="multilevel"/>
    <w:tmpl w:val="346469B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02052A"/>
    <w:multiLevelType w:val="multilevel"/>
    <w:tmpl w:val="7534DE1C"/>
    <w:lvl w:ilvl="0">
      <w:start w:val="3"/>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AC93F95"/>
    <w:multiLevelType w:val="hybridMultilevel"/>
    <w:tmpl w:val="7B805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E94447A"/>
    <w:multiLevelType w:val="hybridMultilevel"/>
    <w:tmpl w:val="C31CBFF0"/>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56" w15:restartNumberingAfterBreak="0">
    <w:nsid w:val="51A15800"/>
    <w:multiLevelType w:val="multilevel"/>
    <w:tmpl w:val="9468E100"/>
    <w:lvl w:ilvl="0">
      <w:start w:val="1"/>
      <w:numFmt w:val="decimal"/>
      <w:lvlText w:val="%1."/>
      <w:lvlJc w:val="left"/>
      <w:pPr>
        <w:ind w:left="363" w:hanging="360"/>
      </w:p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1083" w:hanging="108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443" w:hanging="144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803" w:hanging="1800"/>
      </w:pPr>
      <w:rPr>
        <w:rFonts w:hint="default"/>
      </w:rPr>
    </w:lvl>
    <w:lvl w:ilvl="8">
      <w:start w:val="1"/>
      <w:numFmt w:val="decimal"/>
      <w:isLgl/>
      <w:lvlText w:val="%1.%2.%3.%4.%5.%6.%7.%8.%9"/>
      <w:lvlJc w:val="left"/>
      <w:pPr>
        <w:ind w:left="2163" w:hanging="2160"/>
      </w:pPr>
      <w:rPr>
        <w:rFonts w:hint="default"/>
      </w:rPr>
    </w:lvl>
  </w:abstractNum>
  <w:abstractNum w:abstractNumId="57" w15:restartNumberingAfterBreak="0">
    <w:nsid w:val="51D64CBC"/>
    <w:multiLevelType w:val="hybridMultilevel"/>
    <w:tmpl w:val="36EC4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409132E"/>
    <w:multiLevelType w:val="hybridMultilevel"/>
    <w:tmpl w:val="194E1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5352A97"/>
    <w:multiLevelType w:val="hybridMultilevel"/>
    <w:tmpl w:val="5C080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6C80617"/>
    <w:multiLevelType w:val="hybridMultilevel"/>
    <w:tmpl w:val="996AD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7907D40"/>
    <w:multiLevelType w:val="multilevel"/>
    <w:tmpl w:val="B82602D8"/>
    <w:lvl w:ilvl="0">
      <w:start w:val="2"/>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62" w15:restartNumberingAfterBreak="0">
    <w:nsid w:val="5C7E25CE"/>
    <w:multiLevelType w:val="hybridMultilevel"/>
    <w:tmpl w:val="384E5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6A76E5"/>
    <w:multiLevelType w:val="multilevel"/>
    <w:tmpl w:val="143CBCC8"/>
    <w:lvl w:ilvl="0">
      <w:start w:val="2"/>
      <w:numFmt w:val="decimal"/>
      <w:lvlText w:val="%1"/>
      <w:lvlJc w:val="left"/>
      <w:pPr>
        <w:ind w:left="360" w:hanging="360"/>
      </w:pPr>
      <w:rPr>
        <w:rFonts w:hint="default"/>
        <w:b/>
        <w:i/>
      </w:rPr>
    </w:lvl>
    <w:lvl w:ilvl="1">
      <w:start w:val="5"/>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64" w15:restartNumberingAfterBreak="0">
    <w:nsid w:val="5F173227"/>
    <w:multiLevelType w:val="hybridMultilevel"/>
    <w:tmpl w:val="931E7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FC37E1C"/>
    <w:multiLevelType w:val="hybridMultilevel"/>
    <w:tmpl w:val="92CC1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5B4645D"/>
    <w:multiLevelType w:val="multilevel"/>
    <w:tmpl w:val="FFB6A7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B91D85"/>
    <w:multiLevelType w:val="hybridMultilevel"/>
    <w:tmpl w:val="533C91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85B311A"/>
    <w:multiLevelType w:val="hybridMultilevel"/>
    <w:tmpl w:val="0442BDA0"/>
    <w:lvl w:ilvl="0" w:tplc="AAD08FB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9B223AF"/>
    <w:multiLevelType w:val="hybridMultilevel"/>
    <w:tmpl w:val="745C8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AC55AD3"/>
    <w:multiLevelType w:val="multilevel"/>
    <w:tmpl w:val="31A4BC0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1A7029"/>
    <w:multiLevelType w:val="hybridMultilevel"/>
    <w:tmpl w:val="6A5E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2880EB7"/>
    <w:multiLevelType w:val="hybridMultilevel"/>
    <w:tmpl w:val="E3BC4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3777105"/>
    <w:multiLevelType w:val="multilevel"/>
    <w:tmpl w:val="2048CF6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84D033C"/>
    <w:multiLevelType w:val="multilevel"/>
    <w:tmpl w:val="B192A63C"/>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B80614"/>
    <w:multiLevelType w:val="hybridMultilevel"/>
    <w:tmpl w:val="CC3E0A9C"/>
    <w:lvl w:ilvl="0" w:tplc="FC0054E8">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790D4A06"/>
    <w:multiLevelType w:val="hybridMultilevel"/>
    <w:tmpl w:val="D6B09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D9C243C"/>
    <w:multiLevelType w:val="multilevel"/>
    <w:tmpl w:val="7A44F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E277AD5"/>
    <w:multiLevelType w:val="hybridMultilevel"/>
    <w:tmpl w:val="05DE8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E92042A"/>
    <w:multiLevelType w:val="hybridMultilevel"/>
    <w:tmpl w:val="0114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ED033C5"/>
    <w:multiLevelType w:val="hybridMultilevel"/>
    <w:tmpl w:val="90E8A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1"/>
  </w:num>
  <w:num w:numId="4">
    <w:abstractNumId w:val="12"/>
  </w:num>
  <w:num w:numId="5">
    <w:abstractNumId w:val="38"/>
  </w:num>
  <w:num w:numId="6">
    <w:abstractNumId w:val="54"/>
  </w:num>
  <w:num w:numId="7">
    <w:abstractNumId w:val="28"/>
  </w:num>
  <w:num w:numId="8">
    <w:abstractNumId w:val="15"/>
  </w:num>
  <w:num w:numId="9">
    <w:abstractNumId w:val="23"/>
  </w:num>
  <w:num w:numId="10">
    <w:abstractNumId w:val="57"/>
  </w:num>
  <w:num w:numId="11">
    <w:abstractNumId w:val="3"/>
  </w:num>
  <w:num w:numId="12">
    <w:abstractNumId w:val="78"/>
  </w:num>
  <w:num w:numId="13">
    <w:abstractNumId w:val="64"/>
  </w:num>
  <w:num w:numId="14">
    <w:abstractNumId w:val="20"/>
  </w:num>
  <w:num w:numId="15">
    <w:abstractNumId w:val="72"/>
  </w:num>
  <w:num w:numId="16">
    <w:abstractNumId w:val="42"/>
  </w:num>
  <w:num w:numId="17">
    <w:abstractNumId w:val="59"/>
  </w:num>
  <w:num w:numId="18">
    <w:abstractNumId w:val="62"/>
  </w:num>
  <w:num w:numId="19">
    <w:abstractNumId w:val="69"/>
  </w:num>
  <w:num w:numId="20">
    <w:abstractNumId w:val="45"/>
  </w:num>
  <w:num w:numId="21">
    <w:abstractNumId w:val="13"/>
  </w:num>
  <w:num w:numId="22">
    <w:abstractNumId w:val="46"/>
  </w:num>
  <w:num w:numId="23">
    <w:abstractNumId w:val="37"/>
  </w:num>
  <w:num w:numId="24">
    <w:abstractNumId w:val="1"/>
  </w:num>
  <w:num w:numId="25">
    <w:abstractNumId w:val="79"/>
  </w:num>
  <w:num w:numId="26">
    <w:abstractNumId w:val="80"/>
  </w:num>
  <w:num w:numId="27">
    <w:abstractNumId w:val="33"/>
  </w:num>
  <w:num w:numId="28">
    <w:abstractNumId w:val="9"/>
  </w:num>
  <w:num w:numId="29">
    <w:abstractNumId w:val="24"/>
  </w:num>
  <w:num w:numId="30">
    <w:abstractNumId w:val="32"/>
  </w:num>
  <w:num w:numId="31">
    <w:abstractNumId w:val="44"/>
  </w:num>
  <w:num w:numId="32">
    <w:abstractNumId w:val="10"/>
  </w:num>
  <w:num w:numId="33">
    <w:abstractNumId w:val="30"/>
  </w:num>
  <w:num w:numId="34">
    <w:abstractNumId w:val="47"/>
  </w:num>
  <w:num w:numId="35">
    <w:abstractNumId w:val="60"/>
  </w:num>
  <w:num w:numId="36">
    <w:abstractNumId w:val="43"/>
  </w:num>
  <w:num w:numId="37">
    <w:abstractNumId w:val="7"/>
  </w:num>
  <w:num w:numId="38">
    <w:abstractNumId w:val="8"/>
  </w:num>
  <w:num w:numId="39">
    <w:abstractNumId w:val="22"/>
  </w:num>
  <w:num w:numId="40">
    <w:abstractNumId w:val="14"/>
  </w:num>
  <w:num w:numId="41">
    <w:abstractNumId w:val="5"/>
  </w:num>
  <w:num w:numId="42">
    <w:abstractNumId w:val="48"/>
  </w:num>
  <w:num w:numId="43">
    <w:abstractNumId w:val="49"/>
  </w:num>
  <w:num w:numId="44">
    <w:abstractNumId w:val="71"/>
  </w:num>
  <w:num w:numId="45">
    <w:abstractNumId w:val="36"/>
  </w:num>
  <w:num w:numId="46">
    <w:abstractNumId w:val="16"/>
  </w:num>
  <w:num w:numId="47">
    <w:abstractNumId w:val="76"/>
  </w:num>
  <w:num w:numId="48">
    <w:abstractNumId w:val="26"/>
  </w:num>
  <w:num w:numId="49">
    <w:abstractNumId w:val="11"/>
  </w:num>
  <w:num w:numId="50">
    <w:abstractNumId w:val="66"/>
  </w:num>
  <w:num w:numId="51">
    <w:abstractNumId w:val="27"/>
  </w:num>
  <w:num w:numId="52">
    <w:abstractNumId w:val="65"/>
  </w:num>
  <w:num w:numId="53">
    <w:abstractNumId w:val="68"/>
  </w:num>
  <w:num w:numId="54">
    <w:abstractNumId w:val="17"/>
  </w:num>
  <w:num w:numId="55">
    <w:abstractNumId w:val="31"/>
  </w:num>
  <w:num w:numId="56">
    <w:abstractNumId w:val="18"/>
  </w:num>
  <w:num w:numId="57">
    <w:abstractNumId w:val="39"/>
  </w:num>
  <w:num w:numId="58">
    <w:abstractNumId w:val="55"/>
  </w:num>
  <w:num w:numId="59">
    <w:abstractNumId w:val="67"/>
  </w:num>
  <w:num w:numId="60">
    <w:abstractNumId w:val="41"/>
  </w:num>
  <w:num w:numId="61">
    <w:abstractNumId w:val="58"/>
  </w:num>
  <w:num w:numId="62">
    <w:abstractNumId w:val="53"/>
  </w:num>
  <w:num w:numId="63">
    <w:abstractNumId w:val="40"/>
  </w:num>
  <w:num w:numId="64">
    <w:abstractNumId w:val="21"/>
  </w:num>
  <w:num w:numId="65">
    <w:abstractNumId w:val="19"/>
  </w:num>
  <w:num w:numId="66">
    <w:abstractNumId w:val="61"/>
  </w:num>
  <w:num w:numId="67">
    <w:abstractNumId w:val="34"/>
  </w:num>
  <w:num w:numId="68">
    <w:abstractNumId w:val="77"/>
  </w:num>
  <w:num w:numId="69">
    <w:abstractNumId w:val="52"/>
  </w:num>
  <w:num w:numId="70">
    <w:abstractNumId w:val="70"/>
  </w:num>
  <w:num w:numId="71">
    <w:abstractNumId w:val="50"/>
  </w:num>
  <w:num w:numId="72">
    <w:abstractNumId w:val="4"/>
  </w:num>
  <w:num w:numId="73">
    <w:abstractNumId w:val="25"/>
  </w:num>
  <w:num w:numId="74">
    <w:abstractNumId w:val="73"/>
  </w:num>
  <w:num w:numId="75">
    <w:abstractNumId w:val="75"/>
  </w:num>
  <w:num w:numId="76">
    <w:abstractNumId w:val="56"/>
  </w:num>
  <w:num w:numId="77">
    <w:abstractNumId w:val="63"/>
  </w:num>
  <w:num w:numId="78">
    <w:abstractNumId w:val="6"/>
  </w:num>
  <w:num w:numId="79">
    <w:abstractNumId w:val="0"/>
  </w:num>
  <w:num w:numId="80">
    <w:abstractNumId w:val="29"/>
  </w:num>
  <w:num w:numId="81">
    <w:abstractNumId w:val="74"/>
  </w:num>
  <w:num w:numId="82">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3NDAzMrQ0MTIwMTVW0lEKTi0uzszPAykwrAUAwdHD3i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xszattv0zdvrheapxdpap58rz20pxt90xwz&quot;&gt;Report&lt;record-ids&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244&lt;/item&gt;&lt;item&gt;245&lt;/item&gt;&lt;item&gt;246&lt;/item&gt;&lt;item&gt;249&lt;/item&gt;&lt;/record-ids&gt;&lt;/item&gt;&lt;/Libraries&gt;"/>
  </w:docVars>
  <w:rsids>
    <w:rsidRoot w:val="008D0D0C"/>
    <w:rsid w:val="00000E81"/>
    <w:rsid w:val="0000233F"/>
    <w:rsid w:val="000048D1"/>
    <w:rsid w:val="0000568D"/>
    <w:rsid w:val="000059E2"/>
    <w:rsid w:val="00005B32"/>
    <w:rsid w:val="00005CD4"/>
    <w:rsid w:val="000064E0"/>
    <w:rsid w:val="000122DB"/>
    <w:rsid w:val="00012651"/>
    <w:rsid w:val="0001388A"/>
    <w:rsid w:val="00015414"/>
    <w:rsid w:val="0001631C"/>
    <w:rsid w:val="0002056E"/>
    <w:rsid w:val="0002154C"/>
    <w:rsid w:val="0002201F"/>
    <w:rsid w:val="000223C1"/>
    <w:rsid w:val="000223D2"/>
    <w:rsid w:val="00022ED8"/>
    <w:rsid w:val="000230A6"/>
    <w:rsid w:val="000235A6"/>
    <w:rsid w:val="000265EC"/>
    <w:rsid w:val="000273CD"/>
    <w:rsid w:val="000276EC"/>
    <w:rsid w:val="00027CA6"/>
    <w:rsid w:val="00027E8D"/>
    <w:rsid w:val="00027F22"/>
    <w:rsid w:val="00030D5A"/>
    <w:rsid w:val="0003141C"/>
    <w:rsid w:val="00031935"/>
    <w:rsid w:val="00031F5D"/>
    <w:rsid w:val="000328B5"/>
    <w:rsid w:val="00033B67"/>
    <w:rsid w:val="00034B71"/>
    <w:rsid w:val="000358F7"/>
    <w:rsid w:val="00035F16"/>
    <w:rsid w:val="000366AD"/>
    <w:rsid w:val="00040C93"/>
    <w:rsid w:val="00041577"/>
    <w:rsid w:val="0004193F"/>
    <w:rsid w:val="00041E94"/>
    <w:rsid w:val="00041FD3"/>
    <w:rsid w:val="0004288C"/>
    <w:rsid w:val="00042C1D"/>
    <w:rsid w:val="00044561"/>
    <w:rsid w:val="000454A2"/>
    <w:rsid w:val="00045726"/>
    <w:rsid w:val="00045E05"/>
    <w:rsid w:val="0004624B"/>
    <w:rsid w:val="00046E01"/>
    <w:rsid w:val="00050544"/>
    <w:rsid w:val="000506CB"/>
    <w:rsid w:val="0005072C"/>
    <w:rsid w:val="000523FD"/>
    <w:rsid w:val="000539F9"/>
    <w:rsid w:val="00054219"/>
    <w:rsid w:val="00055439"/>
    <w:rsid w:val="00057CC1"/>
    <w:rsid w:val="000603FB"/>
    <w:rsid w:val="0006290E"/>
    <w:rsid w:val="00063C4E"/>
    <w:rsid w:val="0006497A"/>
    <w:rsid w:val="0006501B"/>
    <w:rsid w:val="00065555"/>
    <w:rsid w:val="00065764"/>
    <w:rsid w:val="00065C00"/>
    <w:rsid w:val="00066EB2"/>
    <w:rsid w:val="00067C30"/>
    <w:rsid w:val="0007148C"/>
    <w:rsid w:val="00071984"/>
    <w:rsid w:val="00071F2B"/>
    <w:rsid w:val="00072409"/>
    <w:rsid w:val="00073BF6"/>
    <w:rsid w:val="00075189"/>
    <w:rsid w:val="000755B3"/>
    <w:rsid w:val="0007635D"/>
    <w:rsid w:val="00077455"/>
    <w:rsid w:val="00080BEA"/>
    <w:rsid w:val="00081C7D"/>
    <w:rsid w:val="00081DCB"/>
    <w:rsid w:val="00082A22"/>
    <w:rsid w:val="00082F8F"/>
    <w:rsid w:val="00083616"/>
    <w:rsid w:val="000865C3"/>
    <w:rsid w:val="000869D0"/>
    <w:rsid w:val="00087D22"/>
    <w:rsid w:val="000904D7"/>
    <w:rsid w:val="00090524"/>
    <w:rsid w:val="00090573"/>
    <w:rsid w:val="00091BAF"/>
    <w:rsid w:val="00091FDD"/>
    <w:rsid w:val="0009206C"/>
    <w:rsid w:val="000920C9"/>
    <w:rsid w:val="000935DE"/>
    <w:rsid w:val="00093D05"/>
    <w:rsid w:val="000944DB"/>
    <w:rsid w:val="00094B05"/>
    <w:rsid w:val="00094B19"/>
    <w:rsid w:val="00094F48"/>
    <w:rsid w:val="0009560F"/>
    <w:rsid w:val="00095EFB"/>
    <w:rsid w:val="0009621D"/>
    <w:rsid w:val="000963F0"/>
    <w:rsid w:val="00096511"/>
    <w:rsid w:val="000A14D8"/>
    <w:rsid w:val="000A1734"/>
    <w:rsid w:val="000A2E84"/>
    <w:rsid w:val="000A43C2"/>
    <w:rsid w:val="000A4B4F"/>
    <w:rsid w:val="000A4BF1"/>
    <w:rsid w:val="000A4FA9"/>
    <w:rsid w:val="000A5656"/>
    <w:rsid w:val="000A5AD0"/>
    <w:rsid w:val="000A7005"/>
    <w:rsid w:val="000A7064"/>
    <w:rsid w:val="000A74CF"/>
    <w:rsid w:val="000A7EA3"/>
    <w:rsid w:val="000B08B7"/>
    <w:rsid w:val="000B1445"/>
    <w:rsid w:val="000B1785"/>
    <w:rsid w:val="000B320D"/>
    <w:rsid w:val="000B3355"/>
    <w:rsid w:val="000B397E"/>
    <w:rsid w:val="000B4669"/>
    <w:rsid w:val="000B4D83"/>
    <w:rsid w:val="000B59A9"/>
    <w:rsid w:val="000B612B"/>
    <w:rsid w:val="000B6876"/>
    <w:rsid w:val="000C0B54"/>
    <w:rsid w:val="000C2807"/>
    <w:rsid w:val="000C2E58"/>
    <w:rsid w:val="000C3409"/>
    <w:rsid w:val="000C5294"/>
    <w:rsid w:val="000C7056"/>
    <w:rsid w:val="000C75E6"/>
    <w:rsid w:val="000C7B1E"/>
    <w:rsid w:val="000D1542"/>
    <w:rsid w:val="000D21FC"/>
    <w:rsid w:val="000D4D14"/>
    <w:rsid w:val="000D568E"/>
    <w:rsid w:val="000D5744"/>
    <w:rsid w:val="000D6085"/>
    <w:rsid w:val="000D750E"/>
    <w:rsid w:val="000E2AB4"/>
    <w:rsid w:val="000E524B"/>
    <w:rsid w:val="000E5495"/>
    <w:rsid w:val="000E642B"/>
    <w:rsid w:val="000F0529"/>
    <w:rsid w:val="000F1D60"/>
    <w:rsid w:val="000F2556"/>
    <w:rsid w:val="000F30E0"/>
    <w:rsid w:val="000F3BC0"/>
    <w:rsid w:val="000F482F"/>
    <w:rsid w:val="000F5E1E"/>
    <w:rsid w:val="000F72BC"/>
    <w:rsid w:val="000F76B1"/>
    <w:rsid w:val="00101A1B"/>
    <w:rsid w:val="001021C8"/>
    <w:rsid w:val="00102F4E"/>
    <w:rsid w:val="001031FF"/>
    <w:rsid w:val="001037FB"/>
    <w:rsid w:val="00104A6D"/>
    <w:rsid w:val="00105664"/>
    <w:rsid w:val="00105D06"/>
    <w:rsid w:val="00106A8F"/>
    <w:rsid w:val="00107062"/>
    <w:rsid w:val="00107221"/>
    <w:rsid w:val="001101C2"/>
    <w:rsid w:val="00110BAF"/>
    <w:rsid w:val="00110C23"/>
    <w:rsid w:val="00113BBC"/>
    <w:rsid w:val="001142CF"/>
    <w:rsid w:val="001145D2"/>
    <w:rsid w:val="00114CF2"/>
    <w:rsid w:val="00115A41"/>
    <w:rsid w:val="001161F9"/>
    <w:rsid w:val="00117B58"/>
    <w:rsid w:val="00121BD5"/>
    <w:rsid w:val="00122FC6"/>
    <w:rsid w:val="0012304D"/>
    <w:rsid w:val="001234CB"/>
    <w:rsid w:val="00123BF4"/>
    <w:rsid w:val="001259DE"/>
    <w:rsid w:val="001268FF"/>
    <w:rsid w:val="001278F8"/>
    <w:rsid w:val="00131A64"/>
    <w:rsid w:val="00131C7E"/>
    <w:rsid w:val="00133745"/>
    <w:rsid w:val="00134680"/>
    <w:rsid w:val="00134E08"/>
    <w:rsid w:val="001351AC"/>
    <w:rsid w:val="001379D4"/>
    <w:rsid w:val="00137D8F"/>
    <w:rsid w:val="0014080B"/>
    <w:rsid w:val="00140915"/>
    <w:rsid w:val="00140A2B"/>
    <w:rsid w:val="0014316A"/>
    <w:rsid w:val="00143204"/>
    <w:rsid w:val="001443F2"/>
    <w:rsid w:val="00145F88"/>
    <w:rsid w:val="00146CCF"/>
    <w:rsid w:val="001476DD"/>
    <w:rsid w:val="00147F07"/>
    <w:rsid w:val="00150633"/>
    <w:rsid w:val="00150DD1"/>
    <w:rsid w:val="00152166"/>
    <w:rsid w:val="00152289"/>
    <w:rsid w:val="00152390"/>
    <w:rsid w:val="001529FF"/>
    <w:rsid w:val="00152D47"/>
    <w:rsid w:val="00153744"/>
    <w:rsid w:val="00153E2A"/>
    <w:rsid w:val="00154AAA"/>
    <w:rsid w:val="00155A47"/>
    <w:rsid w:val="00155E83"/>
    <w:rsid w:val="001571D9"/>
    <w:rsid w:val="00157DCB"/>
    <w:rsid w:val="0016128B"/>
    <w:rsid w:val="00163BDB"/>
    <w:rsid w:val="00163E29"/>
    <w:rsid w:val="00163F63"/>
    <w:rsid w:val="00165056"/>
    <w:rsid w:val="0016544B"/>
    <w:rsid w:val="00165C8D"/>
    <w:rsid w:val="00165D31"/>
    <w:rsid w:val="00165EF0"/>
    <w:rsid w:val="0016740F"/>
    <w:rsid w:val="00170585"/>
    <w:rsid w:val="00172E4C"/>
    <w:rsid w:val="001735E0"/>
    <w:rsid w:val="001748F9"/>
    <w:rsid w:val="00177619"/>
    <w:rsid w:val="00177EE4"/>
    <w:rsid w:val="001809AC"/>
    <w:rsid w:val="00180D54"/>
    <w:rsid w:val="001819DA"/>
    <w:rsid w:val="00183170"/>
    <w:rsid w:val="00183A07"/>
    <w:rsid w:val="00184491"/>
    <w:rsid w:val="0018489E"/>
    <w:rsid w:val="00186514"/>
    <w:rsid w:val="001869BF"/>
    <w:rsid w:val="00186F85"/>
    <w:rsid w:val="001875B5"/>
    <w:rsid w:val="00187AB4"/>
    <w:rsid w:val="00187CB7"/>
    <w:rsid w:val="001939EA"/>
    <w:rsid w:val="00193CE6"/>
    <w:rsid w:val="00196629"/>
    <w:rsid w:val="00197098"/>
    <w:rsid w:val="001A1AD7"/>
    <w:rsid w:val="001A1E58"/>
    <w:rsid w:val="001A2F37"/>
    <w:rsid w:val="001A35B9"/>
    <w:rsid w:val="001A384F"/>
    <w:rsid w:val="001A3AEA"/>
    <w:rsid w:val="001A3CAE"/>
    <w:rsid w:val="001A491F"/>
    <w:rsid w:val="001A4F17"/>
    <w:rsid w:val="001A5398"/>
    <w:rsid w:val="001A5416"/>
    <w:rsid w:val="001A63CD"/>
    <w:rsid w:val="001A6E9E"/>
    <w:rsid w:val="001A7729"/>
    <w:rsid w:val="001B02B7"/>
    <w:rsid w:val="001B0373"/>
    <w:rsid w:val="001B1577"/>
    <w:rsid w:val="001B2868"/>
    <w:rsid w:val="001B381E"/>
    <w:rsid w:val="001B3EE3"/>
    <w:rsid w:val="001B48DC"/>
    <w:rsid w:val="001B5845"/>
    <w:rsid w:val="001C0980"/>
    <w:rsid w:val="001C1C3E"/>
    <w:rsid w:val="001C35C9"/>
    <w:rsid w:val="001C4051"/>
    <w:rsid w:val="001C4EE1"/>
    <w:rsid w:val="001C6C64"/>
    <w:rsid w:val="001C74EB"/>
    <w:rsid w:val="001D0E78"/>
    <w:rsid w:val="001D255D"/>
    <w:rsid w:val="001D2DF0"/>
    <w:rsid w:val="001D320C"/>
    <w:rsid w:val="001D3573"/>
    <w:rsid w:val="001D5AF3"/>
    <w:rsid w:val="001D64F7"/>
    <w:rsid w:val="001D687C"/>
    <w:rsid w:val="001D6E7B"/>
    <w:rsid w:val="001E04F1"/>
    <w:rsid w:val="001E19BF"/>
    <w:rsid w:val="001E35BC"/>
    <w:rsid w:val="001E4A4C"/>
    <w:rsid w:val="001E5510"/>
    <w:rsid w:val="001E5D4C"/>
    <w:rsid w:val="001E63E5"/>
    <w:rsid w:val="001E70B0"/>
    <w:rsid w:val="001E7257"/>
    <w:rsid w:val="001E7750"/>
    <w:rsid w:val="001E7D7B"/>
    <w:rsid w:val="001F165E"/>
    <w:rsid w:val="001F1CD5"/>
    <w:rsid w:val="001F23B4"/>
    <w:rsid w:val="001F27B0"/>
    <w:rsid w:val="001F326A"/>
    <w:rsid w:val="001F39F6"/>
    <w:rsid w:val="001F4BBA"/>
    <w:rsid w:val="001F62B5"/>
    <w:rsid w:val="001F63ED"/>
    <w:rsid w:val="001F6826"/>
    <w:rsid w:val="001F750F"/>
    <w:rsid w:val="002001E6"/>
    <w:rsid w:val="002012C2"/>
    <w:rsid w:val="00201C11"/>
    <w:rsid w:val="00202F3F"/>
    <w:rsid w:val="0020300A"/>
    <w:rsid w:val="00203083"/>
    <w:rsid w:val="00203BFB"/>
    <w:rsid w:val="00203DAB"/>
    <w:rsid w:val="002049AC"/>
    <w:rsid w:val="00204D93"/>
    <w:rsid w:val="0020557E"/>
    <w:rsid w:val="00205C1C"/>
    <w:rsid w:val="0021091E"/>
    <w:rsid w:val="00211130"/>
    <w:rsid w:val="00211DE6"/>
    <w:rsid w:val="002128D6"/>
    <w:rsid w:val="00212FCE"/>
    <w:rsid w:val="00213139"/>
    <w:rsid w:val="00213F09"/>
    <w:rsid w:val="00214BCF"/>
    <w:rsid w:val="00216527"/>
    <w:rsid w:val="00217C3D"/>
    <w:rsid w:val="00217F24"/>
    <w:rsid w:val="00220104"/>
    <w:rsid w:val="0022146D"/>
    <w:rsid w:val="00224A73"/>
    <w:rsid w:val="002256C3"/>
    <w:rsid w:val="00227620"/>
    <w:rsid w:val="00230127"/>
    <w:rsid w:val="002305BA"/>
    <w:rsid w:val="00230B8A"/>
    <w:rsid w:val="00230FBB"/>
    <w:rsid w:val="002317FC"/>
    <w:rsid w:val="00231C65"/>
    <w:rsid w:val="00232251"/>
    <w:rsid w:val="002327D9"/>
    <w:rsid w:val="002337AB"/>
    <w:rsid w:val="0023483F"/>
    <w:rsid w:val="00234C33"/>
    <w:rsid w:val="00234E75"/>
    <w:rsid w:val="00235300"/>
    <w:rsid w:val="00235E0A"/>
    <w:rsid w:val="00236763"/>
    <w:rsid w:val="00237A26"/>
    <w:rsid w:val="002415C6"/>
    <w:rsid w:val="00241B75"/>
    <w:rsid w:val="00242062"/>
    <w:rsid w:val="002428A6"/>
    <w:rsid w:val="00243AD5"/>
    <w:rsid w:val="00243F48"/>
    <w:rsid w:val="00243FA1"/>
    <w:rsid w:val="00243FBF"/>
    <w:rsid w:val="00245BFB"/>
    <w:rsid w:val="0024607A"/>
    <w:rsid w:val="00246CDF"/>
    <w:rsid w:val="00247F11"/>
    <w:rsid w:val="002500A6"/>
    <w:rsid w:val="00251678"/>
    <w:rsid w:val="00253ABB"/>
    <w:rsid w:val="00255DA3"/>
    <w:rsid w:val="0025608C"/>
    <w:rsid w:val="00257D4E"/>
    <w:rsid w:val="0026043C"/>
    <w:rsid w:val="00261A56"/>
    <w:rsid w:val="00261A7D"/>
    <w:rsid w:val="002629CB"/>
    <w:rsid w:val="00262BCC"/>
    <w:rsid w:val="00262CA5"/>
    <w:rsid w:val="00263780"/>
    <w:rsid w:val="00263FE1"/>
    <w:rsid w:val="0026530E"/>
    <w:rsid w:val="00265C2E"/>
    <w:rsid w:val="00266E02"/>
    <w:rsid w:val="00267C57"/>
    <w:rsid w:val="00270470"/>
    <w:rsid w:val="00270D86"/>
    <w:rsid w:val="002717D1"/>
    <w:rsid w:val="00271DE2"/>
    <w:rsid w:val="00272185"/>
    <w:rsid w:val="00272D19"/>
    <w:rsid w:val="002738EF"/>
    <w:rsid w:val="00275FBC"/>
    <w:rsid w:val="002760FA"/>
    <w:rsid w:val="00277BAE"/>
    <w:rsid w:val="0028010B"/>
    <w:rsid w:val="00280A7C"/>
    <w:rsid w:val="00280C1A"/>
    <w:rsid w:val="002824AA"/>
    <w:rsid w:val="0028271B"/>
    <w:rsid w:val="00282DE6"/>
    <w:rsid w:val="00283857"/>
    <w:rsid w:val="00284512"/>
    <w:rsid w:val="002857B5"/>
    <w:rsid w:val="00285854"/>
    <w:rsid w:val="00285C95"/>
    <w:rsid w:val="00285E7A"/>
    <w:rsid w:val="002868EB"/>
    <w:rsid w:val="00287013"/>
    <w:rsid w:val="002873B8"/>
    <w:rsid w:val="002878E7"/>
    <w:rsid w:val="00287BED"/>
    <w:rsid w:val="00291605"/>
    <w:rsid w:val="00291DFF"/>
    <w:rsid w:val="00293E81"/>
    <w:rsid w:val="00294174"/>
    <w:rsid w:val="002941E4"/>
    <w:rsid w:val="00295B7D"/>
    <w:rsid w:val="00296AAD"/>
    <w:rsid w:val="002971B9"/>
    <w:rsid w:val="00297B37"/>
    <w:rsid w:val="002A0772"/>
    <w:rsid w:val="002A07AF"/>
    <w:rsid w:val="002A0833"/>
    <w:rsid w:val="002A25CD"/>
    <w:rsid w:val="002A27F1"/>
    <w:rsid w:val="002A4642"/>
    <w:rsid w:val="002A470A"/>
    <w:rsid w:val="002A49C0"/>
    <w:rsid w:val="002A6B78"/>
    <w:rsid w:val="002A7E2D"/>
    <w:rsid w:val="002B1CA8"/>
    <w:rsid w:val="002B2080"/>
    <w:rsid w:val="002B299E"/>
    <w:rsid w:val="002B2C1A"/>
    <w:rsid w:val="002B2F80"/>
    <w:rsid w:val="002B3E04"/>
    <w:rsid w:val="002B453F"/>
    <w:rsid w:val="002B4E50"/>
    <w:rsid w:val="002B5CD1"/>
    <w:rsid w:val="002B621A"/>
    <w:rsid w:val="002B649F"/>
    <w:rsid w:val="002B6569"/>
    <w:rsid w:val="002C082C"/>
    <w:rsid w:val="002C1299"/>
    <w:rsid w:val="002C1F79"/>
    <w:rsid w:val="002C27E0"/>
    <w:rsid w:val="002C3109"/>
    <w:rsid w:val="002C4D7E"/>
    <w:rsid w:val="002C4FA4"/>
    <w:rsid w:val="002C7876"/>
    <w:rsid w:val="002C7ABB"/>
    <w:rsid w:val="002D2CBD"/>
    <w:rsid w:val="002D3EA5"/>
    <w:rsid w:val="002D4202"/>
    <w:rsid w:val="002D4283"/>
    <w:rsid w:val="002D48E6"/>
    <w:rsid w:val="002D4C49"/>
    <w:rsid w:val="002D5645"/>
    <w:rsid w:val="002D5814"/>
    <w:rsid w:val="002D7187"/>
    <w:rsid w:val="002E1D76"/>
    <w:rsid w:val="002E1F65"/>
    <w:rsid w:val="002E28EC"/>
    <w:rsid w:val="002E3D7E"/>
    <w:rsid w:val="002E41E6"/>
    <w:rsid w:val="002E47C6"/>
    <w:rsid w:val="002E4935"/>
    <w:rsid w:val="002E57C2"/>
    <w:rsid w:val="002E61EB"/>
    <w:rsid w:val="002F13BF"/>
    <w:rsid w:val="002F19C2"/>
    <w:rsid w:val="002F1CBE"/>
    <w:rsid w:val="002F3376"/>
    <w:rsid w:val="002F3862"/>
    <w:rsid w:val="002F3DA1"/>
    <w:rsid w:val="002F40FE"/>
    <w:rsid w:val="002F720F"/>
    <w:rsid w:val="002F7434"/>
    <w:rsid w:val="002F7DDA"/>
    <w:rsid w:val="00301063"/>
    <w:rsid w:val="003013BC"/>
    <w:rsid w:val="00301A17"/>
    <w:rsid w:val="00302DF8"/>
    <w:rsid w:val="0030305C"/>
    <w:rsid w:val="00304DFF"/>
    <w:rsid w:val="00304F8D"/>
    <w:rsid w:val="003056DF"/>
    <w:rsid w:val="003060AD"/>
    <w:rsid w:val="0030695F"/>
    <w:rsid w:val="003072C9"/>
    <w:rsid w:val="0030771F"/>
    <w:rsid w:val="00310196"/>
    <w:rsid w:val="00311566"/>
    <w:rsid w:val="00311A42"/>
    <w:rsid w:val="00313367"/>
    <w:rsid w:val="00313FD6"/>
    <w:rsid w:val="003146F2"/>
    <w:rsid w:val="00314958"/>
    <w:rsid w:val="00316A02"/>
    <w:rsid w:val="00317129"/>
    <w:rsid w:val="00317D31"/>
    <w:rsid w:val="003210FB"/>
    <w:rsid w:val="003218AB"/>
    <w:rsid w:val="00323A47"/>
    <w:rsid w:val="00323A92"/>
    <w:rsid w:val="0032418B"/>
    <w:rsid w:val="003244A1"/>
    <w:rsid w:val="00324EEC"/>
    <w:rsid w:val="00325490"/>
    <w:rsid w:val="00325CA6"/>
    <w:rsid w:val="00326203"/>
    <w:rsid w:val="00327CAD"/>
    <w:rsid w:val="00327DB0"/>
    <w:rsid w:val="00330D1C"/>
    <w:rsid w:val="0033250D"/>
    <w:rsid w:val="003326B2"/>
    <w:rsid w:val="00333F46"/>
    <w:rsid w:val="003340FB"/>
    <w:rsid w:val="00340B90"/>
    <w:rsid w:val="00343A91"/>
    <w:rsid w:val="00343DBD"/>
    <w:rsid w:val="00343E8B"/>
    <w:rsid w:val="003445DF"/>
    <w:rsid w:val="00344C9B"/>
    <w:rsid w:val="00346BA3"/>
    <w:rsid w:val="00346DC8"/>
    <w:rsid w:val="00350990"/>
    <w:rsid w:val="00351C05"/>
    <w:rsid w:val="003520DC"/>
    <w:rsid w:val="00352C61"/>
    <w:rsid w:val="00352D4A"/>
    <w:rsid w:val="00353B9F"/>
    <w:rsid w:val="003544D6"/>
    <w:rsid w:val="00354AEA"/>
    <w:rsid w:val="0035556F"/>
    <w:rsid w:val="00355E49"/>
    <w:rsid w:val="003568F3"/>
    <w:rsid w:val="00356F55"/>
    <w:rsid w:val="003573AD"/>
    <w:rsid w:val="003600D5"/>
    <w:rsid w:val="00360774"/>
    <w:rsid w:val="00361602"/>
    <w:rsid w:val="00361C0B"/>
    <w:rsid w:val="00364192"/>
    <w:rsid w:val="00365072"/>
    <w:rsid w:val="00365216"/>
    <w:rsid w:val="003656BB"/>
    <w:rsid w:val="00366226"/>
    <w:rsid w:val="0036779C"/>
    <w:rsid w:val="003711D4"/>
    <w:rsid w:val="003714D0"/>
    <w:rsid w:val="00373FE0"/>
    <w:rsid w:val="00374A1B"/>
    <w:rsid w:val="0037685D"/>
    <w:rsid w:val="00376C8B"/>
    <w:rsid w:val="00376FDE"/>
    <w:rsid w:val="0037787F"/>
    <w:rsid w:val="00377CA1"/>
    <w:rsid w:val="00380FE0"/>
    <w:rsid w:val="00381131"/>
    <w:rsid w:val="00382266"/>
    <w:rsid w:val="00383388"/>
    <w:rsid w:val="00385755"/>
    <w:rsid w:val="00386438"/>
    <w:rsid w:val="00386E0E"/>
    <w:rsid w:val="003905C0"/>
    <w:rsid w:val="0039116F"/>
    <w:rsid w:val="003926CA"/>
    <w:rsid w:val="00393D24"/>
    <w:rsid w:val="00394233"/>
    <w:rsid w:val="00394F56"/>
    <w:rsid w:val="00396365"/>
    <w:rsid w:val="003A1768"/>
    <w:rsid w:val="003B15E2"/>
    <w:rsid w:val="003B2C19"/>
    <w:rsid w:val="003B4C11"/>
    <w:rsid w:val="003B69D9"/>
    <w:rsid w:val="003B773A"/>
    <w:rsid w:val="003B7A7E"/>
    <w:rsid w:val="003B7D87"/>
    <w:rsid w:val="003C0114"/>
    <w:rsid w:val="003C102F"/>
    <w:rsid w:val="003C2945"/>
    <w:rsid w:val="003C2D08"/>
    <w:rsid w:val="003C329C"/>
    <w:rsid w:val="003C4AFD"/>
    <w:rsid w:val="003C4B35"/>
    <w:rsid w:val="003C54DB"/>
    <w:rsid w:val="003C66E3"/>
    <w:rsid w:val="003D0BBD"/>
    <w:rsid w:val="003D1F1C"/>
    <w:rsid w:val="003D2261"/>
    <w:rsid w:val="003D33BD"/>
    <w:rsid w:val="003D39A9"/>
    <w:rsid w:val="003D4B4D"/>
    <w:rsid w:val="003E02AD"/>
    <w:rsid w:val="003E16DB"/>
    <w:rsid w:val="003E2602"/>
    <w:rsid w:val="003E3132"/>
    <w:rsid w:val="003E338B"/>
    <w:rsid w:val="003E3641"/>
    <w:rsid w:val="003E3EB3"/>
    <w:rsid w:val="003E44A8"/>
    <w:rsid w:val="003E46B3"/>
    <w:rsid w:val="003E6E50"/>
    <w:rsid w:val="003E716F"/>
    <w:rsid w:val="003F0123"/>
    <w:rsid w:val="003F2EB2"/>
    <w:rsid w:val="003F49EF"/>
    <w:rsid w:val="003F5FBC"/>
    <w:rsid w:val="003F5FE6"/>
    <w:rsid w:val="003F6147"/>
    <w:rsid w:val="003F74EE"/>
    <w:rsid w:val="0040091F"/>
    <w:rsid w:val="00402B39"/>
    <w:rsid w:val="00402EDF"/>
    <w:rsid w:val="0040606D"/>
    <w:rsid w:val="00406B68"/>
    <w:rsid w:val="004079FE"/>
    <w:rsid w:val="004112F3"/>
    <w:rsid w:val="004130C4"/>
    <w:rsid w:val="0041360B"/>
    <w:rsid w:val="0041405D"/>
    <w:rsid w:val="00414537"/>
    <w:rsid w:val="00414DBB"/>
    <w:rsid w:val="00416F59"/>
    <w:rsid w:val="00417E4C"/>
    <w:rsid w:val="00417E71"/>
    <w:rsid w:val="00421BA6"/>
    <w:rsid w:val="00422086"/>
    <w:rsid w:val="0042224C"/>
    <w:rsid w:val="00423A6F"/>
    <w:rsid w:val="004249B8"/>
    <w:rsid w:val="00427FF4"/>
    <w:rsid w:val="0043006E"/>
    <w:rsid w:val="00430AA7"/>
    <w:rsid w:val="00431046"/>
    <w:rsid w:val="0043146C"/>
    <w:rsid w:val="00433EF0"/>
    <w:rsid w:val="0043400B"/>
    <w:rsid w:val="00434DA6"/>
    <w:rsid w:val="00435C7C"/>
    <w:rsid w:val="00436ED6"/>
    <w:rsid w:val="00436FE7"/>
    <w:rsid w:val="004409AA"/>
    <w:rsid w:val="00441F01"/>
    <w:rsid w:val="00442CB3"/>
    <w:rsid w:val="00443645"/>
    <w:rsid w:val="0044469B"/>
    <w:rsid w:val="004446DD"/>
    <w:rsid w:val="00444DF2"/>
    <w:rsid w:val="00446E80"/>
    <w:rsid w:val="00447443"/>
    <w:rsid w:val="00447A78"/>
    <w:rsid w:val="00450E54"/>
    <w:rsid w:val="00451306"/>
    <w:rsid w:val="00451F0E"/>
    <w:rsid w:val="004526CB"/>
    <w:rsid w:val="00454793"/>
    <w:rsid w:val="00454E5A"/>
    <w:rsid w:val="00455F4A"/>
    <w:rsid w:val="0045619D"/>
    <w:rsid w:val="00456D24"/>
    <w:rsid w:val="00457CC3"/>
    <w:rsid w:val="00457E7E"/>
    <w:rsid w:val="00461BC4"/>
    <w:rsid w:val="004635D5"/>
    <w:rsid w:val="00463760"/>
    <w:rsid w:val="004640B5"/>
    <w:rsid w:val="0046458B"/>
    <w:rsid w:val="00464857"/>
    <w:rsid w:val="004652A1"/>
    <w:rsid w:val="00466C51"/>
    <w:rsid w:val="00466EDF"/>
    <w:rsid w:val="00467AE7"/>
    <w:rsid w:val="00467C38"/>
    <w:rsid w:val="004703C0"/>
    <w:rsid w:val="00470C5B"/>
    <w:rsid w:val="00470DD3"/>
    <w:rsid w:val="004733E1"/>
    <w:rsid w:val="0047342A"/>
    <w:rsid w:val="0047458A"/>
    <w:rsid w:val="00475058"/>
    <w:rsid w:val="00475508"/>
    <w:rsid w:val="004755F1"/>
    <w:rsid w:val="00475FAF"/>
    <w:rsid w:val="0047606B"/>
    <w:rsid w:val="00476E22"/>
    <w:rsid w:val="00477B5B"/>
    <w:rsid w:val="00477BF4"/>
    <w:rsid w:val="00477C4F"/>
    <w:rsid w:val="00477ECC"/>
    <w:rsid w:val="00480124"/>
    <w:rsid w:val="00480450"/>
    <w:rsid w:val="00482CD7"/>
    <w:rsid w:val="00485A1B"/>
    <w:rsid w:val="0048707C"/>
    <w:rsid w:val="0048720C"/>
    <w:rsid w:val="004878EA"/>
    <w:rsid w:val="00490E48"/>
    <w:rsid w:val="00490FBE"/>
    <w:rsid w:val="0049125A"/>
    <w:rsid w:val="00493DFF"/>
    <w:rsid w:val="0049591C"/>
    <w:rsid w:val="00496BE4"/>
    <w:rsid w:val="004A0228"/>
    <w:rsid w:val="004A0A14"/>
    <w:rsid w:val="004A141D"/>
    <w:rsid w:val="004A2446"/>
    <w:rsid w:val="004A27D0"/>
    <w:rsid w:val="004A3239"/>
    <w:rsid w:val="004A36FF"/>
    <w:rsid w:val="004A374B"/>
    <w:rsid w:val="004A42B5"/>
    <w:rsid w:val="004A4A37"/>
    <w:rsid w:val="004A4D62"/>
    <w:rsid w:val="004A5B5D"/>
    <w:rsid w:val="004A6147"/>
    <w:rsid w:val="004A7A02"/>
    <w:rsid w:val="004B11B2"/>
    <w:rsid w:val="004B35EB"/>
    <w:rsid w:val="004B43EC"/>
    <w:rsid w:val="004B4E2E"/>
    <w:rsid w:val="004B5553"/>
    <w:rsid w:val="004B6621"/>
    <w:rsid w:val="004B6997"/>
    <w:rsid w:val="004B6F8E"/>
    <w:rsid w:val="004C0069"/>
    <w:rsid w:val="004C215E"/>
    <w:rsid w:val="004C28F7"/>
    <w:rsid w:val="004C2C8F"/>
    <w:rsid w:val="004C3633"/>
    <w:rsid w:val="004C3737"/>
    <w:rsid w:val="004C3F6A"/>
    <w:rsid w:val="004C46EE"/>
    <w:rsid w:val="004C5556"/>
    <w:rsid w:val="004C7CBB"/>
    <w:rsid w:val="004C7FEF"/>
    <w:rsid w:val="004D11B7"/>
    <w:rsid w:val="004D1978"/>
    <w:rsid w:val="004D2160"/>
    <w:rsid w:val="004D3651"/>
    <w:rsid w:val="004D4765"/>
    <w:rsid w:val="004D4EF8"/>
    <w:rsid w:val="004D548D"/>
    <w:rsid w:val="004D5E71"/>
    <w:rsid w:val="004D61D9"/>
    <w:rsid w:val="004D69D6"/>
    <w:rsid w:val="004D6B71"/>
    <w:rsid w:val="004E064D"/>
    <w:rsid w:val="004E1B15"/>
    <w:rsid w:val="004E22C8"/>
    <w:rsid w:val="004E2632"/>
    <w:rsid w:val="004E2E82"/>
    <w:rsid w:val="004E33B9"/>
    <w:rsid w:val="004E6FB0"/>
    <w:rsid w:val="004F0C9D"/>
    <w:rsid w:val="004F24D3"/>
    <w:rsid w:val="004F2DFA"/>
    <w:rsid w:val="004F48FB"/>
    <w:rsid w:val="004F4DAC"/>
    <w:rsid w:val="004F5DAB"/>
    <w:rsid w:val="004F6747"/>
    <w:rsid w:val="004F6C2C"/>
    <w:rsid w:val="004F7393"/>
    <w:rsid w:val="00500D74"/>
    <w:rsid w:val="00501D43"/>
    <w:rsid w:val="00502329"/>
    <w:rsid w:val="00502DD7"/>
    <w:rsid w:val="00504042"/>
    <w:rsid w:val="005067DD"/>
    <w:rsid w:val="005113A5"/>
    <w:rsid w:val="00512841"/>
    <w:rsid w:val="00512DDB"/>
    <w:rsid w:val="00512FB7"/>
    <w:rsid w:val="00513518"/>
    <w:rsid w:val="00513966"/>
    <w:rsid w:val="00514529"/>
    <w:rsid w:val="0051596E"/>
    <w:rsid w:val="00516017"/>
    <w:rsid w:val="00516142"/>
    <w:rsid w:val="00516647"/>
    <w:rsid w:val="00516893"/>
    <w:rsid w:val="00516F59"/>
    <w:rsid w:val="0051774B"/>
    <w:rsid w:val="00521A74"/>
    <w:rsid w:val="00522337"/>
    <w:rsid w:val="00522795"/>
    <w:rsid w:val="00523139"/>
    <w:rsid w:val="00524169"/>
    <w:rsid w:val="00524821"/>
    <w:rsid w:val="00524AB9"/>
    <w:rsid w:val="00525C0D"/>
    <w:rsid w:val="00527D15"/>
    <w:rsid w:val="00530052"/>
    <w:rsid w:val="00530EE8"/>
    <w:rsid w:val="00531122"/>
    <w:rsid w:val="00531892"/>
    <w:rsid w:val="00533501"/>
    <w:rsid w:val="00534537"/>
    <w:rsid w:val="00534A78"/>
    <w:rsid w:val="00536057"/>
    <w:rsid w:val="00536BAA"/>
    <w:rsid w:val="005370E4"/>
    <w:rsid w:val="00537833"/>
    <w:rsid w:val="00540A51"/>
    <w:rsid w:val="00540D49"/>
    <w:rsid w:val="00540ECE"/>
    <w:rsid w:val="005413D8"/>
    <w:rsid w:val="00542003"/>
    <w:rsid w:val="005432CE"/>
    <w:rsid w:val="00543DA7"/>
    <w:rsid w:val="00544FEB"/>
    <w:rsid w:val="0054650B"/>
    <w:rsid w:val="00547032"/>
    <w:rsid w:val="00550D93"/>
    <w:rsid w:val="005513B7"/>
    <w:rsid w:val="00552D07"/>
    <w:rsid w:val="005538AB"/>
    <w:rsid w:val="00553ED8"/>
    <w:rsid w:val="00554152"/>
    <w:rsid w:val="00554736"/>
    <w:rsid w:val="005552B7"/>
    <w:rsid w:val="005563EC"/>
    <w:rsid w:val="00556E9A"/>
    <w:rsid w:val="005616D3"/>
    <w:rsid w:val="00561C13"/>
    <w:rsid w:val="00561DE4"/>
    <w:rsid w:val="005626A2"/>
    <w:rsid w:val="005629ED"/>
    <w:rsid w:val="00565915"/>
    <w:rsid w:val="00566544"/>
    <w:rsid w:val="005670D9"/>
    <w:rsid w:val="00567E71"/>
    <w:rsid w:val="00567FF4"/>
    <w:rsid w:val="00570836"/>
    <w:rsid w:val="00570896"/>
    <w:rsid w:val="00570E82"/>
    <w:rsid w:val="005715B3"/>
    <w:rsid w:val="0057184A"/>
    <w:rsid w:val="005718EB"/>
    <w:rsid w:val="00572D6A"/>
    <w:rsid w:val="0057325D"/>
    <w:rsid w:val="005735CE"/>
    <w:rsid w:val="005743AF"/>
    <w:rsid w:val="005743E3"/>
    <w:rsid w:val="00574616"/>
    <w:rsid w:val="00582341"/>
    <w:rsid w:val="00583CEA"/>
    <w:rsid w:val="0058420A"/>
    <w:rsid w:val="0058467E"/>
    <w:rsid w:val="0058687C"/>
    <w:rsid w:val="0059122B"/>
    <w:rsid w:val="00592BA4"/>
    <w:rsid w:val="00594509"/>
    <w:rsid w:val="00594BE2"/>
    <w:rsid w:val="00595A84"/>
    <w:rsid w:val="0059639B"/>
    <w:rsid w:val="00596630"/>
    <w:rsid w:val="0059710C"/>
    <w:rsid w:val="005979B1"/>
    <w:rsid w:val="005A022E"/>
    <w:rsid w:val="005A0B8F"/>
    <w:rsid w:val="005A1799"/>
    <w:rsid w:val="005A179F"/>
    <w:rsid w:val="005A206E"/>
    <w:rsid w:val="005A237B"/>
    <w:rsid w:val="005A3035"/>
    <w:rsid w:val="005A4EE4"/>
    <w:rsid w:val="005A708C"/>
    <w:rsid w:val="005A7BB7"/>
    <w:rsid w:val="005B122A"/>
    <w:rsid w:val="005B17E4"/>
    <w:rsid w:val="005B1FB7"/>
    <w:rsid w:val="005B2EA3"/>
    <w:rsid w:val="005B3C03"/>
    <w:rsid w:val="005B7347"/>
    <w:rsid w:val="005B7BDC"/>
    <w:rsid w:val="005C0A8C"/>
    <w:rsid w:val="005C1427"/>
    <w:rsid w:val="005C55C2"/>
    <w:rsid w:val="005C76B2"/>
    <w:rsid w:val="005D008B"/>
    <w:rsid w:val="005D0B0A"/>
    <w:rsid w:val="005D22B6"/>
    <w:rsid w:val="005D3592"/>
    <w:rsid w:val="005D3C3E"/>
    <w:rsid w:val="005D440B"/>
    <w:rsid w:val="005D5F56"/>
    <w:rsid w:val="005D5FF0"/>
    <w:rsid w:val="005D6165"/>
    <w:rsid w:val="005D642F"/>
    <w:rsid w:val="005E0C7B"/>
    <w:rsid w:val="005E2478"/>
    <w:rsid w:val="005E26CE"/>
    <w:rsid w:val="005E27BC"/>
    <w:rsid w:val="005E2871"/>
    <w:rsid w:val="005E36FC"/>
    <w:rsid w:val="005E46D4"/>
    <w:rsid w:val="005E4BE5"/>
    <w:rsid w:val="005E5658"/>
    <w:rsid w:val="005E626F"/>
    <w:rsid w:val="005E661E"/>
    <w:rsid w:val="005E6ED3"/>
    <w:rsid w:val="005E7214"/>
    <w:rsid w:val="005E7771"/>
    <w:rsid w:val="005F0431"/>
    <w:rsid w:val="005F0672"/>
    <w:rsid w:val="005F0E32"/>
    <w:rsid w:val="005F16EA"/>
    <w:rsid w:val="005F1906"/>
    <w:rsid w:val="005F4471"/>
    <w:rsid w:val="005F5022"/>
    <w:rsid w:val="005F6D51"/>
    <w:rsid w:val="005F7E69"/>
    <w:rsid w:val="005F7EA2"/>
    <w:rsid w:val="00601F48"/>
    <w:rsid w:val="006025F0"/>
    <w:rsid w:val="00602D43"/>
    <w:rsid w:val="00602FE0"/>
    <w:rsid w:val="00603F20"/>
    <w:rsid w:val="006042D8"/>
    <w:rsid w:val="006049D3"/>
    <w:rsid w:val="00605787"/>
    <w:rsid w:val="00610233"/>
    <w:rsid w:val="00610555"/>
    <w:rsid w:val="006127CC"/>
    <w:rsid w:val="00613AE4"/>
    <w:rsid w:val="00613C16"/>
    <w:rsid w:val="00614D7D"/>
    <w:rsid w:val="00614DF8"/>
    <w:rsid w:val="00615320"/>
    <w:rsid w:val="006218F0"/>
    <w:rsid w:val="006228E6"/>
    <w:rsid w:val="00624C49"/>
    <w:rsid w:val="006250FB"/>
    <w:rsid w:val="006253E3"/>
    <w:rsid w:val="006253FA"/>
    <w:rsid w:val="00625714"/>
    <w:rsid w:val="006263CD"/>
    <w:rsid w:val="006263D9"/>
    <w:rsid w:val="0062662F"/>
    <w:rsid w:val="00631602"/>
    <w:rsid w:val="006316E9"/>
    <w:rsid w:val="00631814"/>
    <w:rsid w:val="006338F1"/>
    <w:rsid w:val="00633BEC"/>
    <w:rsid w:val="00633C6D"/>
    <w:rsid w:val="00634F2D"/>
    <w:rsid w:val="006356D2"/>
    <w:rsid w:val="00636A14"/>
    <w:rsid w:val="00637445"/>
    <w:rsid w:val="0063760E"/>
    <w:rsid w:val="00637ED7"/>
    <w:rsid w:val="0064001D"/>
    <w:rsid w:val="00643B2A"/>
    <w:rsid w:val="00643B8E"/>
    <w:rsid w:val="00644FE8"/>
    <w:rsid w:val="0064535D"/>
    <w:rsid w:val="006456CD"/>
    <w:rsid w:val="00646884"/>
    <w:rsid w:val="00646E12"/>
    <w:rsid w:val="00646FA5"/>
    <w:rsid w:val="006504DF"/>
    <w:rsid w:val="006505A7"/>
    <w:rsid w:val="0065066F"/>
    <w:rsid w:val="00651360"/>
    <w:rsid w:val="00651E2E"/>
    <w:rsid w:val="006521F6"/>
    <w:rsid w:val="006531FE"/>
    <w:rsid w:val="00653558"/>
    <w:rsid w:val="00653AF4"/>
    <w:rsid w:val="00654D25"/>
    <w:rsid w:val="00654F2F"/>
    <w:rsid w:val="006571DB"/>
    <w:rsid w:val="00657AD1"/>
    <w:rsid w:val="0066141C"/>
    <w:rsid w:val="006614B8"/>
    <w:rsid w:val="00661899"/>
    <w:rsid w:val="006632BE"/>
    <w:rsid w:val="00664470"/>
    <w:rsid w:val="00664B01"/>
    <w:rsid w:val="006651FC"/>
    <w:rsid w:val="00667C30"/>
    <w:rsid w:val="00667E64"/>
    <w:rsid w:val="00670AB1"/>
    <w:rsid w:val="006730D1"/>
    <w:rsid w:val="006731E3"/>
    <w:rsid w:val="006749D7"/>
    <w:rsid w:val="006750D0"/>
    <w:rsid w:val="00675614"/>
    <w:rsid w:val="00675B11"/>
    <w:rsid w:val="006764CD"/>
    <w:rsid w:val="006778C1"/>
    <w:rsid w:val="00677E52"/>
    <w:rsid w:val="00681E74"/>
    <w:rsid w:val="00682AEB"/>
    <w:rsid w:val="0068307C"/>
    <w:rsid w:val="006836E2"/>
    <w:rsid w:val="00684849"/>
    <w:rsid w:val="00684E5E"/>
    <w:rsid w:val="006856E8"/>
    <w:rsid w:val="00690BCF"/>
    <w:rsid w:val="00693062"/>
    <w:rsid w:val="00693757"/>
    <w:rsid w:val="00695CA8"/>
    <w:rsid w:val="00697213"/>
    <w:rsid w:val="00697D76"/>
    <w:rsid w:val="006A1E3E"/>
    <w:rsid w:val="006A351B"/>
    <w:rsid w:val="006A44B7"/>
    <w:rsid w:val="006A469A"/>
    <w:rsid w:val="006A4973"/>
    <w:rsid w:val="006A510D"/>
    <w:rsid w:val="006A6428"/>
    <w:rsid w:val="006A74E6"/>
    <w:rsid w:val="006A7BA6"/>
    <w:rsid w:val="006A7FF3"/>
    <w:rsid w:val="006B04DB"/>
    <w:rsid w:val="006B04FE"/>
    <w:rsid w:val="006B0F37"/>
    <w:rsid w:val="006B32B9"/>
    <w:rsid w:val="006B390B"/>
    <w:rsid w:val="006B3B35"/>
    <w:rsid w:val="006B4531"/>
    <w:rsid w:val="006B562B"/>
    <w:rsid w:val="006B59AF"/>
    <w:rsid w:val="006B67E2"/>
    <w:rsid w:val="006B6C2B"/>
    <w:rsid w:val="006C14D5"/>
    <w:rsid w:val="006C480E"/>
    <w:rsid w:val="006C5BB9"/>
    <w:rsid w:val="006C66D1"/>
    <w:rsid w:val="006C7EC2"/>
    <w:rsid w:val="006D060E"/>
    <w:rsid w:val="006D0740"/>
    <w:rsid w:val="006D0DD7"/>
    <w:rsid w:val="006D1006"/>
    <w:rsid w:val="006D1794"/>
    <w:rsid w:val="006D1E73"/>
    <w:rsid w:val="006D200B"/>
    <w:rsid w:val="006D2A85"/>
    <w:rsid w:val="006D3399"/>
    <w:rsid w:val="006D35B5"/>
    <w:rsid w:val="006D4049"/>
    <w:rsid w:val="006D4837"/>
    <w:rsid w:val="006D6E84"/>
    <w:rsid w:val="006D78A9"/>
    <w:rsid w:val="006E05AF"/>
    <w:rsid w:val="006E0A1C"/>
    <w:rsid w:val="006E0C88"/>
    <w:rsid w:val="006E16D9"/>
    <w:rsid w:val="006E29DD"/>
    <w:rsid w:val="006E3A29"/>
    <w:rsid w:val="006E4B79"/>
    <w:rsid w:val="006E5079"/>
    <w:rsid w:val="006E5E5B"/>
    <w:rsid w:val="006E6626"/>
    <w:rsid w:val="006E6F1B"/>
    <w:rsid w:val="006F01BA"/>
    <w:rsid w:val="006F115F"/>
    <w:rsid w:val="006F1429"/>
    <w:rsid w:val="006F2F6A"/>
    <w:rsid w:val="006F74BB"/>
    <w:rsid w:val="007026C5"/>
    <w:rsid w:val="00703ED1"/>
    <w:rsid w:val="007042EC"/>
    <w:rsid w:val="007048F9"/>
    <w:rsid w:val="0070495F"/>
    <w:rsid w:val="00705FAF"/>
    <w:rsid w:val="007069EE"/>
    <w:rsid w:val="00710DD3"/>
    <w:rsid w:val="0071128F"/>
    <w:rsid w:val="0071163E"/>
    <w:rsid w:val="00713303"/>
    <w:rsid w:val="00713895"/>
    <w:rsid w:val="007141EB"/>
    <w:rsid w:val="00714DEB"/>
    <w:rsid w:val="007174F9"/>
    <w:rsid w:val="0072063E"/>
    <w:rsid w:val="00720F68"/>
    <w:rsid w:val="007210D1"/>
    <w:rsid w:val="00721C7A"/>
    <w:rsid w:val="007238B8"/>
    <w:rsid w:val="0072460E"/>
    <w:rsid w:val="0072506F"/>
    <w:rsid w:val="007279EF"/>
    <w:rsid w:val="00727D0D"/>
    <w:rsid w:val="00727F87"/>
    <w:rsid w:val="007304DD"/>
    <w:rsid w:val="007339E1"/>
    <w:rsid w:val="0073538D"/>
    <w:rsid w:val="00737C4B"/>
    <w:rsid w:val="00741407"/>
    <w:rsid w:val="0074192E"/>
    <w:rsid w:val="00745461"/>
    <w:rsid w:val="00745C4F"/>
    <w:rsid w:val="0074603A"/>
    <w:rsid w:val="007470CB"/>
    <w:rsid w:val="0075069C"/>
    <w:rsid w:val="00750CFE"/>
    <w:rsid w:val="00751E0E"/>
    <w:rsid w:val="0075670E"/>
    <w:rsid w:val="00756CF0"/>
    <w:rsid w:val="00756DAD"/>
    <w:rsid w:val="0075720A"/>
    <w:rsid w:val="00761486"/>
    <w:rsid w:val="00761522"/>
    <w:rsid w:val="00761639"/>
    <w:rsid w:val="0076179A"/>
    <w:rsid w:val="007624B1"/>
    <w:rsid w:val="00763CE3"/>
    <w:rsid w:val="00763D40"/>
    <w:rsid w:val="00766AC8"/>
    <w:rsid w:val="00766BD8"/>
    <w:rsid w:val="00766E47"/>
    <w:rsid w:val="00770514"/>
    <w:rsid w:val="00770B18"/>
    <w:rsid w:val="007711A0"/>
    <w:rsid w:val="007731BE"/>
    <w:rsid w:val="00774D4F"/>
    <w:rsid w:val="00775B6C"/>
    <w:rsid w:val="00776CFE"/>
    <w:rsid w:val="00777386"/>
    <w:rsid w:val="00780583"/>
    <w:rsid w:val="00782661"/>
    <w:rsid w:val="00782D15"/>
    <w:rsid w:val="00783172"/>
    <w:rsid w:val="00783BF7"/>
    <w:rsid w:val="00784291"/>
    <w:rsid w:val="00786A01"/>
    <w:rsid w:val="00787723"/>
    <w:rsid w:val="00787960"/>
    <w:rsid w:val="00787C6A"/>
    <w:rsid w:val="007907AF"/>
    <w:rsid w:val="00790FD4"/>
    <w:rsid w:val="007918CA"/>
    <w:rsid w:val="00791CED"/>
    <w:rsid w:val="00792C64"/>
    <w:rsid w:val="00793D4E"/>
    <w:rsid w:val="00794D79"/>
    <w:rsid w:val="00795743"/>
    <w:rsid w:val="00795D8D"/>
    <w:rsid w:val="00796197"/>
    <w:rsid w:val="00797212"/>
    <w:rsid w:val="007A163A"/>
    <w:rsid w:val="007A2EB2"/>
    <w:rsid w:val="007A38D4"/>
    <w:rsid w:val="007A6372"/>
    <w:rsid w:val="007A7D3B"/>
    <w:rsid w:val="007B2AA4"/>
    <w:rsid w:val="007B35E8"/>
    <w:rsid w:val="007B4746"/>
    <w:rsid w:val="007B4BC4"/>
    <w:rsid w:val="007B4F23"/>
    <w:rsid w:val="007B54FD"/>
    <w:rsid w:val="007B7007"/>
    <w:rsid w:val="007B7EE5"/>
    <w:rsid w:val="007C08FB"/>
    <w:rsid w:val="007C0BB3"/>
    <w:rsid w:val="007C209D"/>
    <w:rsid w:val="007C3257"/>
    <w:rsid w:val="007C3363"/>
    <w:rsid w:val="007C49CD"/>
    <w:rsid w:val="007C5F8B"/>
    <w:rsid w:val="007C6664"/>
    <w:rsid w:val="007C6C91"/>
    <w:rsid w:val="007D01B8"/>
    <w:rsid w:val="007D1349"/>
    <w:rsid w:val="007D170B"/>
    <w:rsid w:val="007D1934"/>
    <w:rsid w:val="007D30C5"/>
    <w:rsid w:val="007D4961"/>
    <w:rsid w:val="007D4AC4"/>
    <w:rsid w:val="007D6E70"/>
    <w:rsid w:val="007D7B36"/>
    <w:rsid w:val="007D7CA7"/>
    <w:rsid w:val="007E04EC"/>
    <w:rsid w:val="007E0732"/>
    <w:rsid w:val="007E1C8A"/>
    <w:rsid w:val="007E2DFC"/>
    <w:rsid w:val="007E5938"/>
    <w:rsid w:val="007E63DF"/>
    <w:rsid w:val="007E7937"/>
    <w:rsid w:val="007F2C49"/>
    <w:rsid w:val="007F2CE4"/>
    <w:rsid w:val="007F42C9"/>
    <w:rsid w:val="007F4E20"/>
    <w:rsid w:val="007F5423"/>
    <w:rsid w:val="007F6ACD"/>
    <w:rsid w:val="007F73C7"/>
    <w:rsid w:val="00800984"/>
    <w:rsid w:val="00802358"/>
    <w:rsid w:val="0080372C"/>
    <w:rsid w:val="008039B7"/>
    <w:rsid w:val="00804405"/>
    <w:rsid w:val="00806DA1"/>
    <w:rsid w:val="00807954"/>
    <w:rsid w:val="00807AB5"/>
    <w:rsid w:val="008101C8"/>
    <w:rsid w:val="0081058F"/>
    <w:rsid w:val="00811484"/>
    <w:rsid w:val="0081166E"/>
    <w:rsid w:val="00812A99"/>
    <w:rsid w:val="00813452"/>
    <w:rsid w:val="008145C2"/>
    <w:rsid w:val="00814C1B"/>
    <w:rsid w:val="00815A6D"/>
    <w:rsid w:val="00815B96"/>
    <w:rsid w:val="008166C2"/>
    <w:rsid w:val="00817892"/>
    <w:rsid w:val="00817899"/>
    <w:rsid w:val="00820063"/>
    <w:rsid w:val="008204BC"/>
    <w:rsid w:val="00822099"/>
    <w:rsid w:val="008239A6"/>
    <w:rsid w:val="00825845"/>
    <w:rsid w:val="00825D96"/>
    <w:rsid w:val="0083018F"/>
    <w:rsid w:val="0083256E"/>
    <w:rsid w:val="00834C95"/>
    <w:rsid w:val="00836F4E"/>
    <w:rsid w:val="008370B4"/>
    <w:rsid w:val="0083794D"/>
    <w:rsid w:val="008421D5"/>
    <w:rsid w:val="008428E1"/>
    <w:rsid w:val="00843965"/>
    <w:rsid w:val="00850A5B"/>
    <w:rsid w:val="00851105"/>
    <w:rsid w:val="00851F04"/>
    <w:rsid w:val="00852208"/>
    <w:rsid w:val="00852488"/>
    <w:rsid w:val="008531D1"/>
    <w:rsid w:val="00855E11"/>
    <w:rsid w:val="008567AC"/>
    <w:rsid w:val="00862248"/>
    <w:rsid w:val="0086324F"/>
    <w:rsid w:val="00864509"/>
    <w:rsid w:val="00864DBF"/>
    <w:rsid w:val="00865674"/>
    <w:rsid w:val="00865713"/>
    <w:rsid w:val="008663C1"/>
    <w:rsid w:val="00867B4B"/>
    <w:rsid w:val="00870C6F"/>
    <w:rsid w:val="008715B5"/>
    <w:rsid w:val="008726DB"/>
    <w:rsid w:val="0087339D"/>
    <w:rsid w:val="0087438E"/>
    <w:rsid w:val="00876B6E"/>
    <w:rsid w:val="008804D4"/>
    <w:rsid w:val="00881C7E"/>
    <w:rsid w:val="00882A61"/>
    <w:rsid w:val="00884A0E"/>
    <w:rsid w:val="00891C3B"/>
    <w:rsid w:val="00892191"/>
    <w:rsid w:val="00892EB8"/>
    <w:rsid w:val="00894F2A"/>
    <w:rsid w:val="00896209"/>
    <w:rsid w:val="008967A2"/>
    <w:rsid w:val="00897B47"/>
    <w:rsid w:val="008A0533"/>
    <w:rsid w:val="008A31A9"/>
    <w:rsid w:val="008A4CC3"/>
    <w:rsid w:val="008A51B4"/>
    <w:rsid w:val="008A6F9C"/>
    <w:rsid w:val="008B0C33"/>
    <w:rsid w:val="008B0DA3"/>
    <w:rsid w:val="008B2137"/>
    <w:rsid w:val="008B2702"/>
    <w:rsid w:val="008B31BB"/>
    <w:rsid w:val="008B3A48"/>
    <w:rsid w:val="008B4058"/>
    <w:rsid w:val="008B4061"/>
    <w:rsid w:val="008B5A16"/>
    <w:rsid w:val="008B5A2D"/>
    <w:rsid w:val="008B687F"/>
    <w:rsid w:val="008B7D16"/>
    <w:rsid w:val="008B7DBF"/>
    <w:rsid w:val="008C0597"/>
    <w:rsid w:val="008C1503"/>
    <w:rsid w:val="008C18C0"/>
    <w:rsid w:val="008C20D1"/>
    <w:rsid w:val="008C2D37"/>
    <w:rsid w:val="008C5503"/>
    <w:rsid w:val="008D0682"/>
    <w:rsid w:val="008D0D0C"/>
    <w:rsid w:val="008D1133"/>
    <w:rsid w:val="008D3A74"/>
    <w:rsid w:val="008D3C80"/>
    <w:rsid w:val="008D4D9D"/>
    <w:rsid w:val="008D576B"/>
    <w:rsid w:val="008D5BD1"/>
    <w:rsid w:val="008D5E09"/>
    <w:rsid w:val="008D64DD"/>
    <w:rsid w:val="008D7D48"/>
    <w:rsid w:val="008E0677"/>
    <w:rsid w:val="008E0CDD"/>
    <w:rsid w:val="008E0DD3"/>
    <w:rsid w:val="008E2196"/>
    <w:rsid w:val="008E5939"/>
    <w:rsid w:val="008E5952"/>
    <w:rsid w:val="008E7ED3"/>
    <w:rsid w:val="008F0703"/>
    <w:rsid w:val="008F1934"/>
    <w:rsid w:val="008F364F"/>
    <w:rsid w:val="008F382B"/>
    <w:rsid w:val="008F3AD7"/>
    <w:rsid w:val="008F506E"/>
    <w:rsid w:val="008F5852"/>
    <w:rsid w:val="008F5D2C"/>
    <w:rsid w:val="008F6891"/>
    <w:rsid w:val="0090072F"/>
    <w:rsid w:val="00900BA5"/>
    <w:rsid w:val="009020A4"/>
    <w:rsid w:val="00902CB7"/>
    <w:rsid w:val="00902FF4"/>
    <w:rsid w:val="00903B03"/>
    <w:rsid w:val="00904208"/>
    <w:rsid w:val="00904A2E"/>
    <w:rsid w:val="00904D22"/>
    <w:rsid w:val="00904FDA"/>
    <w:rsid w:val="00905CE9"/>
    <w:rsid w:val="00906554"/>
    <w:rsid w:val="00906A22"/>
    <w:rsid w:val="00907A2C"/>
    <w:rsid w:val="009113D1"/>
    <w:rsid w:val="00911EC6"/>
    <w:rsid w:val="009124A3"/>
    <w:rsid w:val="00914776"/>
    <w:rsid w:val="009148D0"/>
    <w:rsid w:val="009152D4"/>
    <w:rsid w:val="00917336"/>
    <w:rsid w:val="00917C06"/>
    <w:rsid w:val="00921A20"/>
    <w:rsid w:val="0092287C"/>
    <w:rsid w:val="00922FA9"/>
    <w:rsid w:val="00923556"/>
    <w:rsid w:val="0092417E"/>
    <w:rsid w:val="00924307"/>
    <w:rsid w:val="00925FEC"/>
    <w:rsid w:val="00926B51"/>
    <w:rsid w:val="009270A5"/>
    <w:rsid w:val="00927C5B"/>
    <w:rsid w:val="0093028B"/>
    <w:rsid w:val="00930C4A"/>
    <w:rsid w:val="00931001"/>
    <w:rsid w:val="00931B5A"/>
    <w:rsid w:val="00931F14"/>
    <w:rsid w:val="00932CB4"/>
    <w:rsid w:val="00933218"/>
    <w:rsid w:val="0093379B"/>
    <w:rsid w:val="00933BCB"/>
    <w:rsid w:val="00936CA3"/>
    <w:rsid w:val="00940373"/>
    <w:rsid w:val="00940AA8"/>
    <w:rsid w:val="00940D1A"/>
    <w:rsid w:val="00941EE2"/>
    <w:rsid w:val="00943F49"/>
    <w:rsid w:val="00944DAB"/>
    <w:rsid w:val="00946BEA"/>
    <w:rsid w:val="0094759F"/>
    <w:rsid w:val="009479DC"/>
    <w:rsid w:val="00950788"/>
    <w:rsid w:val="00950B3E"/>
    <w:rsid w:val="00950F99"/>
    <w:rsid w:val="00951466"/>
    <w:rsid w:val="009516BF"/>
    <w:rsid w:val="009518E9"/>
    <w:rsid w:val="009522D7"/>
    <w:rsid w:val="009549E5"/>
    <w:rsid w:val="0095566B"/>
    <w:rsid w:val="00957EDC"/>
    <w:rsid w:val="009616D9"/>
    <w:rsid w:val="009621F1"/>
    <w:rsid w:val="00963B62"/>
    <w:rsid w:val="00963DDD"/>
    <w:rsid w:val="009650E0"/>
    <w:rsid w:val="00965260"/>
    <w:rsid w:val="0096556C"/>
    <w:rsid w:val="00966CD3"/>
    <w:rsid w:val="00967644"/>
    <w:rsid w:val="00967674"/>
    <w:rsid w:val="0097023A"/>
    <w:rsid w:val="00970E95"/>
    <w:rsid w:val="0097161D"/>
    <w:rsid w:val="00971BFC"/>
    <w:rsid w:val="00972FFA"/>
    <w:rsid w:val="00973422"/>
    <w:rsid w:val="00974807"/>
    <w:rsid w:val="009758F2"/>
    <w:rsid w:val="009763DA"/>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918"/>
    <w:rsid w:val="009920DF"/>
    <w:rsid w:val="00993B55"/>
    <w:rsid w:val="00995627"/>
    <w:rsid w:val="009977A6"/>
    <w:rsid w:val="00997F3E"/>
    <w:rsid w:val="009A0599"/>
    <w:rsid w:val="009A1A5C"/>
    <w:rsid w:val="009A1E28"/>
    <w:rsid w:val="009A1FDE"/>
    <w:rsid w:val="009A2210"/>
    <w:rsid w:val="009A2D56"/>
    <w:rsid w:val="009A3116"/>
    <w:rsid w:val="009A439E"/>
    <w:rsid w:val="009A4C0C"/>
    <w:rsid w:val="009A52BE"/>
    <w:rsid w:val="009A595F"/>
    <w:rsid w:val="009A5A24"/>
    <w:rsid w:val="009A5E20"/>
    <w:rsid w:val="009A5EA7"/>
    <w:rsid w:val="009A7307"/>
    <w:rsid w:val="009B1ED8"/>
    <w:rsid w:val="009B206D"/>
    <w:rsid w:val="009B27AC"/>
    <w:rsid w:val="009B2D65"/>
    <w:rsid w:val="009B2F8C"/>
    <w:rsid w:val="009B346E"/>
    <w:rsid w:val="009B3BE1"/>
    <w:rsid w:val="009B404A"/>
    <w:rsid w:val="009B48E4"/>
    <w:rsid w:val="009B56EE"/>
    <w:rsid w:val="009B58B2"/>
    <w:rsid w:val="009B66F1"/>
    <w:rsid w:val="009C002E"/>
    <w:rsid w:val="009C06A2"/>
    <w:rsid w:val="009C392A"/>
    <w:rsid w:val="009C7563"/>
    <w:rsid w:val="009C77C1"/>
    <w:rsid w:val="009C7E9D"/>
    <w:rsid w:val="009D0372"/>
    <w:rsid w:val="009D0B97"/>
    <w:rsid w:val="009D2908"/>
    <w:rsid w:val="009D5758"/>
    <w:rsid w:val="009D5D82"/>
    <w:rsid w:val="009D69FF"/>
    <w:rsid w:val="009D6BFE"/>
    <w:rsid w:val="009E0923"/>
    <w:rsid w:val="009E0A88"/>
    <w:rsid w:val="009E179C"/>
    <w:rsid w:val="009E202F"/>
    <w:rsid w:val="009E2F0F"/>
    <w:rsid w:val="009E3EBD"/>
    <w:rsid w:val="009E413A"/>
    <w:rsid w:val="009E44E8"/>
    <w:rsid w:val="009E4833"/>
    <w:rsid w:val="009E4AD9"/>
    <w:rsid w:val="009E543A"/>
    <w:rsid w:val="009E5BC9"/>
    <w:rsid w:val="009E61C2"/>
    <w:rsid w:val="009E61EB"/>
    <w:rsid w:val="009E6459"/>
    <w:rsid w:val="009E7818"/>
    <w:rsid w:val="009F459F"/>
    <w:rsid w:val="009F701B"/>
    <w:rsid w:val="00A01918"/>
    <w:rsid w:val="00A03A49"/>
    <w:rsid w:val="00A04A60"/>
    <w:rsid w:val="00A04FA0"/>
    <w:rsid w:val="00A05AEE"/>
    <w:rsid w:val="00A11D21"/>
    <w:rsid w:val="00A1231E"/>
    <w:rsid w:val="00A125C0"/>
    <w:rsid w:val="00A1339D"/>
    <w:rsid w:val="00A13556"/>
    <w:rsid w:val="00A14CEE"/>
    <w:rsid w:val="00A15C57"/>
    <w:rsid w:val="00A16A1F"/>
    <w:rsid w:val="00A20F3A"/>
    <w:rsid w:val="00A22B8D"/>
    <w:rsid w:val="00A23653"/>
    <w:rsid w:val="00A24754"/>
    <w:rsid w:val="00A24CD3"/>
    <w:rsid w:val="00A2574D"/>
    <w:rsid w:val="00A25A93"/>
    <w:rsid w:val="00A3085A"/>
    <w:rsid w:val="00A31B33"/>
    <w:rsid w:val="00A31F03"/>
    <w:rsid w:val="00A32555"/>
    <w:rsid w:val="00A3327B"/>
    <w:rsid w:val="00A356C1"/>
    <w:rsid w:val="00A35925"/>
    <w:rsid w:val="00A35B1A"/>
    <w:rsid w:val="00A40021"/>
    <w:rsid w:val="00A41970"/>
    <w:rsid w:val="00A42DF1"/>
    <w:rsid w:val="00A4322A"/>
    <w:rsid w:val="00A43797"/>
    <w:rsid w:val="00A43C34"/>
    <w:rsid w:val="00A5045C"/>
    <w:rsid w:val="00A507AE"/>
    <w:rsid w:val="00A50EFF"/>
    <w:rsid w:val="00A51405"/>
    <w:rsid w:val="00A520CD"/>
    <w:rsid w:val="00A523E3"/>
    <w:rsid w:val="00A53D2E"/>
    <w:rsid w:val="00A56281"/>
    <w:rsid w:val="00A601FC"/>
    <w:rsid w:val="00A60F05"/>
    <w:rsid w:val="00A6202F"/>
    <w:rsid w:val="00A63A95"/>
    <w:rsid w:val="00A6464F"/>
    <w:rsid w:val="00A65365"/>
    <w:rsid w:val="00A65BA4"/>
    <w:rsid w:val="00A66C9D"/>
    <w:rsid w:val="00A70E1E"/>
    <w:rsid w:val="00A713C1"/>
    <w:rsid w:val="00A7144F"/>
    <w:rsid w:val="00A72F8D"/>
    <w:rsid w:val="00A73033"/>
    <w:rsid w:val="00A7304F"/>
    <w:rsid w:val="00A7323A"/>
    <w:rsid w:val="00A73804"/>
    <w:rsid w:val="00A73C6F"/>
    <w:rsid w:val="00A75F73"/>
    <w:rsid w:val="00A77450"/>
    <w:rsid w:val="00A77877"/>
    <w:rsid w:val="00A8016D"/>
    <w:rsid w:val="00A80560"/>
    <w:rsid w:val="00A80ACF"/>
    <w:rsid w:val="00A81C41"/>
    <w:rsid w:val="00A82090"/>
    <w:rsid w:val="00A837B8"/>
    <w:rsid w:val="00A83EC5"/>
    <w:rsid w:val="00A85D52"/>
    <w:rsid w:val="00A86053"/>
    <w:rsid w:val="00A861FE"/>
    <w:rsid w:val="00A86E3F"/>
    <w:rsid w:val="00A87CE0"/>
    <w:rsid w:val="00A90D85"/>
    <w:rsid w:val="00A91078"/>
    <w:rsid w:val="00A91AF5"/>
    <w:rsid w:val="00A928C9"/>
    <w:rsid w:val="00A92F9E"/>
    <w:rsid w:val="00A930EC"/>
    <w:rsid w:val="00A9419F"/>
    <w:rsid w:val="00A94BB8"/>
    <w:rsid w:val="00A959D5"/>
    <w:rsid w:val="00A95E28"/>
    <w:rsid w:val="00A961BF"/>
    <w:rsid w:val="00A97D8D"/>
    <w:rsid w:val="00AA2025"/>
    <w:rsid w:val="00AA3DF7"/>
    <w:rsid w:val="00AA4D62"/>
    <w:rsid w:val="00AA4EDC"/>
    <w:rsid w:val="00AA5086"/>
    <w:rsid w:val="00AA61D7"/>
    <w:rsid w:val="00AA7A1C"/>
    <w:rsid w:val="00AB0E5F"/>
    <w:rsid w:val="00AB2499"/>
    <w:rsid w:val="00AB25E0"/>
    <w:rsid w:val="00AB2680"/>
    <w:rsid w:val="00AB620D"/>
    <w:rsid w:val="00AB6DA9"/>
    <w:rsid w:val="00AB766A"/>
    <w:rsid w:val="00AB785A"/>
    <w:rsid w:val="00AC04A9"/>
    <w:rsid w:val="00AC12F8"/>
    <w:rsid w:val="00AC15E3"/>
    <w:rsid w:val="00AC205D"/>
    <w:rsid w:val="00AC3BE3"/>
    <w:rsid w:val="00AC44AE"/>
    <w:rsid w:val="00AC4A52"/>
    <w:rsid w:val="00AC6E1E"/>
    <w:rsid w:val="00AC74D8"/>
    <w:rsid w:val="00AD0BF8"/>
    <w:rsid w:val="00AD0CC4"/>
    <w:rsid w:val="00AD0F78"/>
    <w:rsid w:val="00AD187B"/>
    <w:rsid w:val="00AD1E80"/>
    <w:rsid w:val="00AD2D9E"/>
    <w:rsid w:val="00AD328E"/>
    <w:rsid w:val="00AD3C30"/>
    <w:rsid w:val="00AD5BBB"/>
    <w:rsid w:val="00AD6E28"/>
    <w:rsid w:val="00AD7B43"/>
    <w:rsid w:val="00AE0045"/>
    <w:rsid w:val="00AE025C"/>
    <w:rsid w:val="00AE0DA7"/>
    <w:rsid w:val="00AE0EF3"/>
    <w:rsid w:val="00AE1036"/>
    <w:rsid w:val="00AE162A"/>
    <w:rsid w:val="00AE20B6"/>
    <w:rsid w:val="00AE4E0C"/>
    <w:rsid w:val="00AE50E4"/>
    <w:rsid w:val="00AE5728"/>
    <w:rsid w:val="00AE5E84"/>
    <w:rsid w:val="00AE6136"/>
    <w:rsid w:val="00AE6E77"/>
    <w:rsid w:val="00AE72B7"/>
    <w:rsid w:val="00AE7563"/>
    <w:rsid w:val="00AE7D00"/>
    <w:rsid w:val="00AF0471"/>
    <w:rsid w:val="00AF13DB"/>
    <w:rsid w:val="00AF2DF6"/>
    <w:rsid w:val="00AF2F4B"/>
    <w:rsid w:val="00AF4E18"/>
    <w:rsid w:val="00AF5FFC"/>
    <w:rsid w:val="00AF6714"/>
    <w:rsid w:val="00AF7F5B"/>
    <w:rsid w:val="00B0107F"/>
    <w:rsid w:val="00B018D3"/>
    <w:rsid w:val="00B01A20"/>
    <w:rsid w:val="00B031BD"/>
    <w:rsid w:val="00B03487"/>
    <w:rsid w:val="00B050AB"/>
    <w:rsid w:val="00B05DE9"/>
    <w:rsid w:val="00B06F17"/>
    <w:rsid w:val="00B06F97"/>
    <w:rsid w:val="00B10347"/>
    <w:rsid w:val="00B115A2"/>
    <w:rsid w:val="00B12CCC"/>
    <w:rsid w:val="00B1352C"/>
    <w:rsid w:val="00B13F28"/>
    <w:rsid w:val="00B14CBF"/>
    <w:rsid w:val="00B1528E"/>
    <w:rsid w:val="00B1590A"/>
    <w:rsid w:val="00B15E45"/>
    <w:rsid w:val="00B17DC1"/>
    <w:rsid w:val="00B2035E"/>
    <w:rsid w:val="00B20628"/>
    <w:rsid w:val="00B20722"/>
    <w:rsid w:val="00B20752"/>
    <w:rsid w:val="00B224F3"/>
    <w:rsid w:val="00B22759"/>
    <w:rsid w:val="00B22FB6"/>
    <w:rsid w:val="00B236CB"/>
    <w:rsid w:val="00B23B2F"/>
    <w:rsid w:val="00B23D0F"/>
    <w:rsid w:val="00B24C18"/>
    <w:rsid w:val="00B2653C"/>
    <w:rsid w:val="00B30467"/>
    <w:rsid w:val="00B306D6"/>
    <w:rsid w:val="00B32132"/>
    <w:rsid w:val="00B33812"/>
    <w:rsid w:val="00B3406A"/>
    <w:rsid w:val="00B3464C"/>
    <w:rsid w:val="00B359C5"/>
    <w:rsid w:val="00B36D30"/>
    <w:rsid w:val="00B36FBB"/>
    <w:rsid w:val="00B409CF"/>
    <w:rsid w:val="00B40EFC"/>
    <w:rsid w:val="00B41268"/>
    <w:rsid w:val="00B42F00"/>
    <w:rsid w:val="00B432D8"/>
    <w:rsid w:val="00B454DD"/>
    <w:rsid w:val="00B46D8F"/>
    <w:rsid w:val="00B474EA"/>
    <w:rsid w:val="00B47A53"/>
    <w:rsid w:val="00B51625"/>
    <w:rsid w:val="00B517A6"/>
    <w:rsid w:val="00B5249D"/>
    <w:rsid w:val="00B52BE6"/>
    <w:rsid w:val="00B530FD"/>
    <w:rsid w:val="00B55BBD"/>
    <w:rsid w:val="00B56A16"/>
    <w:rsid w:val="00B600BA"/>
    <w:rsid w:val="00B6014A"/>
    <w:rsid w:val="00B601F5"/>
    <w:rsid w:val="00B6064E"/>
    <w:rsid w:val="00B61A69"/>
    <w:rsid w:val="00B6378A"/>
    <w:rsid w:val="00B63B31"/>
    <w:rsid w:val="00B63CFC"/>
    <w:rsid w:val="00B65026"/>
    <w:rsid w:val="00B66891"/>
    <w:rsid w:val="00B6794F"/>
    <w:rsid w:val="00B67975"/>
    <w:rsid w:val="00B70458"/>
    <w:rsid w:val="00B7096A"/>
    <w:rsid w:val="00B71AE0"/>
    <w:rsid w:val="00B720F9"/>
    <w:rsid w:val="00B72A70"/>
    <w:rsid w:val="00B72C7B"/>
    <w:rsid w:val="00B7378C"/>
    <w:rsid w:val="00B7653F"/>
    <w:rsid w:val="00B7655C"/>
    <w:rsid w:val="00B7672C"/>
    <w:rsid w:val="00B80172"/>
    <w:rsid w:val="00B80DC4"/>
    <w:rsid w:val="00B82831"/>
    <w:rsid w:val="00B82B2A"/>
    <w:rsid w:val="00B8308F"/>
    <w:rsid w:val="00B8309D"/>
    <w:rsid w:val="00B85A1C"/>
    <w:rsid w:val="00B85CF9"/>
    <w:rsid w:val="00B86E2A"/>
    <w:rsid w:val="00B8748C"/>
    <w:rsid w:val="00B87CB9"/>
    <w:rsid w:val="00B90361"/>
    <w:rsid w:val="00B930C9"/>
    <w:rsid w:val="00B932C6"/>
    <w:rsid w:val="00B95164"/>
    <w:rsid w:val="00B95C5C"/>
    <w:rsid w:val="00B96E4E"/>
    <w:rsid w:val="00BA01FC"/>
    <w:rsid w:val="00BA17DB"/>
    <w:rsid w:val="00BA2A85"/>
    <w:rsid w:val="00BA2AAA"/>
    <w:rsid w:val="00BA2C57"/>
    <w:rsid w:val="00BA54EE"/>
    <w:rsid w:val="00BB005F"/>
    <w:rsid w:val="00BB08E4"/>
    <w:rsid w:val="00BB180E"/>
    <w:rsid w:val="00BB1BFF"/>
    <w:rsid w:val="00BB2461"/>
    <w:rsid w:val="00BB617F"/>
    <w:rsid w:val="00BB6723"/>
    <w:rsid w:val="00BB7B7F"/>
    <w:rsid w:val="00BC2CE9"/>
    <w:rsid w:val="00BC36B3"/>
    <w:rsid w:val="00BC6607"/>
    <w:rsid w:val="00BD035F"/>
    <w:rsid w:val="00BD0702"/>
    <w:rsid w:val="00BD24BF"/>
    <w:rsid w:val="00BD46CE"/>
    <w:rsid w:val="00BD67FA"/>
    <w:rsid w:val="00BD7DE4"/>
    <w:rsid w:val="00BE0AFE"/>
    <w:rsid w:val="00BE110B"/>
    <w:rsid w:val="00BE1A98"/>
    <w:rsid w:val="00BE1E5B"/>
    <w:rsid w:val="00BE346F"/>
    <w:rsid w:val="00BE35EA"/>
    <w:rsid w:val="00BE4B63"/>
    <w:rsid w:val="00BE56D3"/>
    <w:rsid w:val="00BE6BBA"/>
    <w:rsid w:val="00BE6E19"/>
    <w:rsid w:val="00BF061C"/>
    <w:rsid w:val="00BF12CA"/>
    <w:rsid w:val="00BF26C1"/>
    <w:rsid w:val="00BF2E3D"/>
    <w:rsid w:val="00BF423F"/>
    <w:rsid w:val="00BF521D"/>
    <w:rsid w:val="00BF5A8B"/>
    <w:rsid w:val="00C0136B"/>
    <w:rsid w:val="00C01E6F"/>
    <w:rsid w:val="00C02806"/>
    <w:rsid w:val="00C0289B"/>
    <w:rsid w:val="00C02A2A"/>
    <w:rsid w:val="00C05AFE"/>
    <w:rsid w:val="00C06BDE"/>
    <w:rsid w:val="00C075E2"/>
    <w:rsid w:val="00C1009F"/>
    <w:rsid w:val="00C101BF"/>
    <w:rsid w:val="00C11F3B"/>
    <w:rsid w:val="00C1451B"/>
    <w:rsid w:val="00C149B6"/>
    <w:rsid w:val="00C154C0"/>
    <w:rsid w:val="00C176D8"/>
    <w:rsid w:val="00C20810"/>
    <w:rsid w:val="00C212D4"/>
    <w:rsid w:val="00C2193C"/>
    <w:rsid w:val="00C21E8F"/>
    <w:rsid w:val="00C21EEB"/>
    <w:rsid w:val="00C22237"/>
    <w:rsid w:val="00C227A4"/>
    <w:rsid w:val="00C22CDB"/>
    <w:rsid w:val="00C2346E"/>
    <w:rsid w:val="00C243D2"/>
    <w:rsid w:val="00C24C6B"/>
    <w:rsid w:val="00C252D0"/>
    <w:rsid w:val="00C25AD7"/>
    <w:rsid w:val="00C25EA7"/>
    <w:rsid w:val="00C25F5D"/>
    <w:rsid w:val="00C30CB1"/>
    <w:rsid w:val="00C316EB"/>
    <w:rsid w:val="00C323FE"/>
    <w:rsid w:val="00C32759"/>
    <w:rsid w:val="00C344E7"/>
    <w:rsid w:val="00C34BB5"/>
    <w:rsid w:val="00C34CDD"/>
    <w:rsid w:val="00C35089"/>
    <w:rsid w:val="00C355D1"/>
    <w:rsid w:val="00C35A09"/>
    <w:rsid w:val="00C36C49"/>
    <w:rsid w:val="00C376CC"/>
    <w:rsid w:val="00C37868"/>
    <w:rsid w:val="00C43F41"/>
    <w:rsid w:val="00C4672E"/>
    <w:rsid w:val="00C47961"/>
    <w:rsid w:val="00C47977"/>
    <w:rsid w:val="00C513A0"/>
    <w:rsid w:val="00C51B56"/>
    <w:rsid w:val="00C51DC9"/>
    <w:rsid w:val="00C5246F"/>
    <w:rsid w:val="00C52843"/>
    <w:rsid w:val="00C52A1B"/>
    <w:rsid w:val="00C52D5D"/>
    <w:rsid w:val="00C5339C"/>
    <w:rsid w:val="00C564FA"/>
    <w:rsid w:val="00C567C0"/>
    <w:rsid w:val="00C56D46"/>
    <w:rsid w:val="00C56FC2"/>
    <w:rsid w:val="00C576F3"/>
    <w:rsid w:val="00C60303"/>
    <w:rsid w:val="00C605C9"/>
    <w:rsid w:val="00C61BD5"/>
    <w:rsid w:val="00C625C0"/>
    <w:rsid w:val="00C63CAA"/>
    <w:rsid w:val="00C65561"/>
    <w:rsid w:val="00C70468"/>
    <w:rsid w:val="00C71EB3"/>
    <w:rsid w:val="00C73E61"/>
    <w:rsid w:val="00C7642B"/>
    <w:rsid w:val="00C812F7"/>
    <w:rsid w:val="00C8182C"/>
    <w:rsid w:val="00C82ABC"/>
    <w:rsid w:val="00C82CD7"/>
    <w:rsid w:val="00C8345F"/>
    <w:rsid w:val="00C83CD0"/>
    <w:rsid w:val="00C83EE8"/>
    <w:rsid w:val="00C843CB"/>
    <w:rsid w:val="00C84F8B"/>
    <w:rsid w:val="00C85263"/>
    <w:rsid w:val="00C8633D"/>
    <w:rsid w:val="00C86399"/>
    <w:rsid w:val="00C87130"/>
    <w:rsid w:val="00C87315"/>
    <w:rsid w:val="00C90EEA"/>
    <w:rsid w:val="00C917E8"/>
    <w:rsid w:val="00C920E3"/>
    <w:rsid w:val="00C9231A"/>
    <w:rsid w:val="00C9273D"/>
    <w:rsid w:val="00C928C1"/>
    <w:rsid w:val="00C92BCA"/>
    <w:rsid w:val="00C95EC9"/>
    <w:rsid w:val="00C964F4"/>
    <w:rsid w:val="00C9718C"/>
    <w:rsid w:val="00CA0187"/>
    <w:rsid w:val="00CA07AE"/>
    <w:rsid w:val="00CA142D"/>
    <w:rsid w:val="00CA165A"/>
    <w:rsid w:val="00CA2E2A"/>
    <w:rsid w:val="00CA46D8"/>
    <w:rsid w:val="00CA4FB3"/>
    <w:rsid w:val="00CA5350"/>
    <w:rsid w:val="00CA6275"/>
    <w:rsid w:val="00CB13F3"/>
    <w:rsid w:val="00CB21D2"/>
    <w:rsid w:val="00CB29D0"/>
    <w:rsid w:val="00CB3E2B"/>
    <w:rsid w:val="00CB4607"/>
    <w:rsid w:val="00CB523C"/>
    <w:rsid w:val="00CB6352"/>
    <w:rsid w:val="00CB639E"/>
    <w:rsid w:val="00CB66A1"/>
    <w:rsid w:val="00CB6861"/>
    <w:rsid w:val="00CB6DDD"/>
    <w:rsid w:val="00CC0674"/>
    <w:rsid w:val="00CC1191"/>
    <w:rsid w:val="00CC1DEE"/>
    <w:rsid w:val="00CC2777"/>
    <w:rsid w:val="00CC2978"/>
    <w:rsid w:val="00CC2D13"/>
    <w:rsid w:val="00CC3F9E"/>
    <w:rsid w:val="00CC4194"/>
    <w:rsid w:val="00CC4D4B"/>
    <w:rsid w:val="00CC4E24"/>
    <w:rsid w:val="00CC4ED4"/>
    <w:rsid w:val="00CC569D"/>
    <w:rsid w:val="00CC56C8"/>
    <w:rsid w:val="00CC58FA"/>
    <w:rsid w:val="00CC6167"/>
    <w:rsid w:val="00CC6CE9"/>
    <w:rsid w:val="00CC7233"/>
    <w:rsid w:val="00CC7D2E"/>
    <w:rsid w:val="00CD0DAF"/>
    <w:rsid w:val="00CD1057"/>
    <w:rsid w:val="00CD1C39"/>
    <w:rsid w:val="00CD335B"/>
    <w:rsid w:val="00CD35CE"/>
    <w:rsid w:val="00CD42C3"/>
    <w:rsid w:val="00CD4763"/>
    <w:rsid w:val="00CD55D5"/>
    <w:rsid w:val="00CD5AE4"/>
    <w:rsid w:val="00CD5E32"/>
    <w:rsid w:val="00CD62F9"/>
    <w:rsid w:val="00CD6B55"/>
    <w:rsid w:val="00CD6DEA"/>
    <w:rsid w:val="00CD7278"/>
    <w:rsid w:val="00CE1578"/>
    <w:rsid w:val="00CE1AF8"/>
    <w:rsid w:val="00CE2A4F"/>
    <w:rsid w:val="00CE2C4B"/>
    <w:rsid w:val="00CE36D9"/>
    <w:rsid w:val="00CE4BFC"/>
    <w:rsid w:val="00CE4D20"/>
    <w:rsid w:val="00CE4EDA"/>
    <w:rsid w:val="00CE5DB4"/>
    <w:rsid w:val="00CF12B3"/>
    <w:rsid w:val="00CF1593"/>
    <w:rsid w:val="00CF259C"/>
    <w:rsid w:val="00CF3497"/>
    <w:rsid w:val="00CF37E8"/>
    <w:rsid w:val="00CF495D"/>
    <w:rsid w:val="00CF4A32"/>
    <w:rsid w:val="00CF4D5C"/>
    <w:rsid w:val="00CF5980"/>
    <w:rsid w:val="00CF6E51"/>
    <w:rsid w:val="00D000BB"/>
    <w:rsid w:val="00D00AAD"/>
    <w:rsid w:val="00D00DFF"/>
    <w:rsid w:val="00D01832"/>
    <w:rsid w:val="00D02026"/>
    <w:rsid w:val="00D02315"/>
    <w:rsid w:val="00D0274E"/>
    <w:rsid w:val="00D03F54"/>
    <w:rsid w:val="00D03F65"/>
    <w:rsid w:val="00D040BA"/>
    <w:rsid w:val="00D040F5"/>
    <w:rsid w:val="00D05066"/>
    <w:rsid w:val="00D051C5"/>
    <w:rsid w:val="00D05469"/>
    <w:rsid w:val="00D05817"/>
    <w:rsid w:val="00D06B99"/>
    <w:rsid w:val="00D0737C"/>
    <w:rsid w:val="00D07C7C"/>
    <w:rsid w:val="00D10412"/>
    <w:rsid w:val="00D10573"/>
    <w:rsid w:val="00D135DD"/>
    <w:rsid w:val="00D1397F"/>
    <w:rsid w:val="00D13DE4"/>
    <w:rsid w:val="00D146BD"/>
    <w:rsid w:val="00D14BC8"/>
    <w:rsid w:val="00D14FDD"/>
    <w:rsid w:val="00D15EB5"/>
    <w:rsid w:val="00D15EEB"/>
    <w:rsid w:val="00D17B0D"/>
    <w:rsid w:val="00D209B4"/>
    <w:rsid w:val="00D20C22"/>
    <w:rsid w:val="00D2344A"/>
    <w:rsid w:val="00D240CA"/>
    <w:rsid w:val="00D2461A"/>
    <w:rsid w:val="00D24C21"/>
    <w:rsid w:val="00D2501D"/>
    <w:rsid w:val="00D25738"/>
    <w:rsid w:val="00D2715C"/>
    <w:rsid w:val="00D27F3A"/>
    <w:rsid w:val="00D30600"/>
    <w:rsid w:val="00D31792"/>
    <w:rsid w:val="00D3254D"/>
    <w:rsid w:val="00D32550"/>
    <w:rsid w:val="00D32A7C"/>
    <w:rsid w:val="00D32B66"/>
    <w:rsid w:val="00D34163"/>
    <w:rsid w:val="00D353D1"/>
    <w:rsid w:val="00D35678"/>
    <w:rsid w:val="00D35C83"/>
    <w:rsid w:val="00D35D87"/>
    <w:rsid w:val="00D35E40"/>
    <w:rsid w:val="00D35E60"/>
    <w:rsid w:val="00D35EC1"/>
    <w:rsid w:val="00D361A3"/>
    <w:rsid w:val="00D36360"/>
    <w:rsid w:val="00D41B75"/>
    <w:rsid w:val="00D41BC9"/>
    <w:rsid w:val="00D42777"/>
    <w:rsid w:val="00D42ADA"/>
    <w:rsid w:val="00D4407C"/>
    <w:rsid w:val="00D46574"/>
    <w:rsid w:val="00D46A1F"/>
    <w:rsid w:val="00D502E8"/>
    <w:rsid w:val="00D50564"/>
    <w:rsid w:val="00D50651"/>
    <w:rsid w:val="00D507D6"/>
    <w:rsid w:val="00D509E7"/>
    <w:rsid w:val="00D50D4F"/>
    <w:rsid w:val="00D51D4B"/>
    <w:rsid w:val="00D53A80"/>
    <w:rsid w:val="00D5482D"/>
    <w:rsid w:val="00D54E31"/>
    <w:rsid w:val="00D54FF1"/>
    <w:rsid w:val="00D566F0"/>
    <w:rsid w:val="00D56831"/>
    <w:rsid w:val="00D573B6"/>
    <w:rsid w:val="00D6047F"/>
    <w:rsid w:val="00D60513"/>
    <w:rsid w:val="00D61117"/>
    <w:rsid w:val="00D613AF"/>
    <w:rsid w:val="00D61DF2"/>
    <w:rsid w:val="00D623C2"/>
    <w:rsid w:val="00D62887"/>
    <w:rsid w:val="00D6348C"/>
    <w:rsid w:val="00D63758"/>
    <w:rsid w:val="00D63A5E"/>
    <w:rsid w:val="00D640DC"/>
    <w:rsid w:val="00D64639"/>
    <w:rsid w:val="00D64E57"/>
    <w:rsid w:val="00D65931"/>
    <w:rsid w:val="00D661C8"/>
    <w:rsid w:val="00D67843"/>
    <w:rsid w:val="00D703D5"/>
    <w:rsid w:val="00D71D12"/>
    <w:rsid w:val="00D72F71"/>
    <w:rsid w:val="00D73E11"/>
    <w:rsid w:val="00D75083"/>
    <w:rsid w:val="00D76663"/>
    <w:rsid w:val="00D803BF"/>
    <w:rsid w:val="00D8109B"/>
    <w:rsid w:val="00D810E0"/>
    <w:rsid w:val="00D81199"/>
    <w:rsid w:val="00D812C2"/>
    <w:rsid w:val="00D81463"/>
    <w:rsid w:val="00D816C0"/>
    <w:rsid w:val="00D828FB"/>
    <w:rsid w:val="00D831B7"/>
    <w:rsid w:val="00D8361B"/>
    <w:rsid w:val="00D845DD"/>
    <w:rsid w:val="00D85214"/>
    <w:rsid w:val="00D854A2"/>
    <w:rsid w:val="00D85949"/>
    <w:rsid w:val="00D8694D"/>
    <w:rsid w:val="00D86D1A"/>
    <w:rsid w:val="00D87B93"/>
    <w:rsid w:val="00D90396"/>
    <w:rsid w:val="00D925F6"/>
    <w:rsid w:val="00D94DE8"/>
    <w:rsid w:val="00D96B97"/>
    <w:rsid w:val="00D96D26"/>
    <w:rsid w:val="00D973DB"/>
    <w:rsid w:val="00DA151A"/>
    <w:rsid w:val="00DA1B19"/>
    <w:rsid w:val="00DA5D18"/>
    <w:rsid w:val="00DA6897"/>
    <w:rsid w:val="00DA695A"/>
    <w:rsid w:val="00DA6DDC"/>
    <w:rsid w:val="00DA71E4"/>
    <w:rsid w:val="00DA764C"/>
    <w:rsid w:val="00DB013B"/>
    <w:rsid w:val="00DB2BB6"/>
    <w:rsid w:val="00DB386B"/>
    <w:rsid w:val="00DB3E79"/>
    <w:rsid w:val="00DB4B2B"/>
    <w:rsid w:val="00DB4CC0"/>
    <w:rsid w:val="00DB4F8B"/>
    <w:rsid w:val="00DB7261"/>
    <w:rsid w:val="00DC1289"/>
    <w:rsid w:val="00DC1A25"/>
    <w:rsid w:val="00DC292A"/>
    <w:rsid w:val="00DC3B4D"/>
    <w:rsid w:val="00DC42CD"/>
    <w:rsid w:val="00DC49E6"/>
    <w:rsid w:val="00DC75BD"/>
    <w:rsid w:val="00DD254B"/>
    <w:rsid w:val="00DD2C33"/>
    <w:rsid w:val="00DD32C3"/>
    <w:rsid w:val="00DD35EC"/>
    <w:rsid w:val="00DD63D4"/>
    <w:rsid w:val="00DD714F"/>
    <w:rsid w:val="00DD762D"/>
    <w:rsid w:val="00DD7F8C"/>
    <w:rsid w:val="00DE0BC8"/>
    <w:rsid w:val="00DE3777"/>
    <w:rsid w:val="00DE539F"/>
    <w:rsid w:val="00DE5A7D"/>
    <w:rsid w:val="00DE5D23"/>
    <w:rsid w:val="00DE5F32"/>
    <w:rsid w:val="00DE7A92"/>
    <w:rsid w:val="00DF01DE"/>
    <w:rsid w:val="00DF108A"/>
    <w:rsid w:val="00DF2831"/>
    <w:rsid w:val="00DF35DA"/>
    <w:rsid w:val="00DF41E8"/>
    <w:rsid w:val="00DF4F1C"/>
    <w:rsid w:val="00DF525A"/>
    <w:rsid w:val="00DF5356"/>
    <w:rsid w:val="00DF594B"/>
    <w:rsid w:val="00DF6812"/>
    <w:rsid w:val="00DF696A"/>
    <w:rsid w:val="00DF6E39"/>
    <w:rsid w:val="00DF71A6"/>
    <w:rsid w:val="00E00FAA"/>
    <w:rsid w:val="00E0101E"/>
    <w:rsid w:val="00E01DDB"/>
    <w:rsid w:val="00E042B5"/>
    <w:rsid w:val="00E05033"/>
    <w:rsid w:val="00E053C4"/>
    <w:rsid w:val="00E0592A"/>
    <w:rsid w:val="00E065C3"/>
    <w:rsid w:val="00E0729C"/>
    <w:rsid w:val="00E10828"/>
    <w:rsid w:val="00E10B04"/>
    <w:rsid w:val="00E10B3E"/>
    <w:rsid w:val="00E120B4"/>
    <w:rsid w:val="00E12B3B"/>
    <w:rsid w:val="00E13F56"/>
    <w:rsid w:val="00E14ABF"/>
    <w:rsid w:val="00E14DD7"/>
    <w:rsid w:val="00E153B7"/>
    <w:rsid w:val="00E1556A"/>
    <w:rsid w:val="00E16345"/>
    <w:rsid w:val="00E163DD"/>
    <w:rsid w:val="00E227B1"/>
    <w:rsid w:val="00E274D0"/>
    <w:rsid w:val="00E277BE"/>
    <w:rsid w:val="00E27EEE"/>
    <w:rsid w:val="00E30DDB"/>
    <w:rsid w:val="00E315CC"/>
    <w:rsid w:val="00E32265"/>
    <w:rsid w:val="00E32D68"/>
    <w:rsid w:val="00E3406E"/>
    <w:rsid w:val="00E3430C"/>
    <w:rsid w:val="00E34345"/>
    <w:rsid w:val="00E3503A"/>
    <w:rsid w:val="00E356E8"/>
    <w:rsid w:val="00E35976"/>
    <w:rsid w:val="00E35CF1"/>
    <w:rsid w:val="00E35D7A"/>
    <w:rsid w:val="00E41269"/>
    <w:rsid w:val="00E4187D"/>
    <w:rsid w:val="00E42770"/>
    <w:rsid w:val="00E43870"/>
    <w:rsid w:val="00E442AB"/>
    <w:rsid w:val="00E45412"/>
    <w:rsid w:val="00E46BAB"/>
    <w:rsid w:val="00E46C7A"/>
    <w:rsid w:val="00E47B35"/>
    <w:rsid w:val="00E50B53"/>
    <w:rsid w:val="00E50E32"/>
    <w:rsid w:val="00E5176A"/>
    <w:rsid w:val="00E51A3B"/>
    <w:rsid w:val="00E5254C"/>
    <w:rsid w:val="00E525A8"/>
    <w:rsid w:val="00E537C1"/>
    <w:rsid w:val="00E53807"/>
    <w:rsid w:val="00E55678"/>
    <w:rsid w:val="00E567F9"/>
    <w:rsid w:val="00E56D81"/>
    <w:rsid w:val="00E572BC"/>
    <w:rsid w:val="00E60221"/>
    <w:rsid w:val="00E605F1"/>
    <w:rsid w:val="00E6193B"/>
    <w:rsid w:val="00E61A31"/>
    <w:rsid w:val="00E61C3D"/>
    <w:rsid w:val="00E625FF"/>
    <w:rsid w:val="00E6495C"/>
    <w:rsid w:val="00E64DE5"/>
    <w:rsid w:val="00E65DB5"/>
    <w:rsid w:val="00E702F8"/>
    <w:rsid w:val="00E7072A"/>
    <w:rsid w:val="00E70B9F"/>
    <w:rsid w:val="00E72068"/>
    <w:rsid w:val="00E726A0"/>
    <w:rsid w:val="00E735EC"/>
    <w:rsid w:val="00E73A4C"/>
    <w:rsid w:val="00E73B57"/>
    <w:rsid w:val="00E73D0F"/>
    <w:rsid w:val="00E74843"/>
    <w:rsid w:val="00E750BB"/>
    <w:rsid w:val="00E76C2C"/>
    <w:rsid w:val="00E80BD5"/>
    <w:rsid w:val="00E8168D"/>
    <w:rsid w:val="00E816BC"/>
    <w:rsid w:val="00E81CEC"/>
    <w:rsid w:val="00E82C49"/>
    <w:rsid w:val="00E858D2"/>
    <w:rsid w:val="00E85C53"/>
    <w:rsid w:val="00E85F3C"/>
    <w:rsid w:val="00E86A20"/>
    <w:rsid w:val="00E92AD5"/>
    <w:rsid w:val="00E945DA"/>
    <w:rsid w:val="00E95CE8"/>
    <w:rsid w:val="00E96EE0"/>
    <w:rsid w:val="00E97BEE"/>
    <w:rsid w:val="00EA1649"/>
    <w:rsid w:val="00EA1828"/>
    <w:rsid w:val="00EA23E9"/>
    <w:rsid w:val="00EA2775"/>
    <w:rsid w:val="00EA37D5"/>
    <w:rsid w:val="00EA6F53"/>
    <w:rsid w:val="00EA73E0"/>
    <w:rsid w:val="00EB0B0F"/>
    <w:rsid w:val="00EB1037"/>
    <w:rsid w:val="00EB15F0"/>
    <w:rsid w:val="00EB2E6F"/>
    <w:rsid w:val="00EB3551"/>
    <w:rsid w:val="00EB6F55"/>
    <w:rsid w:val="00EB71D4"/>
    <w:rsid w:val="00EB7429"/>
    <w:rsid w:val="00EB7F81"/>
    <w:rsid w:val="00EC0F1A"/>
    <w:rsid w:val="00EC1701"/>
    <w:rsid w:val="00EC3A7A"/>
    <w:rsid w:val="00EC4DC0"/>
    <w:rsid w:val="00EC64E0"/>
    <w:rsid w:val="00EC6AB5"/>
    <w:rsid w:val="00EC7029"/>
    <w:rsid w:val="00ED0974"/>
    <w:rsid w:val="00ED0BEE"/>
    <w:rsid w:val="00ED21A3"/>
    <w:rsid w:val="00ED2274"/>
    <w:rsid w:val="00ED2320"/>
    <w:rsid w:val="00ED25C7"/>
    <w:rsid w:val="00ED3729"/>
    <w:rsid w:val="00ED5300"/>
    <w:rsid w:val="00ED5A71"/>
    <w:rsid w:val="00ED625D"/>
    <w:rsid w:val="00ED6978"/>
    <w:rsid w:val="00ED7569"/>
    <w:rsid w:val="00ED7DD3"/>
    <w:rsid w:val="00EE04DC"/>
    <w:rsid w:val="00EE053C"/>
    <w:rsid w:val="00EE0BFA"/>
    <w:rsid w:val="00EE2504"/>
    <w:rsid w:val="00EE3910"/>
    <w:rsid w:val="00EE3F8A"/>
    <w:rsid w:val="00EE43FE"/>
    <w:rsid w:val="00EE4CBC"/>
    <w:rsid w:val="00EE5041"/>
    <w:rsid w:val="00EE5784"/>
    <w:rsid w:val="00EE5830"/>
    <w:rsid w:val="00EE59D4"/>
    <w:rsid w:val="00EE7D92"/>
    <w:rsid w:val="00EF0202"/>
    <w:rsid w:val="00EF0F8D"/>
    <w:rsid w:val="00EF3871"/>
    <w:rsid w:val="00EF3F72"/>
    <w:rsid w:val="00EF4B5D"/>
    <w:rsid w:val="00EF639B"/>
    <w:rsid w:val="00EF6AF8"/>
    <w:rsid w:val="00EF7177"/>
    <w:rsid w:val="00F0435A"/>
    <w:rsid w:val="00F0497E"/>
    <w:rsid w:val="00F0541B"/>
    <w:rsid w:val="00F10BC1"/>
    <w:rsid w:val="00F1157C"/>
    <w:rsid w:val="00F11B5C"/>
    <w:rsid w:val="00F12C84"/>
    <w:rsid w:val="00F14AD4"/>
    <w:rsid w:val="00F161EF"/>
    <w:rsid w:val="00F163D2"/>
    <w:rsid w:val="00F16959"/>
    <w:rsid w:val="00F16C67"/>
    <w:rsid w:val="00F201C9"/>
    <w:rsid w:val="00F210FB"/>
    <w:rsid w:val="00F2180B"/>
    <w:rsid w:val="00F2219C"/>
    <w:rsid w:val="00F26BA2"/>
    <w:rsid w:val="00F26CE5"/>
    <w:rsid w:val="00F27A10"/>
    <w:rsid w:val="00F30045"/>
    <w:rsid w:val="00F30A1A"/>
    <w:rsid w:val="00F30C0A"/>
    <w:rsid w:val="00F31D41"/>
    <w:rsid w:val="00F325B1"/>
    <w:rsid w:val="00F33341"/>
    <w:rsid w:val="00F339C0"/>
    <w:rsid w:val="00F33D31"/>
    <w:rsid w:val="00F359C7"/>
    <w:rsid w:val="00F36564"/>
    <w:rsid w:val="00F3687A"/>
    <w:rsid w:val="00F3751B"/>
    <w:rsid w:val="00F40C4A"/>
    <w:rsid w:val="00F40F41"/>
    <w:rsid w:val="00F42008"/>
    <w:rsid w:val="00F42484"/>
    <w:rsid w:val="00F42E93"/>
    <w:rsid w:val="00F45FF1"/>
    <w:rsid w:val="00F46D50"/>
    <w:rsid w:val="00F47137"/>
    <w:rsid w:val="00F51162"/>
    <w:rsid w:val="00F51B6F"/>
    <w:rsid w:val="00F537A3"/>
    <w:rsid w:val="00F53CC2"/>
    <w:rsid w:val="00F551E5"/>
    <w:rsid w:val="00F559DB"/>
    <w:rsid w:val="00F57406"/>
    <w:rsid w:val="00F60239"/>
    <w:rsid w:val="00F608CD"/>
    <w:rsid w:val="00F6164D"/>
    <w:rsid w:val="00F61B46"/>
    <w:rsid w:val="00F62952"/>
    <w:rsid w:val="00F648BC"/>
    <w:rsid w:val="00F64FD1"/>
    <w:rsid w:val="00F65834"/>
    <w:rsid w:val="00F666D1"/>
    <w:rsid w:val="00F66746"/>
    <w:rsid w:val="00F66D12"/>
    <w:rsid w:val="00F67DB0"/>
    <w:rsid w:val="00F70139"/>
    <w:rsid w:val="00F70509"/>
    <w:rsid w:val="00F707AF"/>
    <w:rsid w:val="00F71070"/>
    <w:rsid w:val="00F7130D"/>
    <w:rsid w:val="00F72F9A"/>
    <w:rsid w:val="00F73F7C"/>
    <w:rsid w:val="00F74769"/>
    <w:rsid w:val="00F75B24"/>
    <w:rsid w:val="00F76347"/>
    <w:rsid w:val="00F7643C"/>
    <w:rsid w:val="00F775DD"/>
    <w:rsid w:val="00F77C2B"/>
    <w:rsid w:val="00F8009B"/>
    <w:rsid w:val="00F80E94"/>
    <w:rsid w:val="00F82A75"/>
    <w:rsid w:val="00F8384D"/>
    <w:rsid w:val="00F848A7"/>
    <w:rsid w:val="00F85463"/>
    <w:rsid w:val="00F86F94"/>
    <w:rsid w:val="00F87261"/>
    <w:rsid w:val="00F87329"/>
    <w:rsid w:val="00F87510"/>
    <w:rsid w:val="00F875E9"/>
    <w:rsid w:val="00F91E26"/>
    <w:rsid w:val="00F92516"/>
    <w:rsid w:val="00F939EA"/>
    <w:rsid w:val="00F950C3"/>
    <w:rsid w:val="00F950CA"/>
    <w:rsid w:val="00F959B2"/>
    <w:rsid w:val="00F960CC"/>
    <w:rsid w:val="00F97637"/>
    <w:rsid w:val="00F97750"/>
    <w:rsid w:val="00FA3D39"/>
    <w:rsid w:val="00FA3ECC"/>
    <w:rsid w:val="00FA4535"/>
    <w:rsid w:val="00FA4C3B"/>
    <w:rsid w:val="00FA542F"/>
    <w:rsid w:val="00FA56B2"/>
    <w:rsid w:val="00FA56FA"/>
    <w:rsid w:val="00FA6E2C"/>
    <w:rsid w:val="00FA6F70"/>
    <w:rsid w:val="00FB02F0"/>
    <w:rsid w:val="00FB0BCB"/>
    <w:rsid w:val="00FB1EFA"/>
    <w:rsid w:val="00FB42B9"/>
    <w:rsid w:val="00FB4AEB"/>
    <w:rsid w:val="00FB4B72"/>
    <w:rsid w:val="00FB58FB"/>
    <w:rsid w:val="00FB780D"/>
    <w:rsid w:val="00FB7C5F"/>
    <w:rsid w:val="00FB7D62"/>
    <w:rsid w:val="00FC0C0F"/>
    <w:rsid w:val="00FC0D3A"/>
    <w:rsid w:val="00FC37EA"/>
    <w:rsid w:val="00FC614B"/>
    <w:rsid w:val="00FC6158"/>
    <w:rsid w:val="00FC6EEC"/>
    <w:rsid w:val="00FC7DC2"/>
    <w:rsid w:val="00FD0D17"/>
    <w:rsid w:val="00FD24E7"/>
    <w:rsid w:val="00FD3078"/>
    <w:rsid w:val="00FD5D5C"/>
    <w:rsid w:val="00FD6033"/>
    <w:rsid w:val="00FE028B"/>
    <w:rsid w:val="00FE03DC"/>
    <w:rsid w:val="00FE056C"/>
    <w:rsid w:val="00FE1642"/>
    <w:rsid w:val="00FE3BDE"/>
    <w:rsid w:val="00FE4BCE"/>
    <w:rsid w:val="00FE53C4"/>
    <w:rsid w:val="00FE5CB7"/>
    <w:rsid w:val="00FE6781"/>
    <w:rsid w:val="00FF1604"/>
    <w:rsid w:val="00FF170B"/>
    <w:rsid w:val="00FF1B56"/>
    <w:rsid w:val="00FF1BA1"/>
    <w:rsid w:val="00FF1F5E"/>
    <w:rsid w:val="00FF32A4"/>
    <w:rsid w:val="00FF33B9"/>
    <w:rsid w:val="00FF37F0"/>
    <w:rsid w:val="00FF3A5C"/>
    <w:rsid w:val="00FF519C"/>
    <w:rsid w:val="00FF593A"/>
    <w:rsid w:val="00FF60A2"/>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0D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D_Normal"/>
    <w:qFormat/>
    <w:rsid w:val="00E625FF"/>
    <w:pPr>
      <w:spacing w:line="240" w:lineRule="auto"/>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qFormat/>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447443"/>
    <w:pPr>
      <w:keepNext/>
      <w:keepLines/>
      <w:spacing w:before="200" w:after="0"/>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qFormat/>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qFormat/>
    <w:rsid w:val="004C215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qFormat/>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qFormat/>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qFormat/>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qFormat/>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A List Paragraph"/>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BE35EA"/>
    <w:pPr>
      <w:tabs>
        <w:tab w:val="right" w:leader="dot" w:pos="9016"/>
      </w:tabs>
      <w:spacing w:after="100"/>
    </w:pPr>
  </w:style>
  <w:style w:type="paragraph" w:styleId="TOC2">
    <w:name w:val="toc 2"/>
    <w:basedOn w:val="Normal"/>
    <w:next w:val="Normal"/>
    <w:autoRedefine/>
    <w:uiPriority w:val="39"/>
    <w:unhideWhenUsed/>
    <w:rsid w:val="00B8748C"/>
    <w:pPr>
      <w:tabs>
        <w:tab w:val="right" w:leader="dot" w:pos="9016"/>
      </w:tabs>
      <w:spacing w:after="100"/>
      <w:ind w:left="240"/>
    </w:pPr>
  </w:style>
  <w:style w:type="paragraph" w:styleId="TOC3">
    <w:name w:val="toc 3"/>
    <w:basedOn w:val="Normal"/>
    <w:next w:val="Normal"/>
    <w:autoRedefine/>
    <w:uiPriority w:val="39"/>
    <w:unhideWhenUsed/>
    <w:rsid w:val="00B8748C"/>
    <w:pPr>
      <w:tabs>
        <w:tab w:val="right" w:leader="dot" w:pos="9016"/>
      </w:tabs>
      <w:spacing w:after="100"/>
      <w:ind w:left="480"/>
    </w:pPr>
  </w:style>
  <w:style w:type="paragraph" w:styleId="NoSpacing">
    <w:name w:val="No Spacing"/>
    <w:aliases w:val="Figure footer"/>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qFormat/>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CMA Table Template,ASD Table"/>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qFormat/>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qFormat/>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3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aliases w:val="Table Caption"/>
    <w:basedOn w:val="Normal"/>
    <w:next w:val="Normal"/>
    <w:link w:val="CaptionChar"/>
    <w:uiPriority w:val="35"/>
    <w:unhideWhenUsed/>
    <w:qFormat/>
    <w:rsid w:val="004C215E"/>
    <w:rPr>
      <w:rFonts w:eastAsia="Times New Roman" w:cs="Times New Roman"/>
      <w:b/>
      <w:bCs/>
      <w:szCs w:val="18"/>
    </w:rPr>
  </w:style>
  <w:style w:type="paragraph" w:customStyle="1" w:styleId="ListBullet1">
    <w:name w:val="List Bullet1"/>
    <w:basedOn w:val="Normal"/>
    <w:uiPriority w:val="5"/>
    <w:qFormat/>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qFormat/>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qFormat/>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qFormat/>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eastAsiaTheme="minorEastAsia"/>
      <w:sz w:val="22"/>
    </w:rPr>
  </w:style>
  <w:style w:type="paragraph" w:styleId="TOC6">
    <w:name w:val="toc 6"/>
    <w:basedOn w:val="Normal"/>
    <w:next w:val="Normal"/>
    <w:autoRedefine/>
    <w:uiPriority w:val="39"/>
    <w:unhideWhenUsed/>
    <w:rsid w:val="00D35EC1"/>
    <w:pPr>
      <w:spacing w:after="100"/>
      <w:ind w:left="1100"/>
    </w:pPr>
    <w:rPr>
      <w:rFonts w:eastAsiaTheme="minorEastAsia"/>
      <w:sz w:val="22"/>
    </w:rPr>
  </w:style>
  <w:style w:type="paragraph" w:styleId="TOC7">
    <w:name w:val="toc 7"/>
    <w:basedOn w:val="Normal"/>
    <w:next w:val="Normal"/>
    <w:autoRedefine/>
    <w:uiPriority w:val="39"/>
    <w:unhideWhenUsed/>
    <w:rsid w:val="00D35EC1"/>
    <w:pPr>
      <w:spacing w:after="100"/>
      <w:ind w:left="1320"/>
    </w:pPr>
    <w:rPr>
      <w:rFonts w:eastAsiaTheme="minorEastAsia"/>
      <w:sz w:val="22"/>
    </w:rPr>
  </w:style>
  <w:style w:type="paragraph" w:styleId="TOC8">
    <w:name w:val="toc 8"/>
    <w:basedOn w:val="Normal"/>
    <w:next w:val="Normal"/>
    <w:autoRedefine/>
    <w:uiPriority w:val="39"/>
    <w:unhideWhenUsed/>
    <w:rsid w:val="00D35EC1"/>
    <w:pPr>
      <w:spacing w:after="100"/>
      <w:ind w:left="1540"/>
    </w:pPr>
    <w:rPr>
      <w:rFonts w:eastAsiaTheme="minorEastAsia"/>
      <w:sz w:val="22"/>
    </w:rPr>
  </w:style>
  <w:style w:type="paragraph" w:styleId="TOC9">
    <w:name w:val="toc 9"/>
    <w:basedOn w:val="Normal"/>
    <w:next w:val="Normal"/>
    <w:autoRedefine/>
    <w:uiPriority w:val="39"/>
    <w:unhideWhenUsed/>
    <w:rsid w:val="00D35EC1"/>
    <w:pPr>
      <w:spacing w:after="100"/>
      <w:ind w:left="1760"/>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4C215E"/>
    <w:rPr>
      <w:i/>
      <w:iCs/>
    </w:rPr>
  </w:style>
  <w:style w:type="paragraph" w:customStyle="1" w:styleId="Heading51">
    <w:name w:val="Heading 51"/>
    <w:basedOn w:val="Normal"/>
    <w:link w:val="heading5Char0"/>
    <w:qFormat/>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A List Paragraph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8B5A16"/>
  </w:style>
  <w:style w:type="character" w:customStyle="1" w:styleId="BodyTextChar">
    <w:name w:val="Body Text Char"/>
    <w:basedOn w:val="DefaultParagraphFont"/>
    <w:link w:val="BodyText"/>
    <w:uiPriority w:val="99"/>
    <w:rsid w:val="008B5A16"/>
    <w:rPr>
      <w:rFonts w:asciiTheme="minorHAnsi" w:hAnsiTheme="minorHAnsi"/>
      <w:lang w:val="en-GB"/>
    </w:rPr>
  </w:style>
  <w:style w:type="paragraph" w:customStyle="1" w:styleId="BulletLast">
    <w:name w:val="Bullet Last"/>
    <w:basedOn w:val="BodyText"/>
    <w:link w:val="BulletLastChar"/>
    <w:rsid w:val="00470C5B"/>
    <w:pPr>
      <w:numPr>
        <w:numId w:val="8"/>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6"/>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7"/>
      </w:numPr>
    </w:pPr>
  </w:style>
  <w:style w:type="paragraph" w:customStyle="1" w:styleId="MDFiguretitle">
    <w:name w:val="MD_Figure title"/>
    <w:basedOn w:val="Normal"/>
    <w:next w:val="Normal"/>
    <w:link w:val="MDFiguretitleChar"/>
    <w:qFormat/>
    <w:rsid w:val="00376C8B"/>
    <w:pPr>
      <w:spacing w:before="60" w:after="60"/>
      <w:contextualSpacing/>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qFormat/>
    <w:rsid w:val="00071F2B"/>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qFormat/>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aliases w:val="Table 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6Tabletextspacebefore">
    <w:name w:val="06 Table text space before"/>
    <w:qFormat/>
    <w:rsid w:val="00FE1642"/>
    <w:pPr>
      <w:spacing w:before="80" w:after="0" w:line="240" w:lineRule="auto"/>
      <w:ind w:left="57" w:right="57"/>
    </w:pPr>
    <w:rPr>
      <w:rFonts w:ascii="Arial Narrow" w:eastAsia="Calibri" w:hAnsi="Arial Narrow" w:cs="Times New Roman"/>
      <w:sz w:val="18"/>
      <w:szCs w:val="24"/>
      <w:lang w:eastAsia="en-US"/>
    </w:rPr>
  </w:style>
  <w:style w:type="paragraph" w:customStyle="1" w:styleId="05Tabletext">
    <w:name w:val="05 Table text"/>
    <w:next w:val="06Tabletextspacebefore"/>
    <w:qFormat/>
    <w:rsid w:val="00FE1642"/>
    <w:pPr>
      <w:spacing w:before="20" w:after="0" w:line="240" w:lineRule="auto"/>
      <w:ind w:left="57" w:right="57"/>
    </w:pPr>
    <w:rPr>
      <w:rFonts w:ascii="Arial Narrow" w:eastAsia="Calibri" w:hAnsi="Arial Narrow" w:cs="Times New Roman"/>
      <w:sz w:val="18"/>
      <w:szCs w:val="24"/>
      <w:lang w:eastAsia="en-US"/>
    </w:rPr>
  </w:style>
  <w:style w:type="paragraph" w:customStyle="1" w:styleId="01TableHEADINGleftaligned">
    <w:name w:val="01 Table HEADING left aligned"/>
    <w:basedOn w:val="BodyText"/>
    <w:qFormat/>
    <w:rsid w:val="00FE1642"/>
    <w:pPr>
      <w:keepNext/>
      <w:spacing w:before="60" w:after="0"/>
      <w:ind w:left="57" w:right="57"/>
    </w:pPr>
    <w:rPr>
      <w:rFonts w:ascii="Arial Narrow" w:eastAsia="Calibri" w:hAnsi="Arial Narrow" w:cs="Times New Roman"/>
      <w:b/>
      <w:sz w:val="18"/>
      <w:szCs w:val="24"/>
      <w:lang w:eastAsia="en-US"/>
    </w:rPr>
  </w:style>
  <w:style w:type="table" w:customStyle="1" w:styleId="TableGridLight1">
    <w:name w:val="Table Grid Light1"/>
    <w:basedOn w:val="TableNormal"/>
    <w:uiPriority w:val="40"/>
    <w:rsid w:val="002A7E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0A43C2"/>
    <w:pPr>
      <w:spacing w:after="160" w:line="259" w:lineRule="auto"/>
    </w:pPr>
    <w:rPr>
      <w:rFonts w:ascii="Times New Roman" w:hAnsi="Times New Roman" w:cstheme="minorBidi"/>
      <w:sz w:val="22"/>
      <w:lang w:eastAsia="en-US"/>
    </w:rPr>
  </w:style>
  <w:style w:type="character" w:customStyle="1" w:styleId="Style1Char">
    <w:name w:val="Style1 Char"/>
    <w:basedOn w:val="DefaultParagraphFont"/>
    <w:link w:val="Style1"/>
    <w:rsid w:val="000A43C2"/>
    <w:rPr>
      <w:sz w:val="22"/>
      <w:lang w:eastAsia="en-US"/>
    </w:rPr>
  </w:style>
  <w:style w:type="paragraph" w:styleId="TableofFigures">
    <w:name w:val="table of figures"/>
    <w:basedOn w:val="Normal"/>
    <w:next w:val="Normal"/>
    <w:uiPriority w:val="99"/>
    <w:unhideWhenUsed/>
    <w:rsid w:val="00A75F73"/>
    <w:pPr>
      <w:spacing w:after="0"/>
    </w:pPr>
  </w:style>
  <w:style w:type="paragraph" w:customStyle="1" w:styleId="Heading4b">
    <w:name w:val="Heading 4b"/>
    <w:basedOn w:val="Heading4"/>
    <w:link w:val="Heading4bChar"/>
    <w:qFormat/>
    <w:rsid w:val="008F506E"/>
    <w:pPr>
      <w:spacing w:before="40"/>
    </w:pPr>
    <w:rPr>
      <w:rFonts w:asciiTheme="minorHAnsi" w:hAnsiTheme="minorHAnsi"/>
      <w:bCs w:val="0"/>
      <w:i w:val="0"/>
      <w:lang w:eastAsia="en-US"/>
    </w:rPr>
  </w:style>
  <w:style w:type="character" w:customStyle="1" w:styleId="Heading4bChar">
    <w:name w:val="Heading 4b Char"/>
    <w:basedOn w:val="Heading4Char"/>
    <w:link w:val="Heading4b"/>
    <w:rsid w:val="008F506E"/>
    <w:rPr>
      <w:rFonts w:asciiTheme="minorHAnsi" w:eastAsiaTheme="majorEastAsia" w:hAnsiTheme="minorHAnsi" w:cstheme="majorBidi"/>
      <w:b/>
      <w:bCs w:val="0"/>
      <w:i w:val="0"/>
      <w:iCs/>
      <w:color w:val="4F81BD" w:themeColor="accent1"/>
      <w:lang w:eastAsia="en-US"/>
    </w:rPr>
  </w:style>
  <w:style w:type="paragraph" w:customStyle="1" w:styleId="BulletLast0">
    <w:name w:val="BulletLast"/>
    <w:basedOn w:val="Normal"/>
    <w:qFormat/>
    <w:rsid w:val="009A1A5C"/>
    <w:pPr>
      <w:spacing w:after="240"/>
    </w:pPr>
    <w:rPr>
      <w:rFonts w:ascii="Calibri" w:eastAsia="Times New Roman" w:hAnsi="Calibri" w:cs="Times New Roman"/>
      <w:color w:val="000000"/>
      <w:sz w:val="22"/>
      <w:szCs w:val="20"/>
    </w:rPr>
  </w:style>
  <w:style w:type="paragraph" w:customStyle="1" w:styleId="Bullet">
    <w:name w:val="Bullet"/>
    <w:basedOn w:val="Normal"/>
    <w:qFormat/>
    <w:rsid w:val="009A1A5C"/>
    <w:pPr>
      <w:spacing w:after="120"/>
    </w:pPr>
    <w:rPr>
      <w:rFonts w:ascii="Calibri" w:eastAsia="Times New Roman" w:hAnsi="Calibri" w:cs="Times New Roman"/>
      <w:color w:val="000000"/>
      <w:sz w:val="22"/>
      <w:szCs w:val="20"/>
    </w:rPr>
  </w:style>
  <w:style w:type="table" w:styleId="TableGridLight">
    <w:name w:val="Grid Table Light"/>
    <w:basedOn w:val="TableNormal"/>
    <w:uiPriority w:val="40"/>
    <w:rsid w:val="003E3E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writing">
    <w:name w:val="Table writing"/>
    <w:basedOn w:val="Normal"/>
    <w:link w:val="TablewritingChar"/>
    <w:qFormat/>
    <w:rsid w:val="003E3EB3"/>
    <w:pPr>
      <w:overflowPunct w:val="0"/>
      <w:autoSpaceDE w:val="0"/>
      <w:autoSpaceDN w:val="0"/>
      <w:adjustRightInd w:val="0"/>
      <w:spacing w:before="60" w:after="60"/>
      <w:contextualSpacing/>
      <w:textAlignment w:val="baseline"/>
    </w:pPr>
    <w:rPr>
      <w:rFonts w:eastAsia="Times New Roman" w:cs="Times New Roman"/>
      <w:sz w:val="20"/>
      <w:lang w:eastAsia="en-US"/>
    </w:rPr>
  </w:style>
  <w:style w:type="character" w:customStyle="1" w:styleId="TablewritingChar">
    <w:name w:val="Table writing Char"/>
    <w:link w:val="Tablewriting"/>
    <w:rsid w:val="003E3EB3"/>
    <w:rPr>
      <w:rFonts w:asciiTheme="minorHAnsi" w:eastAsia="Times New Roman" w:hAnsiTheme="minorHAnsi" w:cs="Times New Roman"/>
      <w:sz w:val="20"/>
      <w:lang w:eastAsia="en-US"/>
    </w:rPr>
  </w:style>
  <w:style w:type="character" w:customStyle="1" w:styleId="UnresolvedMention1">
    <w:name w:val="Unresolved Mention1"/>
    <w:basedOn w:val="DefaultParagraphFont"/>
    <w:uiPriority w:val="99"/>
    <w:unhideWhenUsed/>
    <w:rsid w:val="003E3EB3"/>
    <w:rPr>
      <w:color w:val="605E5C"/>
      <w:shd w:val="clear" w:color="auto" w:fill="E1DFDD"/>
    </w:rPr>
  </w:style>
  <w:style w:type="paragraph" w:customStyle="1" w:styleId="FigureCaption0">
    <w:name w:val="Figure Caption"/>
    <w:basedOn w:val="Normal"/>
    <w:link w:val="FigureCaptionChar0"/>
    <w:qFormat/>
    <w:rsid w:val="003E3EB3"/>
    <w:pPr>
      <w:spacing w:before="60" w:after="60"/>
    </w:pPr>
    <w:rPr>
      <w:rFonts w:ascii="Calibri" w:hAnsi="Calibri" w:cstheme="minorBidi"/>
      <w:b/>
      <w:bCs/>
      <w:noProof/>
    </w:rPr>
  </w:style>
  <w:style w:type="character" w:customStyle="1" w:styleId="FigureCaptionChar0">
    <w:name w:val="Figure Caption Char"/>
    <w:basedOn w:val="DefaultParagraphFont"/>
    <w:link w:val="FigureCaption0"/>
    <w:rsid w:val="003E3EB3"/>
    <w:rPr>
      <w:rFonts w:ascii="Calibri" w:hAnsi="Calibri"/>
      <w:b/>
      <w:bCs/>
      <w:noProof/>
    </w:rPr>
  </w:style>
  <w:style w:type="character" w:customStyle="1" w:styleId="Mention1">
    <w:name w:val="Mention1"/>
    <w:basedOn w:val="DefaultParagraphFont"/>
    <w:uiPriority w:val="99"/>
    <w:unhideWhenUsed/>
    <w:rsid w:val="003E3EB3"/>
    <w:rPr>
      <w:color w:val="2B579A"/>
      <w:shd w:val="clear" w:color="auto" w:fill="E1DFDD"/>
    </w:rPr>
  </w:style>
  <w:style w:type="character" w:customStyle="1" w:styleId="normaltextrun">
    <w:name w:val="normaltextrun"/>
    <w:basedOn w:val="DefaultParagraphFont"/>
    <w:rsid w:val="003E3EB3"/>
  </w:style>
  <w:style w:type="character" w:customStyle="1" w:styleId="eop">
    <w:name w:val="eop"/>
    <w:basedOn w:val="DefaultParagraphFont"/>
    <w:rsid w:val="003E3EB3"/>
  </w:style>
  <w:style w:type="paragraph" w:customStyle="1" w:styleId="FigureFooter">
    <w:name w:val="Figure Footer"/>
    <w:basedOn w:val="TableFooter"/>
    <w:qFormat/>
    <w:rsid w:val="003E3EB3"/>
    <w:pPr>
      <w:spacing w:before="60" w:after="60"/>
    </w:pPr>
    <w:rPr>
      <w:rFonts w:ascii="Calibri" w:eastAsiaTheme="minorHAnsi" w:hAnsi="Calibri" w:cstheme="minorBidi"/>
      <w:szCs w:val="22"/>
    </w:rPr>
  </w:style>
  <w:style w:type="character" w:customStyle="1" w:styleId="UnresolvedMention2">
    <w:name w:val="Unresolved Mention2"/>
    <w:basedOn w:val="DefaultParagraphFont"/>
    <w:uiPriority w:val="99"/>
    <w:unhideWhenUsed/>
    <w:rsid w:val="003E3EB3"/>
    <w:rPr>
      <w:color w:val="605E5C"/>
      <w:shd w:val="clear" w:color="auto" w:fill="E1DFDD"/>
    </w:rPr>
  </w:style>
  <w:style w:type="character" w:customStyle="1" w:styleId="Mention2">
    <w:name w:val="Mention2"/>
    <w:basedOn w:val="DefaultParagraphFont"/>
    <w:uiPriority w:val="99"/>
    <w:unhideWhenUsed/>
    <w:rsid w:val="003E3EB3"/>
    <w:rPr>
      <w:color w:val="2B579A"/>
      <w:shd w:val="clear" w:color="auto" w:fill="E1DFDD"/>
    </w:rPr>
  </w:style>
  <w:style w:type="character" w:styleId="UnresolvedMention">
    <w:name w:val="Unresolved Mention"/>
    <w:basedOn w:val="DefaultParagraphFont"/>
    <w:uiPriority w:val="99"/>
    <w:semiHidden/>
    <w:unhideWhenUsed/>
    <w:rsid w:val="00F666D1"/>
    <w:rPr>
      <w:color w:val="605E5C"/>
      <w:shd w:val="clear" w:color="auto" w:fill="E1DFDD"/>
    </w:rPr>
  </w:style>
  <w:style w:type="paragraph" w:customStyle="1" w:styleId="PBACHeading1">
    <w:name w:val="PBAC Heading 1"/>
    <w:qFormat/>
    <w:rsid w:val="006F1429"/>
    <w:pPr>
      <w:spacing w:after="0" w:line="240" w:lineRule="auto"/>
      <w:ind w:left="720" w:hanging="720"/>
    </w:pPr>
    <w:rPr>
      <w:rFonts w:ascii="Arial" w:eastAsia="Times New Roman" w:hAnsi="Arial" w:cs="Arial"/>
      <w:b/>
      <w:snapToGrid w:val="0"/>
      <w:sz w:val="22"/>
      <w:lang w:eastAsia="en-US"/>
    </w:rPr>
  </w:style>
  <w:style w:type="paragraph" w:customStyle="1" w:styleId="PBACheading10">
    <w:name w:val="PBAC heading 1"/>
    <w:qFormat/>
    <w:rsid w:val="006F1429"/>
    <w:pPr>
      <w:spacing w:after="0" w:line="240" w:lineRule="auto"/>
      <w:outlineLvl w:val="0"/>
    </w:pPr>
    <w:rPr>
      <w:rFonts w:ascii="Arial" w:eastAsia="Times New Roman" w:hAnsi="Arial" w:cs="Arial"/>
      <w:b/>
      <w:snapToGrid w:val="0"/>
      <w:sz w:val="22"/>
      <w:lang w:eastAsia="en-US"/>
    </w:rPr>
  </w:style>
  <w:style w:type="paragraph" w:customStyle="1" w:styleId="2Sections">
    <w:name w:val="2. Sections"/>
    <w:qFormat/>
    <w:rsid w:val="00D240CA"/>
    <w:pPr>
      <w:numPr>
        <w:numId w:val="81"/>
      </w:numPr>
      <w:spacing w:before="240" w:after="120" w:line="240" w:lineRule="auto"/>
      <w:outlineLvl w:val="0"/>
    </w:pPr>
    <w:rPr>
      <w:rFonts w:asciiTheme="minorHAnsi" w:eastAsia="Times New Roman" w:hAnsiTheme="minorHAnsi" w:cs="Arial"/>
      <w:b/>
      <w:snapToGrid w:val="0"/>
      <w:sz w:val="32"/>
      <w:szCs w:val="32"/>
      <w:lang w:eastAsia="en-US"/>
    </w:rPr>
  </w:style>
  <w:style w:type="paragraph" w:customStyle="1" w:styleId="4Bodytextnumbered">
    <w:name w:val="4. Body text numbered"/>
    <w:basedOn w:val="ListParagraph"/>
    <w:qFormat/>
    <w:rsid w:val="00D240CA"/>
    <w:pPr>
      <w:numPr>
        <w:ilvl w:val="1"/>
        <w:numId w:val="81"/>
      </w:numPr>
      <w:tabs>
        <w:tab w:val="num" w:pos="360"/>
      </w:tabs>
      <w:spacing w:after="120"/>
      <w:ind w:firstLine="0"/>
      <w:contextualSpacing w:val="0"/>
      <w:jc w:val="both"/>
    </w:pPr>
    <w:rPr>
      <w:rFont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3363">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3632211">
      <w:bodyDiv w:val="1"/>
      <w:marLeft w:val="0"/>
      <w:marRight w:val="0"/>
      <w:marTop w:val="0"/>
      <w:marBottom w:val="0"/>
      <w:divBdr>
        <w:top w:val="none" w:sz="0" w:space="0" w:color="auto"/>
        <w:left w:val="none" w:sz="0" w:space="0" w:color="auto"/>
        <w:bottom w:val="none" w:sz="0" w:space="0" w:color="auto"/>
        <w:right w:val="none" w:sz="0" w:space="0" w:color="auto"/>
      </w:divBdr>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0300515">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28545059">
      <w:bodyDiv w:val="1"/>
      <w:marLeft w:val="0"/>
      <w:marRight w:val="0"/>
      <w:marTop w:val="0"/>
      <w:marBottom w:val="0"/>
      <w:divBdr>
        <w:top w:val="none" w:sz="0" w:space="0" w:color="auto"/>
        <w:left w:val="none" w:sz="0" w:space="0" w:color="auto"/>
        <w:bottom w:val="none" w:sz="0" w:space="0" w:color="auto"/>
        <w:right w:val="none" w:sz="0" w:space="0" w:color="auto"/>
      </w:divBdr>
    </w:div>
    <w:div w:id="440761824">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68657144">
      <w:bodyDiv w:val="1"/>
      <w:marLeft w:val="0"/>
      <w:marRight w:val="0"/>
      <w:marTop w:val="0"/>
      <w:marBottom w:val="0"/>
      <w:divBdr>
        <w:top w:val="none" w:sz="0" w:space="0" w:color="auto"/>
        <w:left w:val="none" w:sz="0" w:space="0" w:color="auto"/>
        <w:bottom w:val="none" w:sz="0" w:space="0" w:color="auto"/>
        <w:right w:val="none" w:sz="0" w:space="0" w:color="auto"/>
      </w:divBdr>
      <w:divsChild>
        <w:div w:id="311065579">
          <w:marLeft w:val="720"/>
          <w:marRight w:val="0"/>
          <w:marTop w:val="86"/>
          <w:marBottom w:val="0"/>
          <w:divBdr>
            <w:top w:val="none" w:sz="0" w:space="0" w:color="auto"/>
            <w:left w:val="none" w:sz="0" w:space="0" w:color="auto"/>
            <w:bottom w:val="none" w:sz="0" w:space="0" w:color="auto"/>
            <w:right w:val="none" w:sz="0" w:space="0" w:color="auto"/>
          </w:divBdr>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48838618">
      <w:bodyDiv w:val="1"/>
      <w:marLeft w:val="0"/>
      <w:marRight w:val="0"/>
      <w:marTop w:val="0"/>
      <w:marBottom w:val="0"/>
      <w:divBdr>
        <w:top w:val="none" w:sz="0" w:space="0" w:color="auto"/>
        <w:left w:val="none" w:sz="0" w:space="0" w:color="auto"/>
        <w:bottom w:val="none" w:sz="0" w:space="0" w:color="auto"/>
        <w:right w:val="none" w:sz="0" w:space="0" w:color="auto"/>
      </w:divBdr>
    </w:div>
    <w:div w:id="1056512668">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88186426">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295983861">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443955526">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07241107">
      <w:bodyDiv w:val="1"/>
      <w:marLeft w:val="0"/>
      <w:marRight w:val="0"/>
      <w:marTop w:val="0"/>
      <w:marBottom w:val="0"/>
      <w:divBdr>
        <w:top w:val="none" w:sz="0" w:space="0" w:color="auto"/>
        <w:left w:val="none" w:sz="0" w:space="0" w:color="auto"/>
        <w:bottom w:val="none" w:sz="0" w:space="0" w:color="auto"/>
        <w:right w:val="none" w:sz="0" w:space="0" w:color="auto"/>
      </w:divBdr>
    </w:div>
    <w:div w:id="1833325440">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53964929">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reviews/post-market-review-of-medicines-for-smoking-cessation" TargetMode="External"/><Relationship Id="rId13" Type="http://schemas.openxmlformats.org/officeDocument/2006/relationships/footer" Target="footer1.xml"/><Relationship Id="rId18" Type="http://schemas.openxmlformats.org/officeDocument/2006/relationships/hyperlink" Target="https://www.tobaccofreekids.org/assets/factsheets/0127.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hhs.gov/surgeongeneral/reports-and-publications/tobacco/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ndri.curtin.edu.au/ndri/media/documents/publications/T27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s://www.pbs.gov.au/info/reviews/post-market-review-of-medicines-for-smoking-cessation" TargetMode="External"/><Relationship Id="rId19" Type="http://schemas.openxmlformats.org/officeDocument/2006/relationships/hyperlink" Target="https://www.aihw.gov.au/getmedia/953dcb20-b369-4c6b-b20f-526bdead14cb/aihwbod-20.pdf.aspx?inline=true" TargetMode="External"/><Relationship Id="rId4" Type="http://schemas.openxmlformats.org/officeDocument/2006/relationships/settings" Target="settings.xml"/><Relationship Id="rId9" Type="http://schemas.openxmlformats.org/officeDocument/2006/relationships/hyperlink" Target="https://www.pbs.gov.au/info/reviews/post-market-review-of-medicines-for-smoking-cessation"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D625DF-39EB-45B6-924A-741C3834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16322</Words>
  <Characters>93038</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2022-08-18T00:32:00Z</dcterms:created>
  <dcterms:modified xsi:type="dcterms:W3CDTF">2022-12-14T09:13:00Z</dcterms:modified>
</cp:coreProperties>
</file>