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B261A" w14:textId="31976C67" w:rsidR="00D21062" w:rsidRDefault="00D21062" w:rsidP="00D21062">
      <w:pPr>
        <w:spacing w:after="240"/>
        <w:jc w:val="center"/>
        <w:rPr>
          <w:b/>
          <w:sz w:val="52"/>
          <w:szCs w:val="52"/>
        </w:rPr>
      </w:pPr>
    </w:p>
    <w:p w14:paraId="1E855D8D" w14:textId="0FC771EB" w:rsidR="00D21062" w:rsidRDefault="00D21062" w:rsidP="00D21062">
      <w:pPr>
        <w:spacing w:after="240"/>
        <w:jc w:val="center"/>
        <w:rPr>
          <w:b/>
          <w:sz w:val="52"/>
          <w:szCs w:val="52"/>
        </w:rPr>
      </w:pPr>
    </w:p>
    <w:p w14:paraId="7169EC15" w14:textId="0792C5D0" w:rsidR="000524DC" w:rsidRDefault="000524DC" w:rsidP="00D21062">
      <w:pPr>
        <w:spacing w:after="240"/>
        <w:jc w:val="center"/>
        <w:rPr>
          <w:b/>
          <w:sz w:val="52"/>
          <w:szCs w:val="52"/>
        </w:rPr>
      </w:pPr>
    </w:p>
    <w:p w14:paraId="15CD1712" w14:textId="71FAA439" w:rsidR="00D21062" w:rsidRPr="00920083" w:rsidRDefault="00D21062" w:rsidP="00D21062">
      <w:pPr>
        <w:spacing w:after="240"/>
        <w:jc w:val="center"/>
        <w:rPr>
          <w:b/>
          <w:sz w:val="52"/>
          <w:szCs w:val="52"/>
        </w:rPr>
      </w:pPr>
      <w:bookmarkStart w:id="0" w:name="_Hlk127424589"/>
      <w:r w:rsidRPr="00920083">
        <w:rPr>
          <w:b/>
          <w:sz w:val="52"/>
          <w:szCs w:val="52"/>
        </w:rPr>
        <w:t>Pharmaceutical Benefits Scheme</w:t>
      </w:r>
    </w:p>
    <w:p w14:paraId="69BD28C5" w14:textId="3C1B7EB2" w:rsidR="00D21062" w:rsidRDefault="00D21062" w:rsidP="006F56F1">
      <w:pPr>
        <w:pStyle w:val="Heading1"/>
      </w:pPr>
      <w:bookmarkStart w:id="1" w:name="_Toc163220797"/>
      <w:r w:rsidRPr="00920083">
        <w:t>Post-market Review</w:t>
      </w:r>
      <w:r w:rsidR="00CD5E39">
        <w:br/>
        <w:t>of</w:t>
      </w:r>
      <w:r w:rsidR="00CD5E39">
        <w:br/>
      </w:r>
      <w:r w:rsidR="000524DC">
        <w:t xml:space="preserve">PBS </w:t>
      </w:r>
      <w:r w:rsidR="00636693">
        <w:t>Opioid</w:t>
      </w:r>
      <w:r>
        <w:t xml:space="preserve"> Dependence Treatment Program medicines</w:t>
      </w:r>
      <w:bookmarkEnd w:id="1"/>
      <w:r w:rsidRPr="00920083">
        <w:t xml:space="preserve"> </w:t>
      </w:r>
    </w:p>
    <w:p w14:paraId="7332FAE4" w14:textId="77777777" w:rsidR="003B2993" w:rsidRPr="003B2993" w:rsidRDefault="003B2993" w:rsidP="003B2993"/>
    <w:p w14:paraId="18D1FBA4" w14:textId="698D696E" w:rsidR="00D21062" w:rsidRDefault="00D21062" w:rsidP="00D21062">
      <w:pPr>
        <w:spacing w:before="480"/>
        <w:jc w:val="center"/>
        <w:rPr>
          <w:b/>
          <w:i/>
          <w:color w:val="2F5496" w:themeColor="accent1" w:themeShade="BF"/>
          <w:sz w:val="28"/>
          <w:szCs w:val="28"/>
        </w:rPr>
      </w:pPr>
      <w:r w:rsidRPr="00920083">
        <w:rPr>
          <w:b/>
          <w:i/>
          <w:color w:val="2F5496" w:themeColor="accent1" w:themeShade="BF"/>
          <w:sz w:val="28"/>
          <w:szCs w:val="28"/>
        </w:rPr>
        <w:t xml:space="preserve">Report to </w:t>
      </w:r>
      <w:r w:rsidR="00C55D56">
        <w:rPr>
          <w:b/>
          <w:i/>
          <w:color w:val="2F5496" w:themeColor="accent1" w:themeShade="BF"/>
          <w:sz w:val="28"/>
          <w:szCs w:val="28"/>
        </w:rPr>
        <w:t>the Pharmaceutical Benefits Advisory Committee</w:t>
      </w:r>
    </w:p>
    <w:p w14:paraId="6FBB3C96" w14:textId="65CBB762" w:rsidR="003B2993" w:rsidRDefault="003B2993" w:rsidP="003B2993">
      <w:pPr>
        <w:spacing w:before="480"/>
        <w:jc w:val="center"/>
        <w:rPr>
          <w:b/>
          <w:i/>
          <w:color w:val="2F5496" w:themeColor="accent1" w:themeShade="BF"/>
          <w:sz w:val="28"/>
          <w:szCs w:val="28"/>
        </w:rPr>
      </w:pPr>
      <w:r>
        <w:rPr>
          <w:b/>
          <w:i/>
          <w:color w:val="2F5496" w:themeColor="accent1" w:themeShade="BF"/>
          <w:sz w:val="28"/>
          <w:szCs w:val="28"/>
        </w:rPr>
        <w:t>Executive Summary and Review Outcomes</w:t>
      </w:r>
    </w:p>
    <w:p w14:paraId="71128D14" w14:textId="77777777" w:rsidR="003B2993" w:rsidRDefault="003B2993" w:rsidP="00D21062">
      <w:pPr>
        <w:spacing w:before="480"/>
        <w:jc w:val="center"/>
        <w:rPr>
          <w:b/>
          <w:i/>
          <w:color w:val="2F5496" w:themeColor="accent1" w:themeShade="BF"/>
          <w:sz w:val="28"/>
          <w:szCs w:val="28"/>
        </w:rPr>
      </w:pPr>
    </w:p>
    <w:p w14:paraId="6C98AFE5" w14:textId="1C9282AC" w:rsidR="00C55D56" w:rsidRPr="00920083" w:rsidRDefault="00017DE8" w:rsidP="00D21062">
      <w:pPr>
        <w:spacing w:before="480"/>
        <w:jc w:val="center"/>
        <w:rPr>
          <w:b/>
          <w:i/>
          <w:color w:val="2F5496" w:themeColor="accent1" w:themeShade="BF"/>
          <w:sz w:val="28"/>
          <w:szCs w:val="28"/>
        </w:rPr>
      </w:pPr>
      <w:r>
        <w:rPr>
          <w:b/>
          <w:i/>
          <w:color w:val="2F5496" w:themeColor="accent1" w:themeShade="BF"/>
          <w:sz w:val="28"/>
          <w:szCs w:val="28"/>
        </w:rPr>
        <w:t>March</w:t>
      </w:r>
      <w:r w:rsidR="00C55D56">
        <w:rPr>
          <w:b/>
          <w:i/>
          <w:color w:val="2F5496" w:themeColor="accent1" w:themeShade="BF"/>
          <w:sz w:val="28"/>
          <w:szCs w:val="28"/>
        </w:rPr>
        <w:t xml:space="preserve"> 202</w:t>
      </w:r>
      <w:r w:rsidR="00B4464B">
        <w:rPr>
          <w:b/>
          <w:i/>
          <w:color w:val="2F5496" w:themeColor="accent1" w:themeShade="BF"/>
          <w:sz w:val="28"/>
          <w:szCs w:val="28"/>
        </w:rPr>
        <w:t>3</w:t>
      </w:r>
    </w:p>
    <w:bookmarkEnd w:id="0"/>
    <w:p w14:paraId="4AAF6F89" w14:textId="77777777" w:rsidR="00D21062" w:rsidRPr="00920083" w:rsidRDefault="00D21062" w:rsidP="00D21062">
      <w:pPr>
        <w:spacing w:before="240"/>
        <w:jc w:val="center"/>
        <w:rPr>
          <w:b/>
          <w:i/>
          <w:color w:val="2F5496" w:themeColor="accent1" w:themeShade="BF"/>
          <w:sz w:val="28"/>
          <w:szCs w:val="28"/>
        </w:rPr>
      </w:pPr>
    </w:p>
    <w:p w14:paraId="4756B402" w14:textId="77777777" w:rsidR="00D21062" w:rsidRPr="00920083" w:rsidRDefault="00D21062" w:rsidP="00D21062">
      <w:pPr>
        <w:spacing w:before="240"/>
        <w:jc w:val="center"/>
        <w:rPr>
          <w:b/>
          <w:i/>
          <w:color w:val="2F5496" w:themeColor="accent1" w:themeShade="BF"/>
          <w:sz w:val="28"/>
          <w:szCs w:val="28"/>
        </w:rPr>
      </w:pPr>
    </w:p>
    <w:p w14:paraId="37867EC6" w14:textId="3019A22D" w:rsidR="00D21062" w:rsidRDefault="00D21062" w:rsidP="00D21062">
      <w:pPr>
        <w:spacing w:after="160" w:line="259" w:lineRule="auto"/>
        <w:jc w:val="left"/>
      </w:pPr>
      <w:r>
        <w:br w:type="page"/>
      </w:r>
    </w:p>
    <w:bookmarkStart w:id="2" w:name="_Hlk127425000" w:displacedByCustomXml="next"/>
    <w:sdt>
      <w:sdtPr>
        <w:rPr>
          <w:rFonts w:eastAsiaTheme="minorHAnsi" w:cs="Times New Roman"/>
          <w:b w:val="0"/>
          <w:color w:val="auto"/>
          <w:sz w:val="24"/>
          <w:szCs w:val="24"/>
          <w:lang w:val="en-AU"/>
        </w:rPr>
        <w:id w:val="627825181"/>
        <w:docPartObj>
          <w:docPartGallery w:val="Table of Contents"/>
          <w:docPartUnique/>
        </w:docPartObj>
      </w:sdtPr>
      <w:sdtEndPr>
        <w:rPr>
          <w:bCs/>
          <w:noProof/>
        </w:rPr>
      </w:sdtEndPr>
      <w:sdtContent>
        <w:p w14:paraId="7026F888" w14:textId="77777777" w:rsidR="00D21062" w:rsidRPr="00EA3458" w:rsidRDefault="00D21062" w:rsidP="00D54B5A">
          <w:pPr>
            <w:pStyle w:val="TOCHeading"/>
            <w:jc w:val="left"/>
            <w:rPr>
              <w:lang w:val="en-AU"/>
            </w:rPr>
          </w:pPr>
          <w:r w:rsidRPr="00EA3458">
            <w:rPr>
              <w:lang w:val="en-AU"/>
            </w:rPr>
            <w:t>Contents</w:t>
          </w:r>
        </w:p>
        <w:p w14:paraId="3D421DB3" w14:textId="520738D1" w:rsidR="009C78E0" w:rsidRDefault="00934954">
          <w:pPr>
            <w:pStyle w:val="TOC1"/>
            <w:rPr>
              <w:rFonts w:cstheme="minorBidi"/>
              <w:kern w:val="2"/>
              <w:sz w:val="22"/>
              <w:szCs w:val="22"/>
              <w:lang w:val="en-AU" w:eastAsia="en-AU"/>
              <w14:ligatures w14:val="standardContextual"/>
            </w:rPr>
          </w:pPr>
          <w:r>
            <w:fldChar w:fldCharType="begin"/>
          </w:r>
          <w:r>
            <w:instrText xml:space="preserve"> TOC \o "2-3" \h \z \t "Heading 1,1" </w:instrText>
          </w:r>
          <w:r>
            <w:fldChar w:fldCharType="separate"/>
          </w:r>
          <w:hyperlink w:anchor="_Toc163220797" w:history="1">
            <w:r w:rsidR="009C78E0" w:rsidRPr="005F5FBA">
              <w:rPr>
                <w:rStyle w:val="Hyperlink"/>
              </w:rPr>
              <w:t>Post-market Review of PBS Opioid Dependence Treatment Program medicines</w:t>
            </w:r>
            <w:r w:rsidR="009C78E0">
              <w:rPr>
                <w:webHidden/>
              </w:rPr>
              <w:tab/>
            </w:r>
            <w:r w:rsidR="009C78E0">
              <w:rPr>
                <w:webHidden/>
              </w:rPr>
              <w:fldChar w:fldCharType="begin"/>
            </w:r>
            <w:r w:rsidR="009C78E0">
              <w:rPr>
                <w:webHidden/>
              </w:rPr>
              <w:instrText xml:space="preserve"> PAGEREF _Toc163220797 \h </w:instrText>
            </w:r>
            <w:r w:rsidR="009C78E0">
              <w:rPr>
                <w:webHidden/>
              </w:rPr>
            </w:r>
            <w:r w:rsidR="009C78E0">
              <w:rPr>
                <w:webHidden/>
              </w:rPr>
              <w:fldChar w:fldCharType="separate"/>
            </w:r>
            <w:r w:rsidR="00D42060">
              <w:rPr>
                <w:webHidden/>
              </w:rPr>
              <w:t>1</w:t>
            </w:r>
            <w:r w:rsidR="009C78E0">
              <w:rPr>
                <w:webHidden/>
              </w:rPr>
              <w:fldChar w:fldCharType="end"/>
            </w:r>
          </w:hyperlink>
        </w:p>
        <w:p w14:paraId="2C7A24B6" w14:textId="5A02D3F5" w:rsidR="009C78E0" w:rsidRDefault="00D42060">
          <w:pPr>
            <w:pStyle w:val="TOC2"/>
            <w:rPr>
              <w:rFonts w:asciiTheme="minorHAnsi" w:eastAsiaTheme="minorEastAsia" w:hAnsiTheme="minorHAnsi" w:cstheme="minorBidi"/>
              <w:noProof/>
              <w:kern w:val="2"/>
              <w:sz w:val="22"/>
              <w:szCs w:val="22"/>
              <w:lang w:eastAsia="en-AU"/>
              <w14:ligatures w14:val="standardContextual"/>
            </w:rPr>
          </w:pPr>
          <w:hyperlink w:anchor="_Toc163220798" w:history="1">
            <w:r w:rsidR="009C78E0" w:rsidRPr="005F5FBA">
              <w:rPr>
                <w:rStyle w:val="Hyperlink"/>
                <w:noProof/>
              </w:rPr>
              <w:t>Terminology and Abbreviations</w:t>
            </w:r>
            <w:r w:rsidR="009C78E0">
              <w:rPr>
                <w:noProof/>
                <w:webHidden/>
              </w:rPr>
              <w:tab/>
            </w:r>
            <w:r w:rsidR="009C78E0">
              <w:rPr>
                <w:noProof/>
                <w:webHidden/>
              </w:rPr>
              <w:fldChar w:fldCharType="begin"/>
            </w:r>
            <w:r w:rsidR="009C78E0">
              <w:rPr>
                <w:noProof/>
                <w:webHidden/>
              </w:rPr>
              <w:instrText xml:space="preserve"> PAGEREF _Toc163220798 \h </w:instrText>
            </w:r>
            <w:r w:rsidR="009C78E0">
              <w:rPr>
                <w:noProof/>
                <w:webHidden/>
              </w:rPr>
            </w:r>
            <w:r w:rsidR="009C78E0">
              <w:rPr>
                <w:noProof/>
                <w:webHidden/>
              </w:rPr>
              <w:fldChar w:fldCharType="separate"/>
            </w:r>
            <w:r>
              <w:rPr>
                <w:noProof/>
                <w:webHidden/>
              </w:rPr>
              <w:t>3</w:t>
            </w:r>
            <w:r w:rsidR="009C78E0">
              <w:rPr>
                <w:noProof/>
                <w:webHidden/>
              </w:rPr>
              <w:fldChar w:fldCharType="end"/>
            </w:r>
          </w:hyperlink>
        </w:p>
        <w:p w14:paraId="64DF14EF" w14:textId="07BDDD70" w:rsidR="009C78E0" w:rsidRDefault="00D42060">
          <w:pPr>
            <w:pStyle w:val="TOC2"/>
            <w:rPr>
              <w:rFonts w:asciiTheme="minorHAnsi" w:eastAsiaTheme="minorEastAsia" w:hAnsiTheme="minorHAnsi" w:cstheme="minorBidi"/>
              <w:noProof/>
              <w:kern w:val="2"/>
              <w:sz w:val="22"/>
              <w:szCs w:val="22"/>
              <w:lang w:eastAsia="en-AU"/>
              <w14:ligatures w14:val="standardContextual"/>
            </w:rPr>
          </w:pPr>
          <w:hyperlink w:anchor="_Toc163220799" w:history="1">
            <w:r w:rsidR="009C78E0" w:rsidRPr="005F5FBA">
              <w:rPr>
                <w:rStyle w:val="Hyperlink"/>
                <w:noProof/>
              </w:rPr>
              <w:t>Acknowledgements</w:t>
            </w:r>
            <w:r w:rsidR="009C78E0">
              <w:rPr>
                <w:noProof/>
                <w:webHidden/>
              </w:rPr>
              <w:tab/>
            </w:r>
            <w:r w:rsidR="009C78E0">
              <w:rPr>
                <w:noProof/>
                <w:webHidden/>
              </w:rPr>
              <w:fldChar w:fldCharType="begin"/>
            </w:r>
            <w:r w:rsidR="009C78E0">
              <w:rPr>
                <w:noProof/>
                <w:webHidden/>
              </w:rPr>
              <w:instrText xml:space="preserve"> PAGEREF _Toc163220799 \h </w:instrText>
            </w:r>
            <w:r w:rsidR="009C78E0">
              <w:rPr>
                <w:noProof/>
                <w:webHidden/>
              </w:rPr>
            </w:r>
            <w:r w:rsidR="009C78E0">
              <w:rPr>
                <w:noProof/>
                <w:webHidden/>
              </w:rPr>
              <w:fldChar w:fldCharType="separate"/>
            </w:r>
            <w:r>
              <w:rPr>
                <w:noProof/>
                <w:webHidden/>
              </w:rPr>
              <w:t>5</w:t>
            </w:r>
            <w:r w:rsidR="009C78E0">
              <w:rPr>
                <w:noProof/>
                <w:webHidden/>
              </w:rPr>
              <w:fldChar w:fldCharType="end"/>
            </w:r>
          </w:hyperlink>
        </w:p>
        <w:p w14:paraId="5D330537" w14:textId="7622484F" w:rsidR="009C78E0" w:rsidRDefault="00D42060">
          <w:pPr>
            <w:pStyle w:val="TOC2"/>
            <w:rPr>
              <w:rFonts w:asciiTheme="minorHAnsi" w:eastAsiaTheme="minorEastAsia" w:hAnsiTheme="minorHAnsi" w:cstheme="minorBidi"/>
              <w:noProof/>
              <w:kern w:val="2"/>
              <w:sz w:val="22"/>
              <w:szCs w:val="22"/>
              <w:lang w:eastAsia="en-AU"/>
              <w14:ligatures w14:val="standardContextual"/>
            </w:rPr>
          </w:pPr>
          <w:hyperlink w:anchor="_Toc163220800" w:history="1">
            <w:r w:rsidR="009C78E0" w:rsidRPr="005F5FBA">
              <w:rPr>
                <w:rStyle w:val="Hyperlink"/>
                <w:noProof/>
              </w:rPr>
              <w:t>Executive Summary</w:t>
            </w:r>
            <w:r w:rsidR="009C78E0">
              <w:rPr>
                <w:noProof/>
                <w:webHidden/>
              </w:rPr>
              <w:tab/>
            </w:r>
            <w:r w:rsidR="009C78E0">
              <w:rPr>
                <w:noProof/>
                <w:webHidden/>
              </w:rPr>
              <w:fldChar w:fldCharType="begin"/>
            </w:r>
            <w:r w:rsidR="009C78E0">
              <w:rPr>
                <w:noProof/>
                <w:webHidden/>
              </w:rPr>
              <w:instrText xml:space="preserve"> PAGEREF _Toc163220800 \h </w:instrText>
            </w:r>
            <w:r w:rsidR="009C78E0">
              <w:rPr>
                <w:noProof/>
                <w:webHidden/>
              </w:rPr>
            </w:r>
            <w:r w:rsidR="009C78E0">
              <w:rPr>
                <w:noProof/>
                <w:webHidden/>
              </w:rPr>
              <w:fldChar w:fldCharType="separate"/>
            </w:r>
            <w:r>
              <w:rPr>
                <w:noProof/>
                <w:webHidden/>
              </w:rPr>
              <w:t>6</w:t>
            </w:r>
            <w:r w:rsidR="009C78E0">
              <w:rPr>
                <w:noProof/>
                <w:webHidden/>
              </w:rPr>
              <w:fldChar w:fldCharType="end"/>
            </w:r>
          </w:hyperlink>
        </w:p>
        <w:p w14:paraId="095BFA82" w14:textId="6A7BFC21" w:rsidR="009C78E0" w:rsidRDefault="00D42060">
          <w:pPr>
            <w:pStyle w:val="TOC3"/>
            <w:tabs>
              <w:tab w:val="left" w:pos="1100"/>
              <w:tab w:val="right" w:leader="dot" w:pos="9016"/>
            </w:tabs>
            <w:rPr>
              <w:rFonts w:asciiTheme="minorHAnsi" w:eastAsiaTheme="minorEastAsia" w:hAnsiTheme="minorHAnsi" w:cstheme="minorBidi"/>
              <w:noProof/>
              <w:kern w:val="2"/>
              <w:sz w:val="22"/>
              <w:szCs w:val="22"/>
              <w:lang w:eastAsia="en-AU"/>
              <w14:ligatures w14:val="standardContextual"/>
            </w:rPr>
          </w:pPr>
          <w:hyperlink w:anchor="_Toc163220801" w:history="1">
            <w:r w:rsidR="009C78E0" w:rsidRPr="005F5FBA">
              <w:rPr>
                <w:rStyle w:val="Hyperlink"/>
                <w:noProof/>
                <w:lang w:eastAsia="en-AU"/>
              </w:rPr>
              <w:t>1.1.</w:t>
            </w:r>
            <w:r w:rsidR="009C78E0">
              <w:rPr>
                <w:rFonts w:asciiTheme="minorHAnsi" w:eastAsiaTheme="minorEastAsia" w:hAnsiTheme="minorHAnsi" w:cstheme="minorBidi"/>
                <w:noProof/>
                <w:kern w:val="2"/>
                <w:sz w:val="22"/>
                <w:szCs w:val="22"/>
                <w:lang w:eastAsia="en-AU"/>
                <w14:ligatures w14:val="standardContextual"/>
              </w:rPr>
              <w:tab/>
            </w:r>
            <w:r w:rsidR="009C78E0" w:rsidRPr="005F5FBA">
              <w:rPr>
                <w:rStyle w:val="Hyperlink"/>
                <w:noProof/>
                <w:lang w:eastAsia="en-AU"/>
              </w:rPr>
              <w:t>Timing of the PMR</w:t>
            </w:r>
            <w:r w:rsidR="009C78E0">
              <w:rPr>
                <w:noProof/>
                <w:webHidden/>
              </w:rPr>
              <w:tab/>
            </w:r>
            <w:r w:rsidR="009C78E0">
              <w:rPr>
                <w:noProof/>
                <w:webHidden/>
              </w:rPr>
              <w:fldChar w:fldCharType="begin"/>
            </w:r>
            <w:r w:rsidR="009C78E0">
              <w:rPr>
                <w:noProof/>
                <w:webHidden/>
              </w:rPr>
              <w:instrText xml:space="preserve"> PAGEREF _Toc163220801 \h </w:instrText>
            </w:r>
            <w:r w:rsidR="009C78E0">
              <w:rPr>
                <w:noProof/>
                <w:webHidden/>
              </w:rPr>
            </w:r>
            <w:r w:rsidR="009C78E0">
              <w:rPr>
                <w:noProof/>
                <w:webHidden/>
              </w:rPr>
              <w:fldChar w:fldCharType="separate"/>
            </w:r>
            <w:r>
              <w:rPr>
                <w:noProof/>
                <w:webHidden/>
              </w:rPr>
              <w:t>6</w:t>
            </w:r>
            <w:r w:rsidR="009C78E0">
              <w:rPr>
                <w:noProof/>
                <w:webHidden/>
              </w:rPr>
              <w:fldChar w:fldCharType="end"/>
            </w:r>
          </w:hyperlink>
        </w:p>
        <w:p w14:paraId="28A5F371" w14:textId="40466DDD" w:rsidR="009C78E0" w:rsidRDefault="00D42060">
          <w:pPr>
            <w:pStyle w:val="TOC3"/>
            <w:tabs>
              <w:tab w:val="left" w:pos="1100"/>
              <w:tab w:val="right" w:leader="dot" w:pos="9016"/>
            </w:tabs>
            <w:rPr>
              <w:rFonts w:asciiTheme="minorHAnsi" w:eastAsiaTheme="minorEastAsia" w:hAnsiTheme="minorHAnsi" w:cstheme="minorBidi"/>
              <w:noProof/>
              <w:kern w:val="2"/>
              <w:sz w:val="22"/>
              <w:szCs w:val="22"/>
              <w:lang w:eastAsia="en-AU"/>
              <w14:ligatures w14:val="standardContextual"/>
            </w:rPr>
          </w:pPr>
          <w:hyperlink w:anchor="_Toc163220802" w:history="1">
            <w:r w:rsidR="009C78E0" w:rsidRPr="005F5FBA">
              <w:rPr>
                <w:rStyle w:val="Hyperlink"/>
                <w:noProof/>
              </w:rPr>
              <w:t>1.2.</w:t>
            </w:r>
            <w:r w:rsidR="009C78E0">
              <w:rPr>
                <w:rFonts w:asciiTheme="minorHAnsi" w:eastAsiaTheme="minorEastAsia" w:hAnsiTheme="minorHAnsi" w:cstheme="minorBidi"/>
                <w:noProof/>
                <w:kern w:val="2"/>
                <w:sz w:val="22"/>
                <w:szCs w:val="22"/>
                <w:lang w:eastAsia="en-AU"/>
                <w14:ligatures w14:val="standardContextual"/>
              </w:rPr>
              <w:tab/>
            </w:r>
            <w:r w:rsidR="009C78E0" w:rsidRPr="005F5FBA">
              <w:rPr>
                <w:rStyle w:val="Hyperlink"/>
                <w:noProof/>
              </w:rPr>
              <w:t>Background</w:t>
            </w:r>
            <w:r w:rsidR="009C78E0">
              <w:rPr>
                <w:noProof/>
                <w:webHidden/>
              </w:rPr>
              <w:tab/>
            </w:r>
            <w:r w:rsidR="009C78E0">
              <w:rPr>
                <w:noProof/>
                <w:webHidden/>
              </w:rPr>
              <w:fldChar w:fldCharType="begin"/>
            </w:r>
            <w:r w:rsidR="009C78E0">
              <w:rPr>
                <w:noProof/>
                <w:webHidden/>
              </w:rPr>
              <w:instrText xml:space="preserve"> PAGEREF _Toc163220802 \h </w:instrText>
            </w:r>
            <w:r w:rsidR="009C78E0">
              <w:rPr>
                <w:noProof/>
                <w:webHidden/>
              </w:rPr>
            </w:r>
            <w:r w:rsidR="009C78E0">
              <w:rPr>
                <w:noProof/>
                <w:webHidden/>
              </w:rPr>
              <w:fldChar w:fldCharType="separate"/>
            </w:r>
            <w:r>
              <w:rPr>
                <w:noProof/>
                <w:webHidden/>
              </w:rPr>
              <w:t>6</w:t>
            </w:r>
            <w:r w:rsidR="009C78E0">
              <w:rPr>
                <w:noProof/>
                <w:webHidden/>
              </w:rPr>
              <w:fldChar w:fldCharType="end"/>
            </w:r>
          </w:hyperlink>
        </w:p>
        <w:p w14:paraId="017901F5" w14:textId="17AF5AE9" w:rsidR="009C78E0" w:rsidRDefault="00D42060">
          <w:pPr>
            <w:pStyle w:val="TOC3"/>
            <w:tabs>
              <w:tab w:val="left" w:pos="1100"/>
              <w:tab w:val="right" w:leader="dot" w:pos="9016"/>
            </w:tabs>
            <w:rPr>
              <w:rFonts w:asciiTheme="minorHAnsi" w:eastAsiaTheme="minorEastAsia" w:hAnsiTheme="minorHAnsi" w:cstheme="minorBidi"/>
              <w:noProof/>
              <w:kern w:val="2"/>
              <w:sz w:val="22"/>
              <w:szCs w:val="22"/>
              <w:lang w:eastAsia="en-AU"/>
              <w14:ligatures w14:val="standardContextual"/>
            </w:rPr>
          </w:pPr>
          <w:hyperlink w:anchor="_Toc163220803" w:history="1">
            <w:r w:rsidR="009C78E0" w:rsidRPr="005F5FBA">
              <w:rPr>
                <w:rStyle w:val="Hyperlink"/>
                <w:noProof/>
              </w:rPr>
              <w:t>1.3.</w:t>
            </w:r>
            <w:r w:rsidR="009C78E0">
              <w:rPr>
                <w:rFonts w:asciiTheme="minorHAnsi" w:eastAsiaTheme="minorEastAsia" w:hAnsiTheme="minorHAnsi" w:cstheme="minorBidi"/>
                <w:noProof/>
                <w:kern w:val="2"/>
                <w:sz w:val="22"/>
                <w:szCs w:val="22"/>
                <w:lang w:eastAsia="en-AU"/>
                <w14:ligatures w14:val="standardContextual"/>
              </w:rPr>
              <w:tab/>
            </w:r>
            <w:r w:rsidR="009C78E0" w:rsidRPr="005F5FBA">
              <w:rPr>
                <w:rStyle w:val="Hyperlink"/>
                <w:noProof/>
              </w:rPr>
              <w:t>Term of Reference 1: Key Findings</w:t>
            </w:r>
            <w:r w:rsidR="009C78E0">
              <w:rPr>
                <w:noProof/>
                <w:webHidden/>
              </w:rPr>
              <w:tab/>
            </w:r>
            <w:r w:rsidR="009C78E0">
              <w:rPr>
                <w:noProof/>
                <w:webHidden/>
              </w:rPr>
              <w:fldChar w:fldCharType="begin"/>
            </w:r>
            <w:r w:rsidR="009C78E0">
              <w:rPr>
                <w:noProof/>
                <w:webHidden/>
              </w:rPr>
              <w:instrText xml:space="preserve"> PAGEREF _Toc163220803 \h </w:instrText>
            </w:r>
            <w:r w:rsidR="009C78E0">
              <w:rPr>
                <w:noProof/>
                <w:webHidden/>
              </w:rPr>
            </w:r>
            <w:r w:rsidR="009C78E0">
              <w:rPr>
                <w:noProof/>
                <w:webHidden/>
              </w:rPr>
              <w:fldChar w:fldCharType="separate"/>
            </w:r>
            <w:r>
              <w:rPr>
                <w:noProof/>
                <w:webHidden/>
              </w:rPr>
              <w:t>7</w:t>
            </w:r>
            <w:r w:rsidR="009C78E0">
              <w:rPr>
                <w:noProof/>
                <w:webHidden/>
              </w:rPr>
              <w:fldChar w:fldCharType="end"/>
            </w:r>
          </w:hyperlink>
        </w:p>
        <w:p w14:paraId="1A4CC78F" w14:textId="421F595B" w:rsidR="009C78E0" w:rsidRDefault="00D42060">
          <w:pPr>
            <w:pStyle w:val="TOC3"/>
            <w:tabs>
              <w:tab w:val="left" w:pos="1100"/>
              <w:tab w:val="right" w:leader="dot" w:pos="9016"/>
            </w:tabs>
            <w:rPr>
              <w:rFonts w:asciiTheme="minorHAnsi" w:eastAsiaTheme="minorEastAsia" w:hAnsiTheme="minorHAnsi" w:cstheme="minorBidi"/>
              <w:noProof/>
              <w:kern w:val="2"/>
              <w:sz w:val="22"/>
              <w:szCs w:val="22"/>
              <w:lang w:eastAsia="en-AU"/>
              <w14:ligatures w14:val="standardContextual"/>
            </w:rPr>
          </w:pPr>
          <w:hyperlink w:anchor="_Toc163220804" w:history="1">
            <w:r w:rsidR="009C78E0" w:rsidRPr="005F5FBA">
              <w:rPr>
                <w:rStyle w:val="Hyperlink"/>
                <w:noProof/>
              </w:rPr>
              <w:t>1.4.</w:t>
            </w:r>
            <w:r w:rsidR="009C78E0">
              <w:rPr>
                <w:rFonts w:asciiTheme="minorHAnsi" w:eastAsiaTheme="minorEastAsia" w:hAnsiTheme="minorHAnsi" w:cstheme="minorBidi"/>
                <w:noProof/>
                <w:kern w:val="2"/>
                <w:sz w:val="22"/>
                <w:szCs w:val="22"/>
                <w:lang w:eastAsia="en-AU"/>
                <w14:ligatures w14:val="standardContextual"/>
              </w:rPr>
              <w:tab/>
            </w:r>
            <w:r w:rsidR="009C78E0" w:rsidRPr="005F5FBA">
              <w:rPr>
                <w:rStyle w:val="Hyperlink"/>
                <w:noProof/>
              </w:rPr>
              <w:t>Term of Reference 2: Key Findings</w:t>
            </w:r>
            <w:r w:rsidR="009C78E0">
              <w:rPr>
                <w:noProof/>
                <w:webHidden/>
              </w:rPr>
              <w:tab/>
            </w:r>
            <w:r w:rsidR="009C78E0">
              <w:rPr>
                <w:noProof/>
                <w:webHidden/>
              </w:rPr>
              <w:fldChar w:fldCharType="begin"/>
            </w:r>
            <w:r w:rsidR="009C78E0">
              <w:rPr>
                <w:noProof/>
                <w:webHidden/>
              </w:rPr>
              <w:instrText xml:space="preserve"> PAGEREF _Toc163220804 \h </w:instrText>
            </w:r>
            <w:r w:rsidR="009C78E0">
              <w:rPr>
                <w:noProof/>
                <w:webHidden/>
              </w:rPr>
            </w:r>
            <w:r w:rsidR="009C78E0">
              <w:rPr>
                <w:noProof/>
                <w:webHidden/>
              </w:rPr>
              <w:fldChar w:fldCharType="separate"/>
            </w:r>
            <w:r>
              <w:rPr>
                <w:noProof/>
                <w:webHidden/>
              </w:rPr>
              <w:t>9</w:t>
            </w:r>
            <w:r w:rsidR="009C78E0">
              <w:rPr>
                <w:noProof/>
                <w:webHidden/>
              </w:rPr>
              <w:fldChar w:fldCharType="end"/>
            </w:r>
          </w:hyperlink>
        </w:p>
        <w:p w14:paraId="0E906B3B" w14:textId="56DBE97F" w:rsidR="009C78E0" w:rsidRDefault="00D42060">
          <w:pPr>
            <w:pStyle w:val="TOC3"/>
            <w:tabs>
              <w:tab w:val="left" w:pos="1100"/>
              <w:tab w:val="right" w:leader="dot" w:pos="9016"/>
            </w:tabs>
            <w:rPr>
              <w:rFonts w:asciiTheme="minorHAnsi" w:eastAsiaTheme="minorEastAsia" w:hAnsiTheme="minorHAnsi" w:cstheme="minorBidi"/>
              <w:noProof/>
              <w:kern w:val="2"/>
              <w:sz w:val="22"/>
              <w:szCs w:val="22"/>
              <w:lang w:eastAsia="en-AU"/>
              <w14:ligatures w14:val="standardContextual"/>
            </w:rPr>
          </w:pPr>
          <w:hyperlink w:anchor="_Toc163220805" w:history="1">
            <w:r w:rsidR="009C78E0" w:rsidRPr="005F5FBA">
              <w:rPr>
                <w:rStyle w:val="Hyperlink"/>
                <w:noProof/>
              </w:rPr>
              <w:t>1.5.</w:t>
            </w:r>
            <w:r w:rsidR="009C78E0">
              <w:rPr>
                <w:rFonts w:asciiTheme="minorHAnsi" w:eastAsiaTheme="minorEastAsia" w:hAnsiTheme="minorHAnsi" w:cstheme="minorBidi"/>
                <w:noProof/>
                <w:kern w:val="2"/>
                <w:sz w:val="22"/>
                <w:szCs w:val="22"/>
                <w:lang w:eastAsia="en-AU"/>
                <w14:ligatures w14:val="standardContextual"/>
              </w:rPr>
              <w:tab/>
            </w:r>
            <w:r w:rsidR="009C78E0" w:rsidRPr="005F5FBA">
              <w:rPr>
                <w:rStyle w:val="Hyperlink"/>
                <w:noProof/>
              </w:rPr>
              <w:t>Terms of Reference 3: Key Findings</w:t>
            </w:r>
            <w:r w:rsidR="009C78E0">
              <w:rPr>
                <w:noProof/>
                <w:webHidden/>
              </w:rPr>
              <w:tab/>
            </w:r>
            <w:r w:rsidR="009C78E0">
              <w:rPr>
                <w:noProof/>
                <w:webHidden/>
              </w:rPr>
              <w:fldChar w:fldCharType="begin"/>
            </w:r>
            <w:r w:rsidR="009C78E0">
              <w:rPr>
                <w:noProof/>
                <w:webHidden/>
              </w:rPr>
              <w:instrText xml:space="preserve"> PAGEREF _Toc163220805 \h </w:instrText>
            </w:r>
            <w:r w:rsidR="009C78E0">
              <w:rPr>
                <w:noProof/>
                <w:webHidden/>
              </w:rPr>
            </w:r>
            <w:r w:rsidR="009C78E0">
              <w:rPr>
                <w:noProof/>
                <w:webHidden/>
              </w:rPr>
              <w:fldChar w:fldCharType="separate"/>
            </w:r>
            <w:r>
              <w:rPr>
                <w:noProof/>
                <w:webHidden/>
              </w:rPr>
              <w:t>10</w:t>
            </w:r>
            <w:r w:rsidR="009C78E0">
              <w:rPr>
                <w:noProof/>
                <w:webHidden/>
              </w:rPr>
              <w:fldChar w:fldCharType="end"/>
            </w:r>
          </w:hyperlink>
        </w:p>
        <w:p w14:paraId="556E70D7" w14:textId="15D356E2" w:rsidR="009C78E0" w:rsidRDefault="00D42060">
          <w:pPr>
            <w:pStyle w:val="TOC3"/>
            <w:tabs>
              <w:tab w:val="left" w:pos="1100"/>
              <w:tab w:val="right" w:leader="dot" w:pos="9016"/>
            </w:tabs>
            <w:rPr>
              <w:rFonts w:asciiTheme="minorHAnsi" w:eastAsiaTheme="minorEastAsia" w:hAnsiTheme="minorHAnsi" w:cstheme="minorBidi"/>
              <w:noProof/>
              <w:kern w:val="2"/>
              <w:sz w:val="22"/>
              <w:szCs w:val="22"/>
              <w:lang w:eastAsia="en-AU"/>
              <w14:ligatures w14:val="standardContextual"/>
            </w:rPr>
          </w:pPr>
          <w:hyperlink w:anchor="_Toc163220806" w:history="1">
            <w:r w:rsidR="009C78E0" w:rsidRPr="005F5FBA">
              <w:rPr>
                <w:rStyle w:val="Hyperlink"/>
                <w:noProof/>
              </w:rPr>
              <w:t>1.6.</w:t>
            </w:r>
            <w:r w:rsidR="009C78E0">
              <w:rPr>
                <w:rFonts w:asciiTheme="minorHAnsi" w:eastAsiaTheme="minorEastAsia" w:hAnsiTheme="minorHAnsi" w:cstheme="minorBidi"/>
                <w:noProof/>
                <w:kern w:val="2"/>
                <w:sz w:val="22"/>
                <w:szCs w:val="22"/>
                <w:lang w:eastAsia="en-AU"/>
                <w14:ligatures w14:val="standardContextual"/>
              </w:rPr>
              <w:tab/>
            </w:r>
            <w:r w:rsidR="009C78E0" w:rsidRPr="005F5FBA">
              <w:rPr>
                <w:rStyle w:val="Hyperlink"/>
                <w:noProof/>
              </w:rPr>
              <w:t>Term of Reference 4: Key Findings</w:t>
            </w:r>
            <w:r w:rsidR="009C78E0">
              <w:rPr>
                <w:noProof/>
                <w:webHidden/>
              </w:rPr>
              <w:tab/>
            </w:r>
            <w:r w:rsidR="009C78E0">
              <w:rPr>
                <w:noProof/>
                <w:webHidden/>
              </w:rPr>
              <w:fldChar w:fldCharType="begin"/>
            </w:r>
            <w:r w:rsidR="009C78E0">
              <w:rPr>
                <w:noProof/>
                <w:webHidden/>
              </w:rPr>
              <w:instrText xml:space="preserve"> PAGEREF _Toc163220806 \h </w:instrText>
            </w:r>
            <w:r w:rsidR="009C78E0">
              <w:rPr>
                <w:noProof/>
                <w:webHidden/>
              </w:rPr>
            </w:r>
            <w:r w:rsidR="009C78E0">
              <w:rPr>
                <w:noProof/>
                <w:webHidden/>
              </w:rPr>
              <w:fldChar w:fldCharType="separate"/>
            </w:r>
            <w:r>
              <w:rPr>
                <w:noProof/>
                <w:webHidden/>
              </w:rPr>
              <w:t>11</w:t>
            </w:r>
            <w:r w:rsidR="009C78E0">
              <w:rPr>
                <w:noProof/>
                <w:webHidden/>
              </w:rPr>
              <w:fldChar w:fldCharType="end"/>
            </w:r>
          </w:hyperlink>
        </w:p>
        <w:p w14:paraId="08EBC55B" w14:textId="39C93DE0" w:rsidR="009C78E0" w:rsidRDefault="00D42060">
          <w:pPr>
            <w:pStyle w:val="TOC2"/>
            <w:rPr>
              <w:rFonts w:asciiTheme="minorHAnsi" w:eastAsiaTheme="minorEastAsia" w:hAnsiTheme="minorHAnsi" w:cstheme="minorBidi"/>
              <w:noProof/>
              <w:kern w:val="2"/>
              <w:sz w:val="22"/>
              <w:szCs w:val="22"/>
              <w:lang w:eastAsia="en-AU"/>
              <w14:ligatures w14:val="standardContextual"/>
            </w:rPr>
          </w:pPr>
          <w:hyperlink w:anchor="_Toc163220807" w:history="1">
            <w:r w:rsidR="009C78E0" w:rsidRPr="005F5FBA">
              <w:rPr>
                <w:rStyle w:val="Hyperlink"/>
                <w:noProof/>
              </w:rPr>
              <w:t>Review outcomes</w:t>
            </w:r>
            <w:r w:rsidR="009C78E0">
              <w:rPr>
                <w:noProof/>
                <w:webHidden/>
              </w:rPr>
              <w:tab/>
            </w:r>
            <w:r w:rsidR="009C78E0">
              <w:rPr>
                <w:noProof/>
                <w:webHidden/>
              </w:rPr>
              <w:fldChar w:fldCharType="begin"/>
            </w:r>
            <w:r w:rsidR="009C78E0">
              <w:rPr>
                <w:noProof/>
                <w:webHidden/>
              </w:rPr>
              <w:instrText xml:space="preserve"> PAGEREF _Toc163220807 \h </w:instrText>
            </w:r>
            <w:r w:rsidR="009C78E0">
              <w:rPr>
                <w:noProof/>
                <w:webHidden/>
              </w:rPr>
            </w:r>
            <w:r w:rsidR="009C78E0">
              <w:rPr>
                <w:noProof/>
                <w:webHidden/>
              </w:rPr>
              <w:fldChar w:fldCharType="separate"/>
            </w:r>
            <w:r>
              <w:rPr>
                <w:noProof/>
                <w:webHidden/>
              </w:rPr>
              <w:t>14</w:t>
            </w:r>
            <w:r w:rsidR="009C78E0">
              <w:rPr>
                <w:noProof/>
                <w:webHidden/>
              </w:rPr>
              <w:fldChar w:fldCharType="end"/>
            </w:r>
          </w:hyperlink>
        </w:p>
        <w:p w14:paraId="57FEFCBD" w14:textId="5256B9BB" w:rsidR="009C78E0" w:rsidRDefault="00D42060">
          <w:pPr>
            <w:pStyle w:val="TOC3"/>
            <w:tabs>
              <w:tab w:val="left" w:pos="1100"/>
              <w:tab w:val="right" w:leader="dot" w:pos="9016"/>
            </w:tabs>
            <w:rPr>
              <w:rFonts w:asciiTheme="minorHAnsi" w:eastAsiaTheme="minorEastAsia" w:hAnsiTheme="minorHAnsi" w:cstheme="minorBidi"/>
              <w:noProof/>
              <w:kern w:val="2"/>
              <w:sz w:val="22"/>
              <w:szCs w:val="22"/>
              <w:lang w:eastAsia="en-AU"/>
              <w14:ligatures w14:val="standardContextual"/>
            </w:rPr>
          </w:pPr>
          <w:hyperlink w:anchor="_Toc163220808" w:history="1">
            <w:r w:rsidR="009C78E0" w:rsidRPr="005F5FBA">
              <w:rPr>
                <w:rStyle w:val="Hyperlink"/>
                <w:noProof/>
              </w:rPr>
              <w:t>2.2.</w:t>
            </w:r>
            <w:r w:rsidR="009C78E0">
              <w:rPr>
                <w:rFonts w:asciiTheme="minorHAnsi" w:eastAsiaTheme="minorEastAsia" w:hAnsiTheme="minorHAnsi" w:cstheme="minorBidi"/>
                <w:noProof/>
                <w:kern w:val="2"/>
                <w:sz w:val="22"/>
                <w:szCs w:val="22"/>
                <w:lang w:eastAsia="en-AU"/>
                <w14:ligatures w14:val="standardContextual"/>
              </w:rPr>
              <w:tab/>
            </w:r>
            <w:r w:rsidR="009C78E0" w:rsidRPr="005F5FBA">
              <w:rPr>
                <w:rStyle w:val="Hyperlink"/>
                <w:noProof/>
              </w:rPr>
              <w:t>Outline of matters arising from the PMR</w:t>
            </w:r>
            <w:r w:rsidR="009C78E0">
              <w:rPr>
                <w:noProof/>
                <w:webHidden/>
              </w:rPr>
              <w:tab/>
            </w:r>
            <w:r w:rsidR="009C78E0">
              <w:rPr>
                <w:noProof/>
                <w:webHidden/>
              </w:rPr>
              <w:fldChar w:fldCharType="begin"/>
            </w:r>
            <w:r w:rsidR="009C78E0">
              <w:rPr>
                <w:noProof/>
                <w:webHidden/>
              </w:rPr>
              <w:instrText xml:space="preserve"> PAGEREF _Toc163220808 \h </w:instrText>
            </w:r>
            <w:r w:rsidR="009C78E0">
              <w:rPr>
                <w:noProof/>
                <w:webHidden/>
              </w:rPr>
            </w:r>
            <w:r w:rsidR="009C78E0">
              <w:rPr>
                <w:noProof/>
                <w:webHidden/>
              </w:rPr>
              <w:fldChar w:fldCharType="separate"/>
            </w:r>
            <w:r>
              <w:rPr>
                <w:noProof/>
                <w:webHidden/>
              </w:rPr>
              <w:t>14</w:t>
            </w:r>
            <w:r w:rsidR="009C78E0">
              <w:rPr>
                <w:noProof/>
                <w:webHidden/>
              </w:rPr>
              <w:fldChar w:fldCharType="end"/>
            </w:r>
          </w:hyperlink>
        </w:p>
        <w:p w14:paraId="6C32BFD7" w14:textId="3E033F04" w:rsidR="009C78E0" w:rsidRDefault="00D42060">
          <w:pPr>
            <w:pStyle w:val="TOC3"/>
            <w:tabs>
              <w:tab w:val="left" w:pos="1100"/>
              <w:tab w:val="right" w:leader="dot" w:pos="9016"/>
            </w:tabs>
            <w:rPr>
              <w:rFonts w:asciiTheme="minorHAnsi" w:eastAsiaTheme="minorEastAsia" w:hAnsiTheme="minorHAnsi" w:cstheme="minorBidi"/>
              <w:noProof/>
              <w:kern w:val="2"/>
              <w:sz w:val="22"/>
              <w:szCs w:val="22"/>
              <w:lang w:eastAsia="en-AU"/>
              <w14:ligatures w14:val="standardContextual"/>
            </w:rPr>
          </w:pPr>
          <w:hyperlink w:anchor="_Toc163220809" w:history="1">
            <w:r w:rsidR="009C78E0" w:rsidRPr="005F5FBA">
              <w:rPr>
                <w:rStyle w:val="Hyperlink"/>
                <w:noProof/>
              </w:rPr>
              <w:t>2.3.</w:t>
            </w:r>
            <w:r w:rsidR="009C78E0">
              <w:rPr>
                <w:rFonts w:asciiTheme="minorHAnsi" w:eastAsiaTheme="minorEastAsia" w:hAnsiTheme="minorHAnsi" w:cstheme="minorBidi"/>
                <w:noProof/>
                <w:kern w:val="2"/>
                <w:sz w:val="22"/>
                <w:szCs w:val="22"/>
                <w:lang w:eastAsia="en-AU"/>
                <w14:ligatures w14:val="standardContextual"/>
              </w:rPr>
              <w:tab/>
            </w:r>
            <w:r w:rsidR="009C78E0" w:rsidRPr="005F5FBA">
              <w:rPr>
                <w:rStyle w:val="Hyperlink"/>
                <w:noProof/>
              </w:rPr>
              <w:t>Review outcomes for PBAC consideration</w:t>
            </w:r>
            <w:r w:rsidR="009C78E0">
              <w:rPr>
                <w:noProof/>
                <w:webHidden/>
              </w:rPr>
              <w:tab/>
            </w:r>
            <w:r w:rsidR="009C78E0">
              <w:rPr>
                <w:noProof/>
                <w:webHidden/>
              </w:rPr>
              <w:fldChar w:fldCharType="begin"/>
            </w:r>
            <w:r w:rsidR="009C78E0">
              <w:rPr>
                <w:noProof/>
                <w:webHidden/>
              </w:rPr>
              <w:instrText xml:space="preserve"> PAGEREF _Toc163220809 \h </w:instrText>
            </w:r>
            <w:r w:rsidR="009C78E0">
              <w:rPr>
                <w:noProof/>
                <w:webHidden/>
              </w:rPr>
            </w:r>
            <w:r w:rsidR="009C78E0">
              <w:rPr>
                <w:noProof/>
                <w:webHidden/>
              </w:rPr>
              <w:fldChar w:fldCharType="separate"/>
            </w:r>
            <w:r>
              <w:rPr>
                <w:noProof/>
                <w:webHidden/>
              </w:rPr>
              <w:t>17</w:t>
            </w:r>
            <w:r w:rsidR="009C78E0">
              <w:rPr>
                <w:noProof/>
                <w:webHidden/>
              </w:rPr>
              <w:fldChar w:fldCharType="end"/>
            </w:r>
          </w:hyperlink>
        </w:p>
        <w:p w14:paraId="71F68B7F" w14:textId="04309787" w:rsidR="009C78E0" w:rsidRDefault="00D42060">
          <w:pPr>
            <w:pStyle w:val="TOC3"/>
            <w:tabs>
              <w:tab w:val="left" w:pos="1100"/>
              <w:tab w:val="right" w:leader="dot" w:pos="9016"/>
            </w:tabs>
            <w:rPr>
              <w:rFonts w:asciiTheme="minorHAnsi" w:eastAsiaTheme="minorEastAsia" w:hAnsiTheme="minorHAnsi" w:cstheme="minorBidi"/>
              <w:noProof/>
              <w:kern w:val="2"/>
              <w:sz w:val="22"/>
              <w:szCs w:val="22"/>
              <w:lang w:eastAsia="en-AU"/>
              <w14:ligatures w14:val="standardContextual"/>
            </w:rPr>
          </w:pPr>
          <w:hyperlink w:anchor="_Toc163220810" w:history="1">
            <w:r w:rsidR="009C78E0" w:rsidRPr="005F5FBA">
              <w:rPr>
                <w:rStyle w:val="Hyperlink"/>
                <w:noProof/>
              </w:rPr>
              <w:t>2.4.</w:t>
            </w:r>
            <w:r w:rsidR="009C78E0">
              <w:rPr>
                <w:rFonts w:asciiTheme="minorHAnsi" w:eastAsiaTheme="minorEastAsia" w:hAnsiTheme="minorHAnsi" w:cstheme="minorBidi"/>
                <w:noProof/>
                <w:kern w:val="2"/>
                <w:sz w:val="22"/>
                <w:szCs w:val="22"/>
                <w:lang w:eastAsia="en-AU"/>
                <w14:ligatures w14:val="standardContextual"/>
              </w:rPr>
              <w:tab/>
            </w:r>
            <w:r w:rsidR="009C78E0" w:rsidRPr="005F5FBA">
              <w:rPr>
                <w:rStyle w:val="Hyperlink"/>
                <w:noProof/>
              </w:rPr>
              <w:t>Other advice the PBAC may wish to consider providing to Government</w:t>
            </w:r>
            <w:r w:rsidR="009C78E0">
              <w:rPr>
                <w:noProof/>
                <w:webHidden/>
              </w:rPr>
              <w:tab/>
            </w:r>
            <w:r w:rsidR="009C78E0">
              <w:rPr>
                <w:noProof/>
                <w:webHidden/>
              </w:rPr>
              <w:fldChar w:fldCharType="begin"/>
            </w:r>
            <w:r w:rsidR="009C78E0">
              <w:rPr>
                <w:noProof/>
                <w:webHidden/>
              </w:rPr>
              <w:instrText xml:space="preserve"> PAGEREF _Toc163220810 \h </w:instrText>
            </w:r>
            <w:r w:rsidR="009C78E0">
              <w:rPr>
                <w:noProof/>
                <w:webHidden/>
              </w:rPr>
            </w:r>
            <w:r w:rsidR="009C78E0">
              <w:rPr>
                <w:noProof/>
                <w:webHidden/>
              </w:rPr>
              <w:fldChar w:fldCharType="separate"/>
            </w:r>
            <w:r>
              <w:rPr>
                <w:noProof/>
                <w:webHidden/>
              </w:rPr>
              <w:t>19</w:t>
            </w:r>
            <w:r w:rsidR="009C78E0">
              <w:rPr>
                <w:noProof/>
                <w:webHidden/>
              </w:rPr>
              <w:fldChar w:fldCharType="end"/>
            </w:r>
          </w:hyperlink>
        </w:p>
        <w:p w14:paraId="1A5272A9" w14:textId="2AE1D271" w:rsidR="009C78E0" w:rsidRDefault="00D42060">
          <w:pPr>
            <w:pStyle w:val="TOC2"/>
            <w:rPr>
              <w:rFonts w:asciiTheme="minorHAnsi" w:eastAsiaTheme="minorEastAsia" w:hAnsiTheme="minorHAnsi" w:cstheme="minorBidi"/>
              <w:noProof/>
              <w:kern w:val="2"/>
              <w:sz w:val="22"/>
              <w:szCs w:val="22"/>
              <w:lang w:eastAsia="en-AU"/>
              <w14:ligatures w14:val="standardContextual"/>
            </w:rPr>
          </w:pPr>
          <w:hyperlink w:anchor="_Toc163220811" w:history="1">
            <w:r w:rsidR="009C78E0" w:rsidRPr="005F5FBA">
              <w:rPr>
                <w:rStyle w:val="Hyperlink"/>
                <w:noProof/>
              </w:rPr>
              <w:t>References</w:t>
            </w:r>
            <w:r w:rsidR="009C78E0">
              <w:rPr>
                <w:noProof/>
                <w:webHidden/>
              </w:rPr>
              <w:tab/>
            </w:r>
            <w:r w:rsidR="009C78E0">
              <w:rPr>
                <w:noProof/>
                <w:webHidden/>
              </w:rPr>
              <w:fldChar w:fldCharType="begin"/>
            </w:r>
            <w:r w:rsidR="009C78E0">
              <w:rPr>
                <w:noProof/>
                <w:webHidden/>
              </w:rPr>
              <w:instrText xml:space="preserve"> PAGEREF _Toc163220811 \h </w:instrText>
            </w:r>
            <w:r w:rsidR="009C78E0">
              <w:rPr>
                <w:noProof/>
                <w:webHidden/>
              </w:rPr>
            </w:r>
            <w:r w:rsidR="009C78E0">
              <w:rPr>
                <w:noProof/>
                <w:webHidden/>
              </w:rPr>
              <w:fldChar w:fldCharType="separate"/>
            </w:r>
            <w:r>
              <w:rPr>
                <w:noProof/>
                <w:webHidden/>
              </w:rPr>
              <w:t>22</w:t>
            </w:r>
            <w:r w:rsidR="009C78E0">
              <w:rPr>
                <w:noProof/>
                <w:webHidden/>
              </w:rPr>
              <w:fldChar w:fldCharType="end"/>
            </w:r>
          </w:hyperlink>
        </w:p>
        <w:p w14:paraId="489C9048" w14:textId="32345414" w:rsidR="00D21062" w:rsidRDefault="00934954" w:rsidP="00D21062">
          <w:pPr>
            <w:rPr>
              <w:b/>
              <w:bCs/>
              <w:noProof/>
            </w:rPr>
          </w:pPr>
          <w:r>
            <w:rPr>
              <w:rFonts w:asciiTheme="minorHAnsi" w:eastAsiaTheme="minorEastAsia" w:hAnsiTheme="minorHAnsi"/>
              <w:sz w:val="22"/>
              <w:szCs w:val="22"/>
              <w:lang w:val="en-US"/>
            </w:rPr>
            <w:fldChar w:fldCharType="end"/>
          </w:r>
        </w:p>
      </w:sdtContent>
    </w:sdt>
    <w:bookmarkEnd w:id="2" w:displacedByCustomXml="prev"/>
    <w:p w14:paraId="130D2B37" w14:textId="12B4145C" w:rsidR="00A80C32" w:rsidRDefault="00A80C32">
      <w:pPr>
        <w:spacing w:after="160" w:line="259" w:lineRule="auto"/>
        <w:jc w:val="left"/>
      </w:pPr>
      <w:r>
        <w:br w:type="page"/>
      </w:r>
    </w:p>
    <w:p w14:paraId="38765114" w14:textId="660B32F8" w:rsidR="00A60594" w:rsidRDefault="00363A7A" w:rsidP="00227EAB">
      <w:pPr>
        <w:pStyle w:val="Heading2"/>
      </w:pPr>
      <w:bookmarkStart w:id="3" w:name="_Toc163220798"/>
      <w:bookmarkStart w:id="4" w:name="_Hlk127424499"/>
      <w:r>
        <w:lastRenderedPageBreak/>
        <w:t>Terminology and Abbreviations</w:t>
      </w:r>
      <w:bookmarkEnd w:id="3"/>
    </w:p>
    <w:p w14:paraId="2AB2435C" w14:textId="77777777" w:rsidR="00363A7A" w:rsidRDefault="00363A7A" w:rsidP="00C11C23">
      <w:pPr>
        <w:pStyle w:val="Heading5"/>
      </w:pPr>
      <w:r>
        <w:t>Terminology</w:t>
      </w:r>
    </w:p>
    <w:p w14:paraId="6DF636A9" w14:textId="77777777" w:rsidR="00147D91" w:rsidRDefault="00147D91" w:rsidP="00147D91">
      <w:r>
        <w:t>The report uses the term “consumer” rather than “client” or “individual” to mean people with opioid dependence in the context of opioid dependence treatment programs. The term “patient” is used in contexts that are medical in nature.</w:t>
      </w:r>
    </w:p>
    <w:p w14:paraId="199BD234" w14:textId="77777777" w:rsidR="00147D91" w:rsidRPr="001A3E2C" w:rsidRDefault="00147D91" w:rsidP="00147D91">
      <w:pPr>
        <w:rPr>
          <w:rStyle w:val="normaltextrun"/>
        </w:rPr>
      </w:pPr>
      <w:r w:rsidRPr="00420E81">
        <w:rPr>
          <w:rStyle w:val="normaltextrun"/>
          <w:rFonts w:cs="Calibri"/>
          <w:color w:val="000000"/>
          <w:shd w:val="clear" w:color="auto" w:fill="FFFFFF"/>
        </w:rPr>
        <w:t xml:space="preserve">Varying terms (and their acronyms) are </w:t>
      </w:r>
      <w:r>
        <w:rPr>
          <w:rStyle w:val="normaltextrun"/>
          <w:rFonts w:cs="Calibri"/>
          <w:color w:val="000000"/>
          <w:shd w:val="clear" w:color="auto" w:fill="FFFFFF"/>
        </w:rPr>
        <w:t>often</w:t>
      </w:r>
      <w:r w:rsidRPr="00420E81">
        <w:rPr>
          <w:rStyle w:val="normaltextrun"/>
          <w:rFonts w:cs="Calibri"/>
          <w:color w:val="000000"/>
          <w:shd w:val="clear" w:color="auto" w:fill="FFFFFF"/>
        </w:rPr>
        <w:t xml:space="preserve"> used to describe treatment of opioid </w:t>
      </w:r>
      <w:r>
        <w:rPr>
          <w:rStyle w:val="normaltextrun"/>
          <w:rFonts w:cs="Calibri"/>
          <w:color w:val="000000"/>
          <w:shd w:val="clear" w:color="auto" w:fill="FFFFFF"/>
        </w:rPr>
        <w:t>dependence</w:t>
      </w:r>
      <w:r w:rsidRPr="00420E81">
        <w:rPr>
          <w:rStyle w:val="normaltextrun"/>
          <w:rFonts w:cs="Calibri"/>
          <w:color w:val="000000"/>
          <w:shd w:val="clear" w:color="auto" w:fill="FFFFFF"/>
        </w:rPr>
        <w:t xml:space="preserve"> with medicines, including </w:t>
      </w:r>
      <w:r>
        <w:rPr>
          <w:rStyle w:val="normaltextrun"/>
          <w:rFonts w:cs="Calibri"/>
          <w:color w:val="000000"/>
          <w:shd w:val="clear" w:color="auto" w:fill="FFFFFF"/>
        </w:rPr>
        <w:t xml:space="preserve">opioid agonist treatment (OAT), </w:t>
      </w:r>
      <w:r w:rsidRPr="00420E81">
        <w:rPr>
          <w:rStyle w:val="normaltextrun"/>
          <w:rFonts w:cs="Calibri"/>
          <w:color w:val="000000"/>
          <w:shd w:val="clear" w:color="auto" w:fill="FFFFFF"/>
        </w:rPr>
        <w:t>opioid substitution therapy (OST)</w:t>
      </w:r>
      <w:r>
        <w:rPr>
          <w:rStyle w:val="normaltextrun"/>
          <w:rFonts w:cs="Calibri"/>
          <w:color w:val="000000"/>
          <w:shd w:val="clear" w:color="auto" w:fill="FFFFFF"/>
        </w:rPr>
        <w:t xml:space="preserve">, opioid maintenance treatment (OMT), </w:t>
      </w:r>
      <w:r w:rsidRPr="00420E81">
        <w:rPr>
          <w:rStyle w:val="normaltextrun"/>
          <w:rFonts w:cs="Calibri"/>
          <w:color w:val="000000"/>
          <w:shd w:val="clear" w:color="auto" w:fill="FFFFFF"/>
        </w:rPr>
        <w:t>opioid replacement therapy (ORT)</w:t>
      </w:r>
      <w:r>
        <w:rPr>
          <w:rStyle w:val="normaltextrun"/>
          <w:rFonts w:cs="Calibri"/>
          <w:color w:val="000000"/>
          <w:shd w:val="clear" w:color="auto" w:fill="FFFFFF"/>
        </w:rPr>
        <w:t xml:space="preserve"> and medication assisted treatment for opioid dependence (MATOD)</w:t>
      </w:r>
      <w:r w:rsidRPr="00420E81">
        <w:rPr>
          <w:rStyle w:val="normaltextrun"/>
          <w:rFonts w:cs="Calibri"/>
          <w:color w:val="000000"/>
          <w:shd w:val="clear" w:color="auto" w:fill="FFFFFF"/>
        </w:rPr>
        <w:t xml:space="preserve">. </w:t>
      </w:r>
      <w:r w:rsidRPr="001A3E2C">
        <w:rPr>
          <w:rStyle w:val="normaltextrun"/>
          <w:rFonts w:cs="Calibri"/>
          <w:color w:val="000000"/>
          <w:shd w:val="clear" w:color="auto" w:fill="FFFFFF"/>
        </w:rPr>
        <w:t>In this report we use</w:t>
      </w:r>
      <w:r w:rsidRPr="001A3E2C">
        <w:rPr>
          <w:rStyle w:val="normaltextrun"/>
          <w:rFonts w:cs="Calibri"/>
          <w:b/>
          <w:bCs/>
          <w:color w:val="000000"/>
          <w:shd w:val="clear" w:color="auto" w:fill="FFFFFF"/>
        </w:rPr>
        <w:t xml:space="preserve"> </w:t>
      </w:r>
      <w:r>
        <w:rPr>
          <w:rStyle w:val="normaltextrun"/>
          <w:rFonts w:cs="Calibri"/>
          <w:b/>
          <w:bCs/>
          <w:color w:val="000000"/>
          <w:shd w:val="clear" w:color="auto" w:fill="FFFFFF"/>
        </w:rPr>
        <w:t>‘</w:t>
      </w:r>
      <w:r w:rsidRPr="001A3E2C">
        <w:rPr>
          <w:rStyle w:val="normaltextrun"/>
          <w:rFonts w:cs="Calibri"/>
          <w:b/>
          <w:bCs/>
          <w:color w:val="000000"/>
          <w:shd w:val="clear" w:color="auto" w:fill="FFFFFF"/>
        </w:rPr>
        <w:t xml:space="preserve">opioid </w:t>
      </w:r>
      <w:r>
        <w:rPr>
          <w:rStyle w:val="normaltextrun"/>
          <w:rFonts w:cs="Calibri"/>
          <w:b/>
          <w:bCs/>
          <w:color w:val="000000"/>
          <w:shd w:val="clear" w:color="auto" w:fill="FFFFFF"/>
        </w:rPr>
        <w:t xml:space="preserve">dependence </w:t>
      </w:r>
      <w:r w:rsidRPr="001A3E2C">
        <w:rPr>
          <w:rStyle w:val="normaltextrun"/>
          <w:rFonts w:cs="Calibri"/>
          <w:b/>
          <w:bCs/>
          <w:color w:val="000000"/>
          <w:shd w:val="clear" w:color="auto" w:fill="FFFFFF"/>
        </w:rPr>
        <w:t>treatment (O</w:t>
      </w:r>
      <w:r>
        <w:rPr>
          <w:rStyle w:val="normaltextrun"/>
          <w:rFonts w:cs="Calibri"/>
          <w:b/>
          <w:bCs/>
          <w:color w:val="000000"/>
          <w:shd w:val="clear" w:color="auto" w:fill="FFFFFF"/>
        </w:rPr>
        <w:t>D</w:t>
      </w:r>
      <w:r w:rsidRPr="001A3E2C">
        <w:rPr>
          <w:rStyle w:val="normaltextrun"/>
          <w:rFonts w:cs="Calibri"/>
          <w:b/>
          <w:bCs/>
          <w:color w:val="000000"/>
          <w:shd w:val="clear" w:color="auto" w:fill="FFFFFF"/>
        </w:rPr>
        <w:t xml:space="preserve">T) </w:t>
      </w:r>
      <w:r>
        <w:rPr>
          <w:rStyle w:val="normaltextrun"/>
          <w:rFonts w:cs="Calibri"/>
          <w:b/>
          <w:bCs/>
          <w:color w:val="000000"/>
          <w:shd w:val="clear" w:color="auto" w:fill="FFFFFF"/>
        </w:rPr>
        <w:t xml:space="preserve">medicines’ </w:t>
      </w:r>
      <w:r w:rsidRPr="001A3E2C">
        <w:rPr>
          <w:rStyle w:val="normaltextrun"/>
          <w:rFonts w:cs="Calibri"/>
          <w:b/>
          <w:bCs/>
          <w:color w:val="000000"/>
          <w:shd w:val="clear" w:color="auto" w:fill="FFFFFF"/>
        </w:rPr>
        <w:t xml:space="preserve">to refer to the pharmacotherapy </w:t>
      </w:r>
      <w:r>
        <w:rPr>
          <w:rStyle w:val="normaltextrun"/>
          <w:rFonts w:cs="Calibri"/>
          <w:b/>
          <w:bCs/>
          <w:color w:val="000000"/>
          <w:shd w:val="clear" w:color="auto" w:fill="FFFFFF"/>
        </w:rPr>
        <w:t xml:space="preserve">(or </w:t>
      </w:r>
      <w:r w:rsidRPr="001A3E2C">
        <w:rPr>
          <w:rStyle w:val="normaltextrun"/>
          <w:rFonts w:cs="Calibri"/>
          <w:b/>
          <w:bCs/>
          <w:color w:val="000000"/>
          <w:shd w:val="clear" w:color="auto" w:fill="FFFFFF"/>
        </w:rPr>
        <w:t>medicines) used for the treatment of opioid dependence</w:t>
      </w:r>
      <w:r>
        <w:rPr>
          <w:rStyle w:val="normaltextrun"/>
          <w:rFonts w:cs="Calibri"/>
          <w:b/>
          <w:bCs/>
          <w:color w:val="000000"/>
          <w:shd w:val="clear" w:color="auto" w:fill="FFFFFF"/>
        </w:rPr>
        <w:t xml:space="preserve"> listed on the </w:t>
      </w:r>
      <w:r>
        <w:rPr>
          <w:rStyle w:val="normaltextrun"/>
          <w:b/>
          <w:bCs/>
        </w:rPr>
        <w:t>Pharmaceutical Benefits Scheme (PBS)</w:t>
      </w:r>
      <w:r w:rsidRPr="001A3E2C">
        <w:rPr>
          <w:rStyle w:val="normaltextrun"/>
          <w:rFonts w:cs="Calibri"/>
          <w:b/>
          <w:bCs/>
          <w:color w:val="000000"/>
          <w:shd w:val="clear" w:color="auto" w:fill="FFFFFF"/>
        </w:rPr>
        <w:t xml:space="preserve">, </w:t>
      </w:r>
      <w:r w:rsidRPr="001A3E2C">
        <w:rPr>
          <w:rStyle w:val="normaltextrun"/>
          <w:rFonts w:cs="Calibri"/>
          <w:color w:val="000000"/>
          <w:shd w:val="clear" w:color="auto" w:fill="FFFFFF"/>
        </w:rPr>
        <w:t>although all terms have limitations. </w:t>
      </w:r>
      <w:r w:rsidRPr="001A3E2C">
        <w:rPr>
          <w:rStyle w:val="normaltextrun"/>
        </w:rPr>
        <w:t> </w:t>
      </w:r>
    </w:p>
    <w:p w14:paraId="09DBE272" w14:textId="77777777" w:rsidR="00147D91" w:rsidRPr="001A3E2C" w:rsidRDefault="00147D91" w:rsidP="00147D91">
      <w:pPr>
        <w:rPr>
          <w:rStyle w:val="normaltextrun"/>
          <w:b/>
          <w:bCs/>
        </w:rPr>
      </w:pPr>
      <w:r>
        <w:rPr>
          <w:rStyle w:val="normaltextrun"/>
        </w:rPr>
        <w:t>The term ‘</w:t>
      </w:r>
      <w:r>
        <w:rPr>
          <w:rStyle w:val="normaltextrun"/>
          <w:b/>
          <w:bCs/>
        </w:rPr>
        <w:t>ODT</w:t>
      </w:r>
      <w:r w:rsidRPr="001A3E2C">
        <w:rPr>
          <w:rStyle w:val="normaltextrun"/>
          <w:b/>
          <w:bCs/>
        </w:rPr>
        <w:t xml:space="preserve"> </w:t>
      </w:r>
      <w:r>
        <w:rPr>
          <w:rStyle w:val="normaltextrun"/>
          <w:b/>
          <w:bCs/>
        </w:rPr>
        <w:t xml:space="preserve">programs’ </w:t>
      </w:r>
      <w:r w:rsidRPr="001A3E2C">
        <w:rPr>
          <w:rStyle w:val="normaltextrun"/>
          <w:b/>
          <w:bCs/>
        </w:rPr>
        <w:t xml:space="preserve">is used to describe the broader treatment of opioid dependence provided by individual jurisdictional programs. </w:t>
      </w:r>
    </w:p>
    <w:p w14:paraId="538AE2D0" w14:textId="77777777" w:rsidR="00147D91" w:rsidRDefault="00147D91" w:rsidP="00147D91">
      <w:pPr>
        <w:rPr>
          <w:rStyle w:val="normaltextrun"/>
        </w:rPr>
      </w:pPr>
      <w:r>
        <w:rPr>
          <w:rStyle w:val="normaltextrun"/>
        </w:rPr>
        <w:t xml:space="preserve">The </w:t>
      </w:r>
      <w:r w:rsidRPr="001A3E2C">
        <w:rPr>
          <w:rStyle w:val="normaltextrun"/>
        </w:rPr>
        <w:t>abbreviation</w:t>
      </w:r>
      <w:r w:rsidRPr="001A3E2C">
        <w:rPr>
          <w:rStyle w:val="normaltextrun"/>
          <w:b/>
          <w:bCs/>
        </w:rPr>
        <w:t xml:space="preserve"> </w:t>
      </w:r>
      <w:r>
        <w:rPr>
          <w:rStyle w:val="normaltextrun"/>
          <w:b/>
          <w:bCs/>
        </w:rPr>
        <w:t xml:space="preserve">‘PBS </w:t>
      </w:r>
      <w:r w:rsidRPr="001A3E2C">
        <w:rPr>
          <w:rStyle w:val="normaltextrun"/>
          <w:b/>
          <w:bCs/>
        </w:rPr>
        <w:t>ODTP</w:t>
      </w:r>
      <w:r>
        <w:rPr>
          <w:rStyle w:val="normaltextrun"/>
          <w:b/>
          <w:bCs/>
        </w:rPr>
        <w:t>’</w:t>
      </w:r>
      <w:r w:rsidRPr="001A3E2C">
        <w:rPr>
          <w:rStyle w:val="normaltextrun"/>
          <w:b/>
          <w:bCs/>
        </w:rPr>
        <w:t xml:space="preserve"> is used to identify the Australian Government’s Section 100 (S100) </w:t>
      </w:r>
      <w:r>
        <w:rPr>
          <w:rStyle w:val="normaltextrun"/>
          <w:b/>
          <w:bCs/>
        </w:rPr>
        <w:t>PBS</w:t>
      </w:r>
      <w:r w:rsidRPr="001A3E2C">
        <w:rPr>
          <w:rStyle w:val="normaltextrun"/>
          <w:b/>
          <w:bCs/>
        </w:rPr>
        <w:t xml:space="preserve"> Opiate Dependence Treatment Program specifically</w:t>
      </w:r>
      <w:r>
        <w:rPr>
          <w:rStyle w:val="normaltextrun"/>
        </w:rPr>
        <w:t>.</w:t>
      </w:r>
    </w:p>
    <w:p w14:paraId="122C36A2" w14:textId="3175E083" w:rsidR="00147D91" w:rsidRDefault="00147D91" w:rsidP="00147D91">
      <w:pPr>
        <w:rPr>
          <w:rStyle w:val="normaltextrun"/>
        </w:rPr>
      </w:pPr>
      <w:r>
        <w:rPr>
          <w:rStyle w:val="normaltextrun"/>
        </w:rPr>
        <w:t xml:space="preserve">The abbreviation ‘ODTP PMR’ is used to identify the Post-market Review of </w:t>
      </w:r>
      <w:r w:rsidR="00417092">
        <w:rPr>
          <w:rStyle w:val="normaltextrun"/>
        </w:rPr>
        <w:t xml:space="preserve">Opioid </w:t>
      </w:r>
      <w:r>
        <w:rPr>
          <w:rStyle w:val="normaltextrun"/>
        </w:rPr>
        <w:t>Dependence Treatment Program medicines. The term ‘the Review’ is also used.</w:t>
      </w:r>
    </w:p>
    <w:p w14:paraId="38E7A53B" w14:textId="34ACCEB1" w:rsidR="00CA3F41" w:rsidRPr="00420E81" w:rsidRDefault="00147D91" w:rsidP="00147D91">
      <w:pPr>
        <w:rPr>
          <w:b/>
          <w:bCs/>
        </w:rPr>
      </w:pPr>
      <w:r>
        <w:t>The term buprenorphine + naloxone is used to describe the buprenorphine with naloxone combination</w:t>
      </w:r>
      <w:r w:rsidRPr="00420E81">
        <w:rPr>
          <w:rStyle w:val="normaltextrun"/>
          <w:rFonts w:cs="Calibri"/>
          <w:color w:val="000000"/>
          <w:shd w:val="clear" w:color="auto" w:fill="FFFFFF"/>
        </w:rPr>
        <w:t>.</w:t>
      </w:r>
      <w:r>
        <w:rPr>
          <w:rStyle w:val="normaltextrun"/>
          <w:rFonts w:cs="Calibri"/>
          <w:color w:val="000000"/>
          <w:shd w:val="clear" w:color="auto" w:fill="FFFFFF"/>
        </w:rPr>
        <w:t xml:space="preserve"> </w:t>
      </w:r>
      <w:r>
        <w:t>Where referred to together</w:t>
      </w:r>
      <w:r w:rsidRPr="00407F8D">
        <w:t>, the term buprenorphine</w:t>
      </w:r>
      <w:r w:rsidR="00D55C28">
        <w:t xml:space="preserve"> </w:t>
      </w:r>
      <w:r w:rsidRPr="00407F8D">
        <w:t>+/- naloxone is used to describe both buprenorphine with</w:t>
      </w:r>
      <w:r>
        <w:t>out</w:t>
      </w:r>
      <w:r w:rsidRPr="00407F8D">
        <w:t xml:space="preserve"> naloxone and the buprenorphine</w:t>
      </w:r>
      <w:r>
        <w:t xml:space="preserve"> with </w:t>
      </w:r>
      <w:r w:rsidRPr="00407F8D">
        <w:t>naloxone combination</w:t>
      </w:r>
      <w:r w:rsidR="00CA3F41" w:rsidRPr="00420E81">
        <w:rPr>
          <w:rStyle w:val="normaltextrun"/>
          <w:rFonts w:cs="Calibri"/>
          <w:color w:val="000000"/>
          <w:shd w:val="clear" w:color="auto" w:fill="FFFFFF"/>
        </w:rPr>
        <w:t>.</w:t>
      </w:r>
    </w:p>
    <w:bookmarkEnd w:id="4"/>
    <w:p w14:paraId="2F86DB22" w14:textId="77777777" w:rsidR="001F744A" w:rsidRDefault="001F744A">
      <w:pPr>
        <w:spacing w:after="160" w:line="259" w:lineRule="auto"/>
        <w:jc w:val="left"/>
        <w:rPr>
          <w:rFonts w:asciiTheme="majorHAnsi" w:eastAsiaTheme="majorEastAsia" w:hAnsiTheme="majorHAnsi" w:cstheme="majorBidi"/>
          <w:color w:val="2F5496" w:themeColor="accent1" w:themeShade="BF"/>
        </w:rPr>
      </w:pPr>
      <w:r>
        <w:br w:type="page"/>
      </w:r>
    </w:p>
    <w:p w14:paraId="558CAB33" w14:textId="1299C0D1" w:rsidR="00CA3F41" w:rsidRDefault="00363A7A" w:rsidP="00C11C23">
      <w:pPr>
        <w:pStyle w:val="Heading5"/>
      </w:pPr>
      <w:bookmarkStart w:id="5" w:name="_Hlk127424695"/>
      <w:r>
        <w:lastRenderedPageBreak/>
        <w:t>Abbreviations</w:t>
      </w:r>
    </w:p>
    <w:tbl>
      <w:tblPr>
        <w:tblStyle w:val="TableGrid"/>
        <w:tblW w:w="9493" w:type="dxa"/>
        <w:tblInd w:w="0" w:type="dxa"/>
        <w:tblLook w:val="04A0" w:firstRow="1" w:lastRow="0" w:firstColumn="1" w:lastColumn="0" w:noHBand="0" w:noVBand="1"/>
        <w:tblCaption w:val="Abbreviations"/>
        <w:tblDescription w:val="ACCHO Aboriginal Community Controlled Health Organisations&#10;AEMP Approved Ex-manufacturer Price&#10;CAMH Centre for Addiction and Mental Health&#10;CTG Closing the Gap&#10;Forum Stakeholder Forum&#10;GP General Practitioner&#10;LAIB Long-acting injectable buprenorphine (or modified release buprenorphine)&#10;Legislation Register Federal Register of Legislation&#10;MBS Medicare Benefits Schedule&#10;National Guidelines National Guidelines for Medication-Assisted Treatment of Opioid Dependence 2014&#10;NDARC National Drug and Alcohol Research Centre&#10;NH Act National Health Act 1953&#10;NICE National Institute for Health Care Excellence&#10;NOPSAD National Opioid Pharmacotherapy Statistics Annual Data &#10;ODT Opioid Dependence Treatment&#10;ODTP Australian Government’s PBS Opiate Dependence Treatment Program&#10;OAT Opioid Agonist Treatment&#10;PBAC Pharmaceutical Benefits Advisory Committee&#10;PBS Pharmaceutical Benefits Scheme&#10;PMR Post-market Review&#10;PSA Pharmaceutical Society of Australia&#10;RCT Randomised Control Trials&#10;S100 Section 100 of the National Health Act 1953&#10;S85 Section 85 of the National Health Act 1953&#10;TGA Therapeutic Goods Administration&#10;TOR Term(s) of Reference&#10;TSQM Treatment Satisfaction Questionnaire for Medication&#10;WHO World Health Organization&#10;"/>
      </w:tblPr>
      <w:tblGrid>
        <w:gridCol w:w="2122"/>
        <w:gridCol w:w="7371"/>
      </w:tblGrid>
      <w:tr w:rsidR="00CA3F41" w:rsidRPr="00407F8D" w14:paraId="7B170C6C" w14:textId="77777777" w:rsidTr="00A74BD9">
        <w:tc>
          <w:tcPr>
            <w:tcW w:w="2122" w:type="dxa"/>
            <w:shd w:val="clear" w:color="auto" w:fill="D0CECE" w:themeFill="background2" w:themeFillShade="E6"/>
          </w:tcPr>
          <w:p w14:paraId="6D65A747" w14:textId="77777777" w:rsidR="00CA3F41" w:rsidRPr="00407F8D" w:rsidRDefault="00CA3F41" w:rsidP="00407F8D">
            <w:pPr>
              <w:rPr>
                <w:b/>
                <w:bCs/>
              </w:rPr>
            </w:pPr>
            <w:bookmarkStart w:id="6" w:name="_Hlk120531003"/>
            <w:r w:rsidRPr="00407F8D">
              <w:rPr>
                <w:b/>
                <w:bCs/>
              </w:rPr>
              <w:t>Abbreviation</w:t>
            </w:r>
          </w:p>
        </w:tc>
        <w:tc>
          <w:tcPr>
            <w:tcW w:w="7371" w:type="dxa"/>
            <w:shd w:val="clear" w:color="auto" w:fill="D0CECE" w:themeFill="background2" w:themeFillShade="E6"/>
          </w:tcPr>
          <w:p w14:paraId="6FCF3451" w14:textId="77777777" w:rsidR="00CA3F41" w:rsidRPr="00407F8D" w:rsidRDefault="00CA3F41" w:rsidP="00407F8D">
            <w:pPr>
              <w:rPr>
                <w:b/>
                <w:bCs/>
              </w:rPr>
            </w:pPr>
            <w:r>
              <w:rPr>
                <w:b/>
                <w:bCs/>
              </w:rPr>
              <w:t>Full Name / Wording</w:t>
            </w:r>
          </w:p>
        </w:tc>
      </w:tr>
      <w:tr w:rsidR="00CA3F41" w14:paraId="52A6807B" w14:textId="77777777" w:rsidTr="00A74BD9">
        <w:tc>
          <w:tcPr>
            <w:tcW w:w="2122" w:type="dxa"/>
          </w:tcPr>
          <w:p w14:paraId="3E4474F5" w14:textId="77777777" w:rsidR="00CA3F41" w:rsidRDefault="00CA3F41" w:rsidP="00407F8D">
            <w:r>
              <w:t>ACCHO</w:t>
            </w:r>
          </w:p>
        </w:tc>
        <w:tc>
          <w:tcPr>
            <w:tcW w:w="7371" w:type="dxa"/>
          </w:tcPr>
          <w:p w14:paraId="6347C03B" w14:textId="77777777" w:rsidR="00CA3F41" w:rsidRDefault="00CA3F41" w:rsidP="00407F8D">
            <w:r>
              <w:t>Aboriginal Community Controlled Health Organisations</w:t>
            </w:r>
          </w:p>
        </w:tc>
      </w:tr>
      <w:tr w:rsidR="00D55C28" w14:paraId="1B42FFED" w14:textId="77777777" w:rsidTr="00A74BD9">
        <w:tc>
          <w:tcPr>
            <w:tcW w:w="2122" w:type="dxa"/>
          </w:tcPr>
          <w:p w14:paraId="3516FA8A" w14:textId="472DBCE4" w:rsidR="00D55C28" w:rsidRDefault="00D55C28" w:rsidP="00407F8D">
            <w:r>
              <w:t>CTG</w:t>
            </w:r>
          </w:p>
        </w:tc>
        <w:tc>
          <w:tcPr>
            <w:tcW w:w="7371" w:type="dxa"/>
          </w:tcPr>
          <w:p w14:paraId="4D9654E0" w14:textId="2BF7BFCF" w:rsidR="00D55C28" w:rsidRDefault="00D55C28" w:rsidP="00407F8D">
            <w:r>
              <w:t>Closing the Gap</w:t>
            </w:r>
          </w:p>
        </w:tc>
      </w:tr>
      <w:tr w:rsidR="00161F50" w14:paraId="67DEF1A6" w14:textId="77777777" w:rsidTr="00A74BD9">
        <w:tc>
          <w:tcPr>
            <w:tcW w:w="2122" w:type="dxa"/>
          </w:tcPr>
          <w:p w14:paraId="4B4E7C42" w14:textId="0946867E" w:rsidR="00161F50" w:rsidRPr="00630E93" w:rsidRDefault="00161F50" w:rsidP="00407F8D">
            <w:r>
              <w:t>GP</w:t>
            </w:r>
          </w:p>
        </w:tc>
        <w:tc>
          <w:tcPr>
            <w:tcW w:w="7371" w:type="dxa"/>
          </w:tcPr>
          <w:p w14:paraId="1D01C493" w14:textId="281D0660" w:rsidR="00161F50" w:rsidRDefault="00161F50" w:rsidP="00407F8D">
            <w:r>
              <w:t>General Practitioner</w:t>
            </w:r>
          </w:p>
        </w:tc>
      </w:tr>
      <w:tr w:rsidR="00CA3F41" w14:paraId="276E03A0" w14:textId="77777777" w:rsidTr="00A74BD9">
        <w:tc>
          <w:tcPr>
            <w:tcW w:w="2122" w:type="dxa"/>
          </w:tcPr>
          <w:p w14:paraId="1CC986F3" w14:textId="77777777" w:rsidR="00CA3F41" w:rsidRDefault="00CA3F41" w:rsidP="00407F8D">
            <w:r>
              <w:t>LAIB</w:t>
            </w:r>
          </w:p>
        </w:tc>
        <w:tc>
          <w:tcPr>
            <w:tcW w:w="7371" w:type="dxa"/>
          </w:tcPr>
          <w:p w14:paraId="7A4AECDE" w14:textId="4C8759E4" w:rsidR="00CA3F41" w:rsidRDefault="00CA3F41" w:rsidP="00407F8D">
            <w:r>
              <w:t>Long-acting injectable buprenorphine</w:t>
            </w:r>
            <w:r w:rsidR="00B86AFA">
              <w:t xml:space="preserve"> (or modified release buprenorphine)</w:t>
            </w:r>
          </w:p>
        </w:tc>
      </w:tr>
      <w:tr w:rsidR="00A75CCC" w14:paraId="4C090D4B" w14:textId="77777777" w:rsidTr="00A74BD9">
        <w:tc>
          <w:tcPr>
            <w:tcW w:w="2122" w:type="dxa"/>
          </w:tcPr>
          <w:p w14:paraId="3C1EC5F8" w14:textId="33CAAC1F" w:rsidR="00A75CCC" w:rsidRDefault="00A75CCC" w:rsidP="00A75CCC">
            <w:r>
              <w:t>MBS</w:t>
            </w:r>
          </w:p>
        </w:tc>
        <w:tc>
          <w:tcPr>
            <w:tcW w:w="7371" w:type="dxa"/>
          </w:tcPr>
          <w:p w14:paraId="039D7E75" w14:textId="720D7FA8" w:rsidR="00A75CCC" w:rsidRDefault="00A75CCC" w:rsidP="00A75CCC">
            <w:r>
              <w:t>Medicare Benefits Schedule</w:t>
            </w:r>
          </w:p>
        </w:tc>
      </w:tr>
      <w:tr w:rsidR="00A75CCC" w14:paraId="3F73B654" w14:textId="77777777" w:rsidTr="00A74BD9">
        <w:tc>
          <w:tcPr>
            <w:tcW w:w="2122" w:type="dxa"/>
          </w:tcPr>
          <w:p w14:paraId="07E4526F" w14:textId="441E77DD" w:rsidR="00A75CCC" w:rsidRDefault="00A75CCC" w:rsidP="00A75CCC">
            <w:r>
              <w:t>National Guidelines</w:t>
            </w:r>
          </w:p>
        </w:tc>
        <w:tc>
          <w:tcPr>
            <w:tcW w:w="7371" w:type="dxa"/>
          </w:tcPr>
          <w:p w14:paraId="5D3B1A7B" w14:textId="4BF69DDE" w:rsidR="00A75CCC" w:rsidRDefault="00A75CCC" w:rsidP="00A75CCC">
            <w:pPr>
              <w:jc w:val="left"/>
            </w:pPr>
            <w:r w:rsidRPr="007C4B17">
              <w:t>National Guidelines for Medication-Assisted Treatment of Opioid Dependence 2014</w:t>
            </w:r>
          </w:p>
        </w:tc>
      </w:tr>
      <w:tr w:rsidR="00A75CCC" w:rsidRPr="00407F8D" w14:paraId="59840340" w14:textId="77777777" w:rsidTr="00A74BD9">
        <w:tc>
          <w:tcPr>
            <w:tcW w:w="2122" w:type="dxa"/>
          </w:tcPr>
          <w:p w14:paraId="00F9D755" w14:textId="77777777" w:rsidR="00A75CCC" w:rsidRDefault="00A75CCC" w:rsidP="00A75CCC">
            <w:r>
              <w:t>NH Act</w:t>
            </w:r>
          </w:p>
        </w:tc>
        <w:tc>
          <w:tcPr>
            <w:tcW w:w="7371" w:type="dxa"/>
          </w:tcPr>
          <w:p w14:paraId="0BC6825E" w14:textId="77777777" w:rsidR="00A75CCC" w:rsidRPr="00407F8D" w:rsidRDefault="00A75CCC" w:rsidP="00A75CCC">
            <w:pPr>
              <w:rPr>
                <w:i/>
                <w:iCs/>
              </w:rPr>
            </w:pPr>
            <w:r w:rsidRPr="00407F8D">
              <w:rPr>
                <w:i/>
                <w:iCs/>
              </w:rPr>
              <w:t>National Health Act 1953</w:t>
            </w:r>
          </w:p>
        </w:tc>
      </w:tr>
      <w:tr w:rsidR="00A75CCC" w14:paraId="14032BED" w14:textId="77777777" w:rsidTr="00A74BD9">
        <w:tc>
          <w:tcPr>
            <w:tcW w:w="2122" w:type="dxa"/>
          </w:tcPr>
          <w:p w14:paraId="66D1BB8C" w14:textId="77777777" w:rsidR="00A75CCC" w:rsidRDefault="00A75CCC" w:rsidP="00A75CCC">
            <w:r>
              <w:t>NOPSAD</w:t>
            </w:r>
          </w:p>
        </w:tc>
        <w:tc>
          <w:tcPr>
            <w:tcW w:w="7371" w:type="dxa"/>
          </w:tcPr>
          <w:p w14:paraId="1714CCD8" w14:textId="77777777" w:rsidR="00A75CCC" w:rsidRDefault="00A75CCC" w:rsidP="00A75CCC">
            <w:r w:rsidRPr="00EA3458">
              <w:t>National Opioid Pharmacotherapy Statistics Annual Data</w:t>
            </w:r>
            <w:r>
              <w:t xml:space="preserve"> </w:t>
            </w:r>
          </w:p>
        </w:tc>
      </w:tr>
      <w:tr w:rsidR="00A75CCC" w14:paraId="138BBBDB" w14:textId="77777777" w:rsidTr="00A74BD9">
        <w:tc>
          <w:tcPr>
            <w:tcW w:w="2122" w:type="dxa"/>
            <w:shd w:val="clear" w:color="auto" w:fill="F2F2F2" w:themeFill="background1" w:themeFillShade="F2"/>
          </w:tcPr>
          <w:p w14:paraId="58B8D214" w14:textId="77777777" w:rsidR="00A75CCC" w:rsidRDefault="00A75CCC" w:rsidP="00A75CCC">
            <w:r>
              <w:t>ODT</w:t>
            </w:r>
          </w:p>
        </w:tc>
        <w:tc>
          <w:tcPr>
            <w:tcW w:w="7371" w:type="dxa"/>
            <w:shd w:val="clear" w:color="auto" w:fill="F2F2F2" w:themeFill="background1" w:themeFillShade="F2"/>
          </w:tcPr>
          <w:p w14:paraId="45601ED5" w14:textId="77777777" w:rsidR="00A75CCC" w:rsidRDefault="00A75CCC" w:rsidP="00A75CCC">
            <w:r>
              <w:t>Opioid Dependence Treatment</w:t>
            </w:r>
          </w:p>
        </w:tc>
      </w:tr>
      <w:tr w:rsidR="00A75CCC" w14:paraId="0553EF75" w14:textId="77777777" w:rsidTr="00A74BD9">
        <w:tc>
          <w:tcPr>
            <w:tcW w:w="2122" w:type="dxa"/>
          </w:tcPr>
          <w:p w14:paraId="1D012115" w14:textId="77777777" w:rsidR="00A75CCC" w:rsidRDefault="00A75CCC" w:rsidP="00A75CCC">
            <w:r>
              <w:t>PBAC</w:t>
            </w:r>
          </w:p>
        </w:tc>
        <w:tc>
          <w:tcPr>
            <w:tcW w:w="7371" w:type="dxa"/>
          </w:tcPr>
          <w:p w14:paraId="4F5EDD13" w14:textId="77777777" w:rsidR="00A75CCC" w:rsidRDefault="00A75CCC" w:rsidP="00A75CCC">
            <w:r>
              <w:t>Pharmaceutical Benefits Advisory Committee</w:t>
            </w:r>
          </w:p>
        </w:tc>
      </w:tr>
      <w:tr w:rsidR="00A75CCC" w14:paraId="5634350F" w14:textId="77777777" w:rsidTr="00A74BD9">
        <w:tc>
          <w:tcPr>
            <w:tcW w:w="2122" w:type="dxa"/>
          </w:tcPr>
          <w:p w14:paraId="00160EE9" w14:textId="77777777" w:rsidR="00A75CCC" w:rsidRDefault="00A75CCC" w:rsidP="00A75CCC">
            <w:r>
              <w:t>PBS</w:t>
            </w:r>
          </w:p>
        </w:tc>
        <w:tc>
          <w:tcPr>
            <w:tcW w:w="7371" w:type="dxa"/>
          </w:tcPr>
          <w:p w14:paraId="6946A4FC" w14:textId="5B8F2062" w:rsidR="00A75CCC" w:rsidRDefault="00A75CCC" w:rsidP="00A75CCC">
            <w:r>
              <w:t>Pharmaceutical Benefits Scheme</w:t>
            </w:r>
          </w:p>
        </w:tc>
      </w:tr>
      <w:tr w:rsidR="001267A3" w14:paraId="5C07E298" w14:textId="77777777" w:rsidTr="00A74BD9">
        <w:tc>
          <w:tcPr>
            <w:tcW w:w="2122" w:type="dxa"/>
          </w:tcPr>
          <w:p w14:paraId="26CCE0FD" w14:textId="66317D4B" w:rsidR="001267A3" w:rsidRDefault="001267A3" w:rsidP="001267A3">
            <w:r>
              <w:t>PBS ODTP</w:t>
            </w:r>
          </w:p>
        </w:tc>
        <w:tc>
          <w:tcPr>
            <w:tcW w:w="7371" w:type="dxa"/>
          </w:tcPr>
          <w:p w14:paraId="1CE01810" w14:textId="172A444A" w:rsidR="001267A3" w:rsidRDefault="001267A3" w:rsidP="001267A3">
            <w:r>
              <w:t xml:space="preserve">Australian Government’s PBS </w:t>
            </w:r>
            <w:r w:rsidR="002B00D5">
              <w:t xml:space="preserve">Section 100 </w:t>
            </w:r>
            <w:r w:rsidR="00846993">
              <w:t xml:space="preserve">(S100) </w:t>
            </w:r>
            <w:r>
              <w:t>Opiate Dependence Treatment Program</w:t>
            </w:r>
          </w:p>
        </w:tc>
      </w:tr>
      <w:tr w:rsidR="001267A3" w14:paraId="392A47F8" w14:textId="77777777" w:rsidTr="00A74BD9">
        <w:tc>
          <w:tcPr>
            <w:tcW w:w="2122" w:type="dxa"/>
          </w:tcPr>
          <w:p w14:paraId="308C07BA" w14:textId="4E3B3991" w:rsidR="001267A3" w:rsidRDefault="001267A3" w:rsidP="001267A3">
            <w:r>
              <w:t>PMR</w:t>
            </w:r>
          </w:p>
        </w:tc>
        <w:tc>
          <w:tcPr>
            <w:tcW w:w="7371" w:type="dxa"/>
          </w:tcPr>
          <w:p w14:paraId="07112E4F" w14:textId="2E412F08" w:rsidR="001267A3" w:rsidRDefault="001267A3" w:rsidP="001267A3">
            <w:r>
              <w:t>Post-market Review</w:t>
            </w:r>
          </w:p>
        </w:tc>
      </w:tr>
      <w:tr w:rsidR="001267A3" w14:paraId="016E0D59" w14:textId="77777777" w:rsidTr="00A74BD9">
        <w:tc>
          <w:tcPr>
            <w:tcW w:w="2122" w:type="dxa"/>
          </w:tcPr>
          <w:p w14:paraId="43B9B395" w14:textId="77777777" w:rsidR="001267A3" w:rsidRDefault="001267A3" w:rsidP="001267A3">
            <w:r>
              <w:t>S100</w:t>
            </w:r>
          </w:p>
        </w:tc>
        <w:tc>
          <w:tcPr>
            <w:tcW w:w="7371" w:type="dxa"/>
          </w:tcPr>
          <w:p w14:paraId="462B2D1A" w14:textId="77777777" w:rsidR="001267A3" w:rsidRDefault="001267A3" w:rsidP="001267A3">
            <w:r>
              <w:t xml:space="preserve">Section 100 of the </w:t>
            </w:r>
            <w:r>
              <w:rPr>
                <w:rFonts w:ascii="Calibri" w:hAnsi="Calibri" w:cs="Calibri"/>
                <w:i/>
                <w:iCs/>
              </w:rPr>
              <w:t>National Health Act 1953</w:t>
            </w:r>
          </w:p>
        </w:tc>
      </w:tr>
      <w:tr w:rsidR="001267A3" w14:paraId="6EF20B09" w14:textId="77777777" w:rsidTr="00A74BD9">
        <w:tc>
          <w:tcPr>
            <w:tcW w:w="2122" w:type="dxa"/>
          </w:tcPr>
          <w:p w14:paraId="7602CD12" w14:textId="77777777" w:rsidR="001267A3" w:rsidRDefault="001267A3" w:rsidP="001267A3">
            <w:r>
              <w:t>S85</w:t>
            </w:r>
          </w:p>
        </w:tc>
        <w:tc>
          <w:tcPr>
            <w:tcW w:w="7371" w:type="dxa"/>
          </w:tcPr>
          <w:p w14:paraId="64821F27" w14:textId="471C9026" w:rsidR="001267A3" w:rsidRPr="00A05CE4" w:rsidRDefault="001267A3" w:rsidP="001267A3">
            <w:r>
              <w:t xml:space="preserve">Section 85 of the </w:t>
            </w:r>
            <w:r>
              <w:rPr>
                <w:rFonts w:ascii="Calibri" w:hAnsi="Calibri" w:cs="Calibri"/>
                <w:i/>
                <w:iCs/>
              </w:rPr>
              <w:t>National Health Act 1953</w:t>
            </w:r>
            <w:r>
              <w:rPr>
                <w:rFonts w:ascii="Calibri" w:hAnsi="Calibri" w:cs="Calibri"/>
              </w:rPr>
              <w:t xml:space="preserve"> (also known as the general schedule)</w:t>
            </w:r>
          </w:p>
        </w:tc>
      </w:tr>
      <w:tr w:rsidR="001267A3" w14:paraId="546442DA" w14:textId="77777777" w:rsidTr="00A74BD9">
        <w:tc>
          <w:tcPr>
            <w:tcW w:w="2122" w:type="dxa"/>
          </w:tcPr>
          <w:p w14:paraId="7B6879D0" w14:textId="77777777" w:rsidR="001267A3" w:rsidRDefault="001267A3" w:rsidP="001267A3">
            <w:r>
              <w:t>TOR</w:t>
            </w:r>
          </w:p>
        </w:tc>
        <w:tc>
          <w:tcPr>
            <w:tcW w:w="7371" w:type="dxa"/>
          </w:tcPr>
          <w:p w14:paraId="72161659" w14:textId="49F0553F" w:rsidR="001267A3" w:rsidRDefault="001267A3" w:rsidP="001267A3">
            <w:r>
              <w:t>Term(s) of Reference</w:t>
            </w:r>
          </w:p>
        </w:tc>
      </w:tr>
      <w:bookmarkEnd w:id="6"/>
    </w:tbl>
    <w:p w14:paraId="7F2F0AF4" w14:textId="69E01B85" w:rsidR="000524DC" w:rsidRDefault="000524DC" w:rsidP="00B86AFA">
      <w:r>
        <w:br w:type="page"/>
      </w:r>
    </w:p>
    <w:p w14:paraId="1347A4EE" w14:textId="1C80404A" w:rsidR="000524DC" w:rsidRDefault="000524DC" w:rsidP="000524DC">
      <w:pPr>
        <w:pStyle w:val="Heading2"/>
      </w:pPr>
      <w:bookmarkStart w:id="7" w:name="_Toc163220799"/>
      <w:r>
        <w:lastRenderedPageBreak/>
        <w:t>Acknowledgements</w:t>
      </w:r>
      <w:bookmarkEnd w:id="7"/>
    </w:p>
    <w:p w14:paraId="131D8726" w14:textId="1A5E5894" w:rsidR="000524DC" w:rsidRDefault="000524DC" w:rsidP="0018599B">
      <w:pPr>
        <w:spacing w:after="160" w:line="259" w:lineRule="auto"/>
      </w:pPr>
      <w:r>
        <w:t>The report was prepared by the Australian Government Department of Health and Aged Care</w:t>
      </w:r>
      <w:r w:rsidR="001267A3">
        <w:t xml:space="preserve"> (the Department)</w:t>
      </w:r>
      <w:r>
        <w:t xml:space="preserve">. </w:t>
      </w:r>
      <w:r w:rsidR="002D1AAE">
        <w:t>The Department is</w:t>
      </w:r>
      <w:r>
        <w:t xml:space="preserve"> grateful to </w:t>
      </w:r>
      <w:r w:rsidR="002D1AAE">
        <w:t>the broad range of</w:t>
      </w:r>
      <w:r>
        <w:t xml:space="preserve"> stakeholders</w:t>
      </w:r>
      <w:r w:rsidR="00F57EEC">
        <w:t xml:space="preserve"> including consumers, prescribers, service providers, pharmacists, peer</w:t>
      </w:r>
      <w:r w:rsidR="005D65C2">
        <w:t>-based</w:t>
      </w:r>
      <w:r w:rsidR="00F57EEC">
        <w:t xml:space="preserve"> organisations and state and territory governments </w:t>
      </w:r>
      <w:r w:rsidR="002D1AAE">
        <w:t>who contributed to t</w:t>
      </w:r>
      <w:r w:rsidR="003D3171">
        <w:t>he Review</w:t>
      </w:r>
      <w:r w:rsidR="002D1AAE">
        <w:t xml:space="preserve"> and participated in the consultation processes.</w:t>
      </w:r>
    </w:p>
    <w:p w14:paraId="45A263F0" w14:textId="115CAA92" w:rsidR="00434CB3" w:rsidRDefault="00434CB3" w:rsidP="0018599B">
      <w:pPr>
        <w:spacing w:after="160" w:line="259" w:lineRule="auto"/>
      </w:pPr>
      <w:r>
        <w:t>The Department would like to acknowledge the Traditional Owners and Custodians of the lands of the Ngunnawal people on which the report was written a</w:t>
      </w:r>
      <w:r w:rsidR="007B6190">
        <w:t>s well as the</w:t>
      </w:r>
      <w:r w:rsidR="00C55D56">
        <w:t xml:space="preserve"> lands </w:t>
      </w:r>
      <w:r>
        <w:t>on which the report is read. The Department would like to pay its respect to Elders past, present</w:t>
      </w:r>
      <w:r w:rsidR="000F558C">
        <w:t>,</w:t>
      </w:r>
      <w:r>
        <w:t xml:space="preserve"> and emerging.</w:t>
      </w:r>
    </w:p>
    <w:p w14:paraId="45741932" w14:textId="034D1815" w:rsidR="002D1AAE" w:rsidRDefault="007B6190" w:rsidP="0018599B">
      <w:pPr>
        <w:spacing w:after="160" w:line="259" w:lineRule="auto"/>
      </w:pPr>
      <w:r>
        <w:t>T</w:t>
      </w:r>
      <w:r w:rsidR="002D1AAE">
        <w:t xml:space="preserve">he Department would </w:t>
      </w:r>
      <w:r>
        <w:t xml:space="preserve">also </w:t>
      </w:r>
      <w:r w:rsidR="002D1AAE">
        <w:t>like to acknowledge the contributions of:</w:t>
      </w:r>
    </w:p>
    <w:p w14:paraId="2BE53E99" w14:textId="77777777" w:rsidR="000524DC" w:rsidRDefault="000524DC" w:rsidP="0018599B">
      <w:pPr>
        <w:spacing w:after="160" w:line="259" w:lineRule="auto"/>
      </w:pPr>
      <w:r>
        <w:t>National Drug and Alcohol Research Centre, UNSW Sydney</w:t>
      </w:r>
    </w:p>
    <w:p w14:paraId="1A9E0EE4" w14:textId="77777777" w:rsidR="000524DC" w:rsidRDefault="000524DC" w:rsidP="0018599B">
      <w:pPr>
        <w:spacing w:after="160" w:line="259" w:lineRule="auto"/>
      </w:pPr>
      <w:r>
        <w:t>Australian Injecting and Illicit Drug Users League</w:t>
      </w:r>
    </w:p>
    <w:p w14:paraId="6A52311C" w14:textId="77777777" w:rsidR="002D1AAE" w:rsidRDefault="000524DC" w:rsidP="0018599B">
      <w:pPr>
        <w:spacing w:after="160" w:line="259" w:lineRule="auto"/>
      </w:pPr>
      <w:r>
        <w:t>NPS MedicineWise</w:t>
      </w:r>
    </w:p>
    <w:p w14:paraId="569EBE77" w14:textId="13267328" w:rsidR="000524DC" w:rsidRDefault="002D1AAE" w:rsidP="0018599B">
      <w:pPr>
        <w:spacing w:after="160" w:line="259" w:lineRule="auto"/>
        <w:rPr>
          <w:rFonts w:asciiTheme="minorHAnsi" w:eastAsiaTheme="majorEastAsia" w:hAnsiTheme="minorHAnsi" w:cstheme="majorBidi"/>
          <w:color w:val="2F5496" w:themeColor="accent1" w:themeShade="BF"/>
          <w:sz w:val="26"/>
          <w:szCs w:val="26"/>
        </w:rPr>
      </w:pPr>
      <w:r>
        <w:t xml:space="preserve">Members of the Reference Group </w:t>
      </w:r>
      <w:bookmarkEnd w:id="5"/>
      <w:r w:rsidR="000524DC">
        <w:br w:type="page"/>
      </w:r>
    </w:p>
    <w:p w14:paraId="040E2D58" w14:textId="06A00849" w:rsidR="000524DC" w:rsidRDefault="000524DC" w:rsidP="000524DC">
      <w:pPr>
        <w:pStyle w:val="Heading2"/>
      </w:pPr>
      <w:bookmarkStart w:id="8" w:name="_Toc163220800"/>
      <w:r>
        <w:lastRenderedPageBreak/>
        <w:t>Executive Summary</w:t>
      </w:r>
      <w:bookmarkEnd w:id="8"/>
    </w:p>
    <w:p w14:paraId="4A1F71AE" w14:textId="522A5ED6" w:rsidR="00A60594" w:rsidRDefault="00A60594">
      <w:pPr>
        <w:spacing w:after="160" w:line="259" w:lineRule="auto"/>
        <w:jc w:val="left"/>
      </w:pPr>
      <w:r>
        <w:t xml:space="preserve">The Executive Summary </w:t>
      </w:r>
      <w:r w:rsidR="005C7875">
        <w:t>brings together</w:t>
      </w:r>
      <w:r>
        <w:t xml:space="preserve"> the Key Findings sections of each chapter</w:t>
      </w:r>
      <w:r w:rsidR="005C7875">
        <w:t xml:space="preserve"> and presents the </w:t>
      </w:r>
      <w:r w:rsidR="00623955">
        <w:t xml:space="preserve">deliberations </w:t>
      </w:r>
      <w:r w:rsidR="005C7875">
        <w:t>of t</w:t>
      </w:r>
      <w:r w:rsidR="003D3171">
        <w:t>he Review</w:t>
      </w:r>
      <w:r>
        <w:t xml:space="preserve">. </w:t>
      </w:r>
    </w:p>
    <w:p w14:paraId="7A337804" w14:textId="7FBE2A7A" w:rsidR="005C7875" w:rsidRDefault="005C7875" w:rsidP="00AB393E">
      <w:pPr>
        <w:pStyle w:val="Heading3"/>
        <w:numPr>
          <w:ilvl w:val="1"/>
          <w:numId w:val="30"/>
        </w:numPr>
        <w:rPr>
          <w:lang w:eastAsia="en-AU"/>
        </w:rPr>
      </w:pPr>
      <w:bookmarkStart w:id="9" w:name="_Toc163220801"/>
      <w:r>
        <w:rPr>
          <w:lang w:eastAsia="en-AU"/>
        </w:rPr>
        <w:t>Timing of the PMR</w:t>
      </w:r>
      <w:bookmarkEnd w:id="9"/>
    </w:p>
    <w:p w14:paraId="24B1335A" w14:textId="34DF16EC" w:rsidR="005C7875" w:rsidRPr="005630DD" w:rsidRDefault="005C7875" w:rsidP="005C7875">
      <w:pPr>
        <w:rPr>
          <w:lang w:eastAsia="en-AU"/>
        </w:rPr>
      </w:pPr>
      <w:r w:rsidRPr="005630DD">
        <w:rPr>
          <w:lang w:eastAsia="en-AU"/>
        </w:rPr>
        <w:t xml:space="preserve">An amendment to the </w:t>
      </w:r>
      <w:r w:rsidRPr="005630DD">
        <w:rPr>
          <w:i/>
          <w:iCs/>
          <w:lang w:eastAsia="en-AU"/>
        </w:rPr>
        <w:t>National Health Amendment (General Co-payment) Bill 2022</w:t>
      </w:r>
      <w:r w:rsidRPr="005630DD">
        <w:rPr>
          <w:lang w:eastAsia="en-AU"/>
        </w:rPr>
        <w:t xml:space="preserve"> passed by the Senate on 26 October 2022 introduced a change to S100 of the </w:t>
      </w:r>
      <w:r w:rsidRPr="005630DD">
        <w:rPr>
          <w:i/>
          <w:iCs/>
          <w:lang w:eastAsia="en-AU"/>
        </w:rPr>
        <w:t>National Health Act 1953</w:t>
      </w:r>
      <w:r w:rsidR="001267A3">
        <w:rPr>
          <w:i/>
          <w:iCs/>
          <w:lang w:eastAsia="en-AU"/>
        </w:rPr>
        <w:t xml:space="preserve"> (NH Act)</w:t>
      </w:r>
      <w:r w:rsidRPr="005630DD">
        <w:rPr>
          <w:lang w:eastAsia="en-AU"/>
        </w:rPr>
        <w:t>. This change requires S100</w:t>
      </w:r>
      <w:r w:rsidR="0079688F" w:rsidRPr="005630DD">
        <w:rPr>
          <w:lang w:eastAsia="en-AU"/>
        </w:rPr>
        <w:t xml:space="preserve"> </w:t>
      </w:r>
      <w:r w:rsidRPr="005630DD">
        <w:rPr>
          <w:lang w:eastAsia="en-AU"/>
        </w:rPr>
        <w:t xml:space="preserve">programs on the </w:t>
      </w:r>
      <w:r w:rsidR="00050392" w:rsidRPr="005630DD">
        <w:rPr>
          <w:rFonts w:asciiTheme="minorHAnsi" w:hAnsiTheme="minorHAnsi" w:cstheme="minorHAnsi"/>
          <w:color w:val="222222"/>
          <w:shd w:val="clear" w:color="auto" w:fill="FFFFFF"/>
        </w:rPr>
        <w:t>Pharmaceutical Benefits Scheme (PBS)</w:t>
      </w:r>
      <w:r w:rsidRPr="005630DD">
        <w:rPr>
          <w:lang w:eastAsia="en-AU"/>
        </w:rPr>
        <w:t xml:space="preserve">, such as the </w:t>
      </w:r>
      <w:r w:rsidR="00050392" w:rsidRPr="005630DD">
        <w:rPr>
          <w:rFonts w:asciiTheme="minorHAnsi" w:hAnsiTheme="minorHAnsi" w:cstheme="minorHAnsi"/>
          <w:color w:val="222222"/>
          <w:shd w:val="clear" w:color="auto" w:fill="FFFFFF"/>
        </w:rPr>
        <w:t>Opiate Dependence Treatment Program (ODTP)</w:t>
      </w:r>
      <w:r w:rsidRPr="005630DD">
        <w:rPr>
          <w:lang w:eastAsia="en-AU"/>
        </w:rPr>
        <w:t xml:space="preserve">, to be made via a legislative instrument from 1 July 2023. </w:t>
      </w:r>
      <w:r w:rsidRPr="005630DD">
        <w:rPr>
          <w:rFonts w:asciiTheme="minorHAnsi" w:hAnsiTheme="minorHAnsi"/>
        </w:rPr>
        <w:t xml:space="preserve">Consequently, the process and timelines for the </w:t>
      </w:r>
      <w:r w:rsidR="00050392" w:rsidRPr="005630DD">
        <w:rPr>
          <w:rFonts w:asciiTheme="minorHAnsi" w:hAnsiTheme="minorHAnsi"/>
        </w:rPr>
        <w:t xml:space="preserve">ODTP </w:t>
      </w:r>
      <w:r w:rsidR="0079688F" w:rsidRPr="005630DD">
        <w:rPr>
          <w:rFonts w:asciiTheme="minorHAnsi" w:hAnsiTheme="minorHAnsi"/>
        </w:rPr>
        <w:t>Post-market Review (</w:t>
      </w:r>
      <w:r w:rsidR="00050392" w:rsidRPr="005630DD">
        <w:rPr>
          <w:rFonts w:asciiTheme="minorHAnsi" w:hAnsiTheme="minorHAnsi"/>
        </w:rPr>
        <w:t>PMR</w:t>
      </w:r>
      <w:r w:rsidR="0079688F" w:rsidRPr="005630DD">
        <w:rPr>
          <w:rFonts w:asciiTheme="minorHAnsi" w:hAnsiTheme="minorHAnsi"/>
        </w:rPr>
        <w:t>)</w:t>
      </w:r>
      <w:r w:rsidRPr="005630DD">
        <w:rPr>
          <w:rFonts w:asciiTheme="minorHAnsi" w:hAnsiTheme="minorHAnsi"/>
        </w:rPr>
        <w:t xml:space="preserve"> needed to be adjusted so</w:t>
      </w:r>
      <w:r w:rsidR="009233B2">
        <w:rPr>
          <w:rFonts w:asciiTheme="minorHAnsi" w:hAnsiTheme="minorHAnsi"/>
        </w:rPr>
        <w:t xml:space="preserve"> that</w:t>
      </w:r>
      <w:r w:rsidRPr="005630DD">
        <w:rPr>
          <w:rFonts w:asciiTheme="minorHAnsi" w:hAnsiTheme="minorHAnsi"/>
        </w:rPr>
        <w:t xml:space="preserve"> </w:t>
      </w:r>
      <w:r w:rsidR="00230625">
        <w:rPr>
          <w:rFonts w:asciiTheme="minorHAnsi" w:hAnsiTheme="minorHAnsi"/>
        </w:rPr>
        <w:t xml:space="preserve">what </w:t>
      </w:r>
      <w:r w:rsidR="0045167A">
        <w:rPr>
          <w:rFonts w:asciiTheme="minorHAnsi" w:hAnsiTheme="minorHAnsi"/>
        </w:rPr>
        <w:t>the Department has</w:t>
      </w:r>
      <w:r w:rsidR="00230625">
        <w:rPr>
          <w:rFonts w:asciiTheme="minorHAnsi" w:hAnsiTheme="minorHAnsi"/>
        </w:rPr>
        <w:t xml:space="preserve"> heard to date through stakeholder consultation processes </w:t>
      </w:r>
      <w:r w:rsidR="00C55D56" w:rsidRPr="005630DD">
        <w:rPr>
          <w:rFonts w:asciiTheme="minorHAnsi" w:hAnsiTheme="minorHAnsi"/>
        </w:rPr>
        <w:t xml:space="preserve">and </w:t>
      </w:r>
      <w:r w:rsidRPr="005630DD">
        <w:rPr>
          <w:rFonts w:asciiTheme="minorHAnsi" w:hAnsiTheme="minorHAnsi"/>
        </w:rPr>
        <w:t>matters arising from t</w:t>
      </w:r>
      <w:r w:rsidR="003D3171">
        <w:rPr>
          <w:rFonts w:asciiTheme="minorHAnsi" w:hAnsiTheme="minorHAnsi"/>
        </w:rPr>
        <w:t>he Review</w:t>
      </w:r>
      <w:r w:rsidRPr="005630DD">
        <w:rPr>
          <w:rFonts w:asciiTheme="minorHAnsi" w:hAnsiTheme="minorHAnsi"/>
        </w:rPr>
        <w:t xml:space="preserve"> could be considered by the</w:t>
      </w:r>
      <w:r w:rsidR="0079688F" w:rsidRPr="005630DD">
        <w:rPr>
          <w:rFonts w:asciiTheme="minorHAnsi" w:hAnsiTheme="minorHAnsi"/>
        </w:rPr>
        <w:t xml:space="preserve"> Pharmaceutical Benefits Advisory Committee</w:t>
      </w:r>
      <w:r w:rsidRPr="005630DD">
        <w:rPr>
          <w:rFonts w:asciiTheme="minorHAnsi" w:hAnsiTheme="minorHAnsi"/>
        </w:rPr>
        <w:t xml:space="preserve"> </w:t>
      </w:r>
      <w:r w:rsidR="0079688F" w:rsidRPr="005630DD">
        <w:rPr>
          <w:rFonts w:asciiTheme="minorHAnsi" w:hAnsiTheme="minorHAnsi"/>
        </w:rPr>
        <w:t>(</w:t>
      </w:r>
      <w:r w:rsidRPr="005630DD">
        <w:rPr>
          <w:rFonts w:asciiTheme="minorHAnsi" w:hAnsiTheme="minorHAnsi"/>
        </w:rPr>
        <w:t>PBAC</w:t>
      </w:r>
      <w:r w:rsidR="0079688F" w:rsidRPr="005630DD">
        <w:rPr>
          <w:rFonts w:asciiTheme="minorHAnsi" w:hAnsiTheme="minorHAnsi"/>
        </w:rPr>
        <w:t>)</w:t>
      </w:r>
      <w:r w:rsidRPr="005630DD">
        <w:rPr>
          <w:rFonts w:asciiTheme="minorHAnsi" w:hAnsiTheme="minorHAnsi"/>
        </w:rPr>
        <w:t xml:space="preserve">. </w:t>
      </w:r>
    </w:p>
    <w:p w14:paraId="3D0BBD04" w14:textId="1DE54360" w:rsidR="005C7875" w:rsidRPr="005630DD" w:rsidRDefault="005C7875" w:rsidP="005C7875">
      <w:pPr>
        <w:rPr>
          <w:rFonts w:asciiTheme="minorHAnsi" w:hAnsiTheme="minorHAnsi"/>
        </w:rPr>
      </w:pPr>
      <w:r w:rsidRPr="005630DD">
        <w:rPr>
          <w:rFonts w:asciiTheme="minorHAnsi" w:hAnsiTheme="minorHAnsi"/>
        </w:rPr>
        <w:t xml:space="preserve">On </w:t>
      </w:r>
      <w:r w:rsidR="00E55BA4" w:rsidRPr="005630DD">
        <w:rPr>
          <w:rFonts w:asciiTheme="minorHAnsi" w:hAnsiTheme="minorHAnsi"/>
        </w:rPr>
        <w:t>20 November 2022</w:t>
      </w:r>
      <w:r w:rsidRPr="005630DD">
        <w:rPr>
          <w:rFonts w:asciiTheme="minorHAnsi" w:hAnsiTheme="minorHAnsi"/>
        </w:rPr>
        <w:t xml:space="preserve"> the Minister for Health and Aged Care</w:t>
      </w:r>
      <w:r w:rsidR="00E55BA4" w:rsidRPr="005630DD">
        <w:rPr>
          <w:rFonts w:asciiTheme="minorHAnsi" w:hAnsiTheme="minorHAnsi"/>
        </w:rPr>
        <w:t>, the Hon Mark Butler MP</w:t>
      </w:r>
      <w:r w:rsidRPr="005630DD">
        <w:rPr>
          <w:rFonts w:asciiTheme="minorHAnsi" w:hAnsiTheme="minorHAnsi"/>
        </w:rPr>
        <w:t xml:space="preserve"> wrote </w:t>
      </w:r>
      <w:r w:rsidR="00E55BA4" w:rsidRPr="005630DD">
        <w:rPr>
          <w:rFonts w:asciiTheme="minorHAnsi" w:hAnsiTheme="minorHAnsi"/>
        </w:rPr>
        <w:t xml:space="preserve">to </w:t>
      </w:r>
      <w:r w:rsidRPr="005630DD">
        <w:rPr>
          <w:rFonts w:asciiTheme="minorHAnsi" w:hAnsiTheme="minorHAnsi"/>
        </w:rPr>
        <w:t>the Chair of the PBAC seeking advice on timelines for t</w:t>
      </w:r>
      <w:r w:rsidR="003D3171">
        <w:rPr>
          <w:rFonts w:asciiTheme="minorHAnsi" w:hAnsiTheme="minorHAnsi"/>
        </w:rPr>
        <w:t>he Review</w:t>
      </w:r>
      <w:r w:rsidRPr="005630DD">
        <w:rPr>
          <w:rFonts w:asciiTheme="minorHAnsi" w:hAnsiTheme="minorHAnsi"/>
        </w:rPr>
        <w:t xml:space="preserve"> to ensure the 1 July 2023 legislative timeframe can be met. On </w:t>
      </w:r>
      <w:r w:rsidR="00E55BA4" w:rsidRPr="009233B2">
        <w:rPr>
          <w:rFonts w:asciiTheme="minorHAnsi" w:hAnsiTheme="minorHAnsi"/>
        </w:rPr>
        <w:t>22 November 2022</w:t>
      </w:r>
      <w:r w:rsidRPr="009233B2">
        <w:rPr>
          <w:rFonts w:asciiTheme="minorHAnsi" w:hAnsiTheme="minorHAnsi"/>
        </w:rPr>
        <w:t xml:space="preserve"> the Chair of the PBAC responded to the Minister recommending the PBAC present a</w:t>
      </w:r>
      <w:r w:rsidR="000F558C" w:rsidRPr="009233B2">
        <w:rPr>
          <w:rFonts w:asciiTheme="minorHAnsi" w:hAnsiTheme="minorHAnsi"/>
        </w:rPr>
        <w:t>n early</w:t>
      </w:r>
      <w:r w:rsidR="00E55BA4" w:rsidRPr="009233B2">
        <w:rPr>
          <w:rFonts w:asciiTheme="minorHAnsi" w:hAnsiTheme="minorHAnsi"/>
        </w:rPr>
        <w:t xml:space="preserve"> report on research</w:t>
      </w:r>
      <w:r w:rsidR="009233B2" w:rsidRPr="009233B2">
        <w:rPr>
          <w:rFonts w:asciiTheme="minorHAnsi" w:hAnsiTheme="minorHAnsi"/>
        </w:rPr>
        <w:t>,</w:t>
      </w:r>
      <w:r w:rsidR="00230625" w:rsidRPr="009233B2">
        <w:rPr>
          <w:rFonts w:asciiTheme="minorHAnsi" w:hAnsiTheme="minorHAnsi"/>
        </w:rPr>
        <w:t xml:space="preserve"> consultation </w:t>
      </w:r>
      <w:r w:rsidR="00E55BA4" w:rsidRPr="009233B2">
        <w:rPr>
          <w:rFonts w:asciiTheme="minorHAnsi" w:hAnsiTheme="minorHAnsi"/>
        </w:rPr>
        <w:t xml:space="preserve">undertaken and </w:t>
      </w:r>
      <w:r w:rsidR="00230625" w:rsidRPr="009233B2">
        <w:rPr>
          <w:rFonts w:asciiTheme="minorHAnsi" w:hAnsiTheme="minorHAnsi"/>
        </w:rPr>
        <w:t>key findings for</w:t>
      </w:r>
      <w:r w:rsidRPr="009233B2">
        <w:rPr>
          <w:rFonts w:asciiTheme="minorHAnsi" w:hAnsiTheme="minorHAnsi"/>
        </w:rPr>
        <w:t xml:space="preserve"> Government</w:t>
      </w:r>
      <w:r w:rsidR="00230625" w:rsidRPr="009233B2">
        <w:rPr>
          <w:rFonts w:asciiTheme="minorHAnsi" w:hAnsiTheme="minorHAnsi"/>
        </w:rPr>
        <w:t xml:space="preserve"> consideration</w:t>
      </w:r>
      <w:r w:rsidR="00230625">
        <w:rPr>
          <w:rFonts w:asciiTheme="minorHAnsi" w:hAnsiTheme="minorHAnsi"/>
        </w:rPr>
        <w:t>.</w:t>
      </w:r>
      <w:r w:rsidRPr="005630DD">
        <w:rPr>
          <w:rFonts w:asciiTheme="minorHAnsi" w:hAnsiTheme="minorHAnsi"/>
        </w:rPr>
        <w:t xml:space="preserve"> </w:t>
      </w:r>
      <w:r w:rsidR="00E55BA4" w:rsidRPr="005630DD">
        <w:rPr>
          <w:rFonts w:asciiTheme="minorHAnsi" w:hAnsiTheme="minorHAnsi"/>
        </w:rPr>
        <w:t>The Chair of the PBAC recommended the PMR then be put on hold</w:t>
      </w:r>
      <w:r w:rsidR="002D55ED" w:rsidRPr="005630DD">
        <w:rPr>
          <w:rFonts w:asciiTheme="minorHAnsi" w:hAnsiTheme="minorHAnsi"/>
        </w:rPr>
        <w:t xml:space="preserve"> </w:t>
      </w:r>
      <w:r w:rsidR="00E55BA4" w:rsidRPr="005630DD">
        <w:rPr>
          <w:rFonts w:asciiTheme="minorHAnsi" w:hAnsiTheme="minorHAnsi"/>
        </w:rPr>
        <w:t xml:space="preserve">pending the </w:t>
      </w:r>
      <w:r w:rsidR="00C55D56" w:rsidRPr="005630DD">
        <w:rPr>
          <w:rFonts w:asciiTheme="minorHAnsi" w:hAnsiTheme="minorHAnsi"/>
        </w:rPr>
        <w:t xml:space="preserve">Australian </w:t>
      </w:r>
      <w:r w:rsidR="00E55BA4" w:rsidRPr="005630DD">
        <w:rPr>
          <w:rFonts w:asciiTheme="minorHAnsi" w:hAnsiTheme="minorHAnsi"/>
        </w:rPr>
        <w:t>Government’s response to the amendment following</w:t>
      </w:r>
      <w:r w:rsidR="006A749E" w:rsidRPr="005630DD">
        <w:rPr>
          <w:rFonts w:asciiTheme="minorHAnsi" w:hAnsiTheme="minorHAnsi"/>
        </w:rPr>
        <w:t xml:space="preserve"> which PBAC can review whether there is a continued need for the PMR. </w:t>
      </w:r>
      <w:r w:rsidRPr="005630DD">
        <w:rPr>
          <w:rFonts w:asciiTheme="minorHAnsi" w:hAnsiTheme="minorHAnsi"/>
        </w:rPr>
        <w:t xml:space="preserve">The </w:t>
      </w:r>
      <w:r w:rsidR="006A749E" w:rsidRPr="005630DD">
        <w:rPr>
          <w:rFonts w:asciiTheme="minorHAnsi" w:hAnsiTheme="minorHAnsi"/>
        </w:rPr>
        <w:t>response</w:t>
      </w:r>
      <w:r w:rsidRPr="005630DD">
        <w:rPr>
          <w:rFonts w:asciiTheme="minorHAnsi" w:hAnsiTheme="minorHAnsi"/>
        </w:rPr>
        <w:t xml:space="preserve"> noted the significant consultation undertaken as part of t</w:t>
      </w:r>
      <w:r w:rsidR="003D3171">
        <w:rPr>
          <w:rFonts w:asciiTheme="minorHAnsi" w:hAnsiTheme="minorHAnsi"/>
        </w:rPr>
        <w:t>he Review</w:t>
      </w:r>
      <w:r w:rsidRPr="005630DD">
        <w:rPr>
          <w:rFonts w:asciiTheme="minorHAnsi" w:hAnsiTheme="minorHAnsi"/>
        </w:rPr>
        <w:t xml:space="preserve"> to date and advised this approach would best facilitate the timely consideration by government of the issues raised by stakeholders and the progression of discussions with state and territory governments on service delivery options. </w:t>
      </w:r>
      <w:r w:rsidR="00CF3600" w:rsidRPr="005630DD">
        <w:rPr>
          <w:rFonts w:asciiTheme="minorHAnsi" w:hAnsiTheme="minorHAnsi"/>
        </w:rPr>
        <w:t xml:space="preserve">The </w:t>
      </w:r>
      <w:r w:rsidR="00101F08" w:rsidRPr="005630DD">
        <w:rPr>
          <w:rFonts w:asciiTheme="minorHAnsi" w:hAnsiTheme="minorHAnsi"/>
        </w:rPr>
        <w:t xml:space="preserve">Minister </w:t>
      </w:r>
      <w:r w:rsidR="00CF3600" w:rsidRPr="005630DD">
        <w:rPr>
          <w:rFonts w:asciiTheme="minorHAnsi" w:hAnsiTheme="minorHAnsi"/>
        </w:rPr>
        <w:t xml:space="preserve">subsequently accepted the Chair’s recommendations </w:t>
      </w:r>
      <w:r w:rsidR="00101F08" w:rsidRPr="005630DD">
        <w:rPr>
          <w:rFonts w:asciiTheme="minorHAnsi" w:hAnsiTheme="minorHAnsi"/>
        </w:rPr>
        <w:t xml:space="preserve">per the </w:t>
      </w:r>
      <w:r w:rsidR="00CF3600" w:rsidRPr="005630DD">
        <w:rPr>
          <w:rFonts w:asciiTheme="minorHAnsi" w:hAnsiTheme="minorHAnsi"/>
        </w:rPr>
        <w:t xml:space="preserve">above.  </w:t>
      </w:r>
    </w:p>
    <w:p w14:paraId="065F1A93" w14:textId="6A992395" w:rsidR="005C7875" w:rsidRPr="003905C9" w:rsidRDefault="005C7875" w:rsidP="005C7875">
      <w:pPr>
        <w:rPr>
          <w:rFonts w:asciiTheme="minorHAnsi" w:hAnsiTheme="minorHAnsi"/>
        </w:rPr>
      </w:pPr>
      <w:r w:rsidRPr="005630DD">
        <w:rPr>
          <w:rFonts w:asciiTheme="minorHAnsi" w:hAnsiTheme="minorHAnsi"/>
        </w:rPr>
        <w:t>Th</w:t>
      </w:r>
      <w:r w:rsidR="006A749E" w:rsidRPr="005630DD">
        <w:rPr>
          <w:rFonts w:asciiTheme="minorHAnsi" w:hAnsiTheme="minorHAnsi"/>
        </w:rPr>
        <w:t>is</w:t>
      </w:r>
      <w:r w:rsidRPr="005630DD">
        <w:rPr>
          <w:rFonts w:asciiTheme="minorHAnsi" w:hAnsiTheme="minorHAnsi"/>
        </w:rPr>
        <w:t xml:space="preserve"> report consolidates</w:t>
      </w:r>
      <w:r w:rsidR="006A749E" w:rsidRPr="005630DD">
        <w:rPr>
          <w:rFonts w:asciiTheme="minorHAnsi" w:hAnsiTheme="minorHAnsi"/>
        </w:rPr>
        <w:t xml:space="preserve"> </w:t>
      </w:r>
      <w:r w:rsidRPr="005630DD">
        <w:rPr>
          <w:rFonts w:asciiTheme="minorHAnsi" w:hAnsiTheme="minorHAnsi"/>
        </w:rPr>
        <w:t>the evidence</w:t>
      </w:r>
      <w:r w:rsidR="006A749E" w:rsidRPr="005630DD">
        <w:rPr>
          <w:rFonts w:asciiTheme="minorHAnsi" w:hAnsiTheme="minorHAnsi"/>
        </w:rPr>
        <w:t>, deliberations</w:t>
      </w:r>
      <w:r w:rsidRPr="005630DD">
        <w:rPr>
          <w:rFonts w:asciiTheme="minorHAnsi" w:hAnsiTheme="minorHAnsi"/>
        </w:rPr>
        <w:t xml:space="preserve"> and matters raised to date through the PMR consultation</w:t>
      </w:r>
      <w:r w:rsidR="00C071F0">
        <w:rPr>
          <w:rFonts w:asciiTheme="minorHAnsi" w:hAnsiTheme="minorHAnsi"/>
        </w:rPr>
        <w:t xml:space="preserve"> processes with stakeholders</w:t>
      </w:r>
      <w:r w:rsidR="00C55D56" w:rsidRPr="005630DD">
        <w:rPr>
          <w:rFonts w:asciiTheme="minorHAnsi" w:hAnsiTheme="minorHAnsi"/>
        </w:rPr>
        <w:t xml:space="preserve">, </w:t>
      </w:r>
      <w:r w:rsidR="00C071F0">
        <w:rPr>
          <w:rFonts w:asciiTheme="minorHAnsi" w:hAnsiTheme="minorHAnsi"/>
        </w:rPr>
        <w:t>literature review</w:t>
      </w:r>
      <w:r w:rsidR="000F558C" w:rsidRPr="005630DD">
        <w:rPr>
          <w:rFonts w:asciiTheme="minorHAnsi" w:hAnsiTheme="minorHAnsi"/>
        </w:rPr>
        <w:t>,</w:t>
      </w:r>
      <w:r w:rsidR="00C55D56" w:rsidRPr="005630DD">
        <w:rPr>
          <w:rFonts w:asciiTheme="minorHAnsi" w:hAnsiTheme="minorHAnsi"/>
        </w:rPr>
        <w:t xml:space="preserve"> and data analysis</w:t>
      </w:r>
      <w:r w:rsidRPr="005630DD">
        <w:rPr>
          <w:rFonts w:asciiTheme="minorHAnsi" w:hAnsiTheme="minorHAnsi"/>
        </w:rPr>
        <w:t xml:space="preserve">. In this context, </w:t>
      </w:r>
      <w:r w:rsidR="005218B3" w:rsidRPr="005630DD">
        <w:rPr>
          <w:rFonts w:asciiTheme="minorHAnsi" w:hAnsiTheme="minorHAnsi"/>
        </w:rPr>
        <w:t xml:space="preserve">initial outcomes summarising </w:t>
      </w:r>
      <w:r w:rsidR="00230625">
        <w:rPr>
          <w:rFonts w:asciiTheme="minorHAnsi" w:hAnsiTheme="minorHAnsi"/>
        </w:rPr>
        <w:t xml:space="preserve">what </w:t>
      </w:r>
      <w:r w:rsidR="0045167A">
        <w:rPr>
          <w:rFonts w:asciiTheme="minorHAnsi" w:hAnsiTheme="minorHAnsi"/>
        </w:rPr>
        <w:t>the Department has</w:t>
      </w:r>
      <w:r w:rsidR="00230625">
        <w:rPr>
          <w:rFonts w:asciiTheme="minorHAnsi" w:hAnsiTheme="minorHAnsi"/>
        </w:rPr>
        <w:t xml:space="preserve"> heard</w:t>
      </w:r>
      <w:r w:rsidR="005218B3" w:rsidRPr="005630DD">
        <w:rPr>
          <w:rFonts w:asciiTheme="minorHAnsi" w:hAnsiTheme="minorHAnsi"/>
        </w:rPr>
        <w:t xml:space="preserve"> are </w:t>
      </w:r>
      <w:r w:rsidRPr="005630DD">
        <w:rPr>
          <w:rFonts w:asciiTheme="minorHAnsi" w:hAnsiTheme="minorHAnsi"/>
        </w:rPr>
        <w:t xml:space="preserve">presented below to the PBAC to assist in their consideration of the </w:t>
      </w:r>
      <w:r w:rsidR="007010F3">
        <w:rPr>
          <w:rFonts w:asciiTheme="minorHAnsi" w:hAnsiTheme="minorHAnsi"/>
        </w:rPr>
        <w:t>priority issues</w:t>
      </w:r>
      <w:r w:rsidR="007010F3" w:rsidRPr="005630DD">
        <w:rPr>
          <w:rFonts w:asciiTheme="minorHAnsi" w:hAnsiTheme="minorHAnsi"/>
        </w:rPr>
        <w:t xml:space="preserve"> </w:t>
      </w:r>
      <w:r w:rsidRPr="005630DD">
        <w:rPr>
          <w:rFonts w:asciiTheme="minorHAnsi" w:hAnsiTheme="minorHAnsi"/>
        </w:rPr>
        <w:t>arising from t</w:t>
      </w:r>
      <w:r w:rsidR="003D3171">
        <w:rPr>
          <w:rFonts w:asciiTheme="minorHAnsi" w:hAnsiTheme="minorHAnsi"/>
        </w:rPr>
        <w:t>he Review</w:t>
      </w:r>
      <w:r w:rsidRPr="005630DD">
        <w:rPr>
          <w:rFonts w:asciiTheme="minorHAnsi" w:hAnsiTheme="minorHAnsi"/>
        </w:rPr>
        <w:t xml:space="preserve"> and formulation of recommendations and advice to government.</w:t>
      </w:r>
      <w:r w:rsidRPr="003905C9">
        <w:rPr>
          <w:rFonts w:asciiTheme="minorHAnsi" w:hAnsiTheme="minorHAnsi"/>
        </w:rPr>
        <w:t xml:space="preserve"> </w:t>
      </w:r>
    </w:p>
    <w:p w14:paraId="734A002F" w14:textId="38DC5DC7" w:rsidR="00880138" w:rsidRPr="00880138" w:rsidRDefault="00880138" w:rsidP="00AB393E">
      <w:pPr>
        <w:pStyle w:val="Heading3"/>
        <w:numPr>
          <w:ilvl w:val="1"/>
          <w:numId w:val="30"/>
        </w:numPr>
      </w:pPr>
      <w:bookmarkStart w:id="10" w:name="_Toc163220802"/>
      <w:r w:rsidRPr="00880138">
        <w:t>Background</w:t>
      </w:r>
      <w:bookmarkEnd w:id="10"/>
    </w:p>
    <w:p w14:paraId="5C0208EB" w14:textId="7F568B05" w:rsidR="004F0F2C" w:rsidRDefault="00CC0C7B" w:rsidP="004F0F2C">
      <w:pPr>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 xml:space="preserve">The PBS ODTP is established under Section 100 of the </w:t>
      </w:r>
      <w:r w:rsidR="001267A3" w:rsidRPr="0018599B">
        <w:rPr>
          <w:rFonts w:asciiTheme="minorHAnsi" w:hAnsiTheme="minorHAnsi" w:cstheme="minorHAnsi"/>
          <w:color w:val="222222"/>
          <w:shd w:val="clear" w:color="auto" w:fill="FFFFFF"/>
        </w:rPr>
        <w:t>NH Act</w:t>
      </w:r>
      <w:r w:rsidRPr="0018599B">
        <w:rPr>
          <w:rFonts w:asciiTheme="minorHAnsi" w:hAnsiTheme="minorHAnsi" w:cstheme="minorHAnsi"/>
          <w:color w:val="222222"/>
          <w:shd w:val="clear" w:color="auto" w:fill="FFFFFF"/>
        </w:rPr>
        <w:t>.</w:t>
      </w:r>
      <w:r>
        <w:rPr>
          <w:rFonts w:asciiTheme="minorHAnsi" w:hAnsiTheme="minorHAnsi" w:cstheme="minorHAnsi"/>
          <w:i/>
          <w:iCs/>
          <w:color w:val="222222"/>
          <w:shd w:val="clear" w:color="auto" w:fill="FFFFFF"/>
        </w:rPr>
        <w:t xml:space="preserve"> </w:t>
      </w:r>
      <w:r w:rsidR="004F0F2C" w:rsidRPr="00BD7994">
        <w:rPr>
          <w:rFonts w:asciiTheme="minorHAnsi" w:hAnsiTheme="minorHAnsi" w:cstheme="minorHAnsi"/>
          <w:color w:val="222222"/>
          <w:shd w:val="clear" w:color="auto" w:fill="FFFFFF"/>
        </w:rPr>
        <w:t xml:space="preserve">Under the </w:t>
      </w:r>
      <w:r w:rsidR="00D33E28">
        <w:rPr>
          <w:rFonts w:asciiTheme="minorHAnsi" w:hAnsiTheme="minorHAnsi" w:cstheme="minorHAnsi"/>
          <w:color w:val="222222"/>
          <w:shd w:val="clear" w:color="auto" w:fill="FFFFFF"/>
        </w:rPr>
        <w:t xml:space="preserve">PBS </w:t>
      </w:r>
      <w:r w:rsidR="004F0F2C" w:rsidRPr="00BD7994">
        <w:rPr>
          <w:rFonts w:asciiTheme="minorHAnsi" w:hAnsiTheme="minorHAnsi" w:cstheme="minorHAnsi"/>
          <w:color w:val="222222"/>
          <w:shd w:val="clear" w:color="auto" w:fill="FFFFFF"/>
        </w:rPr>
        <w:t xml:space="preserve">ODTP, the Australian Government pays the full cost of the medicines made available under state and territory government </w:t>
      </w:r>
      <w:r w:rsidR="00D33E28">
        <w:rPr>
          <w:rFonts w:asciiTheme="minorHAnsi" w:hAnsiTheme="minorHAnsi" w:cstheme="minorHAnsi"/>
          <w:color w:val="222222"/>
          <w:shd w:val="clear" w:color="auto" w:fill="FFFFFF"/>
        </w:rPr>
        <w:t>ODT</w:t>
      </w:r>
      <w:r w:rsidR="004F0F2C" w:rsidRPr="00BD7994">
        <w:rPr>
          <w:rFonts w:asciiTheme="minorHAnsi" w:hAnsiTheme="minorHAnsi" w:cstheme="minorHAnsi"/>
          <w:color w:val="222222"/>
          <w:shd w:val="clear" w:color="auto" w:fill="FFFFFF"/>
        </w:rPr>
        <w:t xml:space="preserve"> programs in both pharmacy and non-pharmacy settings.</w:t>
      </w:r>
    </w:p>
    <w:p w14:paraId="551D1070" w14:textId="48DFB242" w:rsidR="004F0F2C" w:rsidRPr="00BD7994" w:rsidRDefault="004F0F2C" w:rsidP="004F0F2C">
      <w:pPr>
        <w:rPr>
          <w:rFonts w:asciiTheme="minorHAnsi" w:hAnsiTheme="minorHAnsi" w:cstheme="minorHAnsi"/>
          <w:color w:val="222222"/>
          <w:shd w:val="clear" w:color="auto" w:fill="FFFFFF"/>
        </w:rPr>
      </w:pPr>
      <w:r w:rsidRPr="00BD7994">
        <w:rPr>
          <w:rFonts w:asciiTheme="minorHAnsi" w:hAnsiTheme="minorHAnsi" w:cstheme="minorHAnsi"/>
          <w:color w:val="222222"/>
          <w:shd w:val="clear" w:color="auto" w:fill="FFFFFF"/>
        </w:rPr>
        <w:t>There are currently three medicines available for the treatment of opioid dependence under the</w:t>
      </w:r>
      <w:r w:rsidR="00050392">
        <w:rPr>
          <w:rFonts w:asciiTheme="minorHAnsi" w:hAnsiTheme="minorHAnsi" w:cstheme="minorHAnsi"/>
          <w:color w:val="222222"/>
          <w:shd w:val="clear" w:color="auto" w:fill="FFFFFF"/>
        </w:rPr>
        <w:t xml:space="preserve"> </w:t>
      </w:r>
      <w:r w:rsidR="00D33E28">
        <w:rPr>
          <w:rFonts w:asciiTheme="minorHAnsi" w:hAnsiTheme="minorHAnsi" w:cstheme="minorHAnsi"/>
          <w:color w:val="222222"/>
          <w:shd w:val="clear" w:color="auto" w:fill="FFFFFF"/>
        </w:rPr>
        <w:t xml:space="preserve">PBS </w:t>
      </w:r>
      <w:r w:rsidR="00050392">
        <w:rPr>
          <w:rFonts w:asciiTheme="minorHAnsi" w:hAnsiTheme="minorHAnsi" w:cstheme="minorHAnsi"/>
          <w:color w:val="222222"/>
          <w:shd w:val="clear" w:color="auto" w:fill="FFFFFF"/>
        </w:rPr>
        <w:t>ODTP</w:t>
      </w:r>
      <w:r w:rsidRPr="00BD7994">
        <w:rPr>
          <w:rFonts w:asciiTheme="minorHAnsi" w:hAnsiTheme="minorHAnsi" w:cstheme="minorHAnsi"/>
          <w:color w:val="222222"/>
          <w:shd w:val="clear" w:color="auto" w:fill="FFFFFF"/>
        </w:rPr>
        <w:t>. These medicines are buprenorphine (tablets and modified release injections), buprenorphine with naloxone (films) and methadone (oral liquid).</w:t>
      </w:r>
    </w:p>
    <w:p w14:paraId="570C7632" w14:textId="64F5C606" w:rsidR="004F0F2C" w:rsidRPr="00BD7994" w:rsidRDefault="00E3286D" w:rsidP="004F0F2C">
      <w:pPr>
        <w:rPr>
          <w:rFonts w:asciiTheme="minorHAnsi" w:hAnsiTheme="minorHAnsi" w:cstheme="minorHAnsi"/>
          <w:color w:val="222222"/>
          <w:shd w:val="clear" w:color="auto" w:fill="FFFFFF"/>
        </w:rPr>
      </w:pPr>
      <w:r>
        <w:t>Stakeholders raised several issues with access to ODT medicines under the PBS including patient access and affordability, remuneration for pharmacies and consistency in service and program delivery across each jurisdiction</w:t>
      </w:r>
      <w:r w:rsidR="004F0F2C">
        <w:rPr>
          <w:rFonts w:asciiTheme="minorHAnsi" w:hAnsiTheme="minorHAnsi" w:cstheme="minorHAnsi"/>
          <w:color w:val="222222"/>
          <w:shd w:val="clear" w:color="auto" w:fill="FFFFFF"/>
        </w:rPr>
        <w:t>.</w:t>
      </w:r>
    </w:p>
    <w:p w14:paraId="141F5061" w14:textId="059FCB7F" w:rsidR="004F0F2C" w:rsidRPr="00BD7994" w:rsidRDefault="004F0F2C" w:rsidP="004F0F2C">
      <w:pPr>
        <w:pStyle w:val="NormalWeb"/>
        <w:shd w:val="clear" w:color="auto" w:fill="FFFFFF"/>
        <w:spacing w:before="0" w:beforeAutospacing="0" w:after="240" w:afterAutospacing="0" w:line="300" w:lineRule="atLeast"/>
        <w:rPr>
          <w:rFonts w:asciiTheme="minorHAnsi" w:hAnsiTheme="minorHAnsi" w:cstheme="minorHAnsi"/>
          <w:color w:val="222222"/>
        </w:rPr>
      </w:pPr>
      <w:r w:rsidRPr="00BD7994">
        <w:rPr>
          <w:rFonts w:asciiTheme="minorHAnsi" w:hAnsiTheme="minorHAnsi" w:cstheme="minorHAnsi"/>
          <w:color w:val="222222"/>
          <w:shd w:val="clear" w:color="auto" w:fill="FFFFFF"/>
        </w:rPr>
        <w:lastRenderedPageBreak/>
        <w:t>The ODTP PMR is an opportunity to review the current program arrangements to ensure that Australians who have an opioid dependency continue to have access to medicines to help treat their opioid dependence.</w:t>
      </w:r>
      <w:r w:rsidRPr="00BD7994">
        <w:rPr>
          <w:rFonts w:asciiTheme="minorHAnsi" w:hAnsiTheme="minorHAnsi" w:cstheme="minorHAnsi"/>
          <w:color w:val="222222"/>
        </w:rPr>
        <w:t xml:space="preserve"> The ODTP PMR </w:t>
      </w:r>
      <w:r w:rsidR="00D82D00">
        <w:rPr>
          <w:rFonts w:asciiTheme="minorHAnsi" w:hAnsiTheme="minorHAnsi" w:cstheme="minorHAnsi"/>
          <w:color w:val="222222"/>
        </w:rPr>
        <w:t xml:space="preserve">also </w:t>
      </w:r>
      <w:r w:rsidRPr="00BD7994">
        <w:rPr>
          <w:rFonts w:asciiTheme="minorHAnsi" w:hAnsiTheme="minorHAnsi" w:cstheme="minorHAnsi"/>
          <w:color w:val="222222"/>
        </w:rPr>
        <w:t xml:space="preserve">examines </w:t>
      </w:r>
      <w:r w:rsidR="007010F3">
        <w:rPr>
          <w:rFonts w:asciiTheme="minorHAnsi" w:hAnsiTheme="minorHAnsi" w:cstheme="minorHAnsi"/>
          <w:color w:val="222222"/>
        </w:rPr>
        <w:t xml:space="preserve">the </w:t>
      </w:r>
      <w:r w:rsidRPr="00BD7994">
        <w:rPr>
          <w:rFonts w:asciiTheme="minorHAnsi" w:hAnsiTheme="minorHAnsi" w:cstheme="minorHAnsi"/>
          <w:color w:val="222222"/>
        </w:rPr>
        <w:t xml:space="preserve">important issues </w:t>
      </w:r>
      <w:r w:rsidR="007010F3">
        <w:rPr>
          <w:rFonts w:asciiTheme="minorHAnsi" w:hAnsiTheme="minorHAnsi" w:cstheme="minorHAnsi"/>
          <w:color w:val="222222"/>
        </w:rPr>
        <w:t>of</w:t>
      </w:r>
      <w:r w:rsidR="007010F3" w:rsidRPr="00BD7994">
        <w:rPr>
          <w:rFonts w:asciiTheme="minorHAnsi" w:hAnsiTheme="minorHAnsi" w:cstheme="minorHAnsi"/>
          <w:color w:val="222222"/>
        </w:rPr>
        <w:t xml:space="preserve"> </w:t>
      </w:r>
      <w:r w:rsidR="00D82D00">
        <w:rPr>
          <w:rFonts w:asciiTheme="minorHAnsi" w:hAnsiTheme="minorHAnsi" w:cstheme="minorHAnsi"/>
          <w:color w:val="222222"/>
        </w:rPr>
        <w:t>affordability</w:t>
      </w:r>
      <w:r w:rsidR="00E3286D">
        <w:rPr>
          <w:rFonts w:asciiTheme="minorHAnsi" w:hAnsiTheme="minorHAnsi" w:cstheme="minorHAnsi"/>
          <w:color w:val="222222"/>
        </w:rPr>
        <w:t xml:space="preserve"> of ODTP medicines</w:t>
      </w:r>
      <w:r w:rsidR="00D82D00">
        <w:rPr>
          <w:rFonts w:asciiTheme="minorHAnsi" w:hAnsiTheme="minorHAnsi" w:cstheme="minorHAnsi"/>
          <w:color w:val="222222"/>
        </w:rPr>
        <w:t xml:space="preserve">, equity of access, </w:t>
      </w:r>
      <w:r w:rsidRPr="00BD7994">
        <w:rPr>
          <w:rFonts w:asciiTheme="minorHAnsi" w:hAnsiTheme="minorHAnsi" w:cstheme="minorHAnsi"/>
          <w:color w:val="222222"/>
        </w:rPr>
        <w:t>and the future delivery of opioid dependence treatment.</w:t>
      </w:r>
    </w:p>
    <w:p w14:paraId="105B6884" w14:textId="52FFA5F4" w:rsidR="004F0F2C" w:rsidRDefault="004F0F2C" w:rsidP="004F0F2C">
      <w:pPr>
        <w:pStyle w:val="NormalWeb"/>
        <w:shd w:val="clear" w:color="auto" w:fill="FFFFFF"/>
        <w:spacing w:before="0" w:beforeAutospacing="0" w:after="240" w:afterAutospacing="0" w:line="300" w:lineRule="atLeast"/>
        <w:rPr>
          <w:rFonts w:asciiTheme="minorHAnsi" w:hAnsiTheme="minorHAnsi" w:cstheme="minorHAnsi"/>
          <w:color w:val="222222"/>
        </w:rPr>
      </w:pPr>
      <w:r w:rsidRPr="00BD7994">
        <w:rPr>
          <w:rFonts w:asciiTheme="minorHAnsi" w:hAnsiTheme="minorHAnsi" w:cstheme="minorHAnsi"/>
          <w:color w:val="222222"/>
        </w:rPr>
        <w:t xml:space="preserve">The ODTP </w:t>
      </w:r>
      <w:r w:rsidRPr="00D33E28">
        <w:rPr>
          <w:rFonts w:asciiTheme="minorHAnsi" w:hAnsiTheme="minorHAnsi" w:cstheme="minorHAnsi"/>
          <w:color w:val="222222"/>
        </w:rPr>
        <w:t>PMR is being carried out under the Australian Government’s post-market monitoring program, which</w:t>
      </w:r>
      <w:r w:rsidRPr="00BD7994">
        <w:rPr>
          <w:rFonts w:asciiTheme="minorHAnsi" w:hAnsiTheme="minorHAnsi" w:cstheme="minorHAnsi"/>
          <w:color w:val="222222"/>
        </w:rPr>
        <w:t xml:space="preserve"> aims to ensure the continued safe, cost-effective</w:t>
      </w:r>
      <w:r w:rsidR="000F558C">
        <w:rPr>
          <w:rFonts w:asciiTheme="minorHAnsi" w:hAnsiTheme="minorHAnsi" w:cstheme="minorHAnsi"/>
          <w:color w:val="222222"/>
        </w:rPr>
        <w:t>,</w:t>
      </w:r>
      <w:r w:rsidRPr="00BD7994">
        <w:rPr>
          <w:rFonts w:asciiTheme="minorHAnsi" w:hAnsiTheme="minorHAnsi" w:cstheme="minorHAnsi"/>
          <w:color w:val="222222"/>
        </w:rPr>
        <w:t xml:space="preserve"> and quality use of medicines listed on the PBS.</w:t>
      </w:r>
    </w:p>
    <w:p w14:paraId="6D81B9B3" w14:textId="5326DDF6" w:rsidR="00A60594" w:rsidRPr="00A60594" w:rsidRDefault="00A60594" w:rsidP="00AB393E">
      <w:pPr>
        <w:pStyle w:val="Heading3"/>
        <w:numPr>
          <w:ilvl w:val="1"/>
          <w:numId w:val="30"/>
        </w:numPr>
        <w:rPr>
          <w:sz w:val="26"/>
          <w:szCs w:val="26"/>
        </w:rPr>
      </w:pPr>
      <w:bookmarkStart w:id="11" w:name="_Toc163220803"/>
      <w:r>
        <w:t>Term of Reference 1</w:t>
      </w:r>
      <w:r w:rsidR="00DE1F99">
        <w:t>: Key Findings</w:t>
      </w:r>
      <w:bookmarkEnd w:id="11"/>
      <w:r w:rsidR="00DE1F99">
        <w:t xml:space="preserve"> </w:t>
      </w:r>
    </w:p>
    <w:p w14:paraId="2F65F50E" w14:textId="005D0BDB" w:rsidR="00995103" w:rsidRPr="008D40F6" w:rsidRDefault="00995103" w:rsidP="00995103">
      <w:pPr>
        <w:pBdr>
          <w:top w:val="single" w:sz="4" w:space="1" w:color="auto"/>
          <w:left w:val="single" w:sz="4" w:space="4" w:color="auto"/>
          <w:bottom w:val="single" w:sz="4" w:space="1" w:color="auto"/>
          <w:right w:val="single" w:sz="4" w:space="4" w:color="auto"/>
        </w:pBdr>
        <w:rPr>
          <w:b/>
          <w:bCs/>
        </w:rPr>
      </w:pPr>
      <w:r w:rsidRPr="008D40F6">
        <w:rPr>
          <w:b/>
          <w:bCs/>
        </w:rPr>
        <w:t xml:space="preserve">TOR 1: Describe and compare essential elements of models of service delivery for </w:t>
      </w:r>
      <w:r w:rsidR="00220D1C">
        <w:rPr>
          <w:b/>
          <w:bCs/>
        </w:rPr>
        <w:t xml:space="preserve">ODT </w:t>
      </w:r>
      <w:r w:rsidRPr="008D40F6">
        <w:rPr>
          <w:b/>
          <w:bCs/>
        </w:rPr>
        <w:t>in Australia (and internationally) including best practice guidelines and current models (including models developed in response to the COVID-19 pandemic) that support timely access to ODT medicines through both pharmacy and non-pharmacy settings*</w:t>
      </w:r>
    </w:p>
    <w:p w14:paraId="3A000FAB" w14:textId="60855260" w:rsidR="00995103" w:rsidRPr="008D40F6" w:rsidRDefault="00995103" w:rsidP="00995103">
      <w:pPr>
        <w:pBdr>
          <w:top w:val="single" w:sz="4" w:space="1" w:color="auto"/>
          <w:left w:val="single" w:sz="4" w:space="4" w:color="auto"/>
          <w:bottom w:val="single" w:sz="4" w:space="1" w:color="auto"/>
          <w:right w:val="single" w:sz="4" w:space="4" w:color="auto"/>
        </w:pBdr>
        <w:rPr>
          <w:b/>
          <w:bCs/>
        </w:rPr>
      </w:pPr>
      <w:r w:rsidRPr="008D40F6">
        <w:rPr>
          <w:b/>
          <w:bCs/>
        </w:rPr>
        <w:t xml:space="preserve">*Non-pharmacy settings include a range of service settings where ODT medicines are delivered in Australia including, but not limited to, </w:t>
      </w:r>
      <w:proofErr w:type="gramStart"/>
      <w:r w:rsidRPr="008D40F6">
        <w:rPr>
          <w:b/>
          <w:bCs/>
        </w:rPr>
        <w:t>correctional facilities</w:t>
      </w:r>
      <w:proofErr w:type="gramEnd"/>
      <w:r w:rsidRPr="008D40F6">
        <w:rPr>
          <w:b/>
          <w:bCs/>
        </w:rPr>
        <w:t xml:space="preserve">, hospitals, public and private clinics, </w:t>
      </w:r>
      <w:r w:rsidR="00220D1C">
        <w:rPr>
          <w:b/>
          <w:bCs/>
        </w:rPr>
        <w:t>Aboriginal Community Controlled Health Organisations (</w:t>
      </w:r>
      <w:r w:rsidRPr="008D40F6">
        <w:rPr>
          <w:b/>
          <w:bCs/>
        </w:rPr>
        <w:t>ACCHOs</w:t>
      </w:r>
      <w:r w:rsidR="00220D1C">
        <w:rPr>
          <w:b/>
          <w:bCs/>
        </w:rPr>
        <w:t>)</w:t>
      </w:r>
      <w:r w:rsidRPr="008D40F6">
        <w:rPr>
          <w:b/>
          <w:bCs/>
        </w:rPr>
        <w:t>, general practices and specialist clinics.</w:t>
      </w:r>
    </w:p>
    <w:p w14:paraId="1B071A4D" w14:textId="2499FB86" w:rsidR="00730A43" w:rsidRPr="00EA3458" w:rsidRDefault="00730A43" w:rsidP="00730A43">
      <w:r>
        <w:rPr>
          <w:rFonts w:eastAsia="Calibri" w:cs="Calibri"/>
        </w:rPr>
        <w:t>O</w:t>
      </w:r>
      <w:r w:rsidRPr="00EA3458">
        <w:rPr>
          <w:rFonts w:eastAsia="Calibri" w:cs="Calibri"/>
        </w:rPr>
        <w:t xml:space="preserve">n a snapshot day in 2021, 47,563 </w:t>
      </w:r>
      <w:bookmarkStart w:id="12" w:name="_Hlk127791842"/>
      <w:r w:rsidRPr="00EA3458">
        <w:rPr>
          <w:rFonts w:eastAsia="Calibri" w:cs="Calibri"/>
        </w:rPr>
        <w:t>people in Australia</w:t>
      </w:r>
      <w:r>
        <w:rPr>
          <w:rFonts w:eastAsia="Calibri" w:cs="Calibri"/>
        </w:rPr>
        <w:t xml:space="preserve"> (excluding data for Queensland)</w:t>
      </w:r>
      <w:r w:rsidRPr="00EA3458">
        <w:rPr>
          <w:rFonts w:eastAsia="Calibri" w:cs="Calibri"/>
        </w:rPr>
        <w:t xml:space="preserve"> were </w:t>
      </w:r>
      <w:r>
        <w:rPr>
          <w:rFonts w:eastAsia="Calibri" w:cs="Calibri"/>
        </w:rPr>
        <w:t>receiving treatment for their opioid dependence</w:t>
      </w:r>
      <w:bookmarkEnd w:id="12"/>
      <w:r w:rsidRPr="00EA3458">
        <w:t>.</w:t>
      </w:r>
      <w:hyperlink w:anchor="_ENREF_1" w:tooltip="Australian Institute of Health and Welfare, 2022 #1" w:history="1">
        <w:r w:rsidR="00E61D94" w:rsidRPr="000353BE">
          <w:fldChar w:fldCharType="begin"/>
        </w:r>
        <w:r w:rsidR="00E61D94">
          <w:instrText xml:space="preserve"> ADDIN EN.CITE &lt;EndNote&gt;&lt;Cite&gt;&lt;Author&gt;Australian Institute of Health and Welfare&lt;/Author&gt;&lt;Year&gt;2022&lt;/Year&gt;&lt;RecNum&gt;1&lt;/RecNum&gt;&lt;DisplayText&gt;&lt;style face="superscript"&gt;1&lt;/style&gt;&lt;/DisplayText&gt;&lt;record&gt;&lt;rec-number&gt;1&lt;/rec-number&gt;&lt;foreign-keys&gt;&lt;key app="EN" db-id="xssz590sx9vzw4ewpzdv0s5sret50aexdtd9" timestamp="1668645241"&gt;1&lt;/key&gt;&lt;/foreign-keys&gt;&lt;ref-type name="Report"&gt;27&lt;/ref-type&gt;&lt;contributors&gt;&lt;authors&gt;&lt;author&gt;Australian Institute of Health and Welfare,&lt;/author&gt;&lt;/authors&gt;&lt;/contributors&gt;&lt;titles&gt;&lt;title&gt;National Opioid Pharmacotherapy Statistics Annual Data (NOPSAD) collection. &lt;/title&gt;&lt;/titles&gt;&lt;volume&gt;Cat. no. PHE 266&lt;/volume&gt;&lt;dates&gt;&lt;year&gt;2022&lt;/year&gt;&lt;pub-dates&gt;&lt;date&gt;2022/11/21/&lt;/date&gt;&lt;/pub-dates&gt;&lt;/dates&gt;&lt;pub-location&gt;Canberra&lt;/pub-location&gt;&lt;publisher&gt;AIHW&lt;/publisher&gt;&lt;label&gt;BibEntry2022Feb&lt;/label&gt;&lt;urls&gt;&lt;related-urls&gt;&lt;url&gt;https://www.aihw.gov.au/reports/alcohol-other-drug-treatment-services/national-opioidpharmacotherapy-statistics&lt;/url&gt;&lt;/related-urls&gt;&lt;/urls&gt;&lt;language&gt;English&lt;/language&gt;&lt;/record&gt;&lt;/Cite&gt;&lt;/EndNote&gt;</w:instrText>
        </w:r>
        <w:r w:rsidR="00E61D94" w:rsidRPr="000353BE">
          <w:fldChar w:fldCharType="separate"/>
        </w:r>
        <w:r w:rsidR="00E61D94" w:rsidRPr="000353BE">
          <w:rPr>
            <w:noProof/>
            <w:vertAlign w:val="superscript"/>
          </w:rPr>
          <w:t>1</w:t>
        </w:r>
        <w:r w:rsidR="00E61D94" w:rsidRPr="000353BE">
          <w:fldChar w:fldCharType="end"/>
        </w:r>
      </w:hyperlink>
      <w:r w:rsidRPr="00EA3458">
        <w:t xml:space="preserve"> Most people received methadone (58%), the median age was 44 years and over two-thirds were male. I</w:t>
      </w:r>
      <w:r>
        <w:t>t</w:t>
      </w:r>
      <w:r w:rsidRPr="00EA3458">
        <w:t xml:space="preserve"> i</w:t>
      </w:r>
      <w:r>
        <w:t>s</w:t>
      </w:r>
      <w:r w:rsidRPr="00EA3458">
        <w:t xml:space="preserve"> estimated that most consumers were unemployed and lived in a major city, approximately 8% were homeless and an estimated 71% had been incarcerated previously.</w:t>
      </w:r>
      <w:hyperlink w:anchor="_ENREF_2" w:tooltip="Valerio, 2021 #7" w:history="1">
        <w:r w:rsidR="00E61D94" w:rsidRPr="003E5F94">
          <w:rPr>
            <w:rFonts w:cs="Calibri"/>
            <w:color w:val="000000"/>
            <w:shd w:val="clear" w:color="auto" w:fill="FFFFFF"/>
          </w:rPr>
          <w:fldChar w:fldCharType="begin">
            <w:fldData xml:space="preserve">PEVuZE5vdGU+PENpdGU+PEF1dGhvcj5WYWxlcmlvPC9BdXRob3I+PFllYXI+MjAyMTwvWWVhcj48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</w:fldData>
          </w:fldChar>
        </w:r>
        <w:r w:rsidR="00E61D94">
          <w:rPr>
            <w:rFonts w:cs="Calibri"/>
            <w:color w:val="000000"/>
            <w:shd w:val="clear" w:color="auto" w:fill="FFFFFF"/>
          </w:rPr>
          <w:instrText xml:space="preserve"> ADDIN EN.CITE </w:instrText>
        </w:r>
        <w:r w:rsidR="00E61D94">
          <w:rPr>
            <w:rFonts w:cs="Calibri"/>
            <w:color w:val="000000"/>
            <w:shd w:val="clear" w:color="auto" w:fill="FFFFFF"/>
          </w:rPr>
          <w:fldChar w:fldCharType="begin">
            <w:fldData xml:space="preserve">PEVuZE5vdGU+PENpdGU+PEF1dGhvcj5WYWxlcmlvPC9BdXRob3I+PFllYXI+MjAyMTwvWWVhcj48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</w:fldData>
          </w:fldChar>
        </w:r>
        <w:r w:rsidR="00E61D94">
          <w:rPr>
            <w:rFonts w:cs="Calibri"/>
            <w:color w:val="000000"/>
            <w:shd w:val="clear" w:color="auto" w:fill="FFFFFF"/>
          </w:rPr>
          <w:instrText xml:space="preserve"> ADDIN EN.CITE.DATA </w:instrText>
        </w:r>
        <w:r w:rsidR="00E61D94">
          <w:rPr>
            <w:rFonts w:cs="Calibri"/>
            <w:color w:val="000000"/>
            <w:shd w:val="clear" w:color="auto" w:fill="FFFFFF"/>
          </w:rPr>
        </w:r>
        <w:r w:rsidR="00E61D94">
          <w:rPr>
            <w:rFonts w:cs="Calibri"/>
            <w:color w:val="000000"/>
            <w:shd w:val="clear" w:color="auto" w:fill="FFFFFF"/>
          </w:rPr>
          <w:fldChar w:fldCharType="end"/>
        </w:r>
        <w:r w:rsidR="00E61D94" w:rsidRPr="003E5F94">
          <w:rPr>
            <w:rFonts w:cs="Calibri"/>
            <w:color w:val="000000"/>
            <w:shd w:val="clear" w:color="auto" w:fill="FFFFFF"/>
          </w:rPr>
        </w:r>
        <w:r w:rsidR="00E61D94" w:rsidRPr="003E5F94">
          <w:rPr>
            <w:rFonts w:cs="Calibri"/>
            <w:color w:val="000000"/>
            <w:shd w:val="clear" w:color="auto" w:fill="FFFFFF"/>
          </w:rPr>
          <w:fldChar w:fldCharType="separate"/>
        </w:r>
        <w:r w:rsidR="00E61D94" w:rsidRPr="00E61D94">
          <w:rPr>
            <w:rFonts w:cs="Calibri"/>
            <w:noProof/>
            <w:color w:val="000000"/>
            <w:shd w:val="clear" w:color="auto" w:fill="FFFFFF"/>
            <w:vertAlign w:val="superscript"/>
          </w:rPr>
          <w:t>2</w:t>
        </w:r>
        <w:r w:rsidR="00E61D94" w:rsidRPr="003E5F94">
          <w:rPr>
            <w:rFonts w:cs="Calibri"/>
            <w:color w:val="000000"/>
            <w:shd w:val="clear" w:color="auto" w:fill="FFFFFF"/>
          </w:rPr>
          <w:fldChar w:fldCharType="end"/>
        </w:r>
      </w:hyperlink>
    </w:p>
    <w:p w14:paraId="7A88B584" w14:textId="5ED8FDEB" w:rsidR="00730A43" w:rsidRPr="00EA3458" w:rsidRDefault="00730A43" w:rsidP="00730A43">
      <w:proofErr w:type="spellStart"/>
      <w:r>
        <w:t>MedicineInsight</w:t>
      </w:r>
      <w:proofErr w:type="spellEnd"/>
      <w:r>
        <w:t xml:space="preserve"> data indicates </w:t>
      </w:r>
      <w:r w:rsidRPr="00EA3458">
        <w:t>O</w:t>
      </w:r>
      <w:r>
        <w:t>D</w:t>
      </w:r>
      <w:r w:rsidRPr="00EA3458">
        <w:t>T</w:t>
      </w:r>
      <w:r>
        <w:t xml:space="preserve"> medicines were</w:t>
      </w:r>
      <w:r w:rsidRPr="00EA3458">
        <w:t xml:space="preserve"> mostly prescribed by a private health practitioner with approximately 10% of prescribers responsible for 80% of the prescribing of O</w:t>
      </w:r>
      <w:r>
        <w:t>D</w:t>
      </w:r>
      <w:r w:rsidRPr="00EA3458">
        <w:t>T medicines. O</w:t>
      </w:r>
      <w:r>
        <w:t>DT medicines were</w:t>
      </w:r>
      <w:r w:rsidRPr="00EA3458">
        <w:t xml:space="preserve"> mainly dispensed in pharmacies (around </w:t>
      </w:r>
      <w:r>
        <w:t>68</w:t>
      </w:r>
      <w:r w:rsidRPr="00EA3458">
        <w:t>%). Prior to the COVID-19 pandemic, 32% of people had received takeaway doses, which increased to 47% during the pandemic.</w:t>
      </w:r>
      <w:hyperlink w:anchor="_ENREF_2" w:tooltip="Valerio, 2021 #7" w:history="1">
        <w:r w:rsidR="00E61D94" w:rsidRPr="003E5F94">
          <w:rPr>
            <w:rFonts w:cs="Calibri"/>
            <w:color w:val="000000"/>
            <w:shd w:val="clear" w:color="auto" w:fill="FFFFFF"/>
          </w:rPr>
          <w:fldChar w:fldCharType="begin">
            <w:fldData xml:space="preserve">PEVuZE5vdGU+PENpdGU+PEF1dGhvcj5WYWxlcmlvPC9BdXRob3I+PFllYXI+MjAyMTwvWWVhcj48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</w:fldData>
          </w:fldChar>
        </w:r>
        <w:r w:rsidR="00E61D94">
          <w:rPr>
            <w:rFonts w:cs="Calibri"/>
            <w:color w:val="000000"/>
            <w:shd w:val="clear" w:color="auto" w:fill="FFFFFF"/>
          </w:rPr>
          <w:instrText xml:space="preserve"> ADDIN EN.CITE </w:instrText>
        </w:r>
        <w:r w:rsidR="00E61D94">
          <w:rPr>
            <w:rFonts w:cs="Calibri"/>
            <w:color w:val="000000"/>
            <w:shd w:val="clear" w:color="auto" w:fill="FFFFFF"/>
          </w:rPr>
          <w:fldChar w:fldCharType="begin">
            <w:fldData xml:space="preserve">PEVuZE5vdGU+PENpdGU+PEF1dGhvcj5WYWxlcmlvPC9BdXRob3I+PFllYXI+MjAyMTwvWWVhcj48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</w:fldData>
          </w:fldChar>
        </w:r>
        <w:r w:rsidR="00E61D94">
          <w:rPr>
            <w:rFonts w:cs="Calibri"/>
            <w:color w:val="000000"/>
            <w:shd w:val="clear" w:color="auto" w:fill="FFFFFF"/>
          </w:rPr>
          <w:instrText xml:space="preserve"> ADDIN EN.CITE.DATA </w:instrText>
        </w:r>
        <w:r w:rsidR="00E61D94">
          <w:rPr>
            <w:rFonts w:cs="Calibri"/>
            <w:color w:val="000000"/>
            <w:shd w:val="clear" w:color="auto" w:fill="FFFFFF"/>
          </w:rPr>
        </w:r>
        <w:r w:rsidR="00E61D94">
          <w:rPr>
            <w:rFonts w:cs="Calibri"/>
            <w:color w:val="000000"/>
            <w:shd w:val="clear" w:color="auto" w:fill="FFFFFF"/>
          </w:rPr>
          <w:fldChar w:fldCharType="end"/>
        </w:r>
        <w:r w:rsidR="00E61D94" w:rsidRPr="003E5F94">
          <w:rPr>
            <w:rFonts w:cs="Calibri"/>
            <w:color w:val="000000"/>
            <w:shd w:val="clear" w:color="auto" w:fill="FFFFFF"/>
          </w:rPr>
        </w:r>
        <w:r w:rsidR="00E61D94" w:rsidRPr="003E5F94">
          <w:rPr>
            <w:rFonts w:cs="Calibri"/>
            <w:color w:val="000000"/>
            <w:shd w:val="clear" w:color="auto" w:fill="FFFFFF"/>
          </w:rPr>
          <w:fldChar w:fldCharType="separate"/>
        </w:r>
        <w:r w:rsidR="00E61D94" w:rsidRPr="00E61D94">
          <w:rPr>
            <w:rFonts w:cs="Calibri"/>
            <w:noProof/>
            <w:color w:val="000000"/>
            <w:shd w:val="clear" w:color="auto" w:fill="FFFFFF"/>
            <w:vertAlign w:val="superscript"/>
          </w:rPr>
          <w:t>2</w:t>
        </w:r>
        <w:r w:rsidR="00E61D94" w:rsidRPr="003E5F94">
          <w:rPr>
            <w:rFonts w:cs="Calibri"/>
            <w:color w:val="000000"/>
            <w:shd w:val="clear" w:color="auto" w:fill="FFFFFF"/>
          </w:rPr>
          <w:fldChar w:fldCharType="end"/>
        </w:r>
      </w:hyperlink>
      <w:r>
        <w:t xml:space="preserve"> However, access to takeaway doses may have since reduced in some jurisdictions, e.g. in NSW the amendment to policy guidance that allowed for consideration of higher numbers of takeaway doses during the COVID-19 pandemic was rolled-back to pre-pandemic ODT policies.</w:t>
      </w:r>
      <w:bookmarkStart w:id="13" w:name="_Hlk127949787"/>
      <w:r w:rsidR="00E61D94">
        <w:fldChar w:fldCharType="begin"/>
      </w:r>
      <w:r w:rsidR="00E61D94">
        <w:instrText xml:space="preserve"> HYPERLINK \l "_ENREF_3" \o "Ministry of Health, 2021 #70" </w:instrText>
      </w:r>
      <w:r w:rsidR="00E61D94">
        <w:fldChar w:fldCharType="separate"/>
      </w:r>
      <w:r w:rsidR="00E61D94">
        <w:fldChar w:fldCharType="begin"/>
      </w:r>
      <w:r w:rsidR="00E61D94">
        <w:instrText xml:space="preserve"> ADDIN EN.CITE &lt;EndNote&gt;&lt;Cite&gt;&lt;Author&gt;Ministry of Health&lt;/Author&gt;&lt;Year&gt;2021&lt;/Year&gt;&lt;RecNum&gt;70&lt;/RecNum&gt;&lt;DisplayText&gt;&lt;style face="superscript"&gt;3&lt;/style&gt;&lt;/DisplayText&gt;&lt;record&gt;&lt;rec-number&gt;70&lt;/rec-number&gt;&lt;foreign-keys&gt;&lt;key app="EN" db-id="xssz590sx9vzw4ewpzdv0s5sret50aexdtd9" timestamp="1677027576"&gt;70&lt;/key&gt;&lt;/foreign-keys&gt;&lt;ref-type name="Web Page"&gt;12&lt;/ref-type&gt;&lt;contributors&gt;&lt;authors&gt;&lt;author&gt;Ministry of Health, New South Wales &lt;/author&gt;&lt;/authors&gt;&lt;/contributors&gt;&lt;titles&gt;&lt;title&gt;COVID-19 Information letter for Opioid Agonist Treatment Community Prescribers&lt;/title&gt;&lt;/titles&gt;&lt;volume&gt;2023&lt;/volume&gt;&lt;number&gt;22 February&lt;/number&gt;&lt;dates&gt;&lt;year&gt;2021&lt;/year&gt;&lt;pub-dates&gt;&lt;date&gt;15 September 2021&lt;/date&gt;&lt;/pub-dates&gt;&lt;/dates&gt;&lt;urls&gt;&lt;related-urls&gt;&lt;url&gt;www.health.nsw.gov.au/aod/Pages/covid-19-oat-prescriber-info.aspx&lt;/url&gt;&lt;/related-urls&gt;&lt;/urls&gt;&lt;/record&gt;&lt;/Cite&gt;&lt;/EndNote&gt;</w:instrText>
      </w:r>
      <w:r w:rsidR="00E61D94">
        <w:fldChar w:fldCharType="separate"/>
      </w:r>
      <w:r w:rsidR="00E61D94" w:rsidRPr="00E61D94">
        <w:rPr>
          <w:noProof/>
          <w:vertAlign w:val="superscript"/>
        </w:rPr>
        <w:t>3</w:t>
      </w:r>
      <w:r w:rsidR="00E61D94">
        <w:fldChar w:fldCharType="end"/>
      </w:r>
      <w:r w:rsidR="00E61D94">
        <w:fldChar w:fldCharType="end"/>
      </w:r>
      <w:bookmarkEnd w:id="13"/>
    </w:p>
    <w:p w14:paraId="69A875F9" w14:textId="77777777" w:rsidR="00730A43" w:rsidRDefault="00730A43" w:rsidP="00730A43">
      <w:pPr>
        <w:rPr>
          <w:rFonts w:asciiTheme="minorHAnsi" w:hAnsiTheme="minorHAnsi" w:cstheme="minorHAnsi"/>
        </w:rPr>
      </w:pPr>
      <w:r>
        <w:rPr>
          <w:rFonts w:asciiTheme="minorHAnsi" w:hAnsiTheme="minorHAnsi" w:cstheme="minorHAnsi"/>
        </w:rPr>
        <w:t>Examination of treatment guidelines and current models of ODT service delivery demonstrate significant variability in how ODT has been implemented across different jurisdictions. While a direct comparison of individual features is challenging, a</w:t>
      </w:r>
      <w:r w:rsidRPr="00EA3458">
        <w:rPr>
          <w:rFonts w:asciiTheme="minorHAnsi" w:hAnsiTheme="minorHAnsi" w:cstheme="minorHAnsi"/>
        </w:rPr>
        <w:t xml:space="preserve"> range of elements </w:t>
      </w:r>
      <w:r>
        <w:rPr>
          <w:rFonts w:asciiTheme="minorHAnsi" w:hAnsiTheme="minorHAnsi" w:cstheme="minorHAnsi"/>
        </w:rPr>
        <w:t xml:space="preserve">across both international and domestic ODT service delivery models </w:t>
      </w:r>
      <w:r w:rsidRPr="00EA3458">
        <w:rPr>
          <w:rFonts w:asciiTheme="minorHAnsi" w:hAnsiTheme="minorHAnsi" w:cstheme="minorHAnsi"/>
        </w:rPr>
        <w:t xml:space="preserve">were identified as being essential for </w:t>
      </w:r>
      <w:r>
        <w:rPr>
          <w:rFonts w:asciiTheme="minorHAnsi" w:hAnsiTheme="minorHAnsi" w:cstheme="minorHAnsi"/>
        </w:rPr>
        <w:t xml:space="preserve">improved </w:t>
      </w:r>
      <w:r w:rsidRPr="00EA3458">
        <w:rPr>
          <w:rFonts w:asciiTheme="minorHAnsi" w:hAnsiTheme="minorHAnsi" w:cstheme="minorHAnsi"/>
        </w:rPr>
        <w:t>ODT service delivery (</w:t>
      </w:r>
      <w:r w:rsidRPr="002C6609">
        <w:rPr>
          <w:rFonts w:asciiTheme="minorHAnsi" w:hAnsiTheme="minorHAnsi" w:cstheme="minorHAnsi"/>
        </w:rPr>
        <w:t xml:space="preserve">refer </w:t>
      </w:r>
      <w:r>
        <w:rPr>
          <w:rFonts w:asciiTheme="minorHAnsi" w:hAnsiTheme="minorHAnsi" w:cstheme="minorHAnsi"/>
        </w:rPr>
        <w:t>S</w:t>
      </w:r>
      <w:r w:rsidRPr="002C6609">
        <w:rPr>
          <w:rFonts w:asciiTheme="minorHAnsi" w:hAnsiTheme="minorHAnsi" w:cstheme="minorHAnsi"/>
        </w:rPr>
        <w:t>ection 2.6).</w:t>
      </w:r>
      <w:r w:rsidRPr="00EA3458">
        <w:rPr>
          <w:rFonts w:asciiTheme="minorHAnsi" w:hAnsiTheme="minorHAnsi" w:cstheme="minorHAnsi"/>
        </w:rPr>
        <w:t xml:space="preserve"> These findings are also consistent with the essential elements raised by stakeholders.</w:t>
      </w:r>
    </w:p>
    <w:p w14:paraId="7EC2B662" w14:textId="77777777" w:rsidR="00730A43" w:rsidRPr="00EA3458" w:rsidRDefault="00730A43" w:rsidP="00730A43">
      <w:pPr>
        <w:rPr>
          <w:rFonts w:asciiTheme="minorHAnsi" w:hAnsiTheme="minorHAnsi" w:cstheme="minorHAnsi"/>
        </w:rPr>
      </w:pPr>
      <w:r>
        <w:rPr>
          <w:rFonts w:asciiTheme="minorHAnsi" w:hAnsiTheme="minorHAnsi" w:cstheme="minorHAnsi"/>
        </w:rPr>
        <w:t>A</w:t>
      </w:r>
      <w:r w:rsidRPr="00EA3458">
        <w:rPr>
          <w:rFonts w:asciiTheme="minorHAnsi" w:hAnsiTheme="minorHAnsi" w:cstheme="minorHAnsi"/>
        </w:rPr>
        <w:t>ffordability for people accessing ODT programs, especially O</w:t>
      </w:r>
      <w:r>
        <w:rPr>
          <w:rFonts w:asciiTheme="minorHAnsi" w:hAnsiTheme="minorHAnsi" w:cstheme="minorHAnsi"/>
        </w:rPr>
        <w:t>D</w:t>
      </w:r>
      <w:r w:rsidRPr="00EA3458">
        <w:rPr>
          <w:rFonts w:asciiTheme="minorHAnsi" w:hAnsiTheme="minorHAnsi" w:cstheme="minorHAnsi"/>
        </w:rPr>
        <w:t xml:space="preserve">T medicines, </w:t>
      </w:r>
      <w:r>
        <w:rPr>
          <w:rFonts w:asciiTheme="minorHAnsi" w:hAnsiTheme="minorHAnsi" w:cstheme="minorHAnsi"/>
        </w:rPr>
        <w:t>was</w:t>
      </w:r>
      <w:r w:rsidRPr="00EA3458">
        <w:rPr>
          <w:rFonts w:asciiTheme="minorHAnsi" w:hAnsiTheme="minorHAnsi" w:cstheme="minorHAnsi"/>
        </w:rPr>
        <w:t xml:space="preserve"> </w:t>
      </w:r>
      <w:r>
        <w:rPr>
          <w:rFonts w:asciiTheme="minorHAnsi" w:hAnsiTheme="minorHAnsi" w:cstheme="minorHAnsi"/>
        </w:rPr>
        <w:t>identified as a</w:t>
      </w:r>
      <w:r w:rsidRPr="00EA3458">
        <w:rPr>
          <w:rFonts w:asciiTheme="minorHAnsi" w:hAnsiTheme="minorHAnsi" w:cstheme="minorHAnsi"/>
        </w:rPr>
        <w:t xml:space="preserve"> key </w:t>
      </w:r>
      <w:r>
        <w:rPr>
          <w:rFonts w:asciiTheme="minorHAnsi" w:hAnsiTheme="minorHAnsi" w:cstheme="minorHAnsi"/>
        </w:rPr>
        <w:t>issue</w:t>
      </w:r>
      <w:r w:rsidRPr="00EA3458">
        <w:rPr>
          <w:rFonts w:asciiTheme="minorHAnsi" w:hAnsiTheme="minorHAnsi" w:cstheme="minorHAnsi"/>
        </w:rPr>
        <w:t xml:space="preserve"> throughout the Review.</w:t>
      </w:r>
      <w:r>
        <w:rPr>
          <w:rFonts w:asciiTheme="minorHAnsi" w:hAnsiTheme="minorHAnsi" w:cstheme="minorHAnsi"/>
        </w:rPr>
        <w:t xml:space="preserve"> Most consumers are charged private, unregulated fees particularly when accessing ODT medicines through community pharmacies. Approaches to address the affordability of ODT for consumers across jurisdictional ODT programs are </w:t>
      </w:r>
      <w:r>
        <w:rPr>
          <w:rFonts w:asciiTheme="minorHAnsi" w:hAnsiTheme="minorHAnsi" w:cstheme="minorHAnsi"/>
        </w:rPr>
        <w:lastRenderedPageBreak/>
        <w:t>variable.</w:t>
      </w:r>
      <w:r w:rsidRPr="00A93E9D">
        <w:t xml:space="preserve"> </w:t>
      </w:r>
      <w:r>
        <w:t>While some</w:t>
      </w:r>
      <w:r w:rsidRPr="00C45E73">
        <w:t xml:space="preserve"> </w:t>
      </w:r>
      <w:r>
        <w:t>jurisdictions,</w:t>
      </w:r>
      <w:r w:rsidRPr="00945A42">
        <w:t xml:space="preserve"> </w:t>
      </w:r>
      <w:r>
        <w:t xml:space="preserve">such as ACT, </w:t>
      </w:r>
      <w:proofErr w:type="gramStart"/>
      <w:r>
        <w:t>NSW</w:t>
      </w:r>
      <w:proofErr w:type="gramEnd"/>
      <w:r>
        <w:t xml:space="preserve"> and Tasmania,</w:t>
      </w:r>
      <w:r w:rsidRPr="00C45E73">
        <w:t xml:space="preserve"> </w:t>
      </w:r>
      <w:r>
        <w:t>provide a subsidy or targeted incentives for</w:t>
      </w:r>
      <w:r w:rsidRPr="00C45E73">
        <w:t xml:space="preserve"> </w:t>
      </w:r>
      <w:r>
        <w:t>community</w:t>
      </w:r>
      <w:r w:rsidRPr="00C45E73">
        <w:t xml:space="preserve"> </w:t>
      </w:r>
      <w:r>
        <w:t xml:space="preserve">pharmacy participation in ODT programs, most other jurisdictions have not adopted this approach. The ACT ODT program has a framework in place that sets a cap on the amount that pharmacies can charge through private fees thereby </w:t>
      </w:r>
      <w:r w:rsidRPr="00C45E73">
        <w:t>ensur</w:t>
      </w:r>
      <w:r>
        <w:t>ing</w:t>
      </w:r>
      <w:r w:rsidRPr="00C45E73">
        <w:t xml:space="preserve"> consistent (and capped) fees for </w:t>
      </w:r>
      <w:r>
        <w:t>consumers. In s</w:t>
      </w:r>
      <w:r w:rsidRPr="00C45E73">
        <w:t>ome jurisdictions</w:t>
      </w:r>
      <w:r>
        <w:t>, such as Victoria,</w:t>
      </w:r>
      <w:r w:rsidRPr="00C45E73">
        <w:t xml:space="preserve"> </w:t>
      </w:r>
      <w:r>
        <w:t>fees associated with the dispensing of ODT medicines are only subsidised</w:t>
      </w:r>
      <w:r w:rsidRPr="00C45E73">
        <w:t xml:space="preserve"> for priority population groups, such as young people or newly released prisoners. In most cases, dosing at public clinics</w:t>
      </w:r>
      <w:r>
        <w:t>, where available,</w:t>
      </w:r>
      <w:r w:rsidRPr="00C45E73">
        <w:t xml:space="preserve"> is free</w:t>
      </w:r>
      <w:r>
        <w:t xml:space="preserve"> but stakeholder input to the review suggests places are limited</w:t>
      </w:r>
      <w:r w:rsidRPr="00C45E73">
        <w:t>.</w:t>
      </w:r>
    </w:p>
    <w:p w14:paraId="0EDBC125" w14:textId="77777777" w:rsidR="00730A43" w:rsidRDefault="00730A43" w:rsidP="00730A43">
      <w:bookmarkStart w:id="14" w:name="_Hlk127950616"/>
      <w:r>
        <w:rPr>
          <w:rFonts w:asciiTheme="minorHAnsi" w:hAnsiTheme="minorHAnsi" w:cstheme="minorHAnsi"/>
        </w:rPr>
        <w:t>In addition, the Review found that t</w:t>
      </w:r>
      <w:r w:rsidRPr="00EA3458">
        <w:rPr>
          <w:rFonts w:asciiTheme="minorHAnsi" w:hAnsiTheme="minorHAnsi" w:cstheme="minorHAnsi"/>
        </w:rPr>
        <w:t xml:space="preserve">he continued growth in the demand for access to ODT is constrained by a reliance on public clinics to assist with the </w:t>
      </w:r>
      <w:r>
        <w:rPr>
          <w:rFonts w:asciiTheme="minorHAnsi" w:hAnsiTheme="minorHAnsi" w:cstheme="minorHAnsi"/>
        </w:rPr>
        <w:t xml:space="preserve">initiation of pharmacotherapy, </w:t>
      </w:r>
      <w:r w:rsidRPr="00EA3458">
        <w:rPr>
          <w:rFonts w:asciiTheme="minorHAnsi" w:hAnsiTheme="minorHAnsi" w:cstheme="minorHAnsi"/>
        </w:rPr>
        <w:t xml:space="preserve">affordability of treatment, </w:t>
      </w:r>
      <w:r>
        <w:rPr>
          <w:rFonts w:asciiTheme="minorHAnsi" w:hAnsiTheme="minorHAnsi" w:cstheme="minorHAnsi"/>
        </w:rPr>
        <w:t xml:space="preserve">workforce challenges, </w:t>
      </w:r>
      <w:r w:rsidRPr="00EA3458">
        <w:rPr>
          <w:rFonts w:asciiTheme="minorHAnsi" w:hAnsiTheme="minorHAnsi" w:cstheme="minorHAnsi"/>
        </w:rPr>
        <w:t>access to specialist review, and prescriber caps in many jurisdictions compared with other countries with less rigid supervision and prescriber restrictions</w:t>
      </w:r>
      <w:bookmarkEnd w:id="14"/>
      <w:r>
        <w:rPr>
          <w:rFonts w:asciiTheme="minorHAnsi" w:hAnsiTheme="minorHAnsi" w:cstheme="minorHAnsi"/>
        </w:rPr>
        <w:t>.</w:t>
      </w:r>
    </w:p>
    <w:p w14:paraId="1F8D5F84" w14:textId="77777777" w:rsidR="00730A43" w:rsidRDefault="00730A43" w:rsidP="00730A43">
      <w:pPr>
        <w:rPr>
          <w:rFonts w:asciiTheme="minorHAnsi" w:hAnsiTheme="minorHAnsi" w:cstheme="minorHAnsi"/>
        </w:rPr>
      </w:pPr>
      <w:r>
        <w:rPr>
          <w:rFonts w:asciiTheme="minorHAnsi" w:hAnsiTheme="minorHAnsi" w:cstheme="minorHAnsi"/>
        </w:rPr>
        <w:t>The Review also found that ODT</w:t>
      </w:r>
      <w:r w:rsidRPr="00EA3458">
        <w:rPr>
          <w:rFonts w:asciiTheme="minorHAnsi" w:hAnsiTheme="minorHAnsi" w:cstheme="minorHAnsi"/>
        </w:rPr>
        <w:t xml:space="preserve"> consumer access to</w:t>
      </w:r>
      <w:r w:rsidRPr="00E6717D">
        <w:rPr>
          <w:rFonts w:asciiTheme="minorHAnsi" w:hAnsiTheme="minorHAnsi" w:cstheme="minorHAnsi"/>
        </w:rPr>
        <w:t xml:space="preserve"> </w:t>
      </w:r>
      <w:r w:rsidRPr="00EA3458">
        <w:rPr>
          <w:rFonts w:asciiTheme="minorHAnsi" w:hAnsiTheme="minorHAnsi" w:cstheme="minorHAnsi"/>
        </w:rPr>
        <w:t>equitable and affordable medicines for the treatment of opioid dependence</w:t>
      </w:r>
      <w:r>
        <w:rPr>
          <w:rFonts w:asciiTheme="minorHAnsi" w:hAnsiTheme="minorHAnsi" w:cstheme="minorHAnsi"/>
        </w:rPr>
        <w:t xml:space="preserve"> could be improved to align with </w:t>
      </w:r>
      <w:r w:rsidRPr="00EA3458">
        <w:rPr>
          <w:rFonts w:asciiTheme="minorHAnsi" w:hAnsiTheme="minorHAnsi" w:cstheme="minorHAnsi"/>
        </w:rPr>
        <w:t xml:space="preserve">other medicines for chronic conditions listed on the PBS, including </w:t>
      </w:r>
      <w:r>
        <w:rPr>
          <w:rFonts w:asciiTheme="minorHAnsi" w:hAnsiTheme="minorHAnsi" w:cstheme="minorHAnsi"/>
        </w:rPr>
        <w:t xml:space="preserve">the provision for consumers to be able to access </w:t>
      </w:r>
      <w:r w:rsidRPr="00EA3458">
        <w:rPr>
          <w:rFonts w:asciiTheme="minorHAnsi" w:hAnsiTheme="minorHAnsi" w:cstheme="minorHAnsi"/>
        </w:rPr>
        <w:t>the Safety Net threshold</w:t>
      </w:r>
      <w:r>
        <w:rPr>
          <w:rFonts w:asciiTheme="minorHAnsi" w:hAnsiTheme="minorHAnsi" w:cstheme="minorHAnsi"/>
        </w:rPr>
        <w:t xml:space="preserve"> for their ODT medicines. </w:t>
      </w:r>
    </w:p>
    <w:p w14:paraId="0D9611D7" w14:textId="77777777" w:rsidR="00730A43" w:rsidRDefault="00730A43" w:rsidP="00730A43">
      <w:pPr>
        <w:rPr>
          <w:rFonts w:asciiTheme="minorHAnsi" w:hAnsiTheme="minorHAnsi" w:cstheme="minorHAnsi"/>
        </w:rPr>
      </w:pPr>
      <w:r>
        <w:t>The literature review found that c</w:t>
      </w:r>
      <w:r w:rsidRPr="00EA3458">
        <w:t xml:space="preserve">ommunity </w:t>
      </w:r>
      <w:r>
        <w:t>pharmacy dosing is considered appropriate for: consumers already stabilised on treatment, consumers who do not require the high levels of supervision and monitoring provided by private or public ODT clinics, or where clinic dosing is unavailable (e.g., consumers are unable to geographically access clinics due to mobility or transport issues).</w:t>
      </w:r>
    </w:p>
    <w:p w14:paraId="51371223" w14:textId="0C7DA765" w:rsidR="00730A43" w:rsidRDefault="00730A43" w:rsidP="00730A43">
      <w:pPr>
        <w:rPr>
          <w:rFonts w:eastAsia="Calibri" w:cs="Calibri"/>
          <w:color w:val="000000" w:themeColor="text1"/>
        </w:rPr>
      </w:pPr>
      <w:r w:rsidRPr="00EA3458">
        <w:rPr>
          <w:rFonts w:asciiTheme="minorHAnsi" w:hAnsiTheme="minorHAnsi" w:cstheme="minorHAnsi"/>
        </w:rPr>
        <w:t>Although</w:t>
      </w:r>
      <w:r>
        <w:rPr>
          <w:rFonts w:asciiTheme="minorHAnsi" w:hAnsiTheme="minorHAnsi" w:cstheme="minorHAnsi"/>
        </w:rPr>
        <w:t xml:space="preserve"> research evidence suggests </w:t>
      </w:r>
      <w:r w:rsidR="0018599B">
        <w:rPr>
          <w:rFonts w:asciiTheme="minorHAnsi" w:hAnsiTheme="minorHAnsi" w:cstheme="minorHAnsi"/>
        </w:rPr>
        <w:t>l</w:t>
      </w:r>
      <w:r w:rsidR="00E97616" w:rsidRPr="00E97616">
        <w:rPr>
          <w:rFonts w:asciiTheme="minorHAnsi" w:hAnsiTheme="minorHAnsi" w:cstheme="minorHAnsi"/>
        </w:rPr>
        <w:t xml:space="preserve">ong-acting injectable buprenorphine </w:t>
      </w:r>
      <w:r w:rsidR="00E97616">
        <w:rPr>
          <w:rFonts w:asciiTheme="minorHAnsi" w:hAnsiTheme="minorHAnsi" w:cstheme="minorHAnsi"/>
        </w:rPr>
        <w:t>(</w:t>
      </w:r>
      <w:r>
        <w:rPr>
          <w:rFonts w:asciiTheme="minorHAnsi" w:hAnsiTheme="minorHAnsi" w:cstheme="minorHAnsi"/>
        </w:rPr>
        <w:t>LAIB</w:t>
      </w:r>
      <w:r w:rsidR="00E97616">
        <w:rPr>
          <w:rFonts w:asciiTheme="minorHAnsi" w:hAnsiTheme="minorHAnsi" w:cstheme="minorHAnsi"/>
        </w:rPr>
        <w:t>)</w:t>
      </w:r>
      <w:r w:rsidRPr="00EA3458">
        <w:rPr>
          <w:rFonts w:asciiTheme="minorHAnsi" w:hAnsiTheme="minorHAnsi" w:cstheme="minorHAnsi"/>
        </w:rPr>
        <w:t xml:space="preserve"> is an attractive cost-saving option for some consumers due to reduced dosing fees, </w:t>
      </w:r>
      <w:r>
        <w:t>i</w:t>
      </w:r>
      <w:r w:rsidRPr="00EA3458">
        <w:t xml:space="preserve">t is important to note that many people who are opioid dependent would not choose </w:t>
      </w:r>
      <w:r>
        <w:t>LAIB</w:t>
      </w:r>
      <w:r w:rsidRPr="00EA3458">
        <w:t xml:space="preserve">. </w:t>
      </w:r>
      <w:r>
        <w:t>It is noteworthy that a significant proportion of consumers have been on methadone treatment for extended periods (decades in some cases). T</w:t>
      </w:r>
      <w:r w:rsidRPr="00EA3458">
        <w:rPr>
          <w:rFonts w:eastAsia="Calibri" w:cs="Calibri"/>
          <w:color w:val="000000" w:themeColor="text1"/>
        </w:rPr>
        <w:t xml:space="preserve">he importance of consumer choice in </w:t>
      </w:r>
      <w:r>
        <w:rPr>
          <w:rFonts w:eastAsia="Calibri" w:cs="Calibri"/>
          <w:color w:val="000000" w:themeColor="text1"/>
        </w:rPr>
        <w:t>treatment</w:t>
      </w:r>
      <w:r w:rsidRPr="00EA3458">
        <w:rPr>
          <w:rFonts w:eastAsia="Calibri" w:cs="Calibri"/>
          <w:color w:val="000000" w:themeColor="text1"/>
        </w:rPr>
        <w:t xml:space="preserve"> formulation</w:t>
      </w:r>
      <w:r>
        <w:rPr>
          <w:rFonts w:eastAsia="Calibri" w:cs="Calibri"/>
          <w:color w:val="000000" w:themeColor="text1"/>
        </w:rPr>
        <w:t>, and potential erosion of this choice,</w:t>
      </w:r>
      <w:r w:rsidRPr="00EA3458">
        <w:rPr>
          <w:rFonts w:eastAsia="Calibri" w:cs="Calibri"/>
          <w:color w:val="000000" w:themeColor="text1"/>
        </w:rPr>
        <w:t xml:space="preserve"> is a recurring concern reported across </w:t>
      </w:r>
      <w:r>
        <w:rPr>
          <w:rFonts w:eastAsia="Calibri" w:cs="Calibri"/>
          <w:color w:val="000000" w:themeColor="text1"/>
        </w:rPr>
        <w:t>LAIB</w:t>
      </w:r>
      <w:r w:rsidRPr="00EA3458">
        <w:rPr>
          <w:rFonts w:eastAsia="Calibri" w:cs="Calibri"/>
          <w:color w:val="000000" w:themeColor="text1"/>
        </w:rPr>
        <w:t xml:space="preserve"> studies</w:t>
      </w:r>
      <w:r>
        <w:rPr>
          <w:rFonts w:eastAsia="Calibri" w:cs="Calibri"/>
          <w:color w:val="000000" w:themeColor="text1"/>
        </w:rPr>
        <w:t>.</w:t>
      </w:r>
    </w:p>
    <w:p w14:paraId="19CCBB58" w14:textId="48BFA8EC" w:rsidR="00600CE7" w:rsidRDefault="00730A43" w:rsidP="00730A43">
      <w:pPr>
        <w:rPr>
          <w:rStyle w:val="normaltextrun"/>
          <w:rFonts w:cs="Calibri"/>
          <w:color w:val="000000"/>
          <w:shd w:val="clear" w:color="auto" w:fill="FFFFFF"/>
        </w:rPr>
      </w:pPr>
      <w:r>
        <w:rPr>
          <w:rFonts w:cstheme="minorHAnsi"/>
        </w:rPr>
        <w:t>The Review also found that ODT medicines</w:t>
      </w:r>
      <w:r w:rsidRPr="00EA3458">
        <w:rPr>
          <w:rFonts w:cstheme="minorHAnsi"/>
        </w:rPr>
        <w:t xml:space="preserve">, while important, </w:t>
      </w:r>
      <w:r>
        <w:rPr>
          <w:rFonts w:cstheme="minorHAnsi"/>
        </w:rPr>
        <w:t>are</w:t>
      </w:r>
      <w:r w:rsidRPr="00EA3458">
        <w:rPr>
          <w:rFonts w:cstheme="minorHAnsi"/>
        </w:rPr>
        <w:t xml:space="preserve"> but one element of ODT. Holistic t</w:t>
      </w:r>
      <w:r w:rsidRPr="00EA3458">
        <w:rPr>
          <w:rStyle w:val="normaltextrun"/>
          <w:rFonts w:cs="Calibri"/>
          <w:color w:val="000000"/>
          <w:shd w:val="clear" w:color="auto" w:fill="FFFFFF"/>
        </w:rPr>
        <w:t xml:space="preserve">reatment for opioid dependence is a combination of </w:t>
      </w:r>
      <w:r>
        <w:rPr>
          <w:rStyle w:val="normaltextrun"/>
          <w:rFonts w:cs="Calibri"/>
          <w:color w:val="000000"/>
          <w:shd w:val="clear" w:color="auto" w:fill="FFFFFF"/>
        </w:rPr>
        <w:t xml:space="preserve">ODT </w:t>
      </w:r>
      <w:r w:rsidRPr="00EA3458">
        <w:rPr>
          <w:rStyle w:val="normaltextrun"/>
          <w:rFonts w:cs="Calibri"/>
          <w:color w:val="000000"/>
          <w:shd w:val="clear" w:color="auto" w:fill="FFFFFF"/>
        </w:rPr>
        <w:t xml:space="preserve">medication and psychosocial support which includes addressing the often-complex components of </w:t>
      </w:r>
      <w:r>
        <w:rPr>
          <w:rStyle w:val="normaltextrun"/>
          <w:rFonts w:cs="Calibri"/>
          <w:color w:val="000000"/>
          <w:shd w:val="clear" w:color="auto" w:fill="FFFFFF"/>
        </w:rPr>
        <w:t>mental</w:t>
      </w:r>
      <w:r w:rsidRPr="00EA3458">
        <w:rPr>
          <w:rStyle w:val="normaltextrun"/>
          <w:rFonts w:cs="Calibri"/>
          <w:color w:val="000000"/>
          <w:shd w:val="clear" w:color="auto" w:fill="FFFFFF"/>
        </w:rPr>
        <w:t xml:space="preserve"> and physical health, as well as the social environment of a person with opioid dependence</w:t>
      </w:r>
      <w:r>
        <w:rPr>
          <w:rStyle w:val="normaltextrun"/>
          <w:rFonts w:cs="Calibri"/>
          <w:color w:val="000000"/>
          <w:shd w:val="clear" w:color="auto" w:fill="FFFFFF"/>
        </w:rPr>
        <w:t xml:space="preserve">. </w:t>
      </w:r>
      <w:r w:rsidRPr="00EA3458">
        <w:rPr>
          <w:rStyle w:val="normaltextrun"/>
          <w:rFonts w:cs="Calibri"/>
          <w:color w:val="000000"/>
          <w:shd w:val="clear" w:color="auto" w:fill="FFFFFF"/>
        </w:rPr>
        <w:t xml:space="preserve">The additional support required may vary </w:t>
      </w:r>
      <w:r>
        <w:rPr>
          <w:rStyle w:val="normaltextrun"/>
          <w:rFonts w:cs="Calibri"/>
          <w:color w:val="000000"/>
          <w:shd w:val="clear" w:color="auto" w:fill="FFFFFF"/>
        </w:rPr>
        <w:t xml:space="preserve">by person and </w:t>
      </w:r>
      <w:r w:rsidRPr="00EA3458">
        <w:rPr>
          <w:rStyle w:val="normaltextrun"/>
          <w:rFonts w:cs="Calibri"/>
          <w:color w:val="000000"/>
          <w:shd w:val="clear" w:color="auto" w:fill="FFFFFF"/>
        </w:rPr>
        <w:t>over time</w:t>
      </w:r>
      <w:r>
        <w:rPr>
          <w:rStyle w:val="normaltextrun"/>
          <w:rFonts w:cs="Calibri"/>
          <w:color w:val="000000"/>
          <w:shd w:val="clear" w:color="auto" w:fill="FFFFFF"/>
        </w:rPr>
        <w:t xml:space="preserve"> and</w:t>
      </w:r>
      <w:r w:rsidRPr="00EA3458">
        <w:rPr>
          <w:rStyle w:val="normaltextrun"/>
          <w:rFonts w:cs="Calibri"/>
          <w:color w:val="000000"/>
          <w:shd w:val="clear" w:color="auto" w:fill="FFFFFF"/>
        </w:rPr>
        <w:t xml:space="preserve"> should be adapted to the patient’s changing needs</w:t>
      </w:r>
      <w:r w:rsidR="00BC59EB">
        <w:rPr>
          <w:rStyle w:val="normaltextrun"/>
          <w:rFonts w:cs="Calibri"/>
          <w:color w:val="000000"/>
          <w:shd w:val="clear" w:color="auto" w:fill="FFFFFF"/>
        </w:rPr>
        <w:t>.</w:t>
      </w:r>
    </w:p>
    <w:p w14:paraId="49D2CC41" w14:textId="77777777" w:rsidR="00C2217F" w:rsidRPr="002C0432" w:rsidRDefault="00C2217F" w:rsidP="00594654">
      <w:pPr>
        <w:rPr>
          <w:rFonts w:eastAsia="Calibri" w:cs="Calibri"/>
          <w:color w:val="000000" w:themeColor="text1"/>
        </w:rPr>
      </w:pPr>
    </w:p>
    <w:p w14:paraId="1A36DFA8" w14:textId="77777777" w:rsidR="00C2217F" w:rsidRDefault="00C2217F">
      <w:pPr>
        <w:spacing w:after="160" w:line="259" w:lineRule="auto"/>
        <w:jc w:val="left"/>
        <w:rPr>
          <w:rFonts w:asciiTheme="minorHAnsi" w:eastAsiaTheme="majorEastAsia" w:hAnsiTheme="minorHAnsi" w:cstheme="majorBidi"/>
          <w:color w:val="1F3763" w:themeColor="accent1" w:themeShade="7F"/>
        </w:rPr>
      </w:pPr>
      <w:r>
        <w:br w:type="page"/>
      </w:r>
    </w:p>
    <w:p w14:paraId="53ED121D" w14:textId="36F2C330" w:rsidR="00A60594" w:rsidRPr="00A60594" w:rsidRDefault="00A60594" w:rsidP="00AB393E">
      <w:pPr>
        <w:pStyle w:val="Heading3"/>
        <w:numPr>
          <w:ilvl w:val="1"/>
          <w:numId w:val="30"/>
        </w:numPr>
        <w:rPr>
          <w:sz w:val="26"/>
          <w:szCs w:val="26"/>
        </w:rPr>
      </w:pPr>
      <w:bookmarkStart w:id="15" w:name="_Toc163220804"/>
      <w:r>
        <w:lastRenderedPageBreak/>
        <w:t>Term of Reference 2</w:t>
      </w:r>
      <w:r w:rsidR="00DE1F99">
        <w:t>: Key Findings</w:t>
      </w:r>
      <w:bookmarkEnd w:id="15"/>
    </w:p>
    <w:p w14:paraId="4A7F7955" w14:textId="77777777" w:rsidR="00995103" w:rsidRPr="008D40F6" w:rsidRDefault="00995103" w:rsidP="00995103">
      <w:pPr>
        <w:pBdr>
          <w:top w:val="single" w:sz="4" w:space="1" w:color="auto"/>
          <w:left w:val="single" w:sz="4" w:space="4" w:color="auto"/>
          <w:bottom w:val="single" w:sz="4" w:space="1" w:color="auto"/>
          <w:right w:val="single" w:sz="4" w:space="4" w:color="auto"/>
        </w:pBdr>
        <w:rPr>
          <w:b/>
          <w:bCs/>
        </w:rPr>
      </w:pPr>
      <w:r w:rsidRPr="008D40F6">
        <w:rPr>
          <w:b/>
          <w:bCs/>
        </w:rPr>
        <w:t>TOR 2: Examine the consumer experience, focussing on equity of access, geographical barriers to access, cultural safety, and affordability of ODT medicines across the different models of service delivery. This will include consideration of access to ODT for at risk population groups including people living in rural and remote areas, Aboriginal and Torres Strait Islander peoples and other populations who may have limited access to health care services, including ODT.</w:t>
      </w:r>
    </w:p>
    <w:p w14:paraId="5EF648AD" w14:textId="77777777" w:rsidR="00730A43" w:rsidRPr="00EA3458" w:rsidRDefault="00730A43" w:rsidP="00730A43">
      <w:pPr>
        <w:spacing w:line="259" w:lineRule="auto"/>
        <w:rPr>
          <w:rFonts w:asciiTheme="minorHAnsi" w:hAnsiTheme="minorHAnsi" w:cstheme="minorHAnsi"/>
        </w:rPr>
      </w:pPr>
      <w:r>
        <w:rPr>
          <w:rFonts w:asciiTheme="minorHAnsi" w:hAnsiTheme="minorHAnsi" w:cstheme="minorHAnsi"/>
        </w:rPr>
        <w:t>Though both domestic and international studies, as well as stakeholder input to the review, a</w:t>
      </w:r>
      <w:r w:rsidRPr="00EA3458">
        <w:rPr>
          <w:rFonts w:asciiTheme="minorHAnsi" w:hAnsiTheme="minorHAnsi" w:cstheme="minorHAnsi"/>
        </w:rPr>
        <w:t xml:space="preserve"> range of factors were identified as facilitators and barriers to initiation and ongoing access to treatment for people with opioid dependence. Facilitators include shared decision making in treatment, flexibility of supervised dosing schedules and access to takeaways; and staff that act with discretion and treat consumers equitably. Barriers include stigma</w:t>
      </w:r>
      <w:r>
        <w:rPr>
          <w:rFonts w:asciiTheme="minorHAnsi" w:hAnsiTheme="minorHAnsi" w:cstheme="minorHAnsi"/>
        </w:rPr>
        <w:t xml:space="preserve"> and discrimination (against both participants and the program itself)</w:t>
      </w:r>
      <w:r w:rsidRPr="00EA3458">
        <w:rPr>
          <w:rFonts w:asciiTheme="minorHAnsi" w:hAnsiTheme="minorHAnsi" w:cstheme="minorHAnsi"/>
        </w:rPr>
        <w:t xml:space="preserve">, </w:t>
      </w:r>
      <w:r>
        <w:rPr>
          <w:rFonts w:asciiTheme="minorHAnsi" w:hAnsiTheme="minorHAnsi" w:cstheme="minorHAnsi"/>
        </w:rPr>
        <w:t xml:space="preserve">community and clinician belief that the program doesn’t treat addiction, </w:t>
      </w:r>
      <w:r w:rsidRPr="00EA3458">
        <w:rPr>
          <w:rFonts w:asciiTheme="minorHAnsi" w:hAnsiTheme="minorHAnsi" w:cstheme="minorHAnsi"/>
        </w:rPr>
        <w:t xml:space="preserve">cost of </w:t>
      </w:r>
      <w:r>
        <w:rPr>
          <w:rFonts w:asciiTheme="minorHAnsi" w:hAnsiTheme="minorHAnsi" w:cstheme="minorHAnsi"/>
        </w:rPr>
        <w:t xml:space="preserve">private, unregulated fees associated with accessing </w:t>
      </w:r>
      <w:r w:rsidRPr="00EA3458">
        <w:rPr>
          <w:rFonts w:asciiTheme="minorHAnsi" w:hAnsiTheme="minorHAnsi" w:cstheme="minorHAnsi"/>
        </w:rPr>
        <w:t>O</w:t>
      </w:r>
      <w:r>
        <w:rPr>
          <w:rFonts w:asciiTheme="minorHAnsi" w:hAnsiTheme="minorHAnsi" w:cstheme="minorHAnsi"/>
        </w:rPr>
        <w:t>D</w:t>
      </w:r>
      <w:r w:rsidRPr="00EA3458">
        <w:rPr>
          <w:rFonts w:asciiTheme="minorHAnsi" w:hAnsiTheme="minorHAnsi" w:cstheme="minorHAnsi"/>
        </w:rPr>
        <w:t xml:space="preserve">T </w:t>
      </w:r>
      <w:r>
        <w:rPr>
          <w:rFonts w:asciiTheme="minorHAnsi" w:hAnsiTheme="minorHAnsi" w:cstheme="minorHAnsi"/>
        </w:rPr>
        <w:t xml:space="preserve">medicines </w:t>
      </w:r>
      <w:r w:rsidRPr="00EA3458">
        <w:rPr>
          <w:rFonts w:asciiTheme="minorHAnsi" w:hAnsiTheme="minorHAnsi" w:cstheme="minorHAnsi"/>
        </w:rPr>
        <w:t>and accompanying costs such as transport,</w:t>
      </w:r>
      <w:r>
        <w:rPr>
          <w:rFonts w:asciiTheme="minorHAnsi" w:hAnsiTheme="minorHAnsi" w:cstheme="minorHAnsi"/>
        </w:rPr>
        <w:t xml:space="preserve"> time,</w:t>
      </w:r>
      <w:r w:rsidRPr="00EA3458">
        <w:rPr>
          <w:rFonts w:asciiTheme="minorHAnsi" w:hAnsiTheme="minorHAnsi" w:cstheme="minorHAnsi"/>
        </w:rPr>
        <w:t xml:space="preserve"> rigidity of dosing hours</w:t>
      </w:r>
      <w:r>
        <w:rPr>
          <w:rFonts w:asciiTheme="minorHAnsi" w:hAnsiTheme="minorHAnsi" w:cstheme="minorHAnsi"/>
        </w:rPr>
        <w:t xml:space="preserve"> and location, particularly when consumers need to travel interstate</w:t>
      </w:r>
      <w:r w:rsidRPr="00EA3458">
        <w:rPr>
          <w:rFonts w:asciiTheme="minorHAnsi" w:hAnsiTheme="minorHAnsi" w:cstheme="minorHAnsi"/>
        </w:rPr>
        <w:t>.</w:t>
      </w:r>
    </w:p>
    <w:p w14:paraId="294EF236" w14:textId="77777777" w:rsidR="00730A43" w:rsidRPr="00EA3458" w:rsidRDefault="00730A43" w:rsidP="00730A43">
      <w:pPr>
        <w:spacing w:line="259" w:lineRule="auto"/>
        <w:rPr>
          <w:rFonts w:asciiTheme="minorHAnsi" w:hAnsiTheme="minorHAnsi" w:cstheme="minorHAnsi"/>
        </w:rPr>
      </w:pPr>
      <w:r w:rsidRPr="00EA3458">
        <w:rPr>
          <w:rFonts w:asciiTheme="minorHAnsi" w:hAnsiTheme="minorHAnsi" w:cstheme="minorHAnsi"/>
        </w:rPr>
        <w:t>Prescribers, pharmacists, and other health care workers have identified a range of common facilitators to engage health care workers in providing O</w:t>
      </w:r>
      <w:r>
        <w:rPr>
          <w:rFonts w:asciiTheme="minorHAnsi" w:hAnsiTheme="minorHAnsi" w:cstheme="minorHAnsi"/>
        </w:rPr>
        <w:t>D</w:t>
      </w:r>
      <w:r w:rsidRPr="00EA3458">
        <w:rPr>
          <w:rFonts w:asciiTheme="minorHAnsi" w:hAnsiTheme="minorHAnsi" w:cstheme="minorHAnsi"/>
        </w:rPr>
        <w:t>T</w:t>
      </w:r>
      <w:r>
        <w:rPr>
          <w:rFonts w:asciiTheme="minorHAnsi" w:hAnsiTheme="minorHAnsi" w:cstheme="minorHAnsi"/>
        </w:rPr>
        <w:t xml:space="preserve"> medicines</w:t>
      </w:r>
      <w:r w:rsidRPr="00EA3458">
        <w:rPr>
          <w:rFonts w:asciiTheme="minorHAnsi" w:hAnsiTheme="minorHAnsi" w:cstheme="minorHAnsi"/>
        </w:rPr>
        <w:t>. These include financial incentives, interdisciplinary support and collaboration, and additional dispensing pharmacies to share the O</w:t>
      </w:r>
      <w:r>
        <w:rPr>
          <w:rFonts w:asciiTheme="minorHAnsi" w:hAnsiTheme="minorHAnsi" w:cstheme="minorHAnsi"/>
        </w:rPr>
        <w:t>D</w:t>
      </w:r>
      <w:r w:rsidRPr="00EA3458">
        <w:rPr>
          <w:rFonts w:asciiTheme="minorHAnsi" w:hAnsiTheme="minorHAnsi" w:cstheme="minorHAnsi"/>
        </w:rPr>
        <w:t xml:space="preserve">T </w:t>
      </w:r>
      <w:r>
        <w:rPr>
          <w:rFonts w:asciiTheme="minorHAnsi" w:hAnsiTheme="minorHAnsi" w:cstheme="minorHAnsi"/>
        </w:rPr>
        <w:t xml:space="preserve">medicine </w:t>
      </w:r>
      <w:r w:rsidRPr="00EA3458">
        <w:rPr>
          <w:rFonts w:asciiTheme="minorHAnsi" w:hAnsiTheme="minorHAnsi" w:cstheme="minorHAnsi"/>
        </w:rPr>
        <w:t>dispensing workload. Common barriers to providing O</w:t>
      </w:r>
      <w:r>
        <w:rPr>
          <w:rFonts w:asciiTheme="minorHAnsi" w:hAnsiTheme="minorHAnsi" w:cstheme="minorHAnsi"/>
        </w:rPr>
        <w:t>D</w:t>
      </w:r>
      <w:r w:rsidRPr="00EA3458">
        <w:rPr>
          <w:rFonts w:asciiTheme="minorHAnsi" w:hAnsiTheme="minorHAnsi" w:cstheme="minorHAnsi"/>
        </w:rPr>
        <w:t>T reported by health care workers include</w:t>
      </w:r>
      <w:r>
        <w:rPr>
          <w:rFonts w:asciiTheme="minorHAnsi" w:hAnsiTheme="minorHAnsi" w:cstheme="minorHAnsi"/>
        </w:rPr>
        <w:t xml:space="preserve"> </w:t>
      </w:r>
      <w:r w:rsidRPr="00EA3458">
        <w:rPr>
          <w:rFonts w:asciiTheme="minorHAnsi" w:hAnsiTheme="minorHAnsi" w:cstheme="minorHAnsi"/>
        </w:rPr>
        <w:t xml:space="preserve">lack of financial remuneration for </w:t>
      </w:r>
      <w:r>
        <w:rPr>
          <w:rFonts w:asciiTheme="minorHAnsi" w:hAnsiTheme="minorHAnsi" w:cstheme="minorHAnsi"/>
        </w:rPr>
        <w:t>the</w:t>
      </w:r>
      <w:r w:rsidRPr="00EA3458">
        <w:rPr>
          <w:rFonts w:asciiTheme="minorHAnsi" w:hAnsiTheme="minorHAnsi" w:cstheme="minorHAnsi"/>
        </w:rPr>
        <w:t xml:space="preserve"> workload</w:t>
      </w:r>
      <w:r>
        <w:rPr>
          <w:rFonts w:asciiTheme="minorHAnsi" w:hAnsiTheme="minorHAnsi" w:cstheme="minorHAnsi"/>
        </w:rPr>
        <w:t xml:space="preserve"> associated with supply of ODT medicines</w:t>
      </w:r>
      <w:r w:rsidRPr="00EA3458">
        <w:rPr>
          <w:rFonts w:asciiTheme="minorHAnsi" w:hAnsiTheme="minorHAnsi" w:cstheme="minorHAnsi"/>
        </w:rPr>
        <w:t xml:space="preserve">, </w:t>
      </w:r>
      <w:r>
        <w:rPr>
          <w:rFonts w:asciiTheme="minorHAnsi" w:hAnsiTheme="minorHAnsi" w:cstheme="minorHAnsi"/>
        </w:rPr>
        <w:t>and among prescribers and pharmacists a</w:t>
      </w:r>
      <w:r w:rsidRPr="00EA3458">
        <w:rPr>
          <w:rFonts w:asciiTheme="minorHAnsi" w:hAnsiTheme="minorHAnsi" w:cstheme="minorHAnsi"/>
        </w:rPr>
        <w:t xml:space="preserve"> lack of education, knowledge, and training around drug dependence and O</w:t>
      </w:r>
      <w:r>
        <w:rPr>
          <w:rFonts w:asciiTheme="minorHAnsi" w:hAnsiTheme="minorHAnsi" w:cstheme="minorHAnsi"/>
        </w:rPr>
        <w:t>D</w:t>
      </w:r>
      <w:r w:rsidRPr="00EA3458">
        <w:rPr>
          <w:rFonts w:asciiTheme="minorHAnsi" w:hAnsiTheme="minorHAnsi" w:cstheme="minorHAnsi"/>
        </w:rPr>
        <w:t xml:space="preserve">T, </w:t>
      </w:r>
      <w:r>
        <w:rPr>
          <w:rFonts w:asciiTheme="minorHAnsi" w:hAnsiTheme="minorHAnsi" w:cstheme="minorHAnsi"/>
        </w:rPr>
        <w:t>as well as</w:t>
      </w:r>
      <w:r w:rsidRPr="00EA3458">
        <w:rPr>
          <w:rFonts w:asciiTheme="minorHAnsi" w:hAnsiTheme="minorHAnsi" w:cstheme="minorHAnsi"/>
        </w:rPr>
        <w:t xml:space="preserve"> belief that O</w:t>
      </w:r>
      <w:r>
        <w:rPr>
          <w:rFonts w:asciiTheme="minorHAnsi" w:hAnsiTheme="minorHAnsi" w:cstheme="minorHAnsi"/>
        </w:rPr>
        <w:t>D</w:t>
      </w:r>
      <w:r w:rsidRPr="00EA3458">
        <w:rPr>
          <w:rFonts w:asciiTheme="minorHAnsi" w:hAnsiTheme="minorHAnsi" w:cstheme="minorHAnsi"/>
        </w:rPr>
        <w:t>T is not a valid treatment.</w:t>
      </w:r>
      <w:r>
        <w:rPr>
          <w:rFonts w:asciiTheme="minorHAnsi" w:hAnsiTheme="minorHAnsi" w:cstheme="minorHAnsi"/>
        </w:rPr>
        <w:t xml:space="preserve"> These barriers contribute to ongoing stigma and discrimination experienced by consumers who access ODT.</w:t>
      </w:r>
    </w:p>
    <w:p w14:paraId="54AEC188" w14:textId="77777777" w:rsidR="00730A43" w:rsidRDefault="00730A43" w:rsidP="00730A43">
      <w:pPr>
        <w:spacing w:line="259" w:lineRule="auto"/>
        <w:rPr>
          <w:rFonts w:asciiTheme="minorHAnsi" w:hAnsiTheme="minorHAnsi" w:cstheme="minorHAnsi"/>
        </w:rPr>
      </w:pPr>
      <w:r>
        <w:rPr>
          <w:rFonts w:asciiTheme="minorHAnsi" w:hAnsiTheme="minorHAnsi" w:cstheme="minorHAnsi"/>
        </w:rPr>
        <w:t>Although experienced by many ODT consumers, p</w:t>
      </w:r>
      <w:r w:rsidRPr="00EA3458">
        <w:rPr>
          <w:rFonts w:asciiTheme="minorHAnsi" w:hAnsiTheme="minorHAnsi" w:cstheme="minorHAnsi"/>
        </w:rPr>
        <w:t xml:space="preserve">eople in rural areas </w:t>
      </w:r>
      <w:proofErr w:type="gramStart"/>
      <w:r>
        <w:rPr>
          <w:rFonts w:asciiTheme="minorHAnsi" w:hAnsiTheme="minorHAnsi" w:cstheme="minorHAnsi"/>
        </w:rPr>
        <w:t xml:space="preserve">in particular </w:t>
      </w:r>
      <w:r w:rsidRPr="00EA3458">
        <w:rPr>
          <w:rFonts w:asciiTheme="minorHAnsi" w:hAnsiTheme="minorHAnsi" w:cstheme="minorHAnsi"/>
        </w:rPr>
        <w:t>commonly</w:t>
      </w:r>
      <w:proofErr w:type="gramEnd"/>
      <w:r w:rsidRPr="00EA3458">
        <w:rPr>
          <w:rFonts w:asciiTheme="minorHAnsi" w:hAnsiTheme="minorHAnsi" w:cstheme="minorHAnsi"/>
        </w:rPr>
        <w:t xml:space="preserve"> reported that their access or retention to O</w:t>
      </w:r>
      <w:r>
        <w:rPr>
          <w:rFonts w:asciiTheme="minorHAnsi" w:hAnsiTheme="minorHAnsi" w:cstheme="minorHAnsi"/>
        </w:rPr>
        <w:t>D</w:t>
      </w:r>
      <w:r w:rsidRPr="00EA3458">
        <w:rPr>
          <w:rFonts w:asciiTheme="minorHAnsi" w:hAnsiTheme="minorHAnsi" w:cstheme="minorHAnsi"/>
        </w:rPr>
        <w:t>T was impeded by time consuming, costly, and restrictive daily medication collection; and the lack of privacy at dosing sites, leading to a fear of identification</w:t>
      </w:r>
      <w:r>
        <w:rPr>
          <w:rFonts w:asciiTheme="minorHAnsi" w:hAnsiTheme="minorHAnsi" w:cstheme="minorHAnsi"/>
        </w:rPr>
        <w:t>,</w:t>
      </w:r>
      <w:r w:rsidRPr="00EA3458">
        <w:rPr>
          <w:rFonts w:asciiTheme="minorHAnsi" w:hAnsiTheme="minorHAnsi" w:cstheme="minorHAnsi"/>
        </w:rPr>
        <w:t xml:space="preserve"> stigma</w:t>
      </w:r>
      <w:r>
        <w:rPr>
          <w:rFonts w:asciiTheme="minorHAnsi" w:hAnsiTheme="minorHAnsi" w:cstheme="minorHAnsi"/>
        </w:rPr>
        <w:t xml:space="preserve"> and discrimination</w:t>
      </w:r>
      <w:r w:rsidRPr="00EA3458">
        <w:rPr>
          <w:rFonts w:asciiTheme="minorHAnsi" w:hAnsiTheme="minorHAnsi" w:cstheme="minorHAnsi"/>
        </w:rPr>
        <w:t xml:space="preserve">. Accordingly, </w:t>
      </w:r>
      <w:r>
        <w:rPr>
          <w:rFonts w:asciiTheme="minorHAnsi" w:hAnsiTheme="minorHAnsi" w:cstheme="minorHAnsi"/>
        </w:rPr>
        <w:t xml:space="preserve">in addition to affordability, </w:t>
      </w:r>
      <w:r w:rsidRPr="00EA3458">
        <w:rPr>
          <w:rFonts w:asciiTheme="minorHAnsi" w:hAnsiTheme="minorHAnsi" w:cstheme="minorHAnsi"/>
        </w:rPr>
        <w:t>the most reported facilitators to treatment</w:t>
      </w:r>
      <w:r>
        <w:rPr>
          <w:rFonts w:asciiTheme="minorHAnsi" w:hAnsiTheme="minorHAnsi" w:cstheme="minorHAnsi"/>
        </w:rPr>
        <w:t xml:space="preserve"> by ODT consumers</w:t>
      </w:r>
      <w:r w:rsidRPr="00EA3458">
        <w:rPr>
          <w:rFonts w:asciiTheme="minorHAnsi" w:hAnsiTheme="minorHAnsi" w:cstheme="minorHAnsi"/>
        </w:rPr>
        <w:t xml:space="preserve"> </w:t>
      </w:r>
      <w:r>
        <w:rPr>
          <w:rFonts w:asciiTheme="minorHAnsi" w:hAnsiTheme="minorHAnsi" w:cstheme="minorHAnsi"/>
        </w:rPr>
        <w:t xml:space="preserve">in rural settings </w:t>
      </w:r>
      <w:r w:rsidRPr="00EA3458">
        <w:rPr>
          <w:rFonts w:asciiTheme="minorHAnsi" w:hAnsiTheme="minorHAnsi" w:cstheme="minorHAnsi"/>
        </w:rPr>
        <w:t>were access to takeaway doses to alleviate issues with travel and time constraints, and the establishment of separate dosing areas in pharmacies to offer privacy to O</w:t>
      </w:r>
      <w:r>
        <w:rPr>
          <w:rFonts w:asciiTheme="minorHAnsi" w:hAnsiTheme="minorHAnsi" w:cstheme="minorHAnsi"/>
        </w:rPr>
        <w:t>D</w:t>
      </w:r>
      <w:r w:rsidRPr="00EA3458">
        <w:rPr>
          <w:rFonts w:asciiTheme="minorHAnsi" w:hAnsiTheme="minorHAnsi" w:cstheme="minorHAnsi"/>
        </w:rPr>
        <w:t>T consumers.</w:t>
      </w:r>
    </w:p>
    <w:p w14:paraId="575BBEBC" w14:textId="4F4355EC" w:rsidR="00A60594" w:rsidRPr="00A60594" w:rsidRDefault="00730A43" w:rsidP="00730A43">
      <w:r>
        <w:rPr>
          <w:rFonts w:asciiTheme="minorHAnsi" w:hAnsiTheme="minorHAnsi" w:cstheme="minorHAnsi"/>
        </w:rPr>
        <w:t>In Australia, t</w:t>
      </w:r>
      <w:r w:rsidRPr="00AB43EE">
        <w:rPr>
          <w:rFonts w:asciiTheme="minorHAnsi" w:hAnsiTheme="minorHAnsi" w:cstheme="minorHAnsi"/>
        </w:rPr>
        <w:t xml:space="preserve">he </w:t>
      </w:r>
      <w:r>
        <w:rPr>
          <w:rFonts w:asciiTheme="minorHAnsi" w:hAnsiTheme="minorHAnsi" w:cstheme="minorHAnsi"/>
        </w:rPr>
        <w:t>affordability for consumers due to the high cost</w:t>
      </w:r>
      <w:r w:rsidRPr="00AB43EE">
        <w:rPr>
          <w:rFonts w:asciiTheme="minorHAnsi" w:hAnsiTheme="minorHAnsi" w:cstheme="minorHAnsi"/>
        </w:rPr>
        <w:t xml:space="preserve"> of </w:t>
      </w:r>
      <w:r>
        <w:rPr>
          <w:rFonts w:asciiTheme="minorHAnsi" w:hAnsiTheme="minorHAnsi" w:cstheme="minorHAnsi"/>
        </w:rPr>
        <w:t xml:space="preserve">private, unregulated fees associated with dispensing of </w:t>
      </w:r>
      <w:r w:rsidRPr="00AB43EE">
        <w:rPr>
          <w:rFonts w:asciiTheme="minorHAnsi" w:hAnsiTheme="minorHAnsi" w:cstheme="minorHAnsi"/>
        </w:rPr>
        <w:t>O</w:t>
      </w:r>
      <w:r>
        <w:rPr>
          <w:rFonts w:asciiTheme="minorHAnsi" w:hAnsiTheme="minorHAnsi" w:cstheme="minorHAnsi"/>
        </w:rPr>
        <w:t>D</w:t>
      </w:r>
      <w:r w:rsidRPr="00AB43EE">
        <w:rPr>
          <w:rFonts w:asciiTheme="minorHAnsi" w:hAnsiTheme="minorHAnsi" w:cstheme="minorHAnsi"/>
        </w:rPr>
        <w:t xml:space="preserve">T </w:t>
      </w:r>
      <w:r>
        <w:rPr>
          <w:rFonts w:asciiTheme="minorHAnsi" w:hAnsiTheme="minorHAnsi" w:cstheme="minorHAnsi"/>
        </w:rPr>
        <w:t xml:space="preserve">medicines </w:t>
      </w:r>
      <w:r w:rsidRPr="00AB43EE">
        <w:rPr>
          <w:rFonts w:asciiTheme="minorHAnsi" w:hAnsiTheme="minorHAnsi" w:cstheme="minorHAnsi"/>
        </w:rPr>
        <w:t>was consistently identified as a barrier for both consumer access to treatment and for the provision of O</w:t>
      </w:r>
      <w:r>
        <w:rPr>
          <w:rFonts w:asciiTheme="minorHAnsi" w:hAnsiTheme="minorHAnsi" w:cstheme="minorHAnsi"/>
        </w:rPr>
        <w:t>D</w:t>
      </w:r>
      <w:r w:rsidRPr="00AB43EE">
        <w:rPr>
          <w:rFonts w:asciiTheme="minorHAnsi" w:hAnsiTheme="minorHAnsi" w:cstheme="minorHAnsi"/>
        </w:rPr>
        <w:t>T through prescribers and pharmacists and was also the most common theme arising from stakeholder submissions to t</w:t>
      </w:r>
      <w:r>
        <w:rPr>
          <w:rFonts w:asciiTheme="minorHAnsi" w:hAnsiTheme="minorHAnsi" w:cstheme="minorHAnsi"/>
        </w:rPr>
        <w:t>he Review</w:t>
      </w:r>
      <w:r w:rsidRPr="00AB43EE">
        <w:rPr>
          <w:rFonts w:asciiTheme="minorHAnsi" w:hAnsiTheme="minorHAnsi" w:cstheme="minorHAnsi"/>
        </w:rPr>
        <w:t xml:space="preserve">. </w:t>
      </w:r>
      <w:r>
        <w:rPr>
          <w:rFonts w:asciiTheme="minorHAnsi" w:hAnsiTheme="minorHAnsi" w:cstheme="minorHAnsi"/>
        </w:rPr>
        <w:t xml:space="preserve">Addressing the matter of private fees associated with accessing ODT medicines </w:t>
      </w:r>
      <w:r w:rsidRPr="00AB43EE">
        <w:rPr>
          <w:rFonts w:asciiTheme="minorHAnsi" w:hAnsiTheme="minorHAnsi" w:cstheme="minorHAnsi"/>
        </w:rPr>
        <w:t>should therefore be a priority in reformed ODT</w:t>
      </w:r>
      <w:r>
        <w:rPr>
          <w:rFonts w:asciiTheme="minorHAnsi" w:hAnsiTheme="minorHAnsi" w:cstheme="minorHAnsi"/>
        </w:rPr>
        <w:t xml:space="preserve"> programs</w:t>
      </w:r>
      <w:r w:rsidR="00594654" w:rsidRPr="00AB43EE">
        <w:rPr>
          <w:rFonts w:asciiTheme="minorHAnsi" w:hAnsiTheme="minorHAnsi" w:cstheme="minorHAnsi"/>
        </w:rPr>
        <w:t>.</w:t>
      </w:r>
    </w:p>
    <w:p w14:paraId="12532773" w14:textId="77777777" w:rsidR="00C2217F" w:rsidRDefault="00C2217F">
      <w:pPr>
        <w:spacing w:after="160" w:line="259" w:lineRule="auto"/>
        <w:jc w:val="left"/>
        <w:rPr>
          <w:rFonts w:asciiTheme="minorHAnsi" w:eastAsiaTheme="majorEastAsia" w:hAnsiTheme="minorHAnsi" w:cstheme="majorBidi"/>
          <w:color w:val="1F3763" w:themeColor="accent1" w:themeShade="7F"/>
        </w:rPr>
      </w:pPr>
      <w:r>
        <w:br w:type="page"/>
      </w:r>
    </w:p>
    <w:p w14:paraId="43B04999" w14:textId="462EF3FE" w:rsidR="00A60594" w:rsidRPr="00A60594" w:rsidRDefault="00A60594" w:rsidP="00AB393E">
      <w:pPr>
        <w:pStyle w:val="Heading3"/>
        <w:numPr>
          <w:ilvl w:val="1"/>
          <w:numId w:val="30"/>
        </w:numPr>
        <w:rPr>
          <w:sz w:val="26"/>
          <w:szCs w:val="26"/>
        </w:rPr>
      </w:pPr>
      <w:bookmarkStart w:id="16" w:name="_Toc163220805"/>
      <w:r>
        <w:lastRenderedPageBreak/>
        <w:t>Terms of Reference 3</w:t>
      </w:r>
      <w:r w:rsidR="00DE1F99">
        <w:t>: Key Findings</w:t>
      </w:r>
      <w:bookmarkEnd w:id="16"/>
    </w:p>
    <w:p w14:paraId="68DC5F32" w14:textId="7A96A803" w:rsidR="00995103" w:rsidRPr="008D40F6" w:rsidRDefault="00995103" w:rsidP="00995103">
      <w:pPr>
        <w:pBdr>
          <w:top w:val="single" w:sz="4" w:space="1" w:color="auto"/>
          <w:left w:val="single" w:sz="4" w:space="4" w:color="auto"/>
          <w:bottom w:val="single" w:sz="4" w:space="1" w:color="auto"/>
          <w:right w:val="single" w:sz="4" w:space="4" w:color="auto"/>
        </w:pBdr>
        <w:shd w:val="clear" w:color="auto" w:fill="FFFFFF" w:themeFill="background1"/>
        <w:rPr>
          <w:b/>
          <w:bCs/>
        </w:rPr>
      </w:pPr>
      <w:r w:rsidRPr="008D40F6">
        <w:rPr>
          <w:b/>
          <w:bCs/>
        </w:rPr>
        <w:t>TOR 3: Explore the utilisation of PBS subsidised O</w:t>
      </w:r>
      <w:r w:rsidR="00CD0FD3">
        <w:rPr>
          <w:b/>
          <w:bCs/>
        </w:rPr>
        <w:t>D</w:t>
      </w:r>
      <w:r w:rsidRPr="008D40F6">
        <w:rPr>
          <w:b/>
          <w:bCs/>
        </w:rPr>
        <w:t xml:space="preserve">T medicines in Australia, including funding, benefits (health system and societal) and costs incurred in the supply and dispensing of ODTP medicines in pharmacy and non-pharmacy settings. This will include examination of current PBS restriction criteria and the impact of the listing of modified release buprenorphine injections on the PBS ODTP. </w:t>
      </w:r>
    </w:p>
    <w:p w14:paraId="61962FA1" w14:textId="54542BEA" w:rsidR="00730A43" w:rsidRPr="00F1268F" w:rsidRDefault="00730A43" w:rsidP="00730A43">
      <w:pPr>
        <w:rPr>
          <w:rStyle w:val="normaltextrun"/>
          <w:rFonts w:cs="Calibri"/>
          <w:color w:val="000000"/>
          <w:shd w:val="clear" w:color="auto" w:fill="FFFFFF"/>
        </w:rPr>
      </w:pPr>
      <w:r w:rsidRPr="00EA3458">
        <w:t>There is strong evidence for a wide range of health and social benefits</w:t>
      </w:r>
      <w:r w:rsidRPr="00CD0FD3">
        <w:t xml:space="preserve"> </w:t>
      </w:r>
      <w:r w:rsidRPr="00EA3458">
        <w:t xml:space="preserve">for people with opioid dependence </w:t>
      </w:r>
      <w:r>
        <w:t>associated with</w:t>
      </w:r>
      <w:r w:rsidRPr="00EA3458">
        <w:t xml:space="preserve"> O</w:t>
      </w:r>
      <w:r>
        <w:t>D</w:t>
      </w:r>
      <w:r w:rsidRPr="00EA3458">
        <w:t>T</w:t>
      </w:r>
      <w:r>
        <w:t xml:space="preserve"> medicines</w:t>
      </w:r>
      <w:r w:rsidRPr="00EA3458">
        <w:t xml:space="preserve">. </w:t>
      </w:r>
      <w:r w:rsidRPr="00F1268F">
        <w:rPr>
          <w:rStyle w:val="normaltextrun"/>
          <w:rFonts w:cs="Calibri"/>
          <w:color w:val="000000"/>
          <w:shd w:val="clear" w:color="auto" w:fill="FFFFFF"/>
        </w:rPr>
        <w:t>Being in a methadone/buprenorphine program reduces injecting risk behaviour, the risk of HIV/Hepatitis C virus acquisition, criminal activity and overdose deaths and increases quality of life including mental and physical health. In terms of societal costs, ODT is also highly cost-effective, and actually cost-saving when costs of crime are included.</w:t>
      </w:r>
      <w:hyperlink w:anchor="_ENREF_4" w:tooltip="Chetty M, 2017 #73" w:history="1">
        <w:r w:rsidR="00E61D94" w:rsidRPr="00F1268F">
          <w:rPr>
            <w:rStyle w:val="normaltextrun"/>
            <w:rFonts w:cs="Calibri"/>
            <w:color w:val="000000"/>
            <w:shd w:val="clear" w:color="auto" w:fill="FFFFFF"/>
          </w:rPr>
          <w:fldChar w:fldCharType="begin"/>
        </w:r>
        <w:r w:rsidR="00E61D94">
          <w:rPr>
            <w:rStyle w:val="normaltextrun"/>
            <w:rFonts w:cs="Calibri"/>
            <w:color w:val="000000"/>
            <w:shd w:val="clear" w:color="auto" w:fill="FFFFFF"/>
          </w:rPr>
          <w:instrText xml:space="preserve"> ADDIN EN.CITE &lt;EndNote&gt;&lt;Cite&gt;&lt;Author&gt;Chetty M&lt;/Author&gt;&lt;Year&gt;2017&lt;/Year&gt;&lt;RecNum&gt;73&lt;/RecNum&gt;&lt;DisplayText&gt;&lt;style face="superscript"&gt;4&lt;/style&gt;&lt;/DisplayText&gt;&lt;record&gt;&lt;rec-number&gt;73&lt;/rec-number&gt;&lt;foreign-keys&gt;&lt;key app="EN" db-id="xssz590sx9vzw4ewpzdv0s5sret50aexdtd9" timestamp="1677030210"&gt;73&lt;/key&gt;&lt;/foreign-keys&gt;&lt;ref-type name="Journal Article"&gt;17&lt;/ref-type&gt;&lt;contributors&gt;&lt;authors&gt;&lt;author&gt;Chetty M, &lt;/author&gt;&lt;author&gt;Kenworthy JJ, &lt;/author&gt;&lt;author&gt;Langham S, &lt;/author&gt;&lt;author&gt;Walker A, &lt;/author&gt;&lt;author&gt;Dunlop WC&lt;/author&gt;&lt;/authors&gt;&lt;/contributors&gt;&lt;titles&gt;&lt;title&gt;A systematic review of health economic models of opioid agonist therapies in maintenance treatment of non-prescription opioid dependence&lt;/title&gt;&lt;secondary-title&gt;Addiction Science and Clinical Practice&lt;/secondary-title&gt;&lt;/titles&gt;&lt;periodical&gt;&lt;full-title&gt;Addiction Science and Clinical Practice&lt;/full-title&gt;&lt;/periodical&gt;&lt;volume&gt;12&lt;/volume&gt;&lt;number&gt;6&lt;/number&gt;&lt;num-vols&gt;1&lt;/num-vols&gt;&lt;dates&gt;&lt;year&gt;2017&lt;/year&gt;&lt;/dates&gt;&lt;urls&gt;&lt;/urls&gt;&lt;/record&gt;&lt;/Cite&gt;&lt;/EndNote&gt;</w:instrText>
        </w:r>
        <w:r w:rsidR="00E61D94" w:rsidRPr="00F1268F">
          <w:rPr>
            <w:rStyle w:val="normaltextrun"/>
            <w:rFonts w:cs="Calibri"/>
            <w:color w:val="000000"/>
            <w:shd w:val="clear" w:color="auto" w:fill="FFFFFF"/>
          </w:rPr>
          <w:fldChar w:fldCharType="separate"/>
        </w:r>
        <w:r w:rsidR="00E61D94" w:rsidRPr="00E61D94">
          <w:rPr>
            <w:rStyle w:val="normaltextrun"/>
            <w:rFonts w:cs="Calibri"/>
            <w:noProof/>
            <w:color w:val="000000"/>
            <w:shd w:val="clear" w:color="auto" w:fill="FFFFFF"/>
            <w:vertAlign w:val="superscript"/>
          </w:rPr>
          <w:t>4</w:t>
        </w:r>
        <w:r w:rsidR="00E61D94" w:rsidRPr="00F1268F">
          <w:rPr>
            <w:rStyle w:val="normaltextrun"/>
            <w:rFonts w:cs="Calibri"/>
            <w:color w:val="000000"/>
            <w:shd w:val="clear" w:color="auto" w:fill="FFFFFF"/>
          </w:rPr>
          <w:fldChar w:fldCharType="end"/>
        </w:r>
      </w:hyperlink>
      <w:r w:rsidRPr="00F1268F">
        <w:rPr>
          <w:rStyle w:val="normaltextrun"/>
          <w:rFonts w:cs="Calibri"/>
          <w:color w:val="000000"/>
          <w:shd w:val="clear" w:color="auto" w:fill="FFFFFF"/>
        </w:rPr>
        <w:t xml:space="preserve"> Addressing cost barriers to treatment entry and retention (through the PBS and with states and territories) has the potential to improve a wide range of health and other outcomes for people with opioid dependence. </w:t>
      </w:r>
    </w:p>
    <w:p w14:paraId="59AE19B0" w14:textId="77777777" w:rsidR="00730A43" w:rsidRDefault="00730A43" w:rsidP="00730A43">
      <w:r w:rsidRPr="00EA3458">
        <w:t xml:space="preserve">By and large, there are few clear differences between methadone and </w:t>
      </w:r>
      <w:r>
        <w:t xml:space="preserve">sublingual </w:t>
      </w:r>
      <w:r w:rsidRPr="00EA3458">
        <w:t>buprenorphine</w:t>
      </w:r>
      <w:r>
        <w:t xml:space="preserve"> +/- naloxone</w:t>
      </w:r>
      <w:r w:rsidRPr="00EA3458">
        <w:t xml:space="preserve"> in terms of impacts on a wide range of primary and secondary outcomes (e.g., drug use, mental health); one clear exception</w:t>
      </w:r>
      <w:r>
        <w:t xml:space="preserve"> identified through the literature review</w:t>
      </w:r>
      <w:r w:rsidRPr="00EA3458">
        <w:t xml:space="preserve"> is that people are retained better on methadone</w:t>
      </w:r>
      <w:r>
        <w:t xml:space="preserve"> than on sublingual buprenorphine +/- naloxone</w:t>
      </w:r>
      <w:r w:rsidRPr="00EA3458">
        <w:t>.</w:t>
      </w:r>
    </w:p>
    <w:p w14:paraId="071C6BDA" w14:textId="417CC514" w:rsidR="00730A43" w:rsidRPr="00EA3458" w:rsidRDefault="00730A43" w:rsidP="00730A43">
      <w:r w:rsidRPr="00EA3458">
        <w:t>LAIB presents potential cost savings in terms of monthly dosing staff costs compared to other more frequent dosing treatments and consumer travel costs. Preliminary data indicates high retention rates</w:t>
      </w:r>
      <w:r>
        <w:t xml:space="preserve"> associated with LAIB treatment</w:t>
      </w:r>
      <w:r w:rsidRPr="00EA3458">
        <w:t xml:space="preserve">, but this requires further study given the very small evidence base to date. </w:t>
      </w:r>
      <w:r w:rsidRPr="009A1DA3">
        <w:t xml:space="preserve">A recent yet to be published study of LAIB found the adjusted mean days in treatment was longer for the LAIB group compared to the combined methadone and </w:t>
      </w:r>
      <w:r>
        <w:t>sublingual</w:t>
      </w:r>
      <w:r w:rsidRPr="009A1DA3">
        <w:t xml:space="preserve"> buprenorphine group as was the time to first stopping treatment</w:t>
      </w:r>
      <w:r>
        <w:t>.</w:t>
      </w:r>
      <w:r>
        <w:fldChar w:fldCharType="begin"/>
      </w:r>
      <w:r w:rsidR="00E61D94">
        <w:instrText xml:space="preserve"> ADDIN EN.CITE &lt;EndNote&gt;&lt;Cite&gt;&lt;Author&gt;Marsden&lt;/Author&gt;&lt;Year&gt;(unpublished manuscript)&lt;/Year&gt;&lt;RecNum&gt;71&lt;/RecNum&gt;&lt;DisplayText&gt;&lt;style face="superscript"&gt;5, 6&lt;/style&gt;&lt;/DisplayText&gt;&lt;record&gt;&lt;rec-number&gt;71&lt;/rec-number&gt;&lt;foreign-keys&gt;&lt;key app="EN" db-id="xssz590sx9vzw4ewpzdv0s5sret50aexdtd9" timestamp="1677027867"&gt;71&lt;/key&gt;&lt;/foreign-keys&gt;&lt;ref-type name="Journal Article"&gt;17&lt;/ref-type&gt;&lt;contributors&gt;&lt;authors&gt;&lt;author&gt;Marsden, J.&lt;/author&gt;&lt;/authors&gt;&lt;/contributors&gt;&lt;titles&gt;&lt;title&gt;Extended-release Pharmacotherapy for Opioid Use Disorder&lt;/title&gt;&lt;/titles&gt;&lt;dates&gt;&lt;year&gt;(unpublished manuscript)&lt;/year&gt;&lt;/dates&gt;&lt;urls&gt;&lt;/urls&gt;&lt;/record&gt;&lt;/Cite&gt;&lt;Cite&gt;&lt;Author&gt;Marsden J&lt;/Author&gt;&lt;Year&gt;2022&lt;/Year&gt;&lt;RecNum&gt;72&lt;/RecNum&gt;&lt;record&gt;&lt;rec-number&gt;72&lt;/rec-number&gt;&lt;foreign-keys&gt;&lt;key app="EN" db-id="xssz590sx9vzw4ewpzdv0s5sret50aexdtd9" timestamp="1677028976"&gt;72&lt;/key&gt;&lt;/foreign-keys&gt;&lt;ref-type name="Journal Article"&gt;17&lt;/ref-type&gt;&lt;contributors&gt;&lt;authors&gt;&lt;author&gt;Marsden J, &lt;/author&gt;&lt;author&gt;Kelleher M, &lt;/author&gt;&lt;author&gt;Hoare Z, &lt;/author&gt;&lt;author&gt;Hughes D, &lt;/author&gt;&lt;author&gt;Bisla J, &lt;/author&gt;&lt;author&gt;Cape A, &lt;/author&gt;&lt;author&gt;et al.&lt;/author&gt;&lt;/authors&gt;&lt;/contributors&gt;&lt;titles&gt;&lt;title&gt;Extended-release pharmacotherapy for opioid use disorder (EXPO): protocol for an open-label randomised controlled trial of the effectiveness and cost-effectiveness of injectable buprenorphine versus sublingual tablet buprenorphine and oral liquid methadone&lt;/title&gt;&lt;secondary-title&gt;Trials&lt;/secondary-title&gt;&lt;/titles&gt;&lt;periodical&gt;&lt;full-title&gt;Trials&lt;/full-title&gt;&lt;/periodical&gt;&lt;volume&gt;23(1):697&lt;/volume&gt;&lt;dates&gt;&lt;year&gt;2022&lt;/year&gt;&lt;/dates&gt;&lt;urls&gt;&lt;/urls&gt;&lt;electronic-resource-num&gt;10.1186/s13063-022-06595-0&lt;/electronic-resource-num&gt;&lt;/record&gt;&lt;/Cite&gt;&lt;/EndNote&gt;</w:instrText>
      </w:r>
      <w:r>
        <w:fldChar w:fldCharType="separate"/>
      </w:r>
      <w:hyperlink w:anchor="_ENREF_5" w:tooltip="Marsden, (unpublished manuscript) #71" w:history="1">
        <w:r w:rsidR="00E61D94" w:rsidRPr="00E61D94">
          <w:rPr>
            <w:noProof/>
            <w:vertAlign w:val="superscript"/>
          </w:rPr>
          <w:t>5</w:t>
        </w:r>
      </w:hyperlink>
      <w:r w:rsidR="00E61D94" w:rsidRPr="00E61D94">
        <w:rPr>
          <w:noProof/>
          <w:vertAlign w:val="superscript"/>
        </w:rPr>
        <w:t>,</w:t>
      </w:r>
      <w:hyperlink w:anchor="_ENREF_6" w:tooltip="Marsden J, 2022 #72" w:history="1">
        <w:r w:rsidR="00E61D94" w:rsidRPr="00E61D94">
          <w:rPr>
            <w:noProof/>
            <w:vertAlign w:val="superscript"/>
          </w:rPr>
          <w:t>6</w:t>
        </w:r>
      </w:hyperlink>
      <w:r>
        <w:fldChar w:fldCharType="end"/>
      </w:r>
      <w:r>
        <w:t xml:space="preserve"> </w:t>
      </w:r>
      <w:r w:rsidRPr="00EA3458">
        <w:t xml:space="preserve">Further, not all consumers feel that </w:t>
      </w:r>
      <w:r>
        <w:t xml:space="preserve">LAIB </w:t>
      </w:r>
      <w:r w:rsidRPr="00EA3458">
        <w:t>is a suitable treatment choice for them personally.</w:t>
      </w:r>
    </w:p>
    <w:p w14:paraId="686247C9" w14:textId="77777777" w:rsidR="00730A43" w:rsidRPr="00EA3458" w:rsidRDefault="00730A43" w:rsidP="00730A43">
      <w:r>
        <w:t>Approximately half of all consumers on oral and sublingual ODT medicines receive any takeaway doses as estimated in the quantitative systematic review undertaken as part of the ODTP PMR, with slightly more consumers on sublingual buprenorphine +/- naloxone receiving takeaways compared to methadone.</w:t>
      </w:r>
    </w:p>
    <w:p w14:paraId="1D68CFB3" w14:textId="77777777" w:rsidR="00730A43" w:rsidRPr="00EA3458" w:rsidRDefault="00730A43" w:rsidP="00730A43">
      <w:r w:rsidRPr="00EA3458">
        <w:t>There are limited clinical and research data, and no population-based data on individual-level O</w:t>
      </w:r>
      <w:r>
        <w:t>D</w:t>
      </w:r>
      <w:r w:rsidRPr="00EA3458">
        <w:t xml:space="preserve">T </w:t>
      </w:r>
      <w:r>
        <w:t xml:space="preserve">medicine </w:t>
      </w:r>
      <w:r w:rsidRPr="00EA3458">
        <w:t>doses and dosing patterns in Australia</w:t>
      </w:r>
      <w:r>
        <w:t>, a limitation of the current funding model particularly for methadone where one bottle can be shared among multiple patients</w:t>
      </w:r>
      <w:r w:rsidRPr="00EA3458">
        <w:t>. Such data</w:t>
      </w:r>
      <w:r>
        <w:t xml:space="preserve">, including daily dose variability and frequency of dispensing where possible, </w:t>
      </w:r>
      <w:r w:rsidRPr="00EA3458">
        <w:t>are very important to consider real-world patterns of O</w:t>
      </w:r>
      <w:r>
        <w:t>D</w:t>
      </w:r>
      <w:r w:rsidRPr="00EA3458">
        <w:t>T</w:t>
      </w:r>
      <w:r>
        <w:t xml:space="preserve"> medicine</w:t>
      </w:r>
      <w:r w:rsidRPr="00EA3458">
        <w:t xml:space="preserve"> use.</w:t>
      </w:r>
    </w:p>
    <w:p w14:paraId="58F4CC29" w14:textId="77777777" w:rsidR="00730A43" w:rsidRPr="00EA3458" w:rsidRDefault="00730A43" w:rsidP="00730A43">
      <w:r w:rsidRPr="00EA3458">
        <w:t xml:space="preserve">Commonwealth expenditure on the </w:t>
      </w:r>
      <w:r>
        <w:t xml:space="preserve">PBS </w:t>
      </w:r>
      <w:r w:rsidRPr="00EA3458">
        <w:t xml:space="preserve">ODTP has been steadily increasing over the years. </w:t>
      </w:r>
      <w:r>
        <w:br/>
      </w:r>
      <w:r w:rsidRPr="00EA3458">
        <w:t>In 5 years, expenditure has doubled from the 2016-17 financial year ($51.5</w:t>
      </w:r>
      <w:r>
        <w:t xml:space="preserve"> million</w:t>
      </w:r>
      <w:r w:rsidRPr="00EA3458">
        <w:t xml:space="preserve">) to </w:t>
      </w:r>
      <w:r>
        <w:br/>
      </w:r>
      <w:r w:rsidRPr="00EA3458">
        <w:t>2021-22 ($108.6</w:t>
      </w:r>
      <w:r>
        <w:t xml:space="preserve"> million</w:t>
      </w:r>
      <w:r w:rsidRPr="00EA3458">
        <w:t xml:space="preserve">) and has grown by 20% from the 2020-21 financial year alone </w:t>
      </w:r>
      <w:r>
        <w:br/>
      </w:r>
      <w:r w:rsidRPr="00EA3458">
        <w:t>($90.3</w:t>
      </w:r>
      <w:r>
        <w:t xml:space="preserve"> million</w:t>
      </w:r>
      <w:r w:rsidRPr="00EA3458">
        <w:t>).</w:t>
      </w:r>
      <w:r>
        <w:t xml:space="preserve"> </w:t>
      </w:r>
    </w:p>
    <w:p w14:paraId="42491B55" w14:textId="77777777" w:rsidR="00730A43" w:rsidRPr="00EA3458" w:rsidRDefault="00730A43" w:rsidP="00730A43">
      <w:r>
        <w:t xml:space="preserve">PBS </w:t>
      </w:r>
      <w:r w:rsidRPr="00EA3458">
        <w:t xml:space="preserve">ODTP expenditure growth was mostly steady before the introduction of LAIB in September 2019. </w:t>
      </w:r>
      <w:r>
        <w:t xml:space="preserve">In 2021-22 approximately half of all expenditure on the PBS ODTP was for </w:t>
      </w:r>
      <w:r>
        <w:lastRenderedPageBreak/>
        <w:t xml:space="preserve">LAIB products. </w:t>
      </w:r>
      <w:r w:rsidRPr="00EA3458">
        <w:t xml:space="preserve">The listing of this new medicine </w:t>
      </w:r>
      <w:r>
        <w:t>was followed by</w:t>
      </w:r>
      <w:r w:rsidRPr="00EA3458">
        <w:t xml:space="preserve"> a sharp increase in overall expenditure growth, as well as a decrease in growth across other </w:t>
      </w:r>
      <w:r>
        <w:t>ODT</w:t>
      </w:r>
      <w:r w:rsidRPr="00EA3458">
        <w:t xml:space="preserve"> medicines. Further analysis</w:t>
      </w:r>
      <w:r>
        <w:t xml:space="preserve"> of PBS ODTP expenditure data</w:t>
      </w:r>
      <w:r w:rsidRPr="00EA3458">
        <w:t xml:space="preserve"> indicates that the acceleration of program expenditure growth is likely due to a growth in patient numbers due to LAIB facilitating the removal of both logistical and cost-based barriers to </w:t>
      </w:r>
      <w:r>
        <w:t>ODT medicines</w:t>
      </w:r>
      <w:r w:rsidRPr="00EA3458">
        <w:t>, as well as potentially due to improved retention rates.</w:t>
      </w:r>
      <w:r>
        <w:t xml:space="preserve"> It is important to note the uptake of LAIB is also likely </w:t>
      </w:r>
      <w:proofErr w:type="gramStart"/>
      <w:r>
        <w:t>as a result of</w:t>
      </w:r>
      <w:proofErr w:type="gramEnd"/>
      <w:r>
        <w:t xml:space="preserve"> implementation of new state and territory ODT policies and guidelines, particularly in correctional facilities.</w:t>
      </w:r>
    </w:p>
    <w:p w14:paraId="09AA6EF0" w14:textId="1A3C2DD7" w:rsidR="00730A43" w:rsidRPr="00EA3458" w:rsidRDefault="00730A43" w:rsidP="00730A43">
      <w:r w:rsidRPr="00EA3458">
        <w:t xml:space="preserve">Costs borne by consumers, especially pharmacy-charged </w:t>
      </w:r>
      <w:r>
        <w:t xml:space="preserve">private </w:t>
      </w:r>
      <w:r w:rsidRPr="00EA3458">
        <w:t xml:space="preserve">dosing fees to consumers, create burdensome expenditures for consumers, especially those on </w:t>
      </w:r>
      <w:r>
        <w:t>fixed or limited incomes</w:t>
      </w:r>
      <w:r w:rsidRPr="00EA3458">
        <w:t>, thereby creating barriers to treatment entry and retention</w:t>
      </w:r>
      <w:r>
        <w:t xml:space="preserve"> with flow-on impacts to social, </w:t>
      </w:r>
      <w:proofErr w:type="gramStart"/>
      <w:r>
        <w:t>mental</w:t>
      </w:r>
      <w:proofErr w:type="gramEnd"/>
      <w:r>
        <w:t xml:space="preserve"> and physical health more broadly</w:t>
      </w:r>
      <w:r w:rsidRPr="00EA3458">
        <w:t xml:space="preserve">. Dosing fees vary widely across states and territories because pharmacies set their own fees based on their own cost assessments. Costs to patients </w:t>
      </w:r>
      <w:r>
        <w:t xml:space="preserve">through private, unregulated fees </w:t>
      </w:r>
      <w:r w:rsidRPr="00EA3458">
        <w:t>typically range from $5-8 per day</w:t>
      </w:r>
      <w:hyperlink w:anchor="_ENREF_7" w:tooltip="Gisev, 2018 #14" w:history="1">
        <w:r w:rsidR="00E61D94">
          <w:fldChar w:fldCharType="begin"/>
        </w:r>
        <w:r w:rsidR="00E61D94">
          <w:instrText xml:space="preserve"> ADDIN EN.CITE &lt;EndNote&gt;&lt;Cite&gt;&lt;Author&gt;Gisev&lt;/Author&gt;&lt;Year&gt;2018&lt;/Year&gt;&lt;RecNum&gt;14&lt;/RecNum&gt;&lt;DisplayText&gt;&lt;style face="superscript"&gt;7&lt;/style&gt;&lt;/DisplayText&gt;&lt;record&gt;&lt;rec-number&gt;14&lt;/rec-number&gt;&lt;foreign-keys&gt;&lt;key app="EN" db-id="2ddxrsvw6f2zsleeewuvvwwmw0txsvezv929" timestamp="1677031988"&gt;14&lt;/key&gt;&lt;/foreign-keys&gt;&lt;ref-type name="Journal Article"&gt;17&lt;/ref-type&gt;&lt;contributors&gt;&lt;authors&gt;&lt;author&gt;Gisev, N.&lt;/author&gt;&lt;author&gt;Campbell., G.&lt;/author&gt;&lt;author&gt;Lalic, S. &lt;/author&gt;&lt;author&gt;Larney, S. &lt;/author&gt;&lt;author&gt;Peacock, A.&lt;/author&gt;&lt;author&gt;Nielsen, S.&lt;/author&gt;&lt;author&gt;Pearson, S. &lt;/author&gt;&lt;author&gt;Degenhardt, L.&lt;/author&gt;&lt;/authors&gt;&lt;/contributors&gt;&lt;titles&gt;&lt;title&gt;Current Opioid Access, Use and Problems in Australian Jurisdictions&lt;/title&gt;&lt;secondary-title&gt;Current Addiction Reports &lt;/secondary-title&gt;&lt;/titles&gt;&lt;pages&gt;464-472&lt;/pages&gt;&lt;volume&gt;5&lt;/volume&gt;&lt;number&gt;4&lt;/number&gt;&lt;dates&gt;&lt;year&gt;2018&lt;/year&gt;&lt;/dates&gt;&lt;urls&gt;&lt;/urls&gt;&lt;/record&gt;&lt;/Cite&gt;&lt;/EndNote&gt;</w:instrText>
        </w:r>
        <w:r w:rsidR="00E61D94">
          <w:fldChar w:fldCharType="separate"/>
        </w:r>
        <w:r w:rsidR="00E61D94" w:rsidRPr="00E61D94">
          <w:rPr>
            <w:noProof/>
            <w:vertAlign w:val="superscript"/>
          </w:rPr>
          <w:t>7</w:t>
        </w:r>
        <w:r w:rsidR="00E61D94">
          <w:fldChar w:fldCharType="end"/>
        </w:r>
      </w:hyperlink>
      <w:r>
        <w:t xml:space="preserve"> (and can be higher)</w:t>
      </w:r>
      <w:r w:rsidRPr="00EA3458">
        <w:t>. Input to t</w:t>
      </w:r>
      <w:r>
        <w:t>he Review</w:t>
      </w:r>
      <w:r w:rsidRPr="00EA3458">
        <w:t xml:space="preserve"> suggests </w:t>
      </w:r>
      <w:r>
        <w:t>remuneration</w:t>
      </w:r>
      <w:r w:rsidRPr="00EA3458">
        <w:t xml:space="preserve"> for pharmacies </w:t>
      </w:r>
      <w:r>
        <w:t>(through alternative funding sources rather than being borne by patients) may help</w:t>
      </w:r>
      <w:r w:rsidRPr="00EA3458">
        <w:t xml:space="preserve"> maintain</w:t>
      </w:r>
      <w:r>
        <w:t xml:space="preserve"> or improve</w:t>
      </w:r>
      <w:r w:rsidRPr="00EA3458">
        <w:t xml:space="preserve"> </w:t>
      </w:r>
      <w:r>
        <w:t xml:space="preserve">their </w:t>
      </w:r>
      <w:r w:rsidRPr="00EA3458">
        <w:t>involvement in O</w:t>
      </w:r>
      <w:r>
        <w:t>D</w:t>
      </w:r>
      <w:r w:rsidRPr="00EA3458">
        <w:t>T, and/or for dosing fees charged to consumers to be standardised, reduced, or eliminated.</w:t>
      </w:r>
    </w:p>
    <w:p w14:paraId="0A254F34" w14:textId="6A6EA59B" w:rsidR="00A60594" w:rsidRDefault="00730A43" w:rsidP="00730A43">
      <w:pPr>
        <w:spacing w:after="0"/>
      </w:pPr>
      <w:r w:rsidRPr="00EA3458">
        <w:t xml:space="preserve">Through analysis of Commonwealth expenditure data, approximately 80% of oral and sublingual </w:t>
      </w:r>
      <w:r>
        <w:t xml:space="preserve">PBS </w:t>
      </w:r>
      <w:r w:rsidRPr="00EA3458">
        <w:t>ODTP medicines are supplied through community pharmacies</w:t>
      </w:r>
      <w:r>
        <w:t>.</w:t>
      </w:r>
      <w:r w:rsidRPr="00EA3458">
        <w:t xml:space="preserve"> </w:t>
      </w:r>
      <w:r>
        <w:t xml:space="preserve">In contrast, </w:t>
      </w:r>
      <w:r w:rsidRPr="00EA3458">
        <w:t xml:space="preserve">LAIB </w:t>
      </w:r>
      <w:r>
        <w:t>is</w:t>
      </w:r>
      <w:r w:rsidRPr="00EA3458">
        <w:t xml:space="preserve"> supplied across a wider range of dosing points, with 29% going through community pharmacies</w:t>
      </w:r>
      <w:r>
        <w:t>.</w:t>
      </w:r>
      <w:r w:rsidRPr="00EA3458">
        <w:t xml:space="preserve"> </w:t>
      </w:r>
      <w:r>
        <w:t xml:space="preserve">Notably, 18% of LAIB is supplied through </w:t>
      </w:r>
      <w:proofErr w:type="gramStart"/>
      <w:r>
        <w:t>correctional facilities</w:t>
      </w:r>
      <w:proofErr w:type="gramEnd"/>
      <w:r>
        <w:t>, while only 3% of oral and sublingual PBS ODTP doses are supplied directly to these sites</w:t>
      </w:r>
      <w:r w:rsidR="00594654">
        <w:t>.</w:t>
      </w:r>
    </w:p>
    <w:p w14:paraId="5352A16E" w14:textId="77777777" w:rsidR="00C722BD" w:rsidRPr="00A60594" w:rsidRDefault="00C722BD" w:rsidP="00C722BD">
      <w:pPr>
        <w:spacing w:after="0"/>
      </w:pPr>
    </w:p>
    <w:p w14:paraId="26EB1E92" w14:textId="5A3F7629" w:rsidR="00A60594" w:rsidRPr="00A60594" w:rsidRDefault="00A60594" w:rsidP="00AB393E">
      <w:pPr>
        <w:pStyle w:val="Heading3"/>
        <w:numPr>
          <w:ilvl w:val="1"/>
          <w:numId w:val="30"/>
        </w:numPr>
        <w:rPr>
          <w:sz w:val="26"/>
          <w:szCs w:val="26"/>
        </w:rPr>
      </w:pPr>
      <w:bookmarkStart w:id="17" w:name="_Toc163220806"/>
      <w:r>
        <w:t>Term of Reference 4</w:t>
      </w:r>
      <w:r w:rsidR="00DE1F99">
        <w:t>: Key Findings</w:t>
      </w:r>
      <w:bookmarkEnd w:id="17"/>
    </w:p>
    <w:p w14:paraId="568031BB" w14:textId="713FFED0" w:rsidR="00995103" w:rsidRPr="008D40F6" w:rsidRDefault="00995103" w:rsidP="00995103">
      <w:pPr>
        <w:pBdr>
          <w:top w:val="single" w:sz="4" w:space="1" w:color="auto"/>
          <w:left w:val="single" w:sz="4" w:space="4" w:color="auto"/>
          <w:bottom w:val="single" w:sz="4" w:space="1" w:color="auto"/>
          <w:right w:val="single" w:sz="4" w:space="4" w:color="auto"/>
        </w:pBdr>
        <w:rPr>
          <w:b/>
          <w:bCs/>
        </w:rPr>
      </w:pPr>
      <w:r w:rsidRPr="008D40F6">
        <w:rPr>
          <w:b/>
          <w:bCs/>
        </w:rPr>
        <w:t xml:space="preserve">TOR 4: Propose improved service delivery arrangements for access to ODT medicines, with an aim of identifying an ODTP that is equitable, timely, </w:t>
      </w:r>
      <w:r w:rsidR="00FA4E9E" w:rsidRPr="008D40F6">
        <w:rPr>
          <w:b/>
          <w:bCs/>
        </w:rPr>
        <w:t>reliable,</w:t>
      </w:r>
      <w:r w:rsidRPr="008D40F6">
        <w:rPr>
          <w:b/>
          <w:bCs/>
        </w:rPr>
        <w:t xml:space="preserve"> and affordable for consumers and stakeholders involved in the supply and delivery of ODT medicines and cost-effective for the Australian Government.</w:t>
      </w:r>
    </w:p>
    <w:p w14:paraId="2367AEF5" w14:textId="594292E5" w:rsidR="00730A43" w:rsidRPr="00630E93" w:rsidRDefault="00730A43" w:rsidP="00730A43">
      <w:r w:rsidRPr="00630E93">
        <w:t xml:space="preserve">The essential elements of ODT service delivery outlined in </w:t>
      </w:r>
      <w:r>
        <w:t>S</w:t>
      </w:r>
      <w:r w:rsidRPr="00630E93">
        <w:t>ection 2.6</w:t>
      </w:r>
      <w:r w:rsidR="0018599B">
        <w:t xml:space="preserve"> of the Report</w:t>
      </w:r>
      <w:r w:rsidRPr="00630E93">
        <w:t xml:space="preserve"> could serve as guiding principles for collaborative efforts by Commonwealth and jurisdictions toward improved ODT service delivery arrangements.</w:t>
      </w:r>
    </w:p>
    <w:p w14:paraId="5BAFAFC3" w14:textId="5E089BAC" w:rsidR="00730A43" w:rsidRPr="00630E93" w:rsidRDefault="00730A43" w:rsidP="00730A43">
      <w:r w:rsidRPr="00630E93">
        <w:t xml:space="preserve">Addressing the affordability of </w:t>
      </w:r>
      <w:r>
        <w:t xml:space="preserve">access to </w:t>
      </w:r>
      <w:r w:rsidRPr="00630E93">
        <w:t>O</w:t>
      </w:r>
      <w:r>
        <w:t>D</w:t>
      </w:r>
      <w:r w:rsidRPr="00630E93">
        <w:t>T medicines for consumers</w:t>
      </w:r>
      <w:r>
        <w:t xml:space="preserve"> </w:t>
      </w:r>
      <w:r w:rsidRPr="00F45C25">
        <w:t xml:space="preserve">due to the high cost of private, unregulated fees </w:t>
      </w:r>
      <w:r w:rsidRPr="00630E93">
        <w:t>is a primary issue raised throughout the Review. This issue is closely intertwined with remuneration for pharmacists</w:t>
      </w:r>
      <w:r>
        <w:t xml:space="preserve"> as one cannot be resolved without the other. In addition, solving for affordability of access to ODT medicines may also need to consider </w:t>
      </w:r>
      <w:r w:rsidRPr="00630E93">
        <w:t xml:space="preserve">management and implications of daily dosing requirements, clinical aspects regarding models of </w:t>
      </w:r>
      <w:r>
        <w:t>service delivery</w:t>
      </w:r>
      <w:r w:rsidRPr="00630E93">
        <w:t xml:space="preserve"> and considerations regarding Commonwealth and jurisdictional responsibility</w:t>
      </w:r>
      <w:r>
        <w:t xml:space="preserve"> for ODT programs</w:t>
      </w:r>
      <w:r w:rsidRPr="00630E93">
        <w:t xml:space="preserve">. Close engagement between the Commonwealth and jurisdictions will likely be required to resolve </w:t>
      </w:r>
      <w:r>
        <w:t>ODT service delivery issues raised throughout the Review</w:t>
      </w:r>
      <w:r w:rsidRPr="00630E93">
        <w:t>.</w:t>
      </w:r>
    </w:p>
    <w:p w14:paraId="7DF6C5F8" w14:textId="0B49014F" w:rsidR="00730A43" w:rsidRDefault="00730A43" w:rsidP="00730A43">
      <w:r>
        <w:lastRenderedPageBreak/>
        <w:t>Currently dispensed ODT medicines do not attract PBS co-payments and consequently there is no annual limit of dispensing charges to the consumer. PBS listings of ODT medicines with PBS co-payments from consumers would mean these payments contribute to the Safety Net threshold as well as providing remuneration for PBS approved suppliers like pharmacists, like other medicines for chronic conditions on the PBS.</w:t>
      </w:r>
      <w:r w:rsidRPr="005F2527">
        <w:t xml:space="preserve"> </w:t>
      </w:r>
      <w:r>
        <w:t xml:space="preserve">This means pharmacists would not be able to (and would not need to) charge private fees on top of the PBS co-payment as with other medicines on the PBS. </w:t>
      </w:r>
      <w:bookmarkStart w:id="18" w:name="_Hlk124863932"/>
      <w:r w:rsidRPr="009C4FB7">
        <w:t xml:space="preserve">However, it is important to note that </w:t>
      </w:r>
      <w:r>
        <w:t>PBS</w:t>
      </w:r>
      <w:r w:rsidRPr="009C4FB7">
        <w:t xml:space="preserve"> remuneration </w:t>
      </w:r>
      <w:r>
        <w:t>for pharmacist dispensing activities associated with ODT medicines</w:t>
      </w:r>
      <w:r w:rsidRPr="009C4FB7">
        <w:t xml:space="preserve"> </w:t>
      </w:r>
      <w:r>
        <w:t xml:space="preserve">may need to consider whether </w:t>
      </w:r>
      <w:r w:rsidRPr="009C4FB7">
        <w:t>separate fee</w:t>
      </w:r>
      <w:r>
        <w:t>s are required</w:t>
      </w:r>
      <w:r w:rsidRPr="009C4FB7">
        <w:t xml:space="preserve"> for supervised dosing/dose management</w:t>
      </w:r>
      <w:r>
        <w:t xml:space="preserve">, and if so, consider options for how these could be implemented including whether they could be </w:t>
      </w:r>
      <w:r w:rsidRPr="009C4FB7">
        <w:t>supported within the PBS framework.</w:t>
      </w:r>
      <w:bookmarkEnd w:id="18"/>
    </w:p>
    <w:p w14:paraId="7F15BE24" w14:textId="77777777" w:rsidR="00730A43" w:rsidRPr="00630E93" w:rsidRDefault="00730A43" w:rsidP="00730A43">
      <w:r w:rsidRPr="00630E93">
        <w:t>Improved support for delivery of jurisdictional ODT programs through</w:t>
      </w:r>
      <w:r>
        <w:t xml:space="preserve"> </w:t>
      </w:r>
      <w:r w:rsidRPr="00630E93">
        <w:t xml:space="preserve">ACCHOs </w:t>
      </w:r>
      <w:r>
        <w:t>may</w:t>
      </w:r>
      <w:r w:rsidRPr="00630E93">
        <w:t xml:space="preserve"> assist in improving accessibility to culturally safe treatment for First Nations</w:t>
      </w:r>
      <w:r>
        <w:t xml:space="preserve"> for</w:t>
      </w:r>
      <w:r w:rsidRPr="00630E93">
        <w:t xml:space="preserve"> people</w:t>
      </w:r>
      <w:r>
        <w:t xml:space="preserve"> wishing to access ODT medicines through these settings</w:t>
      </w:r>
      <w:r w:rsidRPr="00630E93">
        <w:t>. Under the PBS, the Closing the Gap (CTG) Co-payment measure aims to improve access to affordable PBS medicines for First Nations people living with, or at risk of, chronic disease. Similarly, the eligibility of the CTG program could be extended to O</w:t>
      </w:r>
      <w:r>
        <w:t>D</w:t>
      </w:r>
      <w:r w:rsidRPr="00630E93">
        <w:t>T medicines listed on the PBS</w:t>
      </w:r>
      <w:r>
        <w:t>,</w:t>
      </w:r>
      <w:r w:rsidRPr="000A53FA">
        <w:rPr>
          <w:rStyle w:val="normaltextrun"/>
          <w:rFonts w:cs="Calibri"/>
          <w:color w:val="000000"/>
          <w:shd w:val="clear" w:color="auto" w:fill="FFFFFF"/>
        </w:rPr>
        <w:t xml:space="preserve"> ensuring access to culturally secure treatment from both ACCHOs and mainstream ODT dosing sites</w:t>
      </w:r>
      <w:r w:rsidRPr="00630E93">
        <w:t>.</w:t>
      </w:r>
      <w:r>
        <w:t xml:space="preserve"> </w:t>
      </w:r>
      <w:r w:rsidRPr="00E86E00">
        <w:t>Stakeholders suggest this could occur though specific programs to enhance uptake and provide support for ACCHOs. Possible programs could include specific prescriber training (and clinical staff such as Aboriginal Health Practitioner and ACCHO nurse), support for on-site dosing and funding for ODT medicine provision within ACCHOs, and prison in-reach services.</w:t>
      </w:r>
      <w:r>
        <w:t xml:space="preserve"> </w:t>
      </w:r>
    </w:p>
    <w:p w14:paraId="002C5F72" w14:textId="10B0EC50" w:rsidR="00730A43" w:rsidRPr="00630E93" w:rsidRDefault="00730A43" w:rsidP="00730A43">
      <w:r w:rsidRPr="00630E93">
        <w:t>To provide guidance towards consistency in jurisdictional policy</w:t>
      </w:r>
      <w:r>
        <w:t xml:space="preserve"> the Review highlighted the</w:t>
      </w:r>
      <w:r w:rsidRPr="00630E93">
        <w:t xml:space="preserve"> </w:t>
      </w:r>
      <w:r>
        <w:t>importance of updating the</w:t>
      </w:r>
      <w:r w:rsidRPr="00630E93">
        <w:t xml:space="preserve"> </w:t>
      </w:r>
      <w:r w:rsidRPr="0018599B">
        <w:rPr>
          <w:i/>
          <w:iCs/>
        </w:rPr>
        <w:t xml:space="preserve">National Guidelines for Medication-Assisted Treatment of Opioid Dependence 2014 </w:t>
      </w:r>
      <w:r>
        <w:t xml:space="preserve">(National Guidelines) </w:t>
      </w:r>
      <w:r w:rsidRPr="00630E93">
        <w:t>to incorporate and revise clinical evidence regarding treatment pathways since the introduction of LAIB to the O</w:t>
      </w:r>
      <w:r>
        <w:t>D</w:t>
      </w:r>
      <w:r w:rsidRPr="00630E93">
        <w:t xml:space="preserve">T </w:t>
      </w:r>
      <w:r>
        <w:t xml:space="preserve">medicines </w:t>
      </w:r>
      <w:r w:rsidRPr="00630E93">
        <w:t xml:space="preserve">landscape. This could also include considerations regarding </w:t>
      </w:r>
      <w:r>
        <w:t>updated evidence with regard</w:t>
      </w:r>
      <w:r w:rsidR="000960AE">
        <w:t>s</w:t>
      </w:r>
      <w:r>
        <w:t xml:space="preserve"> to </w:t>
      </w:r>
      <w:r w:rsidRPr="00630E93">
        <w:t>improved flexibility of supervised dosing</w:t>
      </w:r>
      <w:r>
        <w:t xml:space="preserve"> and reviewing prescriber accreditation requirements to encourage and support greater prescriber participation in ODT programs</w:t>
      </w:r>
      <w:r w:rsidRPr="00630E93">
        <w:t xml:space="preserve">. </w:t>
      </w:r>
    </w:p>
    <w:p w14:paraId="41564F56" w14:textId="4E85B19F" w:rsidR="00730A43" w:rsidRPr="00630E93" w:rsidRDefault="00730A43" w:rsidP="00730A43">
      <w:r w:rsidRPr="00630E93">
        <w:t xml:space="preserve">Aspects of the current </w:t>
      </w:r>
      <w:r>
        <w:t>ODT</w:t>
      </w:r>
      <w:r w:rsidRPr="00630E93">
        <w:t xml:space="preserve"> service </w:t>
      </w:r>
      <w:r>
        <w:t xml:space="preserve">delivery </w:t>
      </w:r>
      <w:r w:rsidRPr="00630E93">
        <w:t xml:space="preserve">model can pose significant barriers to ongoing treatment for consumers, especially </w:t>
      </w:r>
      <w:r>
        <w:t>some more populations with specific needs</w:t>
      </w:r>
      <w:r w:rsidRPr="00630E93">
        <w:t xml:space="preserve">. For example, in the context of daily dosing, consumers who live in </w:t>
      </w:r>
      <w:r>
        <w:t xml:space="preserve">regional, </w:t>
      </w:r>
      <w:proofErr w:type="gramStart"/>
      <w:r w:rsidRPr="00630E93">
        <w:t>rural</w:t>
      </w:r>
      <w:proofErr w:type="gramEnd"/>
      <w:r w:rsidRPr="00630E93">
        <w:t xml:space="preserve"> and remote areas and consumers with no permanent address face challenges in attending dosing points regularly. </w:t>
      </w:r>
      <w:r>
        <w:t>C</w:t>
      </w:r>
      <w:r w:rsidRPr="00630E93">
        <w:t>hanges to O</w:t>
      </w:r>
      <w:r>
        <w:t>D</w:t>
      </w:r>
      <w:r w:rsidRPr="00630E93">
        <w:t xml:space="preserve">T </w:t>
      </w:r>
      <w:r>
        <w:t>policies</w:t>
      </w:r>
      <w:r w:rsidRPr="00630E93">
        <w:t xml:space="preserve"> </w:t>
      </w:r>
      <w:r>
        <w:t xml:space="preserve">by state and territory governments </w:t>
      </w:r>
      <w:r w:rsidRPr="00630E93">
        <w:t>due to the COVID-19 pandemic demonstrate the adaptability of the service model to support unsupervised dosing, primarily through an increase in takeaway doses</w:t>
      </w:r>
      <w:r w:rsidRPr="006A40D7">
        <w:t xml:space="preserve"> </w:t>
      </w:r>
      <w:r>
        <w:t>(despite these initiatives now being rolled back to pre-pandemic ODT policies in some jurisdictions)</w:t>
      </w:r>
      <w:r w:rsidRPr="00630E93">
        <w:t>.</w:t>
      </w:r>
      <w:r>
        <w:t xml:space="preserve"> </w:t>
      </w:r>
    </w:p>
    <w:p w14:paraId="272E758E" w14:textId="1AB901CE" w:rsidR="00730A43" w:rsidRDefault="00730A43" w:rsidP="00730A43">
      <w:bookmarkStart w:id="19" w:name="_Hlk120188299"/>
      <w:r>
        <w:t>Evidence suggests that a small number of prescribers are caring for a high concentration of ODT consumers. Stakeholder input indicated that t</w:t>
      </w:r>
      <w:r w:rsidRPr="00C4469B">
        <w:t>ypically, these prescribers are elderly and nearing retirement age which represents a significant risk to the program. This risk is also present for the Addiction Medicine Specialty where less than 20% of fellows are under the age of 50 years and more than half of them are older than 60 years.</w:t>
      </w:r>
      <w:r>
        <w:t xml:space="preserve"> Many health professionals participate in prescribing ODT medicines under state and territory programs for only short </w:t>
      </w:r>
      <w:r>
        <w:lastRenderedPageBreak/>
        <w:t>periods. There is a need to identify and respond to the reasons for this. It is critical to put in place strategies to increase retention of prescribers and broaden the base of health professionals involved in the delivery of ODT.  </w:t>
      </w:r>
      <w:bookmarkEnd w:id="19"/>
    </w:p>
    <w:p w14:paraId="3C608C3F" w14:textId="77777777" w:rsidR="00730A43" w:rsidRPr="00630E93" w:rsidRDefault="00730A43" w:rsidP="00730A43">
      <w:r>
        <w:t>While s</w:t>
      </w:r>
      <w:r w:rsidRPr="00630E93">
        <w:t>ystem complexities, multiple stakeholders, and a lack of data availability across domains mean that the consequences of any changes to the current PBS listing of O</w:t>
      </w:r>
      <w:r>
        <w:t>D</w:t>
      </w:r>
      <w:r w:rsidRPr="00630E93">
        <w:t>T medications are difficult to predict</w:t>
      </w:r>
      <w:r>
        <w:t xml:space="preserve">, stakeholders are of a view that a revised PBS listing arrangement for ODT medicines that provided equitable and affordable access would significantly improve patient health and societal outcomes. </w:t>
      </w:r>
      <w:bookmarkStart w:id="20" w:name="_Hlk120531182"/>
      <w:r w:rsidRPr="00630E93">
        <w:t xml:space="preserve">Regular reviews of consumer and provider </w:t>
      </w:r>
      <w:r>
        <w:t>responses</w:t>
      </w:r>
      <w:r w:rsidRPr="00630E93">
        <w:t xml:space="preserve"> should be monitored following any changes to the treatment listing</w:t>
      </w:r>
      <w:bookmarkEnd w:id="20"/>
      <w:r w:rsidRPr="00630E93">
        <w:t>.</w:t>
      </w:r>
    </w:p>
    <w:p w14:paraId="07ED1F53" w14:textId="5EF1278C" w:rsidR="00594654" w:rsidRPr="00630E93" w:rsidRDefault="00730A43" w:rsidP="00730A43">
      <w:r w:rsidRPr="00630E93">
        <w:t>The Review identified ongoing access to the breadth of O</w:t>
      </w:r>
      <w:r>
        <w:t>D</w:t>
      </w:r>
      <w:r w:rsidRPr="00630E93">
        <w:t>T medicines is important to support improved patient outcomes</w:t>
      </w:r>
      <w:r w:rsidR="00594654" w:rsidRPr="00630E93">
        <w:t xml:space="preserve">. </w:t>
      </w:r>
    </w:p>
    <w:p w14:paraId="2ED75D57" w14:textId="77777777" w:rsidR="00594654" w:rsidRPr="001A04AE" w:rsidRDefault="00594654" w:rsidP="00AD4509">
      <w:pPr>
        <w:pStyle w:val="Heading4"/>
        <w:numPr>
          <w:ilvl w:val="2"/>
          <w:numId w:val="56"/>
        </w:numPr>
      </w:pPr>
      <w:bookmarkStart w:id="21" w:name="_Hlk127954152"/>
      <w:r w:rsidRPr="001A04AE">
        <w:t>Medicines with daily dosing requirements</w:t>
      </w:r>
    </w:p>
    <w:p w14:paraId="6F582ED1" w14:textId="77777777" w:rsidR="00730A43" w:rsidRDefault="00730A43" w:rsidP="00730A43">
      <w:r>
        <w:t>For oral methadone and sublingual buprenorphine, more frequent</w:t>
      </w:r>
      <w:r w:rsidRPr="00630E93">
        <w:t xml:space="preserve"> </w:t>
      </w:r>
      <w:r>
        <w:t>dispensing may be</w:t>
      </w:r>
      <w:r w:rsidRPr="00630E93">
        <w:t xml:space="preserve"> </w:t>
      </w:r>
      <w:r>
        <w:t xml:space="preserve">required related to the </w:t>
      </w:r>
      <w:proofErr w:type="gramStart"/>
      <w:r>
        <w:t xml:space="preserve">often </w:t>
      </w:r>
      <w:r w:rsidRPr="00630E93">
        <w:t>daily</w:t>
      </w:r>
      <w:proofErr w:type="gramEnd"/>
      <w:r w:rsidRPr="00630E93">
        <w:t xml:space="preserve"> preparation and supervision of doses. </w:t>
      </w:r>
      <w:r>
        <w:t>R</w:t>
      </w:r>
      <w:r w:rsidRPr="00630E93">
        <w:t xml:space="preserve">emuneration for these activities </w:t>
      </w:r>
      <w:r>
        <w:t>needs to be</w:t>
      </w:r>
      <w:r w:rsidRPr="00630E93">
        <w:t xml:space="preserve"> considered if access to O</w:t>
      </w:r>
      <w:r>
        <w:t>D</w:t>
      </w:r>
      <w:r w:rsidRPr="00630E93">
        <w:t xml:space="preserve">T medicines is to be made affordable for consumers. </w:t>
      </w:r>
      <w:r>
        <w:t>It is also important to note supervised dosing policy for ODT medicines is determined by state and territory governments and is also a decision made by the patient’s prescriber.</w:t>
      </w:r>
    </w:p>
    <w:p w14:paraId="41BBDFBE" w14:textId="4686F0E3" w:rsidR="006A2C70" w:rsidRPr="00630E93" w:rsidRDefault="00730A43" w:rsidP="00730A43">
      <w:r w:rsidRPr="00F7154B">
        <w:rPr>
          <w:rFonts w:asciiTheme="minorHAnsi" w:hAnsiTheme="minorHAnsi" w:cs="Arial"/>
          <w:bCs/>
        </w:rPr>
        <w:t xml:space="preserve">Stakeholders are of a view that one option to address community pharmacy remuneration for dispensing ODT medicines would be to enable pharmacies to claim the 7CPA staged supply payment for patients accessing OPD medicines or to use this program as a model for a similar program for ODT medicines. </w:t>
      </w:r>
      <w:r w:rsidR="0029008F">
        <w:rPr>
          <w:rFonts w:asciiTheme="minorHAnsi" w:hAnsiTheme="minorHAnsi" w:cs="Arial"/>
          <w:bCs/>
        </w:rPr>
        <w:t>T</w:t>
      </w:r>
      <w:r w:rsidRPr="009407C5">
        <w:rPr>
          <w:rFonts w:asciiTheme="minorHAnsi" w:hAnsiTheme="minorHAnsi" w:cs="Arial"/>
          <w:bCs/>
        </w:rPr>
        <w:t>he</w:t>
      </w:r>
      <w:r>
        <w:rPr>
          <w:rFonts w:asciiTheme="minorHAnsi" w:hAnsiTheme="minorHAnsi" w:cs="Arial"/>
          <w:bCs/>
        </w:rPr>
        <w:t xml:space="preserve"> Staged Supply Program is designed to assist p</w:t>
      </w:r>
      <w:r w:rsidRPr="009407C5">
        <w:rPr>
          <w:rFonts w:asciiTheme="minorHAnsi" w:hAnsiTheme="minorHAnsi" w:cs="Arial"/>
          <w:bCs/>
        </w:rPr>
        <w:t xml:space="preserve">atients who are </w:t>
      </w:r>
      <w:r w:rsidRPr="00F7154B">
        <w:rPr>
          <w:rFonts w:asciiTheme="minorHAnsi" w:hAnsiTheme="minorHAnsi" w:cs="Arial"/>
          <w:bCs/>
        </w:rPr>
        <w:t>at risk</w:t>
      </w:r>
      <w:r w:rsidRPr="009407C5">
        <w:rPr>
          <w:rFonts w:asciiTheme="minorHAnsi" w:hAnsiTheme="minorHAnsi" w:cs="Arial"/>
          <w:bCs/>
        </w:rPr>
        <w:t xml:space="preserve"> of drug dependency or who are otherwise unable to manage their medicines safely</w:t>
      </w:r>
      <w:r>
        <w:rPr>
          <w:rFonts w:asciiTheme="minorHAnsi" w:hAnsiTheme="minorHAnsi" w:cs="Arial"/>
          <w:bCs/>
        </w:rPr>
        <w:t xml:space="preserve"> and the program rules state that pharmacies can </w:t>
      </w:r>
      <w:r w:rsidRPr="00F7154B">
        <w:rPr>
          <w:rFonts w:asciiTheme="minorHAnsi" w:hAnsiTheme="minorHAnsi" w:cs="Arial"/>
          <w:bCs/>
        </w:rPr>
        <w:t>claim payments for the provision of Staged Supply Services for up to 15 eligible patients</w:t>
      </w:r>
      <w:r w:rsidR="00D3046A">
        <w:t>.</w:t>
      </w:r>
    </w:p>
    <w:p w14:paraId="70BCB3D7" w14:textId="77777777" w:rsidR="00594654" w:rsidRPr="001A04AE" w:rsidRDefault="00594654" w:rsidP="00AD4509">
      <w:pPr>
        <w:pStyle w:val="Heading4"/>
        <w:numPr>
          <w:ilvl w:val="2"/>
          <w:numId w:val="57"/>
        </w:numPr>
      </w:pPr>
      <w:r w:rsidRPr="001A04AE">
        <w:t>Medicines with a prolonged duration</w:t>
      </w:r>
    </w:p>
    <w:bookmarkEnd w:id="21"/>
    <w:p w14:paraId="6DC7AFA7" w14:textId="77777777" w:rsidR="00730A43" w:rsidRPr="00630E93" w:rsidRDefault="00730A43" w:rsidP="00730A43">
      <w:r>
        <w:t>By nature of their longer duration, LAIB align more closely with the usual pattern of use of PBS medicines</w:t>
      </w:r>
      <w:r w:rsidRPr="002A6DF0">
        <w:t xml:space="preserve"> </w:t>
      </w:r>
      <w:r>
        <w:t>where the quantity dispensed is often a month’s supply. A</w:t>
      </w:r>
      <w:r w:rsidRPr="00630E93">
        <w:t xml:space="preserve">lthough LAIB </w:t>
      </w:r>
      <w:r>
        <w:t xml:space="preserve">may be considered as </w:t>
      </w:r>
      <w:r w:rsidRPr="00630E93">
        <w:t>an attractive</w:t>
      </w:r>
      <w:r>
        <w:t>, and potentially</w:t>
      </w:r>
      <w:r w:rsidRPr="00630E93">
        <w:t xml:space="preserve"> cost-saving option for some consumers due to </w:t>
      </w:r>
      <w:r>
        <w:t xml:space="preserve">sometimes </w:t>
      </w:r>
      <w:r w:rsidRPr="00630E93">
        <w:t xml:space="preserve">reduced </w:t>
      </w:r>
      <w:r>
        <w:t xml:space="preserve">private </w:t>
      </w:r>
      <w:r w:rsidRPr="00630E93">
        <w:t xml:space="preserve">dosing fees, some consumers prefer sublingual buprenorphine or </w:t>
      </w:r>
      <w:r>
        <w:t xml:space="preserve">oral </w:t>
      </w:r>
      <w:proofErr w:type="gramStart"/>
      <w:r w:rsidRPr="00630E93">
        <w:t>methadone</w:t>
      </w:r>
      <w:proofErr w:type="gramEnd"/>
      <w:r>
        <w:t xml:space="preserve"> and the importance of patient choice of medicine has been consistently noted in this review</w:t>
      </w:r>
      <w:r w:rsidRPr="00630E93">
        <w:t xml:space="preserve">; there are no cost-effectiveness data comparing these treatments directly. </w:t>
      </w:r>
      <w:bookmarkStart w:id="22" w:name="_Hlk120531260"/>
      <w:r>
        <w:t>It is suggested f</w:t>
      </w:r>
      <w:r w:rsidRPr="00630E93">
        <w:t>uture research focus on comparing new and existing formulations in relation to essential elements of care, including modes of delivery and costs to both the consumer, treatment provider, and health system.</w:t>
      </w:r>
      <w:bookmarkEnd w:id="22"/>
    </w:p>
    <w:p w14:paraId="602E9D52" w14:textId="20AA9467" w:rsidR="00333F91" w:rsidRDefault="00730A43" w:rsidP="00730A43">
      <w:r>
        <w:t>Stakeholders are of the view that on-site pharmacist administration of LAIB may develop further in future, noting pilot programs have commenced in some jurisdictional ODT programs. As treatment with LAIB evolves, additional consideration could be given to the option of remuneration for on-site pharmacist administration as this is not covered by current PBS arrangements</w:t>
      </w:r>
      <w:r w:rsidR="00333F91">
        <w:t>.</w:t>
      </w:r>
      <w:r w:rsidR="002A6DF0">
        <w:t xml:space="preserve"> </w:t>
      </w:r>
    </w:p>
    <w:p w14:paraId="107007FF" w14:textId="2009786F" w:rsidR="00D01587" w:rsidRDefault="00D71768" w:rsidP="00D01587">
      <w:pPr>
        <w:pStyle w:val="Heading2"/>
      </w:pPr>
      <w:bookmarkStart w:id="23" w:name="_Toc163220807"/>
      <w:r>
        <w:lastRenderedPageBreak/>
        <w:t>Review outcomes</w:t>
      </w:r>
      <w:bookmarkEnd w:id="23"/>
    </w:p>
    <w:p w14:paraId="2694BE93" w14:textId="77777777" w:rsidR="00DE374A" w:rsidRPr="00AB393E" w:rsidRDefault="00DE374A" w:rsidP="00AD4509">
      <w:pPr>
        <w:pStyle w:val="Heading3"/>
        <w:numPr>
          <w:ilvl w:val="1"/>
          <w:numId w:val="56"/>
        </w:numPr>
      </w:pPr>
      <w:bookmarkStart w:id="24" w:name="_Toc163220808"/>
      <w:bookmarkStart w:id="25" w:name="_Toc121311777"/>
      <w:r w:rsidRPr="00AB393E">
        <w:t>Outline of matters arising from the PMR</w:t>
      </w:r>
      <w:bookmarkEnd w:id="24"/>
      <w:r w:rsidRPr="00AB393E">
        <w:t xml:space="preserve"> </w:t>
      </w:r>
      <w:bookmarkEnd w:id="25"/>
    </w:p>
    <w:p w14:paraId="4B8564FC" w14:textId="77777777" w:rsidR="00FF0511" w:rsidRDefault="00FF0511" w:rsidP="00FF0511">
      <w:pPr>
        <w:rPr>
          <w:rFonts w:asciiTheme="minorHAnsi" w:hAnsiTheme="minorHAnsi" w:cstheme="minorHAnsi"/>
        </w:rPr>
      </w:pPr>
      <w:r w:rsidRPr="005A5291">
        <w:rPr>
          <w:rFonts w:eastAsia="Calibri" w:cs="Calibri"/>
        </w:rPr>
        <w:t xml:space="preserve">In </w:t>
      </w:r>
      <w:r w:rsidRPr="00847C02">
        <w:rPr>
          <w:rFonts w:cstheme="minorHAnsi"/>
        </w:rPr>
        <w:t xml:space="preserve">addressing the </w:t>
      </w:r>
      <w:r>
        <w:rPr>
          <w:rFonts w:cstheme="minorHAnsi"/>
        </w:rPr>
        <w:t xml:space="preserve">ODTP PMR </w:t>
      </w:r>
      <w:r w:rsidRPr="00847C02">
        <w:rPr>
          <w:rFonts w:cstheme="minorHAnsi"/>
        </w:rPr>
        <w:t>T</w:t>
      </w:r>
      <w:r>
        <w:rPr>
          <w:rFonts w:cstheme="minorHAnsi"/>
        </w:rPr>
        <w:t>O</w:t>
      </w:r>
      <w:r w:rsidRPr="00847C02">
        <w:rPr>
          <w:rFonts w:cstheme="minorHAnsi"/>
        </w:rPr>
        <w:t xml:space="preserve">R and proposing improved service delivery arrangements for access to </w:t>
      </w:r>
      <w:r>
        <w:rPr>
          <w:rFonts w:cstheme="minorHAnsi"/>
        </w:rPr>
        <w:t xml:space="preserve">ODT </w:t>
      </w:r>
      <w:r w:rsidRPr="00847C02">
        <w:rPr>
          <w:rFonts w:cstheme="minorHAnsi"/>
        </w:rPr>
        <w:t xml:space="preserve">medicines the PBAC may wish to consider the </w:t>
      </w:r>
      <w:r w:rsidRPr="00847C02">
        <w:rPr>
          <w:rFonts w:cstheme="minorHAnsi"/>
          <w:bCs/>
          <w:iCs/>
        </w:rPr>
        <w:t xml:space="preserve">following </w:t>
      </w:r>
      <w:r>
        <w:rPr>
          <w:rFonts w:cstheme="minorHAnsi"/>
          <w:bCs/>
          <w:iCs/>
        </w:rPr>
        <w:t xml:space="preserve">summary of key matters arising from the PMR. </w:t>
      </w:r>
    </w:p>
    <w:p w14:paraId="57800444" w14:textId="77777777" w:rsidR="00FF0511" w:rsidRDefault="00FF0511" w:rsidP="00FF0511">
      <w:pPr>
        <w:rPr>
          <w:rFonts w:cstheme="minorHAnsi"/>
          <w:bCs/>
          <w:iCs/>
        </w:rPr>
      </w:pPr>
      <w:r>
        <w:rPr>
          <w:rFonts w:cstheme="minorHAnsi"/>
          <w:bCs/>
          <w:iCs/>
        </w:rPr>
        <w:t>Research</w:t>
      </w:r>
      <w:r w:rsidRPr="00847C02">
        <w:rPr>
          <w:rFonts w:cstheme="minorHAnsi"/>
          <w:bCs/>
          <w:iCs/>
        </w:rPr>
        <w:t xml:space="preserve"> </w:t>
      </w:r>
      <w:r>
        <w:rPr>
          <w:rFonts w:cstheme="minorHAnsi"/>
          <w:bCs/>
          <w:iCs/>
        </w:rPr>
        <w:t>evidence, stakeholder input, consumer consultation and Reference Group members suggests</w:t>
      </w:r>
      <w:r w:rsidRPr="00847C02">
        <w:rPr>
          <w:rFonts w:cstheme="minorHAnsi"/>
          <w:bCs/>
          <w:iCs/>
        </w:rPr>
        <w:t xml:space="preserve"> </w:t>
      </w:r>
      <w:r>
        <w:rPr>
          <w:rFonts w:cstheme="minorHAnsi"/>
          <w:bCs/>
          <w:iCs/>
        </w:rPr>
        <w:t xml:space="preserve">solving for the core issue of affordability is the number one priority area for change that will result in the most positive impact on the lives of people in ODT. The review found there is a significant opportunity cost that could be improved through universal and equitable access to these medicines facilitated through the implementation of revised PBS listing arrangements for ODT medicines that address the high out of pocket costs currently paid by consumers through a PBS co-payment arrangement and PBS Safety-Net provisions.  </w:t>
      </w:r>
    </w:p>
    <w:p w14:paraId="6530940B" w14:textId="41D3FF05" w:rsidR="00FF0511" w:rsidRPr="00630E93" w:rsidRDefault="00FF0511" w:rsidP="00FF0511">
      <w:r>
        <w:rPr>
          <w:rFonts w:cstheme="minorHAnsi"/>
          <w:bCs/>
          <w:iCs/>
        </w:rPr>
        <w:t xml:space="preserve">The review also highlighted broader concerns about access for people participating in state and territory ODT programs, particularly the low number of prescribers engaging in ODT, that present a significant challenge and need a collaborative Commonwealth and state and territory government response. The review also highlighted the importance of </w:t>
      </w:r>
      <w:r>
        <w:t>updating the</w:t>
      </w:r>
      <w:r w:rsidRPr="00630E93">
        <w:t xml:space="preserve"> National </w:t>
      </w:r>
      <w:r>
        <w:t>G</w:t>
      </w:r>
      <w:r w:rsidRPr="00630E93">
        <w:t>uidelines</w:t>
      </w:r>
      <w:r>
        <w:t xml:space="preserve"> for Medication-Assisted Treatment of Opioid Dependence </w:t>
      </w:r>
      <w:r w:rsidR="00AC55F3">
        <w:t xml:space="preserve">2014 </w:t>
      </w:r>
      <w:r>
        <w:t>t</w:t>
      </w:r>
      <w:r w:rsidRPr="00630E93">
        <w:t xml:space="preserve">o </w:t>
      </w:r>
      <w:r>
        <w:t xml:space="preserve">reflect current clinical evidence and practice, </w:t>
      </w:r>
      <w:r w:rsidRPr="00BF769B">
        <w:t>including for</w:t>
      </w:r>
      <w:r>
        <w:t xml:space="preserve"> LAIB which was PBS listed under the ODTP </w:t>
      </w:r>
      <w:proofErr w:type="gramStart"/>
      <w:r>
        <w:t>subsequent to</w:t>
      </w:r>
      <w:proofErr w:type="gramEnd"/>
      <w:r>
        <w:t xml:space="preserve"> the development of these guidelines.</w:t>
      </w:r>
    </w:p>
    <w:p w14:paraId="13AC670E" w14:textId="77777777" w:rsidR="00FF0511" w:rsidRDefault="00FF0511" w:rsidP="00FF0511">
      <w:pPr>
        <w:rPr>
          <w:rFonts w:cstheme="minorHAnsi"/>
          <w:bCs/>
          <w:iCs/>
        </w:rPr>
      </w:pPr>
      <w:r w:rsidRPr="00847C02">
        <w:rPr>
          <w:rFonts w:cstheme="minorHAnsi"/>
          <w:bCs/>
          <w:iCs/>
        </w:rPr>
        <w:t xml:space="preserve">In line with the PMR Framework, the PBAC may </w:t>
      </w:r>
      <w:r>
        <w:rPr>
          <w:rFonts w:cstheme="minorHAnsi"/>
          <w:bCs/>
          <w:iCs/>
        </w:rPr>
        <w:t xml:space="preserve">wish to respond to </w:t>
      </w:r>
      <w:r w:rsidRPr="00847C02">
        <w:rPr>
          <w:rFonts w:cstheme="minorHAnsi"/>
          <w:bCs/>
          <w:iCs/>
        </w:rPr>
        <w:t>matters concerning the operation of the PBS</w:t>
      </w:r>
      <w:r>
        <w:rPr>
          <w:rFonts w:cstheme="minorHAnsi"/>
          <w:bCs/>
          <w:iCs/>
        </w:rPr>
        <w:t xml:space="preserve"> </w:t>
      </w:r>
      <w:proofErr w:type="gramStart"/>
      <w:r>
        <w:rPr>
          <w:rFonts w:cstheme="minorHAnsi"/>
          <w:bCs/>
          <w:iCs/>
        </w:rPr>
        <w:t>and also</w:t>
      </w:r>
      <w:proofErr w:type="gramEnd"/>
      <w:r>
        <w:rPr>
          <w:rFonts w:cstheme="minorHAnsi"/>
          <w:bCs/>
          <w:iCs/>
        </w:rPr>
        <w:t xml:space="preserve"> provide</w:t>
      </w:r>
      <w:r w:rsidRPr="00847C02">
        <w:rPr>
          <w:rFonts w:cstheme="minorHAnsi"/>
          <w:bCs/>
          <w:iCs/>
        </w:rPr>
        <w:t xml:space="preserve"> </w:t>
      </w:r>
      <w:r>
        <w:rPr>
          <w:rFonts w:cstheme="minorHAnsi"/>
          <w:bCs/>
          <w:iCs/>
        </w:rPr>
        <w:t xml:space="preserve">interim </w:t>
      </w:r>
      <w:r w:rsidRPr="00847C02">
        <w:rPr>
          <w:rFonts w:cstheme="minorHAnsi"/>
          <w:bCs/>
          <w:iCs/>
        </w:rPr>
        <w:t xml:space="preserve">advice to Government </w:t>
      </w:r>
      <w:r>
        <w:rPr>
          <w:rFonts w:cstheme="minorHAnsi"/>
          <w:bCs/>
          <w:iCs/>
        </w:rPr>
        <w:t>on broader matters impacting consumers access to ODT medicines</w:t>
      </w:r>
      <w:r w:rsidRPr="00847C02">
        <w:rPr>
          <w:rFonts w:cstheme="minorHAnsi"/>
          <w:bCs/>
          <w:iCs/>
        </w:rPr>
        <w:t>.</w:t>
      </w:r>
    </w:p>
    <w:p w14:paraId="3BB0E0C3" w14:textId="57FA3DA1" w:rsidR="00DE374A" w:rsidRPr="00847C02" w:rsidRDefault="00FF0511" w:rsidP="00FF0511">
      <w:pPr>
        <w:rPr>
          <w:rFonts w:cstheme="minorHAnsi"/>
          <w:bCs/>
          <w:iCs/>
        </w:rPr>
      </w:pPr>
      <w:r w:rsidRPr="003266A2">
        <w:rPr>
          <w:rFonts w:cstheme="minorHAnsi"/>
          <w:bCs/>
          <w:iCs/>
        </w:rPr>
        <w:t>A</w:t>
      </w:r>
      <w:r>
        <w:rPr>
          <w:rFonts w:cstheme="minorHAnsi"/>
          <w:bCs/>
          <w:iCs/>
        </w:rPr>
        <w:t xml:space="preserve">s with any PBS medicines undergoing a change in the PBS listing, </w:t>
      </w:r>
      <w:r w:rsidRPr="003266A2">
        <w:rPr>
          <w:rFonts w:cstheme="minorHAnsi"/>
          <w:bCs/>
          <w:iCs/>
        </w:rPr>
        <w:t xml:space="preserve">alteration to the circumstances under which medicines for opioid dependence are available on the PBS would need to consider </w:t>
      </w:r>
      <w:r>
        <w:rPr>
          <w:rFonts w:cstheme="minorHAnsi"/>
          <w:bCs/>
          <w:iCs/>
        </w:rPr>
        <w:t>the</w:t>
      </w:r>
      <w:r w:rsidRPr="003266A2">
        <w:rPr>
          <w:rFonts w:cstheme="minorHAnsi"/>
          <w:bCs/>
          <w:iCs/>
        </w:rPr>
        <w:t xml:space="preserve"> impact </w:t>
      </w:r>
      <w:r>
        <w:rPr>
          <w:rFonts w:cstheme="minorHAnsi"/>
          <w:bCs/>
          <w:iCs/>
        </w:rPr>
        <w:t>to</w:t>
      </w:r>
      <w:r w:rsidRPr="003266A2">
        <w:rPr>
          <w:rFonts w:cstheme="minorHAnsi"/>
          <w:bCs/>
          <w:iCs/>
        </w:rPr>
        <w:t xml:space="preserve"> </w:t>
      </w:r>
      <w:r>
        <w:rPr>
          <w:rFonts w:cstheme="minorHAnsi"/>
          <w:bCs/>
          <w:iCs/>
        </w:rPr>
        <w:t xml:space="preserve">the </w:t>
      </w:r>
      <w:r w:rsidRPr="003266A2">
        <w:rPr>
          <w:rFonts w:cstheme="minorHAnsi"/>
          <w:bCs/>
          <w:iCs/>
        </w:rPr>
        <w:t>net cost to the PBS</w:t>
      </w:r>
      <w:r>
        <w:rPr>
          <w:rFonts w:cstheme="minorHAnsi"/>
          <w:bCs/>
          <w:iCs/>
        </w:rPr>
        <w:t xml:space="preserve"> and importantly on consumer access</w:t>
      </w:r>
      <w:r w:rsidRPr="003266A2">
        <w:rPr>
          <w:rFonts w:cstheme="minorHAnsi"/>
          <w:bCs/>
          <w:iCs/>
        </w:rPr>
        <w:t xml:space="preserve">. Given state and territory governments </w:t>
      </w:r>
      <w:r>
        <w:rPr>
          <w:rFonts w:cstheme="minorHAnsi"/>
          <w:bCs/>
          <w:iCs/>
        </w:rPr>
        <w:t>manage</w:t>
      </w:r>
      <w:r w:rsidRPr="003266A2">
        <w:rPr>
          <w:rFonts w:cstheme="minorHAnsi"/>
          <w:bCs/>
          <w:iCs/>
        </w:rPr>
        <w:t xml:space="preserve"> </w:t>
      </w:r>
      <w:r>
        <w:rPr>
          <w:rFonts w:cstheme="minorHAnsi"/>
          <w:bCs/>
          <w:iCs/>
        </w:rPr>
        <w:t>ODT</w:t>
      </w:r>
      <w:r w:rsidRPr="003266A2">
        <w:rPr>
          <w:rFonts w:cstheme="minorHAnsi"/>
          <w:bCs/>
          <w:iCs/>
        </w:rPr>
        <w:t xml:space="preserve"> </w:t>
      </w:r>
      <w:r>
        <w:rPr>
          <w:rFonts w:cstheme="minorHAnsi"/>
          <w:bCs/>
          <w:iCs/>
        </w:rPr>
        <w:t>services</w:t>
      </w:r>
      <w:r w:rsidRPr="003266A2">
        <w:rPr>
          <w:rFonts w:cstheme="minorHAnsi"/>
          <w:bCs/>
          <w:iCs/>
        </w:rPr>
        <w:t xml:space="preserve"> in accordance with relevant state and territory </w:t>
      </w:r>
      <w:r>
        <w:rPr>
          <w:rFonts w:cstheme="minorHAnsi"/>
          <w:bCs/>
          <w:iCs/>
        </w:rPr>
        <w:t xml:space="preserve">policy, </w:t>
      </w:r>
      <w:r w:rsidRPr="003266A2">
        <w:rPr>
          <w:rFonts w:cstheme="minorHAnsi"/>
          <w:bCs/>
          <w:iCs/>
        </w:rPr>
        <w:t xml:space="preserve">program guidelines </w:t>
      </w:r>
      <w:r>
        <w:rPr>
          <w:rFonts w:cstheme="minorHAnsi"/>
          <w:bCs/>
          <w:iCs/>
        </w:rPr>
        <w:t xml:space="preserve">and </w:t>
      </w:r>
      <w:r w:rsidRPr="003266A2">
        <w:rPr>
          <w:rFonts w:cstheme="minorHAnsi"/>
          <w:bCs/>
          <w:iCs/>
        </w:rPr>
        <w:t xml:space="preserve">drugs and poisons legislation, any changes to </w:t>
      </w:r>
      <w:r>
        <w:rPr>
          <w:rFonts w:cstheme="minorHAnsi"/>
          <w:bCs/>
          <w:iCs/>
        </w:rPr>
        <w:t xml:space="preserve">PBS </w:t>
      </w:r>
      <w:r w:rsidRPr="003266A2">
        <w:rPr>
          <w:rFonts w:cstheme="minorHAnsi"/>
          <w:bCs/>
          <w:iCs/>
        </w:rPr>
        <w:t>listings</w:t>
      </w:r>
      <w:r>
        <w:rPr>
          <w:rFonts w:cstheme="minorHAnsi"/>
          <w:bCs/>
          <w:iCs/>
        </w:rPr>
        <w:t xml:space="preserve"> or </w:t>
      </w:r>
      <w:r w:rsidRPr="003266A2">
        <w:rPr>
          <w:rFonts w:cstheme="minorHAnsi"/>
          <w:bCs/>
          <w:iCs/>
        </w:rPr>
        <w:t xml:space="preserve">remuneration </w:t>
      </w:r>
      <w:r>
        <w:rPr>
          <w:rFonts w:cstheme="minorHAnsi"/>
          <w:bCs/>
          <w:iCs/>
        </w:rPr>
        <w:t xml:space="preserve">arrangements </w:t>
      </w:r>
      <w:r w:rsidRPr="003266A2">
        <w:rPr>
          <w:rFonts w:cstheme="minorHAnsi"/>
          <w:bCs/>
          <w:iCs/>
        </w:rPr>
        <w:t xml:space="preserve">will need to consider </w:t>
      </w:r>
      <w:r>
        <w:rPr>
          <w:rFonts w:cstheme="minorHAnsi"/>
          <w:bCs/>
          <w:iCs/>
        </w:rPr>
        <w:t xml:space="preserve">ongoing consultation with state and territories to ensure there are no </w:t>
      </w:r>
      <w:r w:rsidRPr="003266A2">
        <w:rPr>
          <w:rFonts w:cstheme="minorHAnsi"/>
          <w:bCs/>
          <w:iCs/>
        </w:rPr>
        <w:t xml:space="preserve">unintended consequences that may affect patient choice of treatment, the number of patients able to access treatment </w:t>
      </w:r>
      <w:r>
        <w:rPr>
          <w:rFonts w:cstheme="minorHAnsi"/>
          <w:bCs/>
          <w:iCs/>
        </w:rPr>
        <w:t>or</w:t>
      </w:r>
      <w:r w:rsidRPr="003266A2">
        <w:rPr>
          <w:rFonts w:cstheme="minorHAnsi"/>
          <w:bCs/>
          <w:iCs/>
        </w:rPr>
        <w:t xml:space="preserve"> potential impacts to the number of participating prescribers and pharmacies</w:t>
      </w:r>
      <w:r w:rsidR="00DE374A">
        <w:rPr>
          <w:rFonts w:cstheme="minorHAnsi"/>
          <w:bCs/>
          <w:iCs/>
        </w:rPr>
        <w:t>.</w:t>
      </w:r>
    </w:p>
    <w:p w14:paraId="0BAB77DA" w14:textId="77777777" w:rsidR="00DE374A" w:rsidRDefault="00DE374A" w:rsidP="009A243D">
      <w:pPr>
        <w:pStyle w:val="Heading4"/>
      </w:pPr>
      <w:r>
        <w:t>Affordability</w:t>
      </w:r>
    </w:p>
    <w:p w14:paraId="2F50F8B3" w14:textId="73B6577B" w:rsidR="00FF0511" w:rsidRDefault="00FF0511" w:rsidP="00FF0511">
      <w:pPr>
        <w:rPr>
          <w:rFonts w:cstheme="minorHAnsi"/>
          <w:bCs/>
          <w:iCs/>
        </w:rPr>
      </w:pPr>
      <w:r w:rsidRPr="005A5291">
        <w:rPr>
          <w:rFonts w:eastAsia="Calibri" w:cs="Calibri"/>
          <w:bCs/>
          <w:iCs/>
        </w:rPr>
        <w:t xml:space="preserve">Affordability </w:t>
      </w:r>
      <w:r w:rsidRPr="0053777D">
        <w:rPr>
          <w:rFonts w:cstheme="minorHAnsi"/>
          <w:bCs/>
          <w:iCs/>
        </w:rPr>
        <w:t xml:space="preserve">is the primary concern </w:t>
      </w:r>
      <w:r>
        <w:rPr>
          <w:rFonts w:cstheme="minorHAnsi"/>
          <w:bCs/>
          <w:iCs/>
        </w:rPr>
        <w:t>raised</w:t>
      </w:r>
      <w:r w:rsidRPr="0053777D">
        <w:rPr>
          <w:rFonts w:cstheme="minorHAnsi"/>
          <w:bCs/>
          <w:iCs/>
        </w:rPr>
        <w:t xml:space="preserve"> throughout the review.</w:t>
      </w:r>
      <w:r>
        <w:rPr>
          <w:rFonts w:cstheme="minorHAnsi"/>
          <w:bCs/>
          <w:iCs/>
        </w:rPr>
        <w:t xml:space="preserve"> Most consumers (80%) access their PBS listed oral or sublingual ODT medicines through community pharmacies where c</w:t>
      </w:r>
      <w:r w:rsidRPr="0053777D">
        <w:rPr>
          <w:rFonts w:cstheme="minorHAnsi"/>
        </w:rPr>
        <w:t xml:space="preserve">osts to </w:t>
      </w:r>
      <w:r>
        <w:rPr>
          <w:rFonts w:cstheme="minorHAnsi"/>
        </w:rPr>
        <w:t xml:space="preserve">consumers through private, unregulated fees </w:t>
      </w:r>
      <w:r w:rsidRPr="0053777D">
        <w:rPr>
          <w:rFonts w:cstheme="minorHAnsi"/>
        </w:rPr>
        <w:t>typically range from $5-8 per day</w:t>
      </w:r>
      <w:r>
        <w:rPr>
          <w:rFonts w:cstheme="minorHAnsi"/>
        </w:rPr>
        <w:t xml:space="preserve"> (and can be higher). Conservatively, this</w:t>
      </w:r>
      <w:r w:rsidRPr="0053777D">
        <w:rPr>
          <w:rFonts w:cstheme="minorHAnsi"/>
        </w:rPr>
        <w:t xml:space="preserve"> means </w:t>
      </w:r>
      <w:r>
        <w:rPr>
          <w:rFonts w:cstheme="minorHAnsi"/>
        </w:rPr>
        <w:t>consumers</w:t>
      </w:r>
      <w:r w:rsidRPr="0053777D">
        <w:rPr>
          <w:rFonts w:cstheme="minorHAnsi"/>
        </w:rPr>
        <w:t xml:space="preserve"> may pay an estimated $120</w:t>
      </w:r>
      <w:r>
        <w:rPr>
          <w:rFonts w:cstheme="minorHAnsi"/>
        </w:rPr>
        <w:t xml:space="preserve"> </w:t>
      </w:r>
      <w:r w:rsidRPr="0053777D">
        <w:rPr>
          <w:rFonts w:cstheme="minorHAnsi"/>
        </w:rPr>
        <w:t xml:space="preserve">million per year </w:t>
      </w:r>
      <w:r w:rsidRPr="0053777D">
        <w:rPr>
          <w:rFonts w:cstheme="minorHAnsi"/>
          <w:bCs/>
          <w:iCs/>
        </w:rPr>
        <w:t xml:space="preserve">in out-of-pocket costs for medicines to treat their opioid dependence. </w:t>
      </w:r>
      <w:r>
        <w:t xml:space="preserve">The consumer consultation report at Appendix 3 </w:t>
      </w:r>
      <w:r w:rsidR="00C97083">
        <w:t xml:space="preserve">of full report </w:t>
      </w:r>
      <w:r>
        <w:t xml:space="preserve">presents a powerful </w:t>
      </w:r>
      <w:r w:rsidRPr="005E4697">
        <w:t xml:space="preserve">insight into the lives of people </w:t>
      </w:r>
      <w:r>
        <w:t>accessing</w:t>
      </w:r>
      <w:r w:rsidRPr="005E4697">
        <w:t xml:space="preserve"> O</w:t>
      </w:r>
      <w:r>
        <w:t>DT medicines</w:t>
      </w:r>
      <w:r w:rsidRPr="005E4697">
        <w:t xml:space="preserve"> and </w:t>
      </w:r>
      <w:r w:rsidRPr="005E4697">
        <w:rPr>
          <w:rFonts w:cstheme="minorHAnsi"/>
          <w:bCs/>
          <w:iCs/>
        </w:rPr>
        <w:t xml:space="preserve">the significant impact of </w:t>
      </w:r>
      <w:r>
        <w:rPr>
          <w:rFonts w:cstheme="minorHAnsi"/>
          <w:bCs/>
          <w:iCs/>
        </w:rPr>
        <w:t xml:space="preserve">the </w:t>
      </w:r>
      <w:proofErr w:type="gramStart"/>
      <w:r w:rsidRPr="005E4697">
        <w:rPr>
          <w:rFonts w:cstheme="minorHAnsi"/>
          <w:bCs/>
          <w:iCs/>
        </w:rPr>
        <w:t>out of pocket</w:t>
      </w:r>
      <w:proofErr w:type="gramEnd"/>
      <w:r w:rsidRPr="005E4697">
        <w:rPr>
          <w:rFonts w:cstheme="minorHAnsi"/>
          <w:bCs/>
          <w:iCs/>
        </w:rPr>
        <w:t xml:space="preserve"> costs.</w:t>
      </w:r>
    </w:p>
    <w:p w14:paraId="5061C5C4" w14:textId="77777777" w:rsidR="00FF0511" w:rsidRPr="00852C17" w:rsidRDefault="00FF0511" w:rsidP="00FF0511">
      <w:pPr>
        <w:rPr>
          <w:rFonts w:cstheme="minorHAnsi"/>
        </w:rPr>
      </w:pPr>
      <w:r>
        <w:rPr>
          <w:rFonts w:cstheme="minorHAnsi"/>
        </w:rPr>
        <w:t>The review found that m</w:t>
      </w:r>
      <w:r w:rsidRPr="0053777D">
        <w:rPr>
          <w:rFonts w:cstheme="minorHAnsi"/>
        </w:rPr>
        <w:t xml:space="preserve">echanisms for access to </w:t>
      </w:r>
      <w:r>
        <w:rPr>
          <w:rFonts w:cstheme="minorHAnsi"/>
        </w:rPr>
        <w:t>ODT medicines</w:t>
      </w:r>
      <w:r w:rsidRPr="0053777D">
        <w:rPr>
          <w:rFonts w:cstheme="minorHAnsi"/>
        </w:rPr>
        <w:t xml:space="preserve"> that</w:t>
      </w:r>
      <w:r>
        <w:rPr>
          <w:rFonts w:cstheme="minorHAnsi"/>
        </w:rPr>
        <w:t xml:space="preserve"> directly</w:t>
      </w:r>
      <w:r w:rsidRPr="0053777D">
        <w:rPr>
          <w:rFonts w:cstheme="minorHAnsi"/>
        </w:rPr>
        <w:t xml:space="preserve"> address </w:t>
      </w:r>
      <w:r w:rsidRPr="0053777D">
        <w:rPr>
          <w:rFonts w:cstheme="minorHAnsi"/>
          <w:bCs/>
          <w:iCs/>
        </w:rPr>
        <w:t>the issue of private</w:t>
      </w:r>
      <w:r>
        <w:rPr>
          <w:rFonts w:cstheme="minorHAnsi"/>
          <w:bCs/>
          <w:iCs/>
        </w:rPr>
        <w:t>, unregulated</w:t>
      </w:r>
      <w:r w:rsidRPr="0053777D">
        <w:rPr>
          <w:rFonts w:cstheme="minorHAnsi"/>
          <w:bCs/>
          <w:iCs/>
        </w:rPr>
        <w:t xml:space="preserve"> patient fees </w:t>
      </w:r>
      <w:r w:rsidRPr="0053777D">
        <w:rPr>
          <w:rFonts w:cstheme="minorHAnsi"/>
        </w:rPr>
        <w:t xml:space="preserve">is </w:t>
      </w:r>
      <w:r>
        <w:rPr>
          <w:rFonts w:cstheme="minorHAnsi"/>
        </w:rPr>
        <w:t>the primary</w:t>
      </w:r>
      <w:r w:rsidRPr="0053777D">
        <w:rPr>
          <w:rFonts w:cstheme="minorHAnsi"/>
        </w:rPr>
        <w:t xml:space="preserve"> priority</w:t>
      </w:r>
      <w:r>
        <w:rPr>
          <w:rFonts w:cstheme="minorHAnsi"/>
        </w:rPr>
        <w:t xml:space="preserve"> for the sector. Improving </w:t>
      </w:r>
      <w:r>
        <w:rPr>
          <w:rFonts w:cstheme="minorHAnsi"/>
        </w:rPr>
        <w:lastRenderedPageBreak/>
        <w:t>affordability and ensuring equitable access to ODT medicines has broader societal benefits</w:t>
      </w:r>
      <w:r>
        <w:rPr>
          <w:rFonts w:cstheme="minorHAnsi"/>
          <w:bCs/>
          <w:iCs/>
        </w:rPr>
        <w:t>.</w:t>
      </w:r>
      <w:r>
        <w:rPr>
          <w:rFonts w:cstheme="minorHAnsi"/>
        </w:rPr>
        <w:t xml:space="preserve"> Research evidence demonstrates that participating in ODT programs</w:t>
      </w:r>
      <w:r w:rsidRPr="00852C17">
        <w:rPr>
          <w:rFonts w:cstheme="minorHAnsi"/>
        </w:rPr>
        <w:t xml:space="preserve"> increases quality of life including mental and physical health</w:t>
      </w:r>
      <w:r>
        <w:rPr>
          <w:rFonts w:cstheme="minorHAnsi"/>
        </w:rPr>
        <w:t xml:space="preserve">, and </w:t>
      </w:r>
      <w:r w:rsidRPr="00852C17">
        <w:rPr>
          <w:rFonts w:cstheme="minorHAnsi"/>
        </w:rPr>
        <w:t xml:space="preserve">reduces injecting risk behaviour, the risk of HIV/Hepatitis C virus acquisition, criminal activity, and overdose deaths. In terms of societal costs, ODT is also highly cost-effective, and actually </w:t>
      </w:r>
      <w:proofErr w:type="gramStart"/>
      <w:r w:rsidRPr="00852C17">
        <w:rPr>
          <w:rFonts w:cstheme="minorHAnsi"/>
        </w:rPr>
        <w:t>cost-saving</w:t>
      </w:r>
      <w:proofErr w:type="gramEnd"/>
      <w:r w:rsidRPr="00852C17">
        <w:rPr>
          <w:rFonts w:cstheme="minorHAnsi"/>
        </w:rPr>
        <w:t xml:space="preserve"> when costs of crime are included. </w:t>
      </w:r>
    </w:p>
    <w:p w14:paraId="51ECC8C5" w14:textId="77777777" w:rsidR="00FF0511" w:rsidRDefault="00FF0511" w:rsidP="00FF0511">
      <w:pPr>
        <w:rPr>
          <w:rFonts w:cstheme="minorHAnsi"/>
          <w:bCs/>
          <w:iCs/>
        </w:rPr>
      </w:pPr>
      <w:r w:rsidRPr="00852C17">
        <w:rPr>
          <w:rFonts w:cstheme="minorHAnsi"/>
        </w:rPr>
        <w:t xml:space="preserve">Addressing cost barriers to treatment entry and retention (through the PBS and with state and </w:t>
      </w:r>
      <w:r>
        <w:rPr>
          <w:rFonts w:cstheme="minorHAnsi"/>
        </w:rPr>
        <w:t>territory governments</w:t>
      </w:r>
      <w:r w:rsidRPr="00852C17">
        <w:rPr>
          <w:rFonts w:cstheme="minorHAnsi"/>
        </w:rPr>
        <w:t>) has the potential to</w:t>
      </w:r>
      <w:r>
        <w:rPr>
          <w:rFonts w:cstheme="minorHAnsi"/>
        </w:rPr>
        <w:t xml:space="preserve"> significantly </w:t>
      </w:r>
      <w:r w:rsidRPr="00852C17">
        <w:rPr>
          <w:rFonts w:cstheme="minorHAnsi"/>
        </w:rPr>
        <w:t>improve a wide range of health and other outcomes for people with opioid dependence</w:t>
      </w:r>
      <w:r>
        <w:rPr>
          <w:rFonts w:cstheme="minorHAnsi"/>
        </w:rPr>
        <w:t xml:space="preserve">. </w:t>
      </w:r>
      <w:r>
        <w:rPr>
          <w:rFonts w:cstheme="minorHAnsi"/>
          <w:bCs/>
          <w:iCs/>
        </w:rPr>
        <w:t xml:space="preserve">Throughout the review stakeholders, including consumers participating in ODT programs and Reference Group members strongly considered that the high financial cost of private fees was the most important barrier to treatment initiation, </w:t>
      </w:r>
      <w:proofErr w:type="gramStart"/>
      <w:r>
        <w:rPr>
          <w:rFonts w:cstheme="minorHAnsi"/>
          <w:bCs/>
          <w:iCs/>
        </w:rPr>
        <w:t>adherence</w:t>
      </w:r>
      <w:proofErr w:type="gramEnd"/>
      <w:r>
        <w:rPr>
          <w:rFonts w:cstheme="minorHAnsi"/>
          <w:bCs/>
          <w:iCs/>
        </w:rPr>
        <w:t xml:space="preserve"> and retention. </w:t>
      </w:r>
    </w:p>
    <w:p w14:paraId="688AFD36" w14:textId="7CEB3263" w:rsidR="00DE374A" w:rsidRDefault="00FF0511" w:rsidP="00FF0511">
      <w:pPr>
        <w:rPr>
          <w:rFonts w:cstheme="minorHAnsi"/>
          <w:bCs/>
          <w:iCs/>
          <w:highlight w:val="yellow"/>
        </w:rPr>
      </w:pPr>
      <w:r>
        <w:rPr>
          <w:rFonts w:cstheme="minorHAnsi"/>
          <w:bCs/>
          <w:iCs/>
        </w:rPr>
        <w:t xml:space="preserve">The review found, strongly supported by stakeholders and Reference Group members, that a response to address </w:t>
      </w:r>
      <w:r w:rsidRPr="00F47057">
        <w:rPr>
          <w:rFonts w:cstheme="minorHAnsi"/>
          <w:bCs/>
          <w:iCs/>
        </w:rPr>
        <w:t>affordability</w:t>
      </w:r>
      <w:r>
        <w:rPr>
          <w:rFonts w:cstheme="minorHAnsi"/>
          <w:bCs/>
          <w:iCs/>
        </w:rPr>
        <w:t xml:space="preserve"> and </w:t>
      </w:r>
      <w:r w:rsidRPr="00F47057">
        <w:rPr>
          <w:rFonts w:cstheme="minorHAnsi"/>
          <w:bCs/>
          <w:iCs/>
        </w:rPr>
        <w:t xml:space="preserve">equity of access </w:t>
      </w:r>
      <w:r>
        <w:rPr>
          <w:rFonts w:cstheme="minorHAnsi"/>
          <w:bCs/>
          <w:iCs/>
        </w:rPr>
        <w:t xml:space="preserve">issues could be addressed </w:t>
      </w:r>
      <w:r w:rsidRPr="00F47057">
        <w:rPr>
          <w:rFonts w:cstheme="minorHAnsi"/>
          <w:bCs/>
          <w:iCs/>
        </w:rPr>
        <w:t xml:space="preserve">through a revised </w:t>
      </w:r>
      <w:r w:rsidR="00AC55F3">
        <w:rPr>
          <w:rFonts w:cstheme="minorHAnsi"/>
          <w:bCs/>
          <w:iCs/>
        </w:rPr>
        <w:t>S</w:t>
      </w:r>
      <w:r w:rsidRPr="00F47057">
        <w:rPr>
          <w:rFonts w:cstheme="minorHAnsi"/>
          <w:bCs/>
          <w:iCs/>
        </w:rPr>
        <w:t xml:space="preserve">100 ODTP program that introduces </w:t>
      </w:r>
      <w:r>
        <w:rPr>
          <w:rFonts w:cstheme="minorHAnsi"/>
          <w:bCs/>
          <w:iCs/>
        </w:rPr>
        <w:t xml:space="preserve">a PBS </w:t>
      </w:r>
      <w:r w:rsidRPr="00F47057">
        <w:rPr>
          <w:rFonts w:cstheme="minorHAnsi"/>
          <w:bCs/>
          <w:iCs/>
        </w:rPr>
        <w:t>co-payment and S</w:t>
      </w:r>
      <w:r>
        <w:rPr>
          <w:rFonts w:cstheme="minorHAnsi"/>
          <w:bCs/>
          <w:iCs/>
        </w:rPr>
        <w:t>afety Net</w:t>
      </w:r>
      <w:r w:rsidRPr="00F47057">
        <w:rPr>
          <w:rFonts w:cstheme="minorHAnsi"/>
          <w:bCs/>
          <w:iCs/>
        </w:rPr>
        <w:t xml:space="preserve"> provisions</w:t>
      </w:r>
      <w:r>
        <w:rPr>
          <w:rFonts w:cstheme="minorHAnsi"/>
          <w:bCs/>
          <w:iCs/>
        </w:rPr>
        <w:t xml:space="preserve"> for consumer</w:t>
      </w:r>
      <w:r w:rsidR="00AC55F3">
        <w:rPr>
          <w:rFonts w:cstheme="minorHAnsi"/>
          <w:bCs/>
          <w:iCs/>
        </w:rPr>
        <w:t>s</w:t>
      </w:r>
      <w:r>
        <w:rPr>
          <w:rFonts w:cstheme="minorHAnsi"/>
          <w:bCs/>
          <w:iCs/>
        </w:rPr>
        <w:t xml:space="preserve"> thereby </w:t>
      </w:r>
      <w:r w:rsidRPr="00F47057">
        <w:rPr>
          <w:rFonts w:cstheme="minorHAnsi"/>
          <w:bCs/>
          <w:iCs/>
        </w:rPr>
        <w:t xml:space="preserve">ensuring that some of the most vulnerable </w:t>
      </w:r>
      <w:r>
        <w:rPr>
          <w:rFonts w:cstheme="minorHAnsi"/>
          <w:bCs/>
          <w:iCs/>
        </w:rPr>
        <w:t>people</w:t>
      </w:r>
      <w:r w:rsidRPr="00F47057">
        <w:rPr>
          <w:rFonts w:cstheme="minorHAnsi"/>
          <w:bCs/>
          <w:iCs/>
        </w:rPr>
        <w:t xml:space="preserve"> in the Australian community are </w:t>
      </w:r>
      <w:r>
        <w:rPr>
          <w:rFonts w:cstheme="minorHAnsi"/>
          <w:bCs/>
          <w:iCs/>
        </w:rPr>
        <w:t>receiving</w:t>
      </w:r>
      <w:r w:rsidRPr="00F47057">
        <w:rPr>
          <w:rFonts w:cstheme="minorHAnsi"/>
          <w:bCs/>
          <w:iCs/>
        </w:rPr>
        <w:t xml:space="preserve"> equitable</w:t>
      </w:r>
      <w:r>
        <w:rPr>
          <w:rFonts w:cstheme="minorHAnsi"/>
          <w:bCs/>
          <w:iCs/>
        </w:rPr>
        <w:t xml:space="preserve"> and</w:t>
      </w:r>
      <w:r w:rsidRPr="00F47057">
        <w:rPr>
          <w:rFonts w:cstheme="minorHAnsi"/>
          <w:bCs/>
          <w:iCs/>
        </w:rPr>
        <w:t xml:space="preserve"> affordable access to medications that can save their lives</w:t>
      </w:r>
      <w:r w:rsidR="00DE374A">
        <w:rPr>
          <w:rFonts w:cstheme="minorHAnsi"/>
          <w:bCs/>
          <w:iCs/>
        </w:rPr>
        <w:t>.</w:t>
      </w:r>
    </w:p>
    <w:p w14:paraId="3720F0A3" w14:textId="77777777" w:rsidR="00DE374A" w:rsidRDefault="00DE374A" w:rsidP="009A243D">
      <w:pPr>
        <w:pStyle w:val="Heading4"/>
      </w:pPr>
      <w:r>
        <w:t>Summary of other matters arising from the PMR</w:t>
      </w:r>
    </w:p>
    <w:p w14:paraId="2C8E5554" w14:textId="6A0A44B0" w:rsidR="00FF0511" w:rsidRDefault="00FF0511" w:rsidP="00FF0511">
      <w:pPr>
        <w:rPr>
          <w:rFonts w:cstheme="minorHAnsi"/>
          <w:bCs/>
          <w:iCs/>
        </w:rPr>
      </w:pPr>
      <w:r w:rsidRPr="005A5291">
        <w:rPr>
          <w:rFonts w:eastAsia="Calibri" w:cs="Calibri"/>
          <w:bCs/>
          <w:iCs/>
        </w:rPr>
        <w:t xml:space="preserve">In </w:t>
      </w:r>
      <w:r w:rsidRPr="00847C02">
        <w:rPr>
          <w:rFonts w:cstheme="minorHAnsi"/>
          <w:bCs/>
          <w:iCs/>
        </w:rPr>
        <w:t>conducting the PMR</w:t>
      </w:r>
      <w:r>
        <w:rPr>
          <w:rFonts w:cstheme="minorHAnsi"/>
          <w:bCs/>
          <w:iCs/>
        </w:rPr>
        <w:t xml:space="preserve">, the Department heard a broad range of concerns </w:t>
      </w:r>
      <w:r w:rsidRPr="00847C02">
        <w:rPr>
          <w:rFonts w:cstheme="minorHAnsi"/>
          <w:bCs/>
          <w:iCs/>
        </w:rPr>
        <w:t xml:space="preserve">that are </w:t>
      </w:r>
      <w:r>
        <w:rPr>
          <w:rFonts w:cstheme="minorHAnsi"/>
          <w:bCs/>
          <w:iCs/>
        </w:rPr>
        <w:t>likely</w:t>
      </w:r>
      <w:r w:rsidRPr="00847C02">
        <w:rPr>
          <w:rFonts w:cstheme="minorHAnsi"/>
          <w:bCs/>
          <w:iCs/>
        </w:rPr>
        <w:t xml:space="preserve"> beyond the PBS </w:t>
      </w:r>
      <w:r>
        <w:rPr>
          <w:rFonts w:cstheme="minorHAnsi"/>
          <w:bCs/>
          <w:iCs/>
        </w:rPr>
        <w:t xml:space="preserve">alone </w:t>
      </w:r>
      <w:r w:rsidRPr="00847C02">
        <w:rPr>
          <w:rFonts w:cstheme="minorHAnsi"/>
          <w:bCs/>
          <w:iCs/>
        </w:rPr>
        <w:t>to address</w:t>
      </w:r>
      <w:r>
        <w:rPr>
          <w:rFonts w:cstheme="minorHAnsi"/>
          <w:bCs/>
          <w:iCs/>
        </w:rPr>
        <w:t xml:space="preserve"> (refer </w:t>
      </w:r>
      <w:r w:rsidR="00AC55F3">
        <w:rPr>
          <w:rFonts w:cstheme="minorHAnsi"/>
          <w:bCs/>
          <w:iCs/>
        </w:rPr>
        <w:t xml:space="preserve">Section </w:t>
      </w:r>
      <w:r>
        <w:rPr>
          <w:rFonts w:cstheme="minorHAnsi"/>
          <w:bCs/>
          <w:iCs/>
        </w:rPr>
        <w:t>2.6</w:t>
      </w:r>
      <w:r w:rsidR="00AC55F3">
        <w:rPr>
          <w:rFonts w:cstheme="minorHAnsi"/>
          <w:bCs/>
          <w:iCs/>
        </w:rPr>
        <w:t xml:space="preserve"> of the </w:t>
      </w:r>
      <w:r w:rsidR="0018599B">
        <w:rPr>
          <w:rFonts w:cstheme="minorHAnsi"/>
          <w:bCs/>
          <w:iCs/>
        </w:rPr>
        <w:t>Report</w:t>
      </w:r>
      <w:r>
        <w:rPr>
          <w:rFonts w:cstheme="minorHAnsi"/>
          <w:bCs/>
          <w:iCs/>
        </w:rPr>
        <w:t>)</w:t>
      </w:r>
      <w:r w:rsidRPr="00847C02">
        <w:rPr>
          <w:rFonts w:cstheme="minorHAnsi"/>
          <w:bCs/>
          <w:iCs/>
        </w:rPr>
        <w:t xml:space="preserve">. These </w:t>
      </w:r>
      <w:r>
        <w:rPr>
          <w:rFonts w:cstheme="minorHAnsi"/>
          <w:bCs/>
          <w:iCs/>
        </w:rPr>
        <w:t xml:space="preserve">often </w:t>
      </w:r>
      <w:r w:rsidRPr="00847C02">
        <w:rPr>
          <w:rFonts w:cstheme="minorHAnsi"/>
          <w:bCs/>
          <w:iCs/>
        </w:rPr>
        <w:t xml:space="preserve">relate </w:t>
      </w:r>
      <w:r>
        <w:rPr>
          <w:rFonts w:cstheme="minorHAnsi"/>
          <w:bCs/>
          <w:iCs/>
        </w:rPr>
        <w:t xml:space="preserve">to policies and </w:t>
      </w:r>
      <w:r w:rsidRPr="007768D4">
        <w:rPr>
          <w:rFonts w:cstheme="minorHAnsi"/>
          <w:bCs/>
          <w:iCs/>
        </w:rPr>
        <w:t>regulation</w:t>
      </w:r>
      <w:r>
        <w:rPr>
          <w:rFonts w:cstheme="minorHAnsi"/>
          <w:bCs/>
          <w:iCs/>
        </w:rPr>
        <w:t>s</w:t>
      </w:r>
      <w:r w:rsidRPr="007768D4">
        <w:rPr>
          <w:rFonts w:cstheme="minorHAnsi"/>
          <w:bCs/>
          <w:iCs/>
        </w:rPr>
        <w:t xml:space="preserve"> </w:t>
      </w:r>
      <w:r>
        <w:rPr>
          <w:rFonts w:cstheme="minorHAnsi"/>
          <w:bCs/>
          <w:iCs/>
        </w:rPr>
        <w:t>for ODT programs that are managed</w:t>
      </w:r>
      <w:r w:rsidRPr="00431683">
        <w:rPr>
          <w:rFonts w:cstheme="minorHAnsi"/>
          <w:bCs/>
          <w:iCs/>
        </w:rPr>
        <w:t xml:space="preserve"> at a state and territory government level </w:t>
      </w:r>
      <w:r>
        <w:rPr>
          <w:rFonts w:cstheme="minorHAnsi"/>
          <w:bCs/>
          <w:iCs/>
        </w:rPr>
        <w:t xml:space="preserve">and includes suggestions to review the processes and requirements for the </w:t>
      </w:r>
      <w:r w:rsidRPr="00431683">
        <w:rPr>
          <w:rFonts w:cstheme="minorHAnsi"/>
          <w:bCs/>
          <w:iCs/>
        </w:rPr>
        <w:t xml:space="preserve">approval of patients, prescribers and dosing sites, </w:t>
      </w:r>
      <w:r>
        <w:rPr>
          <w:rFonts w:cstheme="minorHAnsi"/>
          <w:bCs/>
          <w:iCs/>
        </w:rPr>
        <w:t xml:space="preserve">and </w:t>
      </w:r>
      <w:r w:rsidRPr="00431683">
        <w:rPr>
          <w:rFonts w:cstheme="minorHAnsi"/>
          <w:bCs/>
          <w:iCs/>
        </w:rPr>
        <w:t xml:space="preserve">supervised dosing arrangements </w:t>
      </w:r>
      <w:r>
        <w:rPr>
          <w:rFonts w:cstheme="minorHAnsi"/>
          <w:bCs/>
          <w:iCs/>
        </w:rPr>
        <w:t xml:space="preserve">as well as public </w:t>
      </w:r>
      <w:r w:rsidRPr="00847C02">
        <w:rPr>
          <w:rFonts w:cstheme="minorHAnsi"/>
          <w:bCs/>
          <w:iCs/>
        </w:rPr>
        <w:t xml:space="preserve">treatment </w:t>
      </w:r>
      <w:r>
        <w:rPr>
          <w:rFonts w:cstheme="minorHAnsi"/>
          <w:bCs/>
          <w:iCs/>
        </w:rPr>
        <w:t xml:space="preserve">options </w:t>
      </w:r>
      <w:r w:rsidRPr="00847C02">
        <w:rPr>
          <w:rFonts w:cstheme="minorHAnsi"/>
          <w:bCs/>
          <w:iCs/>
        </w:rPr>
        <w:t xml:space="preserve">for those who cannot manage treatment through private health services (i.e., </w:t>
      </w:r>
      <w:r>
        <w:rPr>
          <w:rFonts w:cstheme="minorHAnsi"/>
          <w:bCs/>
          <w:iCs/>
        </w:rPr>
        <w:t xml:space="preserve">through </w:t>
      </w:r>
      <w:r w:rsidRPr="00847C02">
        <w:rPr>
          <w:rFonts w:cstheme="minorHAnsi"/>
          <w:bCs/>
          <w:iCs/>
        </w:rPr>
        <w:t>GP practice/community pharmacy).</w:t>
      </w:r>
      <w:r>
        <w:rPr>
          <w:rFonts w:cstheme="minorHAnsi"/>
          <w:bCs/>
          <w:iCs/>
        </w:rPr>
        <w:t xml:space="preserve"> </w:t>
      </w:r>
    </w:p>
    <w:p w14:paraId="6B6C5300" w14:textId="77777777" w:rsidR="00FF0511" w:rsidRPr="00847C02" w:rsidRDefault="00FF0511" w:rsidP="00FF0511">
      <w:pPr>
        <w:rPr>
          <w:rFonts w:cstheme="minorHAnsi"/>
          <w:bCs/>
          <w:iCs/>
        </w:rPr>
      </w:pPr>
      <w:r>
        <w:rPr>
          <w:rFonts w:cstheme="minorHAnsi"/>
          <w:bCs/>
          <w:iCs/>
        </w:rPr>
        <w:t xml:space="preserve">The Commonwealth and state and territory governments would need to work in partnership to address the broad range of issues with current service delivery arrangements identified through the PMR. </w:t>
      </w:r>
    </w:p>
    <w:p w14:paraId="35B91EE3" w14:textId="2458A224" w:rsidR="00FF0511" w:rsidRPr="003266A2" w:rsidRDefault="00FF0511" w:rsidP="00FF0511">
      <w:pPr>
        <w:rPr>
          <w:rFonts w:cstheme="minorHAnsi"/>
          <w:bCs/>
          <w:iCs/>
        </w:rPr>
      </w:pPr>
      <w:r>
        <w:rPr>
          <w:rFonts w:cstheme="minorHAnsi"/>
          <w:bCs/>
          <w:iCs/>
        </w:rPr>
        <w:t xml:space="preserve">In addition to considering how the affordability of treatment through community pharmacies is addressed and ensuring equity of access for population groups at greater risk, stakeholders have identified the lack of prescriber participation in ODT as an important issue and suggest improved support for GPs, ODT specialists, nurse practitioners and First Nations prescribers to encourage participation and reduce the burden on existing prescribers. The insufficient number of prescribers and voluntary participation of dosing sites results in long waiting lists and delays in commencing treatment which can mean consumers continue to use opioids while waiting for a place. </w:t>
      </w:r>
      <w:r w:rsidRPr="00536571">
        <w:rPr>
          <w:rFonts w:cs="Calibri"/>
        </w:rPr>
        <w:t>The lack of consistency in ODT service delivery across jurisdictions also complicates access to ODT for consumers.</w:t>
      </w:r>
    </w:p>
    <w:p w14:paraId="19E2B5EC" w14:textId="79FBF5F4" w:rsidR="00FF0511" w:rsidRDefault="00FF0511" w:rsidP="00FF0511">
      <w:pPr>
        <w:rPr>
          <w:rFonts w:cstheme="minorHAnsi"/>
          <w:bCs/>
          <w:iCs/>
        </w:rPr>
      </w:pPr>
      <w:r w:rsidRPr="003266A2">
        <w:rPr>
          <w:rFonts w:cstheme="minorHAnsi"/>
          <w:bCs/>
          <w:iCs/>
        </w:rPr>
        <w:t xml:space="preserve">Relying entirely on the community pharmacy sector for dispensing </w:t>
      </w:r>
      <w:r>
        <w:rPr>
          <w:rFonts w:cstheme="minorHAnsi"/>
          <w:bCs/>
          <w:iCs/>
        </w:rPr>
        <w:t>ODT medicines</w:t>
      </w:r>
      <w:r w:rsidRPr="003266A2">
        <w:rPr>
          <w:rFonts w:cstheme="minorHAnsi"/>
          <w:bCs/>
          <w:iCs/>
        </w:rPr>
        <w:t xml:space="preserve"> also presents very significant </w:t>
      </w:r>
      <w:r>
        <w:rPr>
          <w:rFonts w:cstheme="minorHAnsi"/>
          <w:bCs/>
          <w:iCs/>
        </w:rPr>
        <w:t>service delivery issues</w:t>
      </w:r>
      <w:r w:rsidRPr="003266A2">
        <w:rPr>
          <w:rFonts w:cstheme="minorHAnsi"/>
          <w:bCs/>
          <w:iCs/>
        </w:rPr>
        <w:t xml:space="preserve">. While many patients can access treatment as private patients, this is not an area of treatment which can be exclusively provided by the private sector (i.e., by GP practice/community pharmacy). </w:t>
      </w:r>
      <w:r>
        <w:rPr>
          <w:rFonts w:cstheme="minorHAnsi"/>
          <w:bCs/>
          <w:iCs/>
        </w:rPr>
        <w:t xml:space="preserve">Stakeholders suggest the issues of </w:t>
      </w:r>
      <w:r>
        <w:rPr>
          <w:rFonts w:cstheme="minorHAnsi"/>
          <w:bCs/>
          <w:iCs/>
        </w:rPr>
        <w:lastRenderedPageBreak/>
        <w:t>equity of access and affordability could be addressed to a large extent through a revised PBS listing. In addition, t</w:t>
      </w:r>
      <w:r w:rsidRPr="003266A2">
        <w:rPr>
          <w:rFonts w:cstheme="minorHAnsi"/>
          <w:bCs/>
          <w:iCs/>
        </w:rPr>
        <w:t xml:space="preserve">o ensure patients </w:t>
      </w:r>
      <w:r>
        <w:rPr>
          <w:rFonts w:cstheme="minorHAnsi"/>
          <w:bCs/>
          <w:iCs/>
        </w:rPr>
        <w:t xml:space="preserve">with specific needs </w:t>
      </w:r>
      <w:r w:rsidRPr="003266A2">
        <w:rPr>
          <w:rFonts w:cstheme="minorHAnsi"/>
          <w:bCs/>
          <w:iCs/>
        </w:rPr>
        <w:t>for whom GP charges and PBS co</w:t>
      </w:r>
      <w:r>
        <w:rPr>
          <w:rFonts w:cstheme="minorHAnsi"/>
          <w:bCs/>
          <w:iCs/>
        </w:rPr>
        <w:t>-</w:t>
      </w:r>
      <w:r w:rsidRPr="003266A2">
        <w:rPr>
          <w:rFonts w:cstheme="minorHAnsi"/>
          <w:bCs/>
          <w:iCs/>
        </w:rPr>
        <w:t xml:space="preserve">payments may still put treatment out of reach, the review highlights the need for treatment to be available in a range of settings including the need for an ongoing state and territory public treatment option. </w:t>
      </w:r>
      <w:r>
        <w:rPr>
          <w:rFonts w:cstheme="minorHAnsi"/>
          <w:bCs/>
          <w:iCs/>
        </w:rPr>
        <w:t xml:space="preserve">The review notes that this includes supporting First Nations people to access ODT services through their preferred setting, including through ACCHOs, in a culturally safe manner. Research evidence and stakeholders also indicate that supporting transitions to and from </w:t>
      </w:r>
      <w:proofErr w:type="gramStart"/>
      <w:r>
        <w:rPr>
          <w:rFonts w:cstheme="minorHAnsi"/>
          <w:bCs/>
          <w:iCs/>
        </w:rPr>
        <w:t>correctional facilities</w:t>
      </w:r>
      <w:proofErr w:type="gramEnd"/>
      <w:r>
        <w:rPr>
          <w:rFonts w:cstheme="minorHAnsi"/>
          <w:bCs/>
          <w:iCs/>
        </w:rPr>
        <w:t xml:space="preserve"> and between other settings is an important aspect of improved ODT service delivery, particularly for First Nations people who are greatly overrepresented in custodial settings.</w:t>
      </w:r>
    </w:p>
    <w:p w14:paraId="6DF77BB3" w14:textId="2969CED7" w:rsidR="00DE374A" w:rsidRPr="009A79D2" w:rsidRDefault="00FF0511" w:rsidP="00FF0511">
      <w:pPr>
        <w:spacing w:after="0"/>
        <w:rPr>
          <w:rFonts w:cstheme="minorHAnsi"/>
        </w:rPr>
      </w:pPr>
      <w:r>
        <w:rPr>
          <w:rFonts w:cstheme="minorHAnsi"/>
        </w:rPr>
        <w:t>Stakeholder views also suggested</w:t>
      </w:r>
      <w:r w:rsidRPr="00CE18C1">
        <w:rPr>
          <w:rFonts w:cstheme="minorHAnsi"/>
        </w:rPr>
        <w:t xml:space="preserve"> </w:t>
      </w:r>
      <w:r>
        <w:rPr>
          <w:rFonts w:cstheme="minorHAnsi"/>
        </w:rPr>
        <w:t xml:space="preserve">the </w:t>
      </w:r>
      <w:r w:rsidRPr="00CE18C1">
        <w:rPr>
          <w:rFonts w:cstheme="minorHAnsi"/>
        </w:rPr>
        <w:t>focus on ODT</w:t>
      </w:r>
      <w:r>
        <w:rPr>
          <w:rFonts w:cstheme="minorHAnsi"/>
        </w:rPr>
        <w:t xml:space="preserve"> services</w:t>
      </w:r>
      <w:r w:rsidRPr="00CE18C1">
        <w:rPr>
          <w:rFonts w:cstheme="minorHAnsi"/>
        </w:rPr>
        <w:t xml:space="preserve"> as simply </w:t>
      </w:r>
      <w:r>
        <w:rPr>
          <w:rFonts w:cstheme="minorHAnsi"/>
        </w:rPr>
        <w:t>relating to medication access</w:t>
      </w:r>
      <w:r w:rsidRPr="00CE18C1">
        <w:rPr>
          <w:rFonts w:cstheme="minorHAnsi"/>
        </w:rPr>
        <w:t xml:space="preserve"> is a narrow and a suboptimal conceptualisation of health care for many people with opioid dependence. </w:t>
      </w:r>
      <w:r w:rsidRPr="00847C02">
        <w:rPr>
          <w:rFonts w:cstheme="minorHAnsi"/>
        </w:rPr>
        <w:t xml:space="preserve">The </w:t>
      </w:r>
      <w:r>
        <w:rPr>
          <w:rFonts w:cstheme="minorHAnsi"/>
        </w:rPr>
        <w:t>review</w:t>
      </w:r>
      <w:r w:rsidRPr="00847C02">
        <w:rPr>
          <w:rFonts w:cstheme="minorHAnsi"/>
        </w:rPr>
        <w:t xml:space="preserve"> also </w:t>
      </w:r>
      <w:r>
        <w:rPr>
          <w:rFonts w:cstheme="minorHAnsi"/>
        </w:rPr>
        <w:t>raised</w:t>
      </w:r>
      <w:r w:rsidRPr="00847C02">
        <w:rPr>
          <w:rFonts w:cstheme="minorHAnsi"/>
        </w:rPr>
        <w:t xml:space="preserve"> the importance of </w:t>
      </w:r>
      <w:r>
        <w:rPr>
          <w:rFonts w:cstheme="minorHAnsi"/>
        </w:rPr>
        <w:t xml:space="preserve">coordinated social, </w:t>
      </w:r>
      <w:proofErr w:type="gramStart"/>
      <w:r>
        <w:rPr>
          <w:rFonts w:cstheme="minorHAnsi"/>
        </w:rPr>
        <w:t>mental</w:t>
      </w:r>
      <w:proofErr w:type="gramEnd"/>
      <w:r>
        <w:rPr>
          <w:rFonts w:cstheme="minorHAnsi"/>
        </w:rPr>
        <w:t xml:space="preserve"> and other health</w:t>
      </w:r>
      <w:r w:rsidRPr="00847C02">
        <w:rPr>
          <w:rFonts w:cstheme="minorHAnsi"/>
        </w:rPr>
        <w:t xml:space="preserve"> services</w:t>
      </w:r>
      <w:r>
        <w:rPr>
          <w:rFonts w:cstheme="minorHAnsi"/>
        </w:rPr>
        <w:t xml:space="preserve"> being made available as options</w:t>
      </w:r>
      <w:r w:rsidRPr="00847C02">
        <w:rPr>
          <w:rFonts w:cstheme="minorHAnsi"/>
        </w:rPr>
        <w:t xml:space="preserve"> to support best possible outcomes beyond </w:t>
      </w:r>
      <w:r>
        <w:rPr>
          <w:rFonts w:cstheme="minorHAnsi"/>
        </w:rPr>
        <w:t>ODT medicines</w:t>
      </w:r>
      <w:r w:rsidRPr="00847C02">
        <w:rPr>
          <w:rFonts w:cstheme="minorHAnsi"/>
        </w:rPr>
        <w:t xml:space="preserve"> alone. </w:t>
      </w:r>
      <w:r>
        <w:rPr>
          <w:rFonts w:cstheme="minorHAnsi"/>
        </w:rPr>
        <w:t>The review found that w</w:t>
      </w:r>
      <w:r w:rsidRPr="00847C02">
        <w:rPr>
          <w:rFonts w:cstheme="minorHAnsi"/>
        </w:rPr>
        <w:t xml:space="preserve">hile </w:t>
      </w:r>
      <w:r>
        <w:rPr>
          <w:rFonts w:cstheme="minorHAnsi"/>
        </w:rPr>
        <w:t xml:space="preserve">moving access to ODT medicines </w:t>
      </w:r>
      <w:r w:rsidRPr="00847C02">
        <w:rPr>
          <w:rFonts w:cstheme="minorHAnsi"/>
        </w:rPr>
        <w:t xml:space="preserve">into primary care increases accessibility and coverage of treatment, a stepped care approach to opioid dependence treatment delivery </w:t>
      </w:r>
      <w:r>
        <w:rPr>
          <w:rFonts w:cstheme="minorHAnsi"/>
        </w:rPr>
        <w:t xml:space="preserve">should continue to be provided. That is, </w:t>
      </w:r>
      <w:r w:rsidRPr="00FC5D65">
        <w:rPr>
          <w:rFonts w:cstheme="minorHAnsi"/>
        </w:rPr>
        <w:t>us</w:t>
      </w:r>
      <w:r>
        <w:rPr>
          <w:rFonts w:cstheme="minorHAnsi"/>
        </w:rPr>
        <w:t>ing</w:t>
      </w:r>
      <w:r w:rsidRPr="00FC5D65">
        <w:rPr>
          <w:rFonts w:cstheme="minorHAnsi"/>
        </w:rPr>
        <w:t xml:space="preserve"> less restrictive treatment approaches for those with low severity dependence and more</w:t>
      </w:r>
      <w:r w:rsidRPr="00847C02">
        <w:rPr>
          <w:rFonts w:cstheme="minorHAnsi"/>
        </w:rPr>
        <w:t xml:space="preserve"> intensive treatment </w:t>
      </w:r>
      <w:r>
        <w:rPr>
          <w:rFonts w:cstheme="minorHAnsi"/>
        </w:rPr>
        <w:t xml:space="preserve">options </w:t>
      </w:r>
      <w:r w:rsidRPr="00847C02">
        <w:rPr>
          <w:rFonts w:cstheme="minorHAnsi"/>
        </w:rPr>
        <w:t xml:space="preserve">reserved for </w:t>
      </w:r>
      <w:r>
        <w:rPr>
          <w:rFonts w:cstheme="minorHAnsi"/>
        </w:rPr>
        <w:t>people initiating treatment and/or people</w:t>
      </w:r>
      <w:r w:rsidRPr="00847C02">
        <w:rPr>
          <w:rFonts w:cstheme="minorHAnsi"/>
        </w:rPr>
        <w:t xml:space="preserve"> more severe and complex health and social problems</w:t>
      </w:r>
      <w:r>
        <w:rPr>
          <w:rFonts w:cstheme="minorHAnsi"/>
        </w:rPr>
        <w:t xml:space="preserve"> where </w:t>
      </w:r>
      <w:r w:rsidRPr="00D854B5">
        <w:rPr>
          <w:rFonts w:cstheme="minorHAnsi"/>
        </w:rPr>
        <w:t>necessary, while maintaining patient autonomy and appropriate clinical care</w:t>
      </w:r>
      <w:r w:rsidR="00DE374A" w:rsidRPr="00D854B5">
        <w:rPr>
          <w:rFonts w:cstheme="minorHAnsi"/>
        </w:rPr>
        <w:t>.</w:t>
      </w:r>
      <w:r w:rsidR="00DE374A" w:rsidRPr="00847C02">
        <w:rPr>
          <w:rFonts w:cstheme="minorHAnsi"/>
        </w:rPr>
        <w:t xml:space="preserve"> </w:t>
      </w:r>
    </w:p>
    <w:p w14:paraId="4A517B43" w14:textId="77777777" w:rsidR="00DE374A" w:rsidRDefault="00DE374A" w:rsidP="00DE374A">
      <w:pPr>
        <w:spacing w:after="0"/>
        <w:rPr>
          <w:rFonts w:cstheme="minorHAnsi"/>
          <w:bCs/>
          <w:iCs/>
        </w:rPr>
      </w:pPr>
    </w:p>
    <w:p w14:paraId="7D5A691A" w14:textId="77777777" w:rsidR="00F20873" w:rsidRDefault="00F20873">
      <w:pPr>
        <w:spacing w:after="160" w:line="259" w:lineRule="auto"/>
        <w:jc w:val="left"/>
        <w:rPr>
          <w:rFonts w:asciiTheme="minorHAnsi" w:eastAsiaTheme="majorEastAsia" w:hAnsiTheme="minorHAnsi" w:cstheme="majorBidi"/>
          <w:color w:val="1F3763" w:themeColor="accent1" w:themeShade="7F"/>
        </w:rPr>
      </w:pPr>
      <w:bookmarkStart w:id="26" w:name="_Toc121311778"/>
      <w:r>
        <w:br w:type="page"/>
      </w:r>
    </w:p>
    <w:p w14:paraId="32F28F49" w14:textId="12FCDBBD" w:rsidR="00DE374A" w:rsidRPr="00DE089B" w:rsidRDefault="000C6132" w:rsidP="00AD4509">
      <w:pPr>
        <w:pStyle w:val="Heading3"/>
        <w:numPr>
          <w:ilvl w:val="1"/>
          <w:numId w:val="56"/>
        </w:numPr>
      </w:pPr>
      <w:bookmarkStart w:id="27" w:name="_Toc163220809"/>
      <w:r>
        <w:lastRenderedPageBreak/>
        <w:t>Review o</w:t>
      </w:r>
      <w:r w:rsidR="00DE374A">
        <w:t>utcomes</w:t>
      </w:r>
      <w:r w:rsidR="00DE374A" w:rsidRPr="00DE089B">
        <w:t xml:space="preserve"> for PBAC consideration</w:t>
      </w:r>
      <w:bookmarkEnd w:id="26"/>
      <w:bookmarkEnd w:id="27"/>
    </w:p>
    <w:p w14:paraId="1E6FA41C" w14:textId="77777777" w:rsidR="00DE374A" w:rsidRPr="00807DF9" w:rsidRDefault="00DE374A" w:rsidP="00807DF9">
      <w:pPr>
        <w:pStyle w:val="Heading4"/>
      </w:pPr>
      <w:r w:rsidRPr="00807DF9">
        <w:t>Solving for affordability and equity of access</w:t>
      </w:r>
    </w:p>
    <w:p w14:paraId="0DEE45EB" w14:textId="77777777" w:rsidR="00EB6AF4" w:rsidRDefault="00EB6AF4" w:rsidP="00EB6AF4">
      <w:pPr>
        <w:rPr>
          <w:rFonts w:asciiTheme="minorHAnsi" w:hAnsiTheme="minorHAnsi" w:cstheme="minorHAnsi"/>
        </w:rPr>
      </w:pPr>
      <w:r w:rsidRPr="005A5291">
        <w:rPr>
          <w:rFonts w:eastAsia="Calibri"/>
        </w:rPr>
        <w:t xml:space="preserve">Opioid dependence </w:t>
      </w:r>
      <w:r w:rsidRPr="00EA3458">
        <w:rPr>
          <w:rStyle w:val="eop"/>
        </w:rPr>
        <w:t>has been characterised as a chronic, relapsing condition with periods of active use, abstinence, and relapse which can occur over many year</w:t>
      </w:r>
      <w:r>
        <w:rPr>
          <w:rStyle w:val="eop"/>
        </w:rPr>
        <w:t xml:space="preserve">s. </w:t>
      </w:r>
      <w:r w:rsidRPr="00922B66">
        <w:rPr>
          <w:rFonts w:cstheme="minorHAnsi"/>
          <w:bCs/>
          <w:iCs/>
        </w:rPr>
        <w:t xml:space="preserve">As noted in the National Guidelines, the chronic relapsing nature of drug dependence </w:t>
      </w:r>
      <w:r>
        <w:rPr>
          <w:rFonts w:cstheme="minorHAnsi"/>
          <w:bCs/>
          <w:iCs/>
        </w:rPr>
        <w:t>links</w:t>
      </w:r>
      <w:r w:rsidRPr="00922B66">
        <w:rPr>
          <w:rFonts w:cstheme="minorHAnsi"/>
          <w:bCs/>
          <w:iCs/>
        </w:rPr>
        <w:t xml:space="preserve"> opioid dependence with other chronic medical conditions such as asthma, </w:t>
      </w:r>
      <w:proofErr w:type="gramStart"/>
      <w:r w:rsidRPr="00922B66">
        <w:rPr>
          <w:rFonts w:cstheme="minorHAnsi"/>
          <w:bCs/>
          <w:iCs/>
        </w:rPr>
        <w:t>hypertension</w:t>
      </w:r>
      <w:proofErr w:type="gramEnd"/>
      <w:r w:rsidRPr="00922B66">
        <w:rPr>
          <w:rFonts w:cstheme="minorHAnsi"/>
          <w:bCs/>
          <w:iCs/>
        </w:rPr>
        <w:t xml:space="preserve"> and diabetes. </w:t>
      </w:r>
      <w:r w:rsidRPr="00D854B5">
        <w:rPr>
          <w:rFonts w:asciiTheme="minorHAnsi" w:hAnsiTheme="minorHAnsi" w:cstheme="minorHAnsi"/>
        </w:rPr>
        <w:t>Stakeholders consider that, given ODT medicines provide treatment for the chronic condition of opioid dependence, they should therefore be provided at the same or similar costs to the consumer as other PBS medicines for other chronic conditions.</w:t>
      </w:r>
      <w:r>
        <w:rPr>
          <w:rFonts w:asciiTheme="minorHAnsi" w:hAnsiTheme="minorHAnsi" w:cstheme="minorHAnsi"/>
        </w:rPr>
        <w:t xml:space="preserve"> </w:t>
      </w:r>
    </w:p>
    <w:p w14:paraId="08FCF93A" w14:textId="77777777" w:rsidR="00EB6AF4" w:rsidRDefault="00EB6AF4" w:rsidP="00EB6AF4">
      <w:pPr>
        <w:rPr>
          <w:rFonts w:cstheme="minorHAnsi"/>
          <w:bCs/>
          <w:iCs/>
        </w:rPr>
      </w:pPr>
      <w:r>
        <w:rPr>
          <w:rFonts w:asciiTheme="minorHAnsi" w:hAnsiTheme="minorHAnsi" w:cstheme="minorHAnsi"/>
        </w:rPr>
        <w:t>Research evidence and the s</w:t>
      </w:r>
      <w:r w:rsidRPr="00922B66">
        <w:rPr>
          <w:rFonts w:asciiTheme="minorHAnsi" w:hAnsiTheme="minorHAnsi" w:cstheme="minorHAnsi"/>
        </w:rPr>
        <w:t>takeholder</w:t>
      </w:r>
      <w:r>
        <w:rPr>
          <w:rFonts w:asciiTheme="minorHAnsi" w:hAnsiTheme="minorHAnsi" w:cstheme="minorHAnsi"/>
        </w:rPr>
        <w:t xml:space="preserve"> consensus response to the primary issue of affordability is for </w:t>
      </w:r>
      <w:r w:rsidRPr="00922B66">
        <w:rPr>
          <w:rFonts w:asciiTheme="minorHAnsi" w:hAnsiTheme="minorHAnsi" w:cstheme="minorHAnsi"/>
        </w:rPr>
        <w:t xml:space="preserve">consumers accessing </w:t>
      </w:r>
      <w:r>
        <w:rPr>
          <w:rFonts w:asciiTheme="minorHAnsi" w:hAnsiTheme="minorHAnsi" w:cstheme="minorHAnsi"/>
        </w:rPr>
        <w:t xml:space="preserve">ODT </w:t>
      </w:r>
      <w:r w:rsidRPr="00922B66">
        <w:rPr>
          <w:rFonts w:asciiTheme="minorHAnsi" w:hAnsiTheme="minorHAnsi" w:cstheme="minorHAnsi"/>
        </w:rPr>
        <w:t xml:space="preserve">medicines on the PBS </w:t>
      </w:r>
      <w:r>
        <w:rPr>
          <w:rFonts w:asciiTheme="minorHAnsi" w:hAnsiTheme="minorHAnsi" w:cstheme="minorHAnsi"/>
        </w:rPr>
        <w:t>to</w:t>
      </w:r>
      <w:r w:rsidRPr="00922B66">
        <w:rPr>
          <w:rFonts w:asciiTheme="minorHAnsi" w:hAnsiTheme="minorHAnsi" w:cstheme="minorHAnsi"/>
        </w:rPr>
        <w:t xml:space="preserve"> have equitable access to the </w:t>
      </w:r>
      <w:r>
        <w:rPr>
          <w:rFonts w:asciiTheme="minorHAnsi" w:hAnsiTheme="minorHAnsi" w:cstheme="minorHAnsi"/>
        </w:rPr>
        <w:t xml:space="preserve">PBS co-payment and </w:t>
      </w:r>
      <w:r w:rsidRPr="00922B66">
        <w:rPr>
          <w:rFonts w:asciiTheme="minorHAnsi" w:hAnsiTheme="minorHAnsi" w:cstheme="minorHAnsi"/>
        </w:rPr>
        <w:t xml:space="preserve">PBS Safety Net, as they would for any other </w:t>
      </w:r>
      <w:r>
        <w:rPr>
          <w:rFonts w:asciiTheme="minorHAnsi" w:hAnsiTheme="minorHAnsi" w:cstheme="minorHAnsi"/>
        </w:rPr>
        <w:t xml:space="preserve">PBS listed medicine, as well as remuneration for community pharmacies which would replace all private, unregulated dispensing and dosing fees. </w:t>
      </w:r>
      <w:r>
        <w:rPr>
          <w:rFonts w:cstheme="minorHAnsi"/>
          <w:bCs/>
          <w:iCs/>
        </w:rPr>
        <w:t xml:space="preserve">This would allow greater flexibility for variable dosing arrangements and provide </w:t>
      </w:r>
      <w:r w:rsidRPr="00496A9E">
        <w:rPr>
          <w:rFonts w:asciiTheme="minorHAnsi" w:hAnsiTheme="minorHAnsi" w:cstheme="minorHAnsi"/>
        </w:rPr>
        <w:t xml:space="preserve">national consistency </w:t>
      </w:r>
      <w:r>
        <w:rPr>
          <w:rFonts w:asciiTheme="minorHAnsi" w:hAnsiTheme="minorHAnsi" w:cstheme="minorHAnsi"/>
        </w:rPr>
        <w:t xml:space="preserve">and universal access through the PBS to these medicines </w:t>
      </w:r>
      <w:r w:rsidRPr="00496A9E">
        <w:rPr>
          <w:rFonts w:asciiTheme="minorHAnsi" w:hAnsiTheme="minorHAnsi" w:cstheme="minorHAnsi"/>
        </w:rPr>
        <w:t xml:space="preserve">for patients who dose at community pharmacies regardless of jurisdiction, </w:t>
      </w:r>
      <w:r>
        <w:rPr>
          <w:rFonts w:asciiTheme="minorHAnsi" w:hAnsiTheme="minorHAnsi" w:cstheme="minorHAnsi"/>
        </w:rPr>
        <w:t>type and formulation of drug</w:t>
      </w:r>
      <w:r w:rsidRPr="00496A9E">
        <w:rPr>
          <w:rFonts w:asciiTheme="minorHAnsi" w:hAnsiTheme="minorHAnsi" w:cstheme="minorHAnsi"/>
        </w:rPr>
        <w:t>, or supervision requirements</w:t>
      </w:r>
      <w:r>
        <w:rPr>
          <w:rFonts w:asciiTheme="minorHAnsi" w:hAnsiTheme="minorHAnsi" w:cstheme="minorHAnsi"/>
        </w:rPr>
        <w:t xml:space="preserve">.  </w:t>
      </w:r>
    </w:p>
    <w:p w14:paraId="6BF1EA07" w14:textId="77777777" w:rsidR="00EB6AF4" w:rsidRPr="009953DF" w:rsidRDefault="00EB6AF4" w:rsidP="00EB6AF4">
      <w:r>
        <w:rPr>
          <w:rFonts w:cstheme="minorHAnsi"/>
          <w:bCs/>
          <w:iCs/>
        </w:rPr>
        <w:t>The</w:t>
      </w:r>
      <w:r w:rsidRPr="00922B66">
        <w:rPr>
          <w:rFonts w:cstheme="minorHAnsi"/>
          <w:bCs/>
          <w:iCs/>
        </w:rPr>
        <w:t xml:space="preserve"> review acknowledges the </w:t>
      </w:r>
      <w:r w:rsidRPr="00E91819">
        <w:t xml:space="preserve">unique nature of methadone and sublingual buprenorphine medicines due to their </w:t>
      </w:r>
      <w:r>
        <w:t xml:space="preserve">more frequent (often </w:t>
      </w:r>
      <w:r w:rsidRPr="00E91819">
        <w:t>daily</w:t>
      </w:r>
      <w:r>
        <w:t>)</w:t>
      </w:r>
      <w:r w:rsidRPr="00E91819">
        <w:t xml:space="preserve"> dosing requirements which a) </w:t>
      </w:r>
      <w:r>
        <w:t xml:space="preserve">often </w:t>
      </w:r>
      <w:r w:rsidRPr="00922B66">
        <w:rPr>
          <w:rFonts w:cstheme="minorHAnsi"/>
          <w:bCs/>
          <w:iCs/>
        </w:rPr>
        <w:t>do</w:t>
      </w:r>
      <w:r>
        <w:rPr>
          <w:rFonts w:cstheme="minorHAnsi"/>
          <w:bCs/>
          <w:iCs/>
        </w:rPr>
        <w:t>es</w:t>
      </w:r>
      <w:r w:rsidRPr="00922B66">
        <w:rPr>
          <w:rFonts w:cstheme="minorHAnsi"/>
          <w:bCs/>
          <w:iCs/>
        </w:rPr>
        <w:t xml:space="preserve"> not align with </w:t>
      </w:r>
      <w:r w:rsidRPr="00E91819">
        <w:t>the</w:t>
      </w:r>
      <w:r>
        <w:t xml:space="preserve"> usual pattern of use of other S85 PBS medicines where people are dispensed a full script quantity to take home and b) require</w:t>
      </w:r>
      <w:r w:rsidRPr="00630E93">
        <w:t xml:space="preserve"> </w:t>
      </w:r>
      <w:r>
        <w:t>more frequent</w:t>
      </w:r>
      <w:r w:rsidRPr="00630E93">
        <w:t xml:space="preserve"> activities </w:t>
      </w:r>
      <w:r>
        <w:t>to be performed by the pharmacist associated</w:t>
      </w:r>
      <w:r w:rsidRPr="00630E93">
        <w:t xml:space="preserve"> with the </w:t>
      </w:r>
      <w:r>
        <w:t>often-daily</w:t>
      </w:r>
      <w:r w:rsidRPr="00630E93">
        <w:t xml:space="preserve"> preparation</w:t>
      </w:r>
      <w:r>
        <w:t>, dispensing</w:t>
      </w:r>
      <w:r w:rsidRPr="00630E93">
        <w:t xml:space="preserve"> and supervision of doses</w:t>
      </w:r>
      <w:r>
        <w:t xml:space="preserve">. However, stakeholder input to the PMR also notes that it is not unusual for medicines with specific dosing and dispensing requirements to be listed on the PBS under S100 programs that accommodate alternative supply arrangements such as the Highly Specialised Drugs (HSD) or Efficient Funding of Chemotherapy (EFC) Programs. </w:t>
      </w:r>
    </w:p>
    <w:p w14:paraId="3AAC0515" w14:textId="77777777" w:rsidR="00EB6AF4" w:rsidRDefault="00EB6AF4" w:rsidP="00EB6AF4">
      <w:pPr>
        <w:rPr>
          <w:rFonts w:cstheme="minorHAnsi"/>
          <w:bCs/>
          <w:iCs/>
        </w:rPr>
      </w:pPr>
      <w:r w:rsidRPr="00922B66">
        <w:rPr>
          <w:rFonts w:cstheme="minorHAnsi"/>
          <w:bCs/>
          <w:iCs/>
        </w:rPr>
        <w:t>This suggests there is a need to consider how ODT medicines can be listed differently on the PBS to align it more closely with some elements of PBS practice (</w:t>
      </w:r>
      <w:proofErr w:type="gramStart"/>
      <w:r w:rsidRPr="00922B66">
        <w:rPr>
          <w:rFonts w:cstheme="minorHAnsi"/>
          <w:bCs/>
          <w:iCs/>
        </w:rPr>
        <w:t>i.e.</w:t>
      </w:r>
      <w:proofErr w:type="gramEnd"/>
      <w:r w:rsidRPr="00922B66">
        <w:rPr>
          <w:rFonts w:cstheme="minorHAnsi"/>
          <w:bCs/>
          <w:iCs/>
        </w:rPr>
        <w:t xml:space="preserve"> PBS co-payment and </w:t>
      </w:r>
      <w:r>
        <w:rPr>
          <w:rFonts w:cstheme="minorHAnsi"/>
          <w:bCs/>
          <w:iCs/>
        </w:rPr>
        <w:t>S</w:t>
      </w:r>
      <w:r w:rsidRPr="00922B66">
        <w:rPr>
          <w:rFonts w:cstheme="minorHAnsi"/>
          <w:bCs/>
          <w:iCs/>
        </w:rPr>
        <w:t xml:space="preserve">afety </w:t>
      </w:r>
      <w:r>
        <w:rPr>
          <w:rFonts w:cstheme="minorHAnsi"/>
          <w:bCs/>
          <w:iCs/>
        </w:rPr>
        <w:t>N</w:t>
      </w:r>
      <w:r w:rsidRPr="00922B66">
        <w:rPr>
          <w:rFonts w:cstheme="minorHAnsi"/>
          <w:bCs/>
          <w:iCs/>
        </w:rPr>
        <w:t xml:space="preserve">et provisions) while at the same time acknowledging the features that are unique and may </w:t>
      </w:r>
      <w:r>
        <w:rPr>
          <w:rFonts w:cstheme="minorHAnsi"/>
          <w:bCs/>
          <w:iCs/>
        </w:rPr>
        <w:t xml:space="preserve">require </w:t>
      </w:r>
      <w:r w:rsidRPr="00922B66">
        <w:rPr>
          <w:rFonts w:cstheme="minorHAnsi"/>
          <w:bCs/>
          <w:iCs/>
        </w:rPr>
        <w:t>an exception to the usual operation of the PBS. These include elements such as more frequent dispensing requirement</w:t>
      </w:r>
      <w:r>
        <w:rPr>
          <w:rFonts w:cstheme="minorHAnsi"/>
          <w:bCs/>
          <w:iCs/>
        </w:rPr>
        <w:t>s</w:t>
      </w:r>
      <w:r w:rsidRPr="00922B66">
        <w:rPr>
          <w:rFonts w:cstheme="minorHAnsi"/>
          <w:bCs/>
          <w:iCs/>
        </w:rPr>
        <w:t xml:space="preserve"> and the need for access to ODT medicines from a range of settings, not just community pharmacy. </w:t>
      </w:r>
    </w:p>
    <w:p w14:paraId="744BB7E3" w14:textId="77777777" w:rsidR="00EB6AF4" w:rsidRDefault="00EB6AF4" w:rsidP="00EB6AF4">
      <w:pPr>
        <w:rPr>
          <w:rFonts w:cstheme="minorHAnsi"/>
          <w:bCs/>
          <w:iCs/>
        </w:rPr>
      </w:pPr>
      <w:r w:rsidRPr="001B249B">
        <w:rPr>
          <w:rFonts w:cstheme="minorHAnsi"/>
          <w:bCs/>
          <w:iCs/>
        </w:rPr>
        <w:t xml:space="preserve">Therefore, </w:t>
      </w:r>
      <w:proofErr w:type="gramStart"/>
      <w:r w:rsidRPr="001B249B">
        <w:rPr>
          <w:rFonts w:cstheme="minorHAnsi"/>
          <w:bCs/>
          <w:iCs/>
        </w:rPr>
        <w:t>in order to</w:t>
      </w:r>
      <w:proofErr w:type="gramEnd"/>
      <w:r w:rsidRPr="001B249B">
        <w:rPr>
          <w:rFonts w:cstheme="minorHAnsi"/>
          <w:bCs/>
          <w:iCs/>
        </w:rPr>
        <w:t xml:space="preserve"> solve for the primary issue of affordability in a nationally consistent manner, an option before the PBAC is to consider revised listings of ODT medicines </w:t>
      </w:r>
      <w:r>
        <w:rPr>
          <w:rFonts w:cstheme="minorHAnsi"/>
          <w:bCs/>
          <w:iCs/>
        </w:rPr>
        <w:t>through</w:t>
      </w:r>
      <w:r w:rsidRPr="001B249B">
        <w:rPr>
          <w:rFonts w:cstheme="minorHAnsi"/>
          <w:bCs/>
          <w:iCs/>
        </w:rPr>
        <w:t xml:space="preserve"> the PBS under a revised S100 program to accommodate the unique feature</w:t>
      </w:r>
      <w:r>
        <w:rPr>
          <w:rFonts w:cstheme="minorHAnsi"/>
          <w:bCs/>
          <w:iCs/>
        </w:rPr>
        <w:t>s</w:t>
      </w:r>
      <w:r w:rsidRPr="001B249B">
        <w:rPr>
          <w:rFonts w:cstheme="minorHAnsi"/>
          <w:bCs/>
          <w:iCs/>
        </w:rPr>
        <w:t xml:space="preserve"> of </w:t>
      </w:r>
      <w:r>
        <w:rPr>
          <w:rFonts w:cstheme="minorHAnsi"/>
          <w:bCs/>
          <w:iCs/>
        </w:rPr>
        <w:t xml:space="preserve">most </w:t>
      </w:r>
      <w:r w:rsidRPr="001B249B">
        <w:rPr>
          <w:rFonts w:cstheme="minorHAnsi"/>
          <w:bCs/>
          <w:iCs/>
        </w:rPr>
        <w:t>ODT medicines</w:t>
      </w:r>
      <w:r>
        <w:rPr>
          <w:rFonts w:cstheme="minorHAnsi"/>
          <w:bCs/>
          <w:iCs/>
        </w:rPr>
        <w:t>.</w:t>
      </w:r>
      <w:r w:rsidRPr="001B249B">
        <w:rPr>
          <w:rFonts w:cstheme="minorHAnsi"/>
          <w:bCs/>
          <w:iCs/>
        </w:rPr>
        <w:t xml:space="preserve"> </w:t>
      </w:r>
      <w:r w:rsidRPr="00922B66">
        <w:rPr>
          <w:rFonts w:cstheme="minorHAnsi"/>
          <w:bCs/>
          <w:iCs/>
          <w:highlight w:val="yellow"/>
        </w:rPr>
        <w:t xml:space="preserve"> </w:t>
      </w:r>
    </w:p>
    <w:p w14:paraId="17DA87B0" w14:textId="77510E6D" w:rsidR="00EB6AF4" w:rsidRDefault="00EB6AF4" w:rsidP="00EB6AF4">
      <w:pPr>
        <w:rPr>
          <w:rFonts w:cstheme="minorHAnsi"/>
          <w:bCs/>
          <w:iCs/>
        </w:rPr>
      </w:pPr>
      <w:r>
        <w:t xml:space="preserve">It is important to keep in mind that regardless of how ODT medicines might be listed on the PBS, </w:t>
      </w:r>
      <w:r>
        <w:rPr>
          <w:rFonts w:cstheme="minorHAnsi"/>
          <w:bCs/>
          <w:iCs/>
        </w:rPr>
        <w:t xml:space="preserve">jurisdictions operate and manage the broader aspects of ODT programs including approvals, eligibility, </w:t>
      </w:r>
      <w:proofErr w:type="gramStart"/>
      <w:r>
        <w:rPr>
          <w:rFonts w:cstheme="minorHAnsi"/>
          <w:bCs/>
          <w:iCs/>
        </w:rPr>
        <w:t>accreditation</w:t>
      </w:r>
      <w:proofErr w:type="gramEnd"/>
      <w:r>
        <w:rPr>
          <w:rFonts w:cstheme="minorHAnsi"/>
          <w:bCs/>
          <w:iCs/>
        </w:rPr>
        <w:t xml:space="preserve"> and supervised dosing requirements as well as regulation of controlled substances</w:t>
      </w:r>
      <w:r w:rsidRPr="0057518F">
        <w:t xml:space="preserve"> </w:t>
      </w:r>
      <w:r>
        <w:t xml:space="preserve">which occur independent of the Commonwealth. </w:t>
      </w:r>
      <w:r>
        <w:rPr>
          <w:rFonts w:cstheme="minorHAnsi"/>
          <w:bCs/>
          <w:iCs/>
        </w:rPr>
        <w:t xml:space="preserve">In exploring an S100 model, it will be important this is done in consultation and collaboration with jurisdictions to ensure the </w:t>
      </w:r>
      <w:r w:rsidR="008506EA">
        <w:rPr>
          <w:rFonts w:cstheme="minorHAnsi"/>
          <w:bCs/>
          <w:iCs/>
        </w:rPr>
        <w:t>S</w:t>
      </w:r>
      <w:r>
        <w:rPr>
          <w:rFonts w:cstheme="minorHAnsi"/>
          <w:bCs/>
          <w:iCs/>
        </w:rPr>
        <w:t xml:space="preserve">100 model alignment with their policy and regulations. This means </w:t>
      </w:r>
      <w:r>
        <w:rPr>
          <w:rFonts w:cstheme="minorHAnsi"/>
          <w:bCs/>
          <w:iCs/>
        </w:rPr>
        <w:lastRenderedPageBreak/>
        <w:t>the Commonwealth and state and territory governments will need to work collaboratively to solve for the issues of affordability as well as equity of access.</w:t>
      </w:r>
    </w:p>
    <w:p w14:paraId="3594271B" w14:textId="77777777" w:rsidR="00EB6AF4" w:rsidRDefault="00EB6AF4" w:rsidP="00EB6AF4">
      <w:pPr>
        <w:rPr>
          <w:rFonts w:asciiTheme="minorHAnsi" w:hAnsiTheme="minorHAnsi" w:cstheme="minorHAnsi"/>
        </w:rPr>
      </w:pPr>
      <w:r>
        <w:t xml:space="preserve">While the </w:t>
      </w:r>
      <w:r>
        <w:rPr>
          <w:rFonts w:cstheme="minorHAnsi"/>
          <w:bCs/>
          <w:iCs/>
        </w:rPr>
        <w:t xml:space="preserve">majority of ODT medicines supplies occur through community pharmacies, access to ODT medicines also occurs through a range of other settings including alcohol and drug treatment centres, </w:t>
      </w:r>
      <w:proofErr w:type="gramStart"/>
      <w:r>
        <w:rPr>
          <w:rFonts w:cstheme="minorHAnsi"/>
          <w:bCs/>
          <w:iCs/>
        </w:rPr>
        <w:t>correctional facilities</w:t>
      </w:r>
      <w:proofErr w:type="gramEnd"/>
      <w:r>
        <w:rPr>
          <w:rFonts w:cstheme="minorHAnsi"/>
          <w:bCs/>
          <w:iCs/>
        </w:rPr>
        <w:t xml:space="preserve"> and medical centres. The Department acknowledges the importance of ongoing engagement with state and territory governments to ensure continued patient access to ODT medicines </w:t>
      </w:r>
      <w:r>
        <w:rPr>
          <w:rFonts w:cstheme="minorHAnsi"/>
        </w:rPr>
        <w:t>provided</w:t>
      </w:r>
      <w:r>
        <w:rPr>
          <w:rFonts w:asciiTheme="minorHAnsi" w:hAnsiTheme="minorHAnsi" w:cstheme="minorHAnsi"/>
        </w:rPr>
        <w:t xml:space="preserve"> outside of PBS approved suppliers, for example to </w:t>
      </w:r>
      <w:proofErr w:type="gramStart"/>
      <w:r>
        <w:rPr>
          <w:rFonts w:asciiTheme="minorHAnsi" w:hAnsiTheme="minorHAnsi" w:cstheme="minorHAnsi"/>
        </w:rPr>
        <w:t>correctional facilities</w:t>
      </w:r>
      <w:proofErr w:type="gramEnd"/>
      <w:r>
        <w:rPr>
          <w:rFonts w:asciiTheme="minorHAnsi" w:hAnsiTheme="minorHAnsi" w:cstheme="minorHAnsi"/>
        </w:rPr>
        <w:t xml:space="preserve"> and that an option is that this could continue to be supported under a revised S100 model. </w:t>
      </w:r>
    </w:p>
    <w:p w14:paraId="0FAD0B2E" w14:textId="77777777" w:rsidR="00EB6AF4" w:rsidRPr="00EB6AF4" w:rsidRDefault="00EB6AF4" w:rsidP="00EB6AF4">
      <w:pPr>
        <w:rPr>
          <w:rFonts w:cstheme="minorHAnsi"/>
          <w:b/>
          <w:iCs/>
        </w:rPr>
      </w:pPr>
      <w:r w:rsidRPr="00EB6AF4">
        <w:rPr>
          <w:rFonts w:cstheme="minorHAnsi"/>
          <w:b/>
          <w:iCs/>
        </w:rPr>
        <w:t xml:space="preserve">The PBAC may wish to respond to the issues of affordability that could be solved through a PBS S100 arrangement for all ODT medicines (methadone, buprenorphine tablets and injections, buprenorphine with naloxone film) that provides affordable and equitable access to ODT medicines in a nationally consistent manner in line with the following principles: </w:t>
      </w:r>
    </w:p>
    <w:p w14:paraId="7C92AB6A" w14:textId="77777777" w:rsidR="00EB6AF4" w:rsidRPr="00EB6AF4" w:rsidRDefault="00EB6AF4" w:rsidP="00EB6AF4">
      <w:pPr>
        <w:pStyle w:val="ListParagraph"/>
        <w:numPr>
          <w:ilvl w:val="0"/>
          <w:numId w:val="51"/>
        </w:numPr>
        <w:rPr>
          <w:rFonts w:cstheme="minorHAnsi"/>
          <w:b/>
          <w:iCs/>
        </w:rPr>
      </w:pPr>
      <w:r w:rsidRPr="00EB6AF4">
        <w:rPr>
          <w:rFonts w:cstheme="minorHAnsi"/>
          <w:b/>
          <w:iCs/>
        </w:rPr>
        <w:t xml:space="preserve">Acknowledges the unique dosing frequency requirements of ODT </w:t>
      </w:r>
      <w:proofErr w:type="gramStart"/>
      <w:r w:rsidRPr="00EB6AF4">
        <w:rPr>
          <w:rFonts w:cstheme="minorHAnsi"/>
          <w:b/>
          <w:iCs/>
        </w:rPr>
        <w:t>medicines</w:t>
      </w:r>
      <w:proofErr w:type="gramEnd"/>
    </w:p>
    <w:p w14:paraId="21C6FB32" w14:textId="186F74A8" w:rsidR="00EB6AF4" w:rsidRPr="00EB6AF4" w:rsidRDefault="00EB6AF4" w:rsidP="00EB6AF4">
      <w:pPr>
        <w:pStyle w:val="ListParagraph"/>
        <w:numPr>
          <w:ilvl w:val="0"/>
          <w:numId w:val="51"/>
        </w:numPr>
        <w:rPr>
          <w:rFonts w:cstheme="minorHAnsi"/>
          <w:b/>
          <w:iCs/>
        </w:rPr>
      </w:pPr>
      <w:r w:rsidRPr="00EB6AF4">
        <w:rPr>
          <w:rFonts w:cstheme="minorHAnsi"/>
          <w:b/>
          <w:iCs/>
        </w:rPr>
        <w:t xml:space="preserve">Patients no longer pay unregulated private fees to access medicines for </w:t>
      </w:r>
      <w:proofErr w:type="gramStart"/>
      <w:r w:rsidRPr="00EB6AF4">
        <w:rPr>
          <w:rFonts w:cstheme="minorHAnsi"/>
          <w:b/>
          <w:iCs/>
        </w:rPr>
        <w:t>ODT</w:t>
      </w:r>
      <w:proofErr w:type="gramEnd"/>
      <w:r w:rsidR="00DD281E">
        <w:rPr>
          <w:rFonts w:cstheme="minorHAnsi"/>
          <w:b/>
          <w:iCs/>
        </w:rPr>
        <w:t xml:space="preserve"> </w:t>
      </w:r>
    </w:p>
    <w:p w14:paraId="699F600A" w14:textId="77777777" w:rsidR="00EB6AF4" w:rsidRPr="00EB6AF4" w:rsidRDefault="00EB6AF4" w:rsidP="00EB6AF4">
      <w:pPr>
        <w:pStyle w:val="ListParagraph"/>
        <w:numPr>
          <w:ilvl w:val="0"/>
          <w:numId w:val="51"/>
        </w:numPr>
        <w:rPr>
          <w:rFonts w:cstheme="minorHAnsi"/>
          <w:b/>
          <w:iCs/>
        </w:rPr>
      </w:pPr>
      <w:r w:rsidRPr="00EB6AF4">
        <w:rPr>
          <w:rFonts w:cstheme="minorHAnsi"/>
          <w:b/>
          <w:iCs/>
        </w:rPr>
        <w:t xml:space="preserve">Patients instead pay a PBS contribution amount that counts towards their Safety Net threshold when accessing treatment from a community </w:t>
      </w:r>
      <w:proofErr w:type="gramStart"/>
      <w:r w:rsidRPr="00EB6AF4">
        <w:rPr>
          <w:rFonts w:cstheme="minorHAnsi"/>
          <w:b/>
          <w:iCs/>
        </w:rPr>
        <w:t>pharmacy</w:t>
      </w:r>
      <w:proofErr w:type="gramEnd"/>
    </w:p>
    <w:p w14:paraId="22344649" w14:textId="57D4F3DE" w:rsidR="00EB6AF4" w:rsidRDefault="00EB6AF4" w:rsidP="00EB6AF4">
      <w:pPr>
        <w:pStyle w:val="ListParagraph"/>
        <w:numPr>
          <w:ilvl w:val="0"/>
          <w:numId w:val="51"/>
        </w:numPr>
        <w:rPr>
          <w:rFonts w:cstheme="minorHAnsi"/>
          <w:b/>
          <w:iCs/>
        </w:rPr>
      </w:pPr>
      <w:r w:rsidRPr="00EB6AF4">
        <w:rPr>
          <w:rFonts w:cstheme="minorHAnsi"/>
          <w:b/>
          <w:iCs/>
        </w:rPr>
        <w:t>Aligns with usual aspects of the PBS such that pharmacists dispense a prescription quantity</w:t>
      </w:r>
      <w:r w:rsidR="00EC0AC9">
        <w:rPr>
          <w:rFonts w:cstheme="minorHAnsi"/>
          <w:b/>
          <w:iCs/>
        </w:rPr>
        <w:t xml:space="preserve"> </w:t>
      </w:r>
      <w:r w:rsidRPr="00EB6AF4">
        <w:rPr>
          <w:rFonts w:cstheme="minorHAnsi"/>
          <w:b/>
          <w:iCs/>
        </w:rPr>
        <w:t xml:space="preserve">and receive remuneration for supply and managing in-pharmacy and take-away </w:t>
      </w:r>
      <w:proofErr w:type="gramStart"/>
      <w:r w:rsidRPr="00EB6AF4">
        <w:rPr>
          <w:rFonts w:cstheme="minorHAnsi"/>
          <w:b/>
          <w:iCs/>
        </w:rPr>
        <w:t>dosing</w:t>
      </w:r>
      <w:proofErr w:type="gramEnd"/>
    </w:p>
    <w:p w14:paraId="1F9C766C" w14:textId="7E552B67" w:rsidR="00DD281E" w:rsidRPr="00EB6AF4" w:rsidRDefault="00DD281E" w:rsidP="00EB6AF4">
      <w:pPr>
        <w:pStyle w:val="ListParagraph"/>
        <w:numPr>
          <w:ilvl w:val="0"/>
          <w:numId w:val="51"/>
        </w:numPr>
        <w:rPr>
          <w:rFonts w:cstheme="minorHAnsi"/>
          <w:b/>
          <w:iCs/>
        </w:rPr>
      </w:pPr>
      <w:bookmarkStart w:id="28" w:name="_Hlk129790518"/>
      <w:r>
        <w:rPr>
          <w:rFonts w:cstheme="minorHAnsi"/>
          <w:b/>
          <w:iCs/>
        </w:rPr>
        <w:t xml:space="preserve">Similar to other </w:t>
      </w:r>
      <w:r w:rsidR="007E20CC">
        <w:rPr>
          <w:rFonts w:cstheme="minorHAnsi"/>
          <w:b/>
          <w:iCs/>
        </w:rPr>
        <w:t xml:space="preserve">PBS </w:t>
      </w:r>
      <w:r>
        <w:rPr>
          <w:rFonts w:cstheme="minorHAnsi"/>
          <w:b/>
          <w:iCs/>
        </w:rPr>
        <w:t xml:space="preserve">medicines, </w:t>
      </w:r>
      <w:r w:rsidRPr="00DD281E">
        <w:rPr>
          <w:rFonts w:cstheme="minorHAnsi"/>
          <w:b/>
          <w:iCs/>
        </w:rPr>
        <w:t xml:space="preserve">pharmacists cannot seek additional payment from patients (other than PBS-related </w:t>
      </w:r>
      <w:proofErr w:type="gramStart"/>
      <w:r w:rsidRPr="00DD281E">
        <w:rPr>
          <w:rFonts w:cstheme="minorHAnsi"/>
          <w:b/>
          <w:iCs/>
        </w:rPr>
        <w:t>e.g.</w:t>
      </w:r>
      <w:proofErr w:type="gramEnd"/>
      <w:r w:rsidRPr="00DD281E">
        <w:rPr>
          <w:rFonts w:cstheme="minorHAnsi"/>
          <w:b/>
          <w:iCs/>
        </w:rPr>
        <w:t xml:space="preserve"> co-payment)</w:t>
      </w:r>
    </w:p>
    <w:bookmarkEnd w:id="28"/>
    <w:p w14:paraId="4A793284" w14:textId="77777777" w:rsidR="00EB6AF4" w:rsidRPr="00EB6AF4" w:rsidRDefault="00EB6AF4" w:rsidP="00EB6AF4">
      <w:pPr>
        <w:pStyle w:val="ListParagraph"/>
        <w:numPr>
          <w:ilvl w:val="0"/>
          <w:numId w:val="51"/>
        </w:numPr>
        <w:spacing w:after="0"/>
        <w:rPr>
          <w:rFonts w:cstheme="minorHAnsi"/>
          <w:b/>
          <w:iCs/>
        </w:rPr>
      </w:pPr>
      <w:r w:rsidRPr="00EB6AF4">
        <w:rPr>
          <w:rFonts w:cstheme="minorHAnsi"/>
          <w:b/>
          <w:iCs/>
        </w:rPr>
        <w:t xml:space="preserve">Considers improved access for First Nations people through expansion of the Closing the Gap (CTG) </w:t>
      </w:r>
      <w:proofErr w:type="gramStart"/>
      <w:r w:rsidRPr="00EB6AF4">
        <w:rPr>
          <w:rFonts w:cstheme="minorHAnsi"/>
          <w:b/>
          <w:iCs/>
        </w:rPr>
        <w:t>program</w:t>
      </w:r>
      <w:proofErr w:type="gramEnd"/>
      <w:r w:rsidRPr="00EB6AF4">
        <w:rPr>
          <w:rFonts w:cstheme="minorHAnsi"/>
          <w:b/>
          <w:iCs/>
        </w:rPr>
        <w:t xml:space="preserve"> </w:t>
      </w:r>
    </w:p>
    <w:p w14:paraId="2693BD2F" w14:textId="77777777" w:rsidR="00EB6AF4" w:rsidRPr="00EB6AF4" w:rsidRDefault="00EB6AF4" w:rsidP="00442F73">
      <w:pPr>
        <w:numPr>
          <w:ilvl w:val="0"/>
          <w:numId w:val="51"/>
        </w:numPr>
        <w:spacing w:after="0"/>
        <w:contextualSpacing/>
        <w:rPr>
          <w:rFonts w:eastAsia="Calibri" w:cs="Calibri"/>
          <w:b/>
          <w:iCs/>
        </w:rPr>
      </w:pPr>
      <w:r w:rsidRPr="00EB6AF4">
        <w:rPr>
          <w:rFonts w:cstheme="minorHAnsi"/>
          <w:b/>
          <w:iCs/>
        </w:rPr>
        <w:t xml:space="preserve">Considers continued support for ODT medicines that are supplied through non-pharmacy settings such as correctional </w:t>
      </w:r>
      <w:proofErr w:type="gramStart"/>
      <w:r w:rsidRPr="00EB6AF4">
        <w:rPr>
          <w:rFonts w:cstheme="minorHAnsi"/>
          <w:b/>
          <w:iCs/>
        </w:rPr>
        <w:t>facilities</w:t>
      </w:r>
      <w:proofErr w:type="gramEnd"/>
    </w:p>
    <w:p w14:paraId="02C383CF" w14:textId="6B6620F5" w:rsidR="00DE374A" w:rsidRPr="00EB6AF4" w:rsidRDefault="00EB6AF4" w:rsidP="00EB6AF4">
      <w:pPr>
        <w:pStyle w:val="ListParagraph"/>
        <w:numPr>
          <w:ilvl w:val="0"/>
          <w:numId w:val="51"/>
        </w:numPr>
        <w:rPr>
          <w:rFonts w:cstheme="minorHAnsi"/>
          <w:b/>
          <w:iCs/>
        </w:rPr>
      </w:pPr>
      <w:r w:rsidRPr="00EB6AF4">
        <w:rPr>
          <w:rFonts w:cstheme="minorHAnsi"/>
          <w:b/>
          <w:iCs/>
        </w:rPr>
        <w:t>Acknowledges the importance of ongoing engagement with state and territory governments.</w:t>
      </w:r>
    </w:p>
    <w:p w14:paraId="4DBEFBF7" w14:textId="27554230" w:rsidR="00035AC5" w:rsidRDefault="00035AC5">
      <w:pPr>
        <w:spacing w:after="160" w:line="259" w:lineRule="auto"/>
        <w:jc w:val="left"/>
        <w:rPr>
          <w:rFonts w:asciiTheme="minorHAnsi" w:eastAsiaTheme="majorEastAsia" w:hAnsiTheme="minorHAnsi" w:cstheme="majorBidi"/>
          <w:color w:val="1F3763" w:themeColor="accent1" w:themeShade="7F"/>
        </w:rPr>
      </w:pPr>
      <w:bookmarkStart w:id="29" w:name="_Toc121311779"/>
    </w:p>
    <w:p w14:paraId="74E512C1" w14:textId="77777777" w:rsidR="00F20873" w:rsidRDefault="00F20873">
      <w:pPr>
        <w:spacing w:after="160" w:line="259" w:lineRule="auto"/>
        <w:jc w:val="left"/>
        <w:rPr>
          <w:rFonts w:asciiTheme="minorHAnsi" w:eastAsiaTheme="majorEastAsia" w:hAnsiTheme="minorHAnsi" w:cstheme="majorBidi"/>
          <w:color w:val="1F3763" w:themeColor="accent1" w:themeShade="7F"/>
        </w:rPr>
      </w:pPr>
      <w:r>
        <w:br w:type="page"/>
      </w:r>
    </w:p>
    <w:p w14:paraId="34A61326" w14:textId="107F0B66" w:rsidR="00DE374A" w:rsidRPr="00833F8B" w:rsidRDefault="00DE374A" w:rsidP="00AD4509">
      <w:pPr>
        <w:pStyle w:val="Heading3"/>
        <w:numPr>
          <w:ilvl w:val="1"/>
          <w:numId w:val="56"/>
        </w:numPr>
      </w:pPr>
      <w:bookmarkStart w:id="30" w:name="_Toc163220810"/>
      <w:r w:rsidRPr="00833F8B">
        <w:lastRenderedPageBreak/>
        <w:t xml:space="preserve">Other </w:t>
      </w:r>
      <w:r>
        <w:t>a</w:t>
      </w:r>
      <w:r w:rsidRPr="00833F8B">
        <w:t xml:space="preserve">dvice the PBAC may wish to consider providing to </w:t>
      </w:r>
      <w:proofErr w:type="gramStart"/>
      <w:r w:rsidRPr="00833F8B">
        <w:t>Government</w:t>
      </w:r>
      <w:bookmarkEnd w:id="29"/>
      <w:bookmarkEnd w:id="30"/>
      <w:proofErr w:type="gramEnd"/>
    </w:p>
    <w:p w14:paraId="62396022" w14:textId="77777777" w:rsidR="00DE374A" w:rsidRPr="0046271C" w:rsidRDefault="00DE374A" w:rsidP="00DE374A">
      <w:pPr>
        <w:rPr>
          <w:rFonts w:cstheme="minorHAnsi"/>
        </w:rPr>
      </w:pPr>
      <w:r>
        <w:rPr>
          <w:rFonts w:cstheme="minorHAnsi"/>
        </w:rPr>
        <w:t>In addition to the primary issue of affordability (and equity of access) discussed above, the review highlights additional areas of improvement across ODT service delivery more broadly. The PBAC may also wish to consider providing advice to Government on these matters.</w:t>
      </w:r>
    </w:p>
    <w:p w14:paraId="4E29F58E" w14:textId="77777777" w:rsidR="00DE374A" w:rsidRPr="009A243D" w:rsidRDefault="00DE374A" w:rsidP="009A243D">
      <w:pPr>
        <w:pStyle w:val="Heading4"/>
      </w:pPr>
      <w:bookmarkStart w:id="31" w:name="_Hlk120542747"/>
      <w:r w:rsidRPr="009A243D">
        <w:t xml:space="preserve">Issues arising from the PMR relating to state and territory </w:t>
      </w:r>
      <w:proofErr w:type="gramStart"/>
      <w:r w:rsidRPr="009A243D">
        <w:t>policy</w:t>
      </w:r>
      <w:proofErr w:type="gramEnd"/>
    </w:p>
    <w:bookmarkEnd w:id="31"/>
    <w:p w14:paraId="4995BD72" w14:textId="77777777" w:rsidR="00752E0E" w:rsidRDefault="00752E0E" w:rsidP="00752E0E">
      <w:pPr>
        <w:rPr>
          <w:rFonts w:cstheme="minorHAnsi"/>
        </w:rPr>
      </w:pPr>
      <w:r w:rsidRPr="005A5291">
        <w:rPr>
          <w:rFonts w:eastAsia="Calibri" w:cs="Calibri"/>
        </w:rPr>
        <w:t xml:space="preserve">In addition </w:t>
      </w:r>
      <w:r w:rsidRPr="003E60D6">
        <w:rPr>
          <w:rFonts w:cstheme="minorHAnsi"/>
        </w:rPr>
        <w:t xml:space="preserve">to changes to the PBS to better support </w:t>
      </w:r>
      <w:r>
        <w:rPr>
          <w:rFonts w:cstheme="minorHAnsi"/>
        </w:rPr>
        <w:t>affordable and equitable a</w:t>
      </w:r>
      <w:r w:rsidRPr="003E60D6">
        <w:rPr>
          <w:rFonts w:cstheme="minorHAnsi"/>
        </w:rPr>
        <w:t xml:space="preserve">ccess to </w:t>
      </w:r>
      <w:r>
        <w:rPr>
          <w:rFonts w:cstheme="minorHAnsi"/>
        </w:rPr>
        <w:t xml:space="preserve">ODT </w:t>
      </w:r>
      <w:r w:rsidRPr="003E60D6">
        <w:rPr>
          <w:rFonts w:cstheme="minorHAnsi"/>
        </w:rPr>
        <w:t xml:space="preserve">medicines, </w:t>
      </w:r>
      <w:r>
        <w:rPr>
          <w:rFonts w:cstheme="minorHAnsi"/>
        </w:rPr>
        <w:t xml:space="preserve">research evidence and </w:t>
      </w:r>
      <w:r w:rsidRPr="003E60D6">
        <w:rPr>
          <w:rFonts w:cstheme="minorHAnsi"/>
        </w:rPr>
        <w:t>stakeholder</w:t>
      </w:r>
      <w:r>
        <w:rPr>
          <w:rFonts w:cstheme="minorHAnsi"/>
        </w:rPr>
        <w:t xml:space="preserve"> input are of the view </w:t>
      </w:r>
      <w:r w:rsidRPr="003E60D6">
        <w:rPr>
          <w:rFonts w:cstheme="minorHAnsi"/>
        </w:rPr>
        <w:t xml:space="preserve">improvements </w:t>
      </w:r>
      <w:r>
        <w:rPr>
          <w:rFonts w:cstheme="minorHAnsi"/>
        </w:rPr>
        <w:t xml:space="preserve">should be made </w:t>
      </w:r>
      <w:r w:rsidRPr="003E60D6">
        <w:rPr>
          <w:rFonts w:cstheme="minorHAnsi"/>
        </w:rPr>
        <w:t xml:space="preserve">in program delivery aspects that </w:t>
      </w:r>
      <w:r>
        <w:rPr>
          <w:rFonts w:cstheme="minorHAnsi"/>
        </w:rPr>
        <w:t>are managed by</w:t>
      </w:r>
      <w:r w:rsidRPr="003E60D6">
        <w:rPr>
          <w:rFonts w:cstheme="minorHAnsi"/>
        </w:rPr>
        <w:t xml:space="preserve"> state and territory government</w:t>
      </w:r>
      <w:r>
        <w:rPr>
          <w:rFonts w:cstheme="minorHAnsi"/>
        </w:rPr>
        <w:t xml:space="preserve">s </w:t>
      </w:r>
      <w:r w:rsidRPr="003E60D6">
        <w:rPr>
          <w:rFonts w:cstheme="minorHAnsi"/>
        </w:rPr>
        <w:t>i.e.:</w:t>
      </w:r>
    </w:p>
    <w:p w14:paraId="10918992" w14:textId="77777777" w:rsidR="00752E0E" w:rsidRPr="00CA09CB" w:rsidRDefault="00752E0E" w:rsidP="00752E0E">
      <w:pPr>
        <w:pStyle w:val="ListParagraph"/>
        <w:numPr>
          <w:ilvl w:val="0"/>
          <w:numId w:val="24"/>
        </w:numPr>
        <w:spacing w:after="0"/>
        <w:ind w:left="714" w:hanging="357"/>
        <w:contextualSpacing w:val="0"/>
        <w:jc w:val="left"/>
        <w:rPr>
          <w:rFonts w:cstheme="minorHAnsi"/>
        </w:rPr>
      </w:pPr>
      <w:r w:rsidRPr="00CA09CB">
        <w:rPr>
          <w:rFonts w:cstheme="minorHAnsi"/>
        </w:rPr>
        <w:t xml:space="preserve">changing </w:t>
      </w:r>
      <w:r>
        <w:rPr>
          <w:rFonts w:cstheme="minorHAnsi"/>
        </w:rPr>
        <w:t>policy</w:t>
      </w:r>
      <w:r w:rsidRPr="00CA09CB">
        <w:rPr>
          <w:rFonts w:cstheme="minorHAnsi"/>
        </w:rPr>
        <w:t xml:space="preserve"> to allow for greater access to and more flexible unsupervised dosing for stable </w:t>
      </w:r>
      <w:proofErr w:type="gramStart"/>
      <w:r>
        <w:rPr>
          <w:rFonts w:cstheme="minorHAnsi"/>
        </w:rPr>
        <w:t>consumers</w:t>
      </w:r>
      <w:proofErr w:type="gramEnd"/>
      <w:r w:rsidRPr="00CA09CB">
        <w:rPr>
          <w:rFonts w:cstheme="minorHAnsi"/>
        </w:rPr>
        <w:t xml:space="preserve"> </w:t>
      </w:r>
    </w:p>
    <w:p w14:paraId="3A5760A2" w14:textId="77777777" w:rsidR="00752E0E" w:rsidRPr="00CA09CB" w:rsidRDefault="00752E0E" w:rsidP="00752E0E">
      <w:pPr>
        <w:pStyle w:val="ListParagraph"/>
        <w:numPr>
          <w:ilvl w:val="0"/>
          <w:numId w:val="24"/>
        </w:numPr>
        <w:spacing w:after="0"/>
        <w:ind w:left="714" w:hanging="357"/>
        <w:contextualSpacing w:val="0"/>
        <w:jc w:val="left"/>
        <w:rPr>
          <w:rFonts w:cstheme="minorHAnsi"/>
        </w:rPr>
      </w:pPr>
      <w:r w:rsidRPr="00CA09CB">
        <w:rPr>
          <w:rFonts w:cstheme="minorHAnsi"/>
        </w:rPr>
        <w:t xml:space="preserve">changing </w:t>
      </w:r>
      <w:r>
        <w:rPr>
          <w:rFonts w:cstheme="minorHAnsi"/>
        </w:rPr>
        <w:t>policy</w:t>
      </w:r>
      <w:r w:rsidRPr="00CA09CB">
        <w:rPr>
          <w:rFonts w:cstheme="minorHAnsi"/>
        </w:rPr>
        <w:t xml:space="preserve"> </w:t>
      </w:r>
      <w:r>
        <w:rPr>
          <w:rFonts w:cstheme="minorHAnsi"/>
        </w:rPr>
        <w:t>to support</w:t>
      </w:r>
      <w:r w:rsidRPr="00CA09CB">
        <w:rPr>
          <w:rFonts w:cstheme="minorHAnsi"/>
        </w:rPr>
        <w:t xml:space="preserve"> consistent </w:t>
      </w:r>
      <w:r>
        <w:rPr>
          <w:rFonts w:cstheme="minorHAnsi"/>
        </w:rPr>
        <w:t xml:space="preserve">ODT </w:t>
      </w:r>
      <w:r w:rsidRPr="00CA09CB">
        <w:rPr>
          <w:rFonts w:cstheme="minorHAnsi"/>
        </w:rPr>
        <w:t xml:space="preserve">program rules across states and territories </w:t>
      </w:r>
      <w:r>
        <w:rPr>
          <w:rFonts w:cstheme="minorHAnsi"/>
        </w:rPr>
        <w:t xml:space="preserve">while maintaining and/or improving autonomy and equity of access for </w:t>
      </w:r>
      <w:proofErr w:type="gramStart"/>
      <w:r>
        <w:rPr>
          <w:rFonts w:cstheme="minorHAnsi"/>
        </w:rPr>
        <w:t>consumers</w:t>
      </w:r>
      <w:proofErr w:type="gramEnd"/>
    </w:p>
    <w:p w14:paraId="45230257" w14:textId="77777777" w:rsidR="00752E0E" w:rsidRPr="00CA09CB" w:rsidRDefault="00752E0E" w:rsidP="00752E0E">
      <w:pPr>
        <w:pStyle w:val="ListParagraph"/>
        <w:numPr>
          <w:ilvl w:val="0"/>
          <w:numId w:val="24"/>
        </w:numPr>
        <w:spacing w:after="0"/>
        <w:ind w:left="714" w:hanging="357"/>
        <w:contextualSpacing w:val="0"/>
        <w:jc w:val="left"/>
        <w:rPr>
          <w:rFonts w:cstheme="minorHAnsi"/>
        </w:rPr>
      </w:pPr>
      <w:r w:rsidRPr="00CA09CB">
        <w:rPr>
          <w:rFonts w:cstheme="minorHAnsi"/>
        </w:rPr>
        <w:t xml:space="preserve">loosening of accreditation requirements for prescribers and increasing support for the prescriber workforce </w:t>
      </w:r>
      <w:r>
        <w:rPr>
          <w:rFonts w:cstheme="minorHAnsi"/>
        </w:rPr>
        <w:t xml:space="preserve">more broadly </w:t>
      </w:r>
      <w:r w:rsidRPr="00CA09CB">
        <w:rPr>
          <w:rFonts w:cstheme="minorHAnsi"/>
        </w:rPr>
        <w:t>(</w:t>
      </w:r>
      <w:proofErr w:type="gramStart"/>
      <w:r>
        <w:rPr>
          <w:rFonts w:cstheme="minorHAnsi"/>
        </w:rPr>
        <w:t>e.g.</w:t>
      </w:r>
      <w:proofErr w:type="gramEnd"/>
      <w:r>
        <w:rPr>
          <w:rFonts w:cstheme="minorHAnsi"/>
        </w:rPr>
        <w:t xml:space="preserve"> to encourage the participation of </w:t>
      </w:r>
      <w:r w:rsidRPr="00CA09CB">
        <w:rPr>
          <w:rFonts w:cstheme="minorHAnsi"/>
        </w:rPr>
        <w:t>GPs/</w:t>
      </w:r>
      <w:r>
        <w:rPr>
          <w:rFonts w:cstheme="minorHAnsi"/>
        </w:rPr>
        <w:t>nurse practitioners/</w:t>
      </w:r>
      <w:r w:rsidRPr="00CA09CB">
        <w:rPr>
          <w:rFonts w:cstheme="minorHAnsi"/>
        </w:rPr>
        <w:t xml:space="preserve">nurses) with more proactive triage of </w:t>
      </w:r>
      <w:r>
        <w:rPr>
          <w:rFonts w:cstheme="minorHAnsi"/>
        </w:rPr>
        <w:t>initiating/</w:t>
      </w:r>
      <w:r w:rsidRPr="00CA09CB">
        <w:rPr>
          <w:rFonts w:cstheme="minorHAnsi"/>
        </w:rPr>
        <w:t xml:space="preserve">complex vs stable </w:t>
      </w:r>
      <w:r>
        <w:rPr>
          <w:rFonts w:cstheme="minorHAnsi"/>
        </w:rPr>
        <w:t>consumers</w:t>
      </w:r>
      <w:r w:rsidRPr="00CA09CB">
        <w:rPr>
          <w:rFonts w:cstheme="minorHAnsi"/>
        </w:rPr>
        <w:t>, case management support and assistance with facilitating referral pathways for social/mental health workers and other support services (e.g., housing)</w:t>
      </w:r>
    </w:p>
    <w:p w14:paraId="6B1D9520" w14:textId="77777777" w:rsidR="00752E0E" w:rsidRDefault="00752E0E" w:rsidP="00752E0E">
      <w:pPr>
        <w:pStyle w:val="ListParagraph"/>
        <w:numPr>
          <w:ilvl w:val="0"/>
          <w:numId w:val="24"/>
        </w:numPr>
        <w:spacing w:after="0"/>
        <w:ind w:left="714" w:hanging="357"/>
        <w:contextualSpacing w:val="0"/>
        <w:jc w:val="left"/>
        <w:rPr>
          <w:rFonts w:cstheme="minorHAnsi"/>
        </w:rPr>
      </w:pPr>
      <w:r>
        <w:rPr>
          <w:rFonts w:cstheme="minorHAnsi"/>
        </w:rPr>
        <w:t>encourage participation of community pharmacies in ODT programs</w:t>
      </w:r>
    </w:p>
    <w:p w14:paraId="68EEDE70" w14:textId="77777777" w:rsidR="00752E0E" w:rsidRPr="00CA09CB" w:rsidRDefault="00752E0E" w:rsidP="00752E0E">
      <w:pPr>
        <w:pStyle w:val="ListParagraph"/>
        <w:numPr>
          <w:ilvl w:val="0"/>
          <w:numId w:val="24"/>
        </w:numPr>
        <w:spacing w:after="0"/>
        <w:ind w:left="714" w:hanging="357"/>
        <w:contextualSpacing w:val="0"/>
        <w:jc w:val="left"/>
        <w:rPr>
          <w:rFonts w:cstheme="minorHAnsi"/>
        </w:rPr>
      </w:pPr>
      <w:r w:rsidRPr="00CA09CB">
        <w:rPr>
          <w:rFonts w:cstheme="minorHAnsi"/>
        </w:rPr>
        <w:t xml:space="preserve">investment in </w:t>
      </w:r>
      <w:r w:rsidRPr="00143ABB">
        <w:rPr>
          <w:rFonts w:cstheme="minorHAnsi"/>
          <w:bCs/>
          <w:iCs/>
        </w:rPr>
        <w:t xml:space="preserve">ongoing </w:t>
      </w:r>
      <w:r>
        <w:rPr>
          <w:rFonts w:cstheme="minorHAnsi"/>
          <w:bCs/>
          <w:iCs/>
        </w:rPr>
        <w:t>jurisdictional</w:t>
      </w:r>
      <w:r w:rsidRPr="00143ABB">
        <w:rPr>
          <w:rFonts w:cstheme="minorHAnsi"/>
          <w:bCs/>
          <w:iCs/>
        </w:rPr>
        <w:t xml:space="preserve"> treatment option</w:t>
      </w:r>
      <w:r>
        <w:rPr>
          <w:rFonts w:cstheme="minorHAnsi"/>
          <w:bCs/>
          <w:iCs/>
        </w:rPr>
        <w:t>s (</w:t>
      </w:r>
      <w:proofErr w:type="gramStart"/>
      <w:r>
        <w:rPr>
          <w:rFonts w:cstheme="minorHAnsi"/>
          <w:bCs/>
          <w:iCs/>
        </w:rPr>
        <w:t>e.g.</w:t>
      </w:r>
      <w:proofErr w:type="gramEnd"/>
      <w:r>
        <w:rPr>
          <w:rFonts w:cstheme="minorHAnsi"/>
          <w:bCs/>
          <w:iCs/>
        </w:rPr>
        <w:t xml:space="preserve"> public clinics)</w:t>
      </w:r>
      <w:r w:rsidRPr="00CA09CB">
        <w:rPr>
          <w:rFonts w:cstheme="minorHAnsi"/>
        </w:rPr>
        <w:t xml:space="preserve">, </w:t>
      </w:r>
      <w:r>
        <w:rPr>
          <w:rFonts w:cstheme="minorHAnsi"/>
        </w:rPr>
        <w:t xml:space="preserve">to provide additional choices </w:t>
      </w:r>
      <w:r w:rsidRPr="00CA09CB">
        <w:rPr>
          <w:rFonts w:cstheme="minorHAnsi"/>
        </w:rPr>
        <w:t>for patients</w:t>
      </w:r>
      <w:r>
        <w:rPr>
          <w:rFonts w:cstheme="minorHAnsi"/>
        </w:rPr>
        <w:t>, particularly those</w:t>
      </w:r>
      <w:r w:rsidRPr="00CA09CB">
        <w:rPr>
          <w:rFonts w:cstheme="minorHAnsi"/>
        </w:rPr>
        <w:t xml:space="preserve"> </w:t>
      </w:r>
      <w:r>
        <w:rPr>
          <w:rFonts w:cstheme="minorHAnsi"/>
        </w:rPr>
        <w:t xml:space="preserve">initiating treatment and/or patients </w:t>
      </w:r>
      <w:r w:rsidRPr="00CA09CB">
        <w:rPr>
          <w:rFonts w:cstheme="minorHAnsi"/>
        </w:rPr>
        <w:t xml:space="preserve">with more </w:t>
      </w:r>
      <w:r>
        <w:rPr>
          <w:rFonts w:cstheme="minorHAnsi"/>
        </w:rPr>
        <w:t>specific</w:t>
      </w:r>
      <w:r w:rsidRPr="00CA09CB">
        <w:rPr>
          <w:rFonts w:cstheme="minorHAnsi"/>
        </w:rPr>
        <w:t xml:space="preserve"> and complex needs</w:t>
      </w:r>
      <w:r>
        <w:rPr>
          <w:rFonts w:cstheme="minorHAnsi"/>
        </w:rPr>
        <w:t>,</w:t>
      </w:r>
      <w:r w:rsidRPr="00CA09CB">
        <w:rPr>
          <w:rFonts w:cstheme="minorHAnsi"/>
        </w:rPr>
        <w:t xml:space="preserve"> </w:t>
      </w:r>
      <w:r>
        <w:rPr>
          <w:rFonts w:cstheme="minorHAnsi"/>
        </w:rPr>
        <w:t>who may benefit from jurisdictional support</w:t>
      </w:r>
      <w:r w:rsidRPr="00CA09CB">
        <w:rPr>
          <w:rFonts w:cstheme="minorHAnsi"/>
        </w:rPr>
        <w:t xml:space="preserve">  </w:t>
      </w:r>
    </w:p>
    <w:p w14:paraId="2ED86B98" w14:textId="77777777" w:rsidR="00752E0E" w:rsidRDefault="00752E0E" w:rsidP="00752E0E">
      <w:pPr>
        <w:pStyle w:val="ListParagraph"/>
        <w:numPr>
          <w:ilvl w:val="0"/>
          <w:numId w:val="24"/>
        </w:numPr>
        <w:spacing w:after="0"/>
        <w:ind w:left="714" w:hanging="357"/>
        <w:contextualSpacing w:val="0"/>
        <w:jc w:val="left"/>
        <w:rPr>
          <w:rFonts w:cstheme="minorHAnsi"/>
        </w:rPr>
      </w:pPr>
      <w:r w:rsidRPr="00CA09CB">
        <w:rPr>
          <w:rFonts w:cstheme="minorHAnsi"/>
        </w:rPr>
        <w:t xml:space="preserve">more effective care coordination and management of continuity of access to ODT </w:t>
      </w:r>
      <w:r>
        <w:rPr>
          <w:rFonts w:cstheme="minorHAnsi"/>
        </w:rPr>
        <w:t>medicines</w:t>
      </w:r>
      <w:r w:rsidRPr="00CA09CB">
        <w:rPr>
          <w:rFonts w:cstheme="minorHAnsi"/>
        </w:rPr>
        <w:t xml:space="preserve"> for patients when transferring from custody to community settings, when travelling interstate and between care settings (i.e., hospital and community)</w:t>
      </w:r>
    </w:p>
    <w:p w14:paraId="3FA47831" w14:textId="43B9B3D8" w:rsidR="00752E0E" w:rsidRPr="00CA09CB" w:rsidRDefault="00752E0E" w:rsidP="00752E0E">
      <w:pPr>
        <w:pStyle w:val="ListParagraph"/>
        <w:numPr>
          <w:ilvl w:val="0"/>
          <w:numId w:val="24"/>
        </w:numPr>
        <w:spacing w:after="0"/>
        <w:ind w:left="714" w:hanging="357"/>
        <w:contextualSpacing w:val="0"/>
        <w:jc w:val="left"/>
        <w:rPr>
          <w:rFonts w:cstheme="minorHAnsi"/>
        </w:rPr>
      </w:pPr>
      <w:r w:rsidRPr="00CA09CB">
        <w:rPr>
          <w:rFonts w:cstheme="minorHAnsi"/>
        </w:rPr>
        <w:t xml:space="preserve">improved access to culturally safe ODT for First </w:t>
      </w:r>
      <w:r w:rsidR="000E0A19" w:rsidRPr="00CA09CB">
        <w:rPr>
          <w:rFonts w:cstheme="minorHAnsi"/>
        </w:rPr>
        <w:t>Nation</w:t>
      </w:r>
      <w:r w:rsidR="000E0A19">
        <w:rPr>
          <w:rFonts w:cstheme="minorHAnsi"/>
        </w:rPr>
        <w:t>s</w:t>
      </w:r>
      <w:r w:rsidR="000E0A19" w:rsidRPr="00CA09CB">
        <w:rPr>
          <w:rFonts w:cstheme="minorHAnsi"/>
        </w:rPr>
        <w:t xml:space="preserve"> </w:t>
      </w:r>
      <w:r w:rsidR="000E0A19">
        <w:rPr>
          <w:rFonts w:cstheme="minorHAnsi"/>
        </w:rPr>
        <w:t>people</w:t>
      </w:r>
      <w:r w:rsidR="000E0A19" w:rsidRPr="00CA09CB">
        <w:rPr>
          <w:rFonts w:cstheme="minorHAnsi"/>
        </w:rPr>
        <w:t xml:space="preserve"> </w:t>
      </w:r>
      <w:r w:rsidRPr="00CA09CB">
        <w:rPr>
          <w:rFonts w:cstheme="minorHAnsi"/>
        </w:rPr>
        <w:t xml:space="preserve">through </w:t>
      </w:r>
      <w:r>
        <w:rPr>
          <w:rFonts w:cstheme="minorHAnsi"/>
        </w:rPr>
        <w:t xml:space="preserve">ACCHOs, including within custodial </w:t>
      </w:r>
      <w:proofErr w:type="gramStart"/>
      <w:r>
        <w:rPr>
          <w:rFonts w:cstheme="minorHAnsi"/>
        </w:rPr>
        <w:t>settings</w:t>
      </w:r>
      <w:proofErr w:type="gramEnd"/>
    </w:p>
    <w:p w14:paraId="23A3BEB4" w14:textId="0B37D482" w:rsidR="00752E0E" w:rsidRPr="0082225F" w:rsidRDefault="00752E0E" w:rsidP="00752E0E">
      <w:pPr>
        <w:pStyle w:val="ListParagraph"/>
        <w:numPr>
          <w:ilvl w:val="0"/>
          <w:numId w:val="24"/>
        </w:numPr>
        <w:ind w:left="714" w:hanging="357"/>
        <w:contextualSpacing w:val="0"/>
        <w:jc w:val="left"/>
        <w:rPr>
          <w:rFonts w:cs="Calibri"/>
        </w:rPr>
      </w:pPr>
      <w:r>
        <w:rPr>
          <w:rFonts w:cstheme="minorHAnsi"/>
        </w:rPr>
        <w:t>i</w:t>
      </w:r>
      <w:r w:rsidRPr="00EA3458">
        <w:rPr>
          <w:rFonts w:cstheme="minorHAnsi"/>
        </w:rPr>
        <w:t>mproved ODT</w:t>
      </w:r>
      <w:r>
        <w:rPr>
          <w:rFonts w:cstheme="minorHAnsi"/>
        </w:rPr>
        <w:t xml:space="preserve"> </w:t>
      </w:r>
      <w:r w:rsidRPr="00EA3458">
        <w:rPr>
          <w:rFonts w:cstheme="minorHAnsi"/>
        </w:rPr>
        <w:t xml:space="preserve">data collection – i.e., </w:t>
      </w:r>
      <w:r>
        <w:rPr>
          <w:rFonts w:cstheme="minorHAnsi"/>
        </w:rPr>
        <w:t xml:space="preserve">improved reporting and categorisations of medicines for </w:t>
      </w:r>
      <w:r w:rsidRPr="00EA3458">
        <w:rPr>
          <w:rFonts w:cstheme="minorHAnsi"/>
        </w:rPr>
        <w:t xml:space="preserve">the </w:t>
      </w:r>
      <w:r w:rsidR="00D55C28" w:rsidRPr="00D55C28">
        <w:rPr>
          <w:rFonts w:cstheme="minorHAnsi"/>
        </w:rPr>
        <w:t xml:space="preserve">National Opioid Pharmacotherapy Statistics Annual Data </w:t>
      </w:r>
      <w:r w:rsidR="00D55C28">
        <w:rPr>
          <w:rFonts w:cstheme="minorHAnsi"/>
        </w:rPr>
        <w:t>(</w:t>
      </w:r>
      <w:r>
        <w:rPr>
          <w:rFonts w:cstheme="minorHAnsi"/>
        </w:rPr>
        <w:t>NOPSAD</w:t>
      </w:r>
      <w:r w:rsidR="00D55C28">
        <w:rPr>
          <w:rFonts w:cstheme="minorHAnsi"/>
        </w:rPr>
        <w:t>)</w:t>
      </w:r>
      <w:r>
        <w:rPr>
          <w:rFonts w:cstheme="minorHAnsi"/>
        </w:rPr>
        <w:t xml:space="preserve"> </w:t>
      </w:r>
      <w:r w:rsidRPr="00EA3458">
        <w:rPr>
          <w:rFonts w:cstheme="minorHAnsi"/>
        </w:rPr>
        <w:t>collection</w:t>
      </w:r>
      <w:r w:rsidRPr="00E54AF7">
        <w:rPr>
          <w:rFonts w:cs="Calibri"/>
        </w:rPr>
        <w:t xml:space="preserve">. </w:t>
      </w:r>
    </w:p>
    <w:p w14:paraId="5BD7BD21" w14:textId="77777777" w:rsidR="00752E0E" w:rsidRDefault="00752E0E" w:rsidP="00752E0E">
      <w:pPr>
        <w:spacing w:before="40"/>
        <w:rPr>
          <w:rFonts w:cstheme="minorHAnsi"/>
        </w:rPr>
      </w:pPr>
      <w:r>
        <w:rPr>
          <w:rFonts w:cstheme="minorHAnsi"/>
        </w:rPr>
        <w:t>Stakeholders acknowledge solving for these matters will likely require collaborative engagement across different levels of government and have provided their views on possible solutions presented within the report to inform future discussions. Holistic reform of ODT will require t</w:t>
      </w:r>
      <w:r w:rsidRPr="004E70C0">
        <w:rPr>
          <w:rFonts w:cstheme="minorHAnsi"/>
        </w:rPr>
        <w:t xml:space="preserve">he Commonwealth </w:t>
      </w:r>
      <w:r>
        <w:rPr>
          <w:rFonts w:cstheme="minorHAnsi"/>
        </w:rPr>
        <w:t xml:space="preserve">and state and territory governments to work together </w:t>
      </w:r>
      <w:r w:rsidRPr="004E70C0">
        <w:rPr>
          <w:rFonts w:cstheme="minorHAnsi"/>
        </w:rPr>
        <w:t xml:space="preserve">on strategies to best support people with opioid dependence </w:t>
      </w:r>
      <w:r>
        <w:rPr>
          <w:rFonts w:cstheme="minorHAnsi"/>
        </w:rPr>
        <w:t xml:space="preserve">to </w:t>
      </w:r>
      <w:r w:rsidRPr="004E70C0">
        <w:rPr>
          <w:rFonts w:cstheme="minorHAnsi"/>
        </w:rPr>
        <w:t xml:space="preserve">access </w:t>
      </w:r>
      <w:r>
        <w:rPr>
          <w:rFonts w:cstheme="minorHAnsi"/>
        </w:rPr>
        <w:t xml:space="preserve">equitable and </w:t>
      </w:r>
      <w:r w:rsidRPr="004E70C0">
        <w:rPr>
          <w:rFonts w:cstheme="minorHAnsi"/>
        </w:rPr>
        <w:t>affordable treatment services</w:t>
      </w:r>
      <w:r>
        <w:rPr>
          <w:rFonts w:cstheme="minorHAnsi"/>
        </w:rPr>
        <w:t xml:space="preserve"> when required</w:t>
      </w:r>
      <w:r w:rsidRPr="004E70C0">
        <w:rPr>
          <w:rFonts w:cstheme="minorHAnsi"/>
        </w:rPr>
        <w:t xml:space="preserve">, of which </w:t>
      </w:r>
      <w:r>
        <w:rPr>
          <w:rFonts w:cstheme="minorHAnsi"/>
        </w:rPr>
        <w:t>ODT medicines are</w:t>
      </w:r>
      <w:r w:rsidRPr="004E70C0">
        <w:rPr>
          <w:rFonts w:cstheme="minorHAnsi"/>
        </w:rPr>
        <w:t xml:space="preserve"> an important, but </w:t>
      </w:r>
      <w:r>
        <w:rPr>
          <w:rFonts w:cstheme="minorHAnsi"/>
        </w:rPr>
        <w:t>not</w:t>
      </w:r>
      <w:r w:rsidRPr="004E70C0">
        <w:rPr>
          <w:rFonts w:cstheme="minorHAnsi"/>
        </w:rPr>
        <w:t xml:space="preserve"> </w:t>
      </w:r>
      <w:r>
        <w:rPr>
          <w:rFonts w:cstheme="minorHAnsi"/>
        </w:rPr>
        <w:t>necessarily the sole</w:t>
      </w:r>
      <w:r w:rsidRPr="004E70C0">
        <w:rPr>
          <w:rFonts w:cstheme="minorHAnsi"/>
        </w:rPr>
        <w:t xml:space="preserve">, element. </w:t>
      </w:r>
    </w:p>
    <w:p w14:paraId="22E1ACDB" w14:textId="7E7F8E99" w:rsidR="00DE374A" w:rsidRPr="008E07DF" w:rsidRDefault="00752E0E" w:rsidP="00752E0E">
      <w:pPr>
        <w:spacing w:before="40"/>
        <w:rPr>
          <w:rFonts w:cstheme="minorHAnsi"/>
          <w:b/>
          <w:bCs/>
        </w:rPr>
      </w:pPr>
      <w:r w:rsidRPr="008E07DF">
        <w:rPr>
          <w:rFonts w:cstheme="minorHAnsi"/>
          <w:b/>
          <w:bCs/>
        </w:rPr>
        <w:t xml:space="preserve">The PBAC may wish to </w:t>
      </w:r>
      <w:r w:rsidRPr="00AE0EDB">
        <w:rPr>
          <w:rFonts w:cstheme="minorHAnsi"/>
          <w:b/>
          <w:bCs/>
        </w:rPr>
        <w:t xml:space="preserve">respond to matters relating to the varying nature and models of service delivery used to provide ODT, jurisdictional dosing policies and access to treatment through jurisdictional </w:t>
      </w:r>
      <w:r>
        <w:rPr>
          <w:rFonts w:cstheme="minorHAnsi"/>
          <w:b/>
          <w:bCs/>
        </w:rPr>
        <w:t xml:space="preserve">public </w:t>
      </w:r>
      <w:r w:rsidRPr="00AE0EDB">
        <w:rPr>
          <w:rFonts w:cstheme="minorHAnsi"/>
          <w:b/>
          <w:bCs/>
        </w:rPr>
        <w:t>treatment options with advice to Government</w:t>
      </w:r>
      <w:r w:rsidRPr="008E07DF">
        <w:rPr>
          <w:rFonts w:cstheme="minorHAnsi"/>
          <w:b/>
          <w:bCs/>
        </w:rPr>
        <w:t xml:space="preserve"> to progress </w:t>
      </w:r>
      <w:r>
        <w:rPr>
          <w:rFonts w:cstheme="minorHAnsi"/>
          <w:b/>
          <w:bCs/>
        </w:rPr>
        <w:t xml:space="preserve">discussions </w:t>
      </w:r>
      <w:r w:rsidRPr="008E07DF">
        <w:rPr>
          <w:rFonts w:cstheme="minorHAnsi"/>
          <w:b/>
          <w:bCs/>
        </w:rPr>
        <w:t>with state and territory governments</w:t>
      </w:r>
      <w:r w:rsidR="00DE374A" w:rsidRPr="008E07DF">
        <w:rPr>
          <w:rFonts w:cstheme="minorHAnsi"/>
          <w:b/>
          <w:bCs/>
        </w:rPr>
        <w:t xml:space="preserve">. </w:t>
      </w:r>
    </w:p>
    <w:p w14:paraId="46B11796" w14:textId="77777777" w:rsidR="00DE374A" w:rsidRPr="008601B9" w:rsidRDefault="00DE374A" w:rsidP="008601B9">
      <w:pPr>
        <w:pStyle w:val="Heading4"/>
      </w:pPr>
      <w:r w:rsidRPr="008601B9">
        <w:lastRenderedPageBreak/>
        <w:t xml:space="preserve">Update of opioid dependence treatment guidelines </w:t>
      </w:r>
    </w:p>
    <w:p w14:paraId="35AE58AF" w14:textId="77777777" w:rsidR="00752E0E" w:rsidRPr="005A5291" w:rsidRDefault="00752E0E" w:rsidP="00752E0E">
      <w:pPr>
        <w:rPr>
          <w:rFonts w:eastAsia="Calibri"/>
        </w:rPr>
      </w:pPr>
      <w:r w:rsidRPr="005A5291">
        <w:rPr>
          <w:rFonts w:eastAsia="Calibri" w:cs="Calibri"/>
        </w:rPr>
        <w:t>There is no formal partnership agreement between the Commonwealth and jurisdictions for opioid dependence treatment. Each state and territory government manages individual treatment programs which are reflected in jurisdictional clinical and policy guidance documents. Complimentary to jurisdictional regulatory, policy and governance frameworks for opioid dependence treatment are national guidelines intended to assist decision makers across various Australian jurisdictions in establishing a consistent framework for opioid dependence treatment</w:t>
      </w:r>
      <w:r w:rsidRPr="005A5291">
        <w:rPr>
          <w:rFonts w:eastAsia="Calibri"/>
        </w:rPr>
        <w:t xml:space="preserve">. </w:t>
      </w:r>
    </w:p>
    <w:p w14:paraId="7C8D02F1" w14:textId="77777777" w:rsidR="00752E0E" w:rsidRPr="005A5291" w:rsidRDefault="00752E0E" w:rsidP="00752E0E">
      <w:pPr>
        <w:rPr>
          <w:rFonts w:eastAsia="Calibri" w:cs="Calibri"/>
        </w:rPr>
      </w:pPr>
      <w:bookmarkStart w:id="32" w:name="_Hlk120542790"/>
      <w:r w:rsidRPr="005A5291">
        <w:rPr>
          <w:rFonts w:eastAsia="Calibri" w:cs="Calibri"/>
        </w:rPr>
        <w:t>Through the PMR, stakeholders and members of the review Reference Group have emphasised the importance of updating these guidelines to reflect current treatment pathways, standards, and practice.</w:t>
      </w:r>
      <w:bookmarkEnd w:id="32"/>
      <w:r w:rsidRPr="005A5291">
        <w:rPr>
          <w:rFonts w:eastAsia="Calibri" w:cs="Calibri"/>
        </w:rPr>
        <w:t xml:space="preserve"> Published in 2014, there is a significant gap in the National Guidelines as they do not include clinical guidance for LAIB. During the COVID-19 pandemic changes were made to the delivery of ODT programs at a jurisdictional level, particularly regarding takeaways and as such this section of the guidelines warrants specific review. </w:t>
      </w:r>
    </w:p>
    <w:p w14:paraId="279695CF" w14:textId="48B6E1CB" w:rsidR="00DE374A" w:rsidRDefault="00752E0E" w:rsidP="00752E0E">
      <w:pPr>
        <w:rPr>
          <w:rFonts w:cstheme="minorHAnsi"/>
          <w:b/>
          <w:bCs/>
        </w:rPr>
      </w:pPr>
      <w:r w:rsidRPr="005A5291">
        <w:rPr>
          <w:rFonts w:eastAsia="Calibri" w:cs="Calibri"/>
          <w:b/>
          <w:bCs/>
        </w:rPr>
        <w:t>The PBAC may wish to endorse an update of the overarching National Guidelines to reflect current evidence regarding pathways of care and service delivery of ODT, including for LAIB</w:t>
      </w:r>
      <w:r w:rsidR="00DE374A" w:rsidRPr="008E07DF">
        <w:rPr>
          <w:rFonts w:cstheme="minorHAnsi"/>
          <w:b/>
          <w:bCs/>
        </w:rPr>
        <w:t xml:space="preserve">.  </w:t>
      </w:r>
    </w:p>
    <w:p w14:paraId="56FE001D" w14:textId="77777777" w:rsidR="00DE374A" w:rsidRPr="008601B9" w:rsidRDefault="00DE374A" w:rsidP="008601B9">
      <w:pPr>
        <w:pStyle w:val="Heading4"/>
      </w:pPr>
      <w:bookmarkStart w:id="33" w:name="_Hlk120543054"/>
      <w:r w:rsidRPr="008601B9">
        <w:t>Prescriber workforce issues</w:t>
      </w:r>
    </w:p>
    <w:bookmarkEnd w:id="33"/>
    <w:p w14:paraId="2F41839F" w14:textId="77777777" w:rsidR="00752E0E" w:rsidRDefault="00752E0E" w:rsidP="00752E0E">
      <w:pPr>
        <w:rPr>
          <w:rFonts w:cstheme="minorHAnsi"/>
        </w:rPr>
      </w:pPr>
      <w:r w:rsidRPr="005A5291">
        <w:rPr>
          <w:rFonts w:eastAsia="Calibri" w:cs="Calibri"/>
        </w:rPr>
        <w:t xml:space="preserve">Throughout </w:t>
      </w:r>
      <w:r>
        <w:rPr>
          <w:rFonts w:cstheme="minorHAnsi"/>
        </w:rPr>
        <w:t xml:space="preserve">the review research evidence, stakeholder input and Reference Group members have identified that there is a </w:t>
      </w:r>
      <w:r w:rsidRPr="003E60D6">
        <w:rPr>
          <w:rFonts w:cstheme="minorHAnsi"/>
        </w:rPr>
        <w:t xml:space="preserve">shortage of prescribers </w:t>
      </w:r>
      <w:r>
        <w:rPr>
          <w:rFonts w:cstheme="minorHAnsi"/>
        </w:rPr>
        <w:t>wh</w:t>
      </w:r>
      <w:r w:rsidRPr="003E60D6">
        <w:rPr>
          <w:rFonts w:cstheme="minorHAnsi"/>
        </w:rPr>
        <w:t>o participate in ODT programs, particularly in regional and remote areas</w:t>
      </w:r>
      <w:r>
        <w:rPr>
          <w:rFonts w:cstheme="minorHAnsi"/>
        </w:rPr>
        <w:t>. This</w:t>
      </w:r>
      <w:r w:rsidRPr="003E60D6">
        <w:rPr>
          <w:rFonts w:cstheme="minorHAnsi"/>
        </w:rPr>
        <w:t xml:space="preserve"> negatively impacts access to </w:t>
      </w:r>
      <w:r>
        <w:rPr>
          <w:rFonts w:cstheme="minorHAnsi"/>
        </w:rPr>
        <w:t>ODT medicines, additional support</w:t>
      </w:r>
      <w:r w:rsidRPr="003E60D6">
        <w:rPr>
          <w:rFonts w:cstheme="minorHAnsi"/>
        </w:rPr>
        <w:t xml:space="preserve"> and further</w:t>
      </w:r>
      <w:r>
        <w:rPr>
          <w:rFonts w:cstheme="minorHAnsi"/>
        </w:rPr>
        <w:t xml:space="preserve"> </w:t>
      </w:r>
      <w:r w:rsidRPr="003E60D6">
        <w:rPr>
          <w:rFonts w:cstheme="minorHAnsi"/>
        </w:rPr>
        <w:t>contribute</w:t>
      </w:r>
      <w:r>
        <w:rPr>
          <w:rFonts w:cstheme="minorHAnsi"/>
        </w:rPr>
        <w:t>s</w:t>
      </w:r>
      <w:r w:rsidRPr="003E60D6">
        <w:rPr>
          <w:rFonts w:cstheme="minorHAnsi"/>
        </w:rPr>
        <w:t xml:space="preserve"> to stigmatisation</w:t>
      </w:r>
      <w:r>
        <w:rPr>
          <w:rFonts w:cstheme="minorHAnsi"/>
        </w:rPr>
        <w:t xml:space="preserve"> of people with opioid dependence</w:t>
      </w:r>
      <w:r w:rsidRPr="003E60D6">
        <w:rPr>
          <w:rFonts w:cstheme="minorHAnsi"/>
        </w:rPr>
        <w:t>, and the financial impacts of accessing ODT for clients. The review identified recruitment and retention of GPs as a primary barrier to access and suggest</w:t>
      </w:r>
      <w:r>
        <w:rPr>
          <w:rFonts w:cstheme="minorHAnsi"/>
        </w:rPr>
        <w:t>s</w:t>
      </w:r>
      <w:r w:rsidRPr="003E60D6">
        <w:rPr>
          <w:rFonts w:cstheme="minorHAnsi"/>
        </w:rPr>
        <w:t xml:space="preserve"> there needs to be innovative solutions</w:t>
      </w:r>
      <w:r>
        <w:rPr>
          <w:rFonts w:cstheme="minorHAnsi"/>
        </w:rPr>
        <w:t xml:space="preserve"> that include</w:t>
      </w:r>
      <w:r w:rsidRPr="003E60D6">
        <w:rPr>
          <w:rFonts w:cstheme="minorHAnsi"/>
        </w:rPr>
        <w:t xml:space="preserve"> greater use of </w:t>
      </w:r>
      <w:r>
        <w:rPr>
          <w:rFonts w:cstheme="minorHAnsi"/>
        </w:rPr>
        <w:t xml:space="preserve">Medicare Benefits Schedule (MBS) </w:t>
      </w:r>
      <w:r w:rsidRPr="003E60D6">
        <w:rPr>
          <w:rFonts w:cstheme="minorHAnsi"/>
        </w:rPr>
        <w:t>telehealth</w:t>
      </w:r>
      <w:r>
        <w:rPr>
          <w:rFonts w:cstheme="minorHAnsi"/>
        </w:rPr>
        <w:t xml:space="preserve"> items</w:t>
      </w:r>
      <w:r w:rsidRPr="003E60D6">
        <w:rPr>
          <w:rFonts w:cstheme="minorHAnsi"/>
        </w:rPr>
        <w:t>, case management support</w:t>
      </w:r>
      <w:r>
        <w:rPr>
          <w:rFonts w:cstheme="minorHAnsi"/>
        </w:rPr>
        <w:t xml:space="preserve">, assessable and ongoing undergraduate and postgraduate </w:t>
      </w:r>
      <w:r w:rsidRPr="003E60D6">
        <w:rPr>
          <w:rFonts w:cstheme="minorHAnsi"/>
        </w:rPr>
        <w:t>training</w:t>
      </w:r>
      <w:r>
        <w:rPr>
          <w:rFonts w:cstheme="minorHAnsi"/>
        </w:rPr>
        <w:t xml:space="preserve"> (for all health professionals) as well as jurisdictional level solutions. </w:t>
      </w:r>
    </w:p>
    <w:p w14:paraId="7F6336A9" w14:textId="77777777" w:rsidR="00752E0E" w:rsidRDefault="00752E0E" w:rsidP="00752E0E">
      <w:pPr>
        <w:rPr>
          <w:rFonts w:cstheme="minorHAnsi"/>
        </w:rPr>
      </w:pPr>
      <w:r>
        <w:rPr>
          <w:rFonts w:cstheme="minorHAnsi"/>
        </w:rPr>
        <w:t xml:space="preserve">Stakeholders are of a view that support to encourage increased participation and retention of addiction specialists, GPs and in particular nurse practitioners is critical to ODT at both a Commonwealth and jurisdictional level and could consider funding and/or incentive payments that acknowledge the case complexity of many ODT patients, with one option possibly being MBS items that </w:t>
      </w:r>
      <w:proofErr w:type="gramStart"/>
      <w:r>
        <w:rPr>
          <w:rFonts w:cstheme="minorHAnsi"/>
        </w:rPr>
        <w:t>give specific consideration to</w:t>
      </w:r>
      <w:proofErr w:type="gramEnd"/>
      <w:r>
        <w:rPr>
          <w:rFonts w:cstheme="minorHAnsi"/>
        </w:rPr>
        <w:t xml:space="preserve"> supporting ODT patients and their prescribers. </w:t>
      </w:r>
    </w:p>
    <w:p w14:paraId="1C34F1AD" w14:textId="77777777" w:rsidR="00752E0E" w:rsidRDefault="00752E0E" w:rsidP="00752E0E">
      <w:pPr>
        <w:rPr>
          <w:rFonts w:cstheme="minorHAnsi"/>
        </w:rPr>
      </w:pPr>
      <w:r>
        <w:rPr>
          <w:rFonts w:cstheme="minorHAnsi"/>
        </w:rPr>
        <w:t>Currently, to</w:t>
      </w:r>
      <w:r w:rsidRPr="006D336F">
        <w:rPr>
          <w:rFonts w:cstheme="minorHAnsi"/>
        </w:rPr>
        <w:t xml:space="preserve"> support services to patients, there are several service items and payment available under the MBS which include time-tiered general attendance</w:t>
      </w:r>
      <w:r>
        <w:rPr>
          <w:rFonts w:cstheme="minorHAnsi"/>
        </w:rPr>
        <w:t xml:space="preserve"> items with general practitioners</w:t>
      </w:r>
      <w:r w:rsidRPr="006D336F">
        <w:rPr>
          <w:rFonts w:cstheme="minorHAnsi"/>
        </w:rPr>
        <w:t>, addiction medicine</w:t>
      </w:r>
      <w:r>
        <w:rPr>
          <w:rFonts w:cstheme="minorHAnsi"/>
        </w:rPr>
        <w:t xml:space="preserve"> specialist attendance items (for assessment and treatment) as well as </w:t>
      </w:r>
      <w:r w:rsidRPr="006D336F">
        <w:rPr>
          <w:rFonts w:cstheme="minorHAnsi"/>
        </w:rPr>
        <w:t>chronic disease management an</w:t>
      </w:r>
      <w:r w:rsidRPr="0040351E">
        <w:rPr>
          <w:rFonts w:cstheme="minorHAnsi"/>
        </w:rPr>
        <w:t>d mental health items. Noting the Strengthening Medicare Taskforce currently underway, consideration</w:t>
      </w:r>
      <w:r>
        <w:rPr>
          <w:rFonts w:cstheme="minorHAnsi"/>
        </w:rPr>
        <w:t xml:space="preserve"> of matters raised in relation to the MBS was not considered in detail as part of the TOR for this review. </w:t>
      </w:r>
    </w:p>
    <w:p w14:paraId="37BA4865" w14:textId="77777777" w:rsidR="00A52EF6" w:rsidRDefault="00752E0E" w:rsidP="00A52EF6">
      <w:pPr>
        <w:rPr>
          <w:rFonts w:eastAsia="Calibri" w:cs="Calibri"/>
          <w:b/>
          <w:bCs/>
        </w:rPr>
      </w:pPr>
      <w:r w:rsidRPr="008E07DF">
        <w:rPr>
          <w:rFonts w:cstheme="minorHAnsi"/>
          <w:b/>
          <w:bCs/>
        </w:rPr>
        <w:t xml:space="preserve">The PBAC may wish </w:t>
      </w:r>
      <w:r w:rsidRPr="001F7214">
        <w:rPr>
          <w:rFonts w:cstheme="minorHAnsi"/>
          <w:b/>
          <w:bCs/>
        </w:rPr>
        <w:t>to respond to prescriber workforce issues with advice for</w:t>
      </w:r>
      <w:r w:rsidRPr="008E07DF">
        <w:rPr>
          <w:rFonts w:cstheme="minorHAnsi"/>
          <w:b/>
          <w:bCs/>
        </w:rPr>
        <w:t xml:space="preserve"> Government consideration</w:t>
      </w:r>
      <w:r>
        <w:rPr>
          <w:rFonts w:cstheme="minorHAnsi"/>
          <w:b/>
          <w:bCs/>
        </w:rPr>
        <w:t xml:space="preserve"> and progression of discussions with state and territory governments on options for ensuring people have equitable and affordable access to treatment programs for opioid dependence</w:t>
      </w:r>
      <w:r w:rsidR="00DE374A">
        <w:rPr>
          <w:rFonts w:cstheme="minorHAnsi"/>
          <w:b/>
          <w:bCs/>
        </w:rPr>
        <w:t xml:space="preserve">.  </w:t>
      </w:r>
    </w:p>
    <w:p w14:paraId="00781FD0" w14:textId="77777777" w:rsidR="00A52EF6" w:rsidRPr="00A52EF6" w:rsidRDefault="00A52EF6" w:rsidP="00A52EF6">
      <w:pPr>
        <w:pStyle w:val="Heading4"/>
      </w:pPr>
      <w:r w:rsidRPr="00A52EF6">
        <w:lastRenderedPageBreak/>
        <w:t>Access to LAIB administration in community pharmacies</w:t>
      </w:r>
    </w:p>
    <w:p w14:paraId="1B692F3A" w14:textId="77777777" w:rsidR="00A52EF6" w:rsidRDefault="00A52EF6" w:rsidP="00A52EF6">
      <w:pPr>
        <w:rPr>
          <w:rFonts w:cs="Calibri"/>
        </w:rPr>
      </w:pPr>
      <w:r>
        <w:rPr>
          <w:rFonts w:cstheme="minorHAnsi"/>
          <w:bCs/>
          <w:iCs/>
        </w:rPr>
        <w:t xml:space="preserve">Evidence and stakeholder input to the review suggests that the use of LAIB is anticipated to continue to grow and for some patients the </w:t>
      </w:r>
      <w:r>
        <w:t xml:space="preserve">injections have the potential benefits of </w:t>
      </w:r>
      <w:r w:rsidRPr="00500A11">
        <w:rPr>
          <w:rFonts w:cs="Calibri"/>
        </w:rPr>
        <w:t>eliminating the need for daily supervised and/or takeaway dosing with methadone or sublingual buprenorphine (where this is their choice and preferred treatment)</w:t>
      </w:r>
      <w:r>
        <w:rPr>
          <w:rFonts w:cstheme="minorHAnsi"/>
          <w:bCs/>
          <w:iCs/>
        </w:rPr>
        <w:t xml:space="preserve"> and </w:t>
      </w:r>
      <w:r w:rsidRPr="00500A11">
        <w:rPr>
          <w:rFonts w:cs="Calibri"/>
        </w:rPr>
        <w:t>improving accessibility of treatment, particularly where clinic dosing is unavailable (e.g., consumers are unable to geographically access clinics due to mobility or transport)</w:t>
      </w:r>
      <w:r>
        <w:rPr>
          <w:rFonts w:cs="Calibri"/>
        </w:rPr>
        <w:t xml:space="preserve">. </w:t>
      </w:r>
    </w:p>
    <w:p w14:paraId="2D45948C" w14:textId="77777777" w:rsidR="00A52EF6" w:rsidRDefault="00A52EF6" w:rsidP="00A52EF6">
      <w:pPr>
        <w:rPr>
          <w:rFonts w:cstheme="minorHAnsi"/>
        </w:rPr>
      </w:pPr>
      <w:r>
        <w:rPr>
          <w:rFonts w:cstheme="minorHAnsi"/>
        </w:rPr>
        <w:t xml:space="preserve">Separate to the PBS, the PBAC may wish to consider a mechanism to support remuneration for on-site pharmacist administration of LAIB an option to further improve the accessibility of treatment. It may also ease pressure on the prescriber workforce and on patients that find it difficult to find an appointment with a GP or who find it difficult to regularly visit a GP practice for administration of the injection.  </w:t>
      </w:r>
    </w:p>
    <w:p w14:paraId="616080FB" w14:textId="77777777" w:rsidR="00A52EF6" w:rsidRPr="00500A11" w:rsidRDefault="00A52EF6" w:rsidP="00A52EF6">
      <w:pPr>
        <w:rPr>
          <w:rFonts w:eastAsia="Calibri" w:cs="Calibri"/>
          <w:b/>
          <w:bCs/>
        </w:rPr>
      </w:pPr>
      <w:r w:rsidRPr="00500A11">
        <w:rPr>
          <w:rFonts w:eastAsia="Calibri" w:cs="Calibri"/>
          <w:b/>
          <w:bCs/>
        </w:rPr>
        <w:t xml:space="preserve">The PBAC may wish to </w:t>
      </w:r>
      <w:r>
        <w:rPr>
          <w:rFonts w:eastAsia="Calibri" w:cs="Calibri"/>
          <w:b/>
          <w:bCs/>
        </w:rPr>
        <w:t xml:space="preserve">endorse an option for consideration by Government for community pharmacies to administer LAIB injections.  </w:t>
      </w:r>
    </w:p>
    <w:p w14:paraId="47BB992B" w14:textId="77777777" w:rsidR="00DE374A" w:rsidRPr="008601B9" w:rsidRDefault="00DE374A" w:rsidP="008601B9">
      <w:pPr>
        <w:pStyle w:val="Heading4"/>
      </w:pPr>
      <w:bookmarkStart w:id="34" w:name="_Hlk120543084"/>
      <w:r w:rsidRPr="008601B9">
        <w:t>Access to ODT for First Nations People</w:t>
      </w:r>
    </w:p>
    <w:bookmarkEnd w:id="34"/>
    <w:p w14:paraId="01F4AE2A" w14:textId="093FBFFA" w:rsidR="00752E0E" w:rsidRDefault="00752E0E" w:rsidP="00752E0E">
      <w:pPr>
        <w:rPr>
          <w:rFonts w:cstheme="minorHAnsi"/>
        </w:rPr>
      </w:pPr>
      <w:r w:rsidRPr="005A5291">
        <w:rPr>
          <w:rFonts w:eastAsia="Calibri" w:cs="Calibri"/>
        </w:rPr>
        <w:t xml:space="preserve">The </w:t>
      </w:r>
      <w:r w:rsidR="0036003B">
        <w:rPr>
          <w:rFonts w:eastAsia="Calibri" w:cs="Calibri"/>
        </w:rPr>
        <w:t xml:space="preserve">Review </w:t>
      </w:r>
      <w:r w:rsidRPr="003E60D6">
        <w:rPr>
          <w:rFonts w:cstheme="minorHAnsi"/>
        </w:rPr>
        <w:t>highlighted</w:t>
      </w:r>
      <w:r>
        <w:rPr>
          <w:rFonts w:cstheme="minorHAnsi"/>
        </w:rPr>
        <w:t xml:space="preserve"> </w:t>
      </w:r>
      <w:r w:rsidRPr="003E60D6">
        <w:rPr>
          <w:rFonts w:cstheme="minorHAnsi"/>
        </w:rPr>
        <w:t>specific patient populations such as First Nations people and people either within or recently released from custodial settings</w:t>
      </w:r>
      <w:r>
        <w:rPr>
          <w:rFonts w:cstheme="minorHAnsi"/>
        </w:rPr>
        <w:t xml:space="preserve"> (in which First Nations people are greatly overrepresented)</w:t>
      </w:r>
      <w:r w:rsidRPr="003E60D6">
        <w:rPr>
          <w:rFonts w:cstheme="minorHAnsi"/>
        </w:rPr>
        <w:t xml:space="preserve"> experience disproportionate barriers to access and will need specific consideration in any service delivery arrangements for access to </w:t>
      </w:r>
      <w:r>
        <w:rPr>
          <w:rFonts w:cstheme="minorHAnsi"/>
        </w:rPr>
        <w:t>ODT medicines</w:t>
      </w:r>
      <w:r w:rsidRPr="003E60D6">
        <w:rPr>
          <w:rFonts w:cstheme="minorHAnsi"/>
        </w:rPr>
        <w:t xml:space="preserve">. </w:t>
      </w:r>
    </w:p>
    <w:p w14:paraId="22CA3E67" w14:textId="77777777" w:rsidR="00752E0E" w:rsidRDefault="00752E0E" w:rsidP="00752E0E">
      <w:pPr>
        <w:rPr>
          <w:rFonts w:cstheme="minorHAnsi"/>
        </w:rPr>
      </w:pPr>
      <w:r>
        <w:rPr>
          <w:rFonts w:cstheme="minorHAnsi"/>
        </w:rPr>
        <w:t xml:space="preserve">Approaches raised by stakeholders during the review </w:t>
      </w:r>
      <w:r w:rsidRPr="003E60D6">
        <w:rPr>
          <w:rFonts w:cstheme="minorHAnsi"/>
        </w:rPr>
        <w:t>include</w:t>
      </w:r>
      <w:r>
        <w:rPr>
          <w:rFonts w:cstheme="minorHAnsi"/>
        </w:rPr>
        <w:t xml:space="preserve">: </w:t>
      </w:r>
    </w:p>
    <w:p w14:paraId="43C8BCC9" w14:textId="77777777" w:rsidR="00752E0E" w:rsidRDefault="00752E0E" w:rsidP="00752E0E">
      <w:pPr>
        <w:pStyle w:val="ListParagraph"/>
        <w:numPr>
          <w:ilvl w:val="0"/>
          <w:numId w:val="52"/>
        </w:numPr>
        <w:rPr>
          <w:rFonts w:cstheme="minorHAnsi"/>
        </w:rPr>
      </w:pPr>
      <w:r w:rsidRPr="00143408">
        <w:rPr>
          <w:rFonts w:cstheme="minorHAnsi"/>
        </w:rPr>
        <w:t>improved access to culturally safe care through ACCHOs</w:t>
      </w:r>
      <w:r>
        <w:rPr>
          <w:rFonts w:cstheme="minorHAnsi"/>
        </w:rPr>
        <w:t xml:space="preserve"> and other settings (including </w:t>
      </w:r>
      <w:proofErr w:type="gramStart"/>
      <w:r>
        <w:rPr>
          <w:rFonts w:cstheme="minorHAnsi"/>
        </w:rPr>
        <w:t>correctional facilities</w:t>
      </w:r>
      <w:proofErr w:type="gramEnd"/>
      <w:r>
        <w:rPr>
          <w:rFonts w:cstheme="minorHAnsi"/>
        </w:rPr>
        <w:t>)</w:t>
      </w:r>
    </w:p>
    <w:p w14:paraId="06FF4187" w14:textId="77777777" w:rsidR="00752E0E" w:rsidRDefault="00752E0E" w:rsidP="00752E0E">
      <w:pPr>
        <w:pStyle w:val="ListParagraph"/>
        <w:numPr>
          <w:ilvl w:val="0"/>
          <w:numId w:val="52"/>
        </w:numPr>
        <w:rPr>
          <w:rFonts w:cstheme="minorHAnsi"/>
        </w:rPr>
      </w:pPr>
      <w:r>
        <w:rPr>
          <w:rFonts w:cstheme="minorHAnsi"/>
        </w:rPr>
        <w:t xml:space="preserve">strategies to increase the </w:t>
      </w:r>
      <w:r w:rsidRPr="00143408">
        <w:rPr>
          <w:rFonts w:cstheme="minorHAnsi"/>
        </w:rPr>
        <w:t xml:space="preserve">First Nations workforce in the delivery of ODT </w:t>
      </w:r>
      <w:r>
        <w:rPr>
          <w:rFonts w:cstheme="minorHAnsi"/>
        </w:rPr>
        <w:t>(</w:t>
      </w:r>
      <w:proofErr w:type="gramStart"/>
      <w:r>
        <w:rPr>
          <w:rFonts w:cstheme="minorHAnsi"/>
        </w:rPr>
        <w:t>e.g.</w:t>
      </w:r>
      <w:proofErr w:type="gramEnd"/>
      <w:r>
        <w:rPr>
          <w:rFonts w:cstheme="minorHAnsi"/>
        </w:rPr>
        <w:t xml:space="preserve"> Aboriginal Health Practitioners and ACCHO nurses)</w:t>
      </w:r>
      <w:r w:rsidRPr="00143408">
        <w:rPr>
          <w:rFonts w:cstheme="minorHAnsi"/>
        </w:rPr>
        <w:t xml:space="preserve"> </w:t>
      </w:r>
    </w:p>
    <w:p w14:paraId="09819364" w14:textId="77777777" w:rsidR="00752E0E" w:rsidRPr="00143408" w:rsidRDefault="00752E0E" w:rsidP="00752E0E">
      <w:pPr>
        <w:pStyle w:val="ListParagraph"/>
        <w:numPr>
          <w:ilvl w:val="0"/>
          <w:numId w:val="52"/>
        </w:numPr>
        <w:rPr>
          <w:rFonts w:cstheme="minorHAnsi"/>
        </w:rPr>
      </w:pPr>
      <w:r w:rsidRPr="00143408">
        <w:rPr>
          <w:rFonts w:cstheme="minorHAnsi"/>
        </w:rPr>
        <w:t xml:space="preserve">extension of the PBS CTG </w:t>
      </w:r>
      <w:r>
        <w:rPr>
          <w:rFonts w:cstheme="minorHAnsi"/>
        </w:rPr>
        <w:t>program</w:t>
      </w:r>
      <w:r w:rsidRPr="00143408">
        <w:rPr>
          <w:rFonts w:cstheme="minorHAnsi"/>
        </w:rPr>
        <w:t xml:space="preserve"> to include PBS listed medicines for opioid dependence treatment. </w:t>
      </w:r>
    </w:p>
    <w:p w14:paraId="0A338E0E" w14:textId="4B001169" w:rsidR="00880FEC" w:rsidRDefault="00752E0E" w:rsidP="00752E0E">
      <w:pPr>
        <w:spacing w:after="160" w:line="259" w:lineRule="auto"/>
        <w:jc w:val="left"/>
        <w:rPr>
          <w:rFonts w:cstheme="minorHAnsi"/>
          <w:b/>
          <w:iCs/>
        </w:rPr>
      </w:pPr>
      <w:r w:rsidRPr="008E07DF">
        <w:rPr>
          <w:rFonts w:cstheme="minorHAnsi"/>
          <w:b/>
          <w:iCs/>
        </w:rPr>
        <w:t xml:space="preserve">The PBAC may wish </w:t>
      </w:r>
      <w:r w:rsidRPr="001F7214">
        <w:rPr>
          <w:rFonts w:cstheme="minorHAnsi"/>
          <w:b/>
          <w:iCs/>
        </w:rPr>
        <w:t>to respond to matters relating to access to ODT medicines and services for Fi</w:t>
      </w:r>
      <w:r>
        <w:rPr>
          <w:rFonts w:cstheme="minorHAnsi"/>
          <w:b/>
          <w:iCs/>
        </w:rPr>
        <w:t>r</w:t>
      </w:r>
      <w:r w:rsidRPr="001F7214">
        <w:rPr>
          <w:rFonts w:cstheme="minorHAnsi"/>
          <w:b/>
          <w:iCs/>
        </w:rPr>
        <w:t xml:space="preserve">st Nations and other populations </w:t>
      </w:r>
      <w:r>
        <w:rPr>
          <w:rFonts w:cstheme="minorHAnsi"/>
          <w:b/>
          <w:iCs/>
        </w:rPr>
        <w:t xml:space="preserve">with specific needs </w:t>
      </w:r>
      <w:r w:rsidRPr="001F7214">
        <w:rPr>
          <w:rFonts w:cstheme="minorHAnsi"/>
          <w:b/>
          <w:iCs/>
        </w:rPr>
        <w:t>progressed with advice for Government</w:t>
      </w:r>
      <w:r w:rsidRPr="008E07DF">
        <w:rPr>
          <w:rFonts w:cstheme="minorHAnsi"/>
          <w:b/>
          <w:iCs/>
        </w:rPr>
        <w:t xml:space="preserve"> consideration</w:t>
      </w:r>
      <w:r>
        <w:rPr>
          <w:rFonts w:cstheme="minorHAnsi"/>
          <w:b/>
          <w:iCs/>
        </w:rPr>
        <w:t xml:space="preserve"> and discussion with state and territory governments</w:t>
      </w:r>
      <w:r w:rsidR="00DE374A" w:rsidRPr="008E07DF">
        <w:rPr>
          <w:rFonts w:cstheme="minorHAnsi"/>
          <w:b/>
          <w:iCs/>
        </w:rPr>
        <w:t>.</w:t>
      </w:r>
    </w:p>
    <w:p w14:paraId="23EA7934" w14:textId="649B226F" w:rsidR="009A1DA3" w:rsidRDefault="009A1DA3">
      <w:pPr>
        <w:spacing w:after="160" w:line="259" w:lineRule="auto"/>
        <w:jc w:val="left"/>
        <w:rPr>
          <w:rFonts w:cstheme="minorHAnsi"/>
          <w:b/>
          <w:iCs/>
        </w:rPr>
      </w:pPr>
      <w:r>
        <w:rPr>
          <w:rFonts w:cstheme="minorHAnsi"/>
          <w:b/>
          <w:iCs/>
        </w:rPr>
        <w:br w:type="page"/>
      </w:r>
    </w:p>
    <w:p w14:paraId="2770ABE6" w14:textId="77777777" w:rsidR="009A1DA3" w:rsidRPr="00EA3458" w:rsidRDefault="009A1DA3" w:rsidP="009A1DA3">
      <w:pPr>
        <w:pStyle w:val="Heading2"/>
        <w:rPr>
          <w:rFonts w:eastAsia="Calibri"/>
        </w:rPr>
      </w:pPr>
      <w:bookmarkStart w:id="35" w:name="_Toc127455643"/>
      <w:bookmarkStart w:id="36" w:name="_Toc163220811"/>
      <w:r w:rsidRPr="00475593">
        <w:lastRenderedPageBreak/>
        <w:t>References</w:t>
      </w:r>
      <w:bookmarkEnd w:id="35"/>
      <w:bookmarkEnd w:id="36"/>
    </w:p>
    <w:p w14:paraId="337D3847" w14:textId="77777777" w:rsidR="00E61D94" w:rsidRPr="00E61D94" w:rsidRDefault="00880FEC" w:rsidP="00E61D94">
      <w:pPr>
        <w:pStyle w:val="EndNoteBibliography"/>
        <w:spacing w:after="0"/>
      </w:pPr>
      <w:r>
        <w:rPr>
          <w:rFonts w:asciiTheme="minorHAnsi" w:eastAsia="Calibri" w:hAnsiTheme="minorHAnsi" w:cstheme="majorBidi"/>
          <w:color w:val="2F5496" w:themeColor="accent1" w:themeShade="BF"/>
          <w:sz w:val="26"/>
          <w:szCs w:val="26"/>
        </w:rPr>
        <w:fldChar w:fldCharType="begin"/>
      </w:r>
      <w:r>
        <w:rPr>
          <w:rFonts w:asciiTheme="minorHAnsi" w:eastAsia="Calibri" w:hAnsiTheme="minorHAnsi" w:cstheme="majorBidi"/>
          <w:color w:val="2F5496" w:themeColor="accent1" w:themeShade="BF"/>
          <w:sz w:val="26"/>
          <w:szCs w:val="26"/>
        </w:rPr>
        <w:instrText xml:space="preserve"> ADDIN EN.REFLIST </w:instrText>
      </w:r>
      <w:r>
        <w:rPr>
          <w:rFonts w:asciiTheme="minorHAnsi" w:eastAsia="Calibri" w:hAnsiTheme="minorHAnsi" w:cstheme="majorBidi"/>
          <w:color w:val="2F5496" w:themeColor="accent1" w:themeShade="BF"/>
          <w:sz w:val="26"/>
          <w:szCs w:val="26"/>
        </w:rPr>
        <w:fldChar w:fldCharType="separate"/>
      </w:r>
      <w:bookmarkStart w:id="37" w:name="_ENREF_1"/>
      <w:r w:rsidR="00E61D94" w:rsidRPr="00E61D94">
        <w:t>1.</w:t>
      </w:r>
      <w:r w:rsidR="00E61D94" w:rsidRPr="00E61D94">
        <w:tab/>
        <w:t>Australian Institute of Health and Welfare. National Opioid Pharmacotherapy Statistics Annual Data (NOPSAD) collection. . Canberra: AIHW; 2022 2022/11/21/.</w:t>
      </w:r>
      <w:bookmarkEnd w:id="37"/>
    </w:p>
    <w:p w14:paraId="6A14B490" w14:textId="77777777" w:rsidR="00E61D94" w:rsidRPr="00E61D94" w:rsidRDefault="00E61D94" w:rsidP="00E61D94">
      <w:pPr>
        <w:pStyle w:val="EndNoteBibliography"/>
        <w:spacing w:after="0"/>
      </w:pPr>
      <w:bookmarkStart w:id="38" w:name="_ENREF_2"/>
      <w:r w:rsidRPr="00E61D94">
        <w:t>2.</w:t>
      </w:r>
      <w:r w:rsidRPr="00E61D94">
        <w:tab/>
        <w:t>Valerio H, Alavi M, Silk D, Treloar C, Martinello M, Milat A, et al. Progress Towards Elimination of Hepatitis C Infection Among People Who Inject Drugs in Australia: The ETHOS Engage Study. Clin Infect Dis. 2021;73(1):e69-e78.</w:t>
      </w:r>
      <w:bookmarkEnd w:id="38"/>
    </w:p>
    <w:p w14:paraId="554AE2F3" w14:textId="42BDD389" w:rsidR="00E61D94" w:rsidRPr="00E61D94" w:rsidRDefault="00E61D94" w:rsidP="00E61D94">
      <w:pPr>
        <w:pStyle w:val="EndNoteBibliography"/>
        <w:spacing w:after="0"/>
      </w:pPr>
      <w:bookmarkStart w:id="39" w:name="_ENREF_3"/>
      <w:r w:rsidRPr="00E61D94">
        <w:t>3.</w:t>
      </w:r>
      <w:r w:rsidRPr="00E61D94">
        <w:tab/>
        <w:t xml:space="preserve">Ministry of Health NSW. COVID-19 Information letter for Opioid Agonist Treatment Community Prescribers 2021 [updated 15 September 2021. Available from: </w:t>
      </w:r>
      <w:hyperlink r:id="rId7" w:history="1">
        <w:r w:rsidRPr="00E61D94">
          <w:rPr>
            <w:rStyle w:val="Hyperlink"/>
          </w:rPr>
          <w:t>www.health.nsw.gov.au/aod/Pages/covid-19-oat-prescriber-info.aspx</w:t>
        </w:r>
      </w:hyperlink>
      <w:r w:rsidRPr="00E61D94">
        <w:t>.</w:t>
      </w:r>
      <w:bookmarkEnd w:id="39"/>
    </w:p>
    <w:p w14:paraId="1D050370" w14:textId="77777777" w:rsidR="00E61D94" w:rsidRPr="00E61D94" w:rsidRDefault="00E61D94" w:rsidP="00E61D94">
      <w:pPr>
        <w:pStyle w:val="EndNoteBibliography"/>
        <w:spacing w:after="0"/>
      </w:pPr>
      <w:bookmarkStart w:id="40" w:name="_ENREF_4"/>
      <w:r w:rsidRPr="00E61D94">
        <w:t>4.</w:t>
      </w:r>
      <w:r w:rsidRPr="00E61D94">
        <w:tab/>
        <w:t>Chetty M, Kenworthy JJ, Langham S, Walker A, WC D. A systematic review of health economic models of opioid agonist therapies in maintenance treatment of non-prescription opioid dependence. Addiction Science and Clinical Practice. 2017;12(6).</w:t>
      </w:r>
      <w:bookmarkEnd w:id="40"/>
    </w:p>
    <w:p w14:paraId="11A1BE0A" w14:textId="77777777" w:rsidR="00E61D94" w:rsidRPr="00E61D94" w:rsidRDefault="00E61D94" w:rsidP="00E61D94">
      <w:pPr>
        <w:pStyle w:val="EndNoteBibliography"/>
        <w:spacing w:after="0"/>
      </w:pPr>
      <w:bookmarkStart w:id="41" w:name="_ENREF_5"/>
      <w:r w:rsidRPr="00E61D94">
        <w:t>5.</w:t>
      </w:r>
      <w:r w:rsidRPr="00E61D94">
        <w:tab/>
        <w:t>Marsden J. Extended-release Pharmacotherapy for Opioid Use Disorder. (unpublished manuscript).</w:t>
      </w:r>
      <w:bookmarkEnd w:id="41"/>
    </w:p>
    <w:p w14:paraId="015A9E7B" w14:textId="77777777" w:rsidR="00E61D94" w:rsidRPr="00E61D94" w:rsidRDefault="00E61D94" w:rsidP="00E61D94">
      <w:pPr>
        <w:pStyle w:val="EndNoteBibliography"/>
        <w:spacing w:after="0"/>
      </w:pPr>
      <w:bookmarkStart w:id="42" w:name="_ENREF_6"/>
      <w:r w:rsidRPr="00E61D94">
        <w:t>6.</w:t>
      </w:r>
      <w:r w:rsidRPr="00E61D94">
        <w:tab/>
        <w:t>Marsden J, Kelleher M, Hoare Z, Hughes D, Bisla J, Cape A, et al. Extended-release pharmacotherapy for opioid use disorder (EXPO): protocol for an open-label randomised controlled trial of the effectiveness and cost-effectiveness of injectable buprenorphine versus sublingual tablet buprenorphine and oral liquid methadone. Trials. 2022;23(1):697.</w:t>
      </w:r>
      <w:bookmarkEnd w:id="42"/>
    </w:p>
    <w:p w14:paraId="6A4C2052" w14:textId="77777777" w:rsidR="00E61D94" w:rsidRPr="00E61D94" w:rsidRDefault="00E61D94" w:rsidP="00E61D94">
      <w:pPr>
        <w:pStyle w:val="EndNoteBibliography"/>
      </w:pPr>
      <w:bookmarkStart w:id="43" w:name="_ENREF_7"/>
      <w:r w:rsidRPr="00E61D94">
        <w:t>7.</w:t>
      </w:r>
      <w:r w:rsidRPr="00E61D94">
        <w:tab/>
        <w:t>Gisev N, Campbell. G, Lalic S, Larney S, Peacock A, Nielsen S, et al. Current Opioid Access, Use and Problems in Australian Jurisdictions. Current Addiction Reports 2018;5(4):464-72.</w:t>
      </w:r>
      <w:bookmarkEnd w:id="43"/>
    </w:p>
    <w:p w14:paraId="42DBDE29" w14:textId="0C7E749B" w:rsidR="00934954" w:rsidRDefault="00880FEC">
      <w:pPr>
        <w:spacing w:after="160" w:line="259" w:lineRule="auto"/>
        <w:jc w:val="left"/>
        <w:rPr>
          <w:rFonts w:asciiTheme="minorHAnsi" w:eastAsia="Calibri" w:hAnsiTheme="minorHAnsi" w:cstheme="majorBidi"/>
          <w:color w:val="2F5496" w:themeColor="accent1" w:themeShade="BF"/>
          <w:sz w:val="26"/>
          <w:szCs w:val="26"/>
        </w:rPr>
      </w:pPr>
      <w:r>
        <w:rPr>
          <w:rFonts w:asciiTheme="minorHAnsi" w:eastAsia="Calibri" w:hAnsiTheme="minorHAnsi" w:cstheme="majorBidi"/>
          <w:color w:val="2F5496" w:themeColor="accent1" w:themeShade="BF"/>
          <w:sz w:val="26"/>
          <w:szCs w:val="26"/>
        </w:rPr>
        <w:fldChar w:fldCharType="end"/>
      </w:r>
    </w:p>
    <w:sectPr w:rsidR="00934954" w:rsidSect="00203F84">
      <w:footerReference w:type="default" r:id="rId8"/>
      <w:headerReference w:type="firs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8E6F" w14:textId="77777777" w:rsidR="00EE322B" w:rsidRDefault="00EE322B" w:rsidP="00EB1B87">
      <w:pPr>
        <w:spacing w:after="0" w:line="240" w:lineRule="auto"/>
      </w:pPr>
      <w:r>
        <w:separator/>
      </w:r>
    </w:p>
  </w:endnote>
  <w:endnote w:type="continuationSeparator" w:id="0">
    <w:p w14:paraId="0A41FCEB" w14:textId="77777777" w:rsidR="00EE322B" w:rsidRDefault="00EE322B" w:rsidP="00EB1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Verdana"/>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loOT">
    <w:altName w:val="Calibri"/>
    <w:panose1 w:val="00000000000000000000"/>
    <w:charset w:val="00"/>
    <w:family w:val="swiss"/>
    <w:notTrueType/>
    <w:pitch w:val="variable"/>
    <w:sig w:usb0="800000EF" w:usb1="4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F5AA" w14:textId="549DE3ED" w:rsidR="001E69D0" w:rsidRDefault="001E69D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BDEA" w14:textId="39F8EB65" w:rsidR="001E69D0" w:rsidRDefault="001E69D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247DD" w14:textId="77777777" w:rsidR="00EE322B" w:rsidRDefault="00EE322B" w:rsidP="00EB1B87">
      <w:pPr>
        <w:spacing w:after="0" w:line="240" w:lineRule="auto"/>
      </w:pPr>
      <w:r>
        <w:separator/>
      </w:r>
    </w:p>
  </w:footnote>
  <w:footnote w:type="continuationSeparator" w:id="0">
    <w:p w14:paraId="656146A9" w14:textId="77777777" w:rsidR="00EE322B" w:rsidRDefault="00EE322B" w:rsidP="00EB1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0015" w14:textId="15AC07A7" w:rsidR="001E69D0" w:rsidRPr="00E0263F" w:rsidRDefault="001E69D0" w:rsidP="00E0263F">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E7BE3"/>
    <w:multiLevelType w:val="hybridMultilevel"/>
    <w:tmpl w:val="24AE7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FF0DB1"/>
    <w:multiLevelType w:val="hybridMultilevel"/>
    <w:tmpl w:val="E90646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81079F3"/>
    <w:multiLevelType w:val="hybridMultilevel"/>
    <w:tmpl w:val="B4ACB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FB29AD"/>
    <w:multiLevelType w:val="hybridMultilevel"/>
    <w:tmpl w:val="2C3AFA8C"/>
    <w:lvl w:ilvl="0" w:tplc="91B6699E">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F61B6F"/>
    <w:multiLevelType w:val="hybridMultilevel"/>
    <w:tmpl w:val="15CC7B7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6" w15:restartNumberingAfterBreak="0">
    <w:nsid w:val="0E1143FA"/>
    <w:multiLevelType w:val="hybridMultilevel"/>
    <w:tmpl w:val="A6F0D4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F53969"/>
    <w:multiLevelType w:val="multilevel"/>
    <w:tmpl w:val="1CF40934"/>
    <w:lvl w:ilvl="0">
      <w:start w:val="2"/>
      <w:numFmt w:val="decimal"/>
      <w:lvlText w:val="%1."/>
      <w:lvlJc w:val="left"/>
      <w:pPr>
        <w:ind w:left="360" w:hanging="360"/>
      </w:pPr>
      <w:rPr>
        <w:rFonts w:hint="default"/>
      </w:rPr>
    </w:lvl>
    <w:lvl w:ilvl="1">
      <w:start w:val="1"/>
      <w:numFmt w:val="decimal"/>
      <w:lvlText w:val="1.%2."/>
      <w:lvlJc w:val="left"/>
      <w:pPr>
        <w:ind w:left="934" w:hanging="792"/>
      </w:pPr>
      <w:rPr>
        <w:rFonts w:hint="default"/>
      </w:rPr>
    </w:lvl>
    <w:lvl w:ilvl="2">
      <w:start w:val="1"/>
      <w:numFmt w:val="decimal"/>
      <w:lvlText w:val="%1.%2.%3"/>
      <w:lvlJc w:val="left"/>
      <w:pPr>
        <w:ind w:left="1134" w:hanging="850"/>
      </w:pPr>
      <w:rPr>
        <w:rFonts w:asciiTheme="majorHAnsi" w:hAnsiTheme="majorHAnsi" w:cstheme="majorHAnsi" w:hint="default"/>
        <w:color w:val="4472C4" w:themeColor="accen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B5AE0"/>
    <w:multiLevelType w:val="hybridMultilevel"/>
    <w:tmpl w:val="C98479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010784"/>
    <w:multiLevelType w:val="hybridMultilevel"/>
    <w:tmpl w:val="A8F419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6562AB"/>
    <w:multiLevelType w:val="hybridMultilevel"/>
    <w:tmpl w:val="102E3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D6512F"/>
    <w:multiLevelType w:val="hybridMultilevel"/>
    <w:tmpl w:val="8C949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40E73"/>
    <w:multiLevelType w:val="hybridMultilevel"/>
    <w:tmpl w:val="1944A64A"/>
    <w:lvl w:ilvl="0" w:tplc="892869EE">
      <w:start w:val="1"/>
      <w:numFmt w:val="bullet"/>
      <w:lvlText w:val=""/>
      <w:lvlJc w:val="left"/>
      <w:pPr>
        <w:ind w:left="720" w:hanging="360"/>
      </w:pPr>
      <w:rPr>
        <w:rFonts w:ascii="Symbol" w:hAnsi="Symbol" w:hint="default"/>
      </w:rPr>
    </w:lvl>
    <w:lvl w:ilvl="1" w:tplc="8840847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9E17EC"/>
    <w:multiLevelType w:val="multilevel"/>
    <w:tmpl w:val="B65A0DC2"/>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24B4442A"/>
    <w:multiLevelType w:val="hybridMultilevel"/>
    <w:tmpl w:val="FFFFFFFF"/>
    <w:lvl w:ilvl="0" w:tplc="76DC4452">
      <w:start w:val="1"/>
      <w:numFmt w:val="bullet"/>
      <w:lvlText w:val="·"/>
      <w:lvlJc w:val="left"/>
      <w:pPr>
        <w:ind w:left="720" w:hanging="360"/>
      </w:pPr>
      <w:rPr>
        <w:rFonts w:ascii="Symbol" w:hAnsi="Symbol" w:hint="default"/>
      </w:rPr>
    </w:lvl>
    <w:lvl w:ilvl="1" w:tplc="9454C41A">
      <w:start w:val="1"/>
      <w:numFmt w:val="bullet"/>
      <w:lvlText w:val="o"/>
      <w:lvlJc w:val="left"/>
      <w:pPr>
        <w:ind w:left="1440" w:hanging="360"/>
      </w:pPr>
      <w:rPr>
        <w:rFonts w:ascii="Courier New" w:hAnsi="Courier New" w:cs="Times New Roman" w:hint="default"/>
      </w:rPr>
    </w:lvl>
    <w:lvl w:ilvl="2" w:tplc="A7445182">
      <w:start w:val="1"/>
      <w:numFmt w:val="bullet"/>
      <w:lvlText w:val=""/>
      <w:lvlJc w:val="left"/>
      <w:pPr>
        <w:ind w:left="2160" w:hanging="360"/>
      </w:pPr>
      <w:rPr>
        <w:rFonts w:ascii="Wingdings" w:hAnsi="Wingdings" w:hint="default"/>
      </w:rPr>
    </w:lvl>
    <w:lvl w:ilvl="3" w:tplc="5DF4C2D0">
      <w:start w:val="1"/>
      <w:numFmt w:val="bullet"/>
      <w:lvlText w:val=""/>
      <w:lvlJc w:val="left"/>
      <w:pPr>
        <w:ind w:left="2880" w:hanging="360"/>
      </w:pPr>
      <w:rPr>
        <w:rFonts w:ascii="Symbol" w:hAnsi="Symbol" w:hint="default"/>
      </w:rPr>
    </w:lvl>
    <w:lvl w:ilvl="4" w:tplc="1B944D3A">
      <w:start w:val="1"/>
      <w:numFmt w:val="bullet"/>
      <w:lvlText w:val="o"/>
      <w:lvlJc w:val="left"/>
      <w:pPr>
        <w:ind w:left="3600" w:hanging="360"/>
      </w:pPr>
      <w:rPr>
        <w:rFonts w:ascii="Courier New" w:hAnsi="Courier New" w:cs="Times New Roman" w:hint="default"/>
      </w:rPr>
    </w:lvl>
    <w:lvl w:ilvl="5" w:tplc="422613D2">
      <w:start w:val="1"/>
      <w:numFmt w:val="bullet"/>
      <w:lvlText w:val=""/>
      <w:lvlJc w:val="left"/>
      <w:pPr>
        <w:ind w:left="4320" w:hanging="360"/>
      </w:pPr>
      <w:rPr>
        <w:rFonts w:ascii="Wingdings" w:hAnsi="Wingdings" w:hint="default"/>
      </w:rPr>
    </w:lvl>
    <w:lvl w:ilvl="6" w:tplc="A17CB7E4">
      <w:start w:val="1"/>
      <w:numFmt w:val="bullet"/>
      <w:lvlText w:val=""/>
      <w:lvlJc w:val="left"/>
      <w:pPr>
        <w:ind w:left="5040" w:hanging="360"/>
      </w:pPr>
      <w:rPr>
        <w:rFonts w:ascii="Symbol" w:hAnsi="Symbol" w:hint="default"/>
      </w:rPr>
    </w:lvl>
    <w:lvl w:ilvl="7" w:tplc="460EE87C">
      <w:start w:val="1"/>
      <w:numFmt w:val="bullet"/>
      <w:lvlText w:val="o"/>
      <w:lvlJc w:val="left"/>
      <w:pPr>
        <w:ind w:left="5760" w:hanging="360"/>
      </w:pPr>
      <w:rPr>
        <w:rFonts w:ascii="Courier New" w:hAnsi="Courier New" w:cs="Times New Roman" w:hint="default"/>
      </w:rPr>
    </w:lvl>
    <w:lvl w:ilvl="8" w:tplc="8D6289E0">
      <w:start w:val="1"/>
      <w:numFmt w:val="bullet"/>
      <w:lvlText w:val=""/>
      <w:lvlJc w:val="left"/>
      <w:pPr>
        <w:ind w:left="6480" w:hanging="360"/>
      </w:pPr>
      <w:rPr>
        <w:rFonts w:ascii="Wingdings" w:hAnsi="Wingdings" w:hint="default"/>
      </w:rPr>
    </w:lvl>
  </w:abstractNum>
  <w:abstractNum w:abstractNumId="16"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9D62BC0"/>
    <w:multiLevelType w:val="hybridMultilevel"/>
    <w:tmpl w:val="DCFA0DAA"/>
    <w:lvl w:ilvl="0" w:tplc="892869EE">
      <w:start w:val="1"/>
      <w:numFmt w:val="bullet"/>
      <w:pStyle w:val="Consumerreport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851D10"/>
    <w:multiLevelType w:val="hybridMultilevel"/>
    <w:tmpl w:val="F0744C9A"/>
    <w:lvl w:ilvl="0" w:tplc="F6D619BE">
      <w:start w:val="85"/>
      <w:numFmt w:val="bullet"/>
      <w:lvlText w:val="-"/>
      <w:lvlJc w:val="left"/>
      <w:pPr>
        <w:ind w:left="720" w:hanging="360"/>
      </w:pPr>
      <w:rPr>
        <w:rFonts w:ascii="Calibri" w:eastAsiaTheme="minorHAnsi" w:hAnsi="Calibri"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A871FF"/>
    <w:multiLevelType w:val="multilevel"/>
    <w:tmpl w:val="40B02866"/>
    <w:lvl w:ilvl="0">
      <w:start w:val="2"/>
      <w:numFmt w:val="decimal"/>
      <w:lvlText w:val="%1."/>
      <w:lvlJc w:val="left"/>
      <w:pPr>
        <w:ind w:left="360" w:hanging="360"/>
      </w:pPr>
      <w:rPr>
        <w:rFonts w:hint="default"/>
      </w:rPr>
    </w:lvl>
    <w:lvl w:ilvl="1">
      <w:start w:val="1"/>
      <w:numFmt w:val="decimal"/>
      <w:pStyle w:val="Heading3"/>
      <w:lvlText w:val="2.%2."/>
      <w:lvlJc w:val="left"/>
      <w:pPr>
        <w:ind w:left="934" w:hanging="792"/>
      </w:pPr>
      <w:rPr>
        <w:rFonts w:hint="default"/>
      </w:rPr>
    </w:lvl>
    <w:lvl w:ilvl="2">
      <w:start w:val="1"/>
      <w:numFmt w:val="decimal"/>
      <w:pStyle w:val="Heading4"/>
      <w:lvlText w:val="%1.%2.%3"/>
      <w:lvlJc w:val="left"/>
      <w:pPr>
        <w:ind w:left="1134" w:hanging="850"/>
      </w:pPr>
      <w:rPr>
        <w:rFonts w:asciiTheme="majorHAnsi" w:hAnsiTheme="majorHAnsi" w:cstheme="majorHAnsi" w:hint="default"/>
        <w:color w:val="4472C4" w:themeColor="accen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F035493"/>
    <w:multiLevelType w:val="hybridMultilevel"/>
    <w:tmpl w:val="4E78D8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F726621"/>
    <w:multiLevelType w:val="hybridMultilevel"/>
    <w:tmpl w:val="A12C9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86748F"/>
    <w:multiLevelType w:val="hybridMultilevel"/>
    <w:tmpl w:val="E19A5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D30AB9"/>
    <w:multiLevelType w:val="hybridMultilevel"/>
    <w:tmpl w:val="10749E4A"/>
    <w:lvl w:ilvl="0" w:tplc="0C090001">
      <w:start w:val="1"/>
      <w:numFmt w:val="bullet"/>
      <w:lvlText w:val=""/>
      <w:lvlJc w:val="left"/>
      <w:pPr>
        <w:ind w:left="408" w:hanging="360"/>
      </w:pPr>
      <w:rPr>
        <w:rFonts w:ascii="Symbol" w:hAnsi="Symbol" w:hint="default"/>
      </w:rPr>
    </w:lvl>
    <w:lvl w:ilvl="1" w:tplc="0C090003">
      <w:start w:val="1"/>
      <w:numFmt w:val="bullet"/>
      <w:lvlText w:val="o"/>
      <w:lvlJc w:val="left"/>
      <w:pPr>
        <w:ind w:left="1128" w:hanging="360"/>
      </w:pPr>
      <w:rPr>
        <w:rFonts w:ascii="Courier New" w:hAnsi="Courier New" w:cs="Courier New" w:hint="default"/>
      </w:rPr>
    </w:lvl>
    <w:lvl w:ilvl="2" w:tplc="0C090005">
      <w:start w:val="1"/>
      <w:numFmt w:val="bullet"/>
      <w:lvlText w:val=""/>
      <w:lvlJc w:val="left"/>
      <w:pPr>
        <w:ind w:left="1848" w:hanging="360"/>
      </w:pPr>
      <w:rPr>
        <w:rFonts w:ascii="Wingdings" w:hAnsi="Wingdings" w:hint="default"/>
      </w:rPr>
    </w:lvl>
    <w:lvl w:ilvl="3" w:tplc="0C090001">
      <w:start w:val="1"/>
      <w:numFmt w:val="bullet"/>
      <w:lvlText w:val=""/>
      <w:lvlJc w:val="left"/>
      <w:pPr>
        <w:ind w:left="2568" w:hanging="360"/>
      </w:pPr>
      <w:rPr>
        <w:rFonts w:ascii="Symbol" w:hAnsi="Symbol" w:hint="default"/>
      </w:rPr>
    </w:lvl>
    <w:lvl w:ilvl="4" w:tplc="0C090003">
      <w:start w:val="1"/>
      <w:numFmt w:val="bullet"/>
      <w:lvlText w:val="o"/>
      <w:lvlJc w:val="left"/>
      <w:pPr>
        <w:ind w:left="3288" w:hanging="360"/>
      </w:pPr>
      <w:rPr>
        <w:rFonts w:ascii="Courier New" w:hAnsi="Courier New" w:cs="Courier New" w:hint="default"/>
      </w:rPr>
    </w:lvl>
    <w:lvl w:ilvl="5" w:tplc="0C090005">
      <w:start w:val="1"/>
      <w:numFmt w:val="bullet"/>
      <w:lvlText w:val=""/>
      <w:lvlJc w:val="left"/>
      <w:pPr>
        <w:ind w:left="4008" w:hanging="360"/>
      </w:pPr>
      <w:rPr>
        <w:rFonts w:ascii="Wingdings" w:hAnsi="Wingdings" w:hint="default"/>
      </w:rPr>
    </w:lvl>
    <w:lvl w:ilvl="6" w:tplc="0C090001">
      <w:start w:val="1"/>
      <w:numFmt w:val="bullet"/>
      <w:lvlText w:val=""/>
      <w:lvlJc w:val="left"/>
      <w:pPr>
        <w:ind w:left="4728" w:hanging="360"/>
      </w:pPr>
      <w:rPr>
        <w:rFonts w:ascii="Symbol" w:hAnsi="Symbol" w:hint="default"/>
      </w:rPr>
    </w:lvl>
    <w:lvl w:ilvl="7" w:tplc="0C090003">
      <w:start w:val="1"/>
      <w:numFmt w:val="bullet"/>
      <w:lvlText w:val="o"/>
      <w:lvlJc w:val="left"/>
      <w:pPr>
        <w:ind w:left="5448" w:hanging="360"/>
      </w:pPr>
      <w:rPr>
        <w:rFonts w:ascii="Courier New" w:hAnsi="Courier New" w:cs="Courier New" w:hint="default"/>
      </w:rPr>
    </w:lvl>
    <w:lvl w:ilvl="8" w:tplc="0C090005">
      <w:start w:val="1"/>
      <w:numFmt w:val="bullet"/>
      <w:lvlText w:val=""/>
      <w:lvlJc w:val="left"/>
      <w:pPr>
        <w:ind w:left="6168" w:hanging="360"/>
      </w:pPr>
      <w:rPr>
        <w:rFonts w:ascii="Wingdings" w:hAnsi="Wingdings" w:hint="default"/>
      </w:rPr>
    </w:lvl>
  </w:abstractNum>
  <w:abstractNum w:abstractNumId="24" w15:restartNumberingAfterBreak="0">
    <w:nsid w:val="3B712E1D"/>
    <w:multiLevelType w:val="multilevel"/>
    <w:tmpl w:val="E176240E"/>
    <w:lvl w:ilvl="0">
      <w:start w:val="1"/>
      <w:numFmt w:val="decimal"/>
      <w:lvlText w:val="%1."/>
      <w:lvlJc w:val="left"/>
      <w:pPr>
        <w:ind w:left="360" w:hanging="360"/>
      </w:pPr>
      <w:rPr>
        <w:rFonts w:hint="default"/>
      </w:rPr>
    </w:lvl>
    <w:lvl w:ilvl="1">
      <w:start w:val="1"/>
      <w:numFmt w:val="decimal"/>
      <w:lvlText w:val="%1.%2."/>
      <w:lvlJc w:val="left"/>
      <w:pPr>
        <w:ind w:left="934" w:hanging="792"/>
      </w:pPr>
      <w:rPr>
        <w:rFonts w:hint="default"/>
      </w:rPr>
    </w:lvl>
    <w:lvl w:ilvl="2">
      <w:start w:val="1"/>
      <w:numFmt w:val="decimal"/>
      <w:lvlText w:val="%1.%2.%3."/>
      <w:lvlJc w:val="left"/>
      <w:pPr>
        <w:ind w:left="1134" w:hanging="850"/>
      </w:pPr>
      <w:rPr>
        <w:rFonts w:asciiTheme="majorHAnsi" w:hAnsiTheme="majorHAnsi" w:cstheme="majorHAnsi" w:hint="default"/>
        <w:color w:val="4472C4" w:themeColor="accent1"/>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E2A181C"/>
    <w:multiLevelType w:val="hybridMultilevel"/>
    <w:tmpl w:val="64A6A3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44775A4E"/>
    <w:multiLevelType w:val="hybridMultilevel"/>
    <w:tmpl w:val="797C2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6C74EB"/>
    <w:multiLevelType w:val="hybridMultilevel"/>
    <w:tmpl w:val="FF9473E8"/>
    <w:lvl w:ilvl="0" w:tplc="E4C27104">
      <w:start w:val="1"/>
      <w:numFmt w:val="decimal"/>
      <w:lvlText w:val="%1."/>
      <w:lvlJc w:val="left"/>
      <w:pPr>
        <w:ind w:left="720" w:hanging="360"/>
      </w:pPr>
      <w:rPr>
        <w:rFonts w:ascii="Calibri" w:eastAsiaTheme="minorHAnsi" w:hAnsi="Calibri" w:cs="Calibri"/>
        <w:b w:val="0"/>
        <w:bCs w:val="0"/>
      </w:rPr>
    </w:lvl>
    <w:lvl w:ilvl="1" w:tplc="0C090019">
      <w:start w:val="1"/>
      <w:numFmt w:val="lowerLetter"/>
      <w:lvlText w:val="%2."/>
      <w:lvlJc w:val="left"/>
      <w:pPr>
        <w:ind w:left="1069"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98397E"/>
    <w:multiLevelType w:val="hybridMultilevel"/>
    <w:tmpl w:val="05780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FC1260"/>
    <w:multiLevelType w:val="hybridMultilevel"/>
    <w:tmpl w:val="CD9C7C5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1D52834"/>
    <w:multiLevelType w:val="hybridMultilevel"/>
    <w:tmpl w:val="15CC7B7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2"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A95D64"/>
    <w:multiLevelType w:val="hybridMultilevel"/>
    <w:tmpl w:val="FD94C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807861"/>
    <w:multiLevelType w:val="hybridMultilevel"/>
    <w:tmpl w:val="EA928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EE4316"/>
    <w:multiLevelType w:val="hybridMultilevel"/>
    <w:tmpl w:val="15CC7B7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37" w15:restartNumberingAfterBreak="0">
    <w:nsid w:val="66AC26BC"/>
    <w:multiLevelType w:val="hybridMultilevel"/>
    <w:tmpl w:val="5E463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4D033C"/>
    <w:multiLevelType w:val="multilevel"/>
    <w:tmpl w:val="B192A63C"/>
    <w:lvl w:ilvl="0">
      <w:start w:val="1"/>
      <w:numFmt w:val="decimal"/>
      <w:pStyle w:val="2Sections"/>
      <w:lvlText w:val="%1"/>
      <w:lvlJc w:val="left"/>
      <w:pPr>
        <w:ind w:left="720" w:hanging="720"/>
      </w:pPr>
      <w:rPr>
        <w:rFonts w:hint="default"/>
        <w:b/>
        <w:color w:val="000000" w:themeColor="text1"/>
      </w:rPr>
    </w:lvl>
    <w:lvl w:ilvl="1">
      <w:start w:val="1"/>
      <w:numFmt w:val="decimal"/>
      <w:pStyle w:val="4Bodytextnumbered"/>
      <w:lvlText w:val="%1.%2"/>
      <w:lvlJc w:val="left"/>
      <w:pPr>
        <w:ind w:left="720" w:hanging="720"/>
      </w:pPr>
      <w:rPr>
        <w:rFonts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E81FDC"/>
    <w:multiLevelType w:val="hybridMultilevel"/>
    <w:tmpl w:val="D5C698E8"/>
    <w:lvl w:ilvl="0" w:tplc="A79EC4F8">
      <w:start w:val="1"/>
      <w:numFmt w:val="bullet"/>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2C536D"/>
    <w:multiLevelType w:val="hybridMultilevel"/>
    <w:tmpl w:val="71007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F4B40FB"/>
    <w:multiLevelType w:val="hybridMultilevel"/>
    <w:tmpl w:val="EF540A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F71665B"/>
    <w:multiLevelType w:val="hybridMultilevel"/>
    <w:tmpl w:val="15CC7B7E"/>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3" w15:restartNumberingAfterBreak="0">
    <w:nsid w:val="7FF93C47"/>
    <w:multiLevelType w:val="multilevel"/>
    <w:tmpl w:val="79949C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657998320">
    <w:abstractNumId w:val="25"/>
  </w:num>
  <w:num w:numId="2" w16cid:durableId="338891750">
    <w:abstractNumId w:val="37"/>
  </w:num>
  <w:num w:numId="3" w16cid:durableId="545029920">
    <w:abstractNumId w:val="24"/>
  </w:num>
  <w:num w:numId="4" w16cid:durableId="973104103">
    <w:abstractNumId w:val="15"/>
  </w:num>
  <w:num w:numId="5" w16cid:durableId="1524902972">
    <w:abstractNumId w:val="4"/>
  </w:num>
  <w:num w:numId="6" w16cid:durableId="1400984840">
    <w:abstractNumId w:val="35"/>
  </w:num>
  <w:num w:numId="7" w16cid:durableId="1444157512">
    <w:abstractNumId w:val="40"/>
  </w:num>
  <w:num w:numId="8" w16cid:durableId="954990734">
    <w:abstractNumId w:val="22"/>
  </w:num>
  <w:num w:numId="9" w16cid:durableId="134152808">
    <w:abstractNumId w:val="10"/>
  </w:num>
  <w:num w:numId="10" w16cid:durableId="620115223">
    <w:abstractNumId w:val="43"/>
  </w:num>
  <w:num w:numId="11" w16cid:durableId="586425037">
    <w:abstractNumId w:val="14"/>
  </w:num>
  <w:num w:numId="12" w16cid:durableId="1638102167">
    <w:abstractNumId w:val="8"/>
  </w:num>
  <w:num w:numId="13" w16cid:durableId="280691737">
    <w:abstractNumId w:val="29"/>
  </w:num>
  <w:num w:numId="14" w16cid:durableId="978726038">
    <w:abstractNumId w:val="33"/>
  </w:num>
  <w:num w:numId="15" w16cid:durableId="16621184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1839706">
    <w:abstractNumId w:val="41"/>
  </w:num>
  <w:num w:numId="17" w16cid:durableId="1869492533">
    <w:abstractNumId w:val="6"/>
  </w:num>
  <w:num w:numId="18" w16cid:durableId="1333025457">
    <w:abstractNumId w:val="9"/>
  </w:num>
  <w:num w:numId="19" w16cid:durableId="22752682">
    <w:abstractNumId w:val="3"/>
  </w:num>
  <w:num w:numId="20" w16cid:durableId="90144968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34004035">
    <w:abstractNumId w:val="23"/>
  </w:num>
  <w:num w:numId="22" w16cid:durableId="1584296286">
    <w:abstractNumId w:val="2"/>
  </w:num>
  <w:num w:numId="23" w16cid:durableId="601304060">
    <w:abstractNumId w:val="24"/>
  </w:num>
  <w:num w:numId="24" w16cid:durableId="1516380461">
    <w:abstractNumId w:val="26"/>
  </w:num>
  <w:num w:numId="25" w16cid:durableId="1878811766">
    <w:abstractNumId w:val="24"/>
  </w:num>
  <w:num w:numId="26" w16cid:durableId="1330329989">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9191083">
    <w:abstractNumId w:val="24"/>
  </w:num>
  <w:num w:numId="28" w16cid:durableId="1388412489">
    <w:abstractNumId w:val="21"/>
  </w:num>
  <w:num w:numId="29" w16cid:durableId="281887661">
    <w:abstractNumId w:val="11"/>
  </w:num>
  <w:num w:numId="30" w16cid:durableId="311062140">
    <w:abstractNumId w:val="7"/>
  </w:num>
  <w:num w:numId="31" w16cid:durableId="203306540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92094332">
    <w:abstractNumId w:val="1"/>
  </w:num>
  <w:num w:numId="33" w16cid:durableId="1319189869">
    <w:abstractNumId w:val="30"/>
  </w:num>
  <w:num w:numId="34" w16cid:durableId="205531831">
    <w:abstractNumId w:val="38"/>
  </w:num>
  <w:num w:numId="35" w16cid:durableId="78479276">
    <w:abstractNumId w:val="28"/>
  </w:num>
  <w:num w:numId="36" w16cid:durableId="1750541649">
    <w:abstractNumId w:val="32"/>
  </w:num>
  <w:num w:numId="37" w16cid:durableId="596065724">
    <w:abstractNumId w:val="39"/>
  </w:num>
  <w:num w:numId="38" w16cid:durableId="1486051367">
    <w:abstractNumId w:val="0"/>
  </w:num>
  <w:num w:numId="39" w16cid:durableId="1694650413">
    <w:abstractNumId w:val="34"/>
  </w:num>
  <w:num w:numId="40" w16cid:durableId="135152734">
    <w:abstractNumId w:val="16"/>
  </w:num>
  <w:num w:numId="41" w16cid:durableId="5292963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16083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83650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564177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95326981">
    <w:abstractNumId w:val="42"/>
  </w:num>
  <w:num w:numId="46" w16cid:durableId="627860406">
    <w:abstractNumId w:val="12"/>
  </w:num>
  <w:num w:numId="47" w16cid:durableId="297690071">
    <w:abstractNumId w:val="17"/>
  </w:num>
  <w:num w:numId="48" w16cid:durableId="1389300606">
    <w:abstractNumId w:val="13"/>
  </w:num>
  <w:num w:numId="49" w16cid:durableId="1624263197">
    <w:abstractNumId w:val="5"/>
  </w:num>
  <w:num w:numId="50" w16cid:durableId="202778062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75426562">
    <w:abstractNumId w:val="18"/>
  </w:num>
  <w:num w:numId="52" w16cid:durableId="1023358562">
    <w:abstractNumId w:val="20"/>
  </w:num>
  <w:num w:numId="53" w16cid:durableId="10754879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1681344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68729700">
    <w:abstractNumId w:val="19"/>
  </w:num>
  <w:num w:numId="56" w16cid:durableId="529879594">
    <w:abstractNumId w:val="19"/>
    <w:lvlOverride w:ilvl="0">
      <w:lvl w:ilvl="0">
        <w:start w:val="2"/>
        <w:numFmt w:val="decimal"/>
        <w:lvlText w:val="%1."/>
        <w:lvlJc w:val="left"/>
        <w:pPr>
          <w:ind w:left="360" w:hanging="360"/>
        </w:pPr>
        <w:rPr>
          <w:rFonts w:hint="default"/>
        </w:rPr>
      </w:lvl>
    </w:lvlOverride>
    <w:lvlOverride w:ilvl="1">
      <w:lvl w:ilvl="1">
        <w:start w:val="1"/>
        <w:numFmt w:val="decimal"/>
        <w:pStyle w:val="Heading3"/>
        <w:lvlText w:val="2.%2."/>
        <w:lvlJc w:val="left"/>
        <w:pPr>
          <w:ind w:left="934" w:hanging="792"/>
        </w:pPr>
        <w:rPr>
          <w:rFonts w:hint="default"/>
        </w:rPr>
      </w:lvl>
    </w:lvlOverride>
    <w:lvlOverride w:ilvl="2">
      <w:lvl w:ilvl="2">
        <w:start w:val="1"/>
        <w:numFmt w:val="decimal"/>
        <w:pStyle w:val="Heading4"/>
        <w:lvlText w:val="1.6.%3"/>
        <w:lvlJc w:val="left"/>
        <w:pPr>
          <w:ind w:left="1134" w:hanging="850"/>
        </w:pPr>
        <w:rPr>
          <w:rFonts w:asciiTheme="majorHAnsi" w:hAnsiTheme="majorHAnsi" w:cstheme="majorHAnsi" w:hint="default"/>
          <w:color w:val="4472C4" w:themeColor="accent1"/>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7" w16cid:durableId="1570529694">
    <w:abstractNumId w:val="19"/>
    <w:lvlOverride w:ilvl="0">
      <w:lvl w:ilvl="0">
        <w:start w:val="2"/>
        <w:numFmt w:val="decimal"/>
        <w:lvlText w:val="%1."/>
        <w:lvlJc w:val="left"/>
        <w:pPr>
          <w:ind w:left="360" w:hanging="360"/>
        </w:pPr>
        <w:rPr>
          <w:rFonts w:hint="default"/>
        </w:rPr>
      </w:lvl>
    </w:lvlOverride>
    <w:lvlOverride w:ilvl="1">
      <w:lvl w:ilvl="1">
        <w:start w:val="1"/>
        <w:numFmt w:val="decimal"/>
        <w:pStyle w:val="Heading3"/>
        <w:lvlText w:val="2.%2."/>
        <w:lvlJc w:val="left"/>
        <w:pPr>
          <w:ind w:left="934" w:hanging="792"/>
        </w:pPr>
        <w:rPr>
          <w:rFonts w:hint="default"/>
        </w:rPr>
      </w:lvl>
    </w:lvlOverride>
    <w:lvlOverride w:ilvl="2">
      <w:lvl w:ilvl="2">
        <w:start w:val="1"/>
        <w:numFmt w:val="decimal"/>
        <w:pStyle w:val="Heading4"/>
        <w:lvlText w:val="1.6.%3"/>
        <w:lvlJc w:val="left"/>
        <w:pPr>
          <w:ind w:left="1134" w:hanging="850"/>
        </w:pPr>
        <w:rPr>
          <w:rFonts w:asciiTheme="majorHAnsi" w:hAnsiTheme="majorHAnsi" w:cstheme="majorHAnsi" w:hint="default"/>
          <w:color w:val="4472C4" w:themeColor="accent1"/>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Vancouver Superscript&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ssz590sx9vzw4ewpzdv0s5sret50aexdtd9&quot;&gt;PMR EndNote Library&lt;record-ids&gt;&lt;item&gt;1&lt;/item&gt;&lt;item&gt;7&lt;/item&gt;&lt;item&gt;70&lt;/item&gt;&lt;item&gt;71&lt;/item&gt;&lt;item&gt;72&lt;/item&gt;&lt;item&gt;73&lt;/item&gt;&lt;/record-ids&gt;&lt;/item&gt;&lt;/Libraries&gt;"/>
  </w:docVars>
  <w:rsids>
    <w:rsidRoot w:val="00A65EBB"/>
    <w:rsid w:val="00001281"/>
    <w:rsid w:val="000013E1"/>
    <w:rsid w:val="00003CC9"/>
    <w:rsid w:val="000058B6"/>
    <w:rsid w:val="000078CC"/>
    <w:rsid w:val="00007DD0"/>
    <w:rsid w:val="000123E2"/>
    <w:rsid w:val="00013BE8"/>
    <w:rsid w:val="00014656"/>
    <w:rsid w:val="00015A66"/>
    <w:rsid w:val="00015C04"/>
    <w:rsid w:val="000165C0"/>
    <w:rsid w:val="000166F8"/>
    <w:rsid w:val="000175C7"/>
    <w:rsid w:val="00017DE8"/>
    <w:rsid w:val="0002123E"/>
    <w:rsid w:val="000223C2"/>
    <w:rsid w:val="000326C5"/>
    <w:rsid w:val="000356B1"/>
    <w:rsid w:val="00035AC5"/>
    <w:rsid w:val="000401C7"/>
    <w:rsid w:val="00043CD9"/>
    <w:rsid w:val="00044F90"/>
    <w:rsid w:val="00045EDB"/>
    <w:rsid w:val="000471C1"/>
    <w:rsid w:val="00050392"/>
    <w:rsid w:val="00050617"/>
    <w:rsid w:val="0005248A"/>
    <w:rsid w:val="000524DC"/>
    <w:rsid w:val="000540B7"/>
    <w:rsid w:val="00054BAC"/>
    <w:rsid w:val="00055AA6"/>
    <w:rsid w:val="00063610"/>
    <w:rsid w:val="00063F43"/>
    <w:rsid w:val="00066F6D"/>
    <w:rsid w:val="00070343"/>
    <w:rsid w:val="00073303"/>
    <w:rsid w:val="00077779"/>
    <w:rsid w:val="00083CA6"/>
    <w:rsid w:val="000843FD"/>
    <w:rsid w:val="00084C9D"/>
    <w:rsid w:val="000861EA"/>
    <w:rsid w:val="000862DD"/>
    <w:rsid w:val="00090B3A"/>
    <w:rsid w:val="00091A21"/>
    <w:rsid w:val="000960AE"/>
    <w:rsid w:val="000A14B1"/>
    <w:rsid w:val="000A1A49"/>
    <w:rsid w:val="000A5E9D"/>
    <w:rsid w:val="000A63BE"/>
    <w:rsid w:val="000A6901"/>
    <w:rsid w:val="000A715C"/>
    <w:rsid w:val="000B5815"/>
    <w:rsid w:val="000B5938"/>
    <w:rsid w:val="000B5B6E"/>
    <w:rsid w:val="000B6BFB"/>
    <w:rsid w:val="000B7F0F"/>
    <w:rsid w:val="000C01AC"/>
    <w:rsid w:val="000C0F50"/>
    <w:rsid w:val="000C22DC"/>
    <w:rsid w:val="000C2D70"/>
    <w:rsid w:val="000C480B"/>
    <w:rsid w:val="000C6132"/>
    <w:rsid w:val="000D0836"/>
    <w:rsid w:val="000D0D4B"/>
    <w:rsid w:val="000D1AA4"/>
    <w:rsid w:val="000D1F3E"/>
    <w:rsid w:val="000D2104"/>
    <w:rsid w:val="000D2760"/>
    <w:rsid w:val="000E0125"/>
    <w:rsid w:val="000E0A19"/>
    <w:rsid w:val="000E3808"/>
    <w:rsid w:val="000E4BB4"/>
    <w:rsid w:val="000F4B04"/>
    <w:rsid w:val="000F558C"/>
    <w:rsid w:val="000F7A6A"/>
    <w:rsid w:val="00101F08"/>
    <w:rsid w:val="001023C7"/>
    <w:rsid w:val="00117A41"/>
    <w:rsid w:val="00124E70"/>
    <w:rsid w:val="001267A3"/>
    <w:rsid w:val="00135831"/>
    <w:rsid w:val="00140060"/>
    <w:rsid w:val="00140272"/>
    <w:rsid w:val="001432E7"/>
    <w:rsid w:val="001453CB"/>
    <w:rsid w:val="00145885"/>
    <w:rsid w:val="00145F63"/>
    <w:rsid w:val="00146E55"/>
    <w:rsid w:val="00147D91"/>
    <w:rsid w:val="00154314"/>
    <w:rsid w:val="00156182"/>
    <w:rsid w:val="0015619D"/>
    <w:rsid w:val="001572E2"/>
    <w:rsid w:val="00161718"/>
    <w:rsid w:val="00161F50"/>
    <w:rsid w:val="001641F2"/>
    <w:rsid w:val="00166D7F"/>
    <w:rsid w:val="0017041B"/>
    <w:rsid w:val="00173159"/>
    <w:rsid w:val="0017441B"/>
    <w:rsid w:val="001748FF"/>
    <w:rsid w:val="00177B64"/>
    <w:rsid w:val="00181343"/>
    <w:rsid w:val="001816CC"/>
    <w:rsid w:val="00181DF4"/>
    <w:rsid w:val="001825E2"/>
    <w:rsid w:val="00185110"/>
    <w:rsid w:val="0018599B"/>
    <w:rsid w:val="001867AD"/>
    <w:rsid w:val="00190A4E"/>
    <w:rsid w:val="001957C9"/>
    <w:rsid w:val="0019627B"/>
    <w:rsid w:val="001A04AE"/>
    <w:rsid w:val="001A2C9F"/>
    <w:rsid w:val="001A3DFD"/>
    <w:rsid w:val="001A3E2C"/>
    <w:rsid w:val="001A4874"/>
    <w:rsid w:val="001A6153"/>
    <w:rsid w:val="001A62EA"/>
    <w:rsid w:val="001A6434"/>
    <w:rsid w:val="001A687A"/>
    <w:rsid w:val="001A7F25"/>
    <w:rsid w:val="001B17CB"/>
    <w:rsid w:val="001B1913"/>
    <w:rsid w:val="001B1FEE"/>
    <w:rsid w:val="001B2ADD"/>
    <w:rsid w:val="001B35D0"/>
    <w:rsid w:val="001B5E2E"/>
    <w:rsid w:val="001B6480"/>
    <w:rsid w:val="001B6FD8"/>
    <w:rsid w:val="001C12EB"/>
    <w:rsid w:val="001C1362"/>
    <w:rsid w:val="001C14FD"/>
    <w:rsid w:val="001C1D3A"/>
    <w:rsid w:val="001C37E1"/>
    <w:rsid w:val="001C3AD3"/>
    <w:rsid w:val="001C61A2"/>
    <w:rsid w:val="001C629B"/>
    <w:rsid w:val="001C7C0F"/>
    <w:rsid w:val="001D27F2"/>
    <w:rsid w:val="001D51AA"/>
    <w:rsid w:val="001D6C5D"/>
    <w:rsid w:val="001D7063"/>
    <w:rsid w:val="001E3375"/>
    <w:rsid w:val="001E3699"/>
    <w:rsid w:val="001E574E"/>
    <w:rsid w:val="001E5DF0"/>
    <w:rsid w:val="001E69D0"/>
    <w:rsid w:val="001F1035"/>
    <w:rsid w:val="001F4418"/>
    <w:rsid w:val="001F4557"/>
    <w:rsid w:val="001F6BDC"/>
    <w:rsid w:val="001F744A"/>
    <w:rsid w:val="001F7D60"/>
    <w:rsid w:val="0020098F"/>
    <w:rsid w:val="00200E90"/>
    <w:rsid w:val="00201914"/>
    <w:rsid w:val="00201B7B"/>
    <w:rsid w:val="00202E31"/>
    <w:rsid w:val="00203F3C"/>
    <w:rsid w:val="00203F84"/>
    <w:rsid w:val="002052E3"/>
    <w:rsid w:val="00205405"/>
    <w:rsid w:val="00205455"/>
    <w:rsid w:val="002056F2"/>
    <w:rsid w:val="002057DA"/>
    <w:rsid w:val="002077C5"/>
    <w:rsid w:val="0021131A"/>
    <w:rsid w:val="002133A6"/>
    <w:rsid w:val="0021409F"/>
    <w:rsid w:val="0021604E"/>
    <w:rsid w:val="00216481"/>
    <w:rsid w:val="00220D1C"/>
    <w:rsid w:val="002243DB"/>
    <w:rsid w:val="00226937"/>
    <w:rsid w:val="002273A1"/>
    <w:rsid w:val="00227EAB"/>
    <w:rsid w:val="00230625"/>
    <w:rsid w:val="00231477"/>
    <w:rsid w:val="002316F1"/>
    <w:rsid w:val="002325D1"/>
    <w:rsid w:val="00232ECE"/>
    <w:rsid w:val="002374CF"/>
    <w:rsid w:val="00240F10"/>
    <w:rsid w:val="00241237"/>
    <w:rsid w:val="0024277F"/>
    <w:rsid w:val="0025160F"/>
    <w:rsid w:val="00253486"/>
    <w:rsid w:val="0025390C"/>
    <w:rsid w:val="0025475B"/>
    <w:rsid w:val="00254E53"/>
    <w:rsid w:val="00255CD0"/>
    <w:rsid w:val="00257E95"/>
    <w:rsid w:val="00257F28"/>
    <w:rsid w:val="002621FD"/>
    <w:rsid w:val="00262FD5"/>
    <w:rsid w:val="00263374"/>
    <w:rsid w:val="00264AE1"/>
    <w:rsid w:val="0026561C"/>
    <w:rsid w:val="00270D98"/>
    <w:rsid w:val="0027110F"/>
    <w:rsid w:val="002711B9"/>
    <w:rsid w:val="0027185D"/>
    <w:rsid w:val="0027528D"/>
    <w:rsid w:val="002767F3"/>
    <w:rsid w:val="00280050"/>
    <w:rsid w:val="002819E4"/>
    <w:rsid w:val="0028256B"/>
    <w:rsid w:val="00282A3F"/>
    <w:rsid w:val="00282A66"/>
    <w:rsid w:val="00282F53"/>
    <w:rsid w:val="00283730"/>
    <w:rsid w:val="00283F6B"/>
    <w:rsid w:val="002843E2"/>
    <w:rsid w:val="0028497A"/>
    <w:rsid w:val="0029008F"/>
    <w:rsid w:val="002909B1"/>
    <w:rsid w:val="00290B88"/>
    <w:rsid w:val="002915E5"/>
    <w:rsid w:val="00295180"/>
    <w:rsid w:val="002A0DDA"/>
    <w:rsid w:val="002A2DD0"/>
    <w:rsid w:val="002A4C98"/>
    <w:rsid w:val="002A6DF0"/>
    <w:rsid w:val="002B00D5"/>
    <w:rsid w:val="002B5048"/>
    <w:rsid w:val="002C0432"/>
    <w:rsid w:val="002C0A93"/>
    <w:rsid w:val="002C26E2"/>
    <w:rsid w:val="002C6609"/>
    <w:rsid w:val="002C748D"/>
    <w:rsid w:val="002C75EE"/>
    <w:rsid w:val="002D1AAE"/>
    <w:rsid w:val="002D2B58"/>
    <w:rsid w:val="002D4DDA"/>
    <w:rsid w:val="002D55ED"/>
    <w:rsid w:val="002D5DBD"/>
    <w:rsid w:val="002D679C"/>
    <w:rsid w:val="002E01CD"/>
    <w:rsid w:val="002E104D"/>
    <w:rsid w:val="002E20BD"/>
    <w:rsid w:val="002E568B"/>
    <w:rsid w:val="002E6C67"/>
    <w:rsid w:val="002F0AE3"/>
    <w:rsid w:val="002F25CF"/>
    <w:rsid w:val="002F2D31"/>
    <w:rsid w:val="002F31D5"/>
    <w:rsid w:val="002F5331"/>
    <w:rsid w:val="002F6C93"/>
    <w:rsid w:val="002F7DE4"/>
    <w:rsid w:val="0030007B"/>
    <w:rsid w:val="0030014F"/>
    <w:rsid w:val="0030225F"/>
    <w:rsid w:val="00302745"/>
    <w:rsid w:val="0030283C"/>
    <w:rsid w:val="00302E3C"/>
    <w:rsid w:val="00311DE7"/>
    <w:rsid w:val="00313068"/>
    <w:rsid w:val="00313097"/>
    <w:rsid w:val="0031367D"/>
    <w:rsid w:val="00313785"/>
    <w:rsid w:val="0031595C"/>
    <w:rsid w:val="00316322"/>
    <w:rsid w:val="00316DFE"/>
    <w:rsid w:val="00316F53"/>
    <w:rsid w:val="00317513"/>
    <w:rsid w:val="0032198F"/>
    <w:rsid w:val="003224E8"/>
    <w:rsid w:val="00323028"/>
    <w:rsid w:val="0032311A"/>
    <w:rsid w:val="00323501"/>
    <w:rsid w:val="00324EEE"/>
    <w:rsid w:val="0032539D"/>
    <w:rsid w:val="003258E1"/>
    <w:rsid w:val="00330542"/>
    <w:rsid w:val="00331750"/>
    <w:rsid w:val="00332C81"/>
    <w:rsid w:val="003331FC"/>
    <w:rsid w:val="00333F91"/>
    <w:rsid w:val="00334D6A"/>
    <w:rsid w:val="00337EA6"/>
    <w:rsid w:val="00340187"/>
    <w:rsid w:val="00341F3B"/>
    <w:rsid w:val="003437E1"/>
    <w:rsid w:val="003448FF"/>
    <w:rsid w:val="00345C82"/>
    <w:rsid w:val="0034644E"/>
    <w:rsid w:val="0035365D"/>
    <w:rsid w:val="00353A61"/>
    <w:rsid w:val="003568C3"/>
    <w:rsid w:val="00356D31"/>
    <w:rsid w:val="00357250"/>
    <w:rsid w:val="0036003B"/>
    <w:rsid w:val="00361238"/>
    <w:rsid w:val="00362A02"/>
    <w:rsid w:val="00363A7A"/>
    <w:rsid w:val="00367512"/>
    <w:rsid w:val="003702F8"/>
    <w:rsid w:val="00372BB1"/>
    <w:rsid w:val="00373DB1"/>
    <w:rsid w:val="00376296"/>
    <w:rsid w:val="00377D05"/>
    <w:rsid w:val="003817E6"/>
    <w:rsid w:val="00382678"/>
    <w:rsid w:val="00382D36"/>
    <w:rsid w:val="003873F0"/>
    <w:rsid w:val="003904D0"/>
    <w:rsid w:val="0039086C"/>
    <w:rsid w:val="003968EF"/>
    <w:rsid w:val="00397022"/>
    <w:rsid w:val="0039756E"/>
    <w:rsid w:val="00397F47"/>
    <w:rsid w:val="003A00F4"/>
    <w:rsid w:val="003A07DC"/>
    <w:rsid w:val="003A211A"/>
    <w:rsid w:val="003A56CE"/>
    <w:rsid w:val="003A5A34"/>
    <w:rsid w:val="003A5C5D"/>
    <w:rsid w:val="003A6043"/>
    <w:rsid w:val="003A65D7"/>
    <w:rsid w:val="003B1F27"/>
    <w:rsid w:val="003B2993"/>
    <w:rsid w:val="003C1F66"/>
    <w:rsid w:val="003C3C45"/>
    <w:rsid w:val="003C4825"/>
    <w:rsid w:val="003C4A7C"/>
    <w:rsid w:val="003D3171"/>
    <w:rsid w:val="003D4D14"/>
    <w:rsid w:val="003E13E1"/>
    <w:rsid w:val="003E30A8"/>
    <w:rsid w:val="003F4B9D"/>
    <w:rsid w:val="003F6A10"/>
    <w:rsid w:val="0040160A"/>
    <w:rsid w:val="004030E1"/>
    <w:rsid w:val="0040351E"/>
    <w:rsid w:val="004036BF"/>
    <w:rsid w:val="00404226"/>
    <w:rsid w:val="004060F1"/>
    <w:rsid w:val="00407270"/>
    <w:rsid w:val="004113E5"/>
    <w:rsid w:val="004117B4"/>
    <w:rsid w:val="004132AD"/>
    <w:rsid w:val="00413594"/>
    <w:rsid w:val="004139FC"/>
    <w:rsid w:val="0041569E"/>
    <w:rsid w:val="00415ACE"/>
    <w:rsid w:val="00415D94"/>
    <w:rsid w:val="00417092"/>
    <w:rsid w:val="00420E81"/>
    <w:rsid w:val="00420EA7"/>
    <w:rsid w:val="004210AE"/>
    <w:rsid w:val="00421D86"/>
    <w:rsid w:val="00421F9E"/>
    <w:rsid w:val="004260DD"/>
    <w:rsid w:val="004275E8"/>
    <w:rsid w:val="00427D2B"/>
    <w:rsid w:val="0043014E"/>
    <w:rsid w:val="00433141"/>
    <w:rsid w:val="004341E7"/>
    <w:rsid w:val="00434810"/>
    <w:rsid w:val="00434CB3"/>
    <w:rsid w:val="004355CC"/>
    <w:rsid w:val="00435E99"/>
    <w:rsid w:val="00441126"/>
    <w:rsid w:val="00441997"/>
    <w:rsid w:val="00442F73"/>
    <w:rsid w:val="00443C61"/>
    <w:rsid w:val="00443E9C"/>
    <w:rsid w:val="004448A6"/>
    <w:rsid w:val="0044643F"/>
    <w:rsid w:val="0045047A"/>
    <w:rsid w:val="00450484"/>
    <w:rsid w:val="00450596"/>
    <w:rsid w:val="00450803"/>
    <w:rsid w:val="0045167A"/>
    <w:rsid w:val="00454002"/>
    <w:rsid w:val="00463EE2"/>
    <w:rsid w:val="00464CB6"/>
    <w:rsid w:val="00470373"/>
    <w:rsid w:val="00470644"/>
    <w:rsid w:val="0047151E"/>
    <w:rsid w:val="00472667"/>
    <w:rsid w:val="00473761"/>
    <w:rsid w:val="00475593"/>
    <w:rsid w:val="004812BA"/>
    <w:rsid w:val="00485353"/>
    <w:rsid w:val="00485A27"/>
    <w:rsid w:val="00486D84"/>
    <w:rsid w:val="00487F06"/>
    <w:rsid w:val="00491630"/>
    <w:rsid w:val="004921AF"/>
    <w:rsid w:val="00494E60"/>
    <w:rsid w:val="00495AA2"/>
    <w:rsid w:val="00496F32"/>
    <w:rsid w:val="004A0216"/>
    <w:rsid w:val="004A0B94"/>
    <w:rsid w:val="004A20B6"/>
    <w:rsid w:val="004A5210"/>
    <w:rsid w:val="004B080C"/>
    <w:rsid w:val="004B13E3"/>
    <w:rsid w:val="004B321B"/>
    <w:rsid w:val="004B3F1E"/>
    <w:rsid w:val="004B4F09"/>
    <w:rsid w:val="004B6B6D"/>
    <w:rsid w:val="004B7837"/>
    <w:rsid w:val="004C18E7"/>
    <w:rsid w:val="004C41FC"/>
    <w:rsid w:val="004C5281"/>
    <w:rsid w:val="004D0AEA"/>
    <w:rsid w:val="004D1783"/>
    <w:rsid w:val="004D277D"/>
    <w:rsid w:val="004D382D"/>
    <w:rsid w:val="004D4079"/>
    <w:rsid w:val="004D5AB2"/>
    <w:rsid w:val="004D6904"/>
    <w:rsid w:val="004E1AC4"/>
    <w:rsid w:val="004E307A"/>
    <w:rsid w:val="004E3303"/>
    <w:rsid w:val="004E47E5"/>
    <w:rsid w:val="004E5C21"/>
    <w:rsid w:val="004E7DEE"/>
    <w:rsid w:val="004F0638"/>
    <w:rsid w:val="004F0F2C"/>
    <w:rsid w:val="004F1482"/>
    <w:rsid w:val="004F4E54"/>
    <w:rsid w:val="004F5711"/>
    <w:rsid w:val="004F683E"/>
    <w:rsid w:val="004F6B75"/>
    <w:rsid w:val="00501235"/>
    <w:rsid w:val="005012E8"/>
    <w:rsid w:val="005053C9"/>
    <w:rsid w:val="005056DE"/>
    <w:rsid w:val="0050782E"/>
    <w:rsid w:val="00507FC3"/>
    <w:rsid w:val="00511A69"/>
    <w:rsid w:val="00513FE4"/>
    <w:rsid w:val="00515A22"/>
    <w:rsid w:val="005202CB"/>
    <w:rsid w:val="005218B3"/>
    <w:rsid w:val="005241F8"/>
    <w:rsid w:val="00525506"/>
    <w:rsid w:val="005256E8"/>
    <w:rsid w:val="00527780"/>
    <w:rsid w:val="00531A35"/>
    <w:rsid w:val="00533671"/>
    <w:rsid w:val="00533C56"/>
    <w:rsid w:val="00533EC5"/>
    <w:rsid w:val="00534BFB"/>
    <w:rsid w:val="00535711"/>
    <w:rsid w:val="00536571"/>
    <w:rsid w:val="00541841"/>
    <w:rsid w:val="005467BC"/>
    <w:rsid w:val="005500A1"/>
    <w:rsid w:val="00552044"/>
    <w:rsid w:val="00552B59"/>
    <w:rsid w:val="00552C08"/>
    <w:rsid w:val="005531C9"/>
    <w:rsid w:val="005533DA"/>
    <w:rsid w:val="005548BA"/>
    <w:rsid w:val="00557499"/>
    <w:rsid w:val="005577E2"/>
    <w:rsid w:val="005625AC"/>
    <w:rsid w:val="005630DD"/>
    <w:rsid w:val="00566FCD"/>
    <w:rsid w:val="005678F9"/>
    <w:rsid w:val="00567E1D"/>
    <w:rsid w:val="00572536"/>
    <w:rsid w:val="005733E4"/>
    <w:rsid w:val="005756A2"/>
    <w:rsid w:val="005759BB"/>
    <w:rsid w:val="00581A45"/>
    <w:rsid w:val="00584A47"/>
    <w:rsid w:val="00585868"/>
    <w:rsid w:val="005859AA"/>
    <w:rsid w:val="005904B4"/>
    <w:rsid w:val="00593300"/>
    <w:rsid w:val="00594654"/>
    <w:rsid w:val="00594AF2"/>
    <w:rsid w:val="00595A22"/>
    <w:rsid w:val="00597FED"/>
    <w:rsid w:val="005B0C0C"/>
    <w:rsid w:val="005C121B"/>
    <w:rsid w:val="005C15E0"/>
    <w:rsid w:val="005C194E"/>
    <w:rsid w:val="005C27DD"/>
    <w:rsid w:val="005C41E9"/>
    <w:rsid w:val="005C5049"/>
    <w:rsid w:val="005C7875"/>
    <w:rsid w:val="005C7E2F"/>
    <w:rsid w:val="005D2F14"/>
    <w:rsid w:val="005D45FB"/>
    <w:rsid w:val="005D5213"/>
    <w:rsid w:val="005D65C2"/>
    <w:rsid w:val="005D6FC9"/>
    <w:rsid w:val="005E1FA4"/>
    <w:rsid w:val="005E3899"/>
    <w:rsid w:val="005E4E94"/>
    <w:rsid w:val="005E6303"/>
    <w:rsid w:val="005F2527"/>
    <w:rsid w:val="005F7787"/>
    <w:rsid w:val="00600CE7"/>
    <w:rsid w:val="00602980"/>
    <w:rsid w:val="00604A6B"/>
    <w:rsid w:val="00604DBC"/>
    <w:rsid w:val="00605DAC"/>
    <w:rsid w:val="00607283"/>
    <w:rsid w:val="00607924"/>
    <w:rsid w:val="0061107D"/>
    <w:rsid w:val="00613D56"/>
    <w:rsid w:val="00613DB3"/>
    <w:rsid w:val="0061488C"/>
    <w:rsid w:val="00614C87"/>
    <w:rsid w:val="006153DB"/>
    <w:rsid w:val="00620FF0"/>
    <w:rsid w:val="00623955"/>
    <w:rsid w:val="00623E25"/>
    <w:rsid w:val="00624133"/>
    <w:rsid w:val="0062536E"/>
    <w:rsid w:val="006274CC"/>
    <w:rsid w:val="00630E93"/>
    <w:rsid w:val="006313CB"/>
    <w:rsid w:val="00632DDD"/>
    <w:rsid w:val="0063508E"/>
    <w:rsid w:val="00636037"/>
    <w:rsid w:val="00636171"/>
    <w:rsid w:val="00636693"/>
    <w:rsid w:val="00637605"/>
    <w:rsid w:val="006403C3"/>
    <w:rsid w:val="00641654"/>
    <w:rsid w:val="00641FC1"/>
    <w:rsid w:val="0064372B"/>
    <w:rsid w:val="0064482C"/>
    <w:rsid w:val="00646BA3"/>
    <w:rsid w:val="0064748A"/>
    <w:rsid w:val="006562D4"/>
    <w:rsid w:val="00661B90"/>
    <w:rsid w:val="00661F48"/>
    <w:rsid w:val="00662F3E"/>
    <w:rsid w:val="00666385"/>
    <w:rsid w:val="00667013"/>
    <w:rsid w:val="0067160D"/>
    <w:rsid w:val="00672EB8"/>
    <w:rsid w:val="00673585"/>
    <w:rsid w:val="00675B58"/>
    <w:rsid w:val="00677219"/>
    <w:rsid w:val="006776CC"/>
    <w:rsid w:val="0068125D"/>
    <w:rsid w:val="00681AF4"/>
    <w:rsid w:val="00681BBC"/>
    <w:rsid w:val="006907EB"/>
    <w:rsid w:val="00691B46"/>
    <w:rsid w:val="00694A1A"/>
    <w:rsid w:val="00695D79"/>
    <w:rsid w:val="0069717D"/>
    <w:rsid w:val="006A2C70"/>
    <w:rsid w:val="006A3A0B"/>
    <w:rsid w:val="006A40D7"/>
    <w:rsid w:val="006A749E"/>
    <w:rsid w:val="006B0F04"/>
    <w:rsid w:val="006B160B"/>
    <w:rsid w:val="006B2523"/>
    <w:rsid w:val="006B3263"/>
    <w:rsid w:val="006C1B0B"/>
    <w:rsid w:val="006C247E"/>
    <w:rsid w:val="006C4489"/>
    <w:rsid w:val="006C5734"/>
    <w:rsid w:val="006C5C8F"/>
    <w:rsid w:val="006D1683"/>
    <w:rsid w:val="006D1E1B"/>
    <w:rsid w:val="006D2853"/>
    <w:rsid w:val="006D69A3"/>
    <w:rsid w:val="006E1617"/>
    <w:rsid w:val="006E227E"/>
    <w:rsid w:val="006E27C5"/>
    <w:rsid w:val="006E2ABB"/>
    <w:rsid w:val="006E3B65"/>
    <w:rsid w:val="006E3E04"/>
    <w:rsid w:val="006E454B"/>
    <w:rsid w:val="006E4D72"/>
    <w:rsid w:val="006F07A1"/>
    <w:rsid w:val="006F0DAE"/>
    <w:rsid w:val="006F3741"/>
    <w:rsid w:val="006F56F1"/>
    <w:rsid w:val="006F74EE"/>
    <w:rsid w:val="007006F3"/>
    <w:rsid w:val="00700914"/>
    <w:rsid w:val="00700A24"/>
    <w:rsid w:val="007010F3"/>
    <w:rsid w:val="00702091"/>
    <w:rsid w:val="00702162"/>
    <w:rsid w:val="00703547"/>
    <w:rsid w:val="00703D8C"/>
    <w:rsid w:val="00704874"/>
    <w:rsid w:val="00705AF0"/>
    <w:rsid w:val="00706831"/>
    <w:rsid w:val="00706B3C"/>
    <w:rsid w:val="00712939"/>
    <w:rsid w:val="00713452"/>
    <w:rsid w:val="00714FFE"/>
    <w:rsid w:val="0071522C"/>
    <w:rsid w:val="00715B77"/>
    <w:rsid w:val="00716202"/>
    <w:rsid w:val="0071712C"/>
    <w:rsid w:val="0071741E"/>
    <w:rsid w:val="00717C6E"/>
    <w:rsid w:val="00721808"/>
    <w:rsid w:val="00722215"/>
    <w:rsid w:val="00722AEB"/>
    <w:rsid w:val="00727FD1"/>
    <w:rsid w:val="00730A43"/>
    <w:rsid w:val="00736F99"/>
    <w:rsid w:val="00736FF0"/>
    <w:rsid w:val="00737396"/>
    <w:rsid w:val="00737644"/>
    <w:rsid w:val="00740369"/>
    <w:rsid w:val="00740D6B"/>
    <w:rsid w:val="007429F7"/>
    <w:rsid w:val="00742F78"/>
    <w:rsid w:val="0074369D"/>
    <w:rsid w:val="00743EE1"/>
    <w:rsid w:val="00744925"/>
    <w:rsid w:val="0074670F"/>
    <w:rsid w:val="00746B2F"/>
    <w:rsid w:val="00752E0E"/>
    <w:rsid w:val="0075356A"/>
    <w:rsid w:val="007544FF"/>
    <w:rsid w:val="007625E6"/>
    <w:rsid w:val="007650BC"/>
    <w:rsid w:val="007679C0"/>
    <w:rsid w:val="007716EA"/>
    <w:rsid w:val="00771D90"/>
    <w:rsid w:val="00774461"/>
    <w:rsid w:val="00776C80"/>
    <w:rsid w:val="00780238"/>
    <w:rsid w:val="007846D4"/>
    <w:rsid w:val="007852D5"/>
    <w:rsid w:val="00787908"/>
    <w:rsid w:val="00790667"/>
    <w:rsid w:val="00790873"/>
    <w:rsid w:val="00796146"/>
    <w:rsid w:val="0079688F"/>
    <w:rsid w:val="007A01A8"/>
    <w:rsid w:val="007A1264"/>
    <w:rsid w:val="007A38C8"/>
    <w:rsid w:val="007A39F6"/>
    <w:rsid w:val="007A49EE"/>
    <w:rsid w:val="007A51A4"/>
    <w:rsid w:val="007A7D60"/>
    <w:rsid w:val="007B478D"/>
    <w:rsid w:val="007B6190"/>
    <w:rsid w:val="007B6A6D"/>
    <w:rsid w:val="007B70DC"/>
    <w:rsid w:val="007C0F41"/>
    <w:rsid w:val="007C1080"/>
    <w:rsid w:val="007C1151"/>
    <w:rsid w:val="007C4B17"/>
    <w:rsid w:val="007C66EA"/>
    <w:rsid w:val="007C740B"/>
    <w:rsid w:val="007C7459"/>
    <w:rsid w:val="007D333A"/>
    <w:rsid w:val="007D5C37"/>
    <w:rsid w:val="007E0776"/>
    <w:rsid w:val="007E20CC"/>
    <w:rsid w:val="007E4412"/>
    <w:rsid w:val="007E4C79"/>
    <w:rsid w:val="007E5E7A"/>
    <w:rsid w:val="007F2DB3"/>
    <w:rsid w:val="007F609B"/>
    <w:rsid w:val="007F6551"/>
    <w:rsid w:val="00803150"/>
    <w:rsid w:val="00803C12"/>
    <w:rsid w:val="0080404A"/>
    <w:rsid w:val="00804843"/>
    <w:rsid w:val="00807DF9"/>
    <w:rsid w:val="00810E28"/>
    <w:rsid w:val="008119A0"/>
    <w:rsid w:val="00812348"/>
    <w:rsid w:val="00815215"/>
    <w:rsid w:val="00815BAE"/>
    <w:rsid w:val="0081609A"/>
    <w:rsid w:val="00821D69"/>
    <w:rsid w:val="0082225F"/>
    <w:rsid w:val="00824AFE"/>
    <w:rsid w:val="00831171"/>
    <w:rsid w:val="00831828"/>
    <w:rsid w:val="00833707"/>
    <w:rsid w:val="0083486B"/>
    <w:rsid w:val="008350B2"/>
    <w:rsid w:val="008350C6"/>
    <w:rsid w:val="0084071B"/>
    <w:rsid w:val="008407F8"/>
    <w:rsid w:val="00840B59"/>
    <w:rsid w:val="0084242A"/>
    <w:rsid w:val="00843009"/>
    <w:rsid w:val="0084515D"/>
    <w:rsid w:val="008453F7"/>
    <w:rsid w:val="00845868"/>
    <w:rsid w:val="00846993"/>
    <w:rsid w:val="00846C71"/>
    <w:rsid w:val="008506EA"/>
    <w:rsid w:val="00852481"/>
    <w:rsid w:val="00853F7C"/>
    <w:rsid w:val="008601B9"/>
    <w:rsid w:val="008603D7"/>
    <w:rsid w:val="00866385"/>
    <w:rsid w:val="00872F02"/>
    <w:rsid w:val="00880138"/>
    <w:rsid w:val="00880FEC"/>
    <w:rsid w:val="00881003"/>
    <w:rsid w:val="00885001"/>
    <w:rsid w:val="008863FA"/>
    <w:rsid w:val="0088661A"/>
    <w:rsid w:val="00887696"/>
    <w:rsid w:val="008902A0"/>
    <w:rsid w:val="00890634"/>
    <w:rsid w:val="00890963"/>
    <w:rsid w:val="00891E4D"/>
    <w:rsid w:val="008A0334"/>
    <w:rsid w:val="008A6B34"/>
    <w:rsid w:val="008A724D"/>
    <w:rsid w:val="008A739E"/>
    <w:rsid w:val="008A7D01"/>
    <w:rsid w:val="008B0372"/>
    <w:rsid w:val="008B0387"/>
    <w:rsid w:val="008B08A3"/>
    <w:rsid w:val="008B1911"/>
    <w:rsid w:val="008B1F34"/>
    <w:rsid w:val="008B6D1F"/>
    <w:rsid w:val="008B706D"/>
    <w:rsid w:val="008B74E2"/>
    <w:rsid w:val="008C29FC"/>
    <w:rsid w:val="008C6957"/>
    <w:rsid w:val="008C7FA0"/>
    <w:rsid w:val="008D1980"/>
    <w:rsid w:val="008D3734"/>
    <w:rsid w:val="008D3D78"/>
    <w:rsid w:val="008D40F6"/>
    <w:rsid w:val="008D5167"/>
    <w:rsid w:val="008D6189"/>
    <w:rsid w:val="008D6EF7"/>
    <w:rsid w:val="008E07DF"/>
    <w:rsid w:val="008E1718"/>
    <w:rsid w:val="008E23D8"/>
    <w:rsid w:val="008E51D4"/>
    <w:rsid w:val="008E5B96"/>
    <w:rsid w:val="008F3B08"/>
    <w:rsid w:val="008F59F2"/>
    <w:rsid w:val="00900F10"/>
    <w:rsid w:val="0090192E"/>
    <w:rsid w:val="00902466"/>
    <w:rsid w:val="009024B4"/>
    <w:rsid w:val="00905F53"/>
    <w:rsid w:val="00906AE8"/>
    <w:rsid w:val="00906CE4"/>
    <w:rsid w:val="00910BE8"/>
    <w:rsid w:val="00912977"/>
    <w:rsid w:val="00913BEF"/>
    <w:rsid w:val="009143FE"/>
    <w:rsid w:val="0091545F"/>
    <w:rsid w:val="0091620A"/>
    <w:rsid w:val="0091678C"/>
    <w:rsid w:val="00916AB6"/>
    <w:rsid w:val="00921DE9"/>
    <w:rsid w:val="00922B44"/>
    <w:rsid w:val="009233B2"/>
    <w:rsid w:val="00927D10"/>
    <w:rsid w:val="009331D6"/>
    <w:rsid w:val="00934954"/>
    <w:rsid w:val="0093496B"/>
    <w:rsid w:val="009367A6"/>
    <w:rsid w:val="009367FE"/>
    <w:rsid w:val="0093719C"/>
    <w:rsid w:val="00940208"/>
    <w:rsid w:val="00940493"/>
    <w:rsid w:val="009407C8"/>
    <w:rsid w:val="00945379"/>
    <w:rsid w:val="00945951"/>
    <w:rsid w:val="00945A42"/>
    <w:rsid w:val="0094642E"/>
    <w:rsid w:val="009474D3"/>
    <w:rsid w:val="009527E3"/>
    <w:rsid w:val="00956C65"/>
    <w:rsid w:val="00960858"/>
    <w:rsid w:val="0096102C"/>
    <w:rsid w:val="0096786C"/>
    <w:rsid w:val="00972271"/>
    <w:rsid w:val="00974B7A"/>
    <w:rsid w:val="00974F3E"/>
    <w:rsid w:val="00975FB6"/>
    <w:rsid w:val="00977AAB"/>
    <w:rsid w:val="00977ADC"/>
    <w:rsid w:val="00981550"/>
    <w:rsid w:val="00981925"/>
    <w:rsid w:val="00981E8B"/>
    <w:rsid w:val="0098315A"/>
    <w:rsid w:val="00986085"/>
    <w:rsid w:val="009877AA"/>
    <w:rsid w:val="00990533"/>
    <w:rsid w:val="00991668"/>
    <w:rsid w:val="00992300"/>
    <w:rsid w:val="00992E73"/>
    <w:rsid w:val="00995103"/>
    <w:rsid w:val="009A1DA3"/>
    <w:rsid w:val="009A243D"/>
    <w:rsid w:val="009A2797"/>
    <w:rsid w:val="009A416A"/>
    <w:rsid w:val="009A6F44"/>
    <w:rsid w:val="009A7FF7"/>
    <w:rsid w:val="009B0D1C"/>
    <w:rsid w:val="009B3077"/>
    <w:rsid w:val="009B47BC"/>
    <w:rsid w:val="009B6E8D"/>
    <w:rsid w:val="009C059F"/>
    <w:rsid w:val="009C1D8F"/>
    <w:rsid w:val="009C4BDE"/>
    <w:rsid w:val="009C4FB7"/>
    <w:rsid w:val="009C78E0"/>
    <w:rsid w:val="009C7BD3"/>
    <w:rsid w:val="009E2B4D"/>
    <w:rsid w:val="009E2FC3"/>
    <w:rsid w:val="009E4205"/>
    <w:rsid w:val="009E44DB"/>
    <w:rsid w:val="009F4DC5"/>
    <w:rsid w:val="00A008FA"/>
    <w:rsid w:val="00A034B0"/>
    <w:rsid w:val="00A04687"/>
    <w:rsid w:val="00A04835"/>
    <w:rsid w:val="00A04B70"/>
    <w:rsid w:val="00A05CE4"/>
    <w:rsid w:val="00A10CA0"/>
    <w:rsid w:val="00A12E8E"/>
    <w:rsid w:val="00A16F65"/>
    <w:rsid w:val="00A170DD"/>
    <w:rsid w:val="00A209E9"/>
    <w:rsid w:val="00A21A9A"/>
    <w:rsid w:val="00A24353"/>
    <w:rsid w:val="00A24A8F"/>
    <w:rsid w:val="00A25A0F"/>
    <w:rsid w:val="00A27096"/>
    <w:rsid w:val="00A27F66"/>
    <w:rsid w:val="00A31695"/>
    <w:rsid w:val="00A31BAE"/>
    <w:rsid w:val="00A320FD"/>
    <w:rsid w:val="00A34A8B"/>
    <w:rsid w:val="00A373B7"/>
    <w:rsid w:val="00A40C53"/>
    <w:rsid w:val="00A42AE1"/>
    <w:rsid w:val="00A42EC3"/>
    <w:rsid w:val="00A43016"/>
    <w:rsid w:val="00A43252"/>
    <w:rsid w:val="00A4333E"/>
    <w:rsid w:val="00A43A06"/>
    <w:rsid w:val="00A43FFC"/>
    <w:rsid w:val="00A47F41"/>
    <w:rsid w:val="00A501AE"/>
    <w:rsid w:val="00A5147E"/>
    <w:rsid w:val="00A52312"/>
    <w:rsid w:val="00A528B6"/>
    <w:rsid w:val="00A52EF6"/>
    <w:rsid w:val="00A54D6A"/>
    <w:rsid w:val="00A560C3"/>
    <w:rsid w:val="00A56615"/>
    <w:rsid w:val="00A60594"/>
    <w:rsid w:val="00A65EBB"/>
    <w:rsid w:val="00A7019B"/>
    <w:rsid w:val="00A71EBA"/>
    <w:rsid w:val="00A73464"/>
    <w:rsid w:val="00A74BD9"/>
    <w:rsid w:val="00A75CCC"/>
    <w:rsid w:val="00A762AD"/>
    <w:rsid w:val="00A76394"/>
    <w:rsid w:val="00A76FFF"/>
    <w:rsid w:val="00A80C32"/>
    <w:rsid w:val="00A80FD6"/>
    <w:rsid w:val="00A81C11"/>
    <w:rsid w:val="00A83A6C"/>
    <w:rsid w:val="00A83C75"/>
    <w:rsid w:val="00A83E23"/>
    <w:rsid w:val="00A866BC"/>
    <w:rsid w:val="00A9296D"/>
    <w:rsid w:val="00A93E9D"/>
    <w:rsid w:val="00A97D8A"/>
    <w:rsid w:val="00AA244B"/>
    <w:rsid w:val="00AB1B77"/>
    <w:rsid w:val="00AB393E"/>
    <w:rsid w:val="00AB39C2"/>
    <w:rsid w:val="00AB3BEE"/>
    <w:rsid w:val="00AB43EE"/>
    <w:rsid w:val="00AC0C1F"/>
    <w:rsid w:val="00AC2A5C"/>
    <w:rsid w:val="00AC2C16"/>
    <w:rsid w:val="00AC2C84"/>
    <w:rsid w:val="00AC2D3C"/>
    <w:rsid w:val="00AC2EDD"/>
    <w:rsid w:val="00AC3175"/>
    <w:rsid w:val="00AC3E73"/>
    <w:rsid w:val="00AC55F3"/>
    <w:rsid w:val="00AC67D7"/>
    <w:rsid w:val="00AC71EA"/>
    <w:rsid w:val="00AD187C"/>
    <w:rsid w:val="00AD29FF"/>
    <w:rsid w:val="00AD3347"/>
    <w:rsid w:val="00AD4509"/>
    <w:rsid w:val="00AD68F5"/>
    <w:rsid w:val="00AD7FDA"/>
    <w:rsid w:val="00AE1D9D"/>
    <w:rsid w:val="00AE383A"/>
    <w:rsid w:val="00AE568B"/>
    <w:rsid w:val="00AE5DE1"/>
    <w:rsid w:val="00AE7612"/>
    <w:rsid w:val="00AF2179"/>
    <w:rsid w:val="00AF2260"/>
    <w:rsid w:val="00AF3228"/>
    <w:rsid w:val="00AF3352"/>
    <w:rsid w:val="00AF468B"/>
    <w:rsid w:val="00AF7D24"/>
    <w:rsid w:val="00B01463"/>
    <w:rsid w:val="00B01FF3"/>
    <w:rsid w:val="00B110C1"/>
    <w:rsid w:val="00B110DA"/>
    <w:rsid w:val="00B123F7"/>
    <w:rsid w:val="00B130FC"/>
    <w:rsid w:val="00B162D0"/>
    <w:rsid w:val="00B1768F"/>
    <w:rsid w:val="00B200B8"/>
    <w:rsid w:val="00B211B3"/>
    <w:rsid w:val="00B31387"/>
    <w:rsid w:val="00B33655"/>
    <w:rsid w:val="00B356F7"/>
    <w:rsid w:val="00B4464B"/>
    <w:rsid w:val="00B44B56"/>
    <w:rsid w:val="00B47B68"/>
    <w:rsid w:val="00B53670"/>
    <w:rsid w:val="00B54030"/>
    <w:rsid w:val="00B54134"/>
    <w:rsid w:val="00B5451C"/>
    <w:rsid w:val="00B549C8"/>
    <w:rsid w:val="00B54AC2"/>
    <w:rsid w:val="00B55D3D"/>
    <w:rsid w:val="00B6175E"/>
    <w:rsid w:val="00B65262"/>
    <w:rsid w:val="00B65C00"/>
    <w:rsid w:val="00B72251"/>
    <w:rsid w:val="00B72B17"/>
    <w:rsid w:val="00B73011"/>
    <w:rsid w:val="00B73434"/>
    <w:rsid w:val="00B74701"/>
    <w:rsid w:val="00B77621"/>
    <w:rsid w:val="00B81F0A"/>
    <w:rsid w:val="00B82C14"/>
    <w:rsid w:val="00B8687F"/>
    <w:rsid w:val="00B8689F"/>
    <w:rsid w:val="00B86AFA"/>
    <w:rsid w:val="00B92FB0"/>
    <w:rsid w:val="00B94E06"/>
    <w:rsid w:val="00B95E96"/>
    <w:rsid w:val="00BA19F3"/>
    <w:rsid w:val="00BA2D66"/>
    <w:rsid w:val="00BA3421"/>
    <w:rsid w:val="00BA65D8"/>
    <w:rsid w:val="00BB063D"/>
    <w:rsid w:val="00BB1A00"/>
    <w:rsid w:val="00BB24B8"/>
    <w:rsid w:val="00BB55BB"/>
    <w:rsid w:val="00BB5A7F"/>
    <w:rsid w:val="00BB6AB1"/>
    <w:rsid w:val="00BB745A"/>
    <w:rsid w:val="00BC3D6D"/>
    <w:rsid w:val="00BC3E8B"/>
    <w:rsid w:val="00BC4999"/>
    <w:rsid w:val="00BC50BD"/>
    <w:rsid w:val="00BC531C"/>
    <w:rsid w:val="00BC54B0"/>
    <w:rsid w:val="00BC59EB"/>
    <w:rsid w:val="00BC75D8"/>
    <w:rsid w:val="00BD03F0"/>
    <w:rsid w:val="00BD1D65"/>
    <w:rsid w:val="00BD3333"/>
    <w:rsid w:val="00BE007D"/>
    <w:rsid w:val="00BE1173"/>
    <w:rsid w:val="00BE12EB"/>
    <w:rsid w:val="00BE365D"/>
    <w:rsid w:val="00BE3C73"/>
    <w:rsid w:val="00BE528A"/>
    <w:rsid w:val="00BE6B9E"/>
    <w:rsid w:val="00BF0334"/>
    <w:rsid w:val="00BF125A"/>
    <w:rsid w:val="00BF2B93"/>
    <w:rsid w:val="00BF31F2"/>
    <w:rsid w:val="00BF46F7"/>
    <w:rsid w:val="00BF6C65"/>
    <w:rsid w:val="00C00356"/>
    <w:rsid w:val="00C00594"/>
    <w:rsid w:val="00C014CE"/>
    <w:rsid w:val="00C0172E"/>
    <w:rsid w:val="00C02C0F"/>
    <w:rsid w:val="00C04900"/>
    <w:rsid w:val="00C05CFA"/>
    <w:rsid w:val="00C071F0"/>
    <w:rsid w:val="00C0722F"/>
    <w:rsid w:val="00C076D8"/>
    <w:rsid w:val="00C07BA7"/>
    <w:rsid w:val="00C11C23"/>
    <w:rsid w:val="00C1532A"/>
    <w:rsid w:val="00C167CC"/>
    <w:rsid w:val="00C20B70"/>
    <w:rsid w:val="00C2217F"/>
    <w:rsid w:val="00C24CB4"/>
    <w:rsid w:val="00C250A2"/>
    <w:rsid w:val="00C3248B"/>
    <w:rsid w:val="00C326F4"/>
    <w:rsid w:val="00C371CB"/>
    <w:rsid w:val="00C37F31"/>
    <w:rsid w:val="00C41594"/>
    <w:rsid w:val="00C4469B"/>
    <w:rsid w:val="00C4668E"/>
    <w:rsid w:val="00C5030F"/>
    <w:rsid w:val="00C5203E"/>
    <w:rsid w:val="00C5421E"/>
    <w:rsid w:val="00C54428"/>
    <w:rsid w:val="00C55198"/>
    <w:rsid w:val="00C55D56"/>
    <w:rsid w:val="00C571F0"/>
    <w:rsid w:val="00C57CC2"/>
    <w:rsid w:val="00C60779"/>
    <w:rsid w:val="00C6196C"/>
    <w:rsid w:val="00C6260F"/>
    <w:rsid w:val="00C62647"/>
    <w:rsid w:val="00C63CCC"/>
    <w:rsid w:val="00C65E08"/>
    <w:rsid w:val="00C722BD"/>
    <w:rsid w:val="00C7259D"/>
    <w:rsid w:val="00C73F48"/>
    <w:rsid w:val="00C7453F"/>
    <w:rsid w:val="00C75B63"/>
    <w:rsid w:val="00C80A90"/>
    <w:rsid w:val="00C8119D"/>
    <w:rsid w:val="00C83CAA"/>
    <w:rsid w:val="00C84CC4"/>
    <w:rsid w:val="00C853A9"/>
    <w:rsid w:val="00C87A53"/>
    <w:rsid w:val="00C900AD"/>
    <w:rsid w:val="00C90937"/>
    <w:rsid w:val="00C93555"/>
    <w:rsid w:val="00C95268"/>
    <w:rsid w:val="00C95474"/>
    <w:rsid w:val="00C96025"/>
    <w:rsid w:val="00C97083"/>
    <w:rsid w:val="00C97A31"/>
    <w:rsid w:val="00CA09CB"/>
    <w:rsid w:val="00CA3F41"/>
    <w:rsid w:val="00CB0EC7"/>
    <w:rsid w:val="00CB15E0"/>
    <w:rsid w:val="00CB16AA"/>
    <w:rsid w:val="00CB199B"/>
    <w:rsid w:val="00CB2636"/>
    <w:rsid w:val="00CB2818"/>
    <w:rsid w:val="00CB2B33"/>
    <w:rsid w:val="00CB2E45"/>
    <w:rsid w:val="00CB3875"/>
    <w:rsid w:val="00CB4D7C"/>
    <w:rsid w:val="00CB6841"/>
    <w:rsid w:val="00CC0C7B"/>
    <w:rsid w:val="00CC17C2"/>
    <w:rsid w:val="00CC1DE1"/>
    <w:rsid w:val="00CC3FED"/>
    <w:rsid w:val="00CC6755"/>
    <w:rsid w:val="00CD00C4"/>
    <w:rsid w:val="00CD0425"/>
    <w:rsid w:val="00CD0FD3"/>
    <w:rsid w:val="00CD1F21"/>
    <w:rsid w:val="00CD2BC7"/>
    <w:rsid w:val="00CD5E39"/>
    <w:rsid w:val="00CD687A"/>
    <w:rsid w:val="00CE01BF"/>
    <w:rsid w:val="00CE21DF"/>
    <w:rsid w:val="00CE432D"/>
    <w:rsid w:val="00CE43D6"/>
    <w:rsid w:val="00CE72DA"/>
    <w:rsid w:val="00CF0004"/>
    <w:rsid w:val="00CF2C6C"/>
    <w:rsid w:val="00CF3600"/>
    <w:rsid w:val="00CF4462"/>
    <w:rsid w:val="00CF536B"/>
    <w:rsid w:val="00D01587"/>
    <w:rsid w:val="00D02E8A"/>
    <w:rsid w:val="00D06AA8"/>
    <w:rsid w:val="00D06FED"/>
    <w:rsid w:val="00D111AE"/>
    <w:rsid w:val="00D14FF9"/>
    <w:rsid w:val="00D158C5"/>
    <w:rsid w:val="00D1669C"/>
    <w:rsid w:val="00D16760"/>
    <w:rsid w:val="00D16A01"/>
    <w:rsid w:val="00D2030A"/>
    <w:rsid w:val="00D21062"/>
    <w:rsid w:val="00D213EE"/>
    <w:rsid w:val="00D2178D"/>
    <w:rsid w:val="00D244E4"/>
    <w:rsid w:val="00D24C2A"/>
    <w:rsid w:val="00D3046A"/>
    <w:rsid w:val="00D3141F"/>
    <w:rsid w:val="00D33E28"/>
    <w:rsid w:val="00D36022"/>
    <w:rsid w:val="00D36C88"/>
    <w:rsid w:val="00D41385"/>
    <w:rsid w:val="00D4198A"/>
    <w:rsid w:val="00D41BD2"/>
    <w:rsid w:val="00D42060"/>
    <w:rsid w:val="00D4604E"/>
    <w:rsid w:val="00D46859"/>
    <w:rsid w:val="00D4736A"/>
    <w:rsid w:val="00D5032C"/>
    <w:rsid w:val="00D50CF7"/>
    <w:rsid w:val="00D5276C"/>
    <w:rsid w:val="00D535AC"/>
    <w:rsid w:val="00D54B5A"/>
    <w:rsid w:val="00D55C28"/>
    <w:rsid w:val="00D5640D"/>
    <w:rsid w:val="00D56E18"/>
    <w:rsid w:val="00D60289"/>
    <w:rsid w:val="00D60FC3"/>
    <w:rsid w:val="00D6311E"/>
    <w:rsid w:val="00D64746"/>
    <w:rsid w:val="00D649D9"/>
    <w:rsid w:val="00D6735F"/>
    <w:rsid w:val="00D71768"/>
    <w:rsid w:val="00D730E1"/>
    <w:rsid w:val="00D75003"/>
    <w:rsid w:val="00D766DB"/>
    <w:rsid w:val="00D76EC1"/>
    <w:rsid w:val="00D804EE"/>
    <w:rsid w:val="00D810A1"/>
    <w:rsid w:val="00D82D00"/>
    <w:rsid w:val="00D8303B"/>
    <w:rsid w:val="00D86876"/>
    <w:rsid w:val="00D90DD1"/>
    <w:rsid w:val="00D90ED4"/>
    <w:rsid w:val="00D917B5"/>
    <w:rsid w:val="00D92517"/>
    <w:rsid w:val="00D96C03"/>
    <w:rsid w:val="00DA0E77"/>
    <w:rsid w:val="00DA49F8"/>
    <w:rsid w:val="00DA5799"/>
    <w:rsid w:val="00DA68F2"/>
    <w:rsid w:val="00DB09BE"/>
    <w:rsid w:val="00DB2CD5"/>
    <w:rsid w:val="00DB4130"/>
    <w:rsid w:val="00DB5A9B"/>
    <w:rsid w:val="00DC37B6"/>
    <w:rsid w:val="00DC7896"/>
    <w:rsid w:val="00DD13E9"/>
    <w:rsid w:val="00DD1A24"/>
    <w:rsid w:val="00DD281E"/>
    <w:rsid w:val="00DD3601"/>
    <w:rsid w:val="00DD4BC1"/>
    <w:rsid w:val="00DE089B"/>
    <w:rsid w:val="00DE1BE9"/>
    <w:rsid w:val="00DE1F99"/>
    <w:rsid w:val="00DE374A"/>
    <w:rsid w:val="00DE4E48"/>
    <w:rsid w:val="00DE5629"/>
    <w:rsid w:val="00DF0FBE"/>
    <w:rsid w:val="00DF2AE4"/>
    <w:rsid w:val="00DF6257"/>
    <w:rsid w:val="00E01FF1"/>
    <w:rsid w:val="00E032EA"/>
    <w:rsid w:val="00E03751"/>
    <w:rsid w:val="00E1002A"/>
    <w:rsid w:val="00E1064D"/>
    <w:rsid w:val="00E12256"/>
    <w:rsid w:val="00E131F7"/>
    <w:rsid w:val="00E14070"/>
    <w:rsid w:val="00E16A71"/>
    <w:rsid w:val="00E229DC"/>
    <w:rsid w:val="00E272A9"/>
    <w:rsid w:val="00E3286D"/>
    <w:rsid w:val="00E33ADD"/>
    <w:rsid w:val="00E33DA4"/>
    <w:rsid w:val="00E345E8"/>
    <w:rsid w:val="00E34D55"/>
    <w:rsid w:val="00E35714"/>
    <w:rsid w:val="00E377C7"/>
    <w:rsid w:val="00E4142E"/>
    <w:rsid w:val="00E42EE7"/>
    <w:rsid w:val="00E466A6"/>
    <w:rsid w:val="00E46BFC"/>
    <w:rsid w:val="00E54AF7"/>
    <w:rsid w:val="00E55B00"/>
    <w:rsid w:val="00E55BA4"/>
    <w:rsid w:val="00E56705"/>
    <w:rsid w:val="00E61D94"/>
    <w:rsid w:val="00E62AA7"/>
    <w:rsid w:val="00E64DA4"/>
    <w:rsid w:val="00E65F66"/>
    <w:rsid w:val="00E66F2D"/>
    <w:rsid w:val="00E6717D"/>
    <w:rsid w:val="00E67419"/>
    <w:rsid w:val="00E70C34"/>
    <w:rsid w:val="00E7108D"/>
    <w:rsid w:val="00E711D1"/>
    <w:rsid w:val="00E72F7F"/>
    <w:rsid w:val="00E73838"/>
    <w:rsid w:val="00E800FC"/>
    <w:rsid w:val="00E80EC9"/>
    <w:rsid w:val="00E82672"/>
    <w:rsid w:val="00E828E0"/>
    <w:rsid w:val="00E83CD9"/>
    <w:rsid w:val="00E8474A"/>
    <w:rsid w:val="00E90486"/>
    <w:rsid w:val="00E93C32"/>
    <w:rsid w:val="00E9495B"/>
    <w:rsid w:val="00E95439"/>
    <w:rsid w:val="00E95CA7"/>
    <w:rsid w:val="00E96B9D"/>
    <w:rsid w:val="00E97616"/>
    <w:rsid w:val="00EA3458"/>
    <w:rsid w:val="00EA7577"/>
    <w:rsid w:val="00EA7873"/>
    <w:rsid w:val="00EB0FBD"/>
    <w:rsid w:val="00EB1B87"/>
    <w:rsid w:val="00EB4882"/>
    <w:rsid w:val="00EB6AF4"/>
    <w:rsid w:val="00EB6D50"/>
    <w:rsid w:val="00EC0AC9"/>
    <w:rsid w:val="00EC14DA"/>
    <w:rsid w:val="00EC3465"/>
    <w:rsid w:val="00EC641A"/>
    <w:rsid w:val="00EC652D"/>
    <w:rsid w:val="00EC721C"/>
    <w:rsid w:val="00EC7794"/>
    <w:rsid w:val="00ED2A6F"/>
    <w:rsid w:val="00ED4CBB"/>
    <w:rsid w:val="00ED5C34"/>
    <w:rsid w:val="00EE1F27"/>
    <w:rsid w:val="00EE322B"/>
    <w:rsid w:val="00EE412B"/>
    <w:rsid w:val="00EE544E"/>
    <w:rsid w:val="00EE58AF"/>
    <w:rsid w:val="00EE674A"/>
    <w:rsid w:val="00EE6A16"/>
    <w:rsid w:val="00EF0E96"/>
    <w:rsid w:val="00EF3794"/>
    <w:rsid w:val="00EF6238"/>
    <w:rsid w:val="00EF68D7"/>
    <w:rsid w:val="00F00E1E"/>
    <w:rsid w:val="00F01D1F"/>
    <w:rsid w:val="00F04CDB"/>
    <w:rsid w:val="00F05451"/>
    <w:rsid w:val="00F05BCC"/>
    <w:rsid w:val="00F05CAD"/>
    <w:rsid w:val="00F103FD"/>
    <w:rsid w:val="00F13CF8"/>
    <w:rsid w:val="00F14358"/>
    <w:rsid w:val="00F14D6C"/>
    <w:rsid w:val="00F174C0"/>
    <w:rsid w:val="00F20873"/>
    <w:rsid w:val="00F22F00"/>
    <w:rsid w:val="00F25275"/>
    <w:rsid w:val="00F25AED"/>
    <w:rsid w:val="00F3151C"/>
    <w:rsid w:val="00F31EAB"/>
    <w:rsid w:val="00F349AA"/>
    <w:rsid w:val="00F349E8"/>
    <w:rsid w:val="00F41C56"/>
    <w:rsid w:val="00F41DF1"/>
    <w:rsid w:val="00F4507C"/>
    <w:rsid w:val="00F45C25"/>
    <w:rsid w:val="00F46253"/>
    <w:rsid w:val="00F47CAC"/>
    <w:rsid w:val="00F50BA1"/>
    <w:rsid w:val="00F50EAC"/>
    <w:rsid w:val="00F50FF5"/>
    <w:rsid w:val="00F5135F"/>
    <w:rsid w:val="00F531AB"/>
    <w:rsid w:val="00F532CE"/>
    <w:rsid w:val="00F552C9"/>
    <w:rsid w:val="00F578D5"/>
    <w:rsid w:val="00F57913"/>
    <w:rsid w:val="00F57EEC"/>
    <w:rsid w:val="00F6163A"/>
    <w:rsid w:val="00F62E29"/>
    <w:rsid w:val="00F63EFE"/>
    <w:rsid w:val="00F712C9"/>
    <w:rsid w:val="00F714C3"/>
    <w:rsid w:val="00F75426"/>
    <w:rsid w:val="00F757D4"/>
    <w:rsid w:val="00F76BD6"/>
    <w:rsid w:val="00F83211"/>
    <w:rsid w:val="00F8353E"/>
    <w:rsid w:val="00F83F63"/>
    <w:rsid w:val="00F857E3"/>
    <w:rsid w:val="00F86886"/>
    <w:rsid w:val="00F9204C"/>
    <w:rsid w:val="00F92422"/>
    <w:rsid w:val="00F9271B"/>
    <w:rsid w:val="00F93DFC"/>
    <w:rsid w:val="00F965AB"/>
    <w:rsid w:val="00F965DF"/>
    <w:rsid w:val="00FA0B8D"/>
    <w:rsid w:val="00FA1198"/>
    <w:rsid w:val="00FA193F"/>
    <w:rsid w:val="00FA4E9E"/>
    <w:rsid w:val="00FA5167"/>
    <w:rsid w:val="00FA6D9C"/>
    <w:rsid w:val="00FB18F1"/>
    <w:rsid w:val="00FB429F"/>
    <w:rsid w:val="00FC1739"/>
    <w:rsid w:val="00FC1E74"/>
    <w:rsid w:val="00FC29BF"/>
    <w:rsid w:val="00FC2DFB"/>
    <w:rsid w:val="00FC39A2"/>
    <w:rsid w:val="00FC682D"/>
    <w:rsid w:val="00FD1E15"/>
    <w:rsid w:val="00FD36BB"/>
    <w:rsid w:val="00FE0EC2"/>
    <w:rsid w:val="00FE25C0"/>
    <w:rsid w:val="00FE25E9"/>
    <w:rsid w:val="00FE263C"/>
    <w:rsid w:val="00FE3AAE"/>
    <w:rsid w:val="00FE461A"/>
    <w:rsid w:val="00FE4902"/>
    <w:rsid w:val="00FE4CFD"/>
    <w:rsid w:val="00FE523A"/>
    <w:rsid w:val="00FE6448"/>
    <w:rsid w:val="00FE647E"/>
    <w:rsid w:val="00FE72D3"/>
    <w:rsid w:val="00FE78B6"/>
    <w:rsid w:val="00FF0511"/>
    <w:rsid w:val="00FF18D5"/>
    <w:rsid w:val="00FF19DD"/>
    <w:rsid w:val="00FF19FE"/>
    <w:rsid w:val="00FF27FF"/>
    <w:rsid w:val="00FF2A5C"/>
    <w:rsid w:val="00FF31B2"/>
    <w:rsid w:val="00FF494D"/>
    <w:rsid w:val="00FF5116"/>
    <w:rsid w:val="00FF617F"/>
    <w:rsid w:val="00FF7D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772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E77"/>
    <w:pPr>
      <w:spacing w:after="120" w:line="257" w:lineRule="auto"/>
      <w:jc w:val="both"/>
    </w:pPr>
  </w:style>
  <w:style w:type="paragraph" w:styleId="Heading1">
    <w:name w:val="heading 1"/>
    <w:aliases w:val="PMR Report title"/>
    <w:basedOn w:val="Normal"/>
    <w:next w:val="Normal"/>
    <w:link w:val="Heading1Char"/>
    <w:qFormat/>
    <w:rsid w:val="006F56F1"/>
    <w:pPr>
      <w:keepNext/>
      <w:keepLines/>
      <w:spacing w:before="240" w:after="0"/>
      <w:jc w:val="center"/>
      <w:outlineLvl w:val="0"/>
    </w:pPr>
    <w:rPr>
      <w:rFonts w:eastAsiaTheme="majorEastAsia" w:cstheme="majorBidi"/>
      <w:b/>
      <w:color w:val="2F5496" w:themeColor="accent1" w:themeShade="BF"/>
      <w:sz w:val="32"/>
      <w:szCs w:val="32"/>
    </w:rPr>
  </w:style>
  <w:style w:type="paragraph" w:styleId="Heading2">
    <w:name w:val="heading 2"/>
    <w:aliases w:val="PMR Part heading"/>
    <w:basedOn w:val="Normal"/>
    <w:next w:val="Normal"/>
    <w:link w:val="Heading2Char"/>
    <w:unhideWhenUsed/>
    <w:qFormat/>
    <w:rsid w:val="00ED2A6F"/>
    <w:pPr>
      <w:keepNext/>
      <w:keepLines/>
      <w:spacing w:before="40" w:after="80"/>
      <w:outlineLvl w:val="1"/>
    </w:pPr>
    <w:rPr>
      <w:rFonts w:asciiTheme="minorHAnsi" w:eastAsiaTheme="majorEastAsia" w:hAnsiTheme="minorHAnsi" w:cstheme="majorBidi"/>
      <w:color w:val="2F5496" w:themeColor="accent1" w:themeShade="BF"/>
      <w:sz w:val="26"/>
      <w:szCs w:val="26"/>
    </w:rPr>
  </w:style>
  <w:style w:type="paragraph" w:styleId="Heading3">
    <w:name w:val="heading 3"/>
    <w:aliases w:val="PMR Section heading"/>
    <w:basedOn w:val="Normal"/>
    <w:next w:val="Normal"/>
    <w:link w:val="Heading3Char"/>
    <w:unhideWhenUsed/>
    <w:qFormat/>
    <w:rsid w:val="007F609B"/>
    <w:pPr>
      <w:keepNext/>
      <w:keepLines/>
      <w:numPr>
        <w:ilvl w:val="1"/>
        <w:numId w:val="55"/>
      </w:numPr>
      <w:spacing w:before="40" w:after="80"/>
      <w:outlineLvl w:val="2"/>
    </w:pPr>
    <w:rPr>
      <w:rFonts w:asciiTheme="minorHAnsi" w:eastAsiaTheme="majorEastAsia" w:hAnsiTheme="minorHAnsi" w:cstheme="majorBidi"/>
      <w:color w:val="1F3763" w:themeColor="accent1" w:themeShade="7F"/>
    </w:rPr>
  </w:style>
  <w:style w:type="paragraph" w:styleId="Heading4">
    <w:name w:val="heading 4"/>
    <w:aliases w:val="PMR Subsection heading (numbered)"/>
    <w:basedOn w:val="Normal"/>
    <w:next w:val="Normal"/>
    <w:link w:val="Heading4Char"/>
    <w:unhideWhenUsed/>
    <w:qFormat/>
    <w:rsid w:val="00473761"/>
    <w:pPr>
      <w:keepNext/>
      <w:keepLines/>
      <w:numPr>
        <w:ilvl w:val="2"/>
        <w:numId w:val="55"/>
      </w:numPr>
      <w:spacing w:before="40" w:after="40"/>
      <w:outlineLvl w:val="3"/>
    </w:pPr>
    <w:rPr>
      <w:rFonts w:asciiTheme="majorHAnsi" w:eastAsiaTheme="majorEastAsia" w:hAnsiTheme="majorHAnsi" w:cstheme="majorBidi"/>
      <w:i/>
      <w:iCs/>
      <w:color w:val="2F5496" w:themeColor="accent1" w:themeShade="BF"/>
    </w:rPr>
  </w:style>
  <w:style w:type="paragraph" w:styleId="Heading5">
    <w:name w:val="heading 5"/>
    <w:aliases w:val="Sub Sub heading"/>
    <w:basedOn w:val="Normal"/>
    <w:next w:val="Normal"/>
    <w:link w:val="Heading5Char"/>
    <w:unhideWhenUsed/>
    <w:qFormat/>
    <w:rsid w:val="007F609B"/>
    <w:pPr>
      <w:keepNext/>
      <w:keepLines/>
      <w:spacing w:before="40" w:after="40"/>
      <w:outlineLvl w:val="4"/>
    </w:pPr>
    <w:rPr>
      <w:rFonts w:asciiTheme="majorHAnsi" w:eastAsiaTheme="majorEastAsia" w:hAnsiTheme="majorHAnsi" w:cstheme="majorBidi"/>
      <w:color w:val="2F5496" w:themeColor="accent1" w:themeShade="BF"/>
    </w:rPr>
  </w:style>
  <w:style w:type="paragraph" w:styleId="Heading6">
    <w:name w:val="heading 6"/>
    <w:aliases w:val="Minor heading"/>
    <w:basedOn w:val="Normal"/>
    <w:next w:val="Normal"/>
    <w:link w:val="Heading6Char"/>
    <w:uiPriority w:val="9"/>
    <w:unhideWhenUsed/>
    <w:qFormat/>
    <w:rsid w:val="000D083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MR Part heading Char"/>
    <w:basedOn w:val="DefaultParagraphFont"/>
    <w:link w:val="Heading2"/>
    <w:uiPriority w:val="9"/>
    <w:rsid w:val="00ED2A6F"/>
    <w:rPr>
      <w:rFonts w:asciiTheme="minorHAnsi" w:eastAsiaTheme="majorEastAsia" w:hAnsiTheme="minorHAnsi" w:cstheme="majorBidi"/>
      <w:color w:val="2F5496" w:themeColor="accent1" w:themeShade="BF"/>
      <w:sz w:val="26"/>
      <w:szCs w:val="26"/>
    </w:rPr>
  </w:style>
  <w:style w:type="character" w:customStyle="1" w:styleId="Heading3Char">
    <w:name w:val="Heading 3 Char"/>
    <w:aliases w:val="PMR Section heading Char"/>
    <w:basedOn w:val="DefaultParagraphFont"/>
    <w:link w:val="Heading3"/>
    <w:rsid w:val="007F609B"/>
    <w:rPr>
      <w:rFonts w:asciiTheme="minorHAnsi" w:eastAsiaTheme="majorEastAsia" w:hAnsiTheme="minorHAnsi" w:cstheme="majorBidi"/>
      <w:color w:val="1F3763" w:themeColor="accent1" w:themeShade="7F"/>
    </w:rPr>
  </w:style>
  <w:style w:type="character" w:customStyle="1" w:styleId="ListParagraphChar">
    <w:name w:val="List Paragraph Char"/>
    <w:aliases w:val="Bullet point Char,Recommendation Char,List Paragraph1 Char,List Paragraph11 Char,L Char,CV text Char,Table text Char,F5 List Paragraph Char,Dot pt Char,Colorful List - Accent 11 Char,No Spacing1 Char,Indicator Text Char,Bullet 1 Char"/>
    <w:link w:val="ListParagraph"/>
    <w:uiPriority w:val="34"/>
    <w:qFormat/>
    <w:locked/>
    <w:rsid w:val="00A65EBB"/>
  </w:style>
  <w:style w:type="paragraph" w:styleId="ListParagraph">
    <w:name w:val="List Paragraph"/>
    <w:aliases w:val="Bullet point,Recommendation,List Paragraph1,List Paragraph11,L,CV text,Table text,F5 List Paragraph,Dot pt,Colorful List - Accent 11,No Spacing1,List Paragraph Char Char Char,Indicator Text,Numbered Para 1,Bullet 1,Bullet Points,1 heading"/>
    <w:basedOn w:val="Normal"/>
    <w:link w:val="ListParagraphChar"/>
    <w:uiPriority w:val="34"/>
    <w:qFormat/>
    <w:rsid w:val="00A65EBB"/>
    <w:pPr>
      <w:ind w:left="720"/>
      <w:contextualSpacing/>
    </w:pPr>
  </w:style>
  <w:style w:type="character" w:styleId="CommentReference">
    <w:name w:val="annotation reference"/>
    <w:basedOn w:val="DefaultParagraphFont"/>
    <w:uiPriority w:val="99"/>
    <w:semiHidden/>
    <w:unhideWhenUsed/>
    <w:rsid w:val="000C2D70"/>
    <w:rPr>
      <w:sz w:val="16"/>
      <w:szCs w:val="16"/>
    </w:rPr>
  </w:style>
  <w:style w:type="paragraph" w:styleId="CommentText">
    <w:name w:val="annotation text"/>
    <w:basedOn w:val="Normal"/>
    <w:link w:val="CommentTextChar"/>
    <w:uiPriority w:val="99"/>
    <w:unhideWhenUsed/>
    <w:rsid w:val="009331D6"/>
    <w:pPr>
      <w:spacing w:line="240" w:lineRule="auto"/>
    </w:pPr>
    <w:rPr>
      <w:sz w:val="20"/>
      <w:szCs w:val="20"/>
    </w:rPr>
  </w:style>
  <w:style w:type="character" w:customStyle="1" w:styleId="CommentTextChar">
    <w:name w:val="Comment Text Char"/>
    <w:basedOn w:val="DefaultParagraphFont"/>
    <w:link w:val="CommentText"/>
    <w:uiPriority w:val="99"/>
    <w:rsid w:val="009331D6"/>
    <w:rPr>
      <w:sz w:val="20"/>
      <w:szCs w:val="20"/>
    </w:rPr>
  </w:style>
  <w:style w:type="paragraph" w:styleId="CommentSubject">
    <w:name w:val="annotation subject"/>
    <w:basedOn w:val="CommentText"/>
    <w:next w:val="CommentText"/>
    <w:link w:val="CommentSubjectChar"/>
    <w:uiPriority w:val="99"/>
    <w:semiHidden/>
    <w:unhideWhenUsed/>
    <w:rsid w:val="009331D6"/>
    <w:rPr>
      <w:b/>
      <w:bCs/>
    </w:rPr>
  </w:style>
  <w:style w:type="character" w:customStyle="1" w:styleId="CommentSubjectChar">
    <w:name w:val="Comment Subject Char"/>
    <w:basedOn w:val="CommentTextChar"/>
    <w:link w:val="CommentSubject"/>
    <w:uiPriority w:val="99"/>
    <w:semiHidden/>
    <w:rsid w:val="009331D6"/>
    <w:rPr>
      <w:b/>
      <w:bCs/>
      <w:sz w:val="20"/>
      <w:szCs w:val="20"/>
    </w:rPr>
  </w:style>
  <w:style w:type="character" w:styleId="Hyperlink">
    <w:name w:val="Hyperlink"/>
    <w:basedOn w:val="DefaultParagraphFont"/>
    <w:uiPriority w:val="99"/>
    <w:unhideWhenUsed/>
    <w:rsid w:val="00A9296D"/>
    <w:rPr>
      <w:color w:val="0563C1" w:themeColor="hyperlink"/>
      <w:u w:val="single"/>
    </w:rPr>
  </w:style>
  <w:style w:type="character" w:styleId="UnresolvedMention">
    <w:name w:val="Unresolved Mention"/>
    <w:basedOn w:val="DefaultParagraphFont"/>
    <w:uiPriority w:val="99"/>
    <w:unhideWhenUsed/>
    <w:rsid w:val="00A9296D"/>
    <w:rPr>
      <w:color w:val="605E5C"/>
      <w:shd w:val="clear" w:color="auto" w:fill="E1DFDD"/>
    </w:rPr>
  </w:style>
  <w:style w:type="character" w:customStyle="1" w:styleId="Heading4Char">
    <w:name w:val="Heading 4 Char"/>
    <w:aliases w:val="PMR Subsection heading (numbered) Char"/>
    <w:basedOn w:val="DefaultParagraphFont"/>
    <w:link w:val="Heading4"/>
    <w:rsid w:val="00473761"/>
    <w:rPr>
      <w:rFonts w:asciiTheme="majorHAnsi" w:eastAsiaTheme="majorEastAsia" w:hAnsiTheme="majorHAnsi" w:cstheme="majorBidi"/>
      <w:i/>
      <w:iCs/>
      <w:color w:val="2F5496" w:themeColor="accent1" w:themeShade="BF"/>
    </w:rPr>
  </w:style>
  <w:style w:type="character" w:customStyle="1" w:styleId="Heading5Char">
    <w:name w:val="Heading 5 Char"/>
    <w:aliases w:val="Sub Sub heading Char"/>
    <w:basedOn w:val="DefaultParagraphFont"/>
    <w:link w:val="Heading5"/>
    <w:uiPriority w:val="9"/>
    <w:rsid w:val="007F609B"/>
    <w:rPr>
      <w:rFonts w:asciiTheme="majorHAnsi" w:eastAsiaTheme="majorEastAsia" w:hAnsiTheme="majorHAnsi" w:cstheme="majorBidi"/>
      <w:color w:val="2F5496" w:themeColor="accent1" w:themeShade="BF"/>
    </w:rPr>
  </w:style>
  <w:style w:type="character" w:customStyle="1" w:styleId="TablesChar">
    <w:name w:val="Tables Char"/>
    <w:basedOn w:val="DefaultParagraphFont"/>
    <w:link w:val="Tables"/>
    <w:locked/>
    <w:rsid w:val="00226937"/>
    <w:rPr>
      <w:rFonts w:eastAsiaTheme="majorEastAsia" w:cstheme="majorBidi"/>
      <w:b/>
      <w:iCs/>
    </w:rPr>
  </w:style>
  <w:style w:type="paragraph" w:customStyle="1" w:styleId="Tables">
    <w:name w:val="Tables"/>
    <w:basedOn w:val="Normal"/>
    <w:link w:val="TablesChar"/>
    <w:qFormat/>
    <w:rsid w:val="00226937"/>
    <w:pPr>
      <w:keepNext/>
      <w:keepLines/>
      <w:spacing w:before="40" w:after="0" w:line="240" w:lineRule="auto"/>
      <w:outlineLvl w:val="3"/>
    </w:pPr>
    <w:rPr>
      <w:rFonts w:eastAsiaTheme="majorEastAsia" w:cstheme="majorBidi"/>
      <w:b/>
      <w:iCs/>
    </w:rPr>
  </w:style>
  <w:style w:type="character" w:customStyle="1" w:styleId="cf01">
    <w:name w:val="cf01"/>
    <w:basedOn w:val="DefaultParagraphFont"/>
    <w:rsid w:val="00055AA6"/>
    <w:rPr>
      <w:rFonts w:ascii="Segoe UI" w:hAnsi="Segoe UI" w:cs="Segoe UI" w:hint="default"/>
      <w:sz w:val="18"/>
      <w:szCs w:val="18"/>
    </w:rPr>
  </w:style>
  <w:style w:type="table" w:styleId="TableGrid">
    <w:name w:val="Table Grid"/>
    <w:basedOn w:val="TableNormal"/>
    <w:uiPriority w:val="59"/>
    <w:rsid w:val="00055AA6"/>
    <w:pPr>
      <w:spacing w:after="0" w:line="240" w:lineRule="auto"/>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PMR Report title Char"/>
    <w:basedOn w:val="DefaultParagraphFont"/>
    <w:link w:val="Heading1"/>
    <w:uiPriority w:val="9"/>
    <w:rsid w:val="006F56F1"/>
    <w:rPr>
      <w:rFonts w:eastAsiaTheme="majorEastAsia" w:cstheme="majorBidi"/>
      <w:b/>
      <w:color w:val="2F5496" w:themeColor="accent1" w:themeShade="BF"/>
      <w:sz w:val="32"/>
      <w:szCs w:val="32"/>
    </w:rPr>
  </w:style>
  <w:style w:type="paragraph" w:styleId="TOCHeading">
    <w:name w:val="TOC Heading"/>
    <w:basedOn w:val="Heading1"/>
    <w:next w:val="Normal"/>
    <w:uiPriority w:val="39"/>
    <w:unhideWhenUsed/>
    <w:qFormat/>
    <w:rsid w:val="000E0125"/>
    <w:pPr>
      <w:spacing w:line="259" w:lineRule="auto"/>
      <w:outlineLvl w:val="9"/>
    </w:pPr>
    <w:rPr>
      <w:lang w:val="en-US"/>
    </w:rPr>
  </w:style>
  <w:style w:type="paragraph" w:styleId="TOC2">
    <w:name w:val="toc 2"/>
    <w:basedOn w:val="Normal"/>
    <w:next w:val="Normal"/>
    <w:autoRedefine/>
    <w:uiPriority w:val="39"/>
    <w:unhideWhenUsed/>
    <w:rsid w:val="009C78E0"/>
    <w:pPr>
      <w:tabs>
        <w:tab w:val="right" w:leader="dot" w:pos="9016"/>
      </w:tabs>
      <w:spacing w:after="100"/>
      <w:ind w:left="240"/>
    </w:pPr>
  </w:style>
  <w:style w:type="paragraph" w:styleId="TOC3">
    <w:name w:val="toc 3"/>
    <w:basedOn w:val="Normal"/>
    <w:next w:val="Normal"/>
    <w:autoRedefine/>
    <w:uiPriority w:val="39"/>
    <w:unhideWhenUsed/>
    <w:rsid w:val="000E0125"/>
    <w:pPr>
      <w:spacing w:after="100"/>
      <w:ind w:left="480"/>
    </w:pPr>
  </w:style>
  <w:style w:type="table" w:styleId="PlainTable2">
    <w:name w:val="Plain Table 2"/>
    <w:basedOn w:val="TableNormal"/>
    <w:uiPriority w:val="42"/>
    <w:rsid w:val="000D0836"/>
    <w:pPr>
      <w:spacing w:after="0" w:line="240" w:lineRule="auto"/>
    </w:pPr>
    <w:rPr>
      <w:rFonts w:asciiTheme="minorHAnsi" w:hAnsiTheme="minorHAnsi" w:cstheme="minorBidi"/>
      <w:sz w:val="22"/>
      <w:szCs w:val="22"/>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6Char">
    <w:name w:val="Heading 6 Char"/>
    <w:aliases w:val="Minor heading Char"/>
    <w:basedOn w:val="DefaultParagraphFont"/>
    <w:link w:val="Heading6"/>
    <w:uiPriority w:val="9"/>
    <w:rsid w:val="000D0836"/>
    <w:rPr>
      <w:rFonts w:asciiTheme="majorHAnsi" w:eastAsiaTheme="majorEastAsia" w:hAnsiTheme="majorHAnsi" w:cstheme="majorBidi"/>
      <w:color w:val="1F3763" w:themeColor="accent1" w:themeShade="7F"/>
    </w:rPr>
  </w:style>
  <w:style w:type="paragraph" w:styleId="Revision">
    <w:name w:val="Revision"/>
    <w:hidden/>
    <w:uiPriority w:val="99"/>
    <w:semiHidden/>
    <w:rsid w:val="001A3DFD"/>
    <w:pPr>
      <w:spacing w:after="0" w:line="240" w:lineRule="auto"/>
    </w:pPr>
  </w:style>
  <w:style w:type="paragraph" w:customStyle="1" w:styleId="EndNoteBibliographyTitle">
    <w:name w:val="EndNote Bibliography Title"/>
    <w:basedOn w:val="Normal"/>
    <w:link w:val="EndNoteBibliographyTitleChar"/>
    <w:rsid w:val="002E6C67"/>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2E6C67"/>
    <w:rPr>
      <w:rFonts w:cs="Calibri"/>
      <w:noProof/>
      <w:lang w:val="en-US"/>
    </w:rPr>
  </w:style>
  <w:style w:type="paragraph" w:customStyle="1" w:styleId="EndNoteBibliography">
    <w:name w:val="EndNote Bibliography"/>
    <w:basedOn w:val="Normal"/>
    <w:link w:val="EndNoteBibliographyChar"/>
    <w:rsid w:val="002E6C67"/>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2E6C67"/>
    <w:rPr>
      <w:rFonts w:cs="Calibri"/>
      <w:noProof/>
      <w:lang w:val="en-US"/>
    </w:rPr>
  </w:style>
  <w:style w:type="character" w:customStyle="1" w:styleId="eop">
    <w:name w:val="eop"/>
    <w:basedOn w:val="DefaultParagraphFont"/>
    <w:rsid w:val="009527E3"/>
  </w:style>
  <w:style w:type="character" w:customStyle="1" w:styleId="normaltextrun">
    <w:name w:val="normaltextrun"/>
    <w:basedOn w:val="DefaultParagraphFont"/>
    <w:rsid w:val="009527E3"/>
  </w:style>
  <w:style w:type="paragraph" w:styleId="FootnoteText">
    <w:name w:val="footnote text"/>
    <w:basedOn w:val="Normal"/>
    <w:link w:val="FootnoteTextChar"/>
    <w:unhideWhenUsed/>
    <w:rsid w:val="00EB1B87"/>
    <w:pPr>
      <w:spacing w:after="0" w:line="240" w:lineRule="auto"/>
    </w:pPr>
    <w:rPr>
      <w:rFonts w:ascii="Times New Roman" w:hAnsi="Times New Roman" w:cstheme="minorBidi"/>
      <w:sz w:val="20"/>
      <w:szCs w:val="20"/>
    </w:rPr>
  </w:style>
  <w:style w:type="character" w:customStyle="1" w:styleId="FootnoteTextChar">
    <w:name w:val="Footnote Text Char"/>
    <w:basedOn w:val="DefaultParagraphFont"/>
    <w:link w:val="FootnoteText"/>
    <w:uiPriority w:val="99"/>
    <w:rsid w:val="00EB1B87"/>
    <w:rPr>
      <w:rFonts w:ascii="Times New Roman" w:hAnsi="Times New Roman" w:cstheme="minorBidi"/>
      <w:sz w:val="20"/>
      <w:szCs w:val="20"/>
    </w:rPr>
  </w:style>
  <w:style w:type="character" w:styleId="FootnoteReference">
    <w:name w:val="footnote reference"/>
    <w:basedOn w:val="DefaultParagraphFont"/>
    <w:uiPriority w:val="99"/>
    <w:semiHidden/>
    <w:unhideWhenUsed/>
    <w:rsid w:val="00EB1B87"/>
    <w:rPr>
      <w:vertAlign w:val="superscript"/>
    </w:rPr>
  </w:style>
  <w:style w:type="paragraph" w:styleId="IntenseQuote">
    <w:name w:val="Intense Quote"/>
    <w:basedOn w:val="Normal"/>
    <w:next w:val="Normal"/>
    <w:link w:val="IntenseQuoteChar"/>
    <w:uiPriority w:val="30"/>
    <w:qFormat/>
    <w:rsid w:val="00353A61"/>
    <w:pPr>
      <w:spacing w:line="240" w:lineRule="auto"/>
    </w:pPr>
    <w:rPr>
      <w:rFonts w:asciiTheme="minorHAnsi" w:hAnsiTheme="minorHAnsi" w:cs="Arial"/>
      <w:bCs/>
      <w:iCs/>
      <w:szCs w:val="22"/>
    </w:rPr>
  </w:style>
  <w:style w:type="character" w:customStyle="1" w:styleId="IntenseQuoteChar">
    <w:name w:val="Intense Quote Char"/>
    <w:basedOn w:val="DefaultParagraphFont"/>
    <w:link w:val="IntenseQuote"/>
    <w:uiPriority w:val="30"/>
    <w:rsid w:val="00353A61"/>
    <w:rPr>
      <w:rFonts w:asciiTheme="minorHAnsi" w:hAnsiTheme="minorHAnsi" w:cs="Arial"/>
      <w:bCs/>
      <w:iCs/>
      <w:szCs w:val="22"/>
    </w:rPr>
  </w:style>
  <w:style w:type="paragraph" w:customStyle="1" w:styleId="indent-1">
    <w:name w:val="indent-1"/>
    <w:basedOn w:val="Normal"/>
    <w:rsid w:val="007852D5"/>
    <w:pPr>
      <w:spacing w:before="100" w:beforeAutospacing="1" w:after="100" w:afterAutospacing="1" w:line="240" w:lineRule="auto"/>
    </w:pPr>
    <w:rPr>
      <w:rFonts w:ascii="Times New Roman" w:eastAsia="Times New Roman" w:hAnsi="Times New Roman"/>
      <w:lang w:eastAsia="en-AU"/>
    </w:rPr>
  </w:style>
  <w:style w:type="paragraph" w:customStyle="1" w:styleId="BoxText">
    <w:name w:val="BoxText"/>
    <w:basedOn w:val="Normal"/>
    <w:qFormat/>
    <w:rsid w:val="00D213EE"/>
    <w:pPr>
      <w:pBdr>
        <w:top w:val="single" w:sz="4" w:space="4" w:color="000000"/>
        <w:left w:val="single" w:sz="4" w:space="4" w:color="000000"/>
        <w:bottom w:val="single" w:sz="4" w:space="4" w:color="000000"/>
        <w:right w:val="single" w:sz="4" w:space="4" w:color="000000"/>
      </w:pBdr>
      <w:spacing w:line="240" w:lineRule="auto"/>
    </w:pPr>
    <w:rPr>
      <w:rFonts w:eastAsia="Times New Roman"/>
      <w:color w:val="000000"/>
      <w:sz w:val="22"/>
      <w:szCs w:val="20"/>
      <w:lang w:eastAsia="en-AU"/>
    </w:rPr>
  </w:style>
  <w:style w:type="paragraph" w:customStyle="1" w:styleId="BoxName">
    <w:name w:val="BoxName"/>
    <w:basedOn w:val="BoxText"/>
    <w:rsid w:val="00D213EE"/>
    <w:pPr>
      <w:keepNext/>
      <w:spacing w:before="180"/>
      <w:ind w:left="1080" w:hanging="1080"/>
    </w:pPr>
    <w:rPr>
      <w:b/>
      <w:bCs/>
      <w:sz w:val="24"/>
    </w:rPr>
  </w:style>
  <w:style w:type="paragraph" w:customStyle="1" w:styleId="BoxBullet">
    <w:name w:val="BoxBullet"/>
    <w:basedOn w:val="BoxText"/>
    <w:rsid w:val="00D213EE"/>
    <w:pPr>
      <w:numPr>
        <w:numId w:val="12"/>
      </w:numPr>
    </w:pPr>
  </w:style>
  <w:style w:type="paragraph" w:styleId="Header">
    <w:name w:val="header"/>
    <w:basedOn w:val="Normal"/>
    <w:link w:val="HeaderChar"/>
    <w:unhideWhenUsed/>
    <w:rsid w:val="00EE6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A16"/>
  </w:style>
  <w:style w:type="paragraph" w:styleId="Footer">
    <w:name w:val="footer"/>
    <w:basedOn w:val="Normal"/>
    <w:link w:val="FooterChar"/>
    <w:uiPriority w:val="99"/>
    <w:unhideWhenUsed/>
    <w:rsid w:val="00EE6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A16"/>
  </w:style>
  <w:style w:type="paragraph" w:styleId="TOC1">
    <w:name w:val="toc 1"/>
    <w:basedOn w:val="Normal"/>
    <w:next w:val="Normal"/>
    <w:autoRedefine/>
    <w:uiPriority w:val="39"/>
    <w:unhideWhenUsed/>
    <w:rsid w:val="001267A3"/>
    <w:pPr>
      <w:tabs>
        <w:tab w:val="right" w:leader="dot" w:pos="9016"/>
      </w:tabs>
      <w:spacing w:after="100" w:line="259" w:lineRule="auto"/>
    </w:pPr>
    <w:rPr>
      <w:rFonts w:asciiTheme="minorHAnsi" w:eastAsiaTheme="minorEastAsia" w:hAnsiTheme="minorHAnsi"/>
      <w:noProof/>
      <w:lang w:val="en-US"/>
    </w:rPr>
  </w:style>
  <w:style w:type="paragraph" w:customStyle="1" w:styleId="FIgures">
    <w:name w:val="FIgures"/>
    <w:basedOn w:val="Heading4"/>
    <w:link w:val="FIguresChar"/>
    <w:qFormat/>
    <w:rsid w:val="00434810"/>
    <w:pPr>
      <w:numPr>
        <w:ilvl w:val="0"/>
        <w:numId w:val="0"/>
      </w:numPr>
      <w:spacing w:after="0" w:line="240" w:lineRule="auto"/>
    </w:pPr>
    <w:rPr>
      <w:rFonts w:asciiTheme="minorHAnsi" w:hAnsiTheme="minorHAnsi"/>
      <w:b/>
      <w:i w:val="0"/>
      <w:szCs w:val="22"/>
    </w:rPr>
  </w:style>
  <w:style w:type="character" w:customStyle="1" w:styleId="FIguresChar">
    <w:name w:val="FIgures Char"/>
    <w:basedOn w:val="Heading4Char"/>
    <w:link w:val="FIgures"/>
    <w:rsid w:val="00434810"/>
    <w:rPr>
      <w:rFonts w:asciiTheme="minorHAnsi" w:eastAsiaTheme="majorEastAsia" w:hAnsiTheme="minorHAnsi" w:cstheme="majorBidi"/>
      <w:b/>
      <w:i w:val="0"/>
      <w:iCs/>
      <w:color w:val="2F5496" w:themeColor="accent1" w:themeShade="BF"/>
      <w:szCs w:val="22"/>
    </w:rPr>
  </w:style>
  <w:style w:type="character" w:styleId="FollowedHyperlink">
    <w:name w:val="FollowedHyperlink"/>
    <w:basedOn w:val="DefaultParagraphFont"/>
    <w:uiPriority w:val="99"/>
    <w:semiHidden/>
    <w:unhideWhenUsed/>
    <w:rsid w:val="00434810"/>
    <w:rPr>
      <w:color w:val="954F72" w:themeColor="followedHyperlink"/>
      <w:u w:val="single"/>
    </w:rPr>
  </w:style>
  <w:style w:type="character" w:styleId="Emphasis">
    <w:name w:val="Emphasis"/>
    <w:basedOn w:val="DefaultParagraphFont"/>
    <w:uiPriority w:val="20"/>
    <w:qFormat/>
    <w:rsid w:val="006F0DAE"/>
    <w:rPr>
      <w:rFonts w:asciiTheme="minorHAnsi" w:hAnsiTheme="minorHAnsi"/>
      <w:i/>
      <w:iCs/>
    </w:rPr>
  </w:style>
  <w:style w:type="paragraph" w:styleId="NoSpacing">
    <w:name w:val="No Spacing"/>
    <w:uiPriority w:val="1"/>
    <w:qFormat/>
    <w:rsid w:val="006F0DAE"/>
    <w:pPr>
      <w:spacing w:after="0" w:line="240" w:lineRule="auto"/>
    </w:pPr>
    <w:rPr>
      <w:rFonts w:asciiTheme="minorHAnsi" w:eastAsia="Times New Roman" w:hAnsiTheme="minorHAnsi"/>
      <w:szCs w:val="20"/>
      <w:lang w:eastAsia="en-AU"/>
    </w:rPr>
  </w:style>
  <w:style w:type="paragraph" w:customStyle="1" w:styleId="paragraph">
    <w:name w:val="paragraph"/>
    <w:basedOn w:val="Normal"/>
    <w:rsid w:val="004275E8"/>
    <w:pPr>
      <w:spacing w:before="100" w:beforeAutospacing="1" w:after="100" w:afterAutospacing="1" w:line="240" w:lineRule="auto"/>
    </w:pPr>
    <w:rPr>
      <w:rFonts w:cs="Calibri"/>
      <w:sz w:val="22"/>
      <w:szCs w:val="22"/>
      <w:lang w:eastAsia="en-AU"/>
    </w:rPr>
  </w:style>
  <w:style w:type="paragraph" w:styleId="TOC4">
    <w:name w:val="toc 4"/>
    <w:basedOn w:val="Normal"/>
    <w:next w:val="Normal"/>
    <w:autoRedefine/>
    <w:unhideWhenUsed/>
    <w:rsid w:val="00E828E0"/>
    <w:pPr>
      <w:spacing w:after="100"/>
      <w:ind w:left="720"/>
    </w:pPr>
  </w:style>
  <w:style w:type="paragraph" w:styleId="TOC5">
    <w:name w:val="toc 5"/>
    <w:basedOn w:val="Normal"/>
    <w:next w:val="Normal"/>
    <w:autoRedefine/>
    <w:uiPriority w:val="39"/>
    <w:unhideWhenUsed/>
    <w:rsid w:val="00E828E0"/>
    <w:pPr>
      <w:spacing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E828E0"/>
    <w:pPr>
      <w:spacing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E828E0"/>
    <w:pPr>
      <w:spacing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E828E0"/>
    <w:pPr>
      <w:spacing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E828E0"/>
    <w:pPr>
      <w:spacing w:after="100" w:line="259" w:lineRule="auto"/>
      <w:ind w:left="1760"/>
    </w:pPr>
    <w:rPr>
      <w:rFonts w:asciiTheme="minorHAnsi" w:eastAsiaTheme="minorEastAsia" w:hAnsiTheme="minorHAnsi" w:cstheme="minorBidi"/>
      <w:sz w:val="22"/>
      <w:szCs w:val="22"/>
      <w:lang w:eastAsia="en-AU"/>
    </w:rPr>
  </w:style>
  <w:style w:type="paragraph" w:customStyle="1" w:styleId="Default">
    <w:name w:val="Default"/>
    <w:rsid w:val="00A93E9D"/>
    <w:pPr>
      <w:autoSpaceDE w:val="0"/>
      <w:autoSpaceDN w:val="0"/>
      <w:adjustRightInd w:val="0"/>
      <w:spacing w:after="0" w:line="240" w:lineRule="auto"/>
    </w:pPr>
    <w:rPr>
      <w:rFonts w:ascii="Times New Roman" w:hAnsi="Times New Roman"/>
      <w:color w:val="000000"/>
    </w:rPr>
  </w:style>
  <w:style w:type="paragraph" w:styleId="NormalWeb">
    <w:name w:val="Normal (Web)"/>
    <w:basedOn w:val="Normal"/>
    <w:uiPriority w:val="99"/>
    <w:semiHidden/>
    <w:unhideWhenUsed/>
    <w:rsid w:val="004139FC"/>
    <w:pPr>
      <w:spacing w:before="100" w:beforeAutospacing="1" w:after="100" w:afterAutospacing="1" w:line="240" w:lineRule="auto"/>
      <w:jc w:val="left"/>
    </w:pPr>
    <w:rPr>
      <w:rFonts w:ascii="Times New Roman" w:eastAsia="Times New Roman" w:hAnsi="Times New Roman"/>
      <w:lang w:eastAsia="en-AU"/>
    </w:rPr>
  </w:style>
  <w:style w:type="character" w:customStyle="1" w:styleId="null1">
    <w:name w:val="null1"/>
    <w:basedOn w:val="DefaultParagraphFont"/>
    <w:rsid w:val="00DD4BC1"/>
  </w:style>
  <w:style w:type="paragraph" w:customStyle="1" w:styleId="null">
    <w:name w:val="null"/>
    <w:basedOn w:val="Normal"/>
    <w:rsid w:val="00DD4BC1"/>
    <w:pPr>
      <w:spacing w:before="100" w:beforeAutospacing="1" w:after="100" w:afterAutospacing="1" w:line="240" w:lineRule="auto"/>
      <w:jc w:val="left"/>
    </w:pPr>
    <w:rPr>
      <w:rFonts w:ascii="Times New Roman" w:hAnsi="Times New Roman"/>
      <w:lang w:eastAsia="en-AU"/>
    </w:rPr>
  </w:style>
  <w:style w:type="paragraph" w:customStyle="1" w:styleId="u-lead-text">
    <w:name w:val="u-lead-text"/>
    <w:basedOn w:val="Normal"/>
    <w:rsid w:val="00DD4BC1"/>
    <w:pPr>
      <w:spacing w:before="100" w:beforeAutospacing="1" w:after="100" w:afterAutospacing="1" w:line="240" w:lineRule="auto"/>
      <w:jc w:val="left"/>
    </w:pPr>
    <w:rPr>
      <w:rFonts w:ascii="Times New Roman" w:eastAsia="Times New Roman" w:hAnsi="Times New Roman"/>
      <w:lang w:eastAsia="en-AU"/>
    </w:rPr>
  </w:style>
  <w:style w:type="paragraph" w:styleId="TableofFigures">
    <w:name w:val="table of figures"/>
    <w:basedOn w:val="Normal"/>
    <w:next w:val="Normal"/>
    <w:uiPriority w:val="99"/>
    <w:unhideWhenUsed/>
    <w:rsid w:val="00421D86"/>
    <w:pPr>
      <w:spacing w:after="0"/>
    </w:pPr>
  </w:style>
  <w:style w:type="paragraph" w:styleId="Index1">
    <w:name w:val="index 1"/>
    <w:basedOn w:val="Normal"/>
    <w:next w:val="Normal"/>
    <w:autoRedefine/>
    <w:unhideWhenUsed/>
    <w:rsid w:val="00227EAB"/>
    <w:pPr>
      <w:spacing w:after="0" w:line="240" w:lineRule="auto"/>
      <w:ind w:left="240" w:hanging="240"/>
    </w:pPr>
  </w:style>
  <w:style w:type="paragraph" w:customStyle="1" w:styleId="2Sections">
    <w:name w:val="2. Sections"/>
    <w:qFormat/>
    <w:rsid w:val="00CF3600"/>
    <w:pPr>
      <w:numPr>
        <w:numId w:val="34"/>
      </w:numPr>
      <w:spacing w:before="240" w:after="120" w:line="240" w:lineRule="auto"/>
      <w:outlineLvl w:val="0"/>
    </w:pPr>
    <w:rPr>
      <w:rFonts w:asciiTheme="minorHAnsi" w:eastAsia="Times New Roman" w:hAnsiTheme="minorHAnsi" w:cs="Arial"/>
      <w:b/>
      <w:snapToGrid w:val="0"/>
      <w:sz w:val="32"/>
      <w:szCs w:val="32"/>
    </w:rPr>
  </w:style>
  <w:style w:type="paragraph" w:customStyle="1" w:styleId="4Bodytextnumbered">
    <w:name w:val="4. Body text numbered"/>
    <w:basedOn w:val="ListParagraph"/>
    <w:qFormat/>
    <w:rsid w:val="00CF3600"/>
    <w:pPr>
      <w:numPr>
        <w:ilvl w:val="1"/>
        <w:numId w:val="34"/>
      </w:numPr>
      <w:spacing w:line="240" w:lineRule="auto"/>
      <w:contextualSpacing w:val="0"/>
    </w:pPr>
    <w:rPr>
      <w:rFonts w:asciiTheme="minorHAnsi" w:hAnsiTheme="minorHAnsi" w:cstheme="minorBidi"/>
      <w:szCs w:val="22"/>
    </w:rPr>
  </w:style>
  <w:style w:type="numbering" w:customStyle="1" w:styleId="NoList1">
    <w:name w:val="No List1"/>
    <w:next w:val="NoList"/>
    <w:uiPriority w:val="99"/>
    <w:semiHidden/>
    <w:unhideWhenUsed/>
    <w:rsid w:val="001E69D0"/>
  </w:style>
  <w:style w:type="paragraph" w:customStyle="1" w:styleId="Subtitle1">
    <w:name w:val="Subtitle1"/>
    <w:basedOn w:val="Normal"/>
    <w:next w:val="Normal"/>
    <w:uiPriority w:val="11"/>
    <w:rsid w:val="001E69D0"/>
    <w:pPr>
      <w:numPr>
        <w:ilvl w:val="1"/>
      </w:numPr>
      <w:spacing w:after="240" w:line="240" w:lineRule="auto"/>
      <w:jc w:val="center"/>
    </w:pPr>
    <w:rPr>
      <w:rFonts w:eastAsia="MS Gothic"/>
      <w:b/>
      <w:iCs/>
      <w:sz w:val="40"/>
    </w:rPr>
  </w:style>
  <w:style w:type="paragraph" w:customStyle="1" w:styleId="PullQuote">
    <w:name w:val="PullQuote"/>
    <w:basedOn w:val="Normal"/>
    <w:next w:val="Normal"/>
    <w:rsid w:val="001E69D0"/>
    <w:pPr>
      <w:spacing w:after="240" w:line="240" w:lineRule="auto"/>
      <w:jc w:val="left"/>
    </w:pPr>
    <w:rPr>
      <w:rFonts w:eastAsia="Times New Roman"/>
      <w:b/>
      <w:color w:val="76923C"/>
      <w:sz w:val="22"/>
      <w:szCs w:val="20"/>
    </w:rPr>
  </w:style>
  <w:style w:type="paragraph" w:customStyle="1" w:styleId="ReportDate">
    <w:name w:val="ReportDate"/>
    <w:basedOn w:val="Normal"/>
    <w:rsid w:val="001E69D0"/>
    <w:pPr>
      <w:spacing w:after="240" w:line="240" w:lineRule="auto"/>
      <w:jc w:val="center"/>
    </w:pPr>
    <w:rPr>
      <w:rFonts w:eastAsia="Times New Roman"/>
      <w:color w:val="000000"/>
      <w:sz w:val="40"/>
      <w:szCs w:val="20"/>
    </w:rPr>
  </w:style>
  <w:style w:type="paragraph" w:customStyle="1" w:styleId="Heading1a">
    <w:name w:val="Heading 1a"/>
    <w:basedOn w:val="Heading1"/>
    <w:next w:val="Normal"/>
    <w:rsid w:val="001E69D0"/>
    <w:pPr>
      <w:keepLines w:val="0"/>
      <w:pageBreakBefore/>
      <w:spacing w:before="0" w:after="480" w:line="240" w:lineRule="auto"/>
      <w:ind w:left="720" w:hanging="720"/>
      <w:jc w:val="left"/>
      <w:outlineLvl w:val="9"/>
    </w:pPr>
    <w:rPr>
      <w:rFonts w:ascii="Open Sans" w:eastAsia="Times New Roman" w:hAnsi="Open Sans" w:cs="Open Sans"/>
      <w:bCs/>
      <w:color w:val="008CA6"/>
      <w:kern w:val="32"/>
      <w:sz w:val="40"/>
      <w:szCs w:val="40"/>
    </w:rPr>
  </w:style>
  <w:style w:type="paragraph" w:customStyle="1" w:styleId="Heading2a">
    <w:name w:val="Heading 2a"/>
    <w:basedOn w:val="Heading2"/>
    <w:next w:val="Normal"/>
    <w:rsid w:val="001E69D0"/>
    <w:pPr>
      <w:keepLines w:val="0"/>
      <w:spacing w:before="240" w:after="240" w:line="240" w:lineRule="auto"/>
      <w:jc w:val="left"/>
      <w:outlineLvl w:val="9"/>
    </w:pPr>
    <w:rPr>
      <w:rFonts w:ascii="Open Sans" w:eastAsia="Times New Roman" w:hAnsi="Open Sans" w:cs="Open Sans"/>
      <w:iCs/>
      <w:color w:val="008CA6"/>
      <w:sz w:val="28"/>
      <w:szCs w:val="28"/>
    </w:rPr>
  </w:style>
  <w:style w:type="paragraph" w:customStyle="1" w:styleId="Heading3a">
    <w:name w:val="Heading 3a"/>
    <w:basedOn w:val="Heading3"/>
    <w:next w:val="Normal"/>
    <w:rsid w:val="001E69D0"/>
    <w:pPr>
      <w:keepLines w:val="0"/>
      <w:numPr>
        <w:ilvl w:val="0"/>
        <w:numId w:val="0"/>
      </w:numPr>
      <w:spacing w:before="240" w:after="240" w:line="240" w:lineRule="auto"/>
      <w:jc w:val="left"/>
      <w:outlineLvl w:val="9"/>
    </w:pPr>
    <w:rPr>
      <w:rFonts w:ascii="Open Sans" w:eastAsia="Times New Roman" w:hAnsi="Open Sans" w:cs="Open Sans"/>
      <w:color w:val="008CA6"/>
    </w:rPr>
  </w:style>
  <w:style w:type="character" w:styleId="PageNumber">
    <w:name w:val="page number"/>
    <w:basedOn w:val="DefaultParagraphFont"/>
    <w:semiHidden/>
    <w:rsid w:val="001E69D0"/>
    <w:rPr>
      <w:rFonts w:ascii="Times New Roman" w:hAnsi="Times New Roman"/>
      <w:b/>
      <w:sz w:val="20"/>
    </w:rPr>
  </w:style>
  <w:style w:type="paragraph" w:customStyle="1" w:styleId="TableText">
    <w:name w:val="TableText"/>
    <w:basedOn w:val="Normal"/>
    <w:rsid w:val="001E69D0"/>
    <w:pPr>
      <w:keepNext/>
      <w:spacing w:before="60" w:after="60" w:line="240" w:lineRule="auto"/>
      <w:jc w:val="left"/>
    </w:pPr>
    <w:rPr>
      <w:rFonts w:eastAsia="Times New Roman"/>
      <w:color w:val="000000"/>
      <w:sz w:val="21"/>
      <w:szCs w:val="21"/>
    </w:rPr>
  </w:style>
  <w:style w:type="paragraph" w:customStyle="1" w:styleId="TFListNotesSpace">
    <w:name w:val="TFListNotes+Space"/>
    <w:basedOn w:val="TableText"/>
    <w:next w:val="Normal"/>
    <w:rsid w:val="001E69D0"/>
    <w:pPr>
      <w:keepNext w:val="0"/>
      <w:keepLines/>
      <w:spacing w:before="0" w:after="360"/>
      <w:ind w:left="170" w:hanging="170"/>
    </w:pPr>
    <w:rPr>
      <w:sz w:val="18"/>
      <w:szCs w:val="18"/>
    </w:rPr>
  </w:style>
  <w:style w:type="paragraph" w:customStyle="1" w:styleId="TFListNotes">
    <w:name w:val="TFListNotes"/>
    <w:basedOn w:val="TFListNotesSpace"/>
    <w:rsid w:val="001E69D0"/>
    <w:pPr>
      <w:keepNext/>
      <w:spacing w:after="0"/>
    </w:pPr>
  </w:style>
  <w:style w:type="paragraph" w:customStyle="1" w:styleId="TableTitle">
    <w:name w:val="TableTitle"/>
    <w:basedOn w:val="TableText"/>
    <w:rsid w:val="001E69D0"/>
    <w:pPr>
      <w:tabs>
        <w:tab w:val="left" w:pos="1080"/>
      </w:tabs>
      <w:spacing w:before="120" w:after="120"/>
      <w:ind w:left="1080" w:hanging="1080"/>
    </w:pPr>
    <w:rPr>
      <w:b/>
      <w:bCs/>
      <w:sz w:val="22"/>
    </w:rPr>
  </w:style>
  <w:style w:type="paragraph" w:customStyle="1" w:styleId="TableHeading">
    <w:name w:val="TableHeading"/>
    <w:basedOn w:val="TableText"/>
    <w:rsid w:val="001E69D0"/>
    <w:rPr>
      <w:b/>
      <w:bCs/>
    </w:rPr>
  </w:style>
  <w:style w:type="paragraph" w:customStyle="1" w:styleId="TableBullet">
    <w:name w:val="TableBullet"/>
    <w:basedOn w:val="TableText"/>
    <w:rsid w:val="001E69D0"/>
    <w:pPr>
      <w:numPr>
        <w:numId w:val="35"/>
      </w:numPr>
      <w:tabs>
        <w:tab w:val="clear" w:pos="360"/>
        <w:tab w:val="left" w:pos="216"/>
      </w:tabs>
      <w:ind w:left="216" w:hanging="216"/>
    </w:pPr>
  </w:style>
  <w:style w:type="paragraph" w:customStyle="1" w:styleId="TableDash">
    <w:name w:val="TableDash"/>
    <w:basedOn w:val="TableText"/>
    <w:rsid w:val="001E69D0"/>
    <w:pPr>
      <w:numPr>
        <w:numId w:val="36"/>
      </w:numPr>
      <w:tabs>
        <w:tab w:val="clear" w:pos="216"/>
        <w:tab w:val="num" w:pos="432"/>
      </w:tabs>
    </w:pPr>
  </w:style>
  <w:style w:type="paragraph" w:styleId="Quote">
    <w:name w:val="Quote"/>
    <w:basedOn w:val="Normal"/>
    <w:link w:val="QuoteChar"/>
    <w:rsid w:val="001E69D0"/>
    <w:pPr>
      <w:spacing w:after="240" w:line="240" w:lineRule="auto"/>
      <w:ind w:left="720" w:right="720"/>
      <w:jc w:val="left"/>
    </w:pPr>
    <w:rPr>
      <w:rFonts w:eastAsia="Times New Roman"/>
      <w:color w:val="000000"/>
      <w:sz w:val="20"/>
      <w:szCs w:val="20"/>
    </w:rPr>
  </w:style>
  <w:style w:type="character" w:customStyle="1" w:styleId="QuoteChar">
    <w:name w:val="Quote Char"/>
    <w:basedOn w:val="DefaultParagraphFont"/>
    <w:link w:val="Quote"/>
    <w:rsid w:val="001E69D0"/>
    <w:rPr>
      <w:rFonts w:eastAsia="Times New Roman"/>
      <w:color w:val="000000"/>
      <w:sz w:val="20"/>
      <w:szCs w:val="20"/>
    </w:rPr>
  </w:style>
  <w:style w:type="paragraph" w:customStyle="1" w:styleId="References">
    <w:name w:val="References"/>
    <w:basedOn w:val="Normal"/>
    <w:rsid w:val="001E69D0"/>
    <w:pPr>
      <w:keepLines/>
      <w:spacing w:after="240" w:line="240" w:lineRule="auto"/>
      <w:ind w:left="720" w:hanging="720"/>
      <w:jc w:val="left"/>
    </w:pPr>
    <w:rPr>
      <w:rFonts w:eastAsia="Times New Roman"/>
      <w:color w:val="000000"/>
      <w:sz w:val="22"/>
      <w:szCs w:val="20"/>
    </w:rPr>
  </w:style>
  <w:style w:type="paragraph" w:customStyle="1" w:styleId="FigTabPara">
    <w:name w:val="FigTabPara"/>
    <w:basedOn w:val="Normal"/>
    <w:next w:val="TFIHolder"/>
    <w:rsid w:val="001E69D0"/>
    <w:pPr>
      <w:keepNext/>
      <w:spacing w:line="240" w:lineRule="auto"/>
      <w:ind w:left="1077"/>
      <w:jc w:val="left"/>
    </w:pPr>
    <w:rPr>
      <w:rFonts w:eastAsia="Times New Roman"/>
      <w:color w:val="000000"/>
      <w:sz w:val="22"/>
      <w:szCs w:val="20"/>
    </w:rPr>
  </w:style>
  <w:style w:type="paragraph" w:customStyle="1" w:styleId="TFIHolder">
    <w:name w:val="TFIHolder"/>
    <w:basedOn w:val="TFAbbrevs"/>
    <w:qFormat/>
    <w:rsid w:val="001E69D0"/>
    <w:rPr>
      <w:sz w:val="12"/>
    </w:rPr>
  </w:style>
  <w:style w:type="paragraph" w:customStyle="1" w:styleId="TFAbbrevs">
    <w:name w:val="TFAbbrevs"/>
    <w:basedOn w:val="TFListNotes"/>
    <w:rsid w:val="001E69D0"/>
  </w:style>
  <w:style w:type="paragraph" w:customStyle="1" w:styleId="FigureNameSpace">
    <w:name w:val="FigureName+Space"/>
    <w:basedOn w:val="Normal"/>
    <w:next w:val="Normal"/>
    <w:rsid w:val="001E69D0"/>
    <w:pPr>
      <w:keepLines/>
      <w:tabs>
        <w:tab w:val="left" w:pos="1080"/>
      </w:tabs>
      <w:spacing w:before="120" w:after="360" w:line="240" w:lineRule="auto"/>
      <w:ind w:left="1080" w:hanging="1080"/>
      <w:jc w:val="left"/>
    </w:pPr>
    <w:rPr>
      <w:rFonts w:eastAsia="Times New Roman"/>
      <w:b/>
      <w:bCs/>
      <w:color w:val="000000"/>
      <w:sz w:val="22"/>
      <w:szCs w:val="20"/>
    </w:rPr>
  </w:style>
  <w:style w:type="paragraph" w:customStyle="1" w:styleId="BulletBeforeDash">
    <w:name w:val="BulletBeforeDash"/>
    <w:basedOn w:val="Normal"/>
    <w:rsid w:val="001E69D0"/>
    <w:pPr>
      <w:spacing w:after="0" w:line="240" w:lineRule="auto"/>
      <w:jc w:val="left"/>
    </w:pPr>
    <w:rPr>
      <w:rFonts w:eastAsia="Times New Roman"/>
      <w:color w:val="000000"/>
      <w:sz w:val="22"/>
      <w:szCs w:val="20"/>
    </w:rPr>
  </w:style>
  <w:style w:type="paragraph" w:customStyle="1" w:styleId="Bullet">
    <w:name w:val="Bullet"/>
    <w:basedOn w:val="BulletBeforeDash"/>
    <w:qFormat/>
    <w:rsid w:val="001E69D0"/>
    <w:pPr>
      <w:spacing w:after="120"/>
    </w:pPr>
  </w:style>
  <w:style w:type="paragraph" w:customStyle="1" w:styleId="BulletLast">
    <w:name w:val="BulletLast"/>
    <w:basedOn w:val="Bullet"/>
    <w:qFormat/>
    <w:rsid w:val="001E69D0"/>
    <w:pPr>
      <w:spacing w:after="240"/>
    </w:pPr>
  </w:style>
  <w:style w:type="paragraph" w:customStyle="1" w:styleId="Dash">
    <w:name w:val="Dash"/>
    <w:basedOn w:val="Normal"/>
    <w:rsid w:val="001E69D0"/>
    <w:pPr>
      <w:tabs>
        <w:tab w:val="left" w:pos="720"/>
      </w:tabs>
      <w:spacing w:after="0" w:line="240" w:lineRule="auto"/>
      <w:jc w:val="left"/>
    </w:pPr>
    <w:rPr>
      <w:rFonts w:eastAsia="Times New Roman"/>
      <w:color w:val="000000"/>
      <w:sz w:val="22"/>
      <w:szCs w:val="20"/>
    </w:rPr>
  </w:style>
  <w:style w:type="paragraph" w:customStyle="1" w:styleId="DashLast">
    <w:name w:val="DashLast"/>
    <w:basedOn w:val="Dash"/>
    <w:rsid w:val="001E69D0"/>
    <w:pPr>
      <w:spacing w:after="120"/>
    </w:pPr>
  </w:style>
  <w:style w:type="paragraph" w:customStyle="1" w:styleId="DashLastSpace">
    <w:name w:val="DashLast+Space"/>
    <w:basedOn w:val="DashLast"/>
    <w:rsid w:val="001E69D0"/>
    <w:pPr>
      <w:spacing w:after="240"/>
    </w:pPr>
  </w:style>
  <w:style w:type="paragraph" w:customStyle="1" w:styleId="NormalBeforeBullet">
    <w:name w:val="NormalBeforeBullet"/>
    <w:basedOn w:val="Normal"/>
    <w:qFormat/>
    <w:rsid w:val="001E69D0"/>
    <w:pPr>
      <w:keepNext/>
      <w:spacing w:line="240" w:lineRule="auto"/>
      <w:jc w:val="left"/>
    </w:pPr>
    <w:rPr>
      <w:rFonts w:eastAsia="Times New Roman"/>
      <w:color w:val="000000"/>
      <w:sz w:val="22"/>
      <w:szCs w:val="20"/>
    </w:rPr>
  </w:style>
  <w:style w:type="paragraph" w:customStyle="1" w:styleId="BoxNotes">
    <w:name w:val="BoxNotes"/>
    <w:basedOn w:val="BoxText"/>
    <w:rsid w:val="001E69D0"/>
    <w:pPr>
      <w:spacing w:before="120" w:after="60"/>
      <w:jc w:val="left"/>
    </w:pPr>
    <w:rPr>
      <w:sz w:val="18"/>
      <w:lang w:eastAsia="en-US"/>
    </w:rPr>
  </w:style>
  <w:style w:type="paragraph" w:customStyle="1" w:styleId="BoxTitle">
    <w:name w:val="BoxTitle"/>
    <w:basedOn w:val="BoxText"/>
    <w:rsid w:val="001E69D0"/>
    <w:pPr>
      <w:keepNext/>
      <w:spacing w:before="180"/>
      <w:ind w:left="1080" w:hanging="1080"/>
      <w:jc w:val="left"/>
    </w:pPr>
    <w:rPr>
      <w:b/>
      <w:bCs/>
      <w:sz w:val="24"/>
      <w:lang w:eastAsia="en-US"/>
    </w:rPr>
  </w:style>
  <w:style w:type="paragraph" w:customStyle="1" w:styleId="BoxHeading">
    <w:name w:val="BoxHeading"/>
    <w:basedOn w:val="BoxText"/>
    <w:rsid w:val="001E69D0"/>
    <w:pPr>
      <w:keepNext/>
      <w:spacing w:before="120" w:after="60"/>
      <w:jc w:val="left"/>
    </w:pPr>
    <w:rPr>
      <w:b/>
      <w:bCs/>
      <w:lang w:eastAsia="en-US"/>
    </w:rPr>
  </w:style>
  <w:style w:type="paragraph" w:customStyle="1" w:styleId="BoxDashManual">
    <w:name w:val="BoxDashManual"/>
    <w:basedOn w:val="BoxText"/>
    <w:rsid w:val="001E69D0"/>
    <w:pPr>
      <w:tabs>
        <w:tab w:val="left" w:pos="360"/>
        <w:tab w:val="left" w:pos="720"/>
      </w:tabs>
      <w:ind w:left="720" w:hanging="720"/>
      <w:jc w:val="left"/>
    </w:pPr>
    <w:rPr>
      <w:lang w:eastAsia="en-US"/>
    </w:rPr>
  </w:style>
  <w:style w:type="paragraph" w:customStyle="1" w:styleId="FigureTitle">
    <w:name w:val="FigureTitle"/>
    <w:basedOn w:val="FigureNameSpace"/>
    <w:next w:val="Normal"/>
    <w:rsid w:val="001E69D0"/>
    <w:pPr>
      <w:keepNext/>
      <w:spacing w:after="120"/>
      <w:ind w:left="1077" w:hanging="1077"/>
    </w:pPr>
  </w:style>
  <w:style w:type="paragraph" w:styleId="Index2">
    <w:name w:val="index 2"/>
    <w:basedOn w:val="Index1"/>
    <w:next w:val="Normal"/>
    <w:rsid w:val="001E69D0"/>
    <w:pPr>
      <w:ind w:left="816" w:hanging="476"/>
      <w:jc w:val="left"/>
    </w:pPr>
    <w:rPr>
      <w:rFonts w:eastAsia="Times New Roman"/>
      <w:noProof/>
      <w:color w:val="000000"/>
      <w:sz w:val="22"/>
      <w:szCs w:val="20"/>
    </w:rPr>
  </w:style>
  <w:style w:type="paragraph" w:customStyle="1" w:styleId="NumberList">
    <w:name w:val="NumberList"/>
    <w:basedOn w:val="Normal"/>
    <w:rsid w:val="001E69D0"/>
    <w:pPr>
      <w:tabs>
        <w:tab w:val="left" w:pos="360"/>
      </w:tabs>
      <w:spacing w:after="240" w:line="240" w:lineRule="auto"/>
      <w:ind w:left="357" w:hanging="357"/>
      <w:jc w:val="left"/>
    </w:pPr>
    <w:rPr>
      <w:rFonts w:eastAsia="Times New Roman"/>
      <w:color w:val="000000"/>
      <w:sz w:val="22"/>
      <w:szCs w:val="20"/>
    </w:rPr>
  </w:style>
  <w:style w:type="paragraph" w:customStyle="1" w:styleId="TFNoteSourceSpace">
    <w:name w:val="TFNoteSource+Space"/>
    <w:basedOn w:val="TFListNotesSpace"/>
    <w:next w:val="Normal"/>
    <w:rsid w:val="001E69D0"/>
  </w:style>
  <w:style w:type="paragraph" w:customStyle="1" w:styleId="TFNoteSource">
    <w:name w:val="TFNoteSource"/>
    <w:basedOn w:val="TFNoteSourceSpace"/>
    <w:rsid w:val="001E69D0"/>
    <w:pPr>
      <w:spacing w:after="0"/>
    </w:pPr>
  </w:style>
  <w:style w:type="character" w:customStyle="1" w:styleId="DesignerNotesChar">
    <w:name w:val="DesignerNotesChar"/>
    <w:basedOn w:val="DefaultParagraphFont"/>
    <w:rsid w:val="001E69D0"/>
    <w:rPr>
      <w:rFonts w:ascii="Arial" w:hAnsi="Arial"/>
      <w:b/>
      <w:color w:val="3366FF"/>
      <w:sz w:val="20"/>
    </w:rPr>
  </w:style>
  <w:style w:type="paragraph" w:customStyle="1" w:styleId="TFAbbrevsSpace">
    <w:name w:val="TFAbbrevs+Space"/>
    <w:basedOn w:val="TFAbbrevs"/>
    <w:next w:val="Normal"/>
    <w:rsid w:val="001E69D0"/>
    <w:pPr>
      <w:spacing w:after="360"/>
    </w:pPr>
  </w:style>
  <w:style w:type="character" w:styleId="Strong">
    <w:name w:val="Strong"/>
    <w:basedOn w:val="DefaultParagraphFont"/>
    <w:uiPriority w:val="22"/>
    <w:qFormat/>
    <w:rsid w:val="001E69D0"/>
    <w:rPr>
      <w:b/>
      <w:bCs/>
    </w:rPr>
  </w:style>
  <w:style w:type="character" w:customStyle="1" w:styleId="Roman">
    <w:name w:val="Roman"/>
    <w:uiPriority w:val="1"/>
    <w:rsid w:val="001E69D0"/>
    <w:rPr>
      <w:b w:val="0"/>
      <w:i/>
    </w:rPr>
  </w:style>
  <w:style w:type="character" w:customStyle="1" w:styleId="PullQuoteOrigin">
    <w:name w:val="PullQuoteOrigin"/>
    <w:basedOn w:val="DefaultParagraphFont"/>
    <w:uiPriority w:val="1"/>
    <w:rsid w:val="001E69D0"/>
    <w:rPr>
      <w:b/>
      <w:noProof/>
      <w:color w:val="76923C"/>
    </w:rPr>
  </w:style>
  <w:style w:type="table" w:customStyle="1" w:styleId="TableGrid1">
    <w:name w:val="Table Grid1"/>
    <w:basedOn w:val="TableNormal"/>
    <w:next w:val="TableGrid"/>
    <w:uiPriority w:val="59"/>
    <w:rsid w:val="001E69D0"/>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
    <w:qFormat/>
    <w:rsid w:val="001E69D0"/>
    <w:pPr>
      <w:spacing w:after="240"/>
    </w:pPr>
  </w:style>
  <w:style w:type="paragraph" w:customStyle="1" w:styleId="DesignerNotes">
    <w:name w:val="DesignerNotes"/>
    <w:basedOn w:val="Normal"/>
    <w:rsid w:val="001E69D0"/>
    <w:pPr>
      <w:spacing w:after="240" w:line="240" w:lineRule="auto"/>
      <w:jc w:val="left"/>
    </w:pPr>
    <w:rPr>
      <w:rFonts w:ascii="Arial" w:eastAsia="Times New Roman" w:hAnsi="Arial"/>
      <w:b/>
      <w:color w:val="3366FF"/>
      <w:sz w:val="20"/>
      <w:szCs w:val="20"/>
    </w:rPr>
  </w:style>
  <w:style w:type="character" w:customStyle="1" w:styleId="Subscript">
    <w:name w:val="Subscript"/>
    <w:basedOn w:val="DefaultParagraphFont"/>
    <w:uiPriority w:val="1"/>
    <w:rsid w:val="001E69D0"/>
    <w:rPr>
      <w:noProof/>
      <w:vertAlign w:val="subscript"/>
    </w:rPr>
  </w:style>
  <w:style w:type="character" w:customStyle="1" w:styleId="Superscript">
    <w:name w:val="Superscript"/>
    <w:basedOn w:val="DefaultParagraphFont"/>
    <w:uiPriority w:val="1"/>
    <w:rsid w:val="001E69D0"/>
    <w:rPr>
      <w:noProof/>
      <w:vertAlign w:val="superscript"/>
    </w:rPr>
  </w:style>
  <w:style w:type="character" w:customStyle="1" w:styleId="Symbol">
    <w:name w:val="Symbol"/>
    <w:basedOn w:val="DefaultParagraphFont"/>
    <w:uiPriority w:val="1"/>
    <w:rsid w:val="001E69D0"/>
    <w:rPr>
      <w:noProof/>
    </w:rPr>
  </w:style>
  <w:style w:type="character" w:customStyle="1" w:styleId="NoBreak">
    <w:name w:val="NoBreak"/>
    <w:basedOn w:val="DefaultParagraphFont"/>
    <w:uiPriority w:val="1"/>
    <w:rsid w:val="001E69D0"/>
    <w:rPr>
      <w:noProof/>
    </w:rPr>
  </w:style>
  <w:style w:type="paragraph" w:customStyle="1" w:styleId="MathEquation">
    <w:name w:val="MathEquation"/>
    <w:basedOn w:val="Normal"/>
    <w:rsid w:val="001E69D0"/>
    <w:pPr>
      <w:spacing w:after="240" w:line="240" w:lineRule="auto"/>
      <w:jc w:val="left"/>
    </w:pPr>
    <w:rPr>
      <w:rFonts w:ascii="Cambria Math" w:eastAsia="Times New Roman" w:hAnsi="Cambria Math"/>
      <w:i/>
      <w:noProof/>
      <w:color w:val="000000"/>
      <w:sz w:val="22"/>
      <w:szCs w:val="20"/>
    </w:rPr>
  </w:style>
  <w:style w:type="paragraph" w:customStyle="1" w:styleId="ComputerCode">
    <w:name w:val="ComputerCode"/>
    <w:basedOn w:val="Normal"/>
    <w:rsid w:val="001E69D0"/>
    <w:pPr>
      <w:spacing w:after="240" w:line="240" w:lineRule="auto"/>
      <w:ind w:left="567"/>
      <w:contextualSpacing/>
      <w:jc w:val="left"/>
    </w:pPr>
    <w:rPr>
      <w:rFonts w:ascii="Courier New" w:eastAsia="Times New Roman" w:hAnsi="Courier New"/>
      <w:sz w:val="20"/>
    </w:rPr>
  </w:style>
  <w:style w:type="paragraph" w:customStyle="1" w:styleId="BulletChecklist">
    <w:name w:val="BulletChecklist"/>
    <w:basedOn w:val="Bullet"/>
    <w:rsid w:val="001E69D0"/>
    <w:pPr>
      <w:numPr>
        <w:numId w:val="39"/>
      </w:numPr>
    </w:pPr>
    <w:rPr>
      <w:noProof/>
    </w:rPr>
  </w:style>
  <w:style w:type="paragraph" w:customStyle="1" w:styleId="ImprintText">
    <w:name w:val="ImprintText"/>
    <w:basedOn w:val="Normal"/>
    <w:rsid w:val="001E69D0"/>
    <w:pPr>
      <w:spacing w:line="240" w:lineRule="auto"/>
      <w:jc w:val="left"/>
    </w:pPr>
    <w:rPr>
      <w:rFonts w:eastAsia="Times New Roman"/>
      <w:color w:val="000000"/>
      <w:sz w:val="20"/>
      <w:szCs w:val="20"/>
    </w:rPr>
  </w:style>
  <w:style w:type="paragraph" w:customStyle="1" w:styleId="AltText">
    <w:name w:val="AltText"/>
    <w:basedOn w:val="Normal"/>
    <w:rsid w:val="001E69D0"/>
    <w:pPr>
      <w:spacing w:after="240" w:line="240" w:lineRule="auto"/>
      <w:jc w:val="left"/>
    </w:pPr>
    <w:rPr>
      <w:rFonts w:ascii="Arial" w:eastAsia="Times New Roman" w:hAnsi="Arial"/>
      <w:color w:val="E36C0A"/>
      <w:sz w:val="20"/>
      <w:szCs w:val="20"/>
    </w:rPr>
  </w:style>
  <w:style w:type="paragraph" w:styleId="Caption">
    <w:name w:val="caption"/>
    <w:basedOn w:val="Normal"/>
    <w:next w:val="Credit"/>
    <w:uiPriority w:val="35"/>
    <w:unhideWhenUsed/>
    <w:rsid w:val="001E69D0"/>
    <w:pPr>
      <w:spacing w:after="0" w:line="240" w:lineRule="auto"/>
      <w:jc w:val="left"/>
    </w:pPr>
    <w:rPr>
      <w:rFonts w:eastAsia="Times New Roman"/>
      <w:b/>
      <w:bCs/>
      <w:sz w:val="18"/>
      <w:szCs w:val="18"/>
    </w:rPr>
  </w:style>
  <w:style w:type="paragraph" w:customStyle="1" w:styleId="Credit">
    <w:name w:val="Credit"/>
    <w:basedOn w:val="Caption"/>
    <w:next w:val="Normal"/>
    <w:rsid w:val="001E69D0"/>
    <w:pPr>
      <w:spacing w:after="240"/>
    </w:pPr>
    <w:rPr>
      <w:b w:val="0"/>
      <w:noProof/>
    </w:rPr>
  </w:style>
  <w:style w:type="paragraph" w:customStyle="1" w:styleId="NormalFirstPara">
    <w:name w:val="NormalFirstPara"/>
    <w:basedOn w:val="Normal"/>
    <w:rsid w:val="001E69D0"/>
    <w:pPr>
      <w:spacing w:after="240" w:line="240" w:lineRule="auto"/>
      <w:jc w:val="left"/>
    </w:pPr>
    <w:rPr>
      <w:rFonts w:eastAsia="Times New Roman"/>
      <w:noProof/>
      <w:color w:val="9BBB59"/>
      <w:sz w:val="22"/>
      <w:szCs w:val="20"/>
    </w:rPr>
  </w:style>
  <w:style w:type="paragraph" w:customStyle="1" w:styleId="TableHeadingCA">
    <w:name w:val="TableHeadingCA"/>
    <w:basedOn w:val="TableHeading"/>
    <w:rsid w:val="001E69D0"/>
    <w:pPr>
      <w:jc w:val="center"/>
    </w:pPr>
  </w:style>
  <w:style w:type="paragraph" w:customStyle="1" w:styleId="TableTextCA">
    <w:name w:val="TableTextCA"/>
    <w:basedOn w:val="TableText"/>
    <w:rsid w:val="001E69D0"/>
    <w:pPr>
      <w:jc w:val="center"/>
    </w:pPr>
  </w:style>
  <w:style w:type="paragraph" w:customStyle="1" w:styleId="TableTextDecimalAlign">
    <w:name w:val="TableTextDecimalAlign"/>
    <w:basedOn w:val="TableText"/>
    <w:rsid w:val="001E69D0"/>
    <w:pPr>
      <w:tabs>
        <w:tab w:val="decimal" w:pos="1119"/>
      </w:tabs>
    </w:pPr>
  </w:style>
  <w:style w:type="paragraph" w:customStyle="1" w:styleId="NormalIndent">
    <w:name w:val="NormalIndent"/>
    <w:basedOn w:val="Normal"/>
    <w:rsid w:val="001E69D0"/>
    <w:pPr>
      <w:spacing w:after="240" w:line="240" w:lineRule="auto"/>
      <w:ind w:left="357"/>
      <w:jc w:val="left"/>
    </w:pPr>
    <w:rPr>
      <w:rFonts w:eastAsia="Times New Roman"/>
      <w:color w:val="000000"/>
      <w:sz w:val="22"/>
      <w:szCs w:val="20"/>
    </w:rPr>
  </w:style>
  <w:style w:type="paragraph" w:styleId="BalloonText">
    <w:name w:val="Balloon Text"/>
    <w:basedOn w:val="Normal"/>
    <w:link w:val="BalloonTextChar"/>
    <w:uiPriority w:val="99"/>
    <w:semiHidden/>
    <w:unhideWhenUsed/>
    <w:rsid w:val="001E69D0"/>
    <w:pPr>
      <w:spacing w:after="0" w:line="240" w:lineRule="auto"/>
      <w:jc w:val="left"/>
    </w:pPr>
    <w:rPr>
      <w:rFonts w:ascii="Tahoma" w:eastAsia="Times New Roman" w:hAnsi="Tahoma" w:cs="Tahoma"/>
      <w:color w:val="000000"/>
      <w:sz w:val="16"/>
      <w:szCs w:val="16"/>
    </w:rPr>
  </w:style>
  <w:style w:type="character" w:customStyle="1" w:styleId="BalloonTextChar">
    <w:name w:val="Balloon Text Char"/>
    <w:basedOn w:val="DefaultParagraphFont"/>
    <w:link w:val="BalloonText"/>
    <w:uiPriority w:val="99"/>
    <w:semiHidden/>
    <w:rsid w:val="001E69D0"/>
    <w:rPr>
      <w:rFonts w:ascii="Tahoma" w:eastAsia="Times New Roman" w:hAnsi="Tahoma" w:cs="Tahoma"/>
      <w:color w:val="000000"/>
      <w:sz w:val="16"/>
      <w:szCs w:val="16"/>
    </w:rPr>
  </w:style>
  <w:style w:type="paragraph" w:customStyle="1" w:styleId="Title1">
    <w:name w:val="Title1"/>
    <w:basedOn w:val="Normal"/>
    <w:next w:val="Normal"/>
    <w:uiPriority w:val="10"/>
    <w:rsid w:val="001E69D0"/>
    <w:pPr>
      <w:spacing w:after="300" w:line="240" w:lineRule="auto"/>
      <w:contextualSpacing/>
      <w:jc w:val="center"/>
    </w:pPr>
    <w:rPr>
      <w:rFonts w:eastAsia="MS Gothic"/>
      <w:b/>
      <w:spacing w:val="5"/>
      <w:kern w:val="28"/>
      <w:sz w:val="48"/>
      <w:szCs w:val="52"/>
    </w:rPr>
  </w:style>
  <w:style w:type="character" w:customStyle="1" w:styleId="TitleChar">
    <w:name w:val="Title Char"/>
    <w:basedOn w:val="DefaultParagraphFont"/>
    <w:link w:val="Title"/>
    <w:uiPriority w:val="10"/>
    <w:rsid w:val="001E69D0"/>
    <w:rPr>
      <w:rFonts w:ascii="Calibri" w:eastAsia="MS Gothic" w:hAnsi="Calibri" w:cs="Times New Roman"/>
      <w:b/>
      <w:spacing w:val="5"/>
      <w:kern w:val="28"/>
      <w:sz w:val="48"/>
      <w:szCs w:val="52"/>
    </w:rPr>
  </w:style>
  <w:style w:type="character" w:customStyle="1" w:styleId="SubtitleChar">
    <w:name w:val="Subtitle Char"/>
    <w:basedOn w:val="DefaultParagraphFont"/>
    <w:link w:val="Subtitle"/>
    <w:uiPriority w:val="11"/>
    <w:rsid w:val="001E69D0"/>
    <w:rPr>
      <w:rFonts w:ascii="Calibri" w:eastAsia="MS Gothic" w:hAnsi="Calibri" w:cs="Times New Roman"/>
      <w:b/>
      <w:iCs/>
      <w:sz w:val="40"/>
      <w:szCs w:val="24"/>
    </w:rPr>
  </w:style>
  <w:style w:type="paragraph" w:customStyle="1" w:styleId="SectionTitle">
    <w:name w:val="SectionTitle"/>
    <w:basedOn w:val="Normal"/>
    <w:next w:val="Normal"/>
    <w:rsid w:val="001E69D0"/>
    <w:pPr>
      <w:spacing w:after="240" w:line="240" w:lineRule="auto"/>
      <w:jc w:val="center"/>
    </w:pPr>
    <w:rPr>
      <w:rFonts w:eastAsia="Times New Roman"/>
      <w:b/>
      <w:color w:val="000000"/>
      <w:sz w:val="40"/>
      <w:szCs w:val="20"/>
    </w:rPr>
  </w:style>
  <w:style w:type="paragraph" w:customStyle="1" w:styleId="SectionSubtitle">
    <w:name w:val="SectionSubtitle"/>
    <w:basedOn w:val="Normal"/>
    <w:rsid w:val="001E69D0"/>
    <w:pPr>
      <w:spacing w:after="0" w:line="240" w:lineRule="auto"/>
      <w:jc w:val="center"/>
    </w:pPr>
    <w:rPr>
      <w:rFonts w:eastAsia="Times New Roman"/>
      <w:color w:val="000000"/>
      <w:sz w:val="32"/>
      <w:szCs w:val="20"/>
    </w:rPr>
  </w:style>
  <w:style w:type="paragraph" w:customStyle="1" w:styleId="QuoteNumberList">
    <w:name w:val="QuoteNumberList"/>
    <w:basedOn w:val="Quote"/>
    <w:rsid w:val="001E69D0"/>
    <w:pPr>
      <w:ind w:left="1117" w:hanging="397"/>
    </w:pPr>
    <w:rPr>
      <w:noProof/>
    </w:rPr>
  </w:style>
  <w:style w:type="paragraph" w:customStyle="1" w:styleId="QuoteBullet">
    <w:name w:val="QuoteBullet"/>
    <w:basedOn w:val="Quote"/>
    <w:rsid w:val="001E69D0"/>
    <w:pPr>
      <w:numPr>
        <w:numId w:val="40"/>
      </w:numPr>
      <w:ind w:left="1117" w:hanging="397"/>
    </w:pPr>
    <w:rPr>
      <w:noProof/>
    </w:rPr>
  </w:style>
  <w:style w:type="paragraph" w:customStyle="1" w:styleId="BoxDash">
    <w:name w:val="BoxDash"/>
    <w:basedOn w:val="BoxBullet"/>
    <w:rsid w:val="001E69D0"/>
    <w:pPr>
      <w:numPr>
        <w:numId w:val="38"/>
      </w:numPr>
      <w:tabs>
        <w:tab w:val="num" w:pos="643"/>
      </w:tabs>
      <w:ind w:left="643"/>
    </w:pPr>
  </w:style>
  <w:style w:type="character" w:customStyle="1" w:styleId="CrossRef">
    <w:name w:val="CrossRef"/>
    <w:basedOn w:val="DefaultParagraphFont"/>
    <w:uiPriority w:val="1"/>
    <w:rsid w:val="001E69D0"/>
    <w:rPr>
      <w:rFonts w:ascii="Calibri" w:hAnsi="Calibri"/>
      <w:b/>
      <w:noProof/>
      <w:color w:val="C0504D"/>
      <w:sz w:val="24"/>
    </w:rPr>
  </w:style>
  <w:style w:type="character" w:customStyle="1" w:styleId="StrongEmphasis">
    <w:name w:val="StrongEmphasis"/>
    <w:basedOn w:val="DefaultParagraphFont"/>
    <w:rsid w:val="001E69D0"/>
    <w:rPr>
      <w:b/>
      <w:bCs/>
      <w:i/>
      <w:iCs/>
    </w:rPr>
  </w:style>
  <w:style w:type="character" w:customStyle="1" w:styleId="MathEquationChar">
    <w:name w:val="MathEquationChar"/>
    <w:basedOn w:val="DefaultParagraphFont"/>
    <w:uiPriority w:val="1"/>
    <w:rsid w:val="001E69D0"/>
    <w:rPr>
      <w:rFonts w:ascii="Cambria Math" w:hAnsi="Cambria Math"/>
      <w:noProof/>
    </w:rPr>
  </w:style>
  <w:style w:type="character" w:customStyle="1" w:styleId="SubscriptEmphasis">
    <w:name w:val="SubscriptEmphasis"/>
    <w:basedOn w:val="DefaultParagraphFont"/>
    <w:uiPriority w:val="1"/>
    <w:rsid w:val="001E69D0"/>
    <w:rPr>
      <w:i/>
      <w:noProof/>
      <w:vertAlign w:val="subscript"/>
    </w:rPr>
  </w:style>
  <w:style w:type="paragraph" w:customStyle="1" w:styleId="pf0">
    <w:name w:val="pf0"/>
    <w:basedOn w:val="Normal"/>
    <w:rsid w:val="001E69D0"/>
    <w:pPr>
      <w:spacing w:before="100" w:beforeAutospacing="1" w:after="100" w:afterAutospacing="1" w:line="240" w:lineRule="auto"/>
      <w:jc w:val="left"/>
    </w:pPr>
    <w:rPr>
      <w:rFonts w:ascii="Times New Roman" w:eastAsia="Times New Roman" w:hAnsi="Times New Roman"/>
      <w:lang w:eastAsia="en-AU"/>
    </w:rPr>
  </w:style>
  <w:style w:type="paragraph" w:styleId="Title">
    <w:name w:val="Title"/>
    <w:basedOn w:val="Normal"/>
    <w:next w:val="Normal"/>
    <w:link w:val="TitleChar"/>
    <w:uiPriority w:val="10"/>
    <w:qFormat/>
    <w:rsid w:val="001E69D0"/>
    <w:pPr>
      <w:spacing w:after="0" w:line="240" w:lineRule="auto"/>
      <w:contextualSpacing/>
    </w:pPr>
    <w:rPr>
      <w:rFonts w:eastAsia="MS Gothic"/>
      <w:b/>
      <w:spacing w:val="5"/>
      <w:kern w:val="28"/>
      <w:sz w:val="48"/>
      <w:szCs w:val="52"/>
    </w:rPr>
  </w:style>
  <w:style w:type="character" w:customStyle="1" w:styleId="TitleChar1">
    <w:name w:val="Title Char1"/>
    <w:basedOn w:val="DefaultParagraphFont"/>
    <w:uiPriority w:val="10"/>
    <w:rsid w:val="001E69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9D0"/>
    <w:pPr>
      <w:numPr>
        <w:ilvl w:val="1"/>
      </w:numPr>
      <w:spacing w:after="160"/>
    </w:pPr>
    <w:rPr>
      <w:rFonts w:eastAsia="MS Gothic"/>
      <w:b/>
      <w:iCs/>
      <w:sz w:val="40"/>
    </w:rPr>
  </w:style>
  <w:style w:type="character" w:customStyle="1" w:styleId="SubtitleChar1">
    <w:name w:val="Subtitle Char1"/>
    <w:basedOn w:val="DefaultParagraphFont"/>
    <w:uiPriority w:val="11"/>
    <w:rsid w:val="001E69D0"/>
    <w:rPr>
      <w:rFonts w:asciiTheme="minorHAnsi" w:eastAsiaTheme="minorEastAsia" w:hAnsiTheme="minorHAnsi" w:cstheme="minorBidi"/>
      <w:color w:val="5A5A5A" w:themeColor="text1" w:themeTint="A5"/>
      <w:spacing w:val="15"/>
      <w:sz w:val="22"/>
      <w:szCs w:val="22"/>
    </w:rPr>
  </w:style>
  <w:style w:type="paragraph" w:customStyle="1" w:styleId="Consumerreportsubheading1">
    <w:name w:val="Consumer report subheading 1"/>
    <w:basedOn w:val="Normal"/>
    <w:qFormat/>
    <w:rsid w:val="001E69D0"/>
    <w:pPr>
      <w:keepNext/>
      <w:spacing w:before="120" w:line="240" w:lineRule="auto"/>
      <w:jc w:val="left"/>
      <w:outlineLvl w:val="3"/>
    </w:pPr>
    <w:rPr>
      <w:rFonts w:ascii="MiloOT" w:eastAsia="Times New Roman" w:hAnsi="MiloOT" w:cs="Arial"/>
      <w:bCs/>
      <w:color w:val="808080"/>
      <w:szCs w:val="28"/>
      <w:lang w:eastAsia="en-AU"/>
      <w14:numForm w14:val="lining"/>
      <w14:numSpacing w14:val="tabular"/>
    </w:rPr>
  </w:style>
  <w:style w:type="paragraph" w:customStyle="1" w:styleId="Consumerreportbullets">
    <w:name w:val="Consumer report bullets"/>
    <w:basedOn w:val="Bullet"/>
    <w:qFormat/>
    <w:rsid w:val="0031367D"/>
    <w:pPr>
      <w:numPr>
        <w:numId w:val="47"/>
      </w:numPr>
      <w:tabs>
        <w:tab w:val="num" w:pos="360"/>
      </w:tabs>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3778">
      <w:bodyDiv w:val="1"/>
      <w:marLeft w:val="0"/>
      <w:marRight w:val="0"/>
      <w:marTop w:val="0"/>
      <w:marBottom w:val="0"/>
      <w:divBdr>
        <w:top w:val="none" w:sz="0" w:space="0" w:color="auto"/>
        <w:left w:val="none" w:sz="0" w:space="0" w:color="auto"/>
        <w:bottom w:val="none" w:sz="0" w:space="0" w:color="auto"/>
        <w:right w:val="none" w:sz="0" w:space="0" w:color="auto"/>
      </w:divBdr>
    </w:div>
    <w:div w:id="47730883">
      <w:bodyDiv w:val="1"/>
      <w:marLeft w:val="0"/>
      <w:marRight w:val="0"/>
      <w:marTop w:val="0"/>
      <w:marBottom w:val="0"/>
      <w:divBdr>
        <w:top w:val="none" w:sz="0" w:space="0" w:color="auto"/>
        <w:left w:val="none" w:sz="0" w:space="0" w:color="auto"/>
        <w:bottom w:val="none" w:sz="0" w:space="0" w:color="auto"/>
        <w:right w:val="none" w:sz="0" w:space="0" w:color="auto"/>
      </w:divBdr>
    </w:div>
    <w:div w:id="51344464">
      <w:bodyDiv w:val="1"/>
      <w:marLeft w:val="0"/>
      <w:marRight w:val="0"/>
      <w:marTop w:val="0"/>
      <w:marBottom w:val="0"/>
      <w:divBdr>
        <w:top w:val="none" w:sz="0" w:space="0" w:color="auto"/>
        <w:left w:val="none" w:sz="0" w:space="0" w:color="auto"/>
        <w:bottom w:val="none" w:sz="0" w:space="0" w:color="auto"/>
        <w:right w:val="none" w:sz="0" w:space="0" w:color="auto"/>
      </w:divBdr>
    </w:div>
    <w:div w:id="74254192">
      <w:bodyDiv w:val="1"/>
      <w:marLeft w:val="0"/>
      <w:marRight w:val="0"/>
      <w:marTop w:val="0"/>
      <w:marBottom w:val="0"/>
      <w:divBdr>
        <w:top w:val="none" w:sz="0" w:space="0" w:color="auto"/>
        <w:left w:val="none" w:sz="0" w:space="0" w:color="auto"/>
        <w:bottom w:val="none" w:sz="0" w:space="0" w:color="auto"/>
        <w:right w:val="none" w:sz="0" w:space="0" w:color="auto"/>
      </w:divBdr>
    </w:div>
    <w:div w:id="123929967">
      <w:bodyDiv w:val="1"/>
      <w:marLeft w:val="0"/>
      <w:marRight w:val="0"/>
      <w:marTop w:val="0"/>
      <w:marBottom w:val="0"/>
      <w:divBdr>
        <w:top w:val="none" w:sz="0" w:space="0" w:color="auto"/>
        <w:left w:val="none" w:sz="0" w:space="0" w:color="auto"/>
        <w:bottom w:val="none" w:sz="0" w:space="0" w:color="auto"/>
        <w:right w:val="none" w:sz="0" w:space="0" w:color="auto"/>
      </w:divBdr>
    </w:div>
    <w:div w:id="154344154">
      <w:bodyDiv w:val="1"/>
      <w:marLeft w:val="0"/>
      <w:marRight w:val="0"/>
      <w:marTop w:val="0"/>
      <w:marBottom w:val="0"/>
      <w:divBdr>
        <w:top w:val="none" w:sz="0" w:space="0" w:color="auto"/>
        <w:left w:val="none" w:sz="0" w:space="0" w:color="auto"/>
        <w:bottom w:val="none" w:sz="0" w:space="0" w:color="auto"/>
        <w:right w:val="none" w:sz="0" w:space="0" w:color="auto"/>
      </w:divBdr>
    </w:div>
    <w:div w:id="187330715">
      <w:bodyDiv w:val="1"/>
      <w:marLeft w:val="0"/>
      <w:marRight w:val="0"/>
      <w:marTop w:val="0"/>
      <w:marBottom w:val="0"/>
      <w:divBdr>
        <w:top w:val="none" w:sz="0" w:space="0" w:color="auto"/>
        <w:left w:val="none" w:sz="0" w:space="0" w:color="auto"/>
        <w:bottom w:val="none" w:sz="0" w:space="0" w:color="auto"/>
        <w:right w:val="none" w:sz="0" w:space="0" w:color="auto"/>
      </w:divBdr>
    </w:div>
    <w:div w:id="195779105">
      <w:bodyDiv w:val="1"/>
      <w:marLeft w:val="0"/>
      <w:marRight w:val="0"/>
      <w:marTop w:val="0"/>
      <w:marBottom w:val="0"/>
      <w:divBdr>
        <w:top w:val="none" w:sz="0" w:space="0" w:color="auto"/>
        <w:left w:val="none" w:sz="0" w:space="0" w:color="auto"/>
        <w:bottom w:val="none" w:sz="0" w:space="0" w:color="auto"/>
        <w:right w:val="none" w:sz="0" w:space="0" w:color="auto"/>
      </w:divBdr>
    </w:div>
    <w:div w:id="195898308">
      <w:bodyDiv w:val="1"/>
      <w:marLeft w:val="0"/>
      <w:marRight w:val="0"/>
      <w:marTop w:val="0"/>
      <w:marBottom w:val="0"/>
      <w:divBdr>
        <w:top w:val="none" w:sz="0" w:space="0" w:color="auto"/>
        <w:left w:val="none" w:sz="0" w:space="0" w:color="auto"/>
        <w:bottom w:val="none" w:sz="0" w:space="0" w:color="auto"/>
        <w:right w:val="none" w:sz="0" w:space="0" w:color="auto"/>
      </w:divBdr>
    </w:div>
    <w:div w:id="216471971">
      <w:bodyDiv w:val="1"/>
      <w:marLeft w:val="0"/>
      <w:marRight w:val="0"/>
      <w:marTop w:val="0"/>
      <w:marBottom w:val="0"/>
      <w:divBdr>
        <w:top w:val="none" w:sz="0" w:space="0" w:color="auto"/>
        <w:left w:val="none" w:sz="0" w:space="0" w:color="auto"/>
        <w:bottom w:val="none" w:sz="0" w:space="0" w:color="auto"/>
        <w:right w:val="none" w:sz="0" w:space="0" w:color="auto"/>
      </w:divBdr>
    </w:div>
    <w:div w:id="247009628">
      <w:bodyDiv w:val="1"/>
      <w:marLeft w:val="0"/>
      <w:marRight w:val="0"/>
      <w:marTop w:val="0"/>
      <w:marBottom w:val="0"/>
      <w:divBdr>
        <w:top w:val="none" w:sz="0" w:space="0" w:color="auto"/>
        <w:left w:val="none" w:sz="0" w:space="0" w:color="auto"/>
        <w:bottom w:val="none" w:sz="0" w:space="0" w:color="auto"/>
        <w:right w:val="none" w:sz="0" w:space="0" w:color="auto"/>
      </w:divBdr>
    </w:div>
    <w:div w:id="283580087">
      <w:bodyDiv w:val="1"/>
      <w:marLeft w:val="0"/>
      <w:marRight w:val="0"/>
      <w:marTop w:val="0"/>
      <w:marBottom w:val="0"/>
      <w:divBdr>
        <w:top w:val="none" w:sz="0" w:space="0" w:color="auto"/>
        <w:left w:val="none" w:sz="0" w:space="0" w:color="auto"/>
        <w:bottom w:val="none" w:sz="0" w:space="0" w:color="auto"/>
        <w:right w:val="none" w:sz="0" w:space="0" w:color="auto"/>
      </w:divBdr>
    </w:div>
    <w:div w:id="314460161">
      <w:bodyDiv w:val="1"/>
      <w:marLeft w:val="0"/>
      <w:marRight w:val="0"/>
      <w:marTop w:val="0"/>
      <w:marBottom w:val="0"/>
      <w:divBdr>
        <w:top w:val="none" w:sz="0" w:space="0" w:color="auto"/>
        <w:left w:val="none" w:sz="0" w:space="0" w:color="auto"/>
        <w:bottom w:val="none" w:sz="0" w:space="0" w:color="auto"/>
        <w:right w:val="none" w:sz="0" w:space="0" w:color="auto"/>
      </w:divBdr>
    </w:div>
    <w:div w:id="436877618">
      <w:bodyDiv w:val="1"/>
      <w:marLeft w:val="0"/>
      <w:marRight w:val="0"/>
      <w:marTop w:val="0"/>
      <w:marBottom w:val="0"/>
      <w:divBdr>
        <w:top w:val="none" w:sz="0" w:space="0" w:color="auto"/>
        <w:left w:val="none" w:sz="0" w:space="0" w:color="auto"/>
        <w:bottom w:val="none" w:sz="0" w:space="0" w:color="auto"/>
        <w:right w:val="none" w:sz="0" w:space="0" w:color="auto"/>
      </w:divBdr>
    </w:div>
    <w:div w:id="440102526">
      <w:bodyDiv w:val="1"/>
      <w:marLeft w:val="0"/>
      <w:marRight w:val="0"/>
      <w:marTop w:val="0"/>
      <w:marBottom w:val="0"/>
      <w:divBdr>
        <w:top w:val="none" w:sz="0" w:space="0" w:color="auto"/>
        <w:left w:val="none" w:sz="0" w:space="0" w:color="auto"/>
        <w:bottom w:val="none" w:sz="0" w:space="0" w:color="auto"/>
        <w:right w:val="none" w:sz="0" w:space="0" w:color="auto"/>
      </w:divBdr>
    </w:div>
    <w:div w:id="479544187">
      <w:bodyDiv w:val="1"/>
      <w:marLeft w:val="0"/>
      <w:marRight w:val="0"/>
      <w:marTop w:val="0"/>
      <w:marBottom w:val="0"/>
      <w:divBdr>
        <w:top w:val="none" w:sz="0" w:space="0" w:color="auto"/>
        <w:left w:val="none" w:sz="0" w:space="0" w:color="auto"/>
        <w:bottom w:val="none" w:sz="0" w:space="0" w:color="auto"/>
        <w:right w:val="none" w:sz="0" w:space="0" w:color="auto"/>
      </w:divBdr>
    </w:div>
    <w:div w:id="570892338">
      <w:bodyDiv w:val="1"/>
      <w:marLeft w:val="0"/>
      <w:marRight w:val="0"/>
      <w:marTop w:val="0"/>
      <w:marBottom w:val="0"/>
      <w:divBdr>
        <w:top w:val="none" w:sz="0" w:space="0" w:color="auto"/>
        <w:left w:val="none" w:sz="0" w:space="0" w:color="auto"/>
        <w:bottom w:val="none" w:sz="0" w:space="0" w:color="auto"/>
        <w:right w:val="none" w:sz="0" w:space="0" w:color="auto"/>
      </w:divBdr>
    </w:div>
    <w:div w:id="599610480">
      <w:bodyDiv w:val="1"/>
      <w:marLeft w:val="0"/>
      <w:marRight w:val="0"/>
      <w:marTop w:val="0"/>
      <w:marBottom w:val="0"/>
      <w:divBdr>
        <w:top w:val="none" w:sz="0" w:space="0" w:color="auto"/>
        <w:left w:val="none" w:sz="0" w:space="0" w:color="auto"/>
        <w:bottom w:val="none" w:sz="0" w:space="0" w:color="auto"/>
        <w:right w:val="none" w:sz="0" w:space="0" w:color="auto"/>
      </w:divBdr>
    </w:div>
    <w:div w:id="679818693">
      <w:bodyDiv w:val="1"/>
      <w:marLeft w:val="0"/>
      <w:marRight w:val="0"/>
      <w:marTop w:val="0"/>
      <w:marBottom w:val="0"/>
      <w:divBdr>
        <w:top w:val="none" w:sz="0" w:space="0" w:color="auto"/>
        <w:left w:val="none" w:sz="0" w:space="0" w:color="auto"/>
        <w:bottom w:val="none" w:sz="0" w:space="0" w:color="auto"/>
        <w:right w:val="none" w:sz="0" w:space="0" w:color="auto"/>
      </w:divBdr>
    </w:div>
    <w:div w:id="753208316">
      <w:bodyDiv w:val="1"/>
      <w:marLeft w:val="0"/>
      <w:marRight w:val="0"/>
      <w:marTop w:val="0"/>
      <w:marBottom w:val="0"/>
      <w:divBdr>
        <w:top w:val="none" w:sz="0" w:space="0" w:color="auto"/>
        <w:left w:val="none" w:sz="0" w:space="0" w:color="auto"/>
        <w:bottom w:val="none" w:sz="0" w:space="0" w:color="auto"/>
        <w:right w:val="none" w:sz="0" w:space="0" w:color="auto"/>
      </w:divBdr>
    </w:div>
    <w:div w:id="783815479">
      <w:bodyDiv w:val="1"/>
      <w:marLeft w:val="0"/>
      <w:marRight w:val="0"/>
      <w:marTop w:val="0"/>
      <w:marBottom w:val="0"/>
      <w:divBdr>
        <w:top w:val="none" w:sz="0" w:space="0" w:color="auto"/>
        <w:left w:val="none" w:sz="0" w:space="0" w:color="auto"/>
        <w:bottom w:val="none" w:sz="0" w:space="0" w:color="auto"/>
        <w:right w:val="none" w:sz="0" w:space="0" w:color="auto"/>
      </w:divBdr>
    </w:div>
    <w:div w:id="839082292">
      <w:bodyDiv w:val="1"/>
      <w:marLeft w:val="0"/>
      <w:marRight w:val="0"/>
      <w:marTop w:val="0"/>
      <w:marBottom w:val="0"/>
      <w:divBdr>
        <w:top w:val="none" w:sz="0" w:space="0" w:color="auto"/>
        <w:left w:val="none" w:sz="0" w:space="0" w:color="auto"/>
        <w:bottom w:val="none" w:sz="0" w:space="0" w:color="auto"/>
        <w:right w:val="none" w:sz="0" w:space="0" w:color="auto"/>
      </w:divBdr>
    </w:div>
    <w:div w:id="851577632">
      <w:bodyDiv w:val="1"/>
      <w:marLeft w:val="0"/>
      <w:marRight w:val="0"/>
      <w:marTop w:val="0"/>
      <w:marBottom w:val="0"/>
      <w:divBdr>
        <w:top w:val="none" w:sz="0" w:space="0" w:color="auto"/>
        <w:left w:val="none" w:sz="0" w:space="0" w:color="auto"/>
        <w:bottom w:val="none" w:sz="0" w:space="0" w:color="auto"/>
        <w:right w:val="none" w:sz="0" w:space="0" w:color="auto"/>
      </w:divBdr>
    </w:div>
    <w:div w:id="863398459">
      <w:bodyDiv w:val="1"/>
      <w:marLeft w:val="0"/>
      <w:marRight w:val="0"/>
      <w:marTop w:val="0"/>
      <w:marBottom w:val="0"/>
      <w:divBdr>
        <w:top w:val="none" w:sz="0" w:space="0" w:color="auto"/>
        <w:left w:val="none" w:sz="0" w:space="0" w:color="auto"/>
        <w:bottom w:val="none" w:sz="0" w:space="0" w:color="auto"/>
        <w:right w:val="none" w:sz="0" w:space="0" w:color="auto"/>
      </w:divBdr>
    </w:div>
    <w:div w:id="871767626">
      <w:bodyDiv w:val="1"/>
      <w:marLeft w:val="0"/>
      <w:marRight w:val="0"/>
      <w:marTop w:val="0"/>
      <w:marBottom w:val="0"/>
      <w:divBdr>
        <w:top w:val="none" w:sz="0" w:space="0" w:color="auto"/>
        <w:left w:val="none" w:sz="0" w:space="0" w:color="auto"/>
        <w:bottom w:val="none" w:sz="0" w:space="0" w:color="auto"/>
        <w:right w:val="none" w:sz="0" w:space="0" w:color="auto"/>
      </w:divBdr>
    </w:div>
    <w:div w:id="894439092">
      <w:bodyDiv w:val="1"/>
      <w:marLeft w:val="0"/>
      <w:marRight w:val="0"/>
      <w:marTop w:val="0"/>
      <w:marBottom w:val="0"/>
      <w:divBdr>
        <w:top w:val="none" w:sz="0" w:space="0" w:color="auto"/>
        <w:left w:val="none" w:sz="0" w:space="0" w:color="auto"/>
        <w:bottom w:val="none" w:sz="0" w:space="0" w:color="auto"/>
        <w:right w:val="none" w:sz="0" w:space="0" w:color="auto"/>
      </w:divBdr>
    </w:div>
    <w:div w:id="902258308">
      <w:bodyDiv w:val="1"/>
      <w:marLeft w:val="0"/>
      <w:marRight w:val="0"/>
      <w:marTop w:val="0"/>
      <w:marBottom w:val="0"/>
      <w:divBdr>
        <w:top w:val="none" w:sz="0" w:space="0" w:color="auto"/>
        <w:left w:val="none" w:sz="0" w:space="0" w:color="auto"/>
        <w:bottom w:val="none" w:sz="0" w:space="0" w:color="auto"/>
        <w:right w:val="none" w:sz="0" w:space="0" w:color="auto"/>
      </w:divBdr>
    </w:div>
    <w:div w:id="918487947">
      <w:bodyDiv w:val="1"/>
      <w:marLeft w:val="0"/>
      <w:marRight w:val="0"/>
      <w:marTop w:val="0"/>
      <w:marBottom w:val="0"/>
      <w:divBdr>
        <w:top w:val="none" w:sz="0" w:space="0" w:color="auto"/>
        <w:left w:val="none" w:sz="0" w:space="0" w:color="auto"/>
        <w:bottom w:val="none" w:sz="0" w:space="0" w:color="auto"/>
        <w:right w:val="none" w:sz="0" w:space="0" w:color="auto"/>
      </w:divBdr>
    </w:div>
    <w:div w:id="1075015000">
      <w:bodyDiv w:val="1"/>
      <w:marLeft w:val="0"/>
      <w:marRight w:val="0"/>
      <w:marTop w:val="0"/>
      <w:marBottom w:val="0"/>
      <w:divBdr>
        <w:top w:val="none" w:sz="0" w:space="0" w:color="auto"/>
        <w:left w:val="none" w:sz="0" w:space="0" w:color="auto"/>
        <w:bottom w:val="none" w:sz="0" w:space="0" w:color="auto"/>
        <w:right w:val="none" w:sz="0" w:space="0" w:color="auto"/>
      </w:divBdr>
    </w:div>
    <w:div w:id="1181775206">
      <w:bodyDiv w:val="1"/>
      <w:marLeft w:val="0"/>
      <w:marRight w:val="0"/>
      <w:marTop w:val="0"/>
      <w:marBottom w:val="0"/>
      <w:divBdr>
        <w:top w:val="none" w:sz="0" w:space="0" w:color="auto"/>
        <w:left w:val="none" w:sz="0" w:space="0" w:color="auto"/>
        <w:bottom w:val="none" w:sz="0" w:space="0" w:color="auto"/>
        <w:right w:val="none" w:sz="0" w:space="0" w:color="auto"/>
      </w:divBdr>
    </w:div>
    <w:div w:id="1199663542">
      <w:bodyDiv w:val="1"/>
      <w:marLeft w:val="0"/>
      <w:marRight w:val="0"/>
      <w:marTop w:val="0"/>
      <w:marBottom w:val="0"/>
      <w:divBdr>
        <w:top w:val="none" w:sz="0" w:space="0" w:color="auto"/>
        <w:left w:val="none" w:sz="0" w:space="0" w:color="auto"/>
        <w:bottom w:val="none" w:sz="0" w:space="0" w:color="auto"/>
        <w:right w:val="none" w:sz="0" w:space="0" w:color="auto"/>
      </w:divBdr>
    </w:div>
    <w:div w:id="1205479944">
      <w:bodyDiv w:val="1"/>
      <w:marLeft w:val="0"/>
      <w:marRight w:val="0"/>
      <w:marTop w:val="0"/>
      <w:marBottom w:val="0"/>
      <w:divBdr>
        <w:top w:val="none" w:sz="0" w:space="0" w:color="auto"/>
        <w:left w:val="none" w:sz="0" w:space="0" w:color="auto"/>
        <w:bottom w:val="none" w:sz="0" w:space="0" w:color="auto"/>
        <w:right w:val="none" w:sz="0" w:space="0" w:color="auto"/>
      </w:divBdr>
    </w:div>
    <w:div w:id="1236208865">
      <w:bodyDiv w:val="1"/>
      <w:marLeft w:val="0"/>
      <w:marRight w:val="0"/>
      <w:marTop w:val="0"/>
      <w:marBottom w:val="0"/>
      <w:divBdr>
        <w:top w:val="none" w:sz="0" w:space="0" w:color="auto"/>
        <w:left w:val="none" w:sz="0" w:space="0" w:color="auto"/>
        <w:bottom w:val="none" w:sz="0" w:space="0" w:color="auto"/>
        <w:right w:val="none" w:sz="0" w:space="0" w:color="auto"/>
      </w:divBdr>
    </w:div>
    <w:div w:id="1265654815">
      <w:bodyDiv w:val="1"/>
      <w:marLeft w:val="0"/>
      <w:marRight w:val="0"/>
      <w:marTop w:val="0"/>
      <w:marBottom w:val="0"/>
      <w:divBdr>
        <w:top w:val="none" w:sz="0" w:space="0" w:color="auto"/>
        <w:left w:val="none" w:sz="0" w:space="0" w:color="auto"/>
        <w:bottom w:val="none" w:sz="0" w:space="0" w:color="auto"/>
        <w:right w:val="none" w:sz="0" w:space="0" w:color="auto"/>
      </w:divBdr>
    </w:div>
    <w:div w:id="1328511888">
      <w:bodyDiv w:val="1"/>
      <w:marLeft w:val="0"/>
      <w:marRight w:val="0"/>
      <w:marTop w:val="0"/>
      <w:marBottom w:val="0"/>
      <w:divBdr>
        <w:top w:val="none" w:sz="0" w:space="0" w:color="auto"/>
        <w:left w:val="none" w:sz="0" w:space="0" w:color="auto"/>
        <w:bottom w:val="none" w:sz="0" w:space="0" w:color="auto"/>
        <w:right w:val="none" w:sz="0" w:space="0" w:color="auto"/>
      </w:divBdr>
    </w:div>
    <w:div w:id="1368217053">
      <w:bodyDiv w:val="1"/>
      <w:marLeft w:val="0"/>
      <w:marRight w:val="0"/>
      <w:marTop w:val="0"/>
      <w:marBottom w:val="0"/>
      <w:divBdr>
        <w:top w:val="none" w:sz="0" w:space="0" w:color="auto"/>
        <w:left w:val="none" w:sz="0" w:space="0" w:color="auto"/>
        <w:bottom w:val="none" w:sz="0" w:space="0" w:color="auto"/>
        <w:right w:val="none" w:sz="0" w:space="0" w:color="auto"/>
      </w:divBdr>
    </w:div>
    <w:div w:id="1480880368">
      <w:bodyDiv w:val="1"/>
      <w:marLeft w:val="0"/>
      <w:marRight w:val="0"/>
      <w:marTop w:val="0"/>
      <w:marBottom w:val="0"/>
      <w:divBdr>
        <w:top w:val="none" w:sz="0" w:space="0" w:color="auto"/>
        <w:left w:val="none" w:sz="0" w:space="0" w:color="auto"/>
        <w:bottom w:val="none" w:sz="0" w:space="0" w:color="auto"/>
        <w:right w:val="none" w:sz="0" w:space="0" w:color="auto"/>
      </w:divBdr>
    </w:div>
    <w:div w:id="1481926804">
      <w:bodyDiv w:val="1"/>
      <w:marLeft w:val="0"/>
      <w:marRight w:val="0"/>
      <w:marTop w:val="0"/>
      <w:marBottom w:val="0"/>
      <w:divBdr>
        <w:top w:val="none" w:sz="0" w:space="0" w:color="auto"/>
        <w:left w:val="none" w:sz="0" w:space="0" w:color="auto"/>
        <w:bottom w:val="none" w:sz="0" w:space="0" w:color="auto"/>
        <w:right w:val="none" w:sz="0" w:space="0" w:color="auto"/>
      </w:divBdr>
    </w:div>
    <w:div w:id="1503543561">
      <w:bodyDiv w:val="1"/>
      <w:marLeft w:val="0"/>
      <w:marRight w:val="0"/>
      <w:marTop w:val="0"/>
      <w:marBottom w:val="0"/>
      <w:divBdr>
        <w:top w:val="none" w:sz="0" w:space="0" w:color="auto"/>
        <w:left w:val="none" w:sz="0" w:space="0" w:color="auto"/>
        <w:bottom w:val="none" w:sz="0" w:space="0" w:color="auto"/>
        <w:right w:val="none" w:sz="0" w:space="0" w:color="auto"/>
      </w:divBdr>
    </w:div>
    <w:div w:id="1521511065">
      <w:bodyDiv w:val="1"/>
      <w:marLeft w:val="0"/>
      <w:marRight w:val="0"/>
      <w:marTop w:val="0"/>
      <w:marBottom w:val="0"/>
      <w:divBdr>
        <w:top w:val="none" w:sz="0" w:space="0" w:color="auto"/>
        <w:left w:val="none" w:sz="0" w:space="0" w:color="auto"/>
        <w:bottom w:val="none" w:sz="0" w:space="0" w:color="auto"/>
        <w:right w:val="none" w:sz="0" w:space="0" w:color="auto"/>
      </w:divBdr>
    </w:div>
    <w:div w:id="1570186352">
      <w:bodyDiv w:val="1"/>
      <w:marLeft w:val="0"/>
      <w:marRight w:val="0"/>
      <w:marTop w:val="0"/>
      <w:marBottom w:val="0"/>
      <w:divBdr>
        <w:top w:val="none" w:sz="0" w:space="0" w:color="auto"/>
        <w:left w:val="none" w:sz="0" w:space="0" w:color="auto"/>
        <w:bottom w:val="none" w:sz="0" w:space="0" w:color="auto"/>
        <w:right w:val="none" w:sz="0" w:space="0" w:color="auto"/>
      </w:divBdr>
    </w:div>
    <w:div w:id="1621107688">
      <w:bodyDiv w:val="1"/>
      <w:marLeft w:val="0"/>
      <w:marRight w:val="0"/>
      <w:marTop w:val="0"/>
      <w:marBottom w:val="0"/>
      <w:divBdr>
        <w:top w:val="none" w:sz="0" w:space="0" w:color="auto"/>
        <w:left w:val="none" w:sz="0" w:space="0" w:color="auto"/>
        <w:bottom w:val="none" w:sz="0" w:space="0" w:color="auto"/>
        <w:right w:val="none" w:sz="0" w:space="0" w:color="auto"/>
      </w:divBdr>
    </w:div>
    <w:div w:id="1649094241">
      <w:bodyDiv w:val="1"/>
      <w:marLeft w:val="0"/>
      <w:marRight w:val="0"/>
      <w:marTop w:val="0"/>
      <w:marBottom w:val="0"/>
      <w:divBdr>
        <w:top w:val="none" w:sz="0" w:space="0" w:color="auto"/>
        <w:left w:val="none" w:sz="0" w:space="0" w:color="auto"/>
        <w:bottom w:val="none" w:sz="0" w:space="0" w:color="auto"/>
        <w:right w:val="none" w:sz="0" w:space="0" w:color="auto"/>
      </w:divBdr>
    </w:div>
    <w:div w:id="1652178385">
      <w:bodyDiv w:val="1"/>
      <w:marLeft w:val="0"/>
      <w:marRight w:val="0"/>
      <w:marTop w:val="0"/>
      <w:marBottom w:val="0"/>
      <w:divBdr>
        <w:top w:val="none" w:sz="0" w:space="0" w:color="auto"/>
        <w:left w:val="none" w:sz="0" w:space="0" w:color="auto"/>
        <w:bottom w:val="none" w:sz="0" w:space="0" w:color="auto"/>
        <w:right w:val="none" w:sz="0" w:space="0" w:color="auto"/>
      </w:divBdr>
    </w:div>
    <w:div w:id="1653605008">
      <w:bodyDiv w:val="1"/>
      <w:marLeft w:val="0"/>
      <w:marRight w:val="0"/>
      <w:marTop w:val="0"/>
      <w:marBottom w:val="0"/>
      <w:divBdr>
        <w:top w:val="none" w:sz="0" w:space="0" w:color="auto"/>
        <w:left w:val="none" w:sz="0" w:space="0" w:color="auto"/>
        <w:bottom w:val="none" w:sz="0" w:space="0" w:color="auto"/>
        <w:right w:val="none" w:sz="0" w:space="0" w:color="auto"/>
      </w:divBdr>
    </w:div>
    <w:div w:id="1653606154">
      <w:bodyDiv w:val="1"/>
      <w:marLeft w:val="0"/>
      <w:marRight w:val="0"/>
      <w:marTop w:val="0"/>
      <w:marBottom w:val="0"/>
      <w:divBdr>
        <w:top w:val="none" w:sz="0" w:space="0" w:color="auto"/>
        <w:left w:val="none" w:sz="0" w:space="0" w:color="auto"/>
        <w:bottom w:val="none" w:sz="0" w:space="0" w:color="auto"/>
        <w:right w:val="none" w:sz="0" w:space="0" w:color="auto"/>
      </w:divBdr>
    </w:div>
    <w:div w:id="1658920535">
      <w:bodyDiv w:val="1"/>
      <w:marLeft w:val="0"/>
      <w:marRight w:val="0"/>
      <w:marTop w:val="0"/>
      <w:marBottom w:val="0"/>
      <w:divBdr>
        <w:top w:val="none" w:sz="0" w:space="0" w:color="auto"/>
        <w:left w:val="none" w:sz="0" w:space="0" w:color="auto"/>
        <w:bottom w:val="none" w:sz="0" w:space="0" w:color="auto"/>
        <w:right w:val="none" w:sz="0" w:space="0" w:color="auto"/>
      </w:divBdr>
    </w:div>
    <w:div w:id="1694569149">
      <w:bodyDiv w:val="1"/>
      <w:marLeft w:val="0"/>
      <w:marRight w:val="0"/>
      <w:marTop w:val="0"/>
      <w:marBottom w:val="0"/>
      <w:divBdr>
        <w:top w:val="none" w:sz="0" w:space="0" w:color="auto"/>
        <w:left w:val="none" w:sz="0" w:space="0" w:color="auto"/>
        <w:bottom w:val="none" w:sz="0" w:space="0" w:color="auto"/>
        <w:right w:val="none" w:sz="0" w:space="0" w:color="auto"/>
      </w:divBdr>
    </w:div>
    <w:div w:id="1698576881">
      <w:bodyDiv w:val="1"/>
      <w:marLeft w:val="0"/>
      <w:marRight w:val="0"/>
      <w:marTop w:val="0"/>
      <w:marBottom w:val="0"/>
      <w:divBdr>
        <w:top w:val="none" w:sz="0" w:space="0" w:color="auto"/>
        <w:left w:val="none" w:sz="0" w:space="0" w:color="auto"/>
        <w:bottom w:val="none" w:sz="0" w:space="0" w:color="auto"/>
        <w:right w:val="none" w:sz="0" w:space="0" w:color="auto"/>
      </w:divBdr>
    </w:div>
    <w:div w:id="1721249698">
      <w:bodyDiv w:val="1"/>
      <w:marLeft w:val="0"/>
      <w:marRight w:val="0"/>
      <w:marTop w:val="0"/>
      <w:marBottom w:val="0"/>
      <w:divBdr>
        <w:top w:val="none" w:sz="0" w:space="0" w:color="auto"/>
        <w:left w:val="none" w:sz="0" w:space="0" w:color="auto"/>
        <w:bottom w:val="none" w:sz="0" w:space="0" w:color="auto"/>
        <w:right w:val="none" w:sz="0" w:space="0" w:color="auto"/>
      </w:divBdr>
    </w:div>
    <w:div w:id="1913276810">
      <w:bodyDiv w:val="1"/>
      <w:marLeft w:val="0"/>
      <w:marRight w:val="0"/>
      <w:marTop w:val="0"/>
      <w:marBottom w:val="0"/>
      <w:divBdr>
        <w:top w:val="none" w:sz="0" w:space="0" w:color="auto"/>
        <w:left w:val="none" w:sz="0" w:space="0" w:color="auto"/>
        <w:bottom w:val="none" w:sz="0" w:space="0" w:color="auto"/>
        <w:right w:val="none" w:sz="0" w:space="0" w:color="auto"/>
      </w:divBdr>
    </w:div>
    <w:div w:id="1920821569">
      <w:bodyDiv w:val="1"/>
      <w:marLeft w:val="0"/>
      <w:marRight w:val="0"/>
      <w:marTop w:val="0"/>
      <w:marBottom w:val="0"/>
      <w:divBdr>
        <w:top w:val="none" w:sz="0" w:space="0" w:color="auto"/>
        <w:left w:val="none" w:sz="0" w:space="0" w:color="auto"/>
        <w:bottom w:val="none" w:sz="0" w:space="0" w:color="auto"/>
        <w:right w:val="none" w:sz="0" w:space="0" w:color="auto"/>
      </w:divBdr>
    </w:div>
    <w:div w:id="1973897264">
      <w:bodyDiv w:val="1"/>
      <w:marLeft w:val="0"/>
      <w:marRight w:val="0"/>
      <w:marTop w:val="0"/>
      <w:marBottom w:val="0"/>
      <w:divBdr>
        <w:top w:val="none" w:sz="0" w:space="0" w:color="auto"/>
        <w:left w:val="none" w:sz="0" w:space="0" w:color="auto"/>
        <w:bottom w:val="none" w:sz="0" w:space="0" w:color="auto"/>
        <w:right w:val="none" w:sz="0" w:space="0" w:color="auto"/>
      </w:divBdr>
    </w:div>
    <w:div w:id="2000577147">
      <w:bodyDiv w:val="1"/>
      <w:marLeft w:val="0"/>
      <w:marRight w:val="0"/>
      <w:marTop w:val="0"/>
      <w:marBottom w:val="0"/>
      <w:divBdr>
        <w:top w:val="none" w:sz="0" w:space="0" w:color="auto"/>
        <w:left w:val="none" w:sz="0" w:space="0" w:color="auto"/>
        <w:bottom w:val="none" w:sz="0" w:space="0" w:color="auto"/>
        <w:right w:val="none" w:sz="0" w:space="0" w:color="auto"/>
      </w:divBdr>
    </w:div>
    <w:div w:id="2013140629">
      <w:bodyDiv w:val="1"/>
      <w:marLeft w:val="0"/>
      <w:marRight w:val="0"/>
      <w:marTop w:val="0"/>
      <w:marBottom w:val="0"/>
      <w:divBdr>
        <w:top w:val="none" w:sz="0" w:space="0" w:color="auto"/>
        <w:left w:val="none" w:sz="0" w:space="0" w:color="auto"/>
        <w:bottom w:val="none" w:sz="0" w:space="0" w:color="auto"/>
        <w:right w:val="none" w:sz="0" w:space="0" w:color="auto"/>
      </w:divBdr>
    </w:div>
    <w:div w:id="2051032262">
      <w:bodyDiv w:val="1"/>
      <w:marLeft w:val="0"/>
      <w:marRight w:val="0"/>
      <w:marTop w:val="0"/>
      <w:marBottom w:val="0"/>
      <w:divBdr>
        <w:top w:val="none" w:sz="0" w:space="0" w:color="auto"/>
        <w:left w:val="none" w:sz="0" w:space="0" w:color="auto"/>
        <w:bottom w:val="none" w:sz="0" w:space="0" w:color="auto"/>
        <w:right w:val="none" w:sz="0" w:space="0" w:color="auto"/>
      </w:divBdr>
    </w:div>
    <w:div w:id="2073966452">
      <w:bodyDiv w:val="1"/>
      <w:marLeft w:val="0"/>
      <w:marRight w:val="0"/>
      <w:marTop w:val="0"/>
      <w:marBottom w:val="0"/>
      <w:divBdr>
        <w:top w:val="none" w:sz="0" w:space="0" w:color="auto"/>
        <w:left w:val="none" w:sz="0" w:space="0" w:color="auto"/>
        <w:bottom w:val="none" w:sz="0" w:space="0" w:color="auto"/>
        <w:right w:val="none" w:sz="0" w:space="0" w:color="auto"/>
      </w:divBdr>
    </w:div>
    <w:div w:id="210287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MOONKY\Downloads\www.health.nsw.gov.au\aod\Pages\covid-19-oat-prescriber-info.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9111</Words>
  <Characters>51936</Characters>
  <Application>Microsoft Office Word</Application>
  <DocSecurity>0</DocSecurity>
  <Lines>432</Lines>
  <Paragraphs>121</Paragraphs>
  <ScaleCrop>false</ScaleCrop>
  <Company/>
  <LinksUpToDate>false</LinksUpToDate>
  <CharactersWithSpaces>60926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2024-05-17T00:11:00Z</dcterms:created>
  <dcterms:modified xsi:type="dcterms:W3CDTF">2024-05-17T00:12:00Z</dcterms:modified>
</cp:coreProperties>
</file>