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99E24" w14:textId="550A9B03" w:rsidR="002B1388" w:rsidRPr="000172C0" w:rsidRDefault="00660240" w:rsidP="000172C0">
      <w:pPr>
        <w:ind w:left="1440" w:hanging="1440"/>
        <w:rPr>
          <w:rFonts w:asciiTheme="minorHAnsi" w:hAnsiTheme="minorHAnsi" w:cstheme="minorHAnsi"/>
          <w:b/>
          <w:bCs/>
          <w:sz w:val="36"/>
          <w:szCs w:val="36"/>
        </w:rPr>
      </w:pPr>
      <w:r>
        <w:rPr>
          <w:rFonts w:asciiTheme="minorHAnsi" w:hAnsiTheme="minorHAnsi" w:cstheme="minorHAnsi"/>
          <w:b/>
          <w:sz w:val="36"/>
          <w:szCs w:val="36"/>
        </w:rPr>
        <w:t>9.02</w:t>
      </w:r>
      <w:r w:rsidR="000172C0">
        <w:rPr>
          <w:rFonts w:asciiTheme="minorHAnsi" w:hAnsiTheme="minorHAnsi" w:cstheme="minorHAnsi"/>
          <w:b/>
          <w:bCs/>
          <w:sz w:val="36"/>
          <w:szCs w:val="36"/>
        </w:rPr>
        <w:tab/>
      </w:r>
      <w:r w:rsidR="001D25AE">
        <w:rPr>
          <w:rFonts w:asciiTheme="minorHAnsi" w:hAnsiTheme="minorHAnsi" w:cstheme="minorHAnsi"/>
          <w:b/>
          <w:sz w:val="36"/>
          <w:szCs w:val="36"/>
        </w:rPr>
        <w:t>Cost</w:t>
      </w:r>
      <w:r w:rsidR="0047211E">
        <w:rPr>
          <w:rFonts w:asciiTheme="minorHAnsi" w:hAnsiTheme="minorHAnsi" w:cstheme="minorHAnsi"/>
          <w:b/>
          <w:sz w:val="36"/>
          <w:szCs w:val="36"/>
        </w:rPr>
        <w:t>-e</w:t>
      </w:r>
      <w:r w:rsidR="001D25AE">
        <w:rPr>
          <w:rFonts w:asciiTheme="minorHAnsi" w:hAnsiTheme="minorHAnsi" w:cstheme="minorHAnsi"/>
          <w:b/>
          <w:sz w:val="36"/>
          <w:szCs w:val="36"/>
        </w:rPr>
        <w:t xml:space="preserve">ffectiveness </w:t>
      </w:r>
      <w:r w:rsidR="0047211E">
        <w:rPr>
          <w:rFonts w:asciiTheme="minorHAnsi" w:hAnsiTheme="minorHAnsi" w:cstheme="minorHAnsi"/>
          <w:b/>
          <w:sz w:val="36"/>
          <w:szCs w:val="36"/>
        </w:rPr>
        <w:t>r</w:t>
      </w:r>
      <w:r w:rsidR="001D25AE">
        <w:rPr>
          <w:rFonts w:asciiTheme="minorHAnsi" w:hAnsiTheme="minorHAnsi" w:cstheme="minorHAnsi"/>
          <w:b/>
          <w:sz w:val="36"/>
          <w:szCs w:val="36"/>
        </w:rPr>
        <w:t xml:space="preserve">eview </w:t>
      </w:r>
      <w:r w:rsidR="009648EE">
        <w:rPr>
          <w:rFonts w:asciiTheme="minorHAnsi" w:hAnsiTheme="minorHAnsi" w:cstheme="minorHAnsi"/>
          <w:b/>
          <w:sz w:val="36"/>
          <w:szCs w:val="36"/>
        </w:rPr>
        <w:t xml:space="preserve">(CER) of </w:t>
      </w:r>
      <w:r w:rsidR="0047211E">
        <w:rPr>
          <w:rFonts w:asciiTheme="minorHAnsi" w:hAnsiTheme="minorHAnsi" w:cstheme="minorHAnsi"/>
          <w:b/>
          <w:sz w:val="36"/>
          <w:szCs w:val="36"/>
        </w:rPr>
        <w:t>s</w:t>
      </w:r>
      <w:r w:rsidR="001D25AE" w:rsidRPr="001D25AE">
        <w:rPr>
          <w:rFonts w:asciiTheme="minorHAnsi" w:hAnsiTheme="minorHAnsi" w:cstheme="minorHAnsi"/>
          <w:b/>
          <w:sz w:val="36"/>
          <w:szCs w:val="36"/>
        </w:rPr>
        <w:t>odium</w:t>
      </w:r>
      <w:r w:rsidR="0047211E">
        <w:rPr>
          <w:rFonts w:asciiTheme="minorHAnsi" w:hAnsiTheme="minorHAnsi" w:cstheme="minorHAnsi"/>
          <w:b/>
          <w:sz w:val="36"/>
          <w:szCs w:val="36"/>
        </w:rPr>
        <w:t>-g</w:t>
      </w:r>
      <w:r w:rsidR="001D25AE" w:rsidRPr="001D25AE">
        <w:rPr>
          <w:rFonts w:asciiTheme="minorHAnsi" w:hAnsiTheme="minorHAnsi" w:cstheme="minorHAnsi"/>
          <w:b/>
          <w:sz w:val="36"/>
          <w:szCs w:val="36"/>
        </w:rPr>
        <w:t xml:space="preserve">lucose </w:t>
      </w:r>
      <w:r w:rsidR="0047211E">
        <w:rPr>
          <w:rFonts w:asciiTheme="minorHAnsi" w:hAnsiTheme="minorHAnsi" w:cstheme="minorHAnsi"/>
          <w:b/>
          <w:sz w:val="36"/>
          <w:szCs w:val="36"/>
        </w:rPr>
        <w:t>c</w:t>
      </w:r>
      <w:r w:rsidR="001D25AE" w:rsidRPr="001D25AE">
        <w:rPr>
          <w:rFonts w:asciiTheme="minorHAnsi" w:hAnsiTheme="minorHAnsi" w:cstheme="minorHAnsi"/>
          <w:b/>
          <w:sz w:val="36"/>
          <w:szCs w:val="36"/>
        </w:rPr>
        <w:t>o</w:t>
      </w:r>
      <w:r w:rsidR="0047211E">
        <w:rPr>
          <w:rFonts w:asciiTheme="minorHAnsi" w:hAnsiTheme="minorHAnsi" w:cstheme="minorHAnsi"/>
          <w:b/>
          <w:sz w:val="36"/>
          <w:szCs w:val="36"/>
        </w:rPr>
        <w:t>t</w:t>
      </w:r>
      <w:r w:rsidR="001D25AE" w:rsidRPr="001D25AE">
        <w:rPr>
          <w:rFonts w:asciiTheme="minorHAnsi" w:hAnsiTheme="minorHAnsi" w:cstheme="minorHAnsi"/>
          <w:b/>
          <w:sz w:val="36"/>
          <w:szCs w:val="36"/>
        </w:rPr>
        <w:t>ransporter 2 (SGLT2) inhibitor</w:t>
      </w:r>
      <w:r w:rsidR="001D25AE">
        <w:rPr>
          <w:rFonts w:asciiTheme="minorHAnsi" w:hAnsiTheme="minorHAnsi" w:cstheme="minorHAnsi"/>
          <w:b/>
          <w:sz w:val="36"/>
          <w:szCs w:val="36"/>
        </w:rPr>
        <w:t>s</w:t>
      </w:r>
      <w:r w:rsidR="009648EE">
        <w:rPr>
          <w:rFonts w:asciiTheme="minorHAnsi" w:hAnsiTheme="minorHAnsi" w:cstheme="minorHAnsi"/>
          <w:b/>
          <w:sz w:val="36"/>
          <w:szCs w:val="36"/>
        </w:rPr>
        <w:t xml:space="preserve"> for </w:t>
      </w:r>
      <w:r w:rsidR="0047211E">
        <w:rPr>
          <w:rFonts w:asciiTheme="minorHAnsi" w:hAnsiTheme="minorHAnsi" w:cstheme="minorHAnsi"/>
          <w:b/>
          <w:sz w:val="36"/>
          <w:szCs w:val="36"/>
        </w:rPr>
        <w:t>t</w:t>
      </w:r>
      <w:r w:rsidR="009648EE">
        <w:rPr>
          <w:rFonts w:asciiTheme="minorHAnsi" w:hAnsiTheme="minorHAnsi" w:cstheme="minorHAnsi"/>
          <w:b/>
          <w:sz w:val="36"/>
          <w:szCs w:val="36"/>
        </w:rPr>
        <w:t xml:space="preserve">ype 2 </w:t>
      </w:r>
      <w:r w:rsidR="0047211E">
        <w:rPr>
          <w:rFonts w:asciiTheme="minorHAnsi" w:hAnsiTheme="minorHAnsi" w:cstheme="minorHAnsi"/>
          <w:b/>
          <w:sz w:val="36"/>
          <w:szCs w:val="36"/>
        </w:rPr>
        <w:t>d</w:t>
      </w:r>
      <w:r w:rsidR="009648EE">
        <w:rPr>
          <w:rFonts w:asciiTheme="minorHAnsi" w:hAnsiTheme="minorHAnsi" w:cstheme="minorHAnsi"/>
          <w:b/>
          <w:sz w:val="36"/>
          <w:szCs w:val="36"/>
        </w:rPr>
        <w:t xml:space="preserve">iabetes </w:t>
      </w:r>
      <w:r w:rsidR="0047211E">
        <w:rPr>
          <w:rFonts w:asciiTheme="minorHAnsi" w:hAnsiTheme="minorHAnsi" w:cstheme="minorHAnsi"/>
          <w:b/>
          <w:sz w:val="36"/>
          <w:szCs w:val="36"/>
        </w:rPr>
        <w:t>m</w:t>
      </w:r>
      <w:r w:rsidR="009648EE">
        <w:rPr>
          <w:rFonts w:asciiTheme="minorHAnsi" w:hAnsiTheme="minorHAnsi" w:cstheme="minorHAnsi"/>
          <w:b/>
          <w:sz w:val="36"/>
          <w:szCs w:val="36"/>
        </w:rPr>
        <w:t>ellitus (T2DM)</w:t>
      </w:r>
    </w:p>
    <w:p w14:paraId="0174926A" w14:textId="77777777" w:rsidR="002B1388" w:rsidRDefault="002B1388" w:rsidP="002B1388">
      <w:pPr>
        <w:pStyle w:val="2Sections"/>
      </w:pPr>
      <w:r w:rsidRPr="00D76EA3">
        <w:t>Purpose of Item</w:t>
      </w:r>
    </w:p>
    <w:p w14:paraId="70219CFC" w14:textId="486DF45C" w:rsidR="002B1388" w:rsidRDefault="002B1388" w:rsidP="0047211E">
      <w:pPr>
        <w:pStyle w:val="3Bodytext"/>
        <w:numPr>
          <w:ilvl w:val="0"/>
          <w:numId w:val="0"/>
        </w:numPr>
      </w:pPr>
      <w:r w:rsidRPr="002B1388">
        <w:t xml:space="preserve">That the </w:t>
      </w:r>
      <w:r w:rsidR="00660240" w:rsidRPr="00660240">
        <w:t>Pharmaceutical Benefits Advisory Committee (PBAC)</w:t>
      </w:r>
      <w:r w:rsidRPr="002B1388">
        <w:t>:</w:t>
      </w:r>
    </w:p>
    <w:p w14:paraId="1974968F" w14:textId="48C2A476" w:rsidR="009C4EC2" w:rsidRPr="009C4EC2" w:rsidRDefault="009C4EC2" w:rsidP="00D237AA">
      <w:pPr>
        <w:pStyle w:val="3Bodytext"/>
      </w:pPr>
      <w:r>
        <w:rPr>
          <w:b/>
        </w:rPr>
        <w:t>CONSIDER</w:t>
      </w:r>
      <w:r w:rsidRPr="00996021">
        <w:t xml:space="preserve"> the</w:t>
      </w:r>
      <w:r>
        <w:t xml:space="preserve"> </w:t>
      </w:r>
      <w:r w:rsidR="00660240">
        <w:t>Cost-effectiveness review (</w:t>
      </w:r>
      <w:r>
        <w:t>CER</w:t>
      </w:r>
      <w:r w:rsidR="00660240">
        <w:t>)</w:t>
      </w:r>
      <w:r>
        <w:t xml:space="preserve"> of </w:t>
      </w:r>
      <w:r w:rsidR="0047211E">
        <w:t>s</w:t>
      </w:r>
      <w:r w:rsidR="00660240" w:rsidRPr="00660240">
        <w:t>odium</w:t>
      </w:r>
      <w:r w:rsidR="0047211E">
        <w:t>-g</w:t>
      </w:r>
      <w:r w:rsidR="00660240" w:rsidRPr="00660240">
        <w:t xml:space="preserve">lucose </w:t>
      </w:r>
      <w:r w:rsidR="0047211E">
        <w:t>cot</w:t>
      </w:r>
      <w:r w:rsidR="00660240" w:rsidRPr="00660240">
        <w:t>ransporter</w:t>
      </w:r>
      <w:r w:rsidR="0047211E">
        <w:t xml:space="preserve"> </w:t>
      </w:r>
      <w:r w:rsidR="00660240" w:rsidRPr="00660240">
        <w:t xml:space="preserve">2 (SGLT2) inhibitors for </w:t>
      </w:r>
      <w:r w:rsidR="0047211E">
        <w:t>t</w:t>
      </w:r>
      <w:r w:rsidR="00660240" w:rsidRPr="00660240">
        <w:t xml:space="preserve">ype 2 </w:t>
      </w:r>
      <w:r w:rsidR="0047211E">
        <w:t>d</w:t>
      </w:r>
      <w:r w:rsidR="00660240" w:rsidRPr="00660240">
        <w:t xml:space="preserve">iabetes </w:t>
      </w:r>
      <w:r w:rsidR="0047211E">
        <w:t>m</w:t>
      </w:r>
      <w:r w:rsidR="00660240" w:rsidRPr="00660240">
        <w:t>ellitus (T2DM)</w:t>
      </w:r>
      <w:r w:rsidR="0047211E">
        <w:t xml:space="preserve"> (the SGLT2 inhibitor report)</w:t>
      </w:r>
      <w:r w:rsidR="00660240">
        <w:t>.</w:t>
      </w:r>
    </w:p>
    <w:p w14:paraId="646CCE6F" w14:textId="357CE436" w:rsidR="00B06ACC" w:rsidRPr="00660240" w:rsidRDefault="002B1388" w:rsidP="00B06ACC">
      <w:pPr>
        <w:pStyle w:val="3Bodytext"/>
      </w:pPr>
      <w:r w:rsidRPr="003C77F1">
        <w:rPr>
          <w:b/>
        </w:rPr>
        <w:t>ADVISE</w:t>
      </w:r>
      <w:r>
        <w:t xml:space="preserve"> </w:t>
      </w:r>
      <w:r w:rsidR="00660240">
        <w:t>on</w:t>
      </w:r>
      <w:r w:rsidR="009C4EC2">
        <w:t xml:space="preserve"> the</w:t>
      </w:r>
      <w:r w:rsidR="00B021A6">
        <w:t xml:space="preserve"> </w:t>
      </w:r>
      <w:r w:rsidR="009C4EC2">
        <w:t>suitability of the</w:t>
      </w:r>
      <w:r w:rsidR="00660240">
        <w:t xml:space="preserve"> </w:t>
      </w:r>
      <w:r w:rsidR="0047211E">
        <w:t xml:space="preserve">proposed </w:t>
      </w:r>
      <w:r w:rsidR="00660240">
        <w:t xml:space="preserve">options </w:t>
      </w:r>
      <w:r w:rsidR="0047211E">
        <w:t xml:space="preserve">for </w:t>
      </w:r>
      <w:r w:rsidR="00B379B3">
        <w:t>expan</w:t>
      </w:r>
      <w:r w:rsidR="0047211E">
        <w:t>ding the</w:t>
      </w:r>
      <w:r w:rsidR="00660240">
        <w:t xml:space="preserve"> PBS </w:t>
      </w:r>
      <w:r w:rsidR="00B021A6">
        <w:t>restrictions</w:t>
      </w:r>
      <w:r w:rsidR="00660240" w:rsidRPr="00660240">
        <w:t xml:space="preserve"> to </w:t>
      </w:r>
      <w:bookmarkStart w:id="0" w:name="_Hlk87346074"/>
      <w:r w:rsidR="00660240" w:rsidRPr="00660240">
        <w:t xml:space="preserve">allow earlier subsidised access to SGLT2 inhibitors </w:t>
      </w:r>
      <w:r w:rsidR="000D08CC">
        <w:t>as add-on therapy</w:t>
      </w:r>
      <w:r w:rsidR="000D08CC" w:rsidRPr="00660240">
        <w:t xml:space="preserve"> </w:t>
      </w:r>
      <w:r w:rsidR="000D08CC">
        <w:t>to</w:t>
      </w:r>
      <w:r w:rsidR="000D08CC" w:rsidRPr="00660240">
        <w:t xml:space="preserve"> metformin </w:t>
      </w:r>
      <w:r w:rsidR="00660240" w:rsidRPr="00660240">
        <w:t xml:space="preserve">in T2DM patients </w:t>
      </w:r>
      <w:r w:rsidR="000D08CC">
        <w:t xml:space="preserve">with established or at high risk of </w:t>
      </w:r>
      <w:r w:rsidR="007E6C7B" w:rsidRPr="007E6C7B">
        <w:t>cardiovascular disease</w:t>
      </w:r>
      <w:r w:rsidR="007E6C7B">
        <w:t xml:space="preserve"> (</w:t>
      </w:r>
      <w:r w:rsidR="000D08CC">
        <w:t>CVD</w:t>
      </w:r>
      <w:r w:rsidR="007E6C7B">
        <w:t>)</w:t>
      </w:r>
      <w:r w:rsidR="00660240" w:rsidRPr="00660240">
        <w:t>, without the requirement to have a specific unmet glycaemic target.</w:t>
      </w:r>
      <w:bookmarkEnd w:id="0"/>
      <w:r w:rsidR="00660240">
        <w:t xml:space="preserve"> </w:t>
      </w:r>
      <w:r w:rsidR="00FF2962">
        <w:t>Specifically,</w:t>
      </w:r>
      <w:r w:rsidR="00660240">
        <w:t xml:space="preserve"> </w:t>
      </w:r>
      <w:r w:rsidR="00FF2962">
        <w:t>advice is sought on</w:t>
      </w:r>
      <w:r w:rsidR="00660240">
        <w:t>:</w:t>
      </w:r>
    </w:p>
    <w:p w14:paraId="28BE7FEB" w14:textId="126A8ACB" w:rsidR="00885DFD" w:rsidRDefault="009C4EC2" w:rsidP="007C0A53">
      <w:pPr>
        <w:pStyle w:val="3Bodytext"/>
        <w:numPr>
          <w:ilvl w:val="0"/>
          <w:numId w:val="3"/>
        </w:numPr>
      </w:pPr>
      <w:r>
        <w:t xml:space="preserve">Proposed restriction wording and the appropriate criteria, thresholds or guideline/s that should be used to define </w:t>
      </w:r>
      <w:r w:rsidR="007E6C7B">
        <w:t>cardiovascular (</w:t>
      </w:r>
      <w:r>
        <w:t>CV</w:t>
      </w:r>
      <w:r w:rsidR="007E6C7B">
        <w:t>)</w:t>
      </w:r>
      <w:r>
        <w:t xml:space="preserve"> risk </w:t>
      </w:r>
      <w:r w:rsidR="0047211E">
        <w:t xml:space="preserve">factors </w:t>
      </w:r>
      <w:r w:rsidR="005E2097">
        <w:t>and</w:t>
      </w:r>
      <w:r>
        <w:t xml:space="preserve"> the target population</w:t>
      </w:r>
      <w:r w:rsidR="00885DFD">
        <w:t>.</w:t>
      </w:r>
    </w:p>
    <w:p w14:paraId="26706D98" w14:textId="1D7B4A71" w:rsidR="00CC2977" w:rsidRDefault="0047211E" w:rsidP="007C0A53">
      <w:pPr>
        <w:pStyle w:val="3Bodytext"/>
        <w:numPr>
          <w:ilvl w:val="0"/>
          <w:numId w:val="3"/>
        </w:numPr>
      </w:pPr>
      <w:r>
        <w:t>W</w:t>
      </w:r>
      <w:r w:rsidR="00885DFD">
        <w:t>heth</w:t>
      </w:r>
      <w:r w:rsidR="00CC2977">
        <w:t>er T2DM patients with kidney disease should be included</w:t>
      </w:r>
      <w:r w:rsidR="00885DFD">
        <w:t xml:space="preserve"> in the proposed restriction</w:t>
      </w:r>
      <w:r w:rsidR="00CC2977">
        <w:t xml:space="preserve">, </w:t>
      </w:r>
      <w:r w:rsidR="00885DFD" w:rsidRPr="00885DFD">
        <w:t xml:space="preserve">noting the PBAC’s separate consideration of dapagliflozin for people with </w:t>
      </w:r>
      <w:r w:rsidR="007E6C7B">
        <w:t>chronic kidney disease (</w:t>
      </w:r>
      <w:r w:rsidR="00885DFD" w:rsidRPr="00885DFD">
        <w:t>CKD</w:t>
      </w:r>
      <w:r w:rsidR="007E6C7B">
        <w:t>)</w:t>
      </w:r>
      <w:r w:rsidR="00885DFD">
        <w:t xml:space="preserve"> in patients with or without T2DM.</w:t>
      </w:r>
    </w:p>
    <w:p w14:paraId="3C18869F" w14:textId="078C1217" w:rsidR="003B19F2" w:rsidRDefault="003B19F2" w:rsidP="007C0A53">
      <w:pPr>
        <w:pStyle w:val="3Bodytext"/>
        <w:numPr>
          <w:ilvl w:val="0"/>
          <w:numId w:val="3"/>
        </w:numPr>
      </w:pPr>
      <w:r>
        <w:t xml:space="preserve">Therapy combinations </w:t>
      </w:r>
      <w:r w:rsidRPr="004066C3">
        <w:t xml:space="preserve">included </w:t>
      </w:r>
      <w:r>
        <w:t xml:space="preserve">in </w:t>
      </w:r>
      <w:r w:rsidR="00BE6952">
        <w:t xml:space="preserve">the </w:t>
      </w:r>
      <w:r>
        <w:t>proposal</w:t>
      </w:r>
      <w:r w:rsidR="0047211E">
        <w:t>, that is,</w:t>
      </w:r>
      <w:r>
        <w:t xml:space="preserve"> whether the inclusion of </w:t>
      </w:r>
      <w:r w:rsidR="0047211E">
        <w:t xml:space="preserve">sulfonylurea (SU) </w:t>
      </w:r>
      <w:r>
        <w:t>+</w:t>
      </w:r>
      <w:r w:rsidR="0047211E">
        <w:t xml:space="preserve"> </w:t>
      </w:r>
      <w:r>
        <w:t>SGLT2</w:t>
      </w:r>
      <w:r w:rsidR="0047211E">
        <w:t xml:space="preserve"> inhibitor</w:t>
      </w:r>
      <w:r>
        <w:t xml:space="preserve"> dual therapy combination is appropriate</w:t>
      </w:r>
      <w:r w:rsidR="00BE6952">
        <w:t>.</w:t>
      </w:r>
      <w:r>
        <w:t xml:space="preserve"> </w:t>
      </w:r>
    </w:p>
    <w:p w14:paraId="13F15B27" w14:textId="1FC48694" w:rsidR="003B19F2" w:rsidRDefault="003B19F2" w:rsidP="007C0A53">
      <w:pPr>
        <w:pStyle w:val="3Bodytext"/>
        <w:numPr>
          <w:ilvl w:val="0"/>
          <w:numId w:val="3"/>
        </w:numPr>
      </w:pPr>
      <w:r>
        <w:t xml:space="preserve">Therapy combinations </w:t>
      </w:r>
      <w:r w:rsidRPr="004066C3">
        <w:t>not currently</w:t>
      </w:r>
      <w:r>
        <w:t xml:space="preserve"> included in </w:t>
      </w:r>
      <w:r w:rsidR="00BE6952">
        <w:t xml:space="preserve">the </w:t>
      </w:r>
      <w:r>
        <w:t>proposal</w:t>
      </w:r>
      <w:r w:rsidR="004066C3">
        <w:t xml:space="preserve"> </w:t>
      </w:r>
      <w:r>
        <w:t>(See Table 2: Streamlined codes where advice is required).</w:t>
      </w:r>
    </w:p>
    <w:p w14:paraId="1DE05BD6" w14:textId="77777777" w:rsidR="002B1388" w:rsidRDefault="002B1388" w:rsidP="002B1388">
      <w:pPr>
        <w:pStyle w:val="2Sections"/>
      </w:pPr>
      <w:bookmarkStart w:id="1" w:name="_Hlk81569225"/>
      <w:r w:rsidRPr="002B1388">
        <w:t>Background</w:t>
      </w:r>
    </w:p>
    <w:p w14:paraId="208AD060" w14:textId="4D0ED077" w:rsidR="00996D59" w:rsidRDefault="00996D59" w:rsidP="00F2324E">
      <w:pPr>
        <w:pStyle w:val="3Bodytext"/>
      </w:pPr>
      <w:r>
        <w:t xml:space="preserve">In September 2019, </w:t>
      </w:r>
      <w:r w:rsidR="007E6C7B">
        <w:t>a stakeholder</w:t>
      </w:r>
      <w:r w:rsidRPr="00996D59">
        <w:t xml:space="preserve"> </w:t>
      </w:r>
      <w:r>
        <w:t>sent a letter to the</w:t>
      </w:r>
      <w:r w:rsidRPr="00996D59">
        <w:t xml:space="preserve"> PBAC requesting broader listings for </w:t>
      </w:r>
      <w:r w:rsidR="004066C3">
        <w:t>g</w:t>
      </w:r>
      <w:r w:rsidR="004066C3" w:rsidRPr="00F2324E">
        <w:t>lucagon-like peptide-1</w:t>
      </w:r>
      <w:r w:rsidR="004066C3">
        <w:t xml:space="preserve"> receptor agonists (</w:t>
      </w:r>
      <w:r w:rsidRPr="00996D59">
        <w:t>GLP</w:t>
      </w:r>
      <w:r w:rsidR="00B92DAE">
        <w:t>-</w:t>
      </w:r>
      <w:r w:rsidRPr="00996D59">
        <w:t>1</w:t>
      </w:r>
      <w:r w:rsidR="00F2324E">
        <w:t xml:space="preserve"> </w:t>
      </w:r>
      <w:r w:rsidR="004066C3">
        <w:t>RAs</w:t>
      </w:r>
      <w:r w:rsidR="00F2324E">
        <w:t>)</w:t>
      </w:r>
      <w:r w:rsidRPr="00996D59">
        <w:t xml:space="preserve"> </w:t>
      </w:r>
      <w:r>
        <w:t>and SGLT2 inhibito</w:t>
      </w:r>
      <w:r w:rsidRPr="00996D59">
        <w:t xml:space="preserve">rs on the </w:t>
      </w:r>
      <w:r w:rsidR="00E55B14">
        <w:t>Pharmaceutical Benefits Scheme (</w:t>
      </w:r>
      <w:r w:rsidRPr="00996D59">
        <w:t>PBS</w:t>
      </w:r>
      <w:r w:rsidR="00E55B14">
        <w:t>)</w:t>
      </w:r>
      <w:r>
        <w:t>.</w:t>
      </w:r>
      <w:r w:rsidR="00E55B14">
        <w:t xml:space="preserve"> </w:t>
      </w:r>
      <w:r>
        <w:t xml:space="preserve">The </w:t>
      </w:r>
      <w:r w:rsidR="007E6C7B">
        <w:t xml:space="preserve">request </w:t>
      </w:r>
      <w:r w:rsidR="004614C3">
        <w:t>indicated</w:t>
      </w:r>
      <w:r>
        <w:t xml:space="preserve"> that PBS reimbursement </w:t>
      </w:r>
      <w:r w:rsidR="004614C3">
        <w:t xml:space="preserve">for these medicines did not include all populations for whom benefit is shown in clinical trials. The </w:t>
      </w:r>
      <w:r w:rsidR="007E6C7B">
        <w:t xml:space="preserve">stakeholder </w:t>
      </w:r>
      <w:r>
        <w:t xml:space="preserve">considered that </w:t>
      </w:r>
      <w:r w:rsidR="004614C3">
        <w:t xml:space="preserve">PBS </w:t>
      </w:r>
      <w:r>
        <w:t xml:space="preserve">reimbursement </w:t>
      </w:r>
      <w:r w:rsidR="004614C3">
        <w:t xml:space="preserve">should </w:t>
      </w:r>
      <w:r>
        <w:t xml:space="preserve">support the use of these medicines in people with T2DM </w:t>
      </w:r>
      <w:r w:rsidR="004614C3">
        <w:t>with</w:t>
      </w:r>
      <w:r w:rsidR="004066C3">
        <w:t xml:space="preserve"> CVD</w:t>
      </w:r>
      <w:r w:rsidR="004614C3">
        <w:t xml:space="preserve">, or </w:t>
      </w:r>
      <w:r w:rsidR="003F33BE">
        <w:t xml:space="preserve">with multiple </w:t>
      </w:r>
      <w:r w:rsidR="007E6C7B">
        <w:t>CV</w:t>
      </w:r>
      <w:r w:rsidR="003F33BE">
        <w:t xml:space="preserve"> risk factors</w:t>
      </w:r>
      <w:r>
        <w:t xml:space="preserve">, </w:t>
      </w:r>
      <w:r w:rsidR="004614C3">
        <w:t xml:space="preserve">and </w:t>
      </w:r>
      <w:r w:rsidR="007E6C7B">
        <w:t>g</w:t>
      </w:r>
      <w:r w:rsidR="007E6C7B" w:rsidRPr="007E6C7B">
        <w:t>lycated h</w:t>
      </w:r>
      <w:r w:rsidR="005E2097">
        <w:t>a</w:t>
      </w:r>
      <w:r w:rsidR="007E6C7B" w:rsidRPr="007E6C7B">
        <w:t>emoglobin</w:t>
      </w:r>
      <w:r w:rsidR="007E6C7B">
        <w:t xml:space="preserve"> (</w:t>
      </w:r>
      <w:r w:rsidR="004614C3">
        <w:t>HbA1c</w:t>
      </w:r>
      <w:r w:rsidR="007E6C7B">
        <w:t>)</w:t>
      </w:r>
      <w:r w:rsidR="004614C3">
        <w:t xml:space="preserve"> &gt;6.5%, </w:t>
      </w:r>
      <w:r w:rsidR="004066C3">
        <w:t>based on</w:t>
      </w:r>
      <w:r w:rsidR="004614C3">
        <w:t xml:space="preserve"> the results of several </w:t>
      </w:r>
      <w:r w:rsidR="001E4AEC">
        <w:t>CV</w:t>
      </w:r>
      <w:r w:rsidR="004614C3">
        <w:t xml:space="preserve"> outcome trials.</w:t>
      </w:r>
    </w:p>
    <w:p w14:paraId="0868B5A4" w14:textId="253BBE0B" w:rsidR="004614C3" w:rsidRDefault="004614C3" w:rsidP="00D156BE">
      <w:pPr>
        <w:pStyle w:val="3Bodytext"/>
      </w:pPr>
      <w:r>
        <w:t xml:space="preserve">In October 2019, the PBAC responded to the </w:t>
      </w:r>
      <w:r w:rsidR="007E6C7B">
        <w:t xml:space="preserve">stakeholder </w:t>
      </w:r>
      <w:r>
        <w:t xml:space="preserve">noting </w:t>
      </w:r>
      <w:r w:rsidR="00D156BE">
        <w:t>the</w:t>
      </w:r>
      <w:r>
        <w:t xml:space="preserve"> request to amend the PBS listings for </w:t>
      </w:r>
      <w:r w:rsidRPr="004614C3">
        <w:t>GLP</w:t>
      </w:r>
      <w:r w:rsidR="00B92DAE">
        <w:t>-</w:t>
      </w:r>
      <w:r w:rsidRPr="004614C3">
        <w:t xml:space="preserve">1 </w:t>
      </w:r>
      <w:r w:rsidR="004066C3">
        <w:t>RA</w:t>
      </w:r>
      <w:r w:rsidRPr="004614C3">
        <w:t xml:space="preserve">s and SGLT2 inhibitors </w:t>
      </w:r>
      <w:r>
        <w:t>in a broader patient population. The PBAC noted that</w:t>
      </w:r>
      <w:r w:rsidR="00D156BE">
        <w:t xml:space="preserve"> </w:t>
      </w:r>
      <w:r>
        <w:t>it is required to consider the clinical effectiveness, safety and cost-effectiveness of the medicine compared with other treatments</w:t>
      </w:r>
      <w:r w:rsidR="003F33BE">
        <w:t>,</w:t>
      </w:r>
      <w:r w:rsidR="003F33BE" w:rsidRPr="003F33BE">
        <w:t xml:space="preserve"> </w:t>
      </w:r>
      <w:r w:rsidR="003F33BE">
        <w:t>when considering amendments to PBS listings</w:t>
      </w:r>
      <w:r>
        <w:t xml:space="preserve">. </w:t>
      </w:r>
      <w:r w:rsidR="00D156BE">
        <w:t xml:space="preserve">The PBAC noted that amendments to PBS listing are generally initiated by the </w:t>
      </w:r>
      <w:r w:rsidR="00D156BE" w:rsidRPr="00D156BE">
        <w:t xml:space="preserve">pharmaceutical </w:t>
      </w:r>
      <w:r w:rsidR="00D156BE">
        <w:t xml:space="preserve">sponsor of the medicine and advised </w:t>
      </w:r>
      <w:r>
        <w:t>it would accept submissions from sponsors to</w:t>
      </w:r>
      <w:r w:rsidRPr="004614C3">
        <w:t xml:space="preserve"> </w:t>
      </w:r>
      <w:r>
        <w:t>extend the PBS listings of GLP</w:t>
      </w:r>
      <w:r w:rsidR="004066C3">
        <w:noBreakHyphen/>
        <w:t>1 RA</w:t>
      </w:r>
      <w:r>
        <w:t>s and SGLT2 inhibitors at any time.</w:t>
      </w:r>
    </w:p>
    <w:p w14:paraId="6AC2E4A9" w14:textId="29CA0594" w:rsidR="001E4AEC" w:rsidRPr="001E4AEC" w:rsidRDefault="00660240" w:rsidP="00143C0A">
      <w:pPr>
        <w:pStyle w:val="3Bodytext"/>
      </w:pPr>
      <w:r w:rsidRPr="008F3539">
        <w:lastRenderedPageBreak/>
        <w:t xml:space="preserve">The Department </w:t>
      </w:r>
      <w:r w:rsidR="004066C3">
        <w:t>subsequently</w:t>
      </w:r>
      <w:r w:rsidRPr="008F3539">
        <w:t xml:space="preserve"> contracted a project on the cost-effectiveness of T2DM medicines focussing in the first instance on the </w:t>
      </w:r>
      <w:r>
        <w:t>cost-effectiveness</w:t>
      </w:r>
      <w:r w:rsidRPr="008F3539">
        <w:t xml:space="preserve"> of SGLT2</w:t>
      </w:r>
      <w:r>
        <w:t xml:space="preserve"> inhibitors </w:t>
      </w:r>
      <w:r w:rsidRPr="008F3539">
        <w:t xml:space="preserve">compared to </w:t>
      </w:r>
      <w:r>
        <w:t>sulfonylureas (SU)</w:t>
      </w:r>
      <w:r w:rsidRPr="008F3539">
        <w:t xml:space="preserve"> as add on therapy to metformin. This comparison was chosen because </w:t>
      </w:r>
      <w:r>
        <w:t xml:space="preserve">of </w:t>
      </w:r>
      <w:r w:rsidRPr="008F3539">
        <w:t>the increasing body of evidence supporting patient relevant outcomes in patients with T2DM and the request from clinicians for broader subsidised access.</w:t>
      </w:r>
    </w:p>
    <w:p w14:paraId="2D9042D4" w14:textId="2878F726" w:rsidR="00EE65BA" w:rsidRPr="00E96F35" w:rsidRDefault="00BE6952" w:rsidP="00EE65BA">
      <w:pPr>
        <w:pStyle w:val="2Sections"/>
      </w:pPr>
      <w:r w:rsidRPr="00BE6952">
        <w:t>Cost-effectiveness Review (CER) of SGLT inhibitors for T2DM</w:t>
      </w:r>
    </w:p>
    <w:p w14:paraId="213710FA" w14:textId="30CA4703" w:rsidR="00BE6952" w:rsidRPr="004066C3" w:rsidRDefault="00BE6952" w:rsidP="004066C3">
      <w:pPr>
        <w:pStyle w:val="Heading2"/>
      </w:pPr>
      <w:r w:rsidRPr="004066C3">
        <w:t>Clinical and economic evaluation</w:t>
      </w:r>
    </w:p>
    <w:p w14:paraId="4F2B9115" w14:textId="35442758" w:rsidR="00B60A16" w:rsidRDefault="007E6C7B" w:rsidP="00B60A16">
      <w:pPr>
        <w:pStyle w:val="3Bodytext"/>
      </w:pPr>
      <w:r>
        <w:t>The Department engaged a contractor to prepare a</w:t>
      </w:r>
      <w:r w:rsidR="00B60A16" w:rsidRPr="00B56AF4">
        <w:t xml:space="preserve"> clinical and cost-utility evaluation report</w:t>
      </w:r>
      <w:r w:rsidR="00B56AF4">
        <w:t xml:space="preserve"> </w:t>
      </w:r>
      <w:r w:rsidR="00B60A16" w:rsidRPr="00B56AF4">
        <w:t xml:space="preserve">using </w:t>
      </w:r>
      <w:r w:rsidR="00EA0142">
        <w:t>an</w:t>
      </w:r>
      <w:r w:rsidR="00EA0142" w:rsidRPr="00B56AF4">
        <w:t xml:space="preserve"> </w:t>
      </w:r>
      <w:r w:rsidR="00B60A16" w:rsidRPr="00B56AF4">
        <w:t xml:space="preserve">adaptation and calibration of a reference model </w:t>
      </w:r>
      <w:r>
        <w:t>(</w:t>
      </w:r>
      <w:r w:rsidRPr="007E6C7B">
        <w:t>UK Prospective Diabetes Study</w:t>
      </w:r>
      <w:r>
        <w:t xml:space="preserve"> Outcomes Model 2 </w:t>
      </w:r>
      <w:r w:rsidR="00B60A16" w:rsidRPr="00B56AF4">
        <w:t>[UKPDS OM2]</w:t>
      </w:r>
      <w:r>
        <w:t>)</w:t>
      </w:r>
      <w:r w:rsidR="00B60A16" w:rsidRPr="00B56AF4">
        <w:t xml:space="preserve"> to assess the cost-effectiveness of SGLT2 inhibitors compared to SUs as dual therapy with metformin for the treatment of T2DM. This involved using Australian-specific mortality, cost and patient data to calibrate the original UKPDS Outcomes Model to allow </w:t>
      </w:r>
      <w:r w:rsidR="00EA0142">
        <w:t xml:space="preserve">a </w:t>
      </w:r>
      <w:r w:rsidR="00B60A16" w:rsidRPr="00B56AF4">
        <w:t>cost-effectiveness analysis in a contemporary Australian setting.</w:t>
      </w:r>
    </w:p>
    <w:p w14:paraId="7F797767" w14:textId="393287B0" w:rsidR="00C43013" w:rsidRPr="00B56AF4" w:rsidRDefault="00C43013" w:rsidP="00B60A16">
      <w:pPr>
        <w:pStyle w:val="3Bodytext"/>
      </w:pPr>
      <w:r>
        <w:t xml:space="preserve">The clinical evaluation concluded that </w:t>
      </w:r>
      <w:r w:rsidRPr="00C43013">
        <w:t xml:space="preserve">SGLT2 inhibitors decreased the risk of all-cause and </w:t>
      </w:r>
      <w:r>
        <w:t>CV</w:t>
      </w:r>
      <w:r w:rsidRPr="00C43013">
        <w:t xml:space="preserve">-related mortality when compared to SUs. </w:t>
      </w:r>
      <w:r>
        <w:t>I</w:t>
      </w:r>
      <w:r w:rsidRPr="00C43013">
        <w:t xml:space="preserve">mprovements </w:t>
      </w:r>
      <w:r>
        <w:t xml:space="preserve">were </w:t>
      </w:r>
      <w:r w:rsidRPr="00C43013">
        <w:t xml:space="preserve">seen in blood pressure outcomes, weight reductions and myocardial infarctions when comparing SGLT2 inhibitors to SUs in the treatment of </w:t>
      </w:r>
      <w:r>
        <w:t>T2DM</w:t>
      </w:r>
      <w:r w:rsidRPr="00C43013">
        <w:t>.</w:t>
      </w:r>
    </w:p>
    <w:p w14:paraId="5569AF2A" w14:textId="3093BBD6" w:rsidR="00B60A16" w:rsidRPr="00B56AF4" w:rsidRDefault="00B60A16" w:rsidP="00B60A16">
      <w:pPr>
        <w:pStyle w:val="3Bodytext"/>
      </w:pPr>
      <w:r w:rsidRPr="00B56AF4">
        <w:t xml:space="preserve">The </w:t>
      </w:r>
      <w:r w:rsidR="00C43013">
        <w:t>economic evaluation</w:t>
      </w:r>
      <w:r w:rsidRPr="00B56AF4">
        <w:t xml:space="preserve"> found that SGLT2 inhibitors were likely to improve life expectancy and quality adjusted life expectancy (quality-adjusted life years, or QALYs) versus SUs but were likely to lead to an overall increase in lifetime costs per patient. </w:t>
      </w:r>
    </w:p>
    <w:p w14:paraId="31C30C07" w14:textId="23087609" w:rsidR="003E00FC" w:rsidRDefault="00B60A16" w:rsidP="0010075D">
      <w:pPr>
        <w:pStyle w:val="3Bodytext"/>
      </w:pPr>
      <w:r w:rsidRPr="00B56AF4">
        <w:t xml:space="preserve">The </w:t>
      </w:r>
      <w:r w:rsidR="0090167C">
        <w:t>SGLT2 inhibitor report</w:t>
      </w:r>
      <w:r w:rsidRPr="00B56AF4">
        <w:t xml:space="preserve"> forecast incremental costs per life year gained of $19,706 per life year ($29,939 per QALY gained) for men and $18,395 per life year gained </w:t>
      </w:r>
      <w:r w:rsidR="0090167C">
        <w:t>(</w:t>
      </w:r>
      <w:r w:rsidRPr="00B56AF4">
        <w:t>$27,316 per QALY gained</w:t>
      </w:r>
      <w:r w:rsidR="0090167C">
        <w:t>)</w:t>
      </w:r>
      <w:r w:rsidRPr="00B56AF4">
        <w:t xml:space="preserve"> for women. </w:t>
      </w:r>
      <w:r w:rsidR="0010075D">
        <w:t xml:space="preserve"> </w:t>
      </w:r>
      <w:r w:rsidR="00140B59">
        <w:t>T</w:t>
      </w:r>
      <w:r w:rsidRPr="00B56AF4">
        <w:t xml:space="preserve">he incremental cost-effectiveness ratios (ICERs) for SGLT2 inhibitors compared with SUs </w:t>
      </w:r>
      <w:r w:rsidR="00140B59">
        <w:t xml:space="preserve">were less than </w:t>
      </w:r>
      <w:r w:rsidRPr="00B56AF4">
        <w:t xml:space="preserve">$50,000 per QALY for a wide range of assumptions regarding the duration of treatment effects and costs associated with </w:t>
      </w:r>
      <w:r w:rsidR="00140B59">
        <w:t xml:space="preserve">managing </w:t>
      </w:r>
      <w:r w:rsidRPr="00B56AF4">
        <w:t>diabetes-related complications.</w:t>
      </w:r>
      <w:r w:rsidR="003E00FC" w:rsidRPr="003E00FC">
        <w:t xml:space="preserve"> </w:t>
      </w:r>
    </w:p>
    <w:p w14:paraId="02A18424" w14:textId="24651797" w:rsidR="00BE6952" w:rsidRPr="00BE6952" w:rsidRDefault="00BE6952" w:rsidP="004066C3">
      <w:pPr>
        <w:pStyle w:val="Heading2"/>
      </w:pPr>
      <w:r w:rsidRPr="00BE6952">
        <w:t>Context and proposal to amend PBS restrictions for SGLT2 inhibitors</w:t>
      </w:r>
    </w:p>
    <w:p w14:paraId="75585D50" w14:textId="07554422" w:rsidR="003E00FC" w:rsidRPr="007639C6" w:rsidRDefault="003E00FC" w:rsidP="003E00FC">
      <w:pPr>
        <w:pStyle w:val="3Bodytext"/>
      </w:pPr>
      <w:r w:rsidRPr="007639C6">
        <w:t xml:space="preserve">Section 1 of the </w:t>
      </w:r>
      <w:r w:rsidR="0090167C">
        <w:t>SGLT2 inhibitor report</w:t>
      </w:r>
      <w:r w:rsidRPr="007639C6">
        <w:t xml:space="preserve"> </w:t>
      </w:r>
      <w:r>
        <w:t>presented</w:t>
      </w:r>
      <w:r w:rsidRPr="007639C6">
        <w:t xml:space="preserve"> the context and propose</w:t>
      </w:r>
      <w:r w:rsidR="000D08CC">
        <w:t>d</w:t>
      </w:r>
      <w:r w:rsidRPr="007639C6">
        <w:t xml:space="preserve"> options to </w:t>
      </w:r>
      <w:r w:rsidR="00B379B3">
        <w:t>expand</w:t>
      </w:r>
      <w:r w:rsidRPr="007639C6">
        <w:t xml:space="preserve"> PBS restrictions to allow earlier subsidised access to SGLT2 inhibitors in T2DM patients </w:t>
      </w:r>
      <w:r w:rsidR="000D08CC">
        <w:t xml:space="preserve">with </w:t>
      </w:r>
      <w:r w:rsidR="000D08CC" w:rsidRPr="007639C6">
        <w:t xml:space="preserve">established </w:t>
      </w:r>
      <w:r w:rsidR="000D08CC">
        <w:t xml:space="preserve">CVD </w:t>
      </w:r>
      <w:r w:rsidR="000D08CC" w:rsidRPr="007639C6">
        <w:t xml:space="preserve">or </w:t>
      </w:r>
      <w:r w:rsidR="000D08CC">
        <w:t>a</w:t>
      </w:r>
      <w:r w:rsidR="000D08CC" w:rsidRPr="007639C6">
        <w:t>t high risk of CVD</w:t>
      </w:r>
      <w:r w:rsidR="000D08CC">
        <w:t>,</w:t>
      </w:r>
      <w:r w:rsidR="000D08CC" w:rsidRPr="007639C6">
        <w:t xml:space="preserve"> </w:t>
      </w:r>
      <w:r w:rsidR="000D08CC">
        <w:t>as add-on therapy</w:t>
      </w:r>
      <w:r w:rsidRPr="007639C6">
        <w:t xml:space="preserve"> </w:t>
      </w:r>
      <w:r w:rsidR="000D08CC">
        <w:t>to</w:t>
      </w:r>
      <w:r w:rsidRPr="007639C6">
        <w:t xml:space="preserve"> metformin without the requirement to have a specific unmet glycaemic target.</w:t>
      </w:r>
    </w:p>
    <w:p w14:paraId="5A00AF09" w14:textId="6B584AA2" w:rsidR="003E00FC" w:rsidRDefault="003E00FC" w:rsidP="003E00FC">
      <w:pPr>
        <w:pStyle w:val="3Bodytext"/>
      </w:pPr>
      <w:r w:rsidRPr="007639C6">
        <w:t>Current PBS restrictions for second-line T2DM medicines (including SGLT2 inhibitors) refer to a general HbA1c target of 7% and patients may be eligible for add-on therapies if this target is not met despite</w:t>
      </w:r>
      <w:r w:rsidR="005E2097">
        <w:t xml:space="preserve"> use of</w:t>
      </w:r>
      <w:r w:rsidRPr="007639C6">
        <w:t xml:space="preserve"> prior therapies. The proposed PBS restrictions </w:t>
      </w:r>
      <w:r>
        <w:t>were</w:t>
      </w:r>
      <w:r w:rsidRPr="007639C6">
        <w:t xml:space="preserve"> based on </w:t>
      </w:r>
      <w:r w:rsidR="0090167C">
        <w:t xml:space="preserve">the </w:t>
      </w:r>
      <w:r w:rsidRPr="007639C6">
        <w:t xml:space="preserve">clinical evidence in the </w:t>
      </w:r>
      <w:r w:rsidR="0090167C">
        <w:t xml:space="preserve">SGLT2 inhibitor report </w:t>
      </w:r>
      <w:r w:rsidRPr="007639C6">
        <w:t xml:space="preserve">that SGLT2 inhibitors reduce the risk of all-cause and CV-related </w:t>
      </w:r>
      <w:r w:rsidR="00BF5866" w:rsidRPr="007639C6">
        <w:t>mortality and</w:t>
      </w:r>
      <w:r w:rsidRPr="007639C6">
        <w:t xml:space="preserve"> </w:t>
      </w:r>
      <w:r>
        <w:t>took</w:t>
      </w:r>
      <w:r w:rsidRPr="007639C6">
        <w:t xml:space="preserve"> into consideration current guidelines of the Royal Australian College of General Practitioners (RACGP)</w:t>
      </w:r>
      <w:r w:rsidR="00733E20">
        <w:rPr>
          <w:rStyle w:val="FootnoteReference"/>
        </w:rPr>
        <w:footnoteReference w:id="1"/>
      </w:r>
      <w:r w:rsidRPr="007639C6">
        <w:t xml:space="preserve">, </w:t>
      </w:r>
      <w:r w:rsidRPr="007639C6">
        <w:lastRenderedPageBreak/>
        <w:t>the Australian Diabetes Society (ADS)</w:t>
      </w:r>
      <w:r w:rsidR="00733E20">
        <w:rPr>
          <w:rStyle w:val="FootnoteReference"/>
        </w:rPr>
        <w:footnoteReference w:id="2"/>
      </w:r>
      <w:r w:rsidRPr="007639C6">
        <w:t xml:space="preserve"> and the National Vascular Disease Prevention Alliance (NVDPA), now part of the Australian Chronic Disease Prevention Alliance (ACDPA).</w:t>
      </w:r>
    </w:p>
    <w:p w14:paraId="2781075C" w14:textId="470CD53B" w:rsidR="007752B9" w:rsidRDefault="007752B9" w:rsidP="003E00FC">
      <w:pPr>
        <w:pStyle w:val="3Bodytext"/>
      </w:pPr>
      <w:r>
        <w:t xml:space="preserve">The intent of the PBS restriction proposal was that any restriction criteria expanding access to patients with T2DM with or at high risk of </w:t>
      </w:r>
      <w:r w:rsidRPr="007752B9">
        <w:t>CVD</w:t>
      </w:r>
      <w:r>
        <w:t>,</w:t>
      </w:r>
      <w:r w:rsidRPr="007752B9">
        <w:t xml:space="preserve"> </w:t>
      </w:r>
      <w:r>
        <w:t>would be</w:t>
      </w:r>
      <w:r w:rsidRPr="007752B9">
        <w:t xml:space="preserve"> added as an </w:t>
      </w:r>
      <w:r w:rsidRPr="007752B9">
        <w:rPr>
          <w:i/>
          <w:iCs/>
        </w:rPr>
        <w:t>additional</w:t>
      </w:r>
      <w:r w:rsidRPr="007752B9">
        <w:t xml:space="preserve"> means for patients to access SGLT2 inhibitors as dual therapy</w:t>
      </w:r>
      <w:r>
        <w:t>.</w:t>
      </w:r>
      <w:r w:rsidRPr="007752B9">
        <w:t xml:space="preserve"> </w:t>
      </w:r>
      <w:r>
        <w:t>T</w:t>
      </w:r>
      <w:r w:rsidRPr="007752B9">
        <w:t>herefore, restrictions relating to existing access would not be removed, as to not unintentionally restrict access. While it is expected that a large proportion of people with T2DM also have CVD or CV risk factors, there may be some T2DM patients who do not.</w:t>
      </w:r>
    </w:p>
    <w:p w14:paraId="25620C1E" w14:textId="332AAAD2" w:rsidR="00BE6952" w:rsidRPr="0010075D" w:rsidRDefault="0010075D" w:rsidP="0010075D">
      <w:pPr>
        <w:pStyle w:val="2Sections"/>
      </w:pPr>
      <w:r>
        <w:t>Budgetary Impact</w:t>
      </w:r>
    </w:p>
    <w:p w14:paraId="6E6E0BF0" w14:textId="752D31E6" w:rsidR="00BE6952" w:rsidRPr="00D674EF" w:rsidRDefault="00BE6952" w:rsidP="00BE6952">
      <w:pPr>
        <w:pStyle w:val="3Bodytext"/>
      </w:pPr>
      <w:r w:rsidRPr="00655A2A">
        <w:t xml:space="preserve">The net cost of the proposed restriction changes to allow earlier access to SGLT2 inhibitor medicines in the T2DM population with CVD or CV risk factors </w:t>
      </w:r>
      <w:r w:rsidR="007752B9">
        <w:t>was</w:t>
      </w:r>
      <w:r w:rsidRPr="00655A2A">
        <w:t xml:space="preserve"> estimated to be $108 million in 2022, increasing to $200 million in 2026</w:t>
      </w:r>
      <w:r w:rsidR="005D7C68">
        <w:t xml:space="preserve">, </w:t>
      </w:r>
      <w:r w:rsidR="002A3EE5">
        <w:t>estimated using</w:t>
      </w:r>
      <w:r w:rsidR="005D7C68">
        <w:t xml:space="preserve"> current PBS-listed prices</w:t>
      </w:r>
      <w:r w:rsidR="007379AD">
        <w:t xml:space="preserve"> (Table 1)</w:t>
      </w:r>
      <w:r w:rsidRPr="00655A2A">
        <w:t>.</w:t>
      </w:r>
      <w:r>
        <w:t xml:space="preserve"> These estimates </w:t>
      </w:r>
      <w:r w:rsidR="007752B9">
        <w:t>were</w:t>
      </w:r>
      <w:r>
        <w:t xml:space="preserve"> based on </w:t>
      </w:r>
      <w:r w:rsidRPr="009208B5">
        <w:t>Scenario 1 (base case)</w:t>
      </w:r>
      <w:r>
        <w:t xml:space="preserve"> which assumed a</w:t>
      </w:r>
      <w:r w:rsidRPr="009208B5">
        <w:t xml:space="preserve"> 50% uptake in the eligible population in 2022, increasing by 10% every year up to 90% in 2026</w:t>
      </w:r>
      <w:r>
        <w:t>.</w:t>
      </w:r>
      <w:bookmarkStart w:id="2" w:name="_Ref81384536"/>
      <w:bookmarkStart w:id="3" w:name="_Toc81384695"/>
    </w:p>
    <w:p w14:paraId="0ECCE695" w14:textId="715933A3" w:rsidR="00BE6952" w:rsidRPr="002E31FE" w:rsidRDefault="00BE6952" w:rsidP="00BE6952">
      <w:pPr>
        <w:pStyle w:val="Caption"/>
        <w:rPr>
          <w:rFonts w:cstheme="minorHAnsi"/>
          <w:b w:val="0"/>
          <w:bCs/>
          <w:szCs w:val="20"/>
          <w:highlight w:val="yellow"/>
        </w:rPr>
      </w:pPr>
      <w:bookmarkStart w:id="4" w:name="_Hlk89199177"/>
      <w:r w:rsidRPr="002E31FE">
        <w:rPr>
          <w:szCs w:val="20"/>
        </w:rPr>
        <w:t xml:space="preserve">Table </w:t>
      </w:r>
      <w:bookmarkEnd w:id="2"/>
      <w:r w:rsidR="007379AD" w:rsidRPr="002E31FE">
        <w:rPr>
          <w:szCs w:val="20"/>
        </w:rPr>
        <w:t>1</w:t>
      </w:r>
      <w:r w:rsidRPr="002E31FE">
        <w:rPr>
          <w:szCs w:val="20"/>
        </w:rPr>
        <w:t>: Net cost to PBS (Scenario 1 - base case)</w:t>
      </w:r>
      <w:bookmarkEnd w:id="3"/>
    </w:p>
    <w:tbl>
      <w:tblPr>
        <w:tblW w:w="4248" w:type="dxa"/>
        <w:tblLook w:val="04A0" w:firstRow="1" w:lastRow="0" w:firstColumn="1" w:lastColumn="0" w:noHBand="0" w:noVBand="1"/>
      </w:tblPr>
      <w:tblGrid>
        <w:gridCol w:w="2122"/>
        <w:gridCol w:w="2126"/>
      </w:tblGrid>
      <w:tr w:rsidR="0090167C" w:rsidRPr="007379AD" w14:paraId="74A2E98E" w14:textId="77777777" w:rsidTr="00E55B14">
        <w:trPr>
          <w:trHeight w:val="117"/>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5BC5A53" w14:textId="42C7A463" w:rsidR="0090167C" w:rsidRPr="007379AD" w:rsidRDefault="00C654EF" w:rsidP="00C654EF">
            <w:pPr>
              <w:spacing w:before="40" w:after="40" w:line="240" w:lineRule="auto"/>
              <w:jc w:val="center"/>
              <w:rPr>
                <w:rFonts w:ascii="Arial Narrow" w:eastAsia="Times New Roman" w:hAnsi="Arial Narrow" w:cs="Arial"/>
                <w:b/>
                <w:bCs/>
                <w:color w:val="000000"/>
                <w:sz w:val="20"/>
                <w:szCs w:val="20"/>
                <w:lang w:eastAsia="en-AU"/>
              </w:rPr>
            </w:pPr>
            <w:bookmarkStart w:id="5" w:name="_Hlk89199290"/>
            <w:r w:rsidRPr="007379AD">
              <w:rPr>
                <w:rFonts w:ascii="Arial Narrow" w:eastAsia="Times New Roman" w:hAnsi="Arial Narrow" w:cs="Arial"/>
                <w:b/>
                <w:bCs/>
                <w:color w:val="000000"/>
                <w:sz w:val="20"/>
                <w:szCs w:val="20"/>
                <w:lang w:eastAsia="en-AU"/>
              </w:rPr>
              <w:t>Year</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1A07B32" w14:textId="6CBDF023" w:rsidR="0090167C" w:rsidRPr="007379AD" w:rsidRDefault="00C654EF" w:rsidP="00C654EF">
            <w:pPr>
              <w:spacing w:before="40" w:after="40" w:line="240" w:lineRule="auto"/>
              <w:jc w:val="center"/>
              <w:rPr>
                <w:rFonts w:ascii="Arial Narrow" w:eastAsia="Times New Roman" w:hAnsi="Arial Narrow" w:cs="Arial"/>
                <w:b/>
                <w:bCs/>
                <w:color w:val="000000"/>
                <w:sz w:val="20"/>
                <w:szCs w:val="20"/>
                <w:lang w:eastAsia="en-AU"/>
              </w:rPr>
            </w:pPr>
            <w:r w:rsidRPr="007379AD">
              <w:rPr>
                <w:rFonts w:ascii="Arial Narrow" w:eastAsia="Times New Roman" w:hAnsi="Arial Narrow" w:cs="Arial"/>
                <w:b/>
                <w:bCs/>
                <w:color w:val="000000"/>
                <w:sz w:val="20"/>
                <w:szCs w:val="20"/>
                <w:lang w:eastAsia="en-AU"/>
              </w:rPr>
              <w:t>Cost to PBS</w:t>
            </w:r>
          </w:p>
        </w:tc>
      </w:tr>
      <w:tr w:rsidR="0090167C" w:rsidRPr="007379AD" w14:paraId="08BA6204" w14:textId="77777777" w:rsidTr="00BF5866">
        <w:trPr>
          <w:trHeight w:val="222"/>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14:paraId="28E6D5DD" w14:textId="77777777" w:rsidR="0090167C" w:rsidRPr="007379AD" w:rsidRDefault="0090167C" w:rsidP="00C654EF">
            <w:pPr>
              <w:spacing w:before="40" w:after="40" w:line="240" w:lineRule="auto"/>
              <w:jc w:val="center"/>
              <w:rPr>
                <w:rFonts w:ascii="Arial Narrow" w:eastAsia="Times New Roman" w:hAnsi="Arial Narrow" w:cs="Arial"/>
                <w:color w:val="000000"/>
                <w:sz w:val="20"/>
                <w:szCs w:val="20"/>
                <w:lang w:eastAsia="en-AU"/>
              </w:rPr>
            </w:pPr>
            <w:r w:rsidRPr="007379AD">
              <w:rPr>
                <w:rFonts w:ascii="Arial Narrow" w:eastAsia="Times New Roman" w:hAnsi="Arial Narrow" w:cs="Arial"/>
                <w:color w:val="000000"/>
                <w:sz w:val="20"/>
                <w:szCs w:val="20"/>
                <w:lang w:eastAsia="en-AU"/>
              </w:rPr>
              <w:t>2022</w:t>
            </w:r>
          </w:p>
        </w:tc>
        <w:tc>
          <w:tcPr>
            <w:tcW w:w="2126" w:type="dxa"/>
            <w:tcBorders>
              <w:top w:val="single" w:sz="4" w:space="0" w:color="auto"/>
              <w:left w:val="nil"/>
              <w:bottom w:val="single" w:sz="4" w:space="0" w:color="auto"/>
              <w:right w:val="single" w:sz="4" w:space="0" w:color="auto"/>
            </w:tcBorders>
            <w:shd w:val="clear" w:color="auto" w:fill="auto"/>
            <w:noWrap/>
            <w:hideMark/>
          </w:tcPr>
          <w:p w14:paraId="736BC6E6" w14:textId="349C1B4C" w:rsidR="0090167C" w:rsidRPr="007379AD" w:rsidRDefault="00C654EF" w:rsidP="00C654EF">
            <w:pPr>
              <w:spacing w:before="40" w:after="40" w:line="240" w:lineRule="auto"/>
              <w:jc w:val="center"/>
              <w:rPr>
                <w:rFonts w:ascii="Arial Narrow" w:eastAsia="Times New Roman" w:hAnsi="Arial Narrow" w:cs="Arial"/>
                <w:color w:val="000000"/>
                <w:sz w:val="20"/>
                <w:szCs w:val="20"/>
                <w:lang w:eastAsia="en-AU"/>
              </w:rPr>
            </w:pPr>
            <w:r w:rsidRPr="007379AD">
              <w:rPr>
                <w:rFonts w:ascii="Arial Narrow" w:hAnsi="Arial Narrow" w:cs="Arial"/>
                <w:color w:val="000000"/>
                <w:sz w:val="20"/>
                <w:szCs w:val="20"/>
              </w:rPr>
              <w:t>$</w:t>
            </w:r>
            <w:r w:rsidR="0090167C" w:rsidRPr="007379AD">
              <w:rPr>
                <w:rFonts w:ascii="Arial Narrow" w:hAnsi="Arial Narrow" w:cs="Arial"/>
                <w:color w:val="000000"/>
                <w:sz w:val="20"/>
                <w:szCs w:val="20"/>
              </w:rPr>
              <w:t>108,170,098</w:t>
            </w:r>
          </w:p>
        </w:tc>
      </w:tr>
      <w:tr w:rsidR="0090167C" w:rsidRPr="007379AD" w14:paraId="1B1DBD45" w14:textId="77777777" w:rsidTr="00BF5866">
        <w:trPr>
          <w:trHeight w:val="222"/>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14:paraId="714EDBB0" w14:textId="77777777" w:rsidR="0090167C" w:rsidRPr="007379AD" w:rsidRDefault="0090167C" w:rsidP="00C654EF">
            <w:pPr>
              <w:spacing w:before="40" w:after="40" w:line="240" w:lineRule="auto"/>
              <w:jc w:val="center"/>
              <w:rPr>
                <w:rFonts w:ascii="Arial Narrow" w:eastAsia="Times New Roman" w:hAnsi="Arial Narrow" w:cs="Arial"/>
                <w:color w:val="000000"/>
                <w:sz w:val="20"/>
                <w:szCs w:val="20"/>
                <w:lang w:eastAsia="en-AU"/>
              </w:rPr>
            </w:pPr>
            <w:r w:rsidRPr="007379AD">
              <w:rPr>
                <w:rFonts w:ascii="Arial Narrow" w:eastAsia="Times New Roman" w:hAnsi="Arial Narrow" w:cs="Arial"/>
                <w:color w:val="000000"/>
                <w:sz w:val="20"/>
                <w:szCs w:val="20"/>
                <w:lang w:eastAsia="en-AU"/>
              </w:rPr>
              <w:t>2023</w:t>
            </w:r>
          </w:p>
        </w:tc>
        <w:tc>
          <w:tcPr>
            <w:tcW w:w="2126" w:type="dxa"/>
            <w:tcBorders>
              <w:top w:val="single" w:sz="4" w:space="0" w:color="auto"/>
              <w:left w:val="nil"/>
              <w:bottom w:val="single" w:sz="4" w:space="0" w:color="auto"/>
              <w:right w:val="single" w:sz="4" w:space="0" w:color="auto"/>
            </w:tcBorders>
            <w:shd w:val="clear" w:color="auto" w:fill="auto"/>
            <w:noWrap/>
            <w:hideMark/>
          </w:tcPr>
          <w:p w14:paraId="232D4787" w14:textId="006854E2" w:rsidR="0090167C" w:rsidRPr="007379AD" w:rsidRDefault="00594645" w:rsidP="00C654EF">
            <w:pPr>
              <w:spacing w:before="40" w:after="40" w:line="240" w:lineRule="auto"/>
              <w:jc w:val="center"/>
              <w:rPr>
                <w:rFonts w:ascii="Arial Narrow" w:eastAsia="Times New Roman" w:hAnsi="Arial Narrow" w:cs="Arial"/>
                <w:color w:val="000000"/>
                <w:sz w:val="20"/>
                <w:szCs w:val="20"/>
                <w:lang w:eastAsia="en-AU"/>
              </w:rPr>
            </w:pPr>
            <w:r w:rsidRPr="007379AD">
              <w:rPr>
                <w:rFonts w:ascii="Arial Narrow" w:hAnsi="Arial Narrow" w:cs="Arial"/>
                <w:color w:val="000000"/>
                <w:sz w:val="20"/>
                <w:szCs w:val="20"/>
              </w:rPr>
              <w:t>$</w:t>
            </w:r>
            <w:r w:rsidR="0090167C" w:rsidRPr="007379AD">
              <w:rPr>
                <w:rFonts w:ascii="Arial Narrow" w:hAnsi="Arial Narrow" w:cs="Arial"/>
                <w:color w:val="000000"/>
                <w:sz w:val="20"/>
                <w:szCs w:val="20"/>
              </w:rPr>
              <w:t>130,708,501</w:t>
            </w:r>
          </w:p>
        </w:tc>
      </w:tr>
      <w:tr w:rsidR="0090167C" w:rsidRPr="007379AD" w14:paraId="609CBDF4" w14:textId="77777777" w:rsidTr="00BF5866">
        <w:trPr>
          <w:trHeight w:val="222"/>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14:paraId="5EF2AE85" w14:textId="77777777" w:rsidR="0090167C" w:rsidRPr="007379AD" w:rsidRDefault="0090167C" w:rsidP="00C654EF">
            <w:pPr>
              <w:spacing w:before="40" w:after="40" w:line="240" w:lineRule="auto"/>
              <w:jc w:val="center"/>
              <w:rPr>
                <w:rFonts w:ascii="Arial Narrow" w:eastAsia="Times New Roman" w:hAnsi="Arial Narrow" w:cs="Arial"/>
                <w:color w:val="000000"/>
                <w:sz w:val="20"/>
                <w:szCs w:val="20"/>
                <w:lang w:eastAsia="en-AU"/>
              </w:rPr>
            </w:pPr>
            <w:r w:rsidRPr="007379AD">
              <w:rPr>
                <w:rFonts w:ascii="Arial Narrow" w:eastAsia="Times New Roman" w:hAnsi="Arial Narrow" w:cs="Arial"/>
                <w:color w:val="000000"/>
                <w:sz w:val="20"/>
                <w:szCs w:val="20"/>
                <w:lang w:eastAsia="en-AU"/>
              </w:rPr>
              <w:t>2024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4D7D7275" w14:textId="3D8D0578" w:rsidR="0090167C" w:rsidRPr="007379AD" w:rsidRDefault="00594645" w:rsidP="00C654EF">
            <w:pPr>
              <w:spacing w:before="40" w:after="40" w:line="240" w:lineRule="auto"/>
              <w:jc w:val="center"/>
              <w:rPr>
                <w:rFonts w:ascii="Arial Narrow" w:eastAsia="Times New Roman" w:hAnsi="Arial Narrow" w:cs="Arial"/>
                <w:color w:val="000000"/>
                <w:sz w:val="20"/>
                <w:szCs w:val="20"/>
                <w:lang w:eastAsia="en-AU"/>
              </w:rPr>
            </w:pPr>
            <w:r w:rsidRPr="007379AD">
              <w:rPr>
                <w:rFonts w:ascii="Arial Narrow" w:hAnsi="Arial Narrow" w:cs="Arial"/>
                <w:color w:val="000000"/>
                <w:sz w:val="20"/>
                <w:szCs w:val="20"/>
              </w:rPr>
              <w:t>$</w:t>
            </w:r>
            <w:r w:rsidR="0090167C" w:rsidRPr="007379AD">
              <w:rPr>
                <w:rFonts w:ascii="Arial Narrow" w:hAnsi="Arial Narrow" w:cs="Arial"/>
                <w:color w:val="000000"/>
                <w:sz w:val="20"/>
                <w:szCs w:val="20"/>
              </w:rPr>
              <w:t>153,548,365</w:t>
            </w:r>
          </w:p>
        </w:tc>
      </w:tr>
      <w:tr w:rsidR="0090167C" w:rsidRPr="007379AD" w14:paraId="6CE51946" w14:textId="77777777" w:rsidTr="00BF5866">
        <w:trPr>
          <w:trHeight w:val="367"/>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14:paraId="78303678" w14:textId="77777777" w:rsidR="0090167C" w:rsidRPr="007379AD" w:rsidRDefault="0090167C" w:rsidP="00C654EF">
            <w:pPr>
              <w:spacing w:before="40" w:after="40" w:line="240" w:lineRule="auto"/>
              <w:jc w:val="center"/>
              <w:rPr>
                <w:rFonts w:ascii="Arial Narrow" w:eastAsia="Times New Roman" w:hAnsi="Arial Narrow" w:cs="Arial"/>
                <w:color w:val="000000"/>
                <w:sz w:val="20"/>
                <w:szCs w:val="20"/>
                <w:lang w:eastAsia="en-AU"/>
              </w:rPr>
            </w:pPr>
            <w:r w:rsidRPr="007379AD">
              <w:rPr>
                <w:rFonts w:ascii="Arial Narrow" w:eastAsia="Times New Roman" w:hAnsi="Arial Narrow" w:cs="Arial"/>
                <w:color w:val="000000"/>
                <w:sz w:val="20"/>
                <w:szCs w:val="20"/>
                <w:lang w:eastAsia="en-AU"/>
              </w:rPr>
              <w:t>2025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51FCDE33" w14:textId="66179C3E" w:rsidR="0090167C" w:rsidRPr="007379AD" w:rsidRDefault="00594645" w:rsidP="00C654EF">
            <w:pPr>
              <w:spacing w:before="40" w:after="40" w:line="240" w:lineRule="auto"/>
              <w:jc w:val="center"/>
              <w:rPr>
                <w:rFonts w:ascii="Arial Narrow" w:eastAsia="Times New Roman" w:hAnsi="Arial Narrow" w:cs="Arial"/>
                <w:color w:val="000000"/>
                <w:sz w:val="20"/>
                <w:szCs w:val="20"/>
                <w:lang w:eastAsia="en-AU"/>
              </w:rPr>
            </w:pPr>
            <w:r w:rsidRPr="007379AD">
              <w:rPr>
                <w:rFonts w:ascii="Arial Narrow" w:hAnsi="Arial Narrow" w:cs="Arial"/>
                <w:color w:val="000000"/>
                <w:sz w:val="20"/>
                <w:szCs w:val="20"/>
              </w:rPr>
              <w:t>$</w:t>
            </w:r>
            <w:r w:rsidR="0090167C" w:rsidRPr="007379AD">
              <w:rPr>
                <w:rFonts w:ascii="Arial Narrow" w:hAnsi="Arial Narrow" w:cs="Arial"/>
                <w:color w:val="000000"/>
                <w:sz w:val="20"/>
                <w:szCs w:val="20"/>
              </w:rPr>
              <w:t>176,689,690</w:t>
            </w:r>
          </w:p>
        </w:tc>
      </w:tr>
      <w:tr w:rsidR="0090167C" w:rsidRPr="007379AD" w14:paraId="2DDB6D2D" w14:textId="77777777" w:rsidTr="00BF5866">
        <w:trPr>
          <w:trHeight w:val="230"/>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14:paraId="2C078EF6" w14:textId="77777777" w:rsidR="0090167C" w:rsidRPr="007379AD" w:rsidRDefault="0090167C" w:rsidP="00C654EF">
            <w:pPr>
              <w:spacing w:before="40" w:after="40" w:line="240" w:lineRule="auto"/>
              <w:jc w:val="center"/>
              <w:rPr>
                <w:rFonts w:ascii="Arial Narrow" w:eastAsia="Times New Roman" w:hAnsi="Arial Narrow" w:cs="Arial"/>
                <w:color w:val="000000"/>
                <w:sz w:val="20"/>
                <w:szCs w:val="20"/>
                <w:lang w:eastAsia="en-AU"/>
              </w:rPr>
            </w:pPr>
            <w:r w:rsidRPr="007379AD">
              <w:rPr>
                <w:rFonts w:ascii="Arial Narrow" w:eastAsia="Times New Roman" w:hAnsi="Arial Narrow" w:cs="Arial"/>
                <w:color w:val="000000"/>
                <w:sz w:val="20"/>
                <w:szCs w:val="20"/>
                <w:lang w:eastAsia="en-AU"/>
              </w:rPr>
              <w:t>2026</w:t>
            </w:r>
          </w:p>
        </w:tc>
        <w:tc>
          <w:tcPr>
            <w:tcW w:w="2126" w:type="dxa"/>
            <w:tcBorders>
              <w:top w:val="single" w:sz="4" w:space="0" w:color="auto"/>
              <w:left w:val="nil"/>
              <w:bottom w:val="single" w:sz="4" w:space="0" w:color="auto"/>
              <w:right w:val="single" w:sz="4" w:space="0" w:color="auto"/>
            </w:tcBorders>
            <w:shd w:val="clear" w:color="auto" w:fill="auto"/>
            <w:noWrap/>
            <w:hideMark/>
          </w:tcPr>
          <w:p w14:paraId="35919A5B" w14:textId="32D1E1F9" w:rsidR="0090167C" w:rsidRPr="007379AD" w:rsidRDefault="00594645" w:rsidP="00C654EF">
            <w:pPr>
              <w:spacing w:before="40" w:after="40" w:line="240" w:lineRule="auto"/>
              <w:jc w:val="center"/>
              <w:rPr>
                <w:rFonts w:ascii="Arial Narrow" w:eastAsia="Times New Roman" w:hAnsi="Arial Narrow" w:cs="Arial"/>
                <w:color w:val="000000"/>
                <w:sz w:val="20"/>
                <w:szCs w:val="20"/>
                <w:lang w:eastAsia="en-AU"/>
              </w:rPr>
            </w:pPr>
            <w:r w:rsidRPr="007379AD">
              <w:rPr>
                <w:rFonts w:ascii="Arial Narrow" w:hAnsi="Arial Narrow" w:cs="Arial"/>
                <w:color w:val="000000"/>
                <w:sz w:val="20"/>
                <w:szCs w:val="20"/>
              </w:rPr>
              <w:t>$</w:t>
            </w:r>
            <w:r w:rsidR="0090167C" w:rsidRPr="007379AD">
              <w:rPr>
                <w:rFonts w:ascii="Arial Narrow" w:hAnsi="Arial Narrow" w:cs="Arial"/>
                <w:color w:val="000000"/>
                <w:sz w:val="20"/>
                <w:szCs w:val="20"/>
              </w:rPr>
              <w:t>200,132,476</w:t>
            </w:r>
          </w:p>
        </w:tc>
      </w:tr>
      <w:tr w:rsidR="0090167C" w:rsidRPr="007379AD" w14:paraId="2BB969FC" w14:textId="77777777" w:rsidTr="00BF5866">
        <w:trPr>
          <w:trHeight w:val="230"/>
        </w:trPr>
        <w:tc>
          <w:tcPr>
            <w:tcW w:w="2122" w:type="dxa"/>
            <w:tcBorders>
              <w:top w:val="single" w:sz="4" w:space="0" w:color="auto"/>
              <w:left w:val="single" w:sz="4" w:space="0" w:color="auto"/>
              <w:bottom w:val="single" w:sz="4" w:space="0" w:color="auto"/>
              <w:right w:val="single" w:sz="4" w:space="0" w:color="auto"/>
            </w:tcBorders>
            <w:shd w:val="clear" w:color="auto" w:fill="auto"/>
            <w:noWrap/>
          </w:tcPr>
          <w:p w14:paraId="3B05315E" w14:textId="10518031" w:rsidR="0090167C" w:rsidRPr="007379AD" w:rsidRDefault="0090167C" w:rsidP="00C654EF">
            <w:pPr>
              <w:spacing w:before="40" w:after="40" w:line="240" w:lineRule="auto"/>
              <w:jc w:val="center"/>
              <w:rPr>
                <w:rFonts w:ascii="Arial Narrow" w:eastAsia="Times New Roman" w:hAnsi="Arial Narrow" w:cs="Arial"/>
                <w:b/>
                <w:bCs/>
                <w:color w:val="000000"/>
                <w:sz w:val="20"/>
                <w:szCs w:val="20"/>
                <w:lang w:eastAsia="en-AU"/>
              </w:rPr>
            </w:pPr>
            <w:r w:rsidRPr="007379AD">
              <w:rPr>
                <w:rFonts w:ascii="Arial Narrow" w:eastAsia="Times New Roman" w:hAnsi="Arial Narrow" w:cs="Arial"/>
                <w:b/>
                <w:bCs/>
                <w:color w:val="000000"/>
                <w:sz w:val="20"/>
                <w:szCs w:val="20"/>
                <w:lang w:eastAsia="en-AU"/>
              </w:rPr>
              <w:t>Total</w:t>
            </w:r>
          </w:p>
        </w:tc>
        <w:tc>
          <w:tcPr>
            <w:tcW w:w="2126" w:type="dxa"/>
            <w:tcBorders>
              <w:top w:val="single" w:sz="4" w:space="0" w:color="auto"/>
              <w:left w:val="nil"/>
              <w:bottom w:val="single" w:sz="4" w:space="0" w:color="auto"/>
              <w:right w:val="single" w:sz="4" w:space="0" w:color="auto"/>
            </w:tcBorders>
            <w:shd w:val="clear" w:color="auto" w:fill="auto"/>
            <w:noWrap/>
          </w:tcPr>
          <w:p w14:paraId="5143A90E" w14:textId="38D6D311" w:rsidR="0090167C" w:rsidRPr="007379AD" w:rsidRDefault="00594645" w:rsidP="00C654EF">
            <w:pPr>
              <w:spacing w:before="40" w:after="40" w:line="240" w:lineRule="auto"/>
              <w:jc w:val="center"/>
              <w:rPr>
                <w:rFonts w:ascii="Arial Narrow" w:hAnsi="Arial Narrow" w:cs="Arial"/>
                <w:color w:val="000000"/>
                <w:sz w:val="20"/>
                <w:szCs w:val="20"/>
              </w:rPr>
            </w:pPr>
            <w:r w:rsidRPr="007379AD">
              <w:rPr>
                <w:rFonts w:ascii="Arial Narrow" w:hAnsi="Arial Narrow" w:cs="Arial"/>
                <w:b/>
                <w:bCs/>
                <w:color w:val="000000"/>
                <w:sz w:val="20"/>
                <w:szCs w:val="20"/>
              </w:rPr>
              <w:t>$</w:t>
            </w:r>
            <w:r w:rsidR="00C654EF" w:rsidRPr="007379AD">
              <w:rPr>
                <w:rFonts w:ascii="Arial Narrow" w:hAnsi="Arial Narrow" w:cs="Arial"/>
                <w:b/>
                <w:bCs/>
                <w:color w:val="000000"/>
                <w:sz w:val="20"/>
                <w:szCs w:val="20"/>
              </w:rPr>
              <w:t>769,249,128</w:t>
            </w:r>
          </w:p>
        </w:tc>
      </w:tr>
    </w:tbl>
    <w:bookmarkEnd w:id="4"/>
    <w:bookmarkEnd w:id="5"/>
    <w:p w14:paraId="46FC7927" w14:textId="412D77A0" w:rsidR="00BE6952" w:rsidRPr="002E31FE" w:rsidRDefault="00BE6952" w:rsidP="00BE6952">
      <w:pPr>
        <w:pStyle w:val="3Bodytext"/>
        <w:numPr>
          <w:ilvl w:val="0"/>
          <w:numId w:val="0"/>
        </w:numPr>
        <w:ind w:left="720" w:hanging="720"/>
        <w:rPr>
          <w:rFonts w:ascii="Arial Narrow" w:hAnsi="Arial Narrow" w:cs="Arial"/>
          <w:sz w:val="20"/>
          <w:szCs w:val="20"/>
        </w:rPr>
      </w:pPr>
      <w:r w:rsidRPr="002E31FE">
        <w:rPr>
          <w:rFonts w:ascii="Arial Narrow" w:hAnsi="Arial Narrow" w:cs="Arial"/>
          <w:sz w:val="20"/>
          <w:szCs w:val="20"/>
        </w:rPr>
        <w:t>Source: Table 4.13, SGLT2</w:t>
      </w:r>
      <w:r w:rsidR="00B12B2D" w:rsidRPr="002E31FE">
        <w:rPr>
          <w:rFonts w:ascii="Arial Narrow" w:hAnsi="Arial Narrow" w:cs="Arial"/>
          <w:sz w:val="20"/>
          <w:szCs w:val="20"/>
        </w:rPr>
        <w:t xml:space="preserve"> inhibitor report</w:t>
      </w:r>
      <w:r w:rsidR="007379AD" w:rsidRPr="002E31FE">
        <w:rPr>
          <w:rFonts w:ascii="Arial Narrow" w:hAnsi="Arial Narrow" w:cs="Arial"/>
          <w:sz w:val="20"/>
          <w:szCs w:val="20"/>
        </w:rPr>
        <w:t>.</w:t>
      </w:r>
    </w:p>
    <w:p w14:paraId="5EC0B70A" w14:textId="144B348B" w:rsidR="00BE6952" w:rsidRDefault="00BE6952" w:rsidP="00BE6952">
      <w:pPr>
        <w:pStyle w:val="3Bodytext"/>
      </w:pPr>
      <w:r>
        <w:t xml:space="preserve">Two other scenarios which assumed either higher (Scenario 2) or lower (Scenario 3) uptake rates are presented in </w:t>
      </w:r>
      <w:r w:rsidR="00B12B2D">
        <w:t xml:space="preserve">the SGLT2 inhibitor report </w:t>
      </w:r>
      <w:r>
        <w:t xml:space="preserve">and had a large impact on the estimated cost to the PBS. </w:t>
      </w:r>
    </w:p>
    <w:p w14:paraId="49BEAC0C" w14:textId="61D9E9A1" w:rsidR="00BE6952" w:rsidRDefault="00B12B2D" w:rsidP="00BE6952">
      <w:pPr>
        <w:pStyle w:val="3Bodytext"/>
      </w:pPr>
      <w:r>
        <w:t xml:space="preserve">Estimates of the </w:t>
      </w:r>
      <w:r w:rsidR="00BE6952">
        <w:t>eligible population</w:t>
      </w:r>
      <w:r w:rsidR="007752B9">
        <w:t>,</w:t>
      </w:r>
      <w:r w:rsidR="00BE6952">
        <w:t xml:space="preserve"> </w:t>
      </w:r>
      <w:r>
        <w:t>that is,</w:t>
      </w:r>
      <w:r w:rsidR="00BE6952">
        <w:t xml:space="preserve"> those who initiate an SGLT2</w:t>
      </w:r>
      <w:r>
        <w:t xml:space="preserve"> inhibitor</w:t>
      </w:r>
      <w:r w:rsidR="00BE6952">
        <w:t xml:space="preserve"> earlier in the treatment algorithm, </w:t>
      </w:r>
      <w:r w:rsidR="007752B9">
        <w:t>w</w:t>
      </w:r>
      <w:r>
        <w:t>ere</w:t>
      </w:r>
      <w:r w:rsidR="00BE6952">
        <w:t xml:space="preserve"> based on the PBS population currently receiving metformin </w:t>
      </w:r>
      <w:r>
        <w:t xml:space="preserve">monotherapy </w:t>
      </w:r>
      <w:r w:rsidR="00BE6952">
        <w:t xml:space="preserve">or dual therapy </w:t>
      </w:r>
      <w:r>
        <w:t xml:space="preserve">with </w:t>
      </w:r>
      <w:r w:rsidR="00BE6952">
        <w:t xml:space="preserve">metformin </w:t>
      </w:r>
      <w:r>
        <w:t>and a</w:t>
      </w:r>
      <w:r w:rsidR="00BE6952">
        <w:t xml:space="preserve"> SU. The proportion of this population who have either CVD or two or more CV risk factors is unknown. The </w:t>
      </w:r>
      <w:r>
        <w:t>SGLT2 inhibitor report</w:t>
      </w:r>
      <w:r w:rsidR="00BE6952">
        <w:t xml:space="preserve"> assume</w:t>
      </w:r>
      <w:r w:rsidR="007752B9">
        <w:t>d</w:t>
      </w:r>
      <w:r w:rsidR="00BE6952">
        <w:t xml:space="preserve"> that the total </w:t>
      </w:r>
      <w:r w:rsidR="00594645">
        <w:t xml:space="preserve">metformin monotherapy or dual therapy metformin + SU </w:t>
      </w:r>
      <w:r w:rsidR="00BE6952">
        <w:t>population may be eligible and provide</w:t>
      </w:r>
      <w:r w:rsidR="007752B9">
        <w:t>d</w:t>
      </w:r>
      <w:r w:rsidR="00BE6952">
        <w:t xml:space="preserve"> three uptake scenarios to show the impact of this assumption on the net cost to </w:t>
      </w:r>
      <w:r>
        <w:t xml:space="preserve">the </w:t>
      </w:r>
      <w:r w:rsidR="00BE6952">
        <w:t xml:space="preserve">PBS.  </w:t>
      </w:r>
    </w:p>
    <w:p w14:paraId="32DB1A08" w14:textId="31BB9506" w:rsidR="00BE6952" w:rsidRDefault="00BE6952" w:rsidP="00BE6952">
      <w:pPr>
        <w:pStyle w:val="3Bodytext"/>
      </w:pPr>
      <w:r>
        <w:t xml:space="preserve">The eligible population </w:t>
      </w:r>
      <w:r w:rsidR="001C5E4C">
        <w:t>will</w:t>
      </w:r>
      <w:r w:rsidR="007752B9">
        <w:t xml:space="preserve"> be larger</w:t>
      </w:r>
      <w:r>
        <w:t xml:space="preserve"> </w:t>
      </w:r>
      <w:r w:rsidR="007752B9">
        <w:t xml:space="preserve">if </w:t>
      </w:r>
      <w:r>
        <w:t>the PBAC recommends earlier access to</w:t>
      </w:r>
      <w:r w:rsidR="007752B9">
        <w:t xml:space="preserve"> SGLT2 inhibitors for</w:t>
      </w:r>
      <w:r>
        <w:t xml:space="preserve"> patients currently treated with SU monotherapy and insulin monotherapy.   </w:t>
      </w:r>
    </w:p>
    <w:p w14:paraId="0A9C7EE9" w14:textId="1D9FBA92" w:rsidR="00B92DAE" w:rsidRDefault="003E00FC" w:rsidP="00F95EE6">
      <w:pPr>
        <w:pStyle w:val="2Sections"/>
        <w:keepNext/>
        <w:keepLines/>
      </w:pPr>
      <w:r>
        <w:lastRenderedPageBreak/>
        <w:t>Requested advice and p</w:t>
      </w:r>
      <w:r w:rsidR="00B92DAE">
        <w:t>roposed PBS restrictions</w:t>
      </w:r>
    </w:p>
    <w:p w14:paraId="454B6DD9" w14:textId="4B35A480" w:rsidR="001C5E4C" w:rsidRPr="00531103" w:rsidRDefault="003E00FC" w:rsidP="00F95EE6">
      <w:pPr>
        <w:pStyle w:val="3Bodytext"/>
        <w:keepNext/>
        <w:keepLines/>
      </w:pPr>
      <w:r w:rsidRPr="003E00FC">
        <w:t xml:space="preserve">The PBAC was asked to consider </w:t>
      </w:r>
      <w:r>
        <w:t xml:space="preserve">whether PBS restrictions for SGLT2 inhibitor medicines should be expanded </w:t>
      </w:r>
      <w:r w:rsidR="00531103" w:rsidRPr="00531103">
        <w:t xml:space="preserve">to </w:t>
      </w:r>
      <w:r w:rsidR="001C5E4C" w:rsidRPr="001C5E4C">
        <w:t>allow earlier subsidised access to SGLT2 inhibitors as add-on therapy to metformin in T2DM patients with established or at high risk of CVD, without the requirement to have a specific unmet glycaemic target.</w:t>
      </w:r>
    </w:p>
    <w:p w14:paraId="1E56CE4D" w14:textId="695FC9C7" w:rsidR="003E00FC" w:rsidRPr="003E00FC" w:rsidRDefault="003E00FC" w:rsidP="003E00FC">
      <w:pPr>
        <w:pStyle w:val="3Bodytext"/>
      </w:pPr>
      <w:r>
        <w:t xml:space="preserve">Three options for </w:t>
      </w:r>
      <w:r w:rsidRPr="00594645">
        <w:t>proposed restriction wording were presented for the PBAC’s consideration, and advice on the inclusion of various SGLT2 inhibitor therapy combinations was sought</w:t>
      </w:r>
      <w:r>
        <w:t>.</w:t>
      </w:r>
    </w:p>
    <w:p w14:paraId="3D3FA809" w14:textId="514A62C1" w:rsidR="00FF2962" w:rsidRPr="00FF2962" w:rsidRDefault="00FF2962" w:rsidP="004066C3">
      <w:pPr>
        <w:pStyle w:val="Heading2"/>
      </w:pPr>
      <w:r w:rsidRPr="00FF2962">
        <w:t>Restriction Option 1</w:t>
      </w:r>
    </w:p>
    <w:p w14:paraId="6734C43F" w14:textId="25CF80F8" w:rsidR="00FF2962" w:rsidRPr="00FF2962" w:rsidRDefault="00FF2962" w:rsidP="00FF2962">
      <w:pPr>
        <w:pStyle w:val="3Bodytext"/>
      </w:pPr>
      <w:r>
        <w:t>P</w:t>
      </w:r>
      <w:r w:rsidRPr="00FF2962">
        <w:t xml:space="preserve">roposed restriction changes for </w:t>
      </w:r>
      <w:r w:rsidRPr="00594645">
        <w:t>Option 1:</w:t>
      </w:r>
    </w:p>
    <w:p w14:paraId="6E598205" w14:textId="77777777" w:rsidR="00FF2962" w:rsidRPr="0059625A" w:rsidRDefault="00FF2962" w:rsidP="00E55B14">
      <w:pPr>
        <w:spacing w:before="120" w:after="120"/>
        <w:jc w:val="both"/>
        <w:rPr>
          <w:rFonts w:asciiTheme="minorHAnsi" w:hAnsiTheme="minorHAnsi" w:cstheme="minorBidi"/>
          <w:szCs w:val="22"/>
          <w:u w:val="single"/>
        </w:rPr>
      </w:pPr>
      <w:r w:rsidRPr="0059625A">
        <w:rPr>
          <w:rFonts w:asciiTheme="minorHAnsi" w:hAnsiTheme="minorHAnsi" w:cstheme="minorBidi"/>
          <w:szCs w:val="22"/>
          <w:u w:val="single"/>
        </w:rPr>
        <w:t>Clinical Criteria</w:t>
      </w:r>
    </w:p>
    <w:p w14:paraId="7ADDF18C" w14:textId="77777777" w:rsidR="00FF2962" w:rsidRPr="0059625A" w:rsidRDefault="00FF2962" w:rsidP="00E55B14">
      <w:pPr>
        <w:numPr>
          <w:ilvl w:val="0"/>
          <w:numId w:val="5"/>
        </w:numPr>
        <w:ind w:left="924" w:hanging="357"/>
        <w:contextualSpacing/>
        <w:jc w:val="both"/>
        <w:rPr>
          <w:rFonts w:ascii="Calibri" w:eastAsia="Calibri" w:hAnsi="Calibri" w:cs="Calibri"/>
          <w:szCs w:val="22"/>
        </w:rPr>
      </w:pPr>
      <w:r w:rsidRPr="0059625A">
        <w:rPr>
          <w:rFonts w:ascii="Calibri" w:eastAsia="Calibri" w:hAnsi="Calibri" w:cs="Calibri"/>
          <w:szCs w:val="22"/>
        </w:rPr>
        <w:t>Criterion: Patient must have cardiovascular disease (CVD); OR</w:t>
      </w:r>
    </w:p>
    <w:p w14:paraId="2F889241" w14:textId="77777777" w:rsidR="00FF2962" w:rsidRPr="0059625A" w:rsidRDefault="00FF2962" w:rsidP="00E55B14">
      <w:pPr>
        <w:numPr>
          <w:ilvl w:val="0"/>
          <w:numId w:val="5"/>
        </w:numPr>
        <w:ind w:left="924" w:hanging="357"/>
        <w:contextualSpacing/>
        <w:jc w:val="both"/>
        <w:rPr>
          <w:rFonts w:ascii="Calibri" w:eastAsia="Calibri" w:hAnsi="Calibri" w:cs="Calibri"/>
          <w:szCs w:val="22"/>
        </w:rPr>
      </w:pPr>
      <w:r w:rsidRPr="0059625A">
        <w:rPr>
          <w:rFonts w:ascii="Calibri" w:eastAsia="Calibri" w:hAnsi="Calibri" w:cs="Calibri"/>
          <w:szCs w:val="22"/>
        </w:rPr>
        <w:t>Criterion: Patient must have at least two cardiovascular risk factors in addition to diabetes mellitus type 2; OR</w:t>
      </w:r>
    </w:p>
    <w:p w14:paraId="255F8DF9" w14:textId="70D1B395" w:rsidR="00FF2962" w:rsidRPr="0059625A" w:rsidRDefault="00FF2962" w:rsidP="00E55B14">
      <w:pPr>
        <w:numPr>
          <w:ilvl w:val="0"/>
          <w:numId w:val="5"/>
        </w:numPr>
        <w:ind w:left="924" w:hanging="357"/>
        <w:contextualSpacing/>
        <w:jc w:val="both"/>
        <w:rPr>
          <w:rFonts w:ascii="Calibri" w:eastAsia="Calibri" w:hAnsi="Calibri" w:cs="Calibri"/>
          <w:szCs w:val="22"/>
        </w:rPr>
      </w:pPr>
      <w:r w:rsidRPr="0059625A">
        <w:rPr>
          <w:rFonts w:ascii="Calibri" w:eastAsia="Calibri" w:hAnsi="Calibri" w:cs="Calibri"/>
          <w:szCs w:val="22"/>
        </w:rPr>
        <w:t>Criterion: Patient must have kidney disease</w:t>
      </w:r>
    </w:p>
    <w:p w14:paraId="5DD65270" w14:textId="77777777" w:rsidR="00FF2962" w:rsidRPr="0059625A" w:rsidRDefault="00FF2962" w:rsidP="00E55B14">
      <w:pPr>
        <w:contextualSpacing/>
        <w:rPr>
          <w:rFonts w:ascii="Calibri" w:eastAsia="Calibri" w:hAnsi="Calibri" w:cs="Calibri"/>
          <w:szCs w:val="22"/>
          <w:u w:val="single"/>
        </w:rPr>
      </w:pPr>
      <w:r w:rsidRPr="0059625A">
        <w:rPr>
          <w:rFonts w:ascii="Calibri" w:eastAsia="Calibri" w:hAnsi="Calibri" w:cs="Calibri"/>
          <w:szCs w:val="22"/>
          <w:u w:val="single"/>
        </w:rPr>
        <w:t>Prescriber instructions</w:t>
      </w:r>
      <w:r w:rsidRPr="0059625A">
        <w:rPr>
          <w:rFonts w:ascii="Calibri Light" w:hAnsi="Calibri Light"/>
          <w:color w:val="2F5496"/>
          <w:u w:val="single"/>
        </w:rPr>
        <w:t xml:space="preserve"> </w:t>
      </w:r>
    </w:p>
    <w:p w14:paraId="02256962" w14:textId="77777777" w:rsidR="00FF2962" w:rsidRPr="0059625A" w:rsidRDefault="00FF2962" w:rsidP="00E55B14">
      <w:pPr>
        <w:numPr>
          <w:ilvl w:val="0"/>
          <w:numId w:val="6"/>
        </w:numPr>
        <w:ind w:left="924" w:hanging="357"/>
        <w:contextualSpacing/>
        <w:jc w:val="both"/>
        <w:rPr>
          <w:rFonts w:ascii="Calibri" w:eastAsia="Calibri" w:hAnsi="Calibri" w:cs="Calibri"/>
          <w:szCs w:val="22"/>
        </w:rPr>
      </w:pPr>
      <w:r w:rsidRPr="0059625A">
        <w:rPr>
          <w:rFonts w:ascii="Calibri" w:eastAsia="Calibri" w:hAnsi="Calibri" w:cs="Calibri"/>
          <w:szCs w:val="22"/>
        </w:rPr>
        <w:t>Multiple CV risk factors are defined as men 55 years of age and older or women 60 years of age or older with T2DM with one or more traditional risk factors (including hypertension, dyslipidaemia, or smoking). People with kidney disease include those with an eGFR of 30mL/min/173m2 of body-surface area.</w:t>
      </w:r>
    </w:p>
    <w:p w14:paraId="2A820E77" w14:textId="6AB132BC" w:rsidR="00FF2962" w:rsidRPr="0059625A" w:rsidRDefault="00FF2962" w:rsidP="004066C3">
      <w:pPr>
        <w:pStyle w:val="Heading2"/>
      </w:pPr>
      <w:r>
        <w:t>Restriction Option 2</w:t>
      </w:r>
      <w:r>
        <w:rPr>
          <w:i/>
          <w:iCs/>
        </w:rPr>
        <w:t xml:space="preserve">  </w:t>
      </w:r>
    </w:p>
    <w:p w14:paraId="77BA7F42" w14:textId="4EEC4F51" w:rsidR="00FF2962" w:rsidRPr="00594645" w:rsidRDefault="00FF2962" w:rsidP="00FF2962">
      <w:pPr>
        <w:pStyle w:val="3Bodytext"/>
      </w:pPr>
      <w:r>
        <w:t>Proposed</w:t>
      </w:r>
      <w:r w:rsidRPr="00FF2962">
        <w:t xml:space="preserve"> restriction changes for </w:t>
      </w:r>
      <w:r w:rsidRPr="00594645">
        <w:t>Option 2:</w:t>
      </w:r>
    </w:p>
    <w:p w14:paraId="58FB5CB6" w14:textId="77777777" w:rsidR="00FF2962" w:rsidRPr="0059625A" w:rsidRDefault="00FF2962" w:rsidP="00E55B14">
      <w:pPr>
        <w:contextualSpacing/>
        <w:jc w:val="both"/>
        <w:rPr>
          <w:rFonts w:asciiTheme="minorHAnsi" w:hAnsiTheme="minorHAnsi" w:cstheme="minorBidi"/>
          <w:szCs w:val="22"/>
        </w:rPr>
      </w:pPr>
      <w:r w:rsidRPr="0059625A">
        <w:rPr>
          <w:rFonts w:asciiTheme="minorHAnsi" w:hAnsiTheme="minorHAnsi" w:cs="Arial"/>
          <w:snapToGrid w:val="0"/>
          <w:u w:val="single"/>
        </w:rPr>
        <w:t>Clinical Criteria</w:t>
      </w:r>
    </w:p>
    <w:p w14:paraId="3E209459" w14:textId="77777777" w:rsidR="00FF2962" w:rsidRPr="0059625A" w:rsidRDefault="00FF2962" w:rsidP="00E55B14">
      <w:pPr>
        <w:numPr>
          <w:ilvl w:val="0"/>
          <w:numId w:val="5"/>
        </w:numPr>
        <w:ind w:left="924" w:hanging="357"/>
        <w:contextualSpacing/>
        <w:jc w:val="both"/>
        <w:rPr>
          <w:rFonts w:ascii="Calibri" w:eastAsia="Calibri" w:hAnsi="Calibri" w:cs="Calibri"/>
          <w:szCs w:val="22"/>
        </w:rPr>
      </w:pPr>
      <w:r w:rsidRPr="0059625A">
        <w:rPr>
          <w:rFonts w:ascii="Calibri" w:eastAsia="Calibri" w:hAnsi="Calibri" w:cs="Calibri"/>
          <w:szCs w:val="22"/>
        </w:rPr>
        <w:t>Criterion: Patient must have established cardiovascular disease (CVD); OR</w:t>
      </w:r>
    </w:p>
    <w:p w14:paraId="02E7F932" w14:textId="77777777" w:rsidR="00FF2962" w:rsidRPr="0059625A" w:rsidRDefault="00FF2962" w:rsidP="00E55B14">
      <w:pPr>
        <w:numPr>
          <w:ilvl w:val="0"/>
          <w:numId w:val="7"/>
        </w:numPr>
        <w:ind w:left="924" w:hanging="357"/>
        <w:contextualSpacing/>
        <w:jc w:val="both"/>
        <w:rPr>
          <w:rFonts w:ascii="Calibri" w:eastAsia="Calibri" w:hAnsi="Calibri" w:cs="Calibri"/>
          <w:szCs w:val="22"/>
        </w:rPr>
      </w:pPr>
      <w:r w:rsidRPr="0059625A">
        <w:rPr>
          <w:rFonts w:ascii="Calibri" w:eastAsia="Calibri" w:hAnsi="Calibri" w:cs="Calibri"/>
          <w:szCs w:val="22"/>
        </w:rPr>
        <w:t xml:space="preserve">Criterion: </w:t>
      </w:r>
      <w:bookmarkStart w:id="6" w:name="_Hlk80602635"/>
      <w:r w:rsidRPr="0059625A">
        <w:rPr>
          <w:rFonts w:ascii="Calibri" w:eastAsia="Calibri" w:hAnsi="Calibri" w:cs="Calibri"/>
          <w:szCs w:val="22"/>
        </w:rPr>
        <w:t>Patient must have a level of absolute risk of a cardiovascular event greater than 15% over 5 years as calculated using the Australian Absolute Cardiovascular Disease Risk Calculator (National Vascular Disease Prevention Alliance).</w:t>
      </w:r>
      <w:bookmarkEnd w:id="6"/>
    </w:p>
    <w:p w14:paraId="184FA4FE" w14:textId="77777777" w:rsidR="00FF2962" w:rsidRPr="0059625A" w:rsidRDefault="00FF2962" w:rsidP="00E55B14">
      <w:pPr>
        <w:contextualSpacing/>
        <w:rPr>
          <w:rFonts w:ascii="Calibri" w:eastAsia="Calibri" w:hAnsi="Calibri" w:cs="Calibri"/>
          <w:szCs w:val="22"/>
          <w:u w:val="single"/>
        </w:rPr>
      </w:pPr>
      <w:r w:rsidRPr="0059625A">
        <w:rPr>
          <w:rFonts w:ascii="Calibri" w:eastAsia="Calibri" w:hAnsi="Calibri" w:cs="Calibri"/>
          <w:szCs w:val="22"/>
          <w:u w:val="single"/>
        </w:rPr>
        <w:t>Administrative advice</w:t>
      </w:r>
    </w:p>
    <w:p w14:paraId="42797619" w14:textId="77777777" w:rsidR="00FF2962" w:rsidRPr="0059625A" w:rsidRDefault="00FF2962" w:rsidP="00E55B14">
      <w:pPr>
        <w:numPr>
          <w:ilvl w:val="0"/>
          <w:numId w:val="8"/>
        </w:numPr>
        <w:ind w:left="924" w:hanging="357"/>
        <w:contextualSpacing/>
        <w:jc w:val="both"/>
        <w:rPr>
          <w:rFonts w:ascii="Calibri" w:eastAsia="Calibri" w:hAnsi="Calibri" w:cs="Calibri"/>
          <w:szCs w:val="22"/>
        </w:rPr>
      </w:pPr>
      <w:bookmarkStart w:id="7" w:name="_Hlk80601889"/>
      <w:r w:rsidRPr="0059625A">
        <w:rPr>
          <w:rFonts w:ascii="Calibri" w:eastAsia="Calibri" w:hAnsi="Calibri" w:cs="Calibri"/>
          <w:szCs w:val="22"/>
        </w:rPr>
        <w:t xml:space="preserve">The Australian Absolute Cardiovascular Disease Risk Calculator is available at </w:t>
      </w:r>
      <w:hyperlink r:id="rId8" w:history="1">
        <w:r w:rsidRPr="0059625A">
          <w:rPr>
            <w:rFonts w:ascii="Calibri" w:eastAsia="Calibri" w:hAnsi="Calibri" w:cs="Calibri"/>
            <w:color w:val="0000FF"/>
            <w:szCs w:val="22"/>
            <w:u w:val="single"/>
          </w:rPr>
          <w:t>www.cvdcheck.org.au</w:t>
        </w:r>
      </w:hyperlink>
      <w:r w:rsidRPr="0059625A">
        <w:rPr>
          <w:rFonts w:ascii="Calibri" w:eastAsia="Calibri" w:hAnsi="Calibri" w:cs="Calibri"/>
          <w:szCs w:val="22"/>
        </w:rPr>
        <w:t xml:space="preserve"> </w:t>
      </w:r>
      <w:bookmarkEnd w:id="7"/>
    </w:p>
    <w:p w14:paraId="4DFB30A4" w14:textId="4C3C27BE" w:rsidR="00FF2962" w:rsidRPr="006C7020" w:rsidRDefault="00FF2962" w:rsidP="004066C3">
      <w:pPr>
        <w:pStyle w:val="Heading2"/>
      </w:pPr>
      <w:r>
        <w:t>Restriction Option 3</w:t>
      </w:r>
    </w:p>
    <w:p w14:paraId="0168A99C" w14:textId="423901AE" w:rsidR="00FF2962" w:rsidRPr="00FF2962" w:rsidRDefault="00FF2962" w:rsidP="00FF2962">
      <w:pPr>
        <w:pStyle w:val="3Bodytext"/>
      </w:pPr>
      <w:r>
        <w:t>P</w:t>
      </w:r>
      <w:r w:rsidRPr="00FF2962">
        <w:t xml:space="preserve">roposed restriction changes for </w:t>
      </w:r>
      <w:r w:rsidRPr="00594645">
        <w:t>Option 3:</w:t>
      </w:r>
    </w:p>
    <w:p w14:paraId="00AC1925" w14:textId="77777777" w:rsidR="00FF2962" w:rsidRPr="0059625A" w:rsidRDefault="00FF2962" w:rsidP="00E55B14">
      <w:pPr>
        <w:contextualSpacing/>
        <w:jc w:val="both"/>
        <w:rPr>
          <w:rFonts w:asciiTheme="minorHAnsi" w:hAnsiTheme="minorHAnsi" w:cstheme="minorBidi"/>
          <w:szCs w:val="22"/>
        </w:rPr>
      </w:pPr>
      <w:r w:rsidRPr="0059625A">
        <w:rPr>
          <w:rFonts w:asciiTheme="minorHAnsi" w:hAnsiTheme="minorHAnsi" w:cs="Arial"/>
          <w:snapToGrid w:val="0"/>
          <w:u w:val="single"/>
        </w:rPr>
        <w:t>Clinical Criteria</w:t>
      </w:r>
    </w:p>
    <w:p w14:paraId="654D5125" w14:textId="77777777" w:rsidR="00FF2962" w:rsidRPr="0059625A" w:rsidRDefault="00FF2962" w:rsidP="00E55B14">
      <w:pPr>
        <w:numPr>
          <w:ilvl w:val="0"/>
          <w:numId w:val="5"/>
        </w:numPr>
        <w:ind w:left="924" w:hanging="357"/>
        <w:contextualSpacing/>
        <w:jc w:val="both"/>
        <w:rPr>
          <w:rFonts w:ascii="Calibri" w:eastAsia="Calibri" w:hAnsi="Calibri" w:cs="Calibri"/>
          <w:szCs w:val="22"/>
        </w:rPr>
      </w:pPr>
      <w:r w:rsidRPr="0059625A">
        <w:rPr>
          <w:rFonts w:ascii="Calibri" w:eastAsia="Calibri" w:hAnsi="Calibri" w:cs="Calibri"/>
          <w:szCs w:val="22"/>
        </w:rPr>
        <w:t>Criterion: Patient must have established cardiovascular disease (CVD); OR</w:t>
      </w:r>
    </w:p>
    <w:p w14:paraId="622ED4D4" w14:textId="77777777" w:rsidR="00FF2962" w:rsidRPr="0059625A" w:rsidRDefault="00FF2962" w:rsidP="00E55B14">
      <w:pPr>
        <w:numPr>
          <w:ilvl w:val="0"/>
          <w:numId w:val="7"/>
        </w:numPr>
        <w:ind w:left="924" w:hanging="357"/>
        <w:contextualSpacing/>
        <w:jc w:val="both"/>
        <w:rPr>
          <w:rFonts w:ascii="Calibri" w:eastAsia="Calibri" w:hAnsi="Calibri" w:cs="Calibri"/>
          <w:szCs w:val="22"/>
        </w:rPr>
      </w:pPr>
      <w:r w:rsidRPr="0059625A">
        <w:rPr>
          <w:rFonts w:ascii="Calibri" w:eastAsia="Calibri" w:hAnsi="Calibri" w:cs="Calibri"/>
          <w:szCs w:val="22"/>
        </w:rPr>
        <w:t>Criterion: Patient must have a level of absolute risk of a cardiovascular event greater than 15% over 5 years as calculated using the Australian Absolute Cardiovascular Disease Risk Calculator</w:t>
      </w:r>
      <w:r w:rsidRPr="0059625A">
        <w:rPr>
          <w:rFonts w:asciiTheme="minorHAnsi" w:hAnsiTheme="minorHAnsi" w:cstheme="minorHAnsi"/>
          <w:snapToGrid w:val="0"/>
          <w:szCs w:val="22"/>
        </w:rPr>
        <w:t>; OR</w:t>
      </w:r>
    </w:p>
    <w:p w14:paraId="39A7ACE5" w14:textId="77777777" w:rsidR="00FF2962" w:rsidRPr="0059625A" w:rsidRDefault="00FF2962" w:rsidP="00E55B14">
      <w:pPr>
        <w:numPr>
          <w:ilvl w:val="0"/>
          <w:numId w:val="7"/>
        </w:numPr>
        <w:ind w:left="924" w:hanging="357"/>
        <w:contextualSpacing/>
        <w:jc w:val="both"/>
        <w:rPr>
          <w:rFonts w:ascii="Calibri" w:eastAsia="Calibri" w:hAnsi="Calibri" w:cs="Calibri"/>
          <w:szCs w:val="22"/>
        </w:rPr>
      </w:pPr>
      <w:r w:rsidRPr="0059625A">
        <w:rPr>
          <w:rFonts w:ascii="Calibri" w:eastAsia="Calibri" w:hAnsi="Calibri" w:cs="Calibri"/>
          <w:szCs w:val="22"/>
        </w:rPr>
        <w:lastRenderedPageBreak/>
        <w:t>Criterion: Patient must have known clinically determined high risk of CVD not requiring the use of the absolute cardiovascular risk assessment according to the National Vascular Disease Prevention Alliance guidelines.</w:t>
      </w:r>
    </w:p>
    <w:p w14:paraId="70A0ABE6" w14:textId="77777777" w:rsidR="00FF2962" w:rsidRPr="0059625A" w:rsidRDefault="00FF2962" w:rsidP="00E55B14">
      <w:pPr>
        <w:contextualSpacing/>
        <w:rPr>
          <w:rFonts w:ascii="Calibri" w:eastAsia="Calibri" w:hAnsi="Calibri" w:cs="Calibri"/>
          <w:szCs w:val="22"/>
          <w:u w:val="single"/>
        </w:rPr>
      </w:pPr>
      <w:r w:rsidRPr="0059625A">
        <w:rPr>
          <w:rFonts w:ascii="Calibri" w:eastAsia="Calibri" w:hAnsi="Calibri" w:cs="Calibri"/>
          <w:szCs w:val="22"/>
          <w:u w:val="single"/>
        </w:rPr>
        <w:t>Administrative advice</w:t>
      </w:r>
    </w:p>
    <w:p w14:paraId="5EEF872C" w14:textId="77777777" w:rsidR="00FF2962" w:rsidRPr="0059625A" w:rsidRDefault="00FF2962" w:rsidP="00E55B14">
      <w:pPr>
        <w:numPr>
          <w:ilvl w:val="0"/>
          <w:numId w:val="8"/>
        </w:numPr>
        <w:ind w:left="924" w:hanging="357"/>
        <w:contextualSpacing/>
        <w:jc w:val="both"/>
        <w:rPr>
          <w:rFonts w:ascii="Calibri" w:eastAsia="Calibri" w:hAnsi="Calibri" w:cs="Calibri"/>
          <w:szCs w:val="22"/>
        </w:rPr>
      </w:pPr>
      <w:r w:rsidRPr="0059625A">
        <w:rPr>
          <w:rFonts w:ascii="Calibri" w:eastAsia="Calibri" w:hAnsi="Calibri" w:cs="Calibri"/>
          <w:szCs w:val="22"/>
        </w:rPr>
        <w:t xml:space="preserve">The Australian Absolute Cardiovascular Disease Risk Calculator is available at </w:t>
      </w:r>
      <w:hyperlink r:id="rId9" w:history="1">
        <w:r w:rsidRPr="0059625A">
          <w:rPr>
            <w:rFonts w:ascii="Calibri" w:eastAsia="Calibri" w:hAnsi="Calibri" w:cs="Calibri"/>
            <w:color w:val="0000FF"/>
            <w:szCs w:val="22"/>
            <w:u w:val="single"/>
          </w:rPr>
          <w:t>www.cvdcheck.org.au</w:t>
        </w:r>
      </w:hyperlink>
      <w:r w:rsidRPr="0059625A">
        <w:rPr>
          <w:rFonts w:ascii="Calibri" w:eastAsia="Calibri" w:hAnsi="Calibri" w:cs="Calibri"/>
          <w:color w:val="0000FF"/>
          <w:szCs w:val="22"/>
          <w:u w:val="single"/>
        </w:rPr>
        <w:t>.</w:t>
      </w:r>
    </w:p>
    <w:p w14:paraId="26217D20" w14:textId="77777777" w:rsidR="00FF2962" w:rsidRPr="0059625A" w:rsidRDefault="00FF2962" w:rsidP="00E55B14">
      <w:pPr>
        <w:numPr>
          <w:ilvl w:val="0"/>
          <w:numId w:val="8"/>
        </w:numPr>
        <w:ind w:left="924" w:hanging="357"/>
        <w:contextualSpacing/>
        <w:jc w:val="both"/>
        <w:rPr>
          <w:rFonts w:ascii="Calibri" w:eastAsia="Calibri" w:hAnsi="Calibri" w:cs="Calibri"/>
          <w:szCs w:val="22"/>
        </w:rPr>
      </w:pPr>
      <w:r w:rsidRPr="0059625A">
        <w:rPr>
          <w:rFonts w:asciiTheme="minorHAnsi" w:hAnsiTheme="minorHAnsi" w:cstheme="minorHAnsi"/>
          <w:snapToGrid w:val="0"/>
          <w:szCs w:val="22"/>
        </w:rPr>
        <w:t>The National Vascular Disease Prevention Alliance guidelines for the management of Absolute Cardiovascular Disease Risk 2012 specifies a range of conditions already known to be at clinically determined high risk of CVD and do not require absolute CV risk assessment. These include:</w:t>
      </w:r>
    </w:p>
    <w:p w14:paraId="6DC9FBCE" w14:textId="77777777" w:rsidR="00FF2962" w:rsidRPr="0059625A" w:rsidRDefault="00FF2962" w:rsidP="002E31FE">
      <w:pPr>
        <w:numPr>
          <w:ilvl w:val="1"/>
          <w:numId w:val="8"/>
        </w:numPr>
        <w:ind w:left="1208" w:hanging="357"/>
        <w:contextualSpacing/>
        <w:jc w:val="both"/>
        <w:rPr>
          <w:rFonts w:asciiTheme="minorHAnsi" w:hAnsiTheme="minorHAnsi" w:cstheme="minorHAnsi"/>
          <w:snapToGrid w:val="0"/>
          <w:szCs w:val="22"/>
        </w:rPr>
      </w:pPr>
      <w:r w:rsidRPr="0059625A">
        <w:rPr>
          <w:rFonts w:asciiTheme="minorHAnsi" w:hAnsiTheme="minorHAnsi" w:cstheme="minorHAnsi"/>
          <w:snapToGrid w:val="0"/>
          <w:szCs w:val="22"/>
        </w:rPr>
        <w:t>diabetes and age &gt;60 years</w:t>
      </w:r>
    </w:p>
    <w:p w14:paraId="78CDFD1A" w14:textId="77777777" w:rsidR="00FF2962" w:rsidRPr="0059625A" w:rsidRDefault="00FF2962" w:rsidP="002E31FE">
      <w:pPr>
        <w:numPr>
          <w:ilvl w:val="1"/>
          <w:numId w:val="8"/>
        </w:numPr>
        <w:ind w:left="1208" w:hanging="357"/>
        <w:contextualSpacing/>
        <w:jc w:val="both"/>
        <w:rPr>
          <w:rFonts w:asciiTheme="minorHAnsi" w:hAnsiTheme="minorHAnsi" w:cstheme="minorHAnsi"/>
          <w:snapToGrid w:val="0"/>
          <w:szCs w:val="22"/>
        </w:rPr>
      </w:pPr>
      <w:r w:rsidRPr="0059625A">
        <w:rPr>
          <w:rFonts w:asciiTheme="minorHAnsi" w:hAnsiTheme="minorHAnsi" w:cstheme="minorHAnsi"/>
          <w:snapToGrid w:val="0"/>
          <w:szCs w:val="22"/>
        </w:rPr>
        <w:t>diabetes with microalbuminuria (&gt;20 mcg/min or urine albumin-to-creatine ratio [UACR] &gt;2.5 mg/mmol for men and &gt;3.5 mg/mmol for women)</w:t>
      </w:r>
    </w:p>
    <w:p w14:paraId="1173C49C" w14:textId="77777777" w:rsidR="00FF2962" w:rsidRPr="0059625A" w:rsidRDefault="00FF2962" w:rsidP="002E31FE">
      <w:pPr>
        <w:numPr>
          <w:ilvl w:val="1"/>
          <w:numId w:val="8"/>
        </w:numPr>
        <w:ind w:left="1208" w:hanging="357"/>
        <w:contextualSpacing/>
        <w:jc w:val="both"/>
        <w:rPr>
          <w:rFonts w:asciiTheme="minorHAnsi" w:hAnsiTheme="minorHAnsi" w:cstheme="minorHAnsi"/>
          <w:snapToGrid w:val="0"/>
          <w:szCs w:val="22"/>
        </w:rPr>
      </w:pPr>
      <w:r w:rsidRPr="0059625A">
        <w:rPr>
          <w:rFonts w:asciiTheme="minorHAnsi" w:hAnsiTheme="minorHAnsi" w:cstheme="minorHAnsi"/>
          <w:snapToGrid w:val="0"/>
          <w:szCs w:val="22"/>
        </w:rPr>
        <w:t>moderate or severe chronic kidney disease [CKD] (persistent proteinuria or estimated glomerular filtration rate [eGFR] &lt;45 ml/min1.73 m</w:t>
      </w:r>
      <w:r w:rsidRPr="0059625A">
        <w:rPr>
          <w:rFonts w:asciiTheme="minorHAnsi" w:hAnsiTheme="minorHAnsi" w:cstheme="minorHAnsi"/>
          <w:snapToGrid w:val="0"/>
          <w:szCs w:val="22"/>
          <w:vertAlign w:val="superscript"/>
        </w:rPr>
        <w:t>2</w:t>
      </w:r>
      <w:r w:rsidRPr="0059625A">
        <w:rPr>
          <w:rFonts w:asciiTheme="minorHAnsi" w:hAnsiTheme="minorHAnsi" w:cstheme="minorHAnsi"/>
          <w:snapToGrid w:val="0"/>
          <w:szCs w:val="22"/>
        </w:rPr>
        <w:t>)</w:t>
      </w:r>
    </w:p>
    <w:p w14:paraId="214A5962" w14:textId="77777777" w:rsidR="00FF2962" w:rsidRPr="0059625A" w:rsidRDefault="00FF2962" w:rsidP="002E31FE">
      <w:pPr>
        <w:numPr>
          <w:ilvl w:val="1"/>
          <w:numId w:val="8"/>
        </w:numPr>
        <w:ind w:left="1208" w:hanging="357"/>
        <w:contextualSpacing/>
        <w:jc w:val="both"/>
        <w:rPr>
          <w:rFonts w:asciiTheme="minorHAnsi" w:hAnsiTheme="minorHAnsi" w:cstheme="minorHAnsi"/>
          <w:snapToGrid w:val="0"/>
          <w:szCs w:val="22"/>
        </w:rPr>
      </w:pPr>
      <w:r w:rsidRPr="0059625A">
        <w:rPr>
          <w:rFonts w:asciiTheme="minorHAnsi" w:hAnsiTheme="minorHAnsi" w:cstheme="minorHAnsi"/>
          <w:snapToGrid w:val="0"/>
          <w:szCs w:val="22"/>
        </w:rPr>
        <w:t>a previous diagnosis of familial hypercholesterolaemia</w:t>
      </w:r>
    </w:p>
    <w:p w14:paraId="3C53CDBB" w14:textId="77777777" w:rsidR="00FF2962" w:rsidRPr="0059625A" w:rsidRDefault="00FF2962" w:rsidP="002E31FE">
      <w:pPr>
        <w:numPr>
          <w:ilvl w:val="1"/>
          <w:numId w:val="8"/>
        </w:numPr>
        <w:ind w:left="1208" w:hanging="357"/>
        <w:contextualSpacing/>
        <w:jc w:val="both"/>
        <w:rPr>
          <w:rFonts w:asciiTheme="minorHAnsi" w:hAnsiTheme="minorHAnsi" w:cstheme="minorHAnsi"/>
          <w:snapToGrid w:val="0"/>
          <w:szCs w:val="22"/>
        </w:rPr>
      </w:pPr>
      <w:r w:rsidRPr="0059625A">
        <w:rPr>
          <w:rFonts w:asciiTheme="minorHAnsi" w:hAnsiTheme="minorHAnsi" w:cstheme="minorHAnsi"/>
          <w:snapToGrid w:val="0"/>
          <w:szCs w:val="22"/>
        </w:rPr>
        <w:t xml:space="preserve">systolic blood pressure </w:t>
      </w:r>
      <w:r w:rsidRPr="0059625A">
        <w:rPr>
          <w:rFonts w:asciiTheme="minorHAnsi" w:hAnsiTheme="minorHAnsi" w:cstheme="minorHAnsi"/>
          <w:snapToGrid w:val="0"/>
          <w:szCs w:val="22"/>
          <w:u w:val="single"/>
        </w:rPr>
        <w:t>&gt;</w:t>
      </w:r>
      <w:r w:rsidRPr="0059625A">
        <w:rPr>
          <w:rFonts w:asciiTheme="minorHAnsi" w:hAnsiTheme="minorHAnsi" w:cstheme="minorHAnsi"/>
          <w:snapToGrid w:val="0"/>
          <w:szCs w:val="22"/>
        </w:rPr>
        <w:t xml:space="preserve">180 mmHg or diastolic blood pressure </w:t>
      </w:r>
      <w:r w:rsidRPr="0059625A">
        <w:rPr>
          <w:rFonts w:asciiTheme="minorHAnsi" w:hAnsiTheme="minorHAnsi" w:cstheme="minorHAnsi"/>
          <w:snapToGrid w:val="0"/>
          <w:szCs w:val="22"/>
          <w:u w:val="single"/>
        </w:rPr>
        <w:t>&gt;</w:t>
      </w:r>
      <w:r w:rsidRPr="0059625A">
        <w:rPr>
          <w:rFonts w:asciiTheme="minorHAnsi" w:hAnsiTheme="minorHAnsi" w:cstheme="minorHAnsi"/>
          <w:snapToGrid w:val="0"/>
          <w:szCs w:val="22"/>
        </w:rPr>
        <w:t>110 mmHg</w:t>
      </w:r>
    </w:p>
    <w:p w14:paraId="78D7477B" w14:textId="1AA4B596" w:rsidR="00FF2962" w:rsidRPr="00FF2962" w:rsidRDefault="00FF2962" w:rsidP="002E31FE">
      <w:pPr>
        <w:numPr>
          <w:ilvl w:val="1"/>
          <w:numId w:val="8"/>
        </w:numPr>
        <w:ind w:left="1208" w:hanging="357"/>
        <w:contextualSpacing/>
        <w:jc w:val="both"/>
        <w:rPr>
          <w:rFonts w:ascii="Calibri" w:eastAsia="Calibri" w:hAnsi="Calibri" w:cs="Calibri"/>
          <w:szCs w:val="22"/>
        </w:rPr>
      </w:pPr>
      <w:r w:rsidRPr="0059625A">
        <w:rPr>
          <w:rFonts w:asciiTheme="minorHAnsi" w:hAnsiTheme="minorHAnsi" w:cstheme="minorHAnsi"/>
          <w:snapToGrid w:val="0"/>
          <w:szCs w:val="22"/>
        </w:rPr>
        <w:t>serum total cholesterol &gt;7.5 mmol/L.</w:t>
      </w:r>
    </w:p>
    <w:p w14:paraId="076D0DFA" w14:textId="471EE436" w:rsidR="003279EE" w:rsidRPr="003279EE" w:rsidRDefault="003279EE" w:rsidP="004066C3">
      <w:pPr>
        <w:pStyle w:val="Heading2"/>
      </w:pPr>
      <w:r>
        <w:t>T</w:t>
      </w:r>
      <w:r w:rsidRPr="003279EE">
        <w:t>herapy combinations</w:t>
      </w:r>
      <w:r>
        <w:t xml:space="preserve"> included in proposal</w:t>
      </w:r>
    </w:p>
    <w:p w14:paraId="46E2B8E4" w14:textId="5CA44B88" w:rsidR="00FE4815" w:rsidRDefault="00F26761" w:rsidP="007639C6">
      <w:pPr>
        <w:pStyle w:val="3Bodytext"/>
      </w:pPr>
      <w:r>
        <w:t>Consistent with the</w:t>
      </w:r>
      <w:r w:rsidRPr="00F26761">
        <w:t xml:space="preserve"> </w:t>
      </w:r>
      <w:r>
        <w:t xml:space="preserve">comparisons and </w:t>
      </w:r>
      <w:r w:rsidRPr="00F26761">
        <w:t xml:space="preserve">findings in the </w:t>
      </w:r>
      <w:r w:rsidR="00594645">
        <w:t xml:space="preserve">SGLT2 inhibitor </w:t>
      </w:r>
      <w:r w:rsidRPr="00F26761">
        <w:t>report</w:t>
      </w:r>
      <w:r>
        <w:t xml:space="preserve">, the proposal </w:t>
      </w:r>
      <w:r w:rsidR="00D674EF">
        <w:t>was</w:t>
      </w:r>
      <w:r>
        <w:t xml:space="preserve"> targeted at allowing earlier access to </w:t>
      </w:r>
      <w:r w:rsidR="00BB02DD">
        <w:t xml:space="preserve">an </w:t>
      </w:r>
      <w:r>
        <w:t>SGLT2 inhibitor</w:t>
      </w:r>
      <w:r w:rsidR="00BB02DD">
        <w:t xml:space="preserve"> as add-on therapy to metformin (i.e. dual therapy metformin + SGLT2</w:t>
      </w:r>
      <w:r w:rsidR="00594645">
        <w:t xml:space="preserve"> inhibitor</w:t>
      </w:r>
      <w:r w:rsidR="00BB02DD">
        <w:t>)</w:t>
      </w:r>
      <w:r>
        <w:t>.</w:t>
      </w:r>
      <w:r w:rsidR="00FE4815">
        <w:t xml:space="preserve"> </w:t>
      </w:r>
      <w:r w:rsidR="002432AD">
        <w:t>Authority Required (Streamlined) codes proposed for inclusion are shown in Table 2.</w:t>
      </w:r>
    </w:p>
    <w:p w14:paraId="59F5DCBF" w14:textId="6E0EF703" w:rsidR="00FE4815" w:rsidRDefault="007379AD" w:rsidP="007639C6">
      <w:pPr>
        <w:pStyle w:val="3Bodytext"/>
      </w:pPr>
      <w:r>
        <w:t>T</w:t>
      </w:r>
      <w:r w:rsidR="00594645">
        <w:t xml:space="preserve">he </w:t>
      </w:r>
      <w:r>
        <w:t xml:space="preserve">PBS </w:t>
      </w:r>
      <w:r w:rsidR="00594645">
        <w:t xml:space="preserve">Authority Required </w:t>
      </w:r>
      <w:r w:rsidR="00594645" w:rsidRPr="00594645">
        <w:t>(</w:t>
      </w:r>
      <w:r w:rsidR="00FE4815" w:rsidRPr="00594645">
        <w:t>Streamlined</w:t>
      </w:r>
      <w:r w:rsidR="00594645" w:rsidRPr="00594645">
        <w:t>)</w:t>
      </w:r>
      <w:r w:rsidR="00FE4815" w:rsidRPr="00594645">
        <w:t xml:space="preserve"> code 7506</w:t>
      </w:r>
      <w:r w:rsidR="00FE4815" w:rsidRPr="00FE4815">
        <w:t xml:space="preserve"> currently allows an SGLT2 inhibitor to be used as dual therapy in combination with either metformin </w:t>
      </w:r>
      <w:r>
        <w:t>or</w:t>
      </w:r>
      <w:r w:rsidR="00FE4815" w:rsidRPr="00FE4815">
        <w:t xml:space="preserve"> a</w:t>
      </w:r>
      <w:r w:rsidR="00594645">
        <w:t xml:space="preserve"> SU</w:t>
      </w:r>
      <w:r w:rsidR="00FE4815" w:rsidRPr="00FE4815">
        <w:t xml:space="preserve">, within the same </w:t>
      </w:r>
      <w:r w:rsidR="00FE4815">
        <w:t>restriction</w:t>
      </w:r>
      <w:r w:rsidR="00FE4815" w:rsidRPr="00FE4815">
        <w:t>. Although this CER compare</w:t>
      </w:r>
      <w:r w:rsidR="00D674EF">
        <w:t>d</w:t>
      </w:r>
      <w:r w:rsidR="00FE4815" w:rsidRPr="00FE4815">
        <w:t xml:space="preserve"> the cost-effectiveness </w:t>
      </w:r>
      <w:r>
        <w:t xml:space="preserve">of </w:t>
      </w:r>
      <w:r w:rsidR="00FE4815" w:rsidRPr="00FE4815">
        <w:t xml:space="preserve">SGLT2 inhibitors to SUs as dual therapy with metformin for the treatment of T2DM, </w:t>
      </w:r>
      <w:r>
        <w:t xml:space="preserve">it is proposed that streamlined code 7506 be </w:t>
      </w:r>
      <w:r w:rsidR="00FE4815" w:rsidRPr="00FE4815">
        <w:t xml:space="preserve">included </w:t>
      </w:r>
      <w:r>
        <w:t xml:space="preserve">in the proposed restriction changes </w:t>
      </w:r>
      <w:r w:rsidR="00FE4815" w:rsidRPr="00FE4815">
        <w:t>on the assumption that metformin + SGLT2 inhibitor combination represents the most use under this streamlined code</w:t>
      </w:r>
      <w:r w:rsidR="00FE4815">
        <w:t xml:space="preserve"> (compared with SU + SGLT2 inhibitor use)</w:t>
      </w:r>
      <w:r w:rsidR="00FE4815" w:rsidRPr="00FE4815">
        <w:t xml:space="preserve">. </w:t>
      </w:r>
    </w:p>
    <w:p w14:paraId="72B3DB66" w14:textId="7C540C4A" w:rsidR="00143C0A" w:rsidRDefault="00FE4815" w:rsidP="00D674EF">
      <w:pPr>
        <w:pStyle w:val="3Bodytext"/>
      </w:pPr>
      <w:bookmarkStart w:id="8" w:name="_Hlk81397703"/>
      <w:r w:rsidRPr="00FE4815">
        <w:t xml:space="preserve">Advice </w:t>
      </w:r>
      <w:r w:rsidR="00D674EF">
        <w:t>was</w:t>
      </w:r>
      <w:r w:rsidRPr="00FE4815">
        <w:t xml:space="preserve"> sought on whether this is an acceptable assumption, or whether SU + SGLT2 </w:t>
      </w:r>
      <w:bookmarkEnd w:id="8"/>
      <w:r w:rsidRPr="00FE4815">
        <w:t>inhibitor use should be removed from this proposal (i.e. the existing streamlined code</w:t>
      </w:r>
      <w:r w:rsidR="003279EE">
        <w:t xml:space="preserve"> and restriction</w:t>
      </w:r>
      <w:r w:rsidRPr="00FE4815">
        <w:t xml:space="preserve"> would need to be </w:t>
      </w:r>
      <w:r w:rsidR="001C5E4C">
        <w:t>amended</w:t>
      </w:r>
      <w:r w:rsidR="003279EE">
        <w:t xml:space="preserve"> to create two separate codes</w:t>
      </w:r>
      <w:r w:rsidRPr="00FE4815">
        <w:t xml:space="preserve"> to separate combination use as either: metformin + SGLT2 inhibitor, or SU + SGLT2 inhibitor).</w:t>
      </w:r>
    </w:p>
    <w:p w14:paraId="6FA1A8EC" w14:textId="6286EF4A" w:rsidR="00681832" w:rsidRPr="00D674EF" w:rsidRDefault="00681832" w:rsidP="00681832">
      <w:pPr>
        <w:pStyle w:val="3Bodytext"/>
      </w:pPr>
      <w:r>
        <w:t>Advice from the PBAC was also sought on the list of treatment combinations in Table 3. These include dual therapy with an SGLT2 inhibitor + insulin</w:t>
      </w:r>
      <w:r w:rsidR="002E31FE">
        <w:t>,</w:t>
      </w:r>
      <w:r>
        <w:t xml:space="preserve"> or triple therapy combinations where all components other than the SGLT2 inhibitor are Unrestricted Benefits that do not require patients to have an unmet glycaemic target </w:t>
      </w:r>
      <w:proofErr w:type="gramStart"/>
      <w:r>
        <w:t>in order to</w:t>
      </w:r>
      <w:proofErr w:type="gramEnd"/>
      <w:r>
        <w:t xml:space="preserve"> initiate treatment.</w:t>
      </w:r>
    </w:p>
    <w:p w14:paraId="21C653D4" w14:textId="6B8EDAE0" w:rsidR="00F26761" w:rsidRPr="007379AD" w:rsidRDefault="00F86C15" w:rsidP="007379AD">
      <w:pPr>
        <w:pStyle w:val="Caption"/>
        <w:keepNext/>
        <w:keepLines/>
        <w:rPr>
          <w:szCs w:val="20"/>
        </w:rPr>
      </w:pPr>
      <w:r w:rsidRPr="007379AD">
        <w:rPr>
          <w:szCs w:val="20"/>
        </w:rPr>
        <w:lastRenderedPageBreak/>
        <w:t xml:space="preserve">  </w:t>
      </w:r>
      <w:bookmarkStart w:id="9" w:name="_Toc81379153"/>
      <w:r w:rsidR="00F26761" w:rsidRPr="007379AD">
        <w:rPr>
          <w:szCs w:val="20"/>
        </w:rPr>
        <w:t xml:space="preserve">Table </w:t>
      </w:r>
      <w:r w:rsidR="007379AD">
        <w:rPr>
          <w:szCs w:val="20"/>
        </w:rPr>
        <w:t>2</w:t>
      </w:r>
      <w:r w:rsidR="00F26761" w:rsidRPr="007379AD">
        <w:rPr>
          <w:szCs w:val="20"/>
        </w:rPr>
        <w:t xml:space="preserve">: </w:t>
      </w:r>
      <w:r w:rsidR="007379AD">
        <w:rPr>
          <w:szCs w:val="20"/>
        </w:rPr>
        <w:t>Authority Required (</w:t>
      </w:r>
      <w:r w:rsidR="00F26761" w:rsidRPr="007379AD">
        <w:rPr>
          <w:szCs w:val="20"/>
        </w:rPr>
        <w:t>Streamlined</w:t>
      </w:r>
      <w:r w:rsidR="007379AD">
        <w:rPr>
          <w:szCs w:val="20"/>
        </w:rPr>
        <w:t>)</w:t>
      </w:r>
      <w:r w:rsidR="00F26761" w:rsidRPr="007379AD">
        <w:rPr>
          <w:szCs w:val="20"/>
        </w:rPr>
        <w:t xml:space="preserve"> codes included in proposal</w:t>
      </w:r>
      <w:bookmarkEnd w:id="9"/>
    </w:p>
    <w:tbl>
      <w:tblPr>
        <w:tblStyle w:val="TableGrid"/>
        <w:tblW w:w="8890" w:type="dxa"/>
        <w:jc w:val="center"/>
        <w:tblLook w:val="04A0" w:firstRow="1" w:lastRow="0" w:firstColumn="1" w:lastColumn="0" w:noHBand="0" w:noVBand="1"/>
      </w:tblPr>
      <w:tblGrid>
        <w:gridCol w:w="1696"/>
        <w:gridCol w:w="5245"/>
        <w:gridCol w:w="1949"/>
      </w:tblGrid>
      <w:tr w:rsidR="00F26761" w:rsidRPr="007379AD" w14:paraId="4A11AB55" w14:textId="77777777" w:rsidTr="002E31FE">
        <w:trPr>
          <w:trHeight w:val="149"/>
          <w:jc w:val="center"/>
        </w:trPr>
        <w:tc>
          <w:tcPr>
            <w:tcW w:w="1696" w:type="dxa"/>
            <w:shd w:val="clear" w:color="auto" w:fill="D9D9D9" w:themeFill="background1" w:themeFillShade="D9"/>
          </w:tcPr>
          <w:p w14:paraId="508ABDD6" w14:textId="77777777" w:rsidR="00F26761" w:rsidRPr="007379AD" w:rsidRDefault="00F26761" w:rsidP="00681832">
            <w:pPr>
              <w:keepNext/>
              <w:keepLines/>
              <w:spacing w:before="40" w:after="40"/>
              <w:jc w:val="center"/>
              <w:rPr>
                <w:rFonts w:ascii="Arial Narrow" w:hAnsi="Arial Narrow" w:cstheme="minorHAnsi"/>
                <w:b/>
                <w:bCs/>
              </w:rPr>
            </w:pPr>
            <w:r w:rsidRPr="007379AD">
              <w:rPr>
                <w:rFonts w:ascii="Arial Narrow" w:hAnsi="Arial Narrow" w:cstheme="minorHAnsi"/>
                <w:b/>
                <w:bCs/>
              </w:rPr>
              <w:t>Streamlined code</w:t>
            </w:r>
          </w:p>
        </w:tc>
        <w:tc>
          <w:tcPr>
            <w:tcW w:w="5245" w:type="dxa"/>
            <w:shd w:val="clear" w:color="auto" w:fill="D9D9D9" w:themeFill="background1" w:themeFillShade="D9"/>
          </w:tcPr>
          <w:p w14:paraId="75A1A211" w14:textId="77777777" w:rsidR="00F26761" w:rsidRPr="007379AD" w:rsidRDefault="00F26761" w:rsidP="00681832">
            <w:pPr>
              <w:keepNext/>
              <w:keepLines/>
              <w:spacing w:before="40" w:after="40"/>
              <w:rPr>
                <w:rFonts w:ascii="Arial Narrow" w:hAnsi="Arial Narrow" w:cstheme="minorHAnsi"/>
                <w:b/>
                <w:bCs/>
              </w:rPr>
            </w:pPr>
            <w:r w:rsidRPr="007379AD">
              <w:rPr>
                <w:rFonts w:ascii="Arial Narrow" w:hAnsi="Arial Narrow" w:cstheme="minorHAnsi"/>
                <w:b/>
                <w:bCs/>
              </w:rPr>
              <w:t>Therapy combination</w:t>
            </w:r>
          </w:p>
        </w:tc>
        <w:tc>
          <w:tcPr>
            <w:tcW w:w="1949" w:type="dxa"/>
            <w:shd w:val="clear" w:color="auto" w:fill="D9D9D9" w:themeFill="background1" w:themeFillShade="D9"/>
          </w:tcPr>
          <w:p w14:paraId="54D35285" w14:textId="46AEAF38" w:rsidR="00F26761" w:rsidRPr="007379AD" w:rsidRDefault="00F26761" w:rsidP="00681832">
            <w:pPr>
              <w:keepNext/>
              <w:keepLines/>
              <w:spacing w:before="40" w:after="40"/>
              <w:jc w:val="center"/>
              <w:rPr>
                <w:rFonts w:ascii="Arial Narrow" w:hAnsi="Arial Narrow" w:cstheme="minorHAnsi"/>
                <w:b/>
                <w:bCs/>
              </w:rPr>
            </w:pPr>
            <w:r w:rsidRPr="007379AD">
              <w:rPr>
                <w:rFonts w:ascii="Arial Narrow" w:hAnsi="Arial Narrow" w:cstheme="minorHAnsi"/>
                <w:b/>
                <w:bCs/>
              </w:rPr>
              <w:t>Changes proposed</w:t>
            </w:r>
          </w:p>
        </w:tc>
      </w:tr>
      <w:tr w:rsidR="00F26761" w:rsidRPr="007379AD" w14:paraId="084F0234" w14:textId="77777777" w:rsidTr="007379AD">
        <w:trPr>
          <w:trHeight w:val="300"/>
          <w:jc w:val="center"/>
        </w:trPr>
        <w:tc>
          <w:tcPr>
            <w:tcW w:w="1696" w:type="dxa"/>
          </w:tcPr>
          <w:p w14:paraId="2DD59A83" w14:textId="07C2D0AC" w:rsidR="00F26761" w:rsidRPr="007379AD" w:rsidRDefault="00F26761" w:rsidP="00681832">
            <w:pPr>
              <w:keepNext/>
              <w:keepLines/>
              <w:spacing w:before="40" w:after="40"/>
              <w:jc w:val="center"/>
              <w:rPr>
                <w:rFonts w:ascii="Arial Narrow" w:hAnsi="Arial Narrow" w:cstheme="minorHAnsi"/>
                <w:b/>
                <w:bCs/>
              </w:rPr>
            </w:pPr>
            <w:r w:rsidRPr="007379AD">
              <w:rPr>
                <w:rFonts w:ascii="Arial Narrow" w:hAnsi="Arial Narrow" w:cstheme="minorHAnsi"/>
              </w:rPr>
              <w:t>7506</w:t>
            </w:r>
          </w:p>
        </w:tc>
        <w:tc>
          <w:tcPr>
            <w:tcW w:w="5245" w:type="dxa"/>
          </w:tcPr>
          <w:p w14:paraId="76956555" w14:textId="691E9F35" w:rsidR="00F26761" w:rsidRPr="007379AD" w:rsidRDefault="007379AD" w:rsidP="00681832">
            <w:pPr>
              <w:keepNext/>
              <w:keepLines/>
              <w:spacing w:before="40" w:after="40"/>
              <w:rPr>
                <w:rFonts w:ascii="Arial Narrow" w:hAnsi="Arial Narrow" w:cstheme="minorHAnsi"/>
              </w:rPr>
            </w:pPr>
            <w:r>
              <w:rPr>
                <w:rFonts w:ascii="Arial Narrow" w:hAnsi="Arial Narrow" w:cstheme="minorHAnsi"/>
              </w:rPr>
              <w:t xml:space="preserve">SGLT2 inhibitor: </w:t>
            </w:r>
            <w:r w:rsidR="00F26761" w:rsidRPr="007379AD">
              <w:rPr>
                <w:rFonts w:ascii="Arial Narrow" w:hAnsi="Arial Narrow" w:cstheme="minorHAnsi"/>
              </w:rPr>
              <w:t>Dual therapy</w:t>
            </w:r>
            <w:r>
              <w:rPr>
                <w:rFonts w:ascii="Arial Narrow" w:hAnsi="Arial Narrow" w:cstheme="minorHAnsi"/>
              </w:rPr>
              <w:t xml:space="preserve"> - </w:t>
            </w:r>
            <w:r w:rsidR="00F26761" w:rsidRPr="007379AD">
              <w:rPr>
                <w:rFonts w:ascii="Arial Narrow" w:hAnsi="Arial Narrow" w:cstheme="minorHAnsi"/>
              </w:rPr>
              <w:t xml:space="preserve">SGLT2 </w:t>
            </w:r>
            <w:r>
              <w:rPr>
                <w:rFonts w:ascii="Arial Narrow" w:hAnsi="Arial Narrow" w:cstheme="minorHAnsi"/>
              </w:rPr>
              <w:t>inhibitor + MET</w:t>
            </w:r>
            <w:r w:rsidR="00F26761" w:rsidRPr="007379AD">
              <w:rPr>
                <w:rFonts w:ascii="Arial Narrow" w:hAnsi="Arial Narrow" w:cstheme="minorHAnsi"/>
              </w:rPr>
              <w:t>/SU</w:t>
            </w:r>
          </w:p>
        </w:tc>
        <w:tc>
          <w:tcPr>
            <w:tcW w:w="1949" w:type="dxa"/>
          </w:tcPr>
          <w:p w14:paraId="5C5D7499" w14:textId="7ED923F3" w:rsidR="00F26761" w:rsidRPr="007379AD" w:rsidRDefault="00F26761" w:rsidP="00681832">
            <w:pPr>
              <w:keepNext/>
              <w:keepLines/>
              <w:spacing w:before="40" w:after="40"/>
              <w:jc w:val="center"/>
              <w:rPr>
                <w:rFonts w:ascii="Arial Narrow" w:hAnsi="Arial Narrow" w:cstheme="minorHAnsi"/>
                <w:b/>
                <w:bCs/>
              </w:rPr>
            </w:pPr>
            <w:r w:rsidRPr="007379AD">
              <w:rPr>
                <w:rFonts w:ascii="Arial Narrow" w:hAnsi="Arial Narrow" w:cstheme="minorHAnsi"/>
              </w:rPr>
              <w:t>Y</w:t>
            </w:r>
            <w:r w:rsidR="00681832">
              <w:rPr>
                <w:rFonts w:ascii="Arial Narrow" w:hAnsi="Arial Narrow" w:cstheme="minorHAnsi"/>
              </w:rPr>
              <w:t>es</w:t>
            </w:r>
          </w:p>
        </w:tc>
      </w:tr>
      <w:tr w:rsidR="00F26761" w:rsidRPr="007379AD" w14:paraId="228FF4C0" w14:textId="77777777" w:rsidTr="007379AD">
        <w:trPr>
          <w:trHeight w:val="300"/>
          <w:jc w:val="center"/>
        </w:trPr>
        <w:tc>
          <w:tcPr>
            <w:tcW w:w="1696" w:type="dxa"/>
          </w:tcPr>
          <w:p w14:paraId="2C47725A" w14:textId="77777777" w:rsidR="00F26761" w:rsidRPr="007379AD" w:rsidRDefault="00F26761" w:rsidP="00681832">
            <w:pPr>
              <w:keepNext/>
              <w:keepLines/>
              <w:spacing w:before="40" w:after="40"/>
              <w:jc w:val="center"/>
              <w:rPr>
                <w:rFonts w:ascii="Arial Narrow" w:hAnsi="Arial Narrow" w:cstheme="minorHAnsi"/>
                <w:b/>
                <w:bCs/>
              </w:rPr>
            </w:pPr>
            <w:r w:rsidRPr="007379AD">
              <w:rPr>
                <w:rFonts w:ascii="Arial Narrow" w:hAnsi="Arial Narrow" w:cstheme="minorHAnsi"/>
              </w:rPr>
              <w:t>5631</w:t>
            </w:r>
          </w:p>
        </w:tc>
        <w:tc>
          <w:tcPr>
            <w:tcW w:w="5245" w:type="dxa"/>
          </w:tcPr>
          <w:p w14:paraId="4BFAB60B" w14:textId="56CEA445" w:rsidR="00F26761" w:rsidRPr="007379AD" w:rsidRDefault="007379AD" w:rsidP="00681832">
            <w:pPr>
              <w:keepNext/>
              <w:keepLines/>
              <w:spacing w:before="40" w:after="40"/>
              <w:rPr>
                <w:rFonts w:ascii="Arial Narrow" w:hAnsi="Arial Narrow" w:cstheme="minorHAnsi"/>
              </w:rPr>
            </w:pPr>
            <w:r>
              <w:rPr>
                <w:rFonts w:ascii="Arial Narrow" w:hAnsi="Arial Narrow" w:cstheme="minorHAnsi"/>
              </w:rPr>
              <w:t xml:space="preserve">SGLT2 inhibitor + MET FDC: </w:t>
            </w:r>
            <w:r w:rsidR="00F26761" w:rsidRPr="007379AD">
              <w:rPr>
                <w:rFonts w:ascii="Arial Narrow" w:hAnsi="Arial Narrow" w:cstheme="minorHAnsi"/>
              </w:rPr>
              <w:t xml:space="preserve">Dual therapy </w:t>
            </w:r>
            <w:r>
              <w:rPr>
                <w:rFonts w:ascii="Arial Narrow" w:hAnsi="Arial Narrow" w:cstheme="minorHAnsi"/>
              </w:rPr>
              <w:t xml:space="preserve">- </w:t>
            </w:r>
            <w:r w:rsidR="009C3702" w:rsidRPr="007379AD">
              <w:rPr>
                <w:rFonts w:ascii="Arial Narrow" w:hAnsi="Arial Narrow" w:cstheme="minorHAnsi"/>
              </w:rPr>
              <w:t>SGLT2</w:t>
            </w:r>
            <w:r w:rsidR="00472246" w:rsidRPr="007379AD">
              <w:rPr>
                <w:rFonts w:ascii="Arial Narrow" w:hAnsi="Arial Narrow" w:cstheme="minorHAnsi"/>
              </w:rPr>
              <w:t xml:space="preserve"> </w:t>
            </w:r>
            <w:r>
              <w:rPr>
                <w:rFonts w:ascii="Arial Narrow" w:hAnsi="Arial Narrow" w:cstheme="minorHAnsi"/>
              </w:rPr>
              <w:t xml:space="preserve">inhibitor </w:t>
            </w:r>
            <w:r w:rsidR="00F26761" w:rsidRPr="007379AD">
              <w:rPr>
                <w:rFonts w:ascii="Arial Narrow" w:hAnsi="Arial Narrow" w:cstheme="minorHAnsi"/>
              </w:rPr>
              <w:t xml:space="preserve">+ </w:t>
            </w:r>
            <w:r>
              <w:rPr>
                <w:rFonts w:ascii="Arial Narrow" w:hAnsi="Arial Narrow" w:cstheme="minorHAnsi"/>
              </w:rPr>
              <w:t>MET</w:t>
            </w:r>
          </w:p>
        </w:tc>
        <w:tc>
          <w:tcPr>
            <w:tcW w:w="1949" w:type="dxa"/>
          </w:tcPr>
          <w:p w14:paraId="6C26AB8B" w14:textId="531FE017" w:rsidR="00F26761" w:rsidRPr="007379AD" w:rsidRDefault="00F26761" w:rsidP="00681832">
            <w:pPr>
              <w:keepNext/>
              <w:keepLines/>
              <w:spacing w:before="40" w:after="40"/>
              <w:jc w:val="center"/>
              <w:rPr>
                <w:rFonts w:ascii="Arial Narrow" w:hAnsi="Arial Narrow" w:cstheme="minorHAnsi"/>
                <w:b/>
                <w:bCs/>
              </w:rPr>
            </w:pPr>
            <w:r w:rsidRPr="007379AD">
              <w:rPr>
                <w:rFonts w:ascii="Arial Narrow" w:hAnsi="Arial Narrow" w:cstheme="minorHAnsi"/>
              </w:rPr>
              <w:t>Y</w:t>
            </w:r>
            <w:r w:rsidR="00681832">
              <w:rPr>
                <w:rFonts w:ascii="Arial Narrow" w:hAnsi="Arial Narrow" w:cstheme="minorHAnsi"/>
              </w:rPr>
              <w:t>es</w:t>
            </w:r>
          </w:p>
        </w:tc>
      </w:tr>
      <w:tr w:rsidR="00F26761" w:rsidRPr="007379AD" w14:paraId="3ADF6034" w14:textId="77777777" w:rsidTr="007379AD">
        <w:trPr>
          <w:trHeight w:val="291"/>
          <w:jc w:val="center"/>
        </w:trPr>
        <w:tc>
          <w:tcPr>
            <w:tcW w:w="1696" w:type="dxa"/>
          </w:tcPr>
          <w:p w14:paraId="07AD29F8" w14:textId="77777777" w:rsidR="00F26761" w:rsidRPr="007379AD" w:rsidRDefault="00F26761" w:rsidP="00681832">
            <w:pPr>
              <w:keepNext/>
              <w:keepLines/>
              <w:spacing w:before="40" w:after="40"/>
              <w:jc w:val="center"/>
              <w:rPr>
                <w:rFonts w:ascii="Arial Narrow" w:hAnsi="Arial Narrow" w:cstheme="minorHAnsi"/>
                <w:b/>
                <w:bCs/>
              </w:rPr>
            </w:pPr>
            <w:r w:rsidRPr="007379AD">
              <w:rPr>
                <w:rFonts w:ascii="Arial Narrow" w:hAnsi="Arial Narrow" w:cstheme="minorHAnsi"/>
              </w:rPr>
              <w:t>5953</w:t>
            </w:r>
          </w:p>
        </w:tc>
        <w:tc>
          <w:tcPr>
            <w:tcW w:w="5245" w:type="dxa"/>
          </w:tcPr>
          <w:p w14:paraId="192FB5C2" w14:textId="5080DA1C" w:rsidR="00F26761" w:rsidRPr="007379AD" w:rsidRDefault="007379AD" w:rsidP="00681832">
            <w:pPr>
              <w:keepNext/>
              <w:keepLines/>
              <w:spacing w:before="40" w:after="40"/>
              <w:rPr>
                <w:rFonts w:ascii="Arial Narrow" w:hAnsi="Arial Narrow" w:cstheme="minorHAnsi"/>
              </w:rPr>
            </w:pPr>
            <w:r>
              <w:rPr>
                <w:rFonts w:ascii="Arial Narrow" w:hAnsi="Arial Narrow" w:cstheme="minorHAnsi"/>
              </w:rPr>
              <w:t xml:space="preserve">SGLT2 inhibitor + MET FDC: </w:t>
            </w:r>
            <w:r w:rsidR="00F26761" w:rsidRPr="007379AD">
              <w:rPr>
                <w:rFonts w:ascii="Arial Narrow" w:hAnsi="Arial Narrow" w:cstheme="minorHAnsi"/>
              </w:rPr>
              <w:t>Dual therapy</w:t>
            </w:r>
            <w:r>
              <w:rPr>
                <w:rFonts w:ascii="Arial Narrow" w:hAnsi="Arial Narrow" w:cstheme="minorHAnsi"/>
              </w:rPr>
              <w:t xml:space="preserve"> - Empagliflozin</w:t>
            </w:r>
            <w:r w:rsidR="00F26761" w:rsidRPr="007379AD">
              <w:rPr>
                <w:rFonts w:ascii="Arial Narrow" w:hAnsi="Arial Narrow" w:cstheme="minorHAnsi"/>
              </w:rPr>
              <w:t xml:space="preserve"> + </w:t>
            </w:r>
            <w:r>
              <w:rPr>
                <w:rFonts w:ascii="Arial Narrow" w:hAnsi="Arial Narrow" w:cstheme="minorHAnsi"/>
              </w:rPr>
              <w:t>MET</w:t>
            </w:r>
          </w:p>
        </w:tc>
        <w:tc>
          <w:tcPr>
            <w:tcW w:w="1949" w:type="dxa"/>
          </w:tcPr>
          <w:p w14:paraId="565CA2D3" w14:textId="2C6B6486" w:rsidR="00F26761" w:rsidRPr="007379AD" w:rsidRDefault="00F26761" w:rsidP="00681832">
            <w:pPr>
              <w:keepNext/>
              <w:keepLines/>
              <w:spacing w:before="40" w:after="40"/>
              <w:jc w:val="center"/>
              <w:rPr>
                <w:rFonts w:ascii="Arial Narrow" w:hAnsi="Arial Narrow" w:cstheme="minorHAnsi"/>
                <w:b/>
                <w:bCs/>
              </w:rPr>
            </w:pPr>
            <w:r w:rsidRPr="007379AD">
              <w:rPr>
                <w:rFonts w:ascii="Arial Narrow" w:hAnsi="Arial Narrow" w:cstheme="minorHAnsi"/>
              </w:rPr>
              <w:t>Y</w:t>
            </w:r>
            <w:r w:rsidR="00681832">
              <w:rPr>
                <w:rFonts w:ascii="Arial Narrow" w:hAnsi="Arial Narrow" w:cstheme="minorHAnsi"/>
              </w:rPr>
              <w:t>es</w:t>
            </w:r>
          </w:p>
        </w:tc>
      </w:tr>
    </w:tbl>
    <w:p w14:paraId="677B7F8B" w14:textId="0932F68A" w:rsidR="007379AD" w:rsidRDefault="00BB02DD" w:rsidP="002E31FE">
      <w:pPr>
        <w:pStyle w:val="3Bodytext"/>
        <w:keepNext/>
        <w:keepLines/>
        <w:numPr>
          <w:ilvl w:val="0"/>
          <w:numId w:val="0"/>
        </w:numPr>
        <w:spacing w:after="240"/>
        <w:ind w:left="720" w:hanging="720"/>
        <w:rPr>
          <w:rFonts w:ascii="Arial Narrow" w:hAnsi="Arial Narrow"/>
          <w:sz w:val="20"/>
          <w:szCs w:val="20"/>
        </w:rPr>
      </w:pPr>
      <w:r w:rsidRPr="007379AD">
        <w:rPr>
          <w:rFonts w:ascii="Arial Narrow" w:hAnsi="Arial Narrow"/>
          <w:sz w:val="20"/>
          <w:szCs w:val="20"/>
        </w:rPr>
        <w:t xml:space="preserve">Source: Table 1.5, </w:t>
      </w:r>
      <w:r w:rsidR="007379AD">
        <w:rPr>
          <w:rFonts w:ascii="Arial Narrow" w:hAnsi="Arial Narrow"/>
          <w:sz w:val="20"/>
          <w:szCs w:val="20"/>
        </w:rPr>
        <w:t>SGLT2 inhibitor report.</w:t>
      </w:r>
      <w:r w:rsidR="00681832">
        <w:rPr>
          <w:rFonts w:ascii="Arial Narrow" w:hAnsi="Arial Narrow"/>
          <w:sz w:val="20"/>
          <w:szCs w:val="20"/>
        </w:rPr>
        <w:t xml:space="preserve"> </w:t>
      </w:r>
      <w:r w:rsidR="007379AD">
        <w:rPr>
          <w:rFonts w:ascii="Arial Narrow" w:hAnsi="Arial Narrow"/>
          <w:sz w:val="20"/>
          <w:szCs w:val="20"/>
        </w:rPr>
        <w:t>Abbreviations: FDC – fixed dose combination; MET – metformin; SU – sulfonylurea.</w:t>
      </w:r>
    </w:p>
    <w:p w14:paraId="22C6A082" w14:textId="2624D9CD" w:rsidR="007840E6" w:rsidRPr="007379AD" w:rsidRDefault="007840E6" w:rsidP="007840E6">
      <w:pPr>
        <w:pStyle w:val="Caption"/>
        <w:rPr>
          <w:szCs w:val="20"/>
        </w:rPr>
      </w:pPr>
      <w:r w:rsidRPr="007379AD">
        <w:rPr>
          <w:szCs w:val="20"/>
        </w:rPr>
        <w:t xml:space="preserve">Table </w:t>
      </w:r>
      <w:r w:rsidR="00681832">
        <w:rPr>
          <w:szCs w:val="20"/>
        </w:rPr>
        <w:t>3</w:t>
      </w:r>
      <w:r w:rsidRPr="007379AD">
        <w:rPr>
          <w:szCs w:val="20"/>
        </w:rPr>
        <w:t xml:space="preserve">: </w:t>
      </w:r>
      <w:r w:rsidR="00681832">
        <w:rPr>
          <w:szCs w:val="20"/>
        </w:rPr>
        <w:t>Authority Required (</w:t>
      </w:r>
      <w:r w:rsidR="00681832" w:rsidRPr="007379AD">
        <w:rPr>
          <w:szCs w:val="20"/>
        </w:rPr>
        <w:t>Streamlined</w:t>
      </w:r>
      <w:r w:rsidR="00681832">
        <w:rPr>
          <w:szCs w:val="20"/>
        </w:rPr>
        <w:t>)</w:t>
      </w:r>
      <w:r w:rsidRPr="007379AD">
        <w:rPr>
          <w:szCs w:val="20"/>
        </w:rPr>
        <w:t xml:space="preserve"> codes where </w:t>
      </w:r>
      <w:r w:rsidR="00681832">
        <w:rPr>
          <w:szCs w:val="20"/>
        </w:rPr>
        <w:t xml:space="preserve">PBAC </w:t>
      </w:r>
      <w:r w:rsidRPr="007379AD">
        <w:rPr>
          <w:szCs w:val="20"/>
        </w:rPr>
        <w:t>advice is required</w:t>
      </w:r>
    </w:p>
    <w:tbl>
      <w:tblPr>
        <w:tblStyle w:val="TableGrid"/>
        <w:tblW w:w="0" w:type="auto"/>
        <w:jc w:val="center"/>
        <w:tblLook w:val="04A0" w:firstRow="1" w:lastRow="0" w:firstColumn="1" w:lastColumn="0" w:noHBand="0" w:noVBand="1"/>
      </w:tblPr>
      <w:tblGrid>
        <w:gridCol w:w="1696"/>
        <w:gridCol w:w="5387"/>
        <w:gridCol w:w="1896"/>
      </w:tblGrid>
      <w:tr w:rsidR="007840E6" w:rsidRPr="007379AD" w14:paraId="2F9BD298" w14:textId="77777777" w:rsidTr="002E31FE">
        <w:trPr>
          <w:trHeight w:val="236"/>
          <w:jc w:val="center"/>
        </w:trPr>
        <w:tc>
          <w:tcPr>
            <w:tcW w:w="1696" w:type="dxa"/>
            <w:shd w:val="clear" w:color="auto" w:fill="D9D9D9" w:themeFill="background1" w:themeFillShade="D9"/>
          </w:tcPr>
          <w:p w14:paraId="3908713F" w14:textId="77777777" w:rsidR="007840E6" w:rsidRPr="007379AD" w:rsidRDefault="007840E6" w:rsidP="00681832">
            <w:pPr>
              <w:jc w:val="center"/>
              <w:rPr>
                <w:rFonts w:ascii="Arial Narrow" w:hAnsi="Arial Narrow" w:cstheme="minorHAnsi"/>
                <w:b/>
                <w:bCs/>
              </w:rPr>
            </w:pPr>
            <w:r w:rsidRPr="007379AD">
              <w:rPr>
                <w:rFonts w:ascii="Arial Narrow" w:hAnsi="Arial Narrow" w:cstheme="minorHAnsi"/>
                <w:b/>
                <w:bCs/>
              </w:rPr>
              <w:t>Streamlined code</w:t>
            </w:r>
          </w:p>
        </w:tc>
        <w:tc>
          <w:tcPr>
            <w:tcW w:w="5387" w:type="dxa"/>
            <w:shd w:val="clear" w:color="auto" w:fill="D9D9D9" w:themeFill="background1" w:themeFillShade="D9"/>
          </w:tcPr>
          <w:p w14:paraId="13ED4572" w14:textId="77777777" w:rsidR="007840E6" w:rsidRPr="007379AD" w:rsidRDefault="007840E6" w:rsidP="009208B5">
            <w:pPr>
              <w:rPr>
                <w:rFonts w:ascii="Arial Narrow" w:hAnsi="Arial Narrow" w:cstheme="minorHAnsi"/>
                <w:b/>
                <w:bCs/>
              </w:rPr>
            </w:pPr>
            <w:r w:rsidRPr="007379AD">
              <w:rPr>
                <w:rFonts w:ascii="Arial Narrow" w:hAnsi="Arial Narrow" w:cstheme="minorHAnsi"/>
                <w:b/>
                <w:bCs/>
              </w:rPr>
              <w:t>Therapy combination</w:t>
            </w:r>
          </w:p>
        </w:tc>
        <w:tc>
          <w:tcPr>
            <w:tcW w:w="1896" w:type="dxa"/>
            <w:shd w:val="clear" w:color="auto" w:fill="D9D9D9" w:themeFill="background1" w:themeFillShade="D9"/>
          </w:tcPr>
          <w:p w14:paraId="108DEBCD" w14:textId="3684D1EF" w:rsidR="007840E6" w:rsidRPr="007379AD" w:rsidRDefault="007840E6" w:rsidP="00681832">
            <w:pPr>
              <w:jc w:val="center"/>
              <w:rPr>
                <w:rFonts w:ascii="Arial Narrow" w:hAnsi="Arial Narrow" w:cstheme="minorHAnsi"/>
                <w:b/>
                <w:bCs/>
              </w:rPr>
            </w:pPr>
            <w:r w:rsidRPr="007379AD">
              <w:rPr>
                <w:rFonts w:ascii="Arial Narrow" w:hAnsi="Arial Narrow" w:cstheme="minorHAnsi"/>
                <w:b/>
                <w:bCs/>
              </w:rPr>
              <w:t>Changes proposed</w:t>
            </w:r>
          </w:p>
        </w:tc>
      </w:tr>
      <w:tr w:rsidR="007840E6" w:rsidRPr="007379AD" w14:paraId="0575B9AE" w14:textId="77777777" w:rsidTr="00681832">
        <w:trPr>
          <w:trHeight w:val="220"/>
          <w:jc w:val="center"/>
        </w:trPr>
        <w:tc>
          <w:tcPr>
            <w:tcW w:w="1696" w:type="dxa"/>
          </w:tcPr>
          <w:p w14:paraId="7576FF07" w14:textId="77777777" w:rsidR="007840E6" w:rsidRPr="007379AD" w:rsidRDefault="007840E6" w:rsidP="00681832">
            <w:pPr>
              <w:spacing w:before="40" w:after="40"/>
              <w:jc w:val="center"/>
              <w:rPr>
                <w:rFonts w:ascii="Arial Narrow" w:hAnsi="Arial Narrow" w:cstheme="minorHAnsi"/>
                <w:b/>
                <w:bCs/>
              </w:rPr>
            </w:pPr>
            <w:r w:rsidRPr="007379AD">
              <w:rPr>
                <w:rFonts w:ascii="Arial Narrow" w:hAnsi="Arial Narrow" w:cstheme="minorHAnsi"/>
              </w:rPr>
              <w:t>4991</w:t>
            </w:r>
          </w:p>
        </w:tc>
        <w:tc>
          <w:tcPr>
            <w:tcW w:w="5387" w:type="dxa"/>
          </w:tcPr>
          <w:p w14:paraId="712293B8" w14:textId="198E700B" w:rsidR="007840E6" w:rsidRPr="007379AD" w:rsidRDefault="00681832" w:rsidP="00681832">
            <w:pPr>
              <w:spacing w:before="40" w:after="40"/>
              <w:rPr>
                <w:rFonts w:ascii="Arial Narrow" w:hAnsi="Arial Narrow" w:cstheme="minorHAnsi"/>
                <w:b/>
                <w:bCs/>
              </w:rPr>
            </w:pPr>
            <w:r>
              <w:rPr>
                <w:rFonts w:ascii="Arial Narrow" w:hAnsi="Arial Narrow" w:cstheme="minorHAnsi"/>
              </w:rPr>
              <w:t xml:space="preserve">SGLT2 inhibitor: </w:t>
            </w:r>
            <w:r w:rsidR="007840E6" w:rsidRPr="007379AD">
              <w:rPr>
                <w:rFonts w:ascii="Arial Narrow" w:hAnsi="Arial Narrow" w:cstheme="minorHAnsi"/>
              </w:rPr>
              <w:t>Dual therapy</w:t>
            </w:r>
            <w:r>
              <w:rPr>
                <w:rFonts w:ascii="Arial Narrow" w:hAnsi="Arial Narrow" w:cstheme="minorHAnsi"/>
              </w:rPr>
              <w:t xml:space="preserve"> - </w:t>
            </w:r>
            <w:r w:rsidR="007840E6" w:rsidRPr="007379AD">
              <w:rPr>
                <w:rFonts w:ascii="Arial Narrow" w:hAnsi="Arial Narrow" w:cstheme="minorHAnsi"/>
              </w:rPr>
              <w:t xml:space="preserve">SGLT2 </w:t>
            </w:r>
            <w:r>
              <w:rPr>
                <w:rFonts w:ascii="Arial Narrow" w:hAnsi="Arial Narrow" w:cstheme="minorHAnsi"/>
              </w:rPr>
              <w:t xml:space="preserve">inhibitor </w:t>
            </w:r>
            <w:r w:rsidR="007840E6" w:rsidRPr="007379AD">
              <w:rPr>
                <w:rFonts w:ascii="Arial Narrow" w:hAnsi="Arial Narrow" w:cstheme="minorHAnsi"/>
              </w:rPr>
              <w:t>+ insulin</w:t>
            </w:r>
          </w:p>
        </w:tc>
        <w:tc>
          <w:tcPr>
            <w:tcW w:w="1896" w:type="dxa"/>
          </w:tcPr>
          <w:p w14:paraId="5689F480" w14:textId="77777777" w:rsidR="007840E6" w:rsidRPr="007379AD" w:rsidRDefault="007840E6" w:rsidP="00681832">
            <w:pPr>
              <w:spacing w:before="40" w:after="40"/>
              <w:jc w:val="center"/>
              <w:rPr>
                <w:rFonts w:ascii="Arial Narrow" w:hAnsi="Arial Narrow" w:cstheme="minorHAnsi"/>
                <w:b/>
                <w:bCs/>
              </w:rPr>
            </w:pPr>
            <w:r w:rsidRPr="007379AD">
              <w:rPr>
                <w:rFonts w:ascii="Arial Narrow" w:hAnsi="Arial Narrow" w:cstheme="minorHAnsi"/>
              </w:rPr>
              <w:t>Advice required</w:t>
            </w:r>
          </w:p>
        </w:tc>
      </w:tr>
      <w:tr w:rsidR="007840E6" w:rsidRPr="007379AD" w14:paraId="67F2C28E" w14:textId="77777777" w:rsidTr="00681832">
        <w:trPr>
          <w:trHeight w:val="181"/>
          <w:jc w:val="center"/>
        </w:trPr>
        <w:tc>
          <w:tcPr>
            <w:tcW w:w="1696" w:type="dxa"/>
          </w:tcPr>
          <w:p w14:paraId="10610043" w14:textId="77777777" w:rsidR="007840E6" w:rsidRPr="007379AD" w:rsidRDefault="007840E6" w:rsidP="00681832">
            <w:pPr>
              <w:spacing w:before="40" w:after="40"/>
              <w:jc w:val="center"/>
              <w:rPr>
                <w:rFonts w:ascii="Arial Narrow" w:hAnsi="Arial Narrow" w:cstheme="minorHAnsi"/>
                <w:b/>
                <w:bCs/>
              </w:rPr>
            </w:pPr>
            <w:r w:rsidRPr="007379AD">
              <w:rPr>
                <w:rFonts w:ascii="Arial Narrow" w:hAnsi="Arial Narrow" w:cstheme="minorHAnsi"/>
              </w:rPr>
              <w:t>5629</w:t>
            </w:r>
          </w:p>
        </w:tc>
        <w:tc>
          <w:tcPr>
            <w:tcW w:w="5387" w:type="dxa"/>
          </w:tcPr>
          <w:p w14:paraId="7453B8B8" w14:textId="7442EAB9" w:rsidR="007840E6" w:rsidRPr="007379AD" w:rsidRDefault="00681832" w:rsidP="00681832">
            <w:pPr>
              <w:spacing w:before="40" w:after="40"/>
              <w:rPr>
                <w:rFonts w:ascii="Arial Narrow" w:hAnsi="Arial Narrow" w:cstheme="minorHAnsi"/>
                <w:b/>
                <w:bCs/>
              </w:rPr>
            </w:pPr>
            <w:r>
              <w:rPr>
                <w:rFonts w:ascii="Arial Narrow" w:hAnsi="Arial Narrow" w:cstheme="minorHAnsi"/>
              </w:rPr>
              <w:t xml:space="preserve">SGLT2 inhibitor: </w:t>
            </w:r>
            <w:r w:rsidR="007840E6" w:rsidRPr="007379AD">
              <w:rPr>
                <w:rFonts w:ascii="Arial Narrow" w:hAnsi="Arial Narrow" w:cstheme="minorHAnsi"/>
              </w:rPr>
              <w:t>Triple therapy</w:t>
            </w:r>
            <w:r>
              <w:rPr>
                <w:rFonts w:ascii="Arial Narrow" w:hAnsi="Arial Narrow" w:cstheme="minorHAnsi"/>
              </w:rPr>
              <w:t xml:space="preserve"> - </w:t>
            </w:r>
            <w:r w:rsidR="007840E6" w:rsidRPr="007379AD">
              <w:rPr>
                <w:rFonts w:ascii="Arial Narrow" w:hAnsi="Arial Narrow" w:cstheme="minorHAnsi"/>
              </w:rPr>
              <w:t>SGLT2</w:t>
            </w:r>
            <w:r>
              <w:rPr>
                <w:rFonts w:ascii="Arial Narrow" w:hAnsi="Arial Narrow" w:cstheme="minorHAnsi"/>
              </w:rPr>
              <w:t xml:space="preserve"> inhibitor</w:t>
            </w:r>
            <w:r w:rsidR="007840E6" w:rsidRPr="007379AD">
              <w:rPr>
                <w:rFonts w:ascii="Arial Narrow" w:hAnsi="Arial Narrow" w:cstheme="minorHAnsi"/>
              </w:rPr>
              <w:t xml:space="preserve"> + </w:t>
            </w:r>
            <w:r>
              <w:rPr>
                <w:rFonts w:ascii="Arial Narrow" w:hAnsi="Arial Narrow" w:cstheme="minorHAnsi"/>
              </w:rPr>
              <w:t>MET</w:t>
            </w:r>
            <w:r w:rsidR="007840E6" w:rsidRPr="007379AD">
              <w:rPr>
                <w:rFonts w:ascii="Arial Narrow" w:hAnsi="Arial Narrow" w:cstheme="minorHAnsi"/>
              </w:rPr>
              <w:t xml:space="preserve"> + SU</w:t>
            </w:r>
          </w:p>
        </w:tc>
        <w:tc>
          <w:tcPr>
            <w:tcW w:w="1896" w:type="dxa"/>
          </w:tcPr>
          <w:p w14:paraId="4AE25564" w14:textId="77777777" w:rsidR="007840E6" w:rsidRPr="007379AD" w:rsidRDefault="007840E6" w:rsidP="00681832">
            <w:pPr>
              <w:spacing w:before="40" w:after="40"/>
              <w:jc w:val="center"/>
              <w:rPr>
                <w:rFonts w:ascii="Arial Narrow" w:hAnsi="Arial Narrow" w:cstheme="minorHAnsi"/>
                <w:b/>
                <w:bCs/>
              </w:rPr>
            </w:pPr>
            <w:r w:rsidRPr="007379AD">
              <w:rPr>
                <w:rFonts w:ascii="Arial Narrow" w:hAnsi="Arial Narrow" w:cstheme="minorHAnsi"/>
              </w:rPr>
              <w:t>Advice required</w:t>
            </w:r>
          </w:p>
        </w:tc>
      </w:tr>
      <w:tr w:rsidR="007840E6" w:rsidRPr="007379AD" w14:paraId="0905D2CC" w14:textId="77777777" w:rsidTr="00681832">
        <w:trPr>
          <w:trHeight w:val="143"/>
          <w:jc w:val="center"/>
        </w:trPr>
        <w:tc>
          <w:tcPr>
            <w:tcW w:w="1696" w:type="dxa"/>
          </w:tcPr>
          <w:p w14:paraId="6EC50642" w14:textId="77777777" w:rsidR="007840E6" w:rsidRPr="007379AD" w:rsidRDefault="007840E6" w:rsidP="00681832">
            <w:pPr>
              <w:spacing w:before="40" w:after="40"/>
              <w:jc w:val="center"/>
              <w:rPr>
                <w:rFonts w:ascii="Arial Narrow" w:hAnsi="Arial Narrow" w:cstheme="minorHAnsi"/>
                <w:b/>
                <w:bCs/>
              </w:rPr>
            </w:pPr>
            <w:r w:rsidRPr="007379AD">
              <w:rPr>
                <w:rFonts w:ascii="Arial Narrow" w:hAnsi="Arial Narrow" w:cstheme="minorHAnsi"/>
              </w:rPr>
              <w:t>5798</w:t>
            </w:r>
          </w:p>
        </w:tc>
        <w:tc>
          <w:tcPr>
            <w:tcW w:w="5387" w:type="dxa"/>
          </w:tcPr>
          <w:p w14:paraId="178E05E5" w14:textId="0CF27AAD" w:rsidR="007840E6" w:rsidRPr="007379AD" w:rsidRDefault="00681832" w:rsidP="00681832">
            <w:pPr>
              <w:spacing w:before="40" w:after="40"/>
              <w:rPr>
                <w:rFonts w:ascii="Arial Narrow" w:hAnsi="Arial Narrow" w:cstheme="minorHAnsi"/>
                <w:b/>
                <w:bCs/>
              </w:rPr>
            </w:pPr>
            <w:r>
              <w:rPr>
                <w:rFonts w:ascii="Arial Narrow" w:hAnsi="Arial Narrow" w:cstheme="minorHAnsi"/>
              </w:rPr>
              <w:t xml:space="preserve">SGLT2 inhibitor + MET FDC: </w:t>
            </w:r>
            <w:r w:rsidR="007840E6" w:rsidRPr="007379AD">
              <w:rPr>
                <w:rFonts w:ascii="Arial Narrow" w:hAnsi="Arial Narrow" w:cstheme="minorHAnsi"/>
              </w:rPr>
              <w:t>Triple therapy</w:t>
            </w:r>
            <w:r>
              <w:rPr>
                <w:rFonts w:ascii="Arial Narrow" w:hAnsi="Arial Narrow" w:cstheme="minorHAnsi"/>
              </w:rPr>
              <w:t xml:space="preserve"> - </w:t>
            </w:r>
            <w:r w:rsidR="007840E6" w:rsidRPr="007379AD">
              <w:rPr>
                <w:rFonts w:ascii="Arial Narrow" w:hAnsi="Arial Narrow" w:cstheme="minorHAnsi"/>
              </w:rPr>
              <w:t xml:space="preserve">SGLT2 + </w:t>
            </w:r>
            <w:r>
              <w:rPr>
                <w:rFonts w:ascii="Arial Narrow" w:hAnsi="Arial Narrow" w:cstheme="minorHAnsi"/>
              </w:rPr>
              <w:t>MET</w:t>
            </w:r>
            <w:r w:rsidR="007840E6" w:rsidRPr="007379AD">
              <w:rPr>
                <w:rFonts w:ascii="Arial Narrow" w:hAnsi="Arial Narrow" w:cstheme="minorHAnsi"/>
              </w:rPr>
              <w:t xml:space="preserve"> + SU</w:t>
            </w:r>
          </w:p>
        </w:tc>
        <w:tc>
          <w:tcPr>
            <w:tcW w:w="1896" w:type="dxa"/>
          </w:tcPr>
          <w:p w14:paraId="3E84D5AB" w14:textId="77777777" w:rsidR="007840E6" w:rsidRPr="007379AD" w:rsidRDefault="007840E6" w:rsidP="00681832">
            <w:pPr>
              <w:spacing w:before="40" w:after="40"/>
              <w:jc w:val="center"/>
              <w:rPr>
                <w:rFonts w:ascii="Arial Narrow" w:hAnsi="Arial Narrow" w:cstheme="minorHAnsi"/>
                <w:b/>
                <w:bCs/>
              </w:rPr>
            </w:pPr>
            <w:r w:rsidRPr="007379AD">
              <w:rPr>
                <w:rFonts w:ascii="Arial Narrow" w:hAnsi="Arial Narrow" w:cstheme="minorHAnsi"/>
              </w:rPr>
              <w:t>Advice required</w:t>
            </w:r>
          </w:p>
        </w:tc>
      </w:tr>
      <w:tr w:rsidR="007840E6" w:rsidRPr="007379AD" w14:paraId="70795863" w14:textId="77777777" w:rsidTr="00681832">
        <w:trPr>
          <w:trHeight w:val="105"/>
          <w:jc w:val="center"/>
        </w:trPr>
        <w:tc>
          <w:tcPr>
            <w:tcW w:w="1696" w:type="dxa"/>
          </w:tcPr>
          <w:p w14:paraId="3F748F23" w14:textId="77777777" w:rsidR="007840E6" w:rsidRPr="007379AD" w:rsidRDefault="007840E6" w:rsidP="00681832">
            <w:pPr>
              <w:spacing w:before="40" w:after="40"/>
              <w:jc w:val="center"/>
              <w:rPr>
                <w:rFonts w:ascii="Arial Narrow" w:hAnsi="Arial Narrow" w:cstheme="minorHAnsi"/>
                <w:b/>
                <w:bCs/>
              </w:rPr>
            </w:pPr>
            <w:r w:rsidRPr="007379AD">
              <w:rPr>
                <w:rFonts w:ascii="Arial Narrow" w:hAnsi="Arial Narrow" w:cstheme="minorHAnsi"/>
              </w:rPr>
              <w:t>5657</w:t>
            </w:r>
          </w:p>
        </w:tc>
        <w:tc>
          <w:tcPr>
            <w:tcW w:w="5387" w:type="dxa"/>
          </w:tcPr>
          <w:p w14:paraId="75A3FFF0" w14:textId="0BE6CE1F" w:rsidR="007840E6" w:rsidRPr="007379AD" w:rsidRDefault="00681832" w:rsidP="00681832">
            <w:pPr>
              <w:spacing w:before="40" w:after="40"/>
              <w:rPr>
                <w:rFonts w:ascii="Arial Narrow" w:hAnsi="Arial Narrow" w:cstheme="minorHAnsi"/>
                <w:b/>
                <w:bCs/>
              </w:rPr>
            </w:pPr>
            <w:r>
              <w:rPr>
                <w:rFonts w:ascii="Arial Narrow" w:hAnsi="Arial Narrow" w:cstheme="minorHAnsi"/>
              </w:rPr>
              <w:t xml:space="preserve">SGLT2 inhibitor + MET FDC: </w:t>
            </w:r>
            <w:r w:rsidR="007840E6" w:rsidRPr="007379AD">
              <w:rPr>
                <w:rFonts w:ascii="Arial Narrow" w:hAnsi="Arial Narrow" w:cstheme="minorHAnsi"/>
              </w:rPr>
              <w:t>Triple therapy</w:t>
            </w:r>
            <w:r>
              <w:rPr>
                <w:rFonts w:ascii="Arial Narrow" w:hAnsi="Arial Narrow" w:cstheme="minorHAnsi"/>
              </w:rPr>
              <w:t xml:space="preserve"> - </w:t>
            </w:r>
            <w:r w:rsidR="007840E6" w:rsidRPr="007379AD">
              <w:rPr>
                <w:rFonts w:ascii="Arial Narrow" w:hAnsi="Arial Narrow" w:cstheme="minorHAnsi"/>
              </w:rPr>
              <w:t xml:space="preserve">SGLT2 + </w:t>
            </w:r>
            <w:r>
              <w:rPr>
                <w:rFonts w:ascii="Arial Narrow" w:hAnsi="Arial Narrow" w:cstheme="minorHAnsi"/>
              </w:rPr>
              <w:t>MET</w:t>
            </w:r>
            <w:r w:rsidR="007840E6" w:rsidRPr="007379AD">
              <w:rPr>
                <w:rFonts w:ascii="Arial Narrow" w:hAnsi="Arial Narrow" w:cstheme="minorHAnsi"/>
              </w:rPr>
              <w:t xml:space="preserve"> + insulin</w:t>
            </w:r>
          </w:p>
        </w:tc>
        <w:tc>
          <w:tcPr>
            <w:tcW w:w="1896" w:type="dxa"/>
          </w:tcPr>
          <w:p w14:paraId="2F9E8C4E" w14:textId="77777777" w:rsidR="007840E6" w:rsidRPr="007379AD" w:rsidRDefault="007840E6" w:rsidP="00681832">
            <w:pPr>
              <w:spacing w:before="40" w:after="40"/>
              <w:jc w:val="center"/>
              <w:rPr>
                <w:rFonts w:ascii="Arial Narrow" w:hAnsi="Arial Narrow" w:cstheme="minorHAnsi"/>
                <w:b/>
                <w:bCs/>
              </w:rPr>
            </w:pPr>
            <w:r w:rsidRPr="007379AD">
              <w:rPr>
                <w:rFonts w:ascii="Arial Narrow" w:hAnsi="Arial Narrow" w:cstheme="minorHAnsi"/>
              </w:rPr>
              <w:t>Advice required</w:t>
            </w:r>
          </w:p>
        </w:tc>
      </w:tr>
    </w:tbl>
    <w:p w14:paraId="192A4C53" w14:textId="71108192" w:rsidR="00681832" w:rsidRDefault="007840E6" w:rsidP="00681832">
      <w:pPr>
        <w:pStyle w:val="3Bodytext"/>
        <w:keepNext/>
        <w:keepLines/>
        <w:numPr>
          <w:ilvl w:val="0"/>
          <w:numId w:val="0"/>
        </w:numPr>
        <w:ind w:left="720" w:hanging="720"/>
        <w:rPr>
          <w:rFonts w:ascii="Arial Narrow" w:hAnsi="Arial Narrow"/>
          <w:sz w:val="20"/>
          <w:szCs w:val="20"/>
        </w:rPr>
      </w:pPr>
      <w:r w:rsidRPr="007379AD">
        <w:rPr>
          <w:rFonts w:ascii="Arial Narrow" w:hAnsi="Arial Narrow"/>
          <w:sz w:val="20"/>
          <w:szCs w:val="20"/>
        </w:rPr>
        <w:t>Source: Table 1.6,</w:t>
      </w:r>
      <w:r w:rsidR="00681832">
        <w:rPr>
          <w:rFonts w:ascii="Arial Narrow" w:hAnsi="Arial Narrow"/>
          <w:sz w:val="20"/>
          <w:szCs w:val="20"/>
        </w:rPr>
        <w:t xml:space="preserve"> SGLT2 inhibitor report. Abbreviations: FDC – fixed dose combination; MET – metformin; SU – sulfonylurea.</w:t>
      </w:r>
    </w:p>
    <w:p w14:paraId="5CA34FFF" w14:textId="77777777" w:rsidR="002432AD" w:rsidRPr="007379AD" w:rsidRDefault="002432AD" w:rsidP="002432AD">
      <w:pPr>
        <w:pStyle w:val="3Bodytext"/>
        <w:numPr>
          <w:ilvl w:val="0"/>
          <w:numId w:val="0"/>
        </w:numPr>
        <w:rPr>
          <w:rFonts w:ascii="Arial Narrow" w:hAnsi="Arial Narrow"/>
          <w:sz w:val="20"/>
          <w:szCs w:val="20"/>
        </w:rPr>
      </w:pPr>
    </w:p>
    <w:p w14:paraId="586850AB" w14:textId="6C1329DC" w:rsidR="007840E6" w:rsidRDefault="007840E6" w:rsidP="007840E6">
      <w:pPr>
        <w:pStyle w:val="3Bodytext"/>
      </w:pPr>
      <w:r>
        <w:t>The remaining SGLT2 inhibitor streamlined codes/treatment combinations were excluded from the PBS restriction change proposal on the basis that they were either:</w:t>
      </w:r>
    </w:p>
    <w:p w14:paraId="34EB9A98" w14:textId="69D6DE6D" w:rsidR="007840E6" w:rsidRDefault="007840E6" w:rsidP="007C0A53">
      <w:pPr>
        <w:pStyle w:val="3Bodytext"/>
        <w:numPr>
          <w:ilvl w:val="0"/>
          <w:numId w:val="4"/>
        </w:numPr>
      </w:pPr>
      <w:r>
        <w:t>For continuing treatment</w:t>
      </w:r>
      <w:r w:rsidR="009208B5">
        <w:t>, and patients can access these items provided they have qualified under the relevant ‘initial treatment’ restriction</w:t>
      </w:r>
      <w:r w:rsidR="00681832">
        <w:t>.</w:t>
      </w:r>
      <w:r>
        <w:t xml:space="preserve"> </w:t>
      </w:r>
    </w:p>
    <w:p w14:paraId="2D29C657" w14:textId="469F5367" w:rsidR="003279EE" w:rsidRPr="007639C6" w:rsidRDefault="007840E6" w:rsidP="007C0A53">
      <w:pPr>
        <w:pStyle w:val="3Bodytext"/>
        <w:numPr>
          <w:ilvl w:val="0"/>
          <w:numId w:val="4"/>
        </w:numPr>
      </w:pPr>
      <w:r>
        <w:t>A triple therapy combination, where one of the medicines in the combination (other than the SGLT2</w:t>
      </w:r>
      <w:r w:rsidR="00681832">
        <w:t xml:space="preserve"> inhibitor</w:t>
      </w:r>
      <w:r>
        <w:t>) specifies a glycaemic requirement for PBS subsidy.</w:t>
      </w:r>
      <w:r w:rsidR="009208B5">
        <w:t xml:space="preserve"> Changing this restriction may unintentionally allow patients to bypass the current glycaemic requirements associated with other second-line medicines for T2DM.</w:t>
      </w:r>
    </w:p>
    <w:p w14:paraId="0339AB25" w14:textId="77777777" w:rsidR="00D674EF" w:rsidRPr="008B2041" w:rsidRDefault="00D674EF" w:rsidP="00D674EF">
      <w:pPr>
        <w:pStyle w:val="2Sections"/>
        <w:rPr>
          <w:szCs w:val="28"/>
        </w:rPr>
      </w:pPr>
      <w:r w:rsidRPr="008B2041">
        <w:rPr>
          <w:szCs w:val="28"/>
        </w:rPr>
        <w:t>PBAC Outcome</w:t>
      </w:r>
    </w:p>
    <w:p w14:paraId="29DD65D2" w14:textId="20728970" w:rsidR="00284303" w:rsidRPr="00284303" w:rsidRDefault="00D359B7" w:rsidP="00284303">
      <w:pPr>
        <w:pStyle w:val="3Bodytext"/>
      </w:pPr>
      <w:r>
        <w:t>The PBAC deferred making a</w:t>
      </w:r>
      <w:r w:rsidR="003F7958">
        <w:t xml:space="preserve"> decision to recommend </w:t>
      </w:r>
      <w:r w:rsidR="003A545D">
        <w:t xml:space="preserve">expansion of </w:t>
      </w:r>
      <w:r w:rsidR="003F7958">
        <w:t>PBS restriction</w:t>
      </w:r>
      <w:r w:rsidR="003A545D">
        <w:t xml:space="preserve">s </w:t>
      </w:r>
      <w:r w:rsidR="00284303" w:rsidRPr="00284303">
        <w:t xml:space="preserve">to allow earlier subsidised access to SGLT2 inhibitors in T2DM patients </w:t>
      </w:r>
      <w:r w:rsidR="003F7958">
        <w:t xml:space="preserve">as </w:t>
      </w:r>
      <w:r w:rsidR="003A545D">
        <w:t>add-on</w:t>
      </w:r>
      <w:r w:rsidR="003F7958">
        <w:t xml:space="preserve"> therapy to metformin</w:t>
      </w:r>
      <w:r w:rsidR="00284303" w:rsidRPr="00284303">
        <w:t xml:space="preserve"> if they have established or are at high risk of CVD, without the requirement to have a specific unmet glycaemic target.</w:t>
      </w:r>
      <w:r w:rsidR="007F7DD4">
        <w:t xml:space="preserve"> </w:t>
      </w:r>
      <w:r w:rsidR="006E69F2">
        <w:t>T</w:t>
      </w:r>
      <w:r w:rsidR="006E69F2" w:rsidRPr="009C3702">
        <w:t xml:space="preserve">he PBAC requested further analyses </w:t>
      </w:r>
      <w:r w:rsidR="006E69F2">
        <w:t xml:space="preserve">due to </w:t>
      </w:r>
      <w:r w:rsidR="009C3702" w:rsidRPr="009C3702">
        <w:t xml:space="preserve">the very high and uncertain net cost to the PBS over the first five years of listing and PBAC concerns about the acceptability of the estimated cost-effectiveness for the proposed expanded listings at current </w:t>
      </w:r>
      <w:r w:rsidR="006E69F2">
        <w:t xml:space="preserve">SGLT2 inhibitor </w:t>
      </w:r>
      <w:r w:rsidR="009C3702" w:rsidRPr="009C3702">
        <w:t>prices.</w:t>
      </w:r>
      <w:r w:rsidR="00EE22EF">
        <w:t xml:space="preserve"> </w:t>
      </w:r>
    </w:p>
    <w:p w14:paraId="4E99E274" w14:textId="77777777" w:rsidR="002E31FE" w:rsidRDefault="00C51931" w:rsidP="004F7BE7">
      <w:pPr>
        <w:pStyle w:val="3Bodytext"/>
      </w:pPr>
      <w:r>
        <w:t>T</w:t>
      </w:r>
      <w:r w:rsidRPr="005E2097">
        <w:t xml:space="preserve">he PBAC </w:t>
      </w:r>
      <w:r>
        <w:t>considered</w:t>
      </w:r>
      <w:r w:rsidRPr="005E2097">
        <w:t xml:space="preserve"> sponsor </w:t>
      </w:r>
      <w:r>
        <w:t>comments</w:t>
      </w:r>
      <w:r w:rsidRPr="005E2097">
        <w:t xml:space="preserve">, </w:t>
      </w:r>
      <w:r w:rsidR="0078399F">
        <w:t xml:space="preserve">the </w:t>
      </w:r>
      <w:r w:rsidRPr="005E2097">
        <w:t>ESC and DUSC October 2021 advice</w:t>
      </w:r>
      <w:r>
        <w:t>, and the SGLT2 inhibitor</w:t>
      </w:r>
      <w:r w:rsidR="0078399F">
        <w:t xml:space="preserve"> report</w:t>
      </w:r>
      <w:r>
        <w:t>.</w:t>
      </w:r>
      <w:r w:rsidRPr="005E2097">
        <w:t xml:space="preserve"> </w:t>
      </w:r>
    </w:p>
    <w:p w14:paraId="639D7117" w14:textId="6D96D5ED" w:rsidR="004F7BE7" w:rsidRDefault="004F7BE7" w:rsidP="004F7BE7">
      <w:pPr>
        <w:pStyle w:val="3Bodytext"/>
      </w:pPr>
      <w:r>
        <w:t xml:space="preserve">The PBAC noted the SGLT2 inhibitor </w:t>
      </w:r>
      <w:r w:rsidR="00FD18AE">
        <w:t xml:space="preserve">report </w:t>
      </w:r>
      <w:r>
        <w:t>presented a</w:t>
      </w:r>
      <w:r w:rsidRPr="0073410C">
        <w:t xml:space="preserve"> cost-utility evaluation using </w:t>
      </w:r>
      <w:r w:rsidR="0018617F">
        <w:t>an</w:t>
      </w:r>
      <w:r w:rsidR="0018617F" w:rsidRPr="0073410C">
        <w:t xml:space="preserve"> </w:t>
      </w:r>
      <w:r w:rsidRPr="0073410C">
        <w:t xml:space="preserve">adaptation and calibration of a reference model [UKPDS OM2] to assess the cost-effectiveness of SGLT2 inhibitors compared to SUs as dual therapy with metformin for the treatment of T2DM. </w:t>
      </w:r>
      <w:r w:rsidR="0018617F">
        <w:t xml:space="preserve">The </w:t>
      </w:r>
      <w:r>
        <w:t>PBAC noted the model appropriately used</w:t>
      </w:r>
      <w:r w:rsidRPr="0073410C">
        <w:t xml:space="preserve"> Australian-specific mortality, cost and patient data to calibrate the original UKPDS OM to </w:t>
      </w:r>
      <w:r>
        <w:t>reflect</w:t>
      </w:r>
      <w:r w:rsidRPr="0073410C">
        <w:t xml:space="preserve"> a contemporary Australian setting.</w:t>
      </w:r>
      <w:r>
        <w:t xml:space="preserve"> The PBAC noted the ICERs </w:t>
      </w:r>
      <w:r w:rsidR="0018617F">
        <w:t>for</w:t>
      </w:r>
      <w:r>
        <w:t xml:space="preserve"> the base case were</w:t>
      </w:r>
      <w:r w:rsidRPr="00466600">
        <w:t xml:space="preserve"> $29,939</w:t>
      </w:r>
      <w:r>
        <w:t>/QALY</w:t>
      </w:r>
      <w:r w:rsidRPr="00466600">
        <w:t xml:space="preserve"> for men and $27,316</w:t>
      </w:r>
      <w:r>
        <w:t>/</w:t>
      </w:r>
      <w:r w:rsidRPr="00466600">
        <w:t>QALY for women</w:t>
      </w:r>
      <w:r>
        <w:t xml:space="preserve">, and </w:t>
      </w:r>
      <w:r w:rsidR="00047312" w:rsidRPr="00047312">
        <w:t>that the ICERs for SGLT2 inhibitors compared with SUs remained below $50,000 per QALY for a wide range of assumptions regarding the duration of treatment effects and costs associated with diabetes-related complications</w:t>
      </w:r>
      <w:r w:rsidR="00047312">
        <w:t xml:space="preserve">. The </w:t>
      </w:r>
      <w:r w:rsidRPr="00466600">
        <w:t>evidence presented</w:t>
      </w:r>
      <w:r>
        <w:t xml:space="preserve"> in the </w:t>
      </w:r>
      <w:r w:rsidR="00FD18AE">
        <w:t xml:space="preserve">report </w:t>
      </w:r>
      <w:r w:rsidR="00047312">
        <w:t xml:space="preserve">also </w:t>
      </w:r>
      <w:r>
        <w:t>suggested</w:t>
      </w:r>
      <w:r w:rsidRPr="00466600">
        <w:t xml:space="preserve"> </w:t>
      </w:r>
      <w:r w:rsidRPr="00466600">
        <w:lastRenderedPageBreak/>
        <w:t xml:space="preserve">that SGLT2 inhibitors are </w:t>
      </w:r>
      <w:r w:rsidRPr="002A3F8C">
        <w:t>likely to be clinically effective compared to SU in the second</w:t>
      </w:r>
      <w:r w:rsidR="00FD18AE">
        <w:t>-</w:t>
      </w:r>
      <w:r w:rsidRPr="002A3F8C">
        <w:t xml:space="preserve">line setting for T2DM. However, the PBAC </w:t>
      </w:r>
      <w:r w:rsidR="004F24BD">
        <w:t>recalled</w:t>
      </w:r>
      <w:r w:rsidRPr="002A3F8C">
        <w:t xml:space="preserve"> it has previously considered preventative therapies</w:t>
      </w:r>
      <w:r w:rsidR="004F24BD">
        <w:t>, particularly those with a high and uncertain net cost to the PBS,</w:t>
      </w:r>
      <w:r w:rsidRPr="002A3F8C">
        <w:t xml:space="preserve"> to </w:t>
      </w:r>
      <w:r w:rsidR="0049228A">
        <w:t xml:space="preserve">need a lower ICER to demonstrate </w:t>
      </w:r>
      <w:r w:rsidRPr="002A3F8C">
        <w:t>cost-effective</w:t>
      </w:r>
      <w:r w:rsidR="0049228A">
        <w:t>ness</w:t>
      </w:r>
      <w:r w:rsidR="009C3702">
        <w:t>,</w:t>
      </w:r>
      <w:r w:rsidR="00AE1575">
        <w:t xml:space="preserve"> </w:t>
      </w:r>
      <w:r w:rsidRPr="002A3F8C">
        <w:t xml:space="preserve">than </w:t>
      </w:r>
      <w:r w:rsidR="00047312" w:rsidRPr="002A3F8C">
        <w:t>the base case</w:t>
      </w:r>
      <w:r w:rsidR="00EB65A5">
        <w:t xml:space="preserve"> </w:t>
      </w:r>
      <w:r w:rsidR="0049228A">
        <w:t xml:space="preserve">ICER </w:t>
      </w:r>
      <w:r w:rsidR="00EB65A5">
        <w:t>presented in th</w:t>
      </w:r>
      <w:r w:rsidR="00FD18AE">
        <w:t>e report</w:t>
      </w:r>
      <w:r w:rsidR="00047312" w:rsidRPr="002A3F8C">
        <w:t>.</w:t>
      </w:r>
      <w:r w:rsidR="00EE22EF" w:rsidRPr="002A3F8C">
        <w:t xml:space="preserve"> </w:t>
      </w:r>
      <w:r w:rsidR="00047312" w:rsidRPr="002A3F8C">
        <w:t>The PBAC</w:t>
      </w:r>
      <w:r w:rsidR="00EE22EF" w:rsidRPr="002A3F8C">
        <w:t xml:space="preserve"> </w:t>
      </w:r>
      <w:r w:rsidR="00C540ED" w:rsidRPr="002A3F8C">
        <w:t>considered</w:t>
      </w:r>
      <w:r w:rsidR="00EE22EF" w:rsidRPr="002A3F8C">
        <w:t xml:space="preserve"> that a price reduction for SGLT2 inhibitors would be required to bring</w:t>
      </w:r>
      <w:r w:rsidR="00EE22EF" w:rsidRPr="00EE22EF">
        <w:t xml:space="preserve"> the ICER </w:t>
      </w:r>
      <w:r w:rsidR="00B52D3A">
        <w:t xml:space="preserve">for the expanded listing </w:t>
      </w:r>
      <w:r w:rsidR="00EE22EF" w:rsidRPr="00EE22EF">
        <w:t>into an acceptable range</w:t>
      </w:r>
      <w:r w:rsidR="00EE22EF">
        <w:t>. The PBAC requested</w:t>
      </w:r>
      <w:r w:rsidR="00EE22EF" w:rsidRPr="00EE22EF">
        <w:t xml:space="preserve"> the Department </w:t>
      </w:r>
      <w:r w:rsidR="00047312" w:rsidRPr="00047312">
        <w:t xml:space="preserve">present revised scenarios and modelled estimates of cost to the PBS </w:t>
      </w:r>
      <w:r w:rsidR="00047312">
        <w:t xml:space="preserve">to further inform </w:t>
      </w:r>
      <w:r w:rsidR="00047312" w:rsidRPr="00047312">
        <w:t>the range of acceptable ICER</w:t>
      </w:r>
      <w:r w:rsidR="00047312">
        <w:t>s</w:t>
      </w:r>
      <w:r w:rsidR="00047312" w:rsidRPr="00047312">
        <w:t xml:space="preserve"> for subsidised access to SGLT2 inhibitors for </w:t>
      </w:r>
      <w:r w:rsidR="006F2C34">
        <w:t>the proposed</w:t>
      </w:r>
      <w:r w:rsidR="00047312" w:rsidRPr="00047312">
        <w:t xml:space="preserve"> population</w:t>
      </w:r>
      <w:r w:rsidR="00047312">
        <w:t>.</w:t>
      </w:r>
    </w:p>
    <w:p w14:paraId="70D62B68" w14:textId="009151A3" w:rsidR="004F7BE7" w:rsidRDefault="006B3065" w:rsidP="006B3065">
      <w:pPr>
        <w:pStyle w:val="3Bodytext"/>
      </w:pPr>
      <w:r>
        <w:t>The PBAC</w:t>
      </w:r>
      <w:r w:rsidR="00466600" w:rsidRPr="00466600">
        <w:t xml:space="preserve"> </w:t>
      </w:r>
      <w:r w:rsidR="00466600">
        <w:t xml:space="preserve">acknowledged </w:t>
      </w:r>
      <w:r w:rsidR="004F7BE7">
        <w:t xml:space="preserve">the clinical rationale for expanding the PBS listings for SGLT2 inhibitors to a broader population but noted </w:t>
      </w:r>
      <w:r w:rsidR="00466600">
        <w:t xml:space="preserve">DUSC advice that </w:t>
      </w:r>
      <w:r w:rsidR="004F7BE7">
        <w:t>the expansion of these listings</w:t>
      </w:r>
      <w:r w:rsidR="00466600" w:rsidRPr="00466600">
        <w:t xml:space="preserve"> in the proposed population </w:t>
      </w:r>
      <w:r w:rsidR="00F340DE">
        <w:t>will</w:t>
      </w:r>
      <w:r w:rsidR="00466600" w:rsidRPr="00466600">
        <w:t xml:space="preserve"> have a s</w:t>
      </w:r>
      <w:r w:rsidR="00AA216C">
        <w:t xml:space="preserve">ubstantial </w:t>
      </w:r>
      <w:r w:rsidR="00466600" w:rsidRPr="00466600">
        <w:t>financial impact</w:t>
      </w:r>
      <w:r w:rsidR="00EB65A5">
        <w:t xml:space="preserve"> and </w:t>
      </w:r>
      <w:r w:rsidR="00AA216C">
        <w:t>associated opportunity cost</w:t>
      </w:r>
      <w:r w:rsidR="00FD18AE">
        <w:t>.</w:t>
      </w:r>
      <w:r w:rsidR="00EB65A5">
        <w:t xml:space="preserve"> </w:t>
      </w:r>
      <w:r>
        <w:t xml:space="preserve"> </w:t>
      </w:r>
      <w:r w:rsidR="004F7BE7" w:rsidRPr="004F7BE7">
        <w:t xml:space="preserve">The </w:t>
      </w:r>
      <w:r w:rsidR="004F7BE7">
        <w:t>(</w:t>
      </w:r>
      <w:r w:rsidR="00AA216C">
        <w:t>Scenario 1</w:t>
      </w:r>
      <w:r w:rsidR="00C51931">
        <w:t xml:space="preserve"> </w:t>
      </w:r>
      <w:r w:rsidR="004F7BE7">
        <w:t xml:space="preserve">base case) </w:t>
      </w:r>
      <w:r w:rsidR="004F7BE7" w:rsidRPr="004F7BE7">
        <w:t xml:space="preserve">net cost </w:t>
      </w:r>
      <w:r w:rsidR="00EB65A5">
        <w:t xml:space="preserve">to the PBS </w:t>
      </w:r>
      <w:r w:rsidR="004F7BE7" w:rsidRPr="004F7BE7">
        <w:t>of the proposed restrictions allow</w:t>
      </w:r>
      <w:r w:rsidR="004F7BE7">
        <w:t>ing</w:t>
      </w:r>
      <w:r w:rsidR="004F7BE7" w:rsidRPr="004F7BE7">
        <w:t xml:space="preserve"> earlier access to SGLT2 inhibitor medicines </w:t>
      </w:r>
      <w:r w:rsidR="004F7BE7">
        <w:t xml:space="preserve">in </w:t>
      </w:r>
      <w:r w:rsidR="00EB65A5">
        <w:t xml:space="preserve">the T2DM </w:t>
      </w:r>
      <w:r w:rsidR="004F7BE7">
        <w:t>population</w:t>
      </w:r>
      <w:r w:rsidR="004F7BE7" w:rsidRPr="004F7BE7">
        <w:t xml:space="preserve"> was estimated to be $108 million in 2022, increasing to $200 million in 2026</w:t>
      </w:r>
      <w:r w:rsidR="00DA0ED4">
        <w:t xml:space="preserve"> based on current prices</w:t>
      </w:r>
      <w:r w:rsidR="004F7BE7" w:rsidRPr="004F7BE7">
        <w:t>.</w:t>
      </w:r>
    </w:p>
    <w:p w14:paraId="7A4E9F0E" w14:textId="61F5975B" w:rsidR="00466600" w:rsidRDefault="00466600" w:rsidP="00466600">
      <w:pPr>
        <w:pStyle w:val="3Bodytext"/>
      </w:pPr>
      <w:r>
        <w:t xml:space="preserve">The PBAC noted DUSC concerns that while the eligible population and </w:t>
      </w:r>
      <w:r w:rsidRPr="005A38A1">
        <w:t xml:space="preserve">uptake rates </w:t>
      </w:r>
      <w:r>
        <w:t>presented</w:t>
      </w:r>
      <w:r w:rsidRPr="005A38A1">
        <w:t xml:space="preserve"> </w:t>
      </w:r>
      <w:r>
        <w:t>in</w:t>
      </w:r>
      <w:r w:rsidRPr="005A38A1">
        <w:t xml:space="preserve"> the base case</w:t>
      </w:r>
      <w:r w:rsidR="00EB65A5">
        <w:t xml:space="preserve"> estimates</w:t>
      </w:r>
      <w:r>
        <w:t xml:space="preserve"> </w:t>
      </w:r>
      <w:r w:rsidR="006E2BA0">
        <w:t>appear</w:t>
      </w:r>
      <w:r>
        <w:t xml:space="preserve"> reasonable based on the information available, uncertainty remains about whether the </w:t>
      </w:r>
      <w:r w:rsidRPr="008B1262">
        <w:t xml:space="preserve">population and estimated cost to the Government </w:t>
      </w:r>
      <w:r w:rsidR="00EB65A5">
        <w:t xml:space="preserve">could </w:t>
      </w:r>
      <w:r w:rsidR="004F7BE7" w:rsidRPr="008B1262">
        <w:t>be</w:t>
      </w:r>
      <w:r w:rsidRPr="008B1262">
        <w:t xml:space="preserve"> higher given the strong clinical and consumer interest in expanded access to </w:t>
      </w:r>
      <w:r w:rsidR="006F2C34">
        <w:t>SGLT2 inhibitors</w:t>
      </w:r>
      <w:r w:rsidRPr="008B1262">
        <w:t>, supported by current</w:t>
      </w:r>
      <w:r w:rsidR="004B6F1A" w:rsidRPr="008B1262">
        <w:t xml:space="preserve"> clinical</w:t>
      </w:r>
      <w:r w:rsidRPr="008B1262">
        <w:t xml:space="preserve"> guidance</w:t>
      </w:r>
      <w:r w:rsidR="004B6F1A" w:rsidRPr="008B1262">
        <w:t xml:space="preserve"> and sponsor promotion</w:t>
      </w:r>
      <w:r w:rsidRPr="008B1262">
        <w:t>.</w:t>
      </w:r>
      <w:r w:rsidR="00C77A45" w:rsidRPr="008B1262">
        <w:t xml:space="preserve"> The PBAC noted that according to </w:t>
      </w:r>
      <w:r w:rsidR="00C540ED" w:rsidRPr="00C540ED">
        <w:t>Australian Institute of Health and Welfare</w:t>
      </w:r>
      <w:r w:rsidR="00C540ED">
        <w:t xml:space="preserve"> (</w:t>
      </w:r>
      <w:r w:rsidR="00C77A45" w:rsidRPr="008B1262">
        <w:t>AIHW</w:t>
      </w:r>
      <w:r w:rsidR="00C540ED">
        <w:t>)</w:t>
      </w:r>
      <w:r w:rsidR="00C77A45" w:rsidRPr="008B1262">
        <w:t xml:space="preserve"> data in 2011-12, the </w:t>
      </w:r>
      <w:r w:rsidR="006F2C34">
        <w:t>number</w:t>
      </w:r>
      <w:r w:rsidR="00C77A45" w:rsidRPr="008B1262">
        <w:t xml:space="preserve"> of Australians with diabetes with a HbA1c less than 7% was approximately 500,000 persons but the proportion of these patients who have CVD or two or</w:t>
      </w:r>
      <w:r w:rsidR="00C77A45">
        <w:t xml:space="preserve"> more CVD risk factors is not known.</w:t>
      </w:r>
      <w:r w:rsidR="00EB65A5">
        <w:t xml:space="preserve"> This </w:t>
      </w:r>
      <w:r w:rsidR="00AA216C">
        <w:t xml:space="preserve">was consistent with the proposed eligible T2DM </w:t>
      </w:r>
      <w:r w:rsidR="00EB65A5">
        <w:t>population</w:t>
      </w:r>
      <w:r w:rsidR="00AA216C">
        <w:t xml:space="preserve"> identified</w:t>
      </w:r>
      <w:r w:rsidR="00EB65A5">
        <w:t xml:space="preserve"> </w:t>
      </w:r>
      <w:r w:rsidR="00AA216C">
        <w:t xml:space="preserve">in the PBS dataset on which the CER estimates were based. </w:t>
      </w:r>
    </w:p>
    <w:p w14:paraId="3C24FC0C" w14:textId="25BC604B" w:rsidR="00284DE7" w:rsidRPr="008B1262" w:rsidRDefault="00A27288" w:rsidP="00613127">
      <w:pPr>
        <w:pStyle w:val="3Bodytext"/>
      </w:pPr>
      <w:r>
        <w:t>The PBAC considered</w:t>
      </w:r>
      <w:r w:rsidR="00BA4D4D">
        <w:t xml:space="preserve"> the total net cost of $769 million over the first five years</w:t>
      </w:r>
      <w:r w:rsidR="00DB700F">
        <w:t xml:space="preserve"> of listing</w:t>
      </w:r>
      <w:r w:rsidR="00BA4D4D">
        <w:t xml:space="preserve"> to be </w:t>
      </w:r>
      <w:r w:rsidR="00C87591">
        <w:t>high</w:t>
      </w:r>
      <w:r>
        <w:t xml:space="preserve"> and uncertain, and </w:t>
      </w:r>
      <w:r w:rsidRPr="0057652D">
        <w:t xml:space="preserve">with some concerns that this may represent a conservative estimate of the </w:t>
      </w:r>
      <w:r w:rsidR="005E267C" w:rsidRPr="0057652D">
        <w:t>financial impact to</w:t>
      </w:r>
      <w:r w:rsidR="005E267C" w:rsidRPr="008B1262">
        <w:t xml:space="preserve"> the PBS</w:t>
      </w:r>
      <w:r w:rsidR="00BA4D4D" w:rsidRPr="008B1262">
        <w:t>.</w:t>
      </w:r>
      <w:r w:rsidR="0013283B" w:rsidRPr="008B1262">
        <w:t xml:space="preserve"> </w:t>
      </w:r>
      <w:r w:rsidRPr="008B1262">
        <w:t>The</w:t>
      </w:r>
      <w:r w:rsidR="0013283B" w:rsidRPr="008B1262">
        <w:t xml:space="preserve"> </w:t>
      </w:r>
      <w:r w:rsidRPr="008B1262">
        <w:t>PBAC noted prescribing practices have and will continue to change with SGLT2 inhibitors being used for their CV and renal benefits</w:t>
      </w:r>
      <w:r w:rsidR="00AA216C">
        <w:t>,</w:t>
      </w:r>
      <w:r w:rsidR="00C51931">
        <w:t xml:space="preserve"> rather than</w:t>
      </w:r>
      <w:r w:rsidRPr="008B1262">
        <w:t xml:space="preserve"> just for their glycaemic effects</w:t>
      </w:r>
      <w:r w:rsidR="004B6F1A" w:rsidRPr="008B1262">
        <w:t xml:space="preserve"> and the potential for </w:t>
      </w:r>
      <w:r w:rsidR="00A22032">
        <w:t>use outside the restrictions</w:t>
      </w:r>
      <w:r w:rsidR="004B6F1A" w:rsidRPr="008B1262">
        <w:t xml:space="preserve"> into pre-diabet</w:t>
      </w:r>
      <w:r w:rsidR="00820FEA">
        <w:t>es</w:t>
      </w:r>
      <w:r w:rsidR="004B6F1A" w:rsidRPr="008B1262">
        <w:t xml:space="preserve"> and other conditions</w:t>
      </w:r>
      <w:r w:rsidRPr="008B1262">
        <w:t xml:space="preserve">. </w:t>
      </w:r>
      <w:r w:rsidR="00BA4D4D" w:rsidRPr="008B1262">
        <w:t xml:space="preserve">The PBAC </w:t>
      </w:r>
      <w:r w:rsidRPr="008B1262">
        <w:t xml:space="preserve">considered that the eligible population and projected budget impact </w:t>
      </w:r>
      <w:r w:rsidR="006F2C34">
        <w:t>may also</w:t>
      </w:r>
      <w:r w:rsidR="00C87591" w:rsidRPr="008B1262">
        <w:t xml:space="preserve"> </w:t>
      </w:r>
      <w:r w:rsidRPr="008B1262">
        <w:t xml:space="preserve">be affected by </w:t>
      </w:r>
      <w:r w:rsidR="006F2C34">
        <w:t>recent</w:t>
      </w:r>
      <w:r w:rsidRPr="008B1262">
        <w:t xml:space="preserve"> submissions for SGLT2 inhibitors for other clinical indications. </w:t>
      </w:r>
    </w:p>
    <w:p w14:paraId="0126E099" w14:textId="67960F39" w:rsidR="003E364B" w:rsidRDefault="00A14ACF" w:rsidP="00613127">
      <w:pPr>
        <w:pStyle w:val="3Bodytext"/>
      </w:pPr>
      <w:r w:rsidRPr="008B1262">
        <w:t xml:space="preserve">The PBAC </w:t>
      </w:r>
      <w:r w:rsidR="00EF6B95" w:rsidRPr="008B1262">
        <w:t xml:space="preserve">recalled </w:t>
      </w:r>
      <w:r w:rsidR="003E364B" w:rsidRPr="008B1262">
        <w:t>that at its July 2021 meeting, it deferred its decision to recommend</w:t>
      </w:r>
      <w:r w:rsidR="003E364B">
        <w:t xml:space="preserve"> both submissions for </w:t>
      </w:r>
      <w:r w:rsidR="00EF6B95">
        <w:t xml:space="preserve">dapagliflozin for </w:t>
      </w:r>
      <w:r w:rsidR="00C540ED">
        <w:t>CKD and HFrEF</w:t>
      </w:r>
      <w:r w:rsidR="00FA5B5C">
        <w:t xml:space="preserve">. </w:t>
      </w:r>
      <w:r w:rsidR="006F2C34">
        <w:t xml:space="preserve">At the time, </w:t>
      </w:r>
      <w:r w:rsidR="00FA5B5C" w:rsidRPr="00FA5B5C">
        <w:t xml:space="preserve">PBAC </w:t>
      </w:r>
      <w:r w:rsidR="006F2C34">
        <w:t>was</w:t>
      </w:r>
      <w:r w:rsidR="00FA5B5C" w:rsidRPr="00FA5B5C">
        <w:t xml:space="preserve"> concerned about the risk of use outside the proposed PBS restriction</w:t>
      </w:r>
      <w:r w:rsidR="00FA5B5C">
        <w:t xml:space="preserve"> </w:t>
      </w:r>
      <w:r w:rsidR="006F2C34">
        <w:t>and the extent of overlap between the three indications. T</w:t>
      </w:r>
      <w:r w:rsidR="003E364B" w:rsidRPr="00EF6B95">
        <w:t>he submission</w:t>
      </w:r>
      <w:r w:rsidR="003E364B">
        <w:t>s</w:t>
      </w:r>
      <w:r w:rsidR="003E364B" w:rsidRPr="00EF6B95">
        <w:t xml:space="preserve"> had estimated the overall net impact of the HFrEF and CKD listings but had not provided estimates with respect to the existing T2DM indication</w:t>
      </w:r>
      <w:r w:rsidR="003E364B">
        <w:t>.</w:t>
      </w:r>
      <w:r w:rsidR="003E364B" w:rsidRPr="003E364B">
        <w:t xml:space="preserve"> </w:t>
      </w:r>
      <w:r w:rsidR="003E364B" w:rsidRPr="00E41A7D">
        <w:t xml:space="preserve">The PBAC considered </w:t>
      </w:r>
      <w:r w:rsidR="00E41A7D">
        <w:t>“</w:t>
      </w:r>
      <w:r w:rsidR="003E364B" w:rsidRPr="00E41A7D">
        <w:t xml:space="preserve">that these estimates were necessary to inform its advice to the Australian Government about an appropriate </w:t>
      </w:r>
      <w:r w:rsidR="00142D0F" w:rsidRPr="00142D0F">
        <w:t xml:space="preserve">risk share agreement </w:t>
      </w:r>
      <w:r w:rsidR="00142D0F">
        <w:t>(</w:t>
      </w:r>
      <w:r w:rsidR="003E364B" w:rsidRPr="00E41A7D">
        <w:t>RSA</w:t>
      </w:r>
      <w:r w:rsidR="00142D0F">
        <w:t>)</w:t>
      </w:r>
      <w:r w:rsidR="003E364B" w:rsidRPr="00E41A7D">
        <w:t xml:space="preserve"> to ensure that the subsidy of dapagliflozin is restricted to the populations in whom PBAC has considered it cost effective.</w:t>
      </w:r>
      <w:r w:rsidR="00E41A7D" w:rsidRPr="00E41A7D">
        <w:t>”</w:t>
      </w:r>
      <w:r w:rsidR="00FA5B5C">
        <w:t xml:space="preserve"> (</w:t>
      </w:r>
      <w:r w:rsidR="00E41A7D">
        <w:t xml:space="preserve">see </w:t>
      </w:r>
      <w:r w:rsidR="00FA5B5C">
        <w:t xml:space="preserve">paragraph 7.1, </w:t>
      </w:r>
      <w:hyperlink r:id="rId10" w:history="1">
        <w:r w:rsidR="00D725FA" w:rsidRPr="00D725FA">
          <w:rPr>
            <w:rStyle w:val="Hyperlink"/>
          </w:rPr>
          <w:t>D</w:t>
        </w:r>
        <w:r w:rsidR="00FA5B5C" w:rsidRPr="00D725FA">
          <w:rPr>
            <w:rStyle w:val="Hyperlink"/>
          </w:rPr>
          <w:t xml:space="preserve">apagliflozin </w:t>
        </w:r>
        <w:r w:rsidR="00D725FA" w:rsidRPr="00D725FA">
          <w:rPr>
            <w:rStyle w:val="Hyperlink"/>
          </w:rPr>
          <w:t>(heart failure) Public Summary Document</w:t>
        </w:r>
      </w:hyperlink>
      <w:r w:rsidR="00FA5B5C">
        <w:t>, July 2021 PBAC meeting).</w:t>
      </w:r>
    </w:p>
    <w:p w14:paraId="64B3088D" w14:textId="74DCEB15" w:rsidR="00950845" w:rsidRPr="003F7958" w:rsidRDefault="003E364B" w:rsidP="009D702F">
      <w:pPr>
        <w:pStyle w:val="3Bodytext"/>
      </w:pPr>
      <w:r>
        <w:lastRenderedPageBreak/>
        <w:t xml:space="preserve">The PBAC recalled that </w:t>
      </w:r>
      <w:r w:rsidR="005608A5">
        <w:t xml:space="preserve">it </w:t>
      </w:r>
      <w:r w:rsidR="005608A5" w:rsidRPr="005608A5">
        <w:t xml:space="preserve">obtained </w:t>
      </w:r>
      <w:r w:rsidR="005608A5">
        <w:t xml:space="preserve">this </w:t>
      </w:r>
      <w:r w:rsidR="005608A5" w:rsidRPr="005608A5">
        <w:t>additional information from the sponsor</w:t>
      </w:r>
      <w:r w:rsidR="005608A5">
        <w:t xml:space="preserve"> </w:t>
      </w:r>
      <w:r w:rsidR="00FA5B5C">
        <w:t>at its September 2021 intracycle meeting</w:t>
      </w:r>
      <w:r w:rsidR="005608A5">
        <w:t>. The PBAC</w:t>
      </w:r>
      <w:r>
        <w:t xml:space="preserve"> recommended</w:t>
      </w:r>
      <w:r w:rsidRPr="003E364B">
        <w:t xml:space="preserve"> extending the existing listing of dapagliflozin to include a General Schedule Authority Required (Streamlined) listing for the treatment of patients with </w:t>
      </w:r>
      <w:r>
        <w:t>HFrEF</w:t>
      </w:r>
      <w:r w:rsidRPr="003E364B">
        <w:t>.</w:t>
      </w:r>
      <w:r>
        <w:t xml:space="preserve"> </w:t>
      </w:r>
      <w:r w:rsidR="00FA5B5C" w:rsidRPr="003F7958">
        <w:t>The PBAC considered that the estimates for HFrEF formed a reliable basis for a</w:t>
      </w:r>
      <w:r w:rsidR="002C22D4">
        <w:t>n</w:t>
      </w:r>
      <w:r w:rsidR="00FA5B5C" w:rsidRPr="003F7958">
        <w:t xml:space="preserve"> </w:t>
      </w:r>
      <w:r w:rsidR="002C22D4">
        <w:t>RSA</w:t>
      </w:r>
      <w:r w:rsidR="00FA5B5C" w:rsidRPr="003F7958">
        <w:t xml:space="preserve"> for this indication. At this meeting,</w:t>
      </w:r>
      <w:r w:rsidR="008265F6">
        <w:t xml:space="preserve"> the PBAC did not recommend extending the existing listing of dapagliflozin to include a General Schedule Authority Required (Streamlined) listing for the treatment of patients with CKD. The PBAC remained of the view that the financial estimates for CKD remained high and substantially </w:t>
      </w:r>
      <w:r w:rsidR="006F2C34">
        <w:t>overestimated and</w:t>
      </w:r>
      <w:r w:rsidR="008265F6">
        <w:t xml:space="preserve"> did not form a reliable basis for an RSA. </w:t>
      </w:r>
      <w:r w:rsidR="00FA5B5C" w:rsidRPr="003F7958">
        <w:t xml:space="preserve">  </w:t>
      </w:r>
    </w:p>
    <w:p w14:paraId="2F0AF58B" w14:textId="6157B508" w:rsidR="00A14ACF" w:rsidRPr="0057652D" w:rsidRDefault="004E1393" w:rsidP="00284DE7">
      <w:pPr>
        <w:pStyle w:val="3Bodytext"/>
      </w:pPr>
      <w:r w:rsidRPr="0057652D">
        <w:t>Consistent with its July 2021 and September 2021 deliberations, t</w:t>
      </w:r>
      <w:r w:rsidR="00FA5B5C" w:rsidRPr="0057652D">
        <w:t xml:space="preserve">he PBAC </w:t>
      </w:r>
      <w:r w:rsidRPr="0057652D">
        <w:t xml:space="preserve">remained concerned with the </w:t>
      </w:r>
      <w:r w:rsidR="00284DE7" w:rsidRPr="0057652D">
        <w:t xml:space="preserve">likely significant overlap </w:t>
      </w:r>
      <w:r w:rsidR="005774CA" w:rsidRPr="0057652D">
        <w:t>and potential movement</w:t>
      </w:r>
      <w:r w:rsidR="000E1178" w:rsidRPr="0057652D">
        <w:t xml:space="preserve"> of patients</w:t>
      </w:r>
      <w:r w:rsidR="005774CA" w:rsidRPr="0057652D">
        <w:t xml:space="preserve"> </w:t>
      </w:r>
      <w:r w:rsidR="00284DE7" w:rsidRPr="0057652D">
        <w:t xml:space="preserve">between the proposed expanded listings for SGLT2 inhibitors </w:t>
      </w:r>
      <w:r w:rsidR="000E1178" w:rsidRPr="0057652D">
        <w:t xml:space="preserve">for use </w:t>
      </w:r>
      <w:r w:rsidR="00284DE7" w:rsidRPr="0057652D">
        <w:t>in T2DM patients with CVD</w:t>
      </w:r>
      <w:r w:rsidR="0057652D" w:rsidRPr="0057652D">
        <w:t>/</w:t>
      </w:r>
      <w:r w:rsidR="00284DE7" w:rsidRPr="0057652D">
        <w:t>high CV risk</w:t>
      </w:r>
      <w:r w:rsidR="0057652D" w:rsidRPr="0057652D">
        <w:t>,</w:t>
      </w:r>
      <w:r w:rsidR="00284DE7" w:rsidRPr="0057652D">
        <w:t xml:space="preserve"> those </w:t>
      </w:r>
      <w:r w:rsidR="006F7AA4" w:rsidRPr="0057652D">
        <w:t>recommended for HFrEF</w:t>
      </w:r>
      <w:r w:rsidR="0057652D" w:rsidRPr="0057652D">
        <w:t xml:space="preserve">, </w:t>
      </w:r>
      <w:r w:rsidR="006F7AA4" w:rsidRPr="0057652D">
        <w:t>and what PBAC may consider</w:t>
      </w:r>
      <w:r w:rsidR="00284DE7" w:rsidRPr="0057652D">
        <w:t xml:space="preserve"> for the population with </w:t>
      </w:r>
      <w:r w:rsidR="00303A1F" w:rsidRPr="0057652D">
        <w:t>CKD</w:t>
      </w:r>
      <w:r w:rsidR="0057652D" w:rsidRPr="0057652D">
        <w:t>. The PBAC noted</w:t>
      </w:r>
      <w:r w:rsidR="00303A1F" w:rsidRPr="0057652D">
        <w:t xml:space="preserve"> </w:t>
      </w:r>
      <w:r w:rsidR="0057652D" w:rsidRPr="0057652D">
        <w:t>this</w:t>
      </w:r>
      <w:r w:rsidR="00284DE7" w:rsidRPr="0057652D">
        <w:t xml:space="preserve"> may </w:t>
      </w:r>
      <w:r w:rsidR="000E1178" w:rsidRPr="0057652D">
        <w:t xml:space="preserve">weaken the robustness </w:t>
      </w:r>
      <w:r w:rsidR="00284DE7" w:rsidRPr="0057652D">
        <w:t>of an indication-specific RSA.</w:t>
      </w:r>
      <w:r w:rsidR="00A27288" w:rsidRPr="0057652D">
        <w:t xml:space="preserve"> </w:t>
      </w:r>
    </w:p>
    <w:p w14:paraId="0D40826C" w14:textId="05F5B1AA" w:rsidR="00284303" w:rsidRDefault="00284303" w:rsidP="008968C3">
      <w:pPr>
        <w:pStyle w:val="3Bodytext"/>
      </w:pPr>
      <w:r>
        <w:t xml:space="preserve">The PBAC </w:t>
      </w:r>
      <w:r w:rsidR="00C77A45">
        <w:t>considered</w:t>
      </w:r>
      <w:r>
        <w:t xml:space="preserve"> the clinical evaluation findings </w:t>
      </w:r>
      <w:r w:rsidR="00C77A45">
        <w:t>that concluded</w:t>
      </w:r>
      <w:r>
        <w:t xml:space="preserve"> </w:t>
      </w:r>
      <w:r w:rsidRPr="00284303">
        <w:t>SGLT2 inhibitors decrease</w:t>
      </w:r>
      <w:r w:rsidR="00C77A45">
        <w:t>d</w:t>
      </w:r>
      <w:r w:rsidRPr="00284303">
        <w:t xml:space="preserve"> the risk of all-cause and CV-related mortality, CV events and hospitalisation when compared to SUs</w:t>
      </w:r>
      <w:r w:rsidR="00C77A45">
        <w:t>. However, the PBAC</w:t>
      </w:r>
      <w:r>
        <w:t xml:space="preserve"> noted that </w:t>
      </w:r>
      <w:r w:rsidR="008362DD">
        <w:t>the review did not include any CV outcome trials</w:t>
      </w:r>
      <w:r>
        <w:t xml:space="preserve"> </w:t>
      </w:r>
      <w:r w:rsidR="00C87591">
        <w:t xml:space="preserve">suggesting that </w:t>
      </w:r>
      <w:r>
        <w:t>ertugliflozin</w:t>
      </w:r>
      <w:r w:rsidR="008362DD">
        <w:t xml:space="preserve"> has comparable CV benefits to dapagliflozin and empagliflozin</w:t>
      </w:r>
      <w:r w:rsidR="008968C3">
        <w:t>.</w:t>
      </w:r>
      <w:r w:rsidR="008362DD">
        <w:t xml:space="preserve"> </w:t>
      </w:r>
      <w:r w:rsidR="008968C3">
        <w:t>The</w:t>
      </w:r>
      <w:r w:rsidR="00C77A45">
        <w:t>refore, the</w:t>
      </w:r>
      <w:r w:rsidR="008968C3">
        <w:t xml:space="preserve"> PBAC advised that ertugliflozin </w:t>
      </w:r>
      <w:r w:rsidR="008362DD">
        <w:t>should be excluded from any potential expansion of this class of medicines until more evidence becomes available</w:t>
      </w:r>
      <w:r>
        <w:t>.</w:t>
      </w:r>
    </w:p>
    <w:p w14:paraId="034A2E34" w14:textId="43D1C4DA" w:rsidR="00566DF2" w:rsidRDefault="00566DF2" w:rsidP="00613127">
      <w:pPr>
        <w:pStyle w:val="3Bodytext"/>
      </w:pPr>
      <w:r>
        <w:t xml:space="preserve">The PBAC noted ESC advice that </w:t>
      </w:r>
      <w:r w:rsidR="00C769C8">
        <w:t xml:space="preserve">considered further work was required </w:t>
      </w:r>
      <w:r w:rsidR="00DC0FBF">
        <w:t xml:space="preserve">on </w:t>
      </w:r>
      <w:r w:rsidRPr="005E267C">
        <w:t xml:space="preserve">the </w:t>
      </w:r>
      <w:r w:rsidR="00C769C8">
        <w:t>proposed restrictions</w:t>
      </w:r>
      <w:r w:rsidR="00DC0FBF">
        <w:t>.</w:t>
      </w:r>
      <w:r>
        <w:t xml:space="preserve"> The ESC advice </w:t>
      </w:r>
      <w:r w:rsidR="00DC0FBF">
        <w:t xml:space="preserve">also suggested </w:t>
      </w:r>
      <w:r>
        <w:t>that the PBS restrictions for ezetimibe provide a detailed example for</w:t>
      </w:r>
      <w:r w:rsidRPr="00787A8E">
        <w:t xml:space="preserve"> </w:t>
      </w:r>
      <w:r>
        <w:t xml:space="preserve">defining a population with CVD or high CV risk and could potentially be used as a basis for the proposed SGLT2 inhibitor restrictions. The PBAC </w:t>
      </w:r>
      <w:r w:rsidR="00D412CC">
        <w:t>was</w:t>
      </w:r>
      <w:r>
        <w:t xml:space="preserve"> cognisant that</w:t>
      </w:r>
      <w:r w:rsidRPr="00787A8E">
        <w:t xml:space="preserve"> adding detailed clinical criteria and administrative advice to the PBS restrictions for SGLT2 inhibitors would add to the complexity of the</w:t>
      </w:r>
      <w:r>
        <w:t xml:space="preserve"> SGLT2 inhibitor</w:t>
      </w:r>
      <w:r w:rsidRPr="00787A8E">
        <w:t xml:space="preserve"> </w:t>
      </w:r>
      <w:r w:rsidR="00FD18AE" w:rsidRPr="00787A8E">
        <w:t>restrictions</w:t>
      </w:r>
      <w:r w:rsidR="00FD18AE">
        <w:t xml:space="preserve"> but</w:t>
      </w:r>
      <w:r>
        <w:t xml:space="preserve"> noted that where possible it would be appropriate to maintain consistency where precedents for defining CV risk in PBS restrictions already exist.</w:t>
      </w:r>
    </w:p>
    <w:p w14:paraId="6491EC2A" w14:textId="52EB07A9" w:rsidR="00826069" w:rsidRDefault="00566DF2" w:rsidP="00613127">
      <w:pPr>
        <w:pStyle w:val="3Bodytext"/>
      </w:pPr>
      <w:r>
        <w:t>T</w:t>
      </w:r>
      <w:r w:rsidR="005623FB">
        <w:t xml:space="preserve">he PBAC </w:t>
      </w:r>
      <w:r w:rsidR="00952B92">
        <w:t xml:space="preserve">considered </w:t>
      </w:r>
      <w:r w:rsidR="003D738A">
        <w:t xml:space="preserve">the clinical criterion </w:t>
      </w:r>
      <w:r w:rsidR="00826069" w:rsidRPr="00B87FA7">
        <w:t>“</w:t>
      </w:r>
      <w:r w:rsidR="003D738A" w:rsidRPr="00B87FA7">
        <w:t>Patient must identify as Aboriginal or Torres Strait Islander</w:t>
      </w:r>
      <w:r w:rsidR="00826069" w:rsidRPr="00B87FA7">
        <w:t>”</w:t>
      </w:r>
      <w:r w:rsidR="003D738A">
        <w:t xml:space="preserve"> should be included </w:t>
      </w:r>
      <w:r w:rsidR="00DA0ED4">
        <w:t xml:space="preserve">as one of the eligibility options, recognising </w:t>
      </w:r>
      <w:r w:rsidR="003D738A">
        <w:t>the higher</w:t>
      </w:r>
      <w:r w:rsidR="00826069">
        <w:t xml:space="preserve"> risk of CVD in this population.</w:t>
      </w:r>
      <w:r w:rsidR="005623FB">
        <w:t xml:space="preserve"> </w:t>
      </w:r>
    </w:p>
    <w:p w14:paraId="50D3491F" w14:textId="77E437A8" w:rsidR="00D674EF" w:rsidRDefault="00952B92" w:rsidP="00BC3BB3">
      <w:pPr>
        <w:pStyle w:val="3Bodytext"/>
      </w:pPr>
      <w:r>
        <w:t xml:space="preserve">The PBAC </w:t>
      </w:r>
      <w:r w:rsidR="00826069">
        <w:t>considered</w:t>
      </w:r>
      <w:r>
        <w:t xml:space="preserve"> the clinical criterion </w:t>
      </w:r>
      <w:r w:rsidRPr="00BC3BB3">
        <w:t xml:space="preserve">“Patient must have kidney disease” </w:t>
      </w:r>
      <w:r>
        <w:t>should be excluded from the proposed PBS restriction</w:t>
      </w:r>
      <w:r w:rsidR="00C769C8">
        <w:t>s</w:t>
      </w:r>
      <w:r>
        <w:t xml:space="preserve"> noting </w:t>
      </w:r>
      <w:r w:rsidR="006B3065">
        <w:t>its</w:t>
      </w:r>
      <w:r>
        <w:t xml:space="preserve"> separate </w:t>
      </w:r>
      <w:r w:rsidR="006B3065">
        <w:t xml:space="preserve">consideration of </w:t>
      </w:r>
      <w:r>
        <w:t xml:space="preserve">submissions for dapagliflozin for CKD and </w:t>
      </w:r>
      <w:r w:rsidR="006B3065">
        <w:t>potential for</w:t>
      </w:r>
      <w:r>
        <w:t xml:space="preserve"> </w:t>
      </w:r>
      <w:r w:rsidR="00A37843">
        <w:t xml:space="preserve">use outside the PBS restriction </w:t>
      </w:r>
      <w:r w:rsidR="006B3065">
        <w:t>and overlap across CKD and T2DM indications</w:t>
      </w:r>
      <w:r>
        <w:t xml:space="preserve">. </w:t>
      </w:r>
      <w:r w:rsidR="00787A8E">
        <w:t>T</w:t>
      </w:r>
      <w:r>
        <w:t xml:space="preserve">he PBAC </w:t>
      </w:r>
      <w:r w:rsidR="00787A8E">
        <w:t xml:space="preserve">also </w:t>
      </w:r>
      <w:r>
        <w:t xml:space="preserve">noted that the presence of </w:t>
      </w:r>
      <w:r w:rsidRPr="00952B92">
        <w:t>microalbuminuria (&gt;20 mcg/min or urine albumin-to-creatine ratio [UACR] &gt;2.5 mg/mmol for men and &gt;3.5 mg/mmol for women)</w:t>
      </w:r>
      <w:r>
        <w:t xml:space="preserve"> is an independent risk factor for CVD.</w:t>
      </w:r>
    </w:p>
    <w:p w14:paraId="4FE69146" w14:textId="54C8BDE4" w:rsidR="002C7B4A" w:rsidRDefault="00BC3BB3" w:rsidP="00BC3BB3">
      <w:pPr>
        <w:pStyle w:val="3Bodytext"/>
      </w:pPr>
      <w:r w:rsidRPr="00BC3BB3">
        <w:t xml:space="preserve">The PBAC requested that the Department seek further information on outstanding issues relating to the cost-effectiveness of SGLT2 inhibitors in the expanded T2DM </w:t>
      </w:r>
      <w:r w:rsidRPr="00BC3BB3">
        <w:lastRenderedPageBreak/>
        <w:t>population</w:t>
      </w:r>
      <w:r w:rsidR="004C1341">
        <w:t>,</w:t>
      </w:r>
      <w:r w:rsidRPr="00BC3BB3">
        <w:t xml:space="preserve"> the patient numbers across all PBS indications for SGLT2 inhibitor medicines and the overall budget impact for consideration at a subsequent meeting.</w:t>
      </w:r>
    </w:p>
    <w:p w14:paraId="757A8BCC" w14:textId="37AF1CF0" w:rsidR="00566DF2" w:rsidRPr="00566DF2" w:rsidRDefault="00047312" w:rsidP="00566DF2">
      <w:pPr>
        <w:pStyle w:val="2Sections"/>
        <w:rPr>
          <w:szCs w:val="28"/>
        </w:rPr>
      </w:pPr>
      <w:r>
        <w:rPr>
          <w:szCs w:val="28"/>
        </w:rPr>
        <w:t>Outcome</w:t>
      </w:r>
    </w:p>
    <w:p w14:paraId="526D1978" w14:textId="0BB6E77D" w:rsidR="00566DF2" w:rsidRDefault="00F74673" w:rsidP="004066C3">
      <w:pPr>
        <w:pStyle w:val="3Bodytext"/>
        <w:numPr>
          <w:ilvl w:val="0"/>
          <w:numId w:val="0"/>
        </w:numPr>
      </w:pPr>
      <w:r>
        <w:t xml:space="preserve">Deferred. </w:t>
      </w:r>
    </w:p>
    <w:bookmarkEnd w:id="1"/>
    <w:p w14:paraId="1379D712" w14:textId="77777777" w:rsidR="00F475B0" w:rsidRPr="00974587" w:rsidRDefault="00F475B0" w:rsidP="00F475B0">
      <w:pPr>
        <w:pStyle w:val="2Sections"/>
        <w:rPr>
          <w:rFonts w:eastAsiaTheme="minorHAnsi"/>
          <w:lang w:val="en-GB"/>
        </w:rPr>
      </w:pPr>
      <w:r w:rsidRPr="00974587">
        <w:rPr>
          <w:rFonts w:eastAsiaTheme="minorHAnsi"/>
        </w:rPr>
        <w:t>Context for Decision</w:t>
      </w:r>
    </w:p>
    <w:p w14:paraId="443C8EBA" w14:textId="77777777" w:rsidR="00F475B0" w:rsidRPr="00974587" w:rsidRDefault="00F475B0" w:rsidP="00F475B0">
      <w:pPr>
        <w:pStyle w:val="4Bodytextnumbered"/>
        <w:ind w:left="0" w:firstLine="0"/>
        <w:rPr>
          <w:bCs/>
          <w:szCs w:val="24"/>
          <w:lang w:val="en-GB"/>
        </w:rPr>
      </w:pPr>
      <w:r w:rsidRPr="00974587">
        <w:rPr>
          <w:bCs/>
          <w:szCs w:val="24"/>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23C5075" w14:textId="77777777" w:rsidR="00F475B0" w:rsidRPr="009E3B07" w:rsidRDefault="00F475B0" w:rsidP="00F475B0">
      <w:pPr>
        <w:pStyle w:val="4Bodytextnumbered"/>
        <w:ind w:left="0" w:firstLine="0"/>
        <w:rPr>
          <w:i/>
          <w:iCs/>
        </w:rPr>
      </w:pPr>
    </w:p>
    <w:p w14:paraId="640ED49E" w14:textId="77777777" w:rsidR="001A5805" w:rsidRDefault="001A5805" w:rsidP="001A5805">
      <w:pPr>
        <w:spacing w:after="120"/>
      </w:pPr>
    </w:p>
    <w:p w14:paraId="22C4208F" w14:textId="67785F50" w:rsidR="001A5805" w:rsidRDefault="001A5805" w:rsidP="00D237AA">
      <w:pPr>
        <w:pStyle w:val="3Bodytext"/>
        <w:numPr>
          <w:ilvl w:val="0"/>
          <w:numId w:val="0"/>
        </w:numPr>
        <w:rPr>
          <w:rFonts w:eastAsia="Times New Roman" w:cstheme="minorHAnsi"/>
          <w:szCs w:val="24"/>
        </w:rPr>
      </w:pPr>
    </w:p>
    <w:p w14:paraId="1EF4A271" w14:textId="77777777" w:rsidR="00D237AA" w:rsidRDefault="00D237AA" w:rsidP="00D237AA">
      <w:pPr>
        <w:pStyle w:val="3Bodytext"/>
        <w:numPr>
          <w:ilvl w:val="0"/>
          <w:numId w:val="0"/>
        </w:numPr>
        <w:rPr>
          <w:rFonts w:eastAsia="Times New Roman" w:cstheme="minorHAnsi"/>
          <w:szCs w:val="24"/>
        </w:rPr>
      </w:pPr>
    </w:p>
    <w:sectPr w:rsidR="00D237AA" w:rsidSect="004066C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DD317" w14:textId="77777777" w:rsidR="00E811C0" w:rsidRDefault="00E811C0" w:rsidP="002B1388">
      <w:pPr>
        <w:spacing w:after="0" w:line="240" w:lineRule="auto"/>
      </w:pPr>
      <w:r>
        <w:separator/>
      </w:r>
    </w:p>
  </w:endnote>
  <w:endnote w:type="continuationSeparator" w:id="0">
    <w:p w14:paraId="128400C8" w14:textId="77777777" w:rsidR="00E811C0" w:rsidRDefault="00E811C0" w:rsidP="002B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b/>
        <w:bCs/>
      </w:rPr>
      <w:id w:val="-860975605"/>
      <w:docPartObj>
        <w:docPartGallery w:val="Page Numbers (Bottom of Page)"/>
        <w:docPartUnique/>
      </w:docPartObj>
    </w:sdtPr>
    <w:sdtEndPr>
      <w:rPr>
        <w:b w:val="0"/>
        <w:bCs w:val="0"/>
        <w:noProof/>
      </w:rPr>
    </w:sdtEndPr>
    <w:sdtContent>
      <w:p w14:paraId="1BCF7108" w14:textId="79C2E560" w:rsidR="002D75E1" w:rsidRPr="002D75E1" w:rsidRDefault="002D75E1">
        <w:pPr>
          <w:pStyle w:val="Footer"/>
          <w:jc w:val="center"/>
          <w:rPr>
            <w:rFonts w:asciiTheme="minorHAnsi" w:hAnsiTheme="minorHAnsi" w:cstheme="minorHAnsi"/>
          </w:rPr>
        </w:pPr>
        <w:r w:rsidRPr="002D75E1">
          <w:rPr>
            <w:rFonts w:asciiTheme="minorHAnsi" w:hAnsiTheme="minorHAnsi" w:cstheme="minorHAnsi"/>
          </w:rPr>
          <w:fldChar w:fldCharType="begin"/>
        </w:r>
        <w:r w:rsidRPr="002D75E1">
          <w:rPr>
            <w:rFonts w:asciiTheme="minorHAnsi" w:hAnsiTheme="minorHAnsi" w:cstheme="minorHAnsi"/>
          </w:rPr>
          <w:instrText xml:space="preserve"> PAGE   \* MERGEFORMAT </w:instrText>
        </w:r>
        <w:r w:rsidRPr="002D75E1">
          <w:rPr>
            <w:rFonts w:asciiTheme="minorHAnsi" w:hAnsiTheme="minorHAnsi" w:cstheme="minorHAnsi"/>
          </w:rPr>
          <w:fldChar w:fldCharType="separate"/>
        </w:r>
        <w:r w:rsidRPr="002D75E1">
          <w:rPr>
            <w:rFonts w:asciiTheme="minorHAnsi" w:hAnsiTheme="minorHAnsi" w:cstheme="minorHAnsi"/>
            <w:noProof/>
          </w:rPr>
          <w:t>2</w:t>
        </w:r>
        <w:r w:rsidRPr="002D75E1">
          <w:rPr>
            <w:rFonts w:asciiTheme="minorHAnsi" w:hAnsiTheme="minorHAnsi" w:cstheme="minorHAnsi"/>
            <w:noProof/>
          </w:rPr>
          <w:fldChar w:fldCharType="end"/>
        </w:r>
      </w:p>
    </w:sdtContent>
  </w:sdt>
  <w:p w14:paraId="1DD6CE70" w14:textId="77777777" w:rsidR="002D75E1" w:rsidRDefault="002D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0FE97" w14:textId="77777777" w:rsidR="00E811C0" w:rsidRDefault="00E811C0" w:rsidP="002B1388">
      <w:pPr>
        <w:spacing w:after="0" w:line="240" w:lineRule="auto"/>
      </w:pPr>
      <w:r>
        <w:separator/>
      </w:r>
    </w:p>
  </w:footnote>
  <w:footnote w:type="continuationSeparator" w:id="0">
    <w:p w14:paraId="14C79030" w14:textId="77777777" w:rsidR="00E811C0" w:rsidRDefault="00E811C0" w:rsidP="002B1388">
      <w:pPr>
        <w:spacing w:after="0" w:line="240" w:lineRule="auto"/>
      </w:pPr>
      <w:r>
        <w:continuationSeparator/>
      </w:r>
    </w:p>
  </w:footnote>
  <w:footnote w:id="1">
    <w:p w14:paraId="7CCFE665" w14:textId="7876D0F4" w:rsidR="00733E20" w:rsidRPr="00594645" w:rsidRDefault="00733E20" w:rsidP="00733E20">
      <w:pPr>
        <w:pStyle w:val="FootnoteText"/>
        <w:rPr>
          <w:rStyle w:val="Hyperlink"/>
          <w:rFonts w:asciiTheme="minorHAnsi" w:hAnsiTheme="minorHAnsi" w:cstheme="minorHAnsi"/>
        </w:rPr>
      </w:pPr>
      <w:r w:rsidRPr="00753953">
        <w:rPr>
          <w:rStyle w:val="FootnoteReference"/>
          <w:rFonts w:asciiTheme="minorHAnsi" w:hAnsiTheme="minorHAnsi" w:cstheme="minorHAnsi"/>
        </w:rPr>
        <w:footnoteRef/>
      </w:r>
      <w:r w:rsidRPr="00753953">
        <w:rPr>
          <w:rFonts w:asciiTheme="minorHAnsi" w:hAnsiTheme="minorHAnsi" w:cstheme="minorHAnsi"/>
        </w:rPr>
        <w:t xml:space="preserve"> The Royal Australian College of General Practitioners. </w:t>
      </w:r>
      <w:r w:rsidR="00594645">
        <w:rPr>
          <w:rFonts w:asciiTheme="minorHAnsi" w:hAnsiTheme="minorHAnsi" w:cstheme="minorHAnsi"/>
        </w:rPr>
        <w:fldChar w:fldCharType="begin"/>
      </w:r>
      <w:r w:rsidR="00594645">
        <w:rPr>
          <w:rFonts w:asciiTheme="minorHAnsi" w:hAnsiTheme="minorHAnsi" w:cstheme="minorHAnsi"/>
        </w:rPr>
        <w:instrText>HYPERLINK "https://www.racgp.org.au/getattachment/41fee8dc-7f97-4f87-9d90-b7af337af778/Management-of-type-2-diabetes-A-handbook-for-general-practice.aspx"</w:instrText>
      </w:r>
      <w:r w:rsidR="00594645">
        <w:rPr>
          <w:rFonts w:asciiTheme="minorHAnsi" w:hAnsiTheme="minorHAnsi" w:cstheme="minorHAnsi"/>
        </w:rPr>
      </w:r>
      <w:r w:rsidR="00594645">
        <w:rPr>
          <w:rFonts w:asciiTheme="minorHAnsi" w:hAnsiTheme="minorHAnsi" w:cstheme="minorHAnsi"/>
        </w:rPr>
        <w:fldChar w:fldCharType="separate"/>
      </w:r>
      <w:r w:rsidRPr="00594645">
        <w:rPr>
          <w:rStyle w:val="Hyperlink"/>
          <w:rFonts w:asciiTheme="minorHAnsi" w:hAnsiTheme="minorHAnsi" w:cstheme="minorHAnsi"/>
        </w:rPr>
        <w:t xml:space="preserve">Management of type 2 diabetes: </w:t>
      </w:r>
    </w:p>
    <w:p w14:paraId="0EDEEC86" w14:textId="52DED9A7" w:rsidR="00733E20" w:rsidRPr="00753953" w:rsidRDefault="00733E20" w:rsidP="00733E20">
      <w:pPr>
        <w:pStyle w:val="FootnoteText"/>
        <w:rPr>
          <w:rFonts w:asciiTheme="minorHAnsi" w:hAnsiTheme="minorHAnsi" w:cstheme="minorHAnsi"/>
        </w:rPr>
      </w:pPr>
      <w:r w:rsidRPr="00594645">
        <w:rPr>
          <w:rStyle w:val="Hyperlink"/>
          <w:rFonts w:asciiTheme="minorHAnsi" w:hAnsiTheme="minorHAnsi" w:cstheme="minorHAnsi"/>
        </w:rPr>
        <w:t>A handbook for general practice</w:t>
      </w:r>
      <w:r w:rsidR="00594645">
        <w:rPr>
          <w:rFonts w:asciiTheme="minorHAnsi" w:hAnsiTheme="minorHAnsi" w:cstheme="minorHAnsi"/>
        </w:rPr>
        <w:fldChar w:fldCharType="end"/>
      </w:r>
      <w:r w:rsidRPr="00594645">
        <w:rPr>
          <w:rFonts w:asciiTheme="minorHAnsi" w:hAnsiTheme="minorHAnsi" w:cstheme="minorHAnsi"/>
        </w:rPr>
        <w:t>. East Melbourne, Vic: RACGP, 2020</w:t>
      </w:r>
      <w:r w:rsidR="00594645">
        <w:rPr>
          <w:rFonts w:asciiTheme="minorHAnsi" w:hAnsiTheme="minorHAnsi" w:cstheme="minorHAnsi"/>
        </w:rPr>
        <w:t>.</w:t>
      </w:r>
      <w:r w:rsidRPr="00753953">
        <w:rPr>
          <w:rFonts w:asciiTheme="minorHAnsi" w:hAnsiTheme="minorHAnsi" w:cstheme="minorHAnsi"/>
        </w:rPr>
        <w:t xml:space="preserve"> </w:t>
      </w:r>
    </w:p>
  </w:footnote>
  <w:footnote w:id="2">
    <w:p w14:paraId="58B2A6D6" w14:textId="625FD74E" w:rsidR="00733E20" w:rsidRDefault="00733E20">
      <w:pPr>
        <w:pStyle w:val="FootnoteText"/>
      </w:pPr>
      <w:r w:rsidRPr="00753953">
        <w:rPr>
          <w:rStyle w:val="FootnoteReference"/>
          <w:rFonts w:asciiTheme="minorHAnsi" w:hAnsiTheme="minorHAnsi" w:cstheme="minorHAnsi"/>
        </w:rPr>
        <w:footnoteRef/>
      </w:r>
      <w:r w:rsidRPr="00753953">
        <w:rPr>
          <w:rFonts w:asciiTheme="minorHAnsi" w:hAnsiTheme="minorHAnsi" w:cstheme="minorHAnsi"/>
        </w:rPr>
        <w:t xml:space="preserve"> Australian Diabetes Society (2 July 2021) Australian Blood Glucose Treatment Algorithm for T2DM - </w:t>
      </w:r>
      <w:hyperlink r:id="rId1" w:history="1">
        <w:r w:rsidRPr="00594645">
          <w:rPr>
            <w:rStyle w:val="Hyperlink"/>
            <w:rFonts w:asciiTheme="minorHAnsi" w:hAnsiTheme="minorHAnsi" w:cstheme="minorHAnsi"/>
          </w:rPr>
          <w:t>Australian Blood Glucose Treatment Algorithm for type 2 diabetes</w:t>
        </w:r>
      </w:hyperlink>
      <w:r w:rsidR="00594645">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362F" w14:textId="4C309F9E" w:rsidR="000E5CBA" w:rsidRPr="00594645" w:rsidRDefault="00594645" w:rsidP="000E5CBA">
    <w:pPr>
      <w:pStyle w:val="Header"/>
      <w:jc w:val="center"/>
      <w:rPr>
        <w:rFonts w:ascii="Calibri" w:hAnsi="Calibri" w:cs="Calibri"/>
        <w:bCs/>
        <w:i/>
        <w:iCs/>
        <w:snapToGrid w:val="0"/>
      </w:rPr>
    </w:pPr>
    <w:r w:rsidRPr="00594645">
      <w:rPr>
        <w:rFonts w:ascii="Calibri" w:hAnsi="Calibri" w:cs="Calibri"/>
        <w:bCs/>
        <w:i/>
        <w:iCs/>
        <w:snapToGrid w:val="0"/>
      </w:rPr>
      <w:t xml:space="preserve">Public Summary Document - </w:t>
    </w:r>
    <w:r w:rsidR="000E5CBA" w:rsidRPr="00594645">
      <w:rPr>
        <w:rFonts w:ascii="Calibri" w:hAnsi="Calibri" w:cs="Calibri"/>
        <w:bCs/>
        <w:i/>
        <w:iCs/>
        <w:snapToGrid w:val="0"/>
      </w:rPr>
      <w:t>N</w:t>
    </w:r>
    <w:r w:rsidRPr="00594645">
      <w:rPr>
        <w:rFonts w:ascii="Calibri" w:hAnsi="Calibri" w:cs="Calibri"/>
        <w:bCs/>
        <w:i/>
        <w:iCs/>
        <w:snapToGrid w:val="0"/>
      </w:rPr>
      <w:t>ovember</w:t>
    </w:r>
    <w:r w:rsidR="000E5CBA" w:rsidRPr="00594645">
      <w:rPr>
        <w:rFonts w:ascii="Calibri" w:hAnsi="Calibri" w:cs="Calibri"/>
        <w:bCs/>
        <w:i/>
        <w:iCs/>
        <w:snapToGrid w:val="0"/>
      </w:rPr>
      <w:t xml:space="preserve"> 2021 PBAC M</w:t>
    </w:r>
    <w:r w:rsidRPr="00594645">
      <w:rPr>
        <w:rFonts w:ascii="Calibri" w:hAnsi="Calibri" w:cs="Calibri"/>
        <w:bCs/>
        <w:i/>
        <w:iCs/>
        <w:snapToGrid w:val="0"/>
      </w:rPr>
      <w:t>eeting</w:t>
    </w:r>
  </w:p>
  <w:p w14:paraId="04FFFC1D" w14:textId="2921D39F" w:rsidR="000E5CBA" w:rsidRPr="000E5CBA" w:rsidRDefault="000E5CBA" w:rsidP="000E5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5A487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55A2F"/>
    <w:multiLevelType w:val="hybridMultilevel"/>
    <w:tmpl w:val="F3D85CE2"/>
    <w:lvl w:ilvl="0" w:tplc="0C090001">
      <w:start w:val="1"/>
      <w:numFmt w:val="bullet"/>
      <w:lvlText w:val=""/>
      <w:lvlJc w:val="left"/>
      <w:pPr>
        <w:ind w:left="142" w:hanging="360"/>
      </w:pPr>
      <w:rPr>
        <w:rFonts w:ascii="Symbol" w:hAnsi="Symbol" w:hint="default"/>
      </w:rPr>
    </w:lvl>
    <w:lvl w:ilvl="1" w:tplc="0C090003" w:tentative="1">
      <w:start w:val="1"/>
      <w:numFmt w:val="bullet"/>
      <w:lvlText w:val="o"/>
      <w:lvlJc w:val="left"/>
      <w:pPr>
        <w:ind w:left="862" w:hanging="360"/>
      </w:pPr>
      <w:rPr>
        <w:rFonts w:ascii="Courier New" w:hAnsi="Courier New" w:cs="Courier New"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2" w15:restartNumberingAfterBreak="0">
    <w:nsid w:val="2CCD7C58"/>
    <w:multiLevelType w:val="hybridMultilevel"/>
    <w:tmpl w:val="E4D2F85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63C7640"/>
    <w:multiLevelType w:val="hybridMultilevel"/>
    <w:tmpl w:val="2D9C3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FB1081"/>
    <w:multiLevelType w:val="hybridMultilevel"/>
    <w:tmpl w:val="E1B8D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C415D3"/>
    <w:multiLevelType w:val="hybridMultilevel"/>
    <w:tmpl w:val="0CE067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834342B"/>
    <w:multiLevelType w:val="hybridMultilevel"/>
    <w:tmpl w:val="8E3A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4D033C"/>
    <w:multiLevelType w:val="multilevel"/>
    <w:tmpl w:val="23F27032"/>
    <w:lvl w:ilvl="0">
      <w:start w:val="1"/>
      <w:numFmt w:val="decimal"/>
      <w:pStyle w:val="2Sections"/>
      <w:lvlText w:val="%1"/>
      <w:lvlJc w:val="left"/>
      <w:pPr>
        <w:ind w:left="720" w:hanging="720"/>
      </w:pPr>
      <w:rPr>
        <w:rFonts w:hint="default"/>
        <w:b/>
        <w:strike w:val="0"/>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75048350">
    <w:abstractNumId w:val="7"/>
  </w:num>
  <w:num w:numId="2" w16cid:durableId="311566051">
    <w:abstractNumId w:val="0"/>
  </w:num>
  <w:num w:numId="3" w16cid:durableId="1469276836">
    <w:abstractNumId w:val="5"/>
  </w:num>
  <w:num w:numId="4" w16cid:durableId="9181760">
    <w:abstractNumId w:val="2"/>
  </w:num>
  <w:num w:numId="5" w16cid:durableId="1867323920">
    <w:abstractNumId w:val="1"/>
  </w:num>
  <w:num w:numId="6" w16cid:durableId="1359506725">
    <w:abstractNumId w:val="3"/>
  </w:num>
  <w:num w:numId="7" w16cid:durableId="694691060">
    <w:abstractNumId w:val="6"/>
  </w:num>
  <w:num w:numId="8" w16cid:durableId="74581030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88"/>
    <w:rsid w:val="00000696"/>
    <w:rsid w:val="00001702"/>
    <w:rsid w:val="000044C3"/>
    <w:rsid w:val="00013286"/>
    <w:rsid w:val="0001502C"/>
    <w:rsid w:val="000172C0"/>
    <w:rsid w:val="000242B3"/>
    <w:rsid w:val="00036062"/>
    <w:rsid w:val="000421CE"/>
    <w:rsid w:val="000470F4"/>
    <w:rsid w:val="00047312"/>
    <w:rsid w:val="00065DBC"/>
    <w:rsid w:val="00075BD7"/>
    <w:rsid w:val="000847C4"/>
    <w:rsid w:val="00086809"/>
    <w:rsid w:val="00092EAF"/>
    <w:rsid w:val="00094536"/>
    <w:rsid w:val="000A43B4"/>
    <w:rsid w:val="000C56AB"/>
    <w:rsid w:val="000D08CC"/>
    <w:rsid w:val="000D2861"/>
    <w:rsid w:val="000D3660"/>
    <w:rsid w:val="000E1178"/>
    <w:rsid w:val="000E5CBA"/>
    <w:rsid w:val="000F121D"/>
    <w:rsid w:val="000F5FEF"/>
    <w:rsid w:val="0010075D"/>
    <w:rsid w:val="00110D52"/>
    <w:rsid w:val="001203A1"/>
    <w:rsid w:val="0013283B"/>
    <w:rsid w:val="00140B59"/>
    <w:rsid w:val="00142D0F"/>
    <w:rsid w:val="0014398B"/>
    <w:rsid w:val="00143C0A"/>
    <w:rsid w:val="00151929"/>
    <w:rsid w:val="00152982"/>
    <w:rsid w:val="00163AFE"/>
    <w:rsid w:val="00173489"/>
    <w:rsid w:val="00174AF7"/>
    <w:rsid w:val="00176729"/>
    <w:rsid w:val="0018617F"/>
    <w:rsid w:val="0019536A"/>
    <w:rsid w:val="001A5805"/>
    <w:rsid w:val="001B5CF7"/>
    <w:rsid w:val="001B67B6"/>
    <w:rsid w:val="001C2513"/>
    <w:rsid w:val="001C3AA6"/>
    <w:rsid w:val="001C577B"/>
    <w:rsid w:val="001C5E4C"/>
    <w:rsid w:val="001D1D41"/>
    <w:rsid w:val="001D25AE"/>
    <w:rsid w:val="001D550E"/>
    <w:rsid w:val="001D5B76"/>
    <w:rsid w:val="001E289F"/>
    <w:rsid w:val="001E4AEC"/>
    <w:rsid w:val="001F76C2"/>
    <w:rsid w:val="00204957"/>
    <w:rsid w:val="00206A5D"/>
    <w:rsid w:val="00222825"/>
    <w:rsid w:val="0023541A"/>
    <w:rsid w:val="002374FB"/>
    <w:rsid w:val="002432AD"/>
    <w:rsid w:val="002432B3"/>
    <w:rsid w:val="00280050"/>
    <w:rsid w:val="00280D69"/>
    <w:rsid w:val="00284303"/>
    <w:rsid w:val="00284DE7"/>
    <w:rsid w:val="00290D0E"/>
    <w:rsid w:val="002A3EE5"/>
    <w:rsid w:val="002A3F8C"/>
    <w:rsid w:val="002A5596"/>
    <w:rsid w:val="002B1388"/>
    <w:rsid w:val="002B533D"/>
    <w:rsid w:val="002B6723"/>
    <w:rsid w:val="002C22D4"/>
    <w:rsid w:val="002C4CDA"/>
    <w:rsid w:val="002C5A0F"/>
    <w:rsid w:val="002C70DA"/>
    <w:rsid w:val="002C7B4A"/>
    <w:rsid w:val="002D117C"/>
    <w:rsid w:val="002D2E06"/>
    <w:rsid w:val="002D75E1"/>
    <w:rsid w:val="002E31FE"/>
    <w:rsid w:val="00303A1F"/>
    <w:rsid w:val="003048B1"/>
    <w:rsid w:val="003051AE"/>
    <w:rsid w:val="00307CF9"/>
    <w:rsid w:val="00310033"/>
    <w:rsid w:val="003215E4"/>
    <w:rsid w:val="00324164"/>
    <w:rsid w:val="003279EE"/>
    <w:rsid w:val="003322A8"/>
    <w:rsid w:val="003414EC"/>
    <w:rsid w:val="00344B7F"/>
    <w:rsid w:val="003475B8"/>
    <w:rsid w:val="003537B0"/>
    <w:rsid w:val="0035756D"/>
    <w:rsid w:val="0037197E"/>
    <w:rsid w:val="00373849"/>
    <w:rsid w:val="00376C57"/>
    <w:rsid w:val="00377D80"/>
    <w:rsid w:val="003911F4"/>
    <w:rsid w:val="00393B0B"/>
    <w:rsid w:val="003A0717"/>
    <w:rsid w:val="003A545D"/>
    <w:rsid w:val="003B19F2"/>
    <w:rsid w:val="003C5E21"/>
    <w:rsid w:val="003D04A5"/>
    <w:rsid w:val="003D27BB"/>
    <w:rsid w:val="003D738A"/>
    <w:rsid w:val="003E00FC"/>
    <w:rsid w:val="003E0E30"/>
    <w:rsid w:val="003E364B"/>
    <w:rsid w:val="003E65DD"/>
    <w:rsid w:val="003F310A"/>
    <w:rsid w:val="003F33BE"/>
    <w:rsid w:val="003F7958"/>
    <w:rsid w:val="004066C3"/>
    <w:rsid w:val="00414AB3"/>
    <w:rsid w:val="00421D46"/>
    <w:rsid w:val="004256EE"/>
    <w:rsid w:val="004339B3"/>
    <w:rsid w:val="00435932"/>
    <w:rsid w:val="00436FE0"/>
    <w:rsid w:val="004426C1"/>
    <w:rsid w:val="00446083"/>
    <w:rsid w:val="00450D43"/>
    <w:rsid w:val="00451C80"/>
    <w:rsid w:val="004531A9"/>
    <w:rsid w:val="004607E7"/>
    <w:rsid w:val="004614C3"/>
    <w:rsid w:val="00466600"/>
    <w:rsid w:val="0047211E"/>
    <w:rsid w:val="00472246"/>
    <w:rsid w:val="004837E3"/>
    <w:rsid w:val="0049228A"/>
    <w:rsid w:val="004A2124"/>
    <w:rsid w:val="004A30F9"/>
    <w:rsid w:val="004B6F1A"/>
    <w:rsid w:val="004C1341"/>
    <w:rsid w:val="004C28DA"/>
    <w:rsid w:val="004C45DF"/>
    <w:rsid w:val="004D107B"/>
    <w:rsid w:val="004D599C"/>
    <w:rsid w:val="004E0D92"/>
    <w:rsid w:val="004E1393"/>
    <w:rsid w:val="004F1EAD"/>
    <w:rsid w:val="004F24BD"/>
    <w:rsid w:val="004F40A3"/>
    <w:rsid w:val="004F6B12"/>
    <w:rsid w:val="004F7BE7"/>
    <w:rsid w:val="0050446E"/>
    <w:rsid w:val="00505E9E"/>
    <w:rsid w:val="00510269"/>
    <w:rsid w:val="00516B78"/>
    <w:rsid w:val="0052144C"/>
    <w:rsid w:val="005251B0"/>
    <w:rsid w:val="00531103"/>
    <w:rsid w:val="005353BE"/>
    <w:rsid w:val="0053755E"/>
    <w:rsid w:val="005608A5"/>
    <w:rsid w:val="005623FB"/>
    <w:rsid w:val="00565CC1"/>
    <w:rsid w:val="00566DF2"/>
    <w:rsid w:val="00575A95"/>
    <w:rsid w:val="0057652D"/>
    <w:rsid w:val="005774CA"/>
    <w:rsid w:val="00582230"/>
    <w:rsid w:val="00594645"/>
    <w:rsid w:val="005A38A1"/>
    <w:rsid w:val="005C2C9C"/>
    <w:rsid w:val="005D7C68"/>
    <w:rsid w:val="005E2097"/>
    <w:rsid w:val="005E267C"/>
    <w:rsid w:val="00603F39"/>
    <w:rsid w:val="00605956"/>
    <w:rsid w:val="00613127"/>
    <w:rsid w:val="00630532"/>
    <w:rsid w:val="00640D87"/>
    <w:rsid w:val="0064586A"/>
    <w:rsid w:val="00646816"/>
    <w:rsid w:val="00655A2A"/>
    <w:rsid w:val="00656F81"/>
    <w:rsid w:val="00660240"/>
    <w:rsid w:val="00661D11"/>
    <w:rsid w:val="0066505E"/>
    <w:rsid w:val="006733D2"/>
    <w:rsid w:val="0068055E"/>
    <w:rsid w:val="00681832"/>
    <w:rsid w:val="00696920"/>
    <w:rsid w:val="00697231"/>
    <w:rsid w:val="006A1A2D"/>
    <w:rsid w:val="006A235A"/>
    <w:rsid w:val="006A5B4F"/>
    <w:rsid w:val="006B0161"/>
    <w:rsid w:val="006B2CA7"/>
    <w:rsid w:val="006B3065"/>
    <w:rsid w:val="006C4A40"/>
    <w:rsid w:val="006D2BE0"/>
    <w:rsid w:val="006D32A8"/>
    <w:rsid w:val="006E2BA0"/>
    <w:rsid w:val="006E69F2"/>
    <w:rsid w:val="006E7F5B"/>
    <w:rsid w:val="006F2C34"/>
    <w:rsid w:val="006F7AA4"/>
    <w:rsid w:val="0070443B"/>
    <w:rsid w:val="00733E20"/>
    <w:rsid w:val="0073410C"/>
    <w:rsid w:val="00736331"/>
    <w:rsid w:val="007379AD"/>
    <w:rsid w:val="00744704"/>
    <w:rsid w:val="00753953"/>
    <w:rsid w:val="00754F82"/>
    <w:rsid w:val="007639C6"/>
    <w:rsid w:val="00767B43"/>
    <w:rsid w:val="007752B9"/>
    <w:rsid w:val="0078399F"/>
    <w:rsid w:val="007840E6"/>
    <w:rsid w:val="00785A17"/>
    <w:rsid w:val="00785B06"/>
    <w:rsid w:val="00787A8E"/>
    <w:rsid w:val="00790928"/>
    <w:rsid w:val="007A0A6A"/>
    <w:rsid w:val="007A3EF7"/>
    <w:rsid w:val="007A795F"/>
    <w:rsid w:val="007B375E"/>
    <w:rsid w:val="007C0A53"/>
    <w:rsid w:val="007C3E8C"/>
    <w:rsid w:val="007E4A71"/>
    <w:rsid w:val="007E6C7B"/>
    <w:rsid w:val="007F3CAF"/>
    <w:rsid w:val="007F6C62"/>
    <w:rsid w:val="007F7DD4"/>
    <w:rsid w:val="008029F7"/>
    <w:rsid w:val="00812F17"/>
    <w:rsid w:val="00814721"/>
    <w:rsid w:val="008207F0"/>
    <w:rsid w:val="00820FEA"/>
    <w:rsid w:val="00826069"/>
    <w:rsid w:val="008265F6"/>
    <w:rsid w:val="0083170B"/>
    <w:rsid w:val="00834BA4"/>
    <w:rsid w:val="008362DD"/>
    <w:rsid w:val="0084462A"/>
    <w:rsid w:val="008502EE"/>
    <w:rsid w:val="00855C7E"/>
    <w:rsid w:val="00861D67"/>
    <w:rsid w:val="008662DA"/>
    <w:rsid w:val="00870090"/>
    <w:rsid w:val="00870E8A"/>
    <w:rsid w:val="00872395"/>
    <w:rsid w:val="00885DFD"/>
    <w:rsid w:val="008968C3"/>
    <w:rsid w:val="008A134F"/>
    <w:rsid w:val="008A194A"/>
    <w:rsid w:val="008B1262"/>
    <w:rsid w:val="008B78E0"/>
    <w:rsid w:val="008C09CF"/>
    <w:rsid w:val="008C5DA1"/>
    <w:rsid w:val="008D5870"/>
    <w:rsid w:val="008E62E7"/>
    <w:rsid w:val="0090167C"/>
    <w:rsid w:val="00902147"/>
    <w:rsid w:val="0090292C"/>
    <w:rsid w:val="00905284"/>
    <w:rsid w:val="0091337D"/>
    <w:rsid w:val="00920339"/>
    <w:rsid w:val="009208B5"/>
    <w:rsid w:val="0092789B"/>
    <w:rsid w:val="00927B93"/>
    <w:rsid w:val="00931CB7"/>
    <w:rsid w:val="00937371"/>
    <w:rsid w:val="00950845"/>
    <w:rsid w:val="00952B92"/>
    <w:rsid w:val="00955487"/>
    <w:rsid w:val="009604FC"/>
    <w:rsid w:val="009648EE"/>
    <w:rsid w:val="00974AFC"/>
    <w:rsid w:val="00984F5E"/>
    <w:rsid w:val="00991574"/>
    <w:rsid w:val="00995A63"/>
    <w:rsid w:val="00996D59"/>
    <w:rsid w:val="009A26E9"/>
    <w:rsid w:val="009A283D"/>
    <w:rsid w:val="009B45A5"/>
    <w:rsid w:val="009C3702"/>
    <w:rsid w:val="009C4EC2"/>
    <w:rsid w:val="009C756E"/>
    <w:rsid w:val="009D118C"/>
    <w:rsid w:val="009D1DA3"/>
    <w:rsid w:val="009D2FD5"/>
    <w:rsid w:val="009D47F0"/>
    <w:rsid w:val="009E52A2"/>
    <w:rsid w:val="009E7EA5"/>
    <w:rsid w:val="009F41E7"/>
    <w:rsid w:val="00A0591B"/>
    <w:rsid w:val="00A1064D"/>
    <w:rsid w:val="00A13818"/>
    <w:rsid w:val="00A14ACF"/>
    <w:rsid w:val="00A17209"/>
    <w:rsid w:val="00A22032"/>
    <w:rsid w:val="00A228A1"/>
    <w:rsid w:val="00A2672B"/>
    <w:rsid w:val="00A26CFE"/>
    <w:rsid w:val="00A27288"/>
    <w:rsid w:val="00A303FE"/>
    <w:rsid w:val="00A37843"/>
    <w:rsid w:val="00A37F2A"/>
    <w:rsid w:val="00A67C36"/>
    <w:rsid w:val="00A716BE"/>
    <w:rsid w:val="00A85A4A"/>
    <w:rsid w:val="00A90493"/>
    <w:rsid w:val="00AA216C"/>
    <w:rsid w:val="00AA5E4A"/>
    <w:rsid w:val="00AA6A7D"/>
    <w:rsid w:val="00AB0029"/>
    <w:rsid w:val="00AC4D8D"/>
    <w:rsid w:val="00AE1575"/>
    <w:rsid w:val="00AE7710"/>
    <w:rsid w:val="00B021A6"/>
    <w:rsid w:val="00B06ACC"/>
    <w:rsid w:val="00B12B2D"/>
    <w:rsid w:val="00B17C0B"/>
    <w:rsid w:val="00B21A9B"/>
    <w:rsid w:val="00B27DF3"/>
    <w:rsid w:val="00B379B3"/>
    <w:rsid w:val="00B4497A"/>
    <w:rsid w:val="00B45EA0"/>
    <w:rsid w:val="00B46759"/>
    <w:rsid w:val="00B52329"/>
    <w:rsid w:val="00B52D3A"/>
    <w:rsid w:val="00B56AF4"/>
    <w:rsid w:val="00B57A41"/>
    <w:rsid w:val="00B60A16"/>
    <w:rsid w:val="00B6401B"/>
    <w:rsid w:val="00B80D2B"/>
    <w:rsid w:val="00B812D4"/>
    <w:rsid w:val="00B84081"/>
    <w:rsid w:val="00B87FA7"/>
    <w:rsid w:val="00B9185F"/>
    <w:rsid w:val="00B92DAE"/>
    <w:rsid w:val="00B93F82"/>
    <w:rsid w:val="00BA4D4D"/>
    <w:rsid w:val="00BB02DD"/>
    <w:rsid w:val="00BB141D"/>
    <w:rsid w:val="00BB18B5"/>
    <w:rsid w:val="00BB57E3"/>
    <w:rsid w:val="00BC3BB3"/>
    <w:rsid w:val="00BC3BEA"/>
    <w:rsid w:val="00BC5BE5"/>
    <w:rsid w:val="00BD068C"/>
    <w:rsid w:val="00BD5DD0"/>
    <w:rsid w:val="00BE6952"/>
    <w:rsid w:val="00BF5866"/>
    <w:rsid w:val="00C0331A"/>
    <w:rsid w:val="00C051F0"/>
    <w:rsid w:val="00C06877"/>
    <w:rsid w:val="00C13EBE"/>
    <w:rsid w:val="00C27B91"/>
    <w:rsid w:val="00C27CBF"/>
    <w:rsid w:val="00C31EA8"/>
    <w:rsid w:val="00C3429F"/>
    <w:rsid w:val="00C42D3E"/>
    <w:rsid w:val="00C43013"/>
    <w:rsid w:val="00C43ABC"/>
    <w:rsid w:val="00C456EB"/>
    <w:rsid w:val="00C470D6"/>
    <w:rsid w:val="00C51931"/>
    <w:rsid w:val="00C540ED"/>
    <w:rsid w:val="00C654EF"/>
    <w:rsid w:val="00C67F30"/>
    <w:rsid w:val="00C73C31"/>
    <w:rsid w:val="00C74DCD"/>
    <w:rsid w:val="00C769C8"/>
    <w:rsid w:val="00C77A45"/>
    <w:rsid w:val="00C87591"/>
    <w:rsid w:val="00CA02FC"/>
    <w:rsid w:val="00CA06C7"/>
    <w:rsid w:val="00CB0393"/>
    <w:rsid w:val="00CB56BF"/>
    <w:rsid w:val="00CB7C40"/>
    <w:rsid w:val="00CC2977"/>
    <w:rsid w:val="00CD1F1E"/>
    <w:rsid w:val="00CD3DB9"/>
    <w:rsid w:val="00CE3B31"/>
    <w:rsid w:val="00CE4E1B"/>
    <w:rsid w:val="00CE69A4"/>
    <w:rsid w:val="00CF344C"/>
    <w:rsid w:val="00CF3FDD"/>
    <w:rsid w:val="00CF70CB"/>
    <w:rsid w:val="00D047E0"/>
    <w:rsid w:val="00D05466"/>
    <w:rsid w:val="00D10806"/>
    <w:rsid w:val="00D156BE"/>
    <w:rsid w:val="00D1795B"/>
    <w:rsid w:val="00D17F87"/>
    <w:rsid w:val="00D237AA"/>
    <w:rsid w:val="00D359B7"/>
    <w:rsid w:val="00D3626C"/>
    <w:rsid w:val="00D369E4"/>
    <w:rsid w:val="00D37525"/>
    <w:rsid w:val="00D412CC"/>
    <w:rsid w:val="00D57D6A"/>
    <w:rsid w:val="00D648CE"/>
    <w:rsid w:val="00D658E9"/>
    <w:rsid w:val="00D674EF"/>
    <w:rsid w:val="00D67D6C"/>
    <w:rsid w:val="00D725FA"/>
    <w:rsid w:val="00D738A2"/>
    <w:rsid w:val="00D77275"/>
    <w:rsid w:val="00D81C59"/>
    <w:rsid w:val="00D83F8E"/>
    <w:rsid w:val="00D843E2"/>
    <w:rsid w:val="00D84FD4"/>
    <w:rsid w:val="00D8730D"/>
    <w:rsid w:val="00D92DA6"/>
    <w:rsid w:val="00DA0ED4"/>
    <w:rsid w:val="00DB1B8B"/>
    <w:rsid w:val="00DB41E7"/>
    <w:rsid w:val="00DB700F"/>
    <w:rsid w:val="00DB7DCD"/>
    <w:rsid w:val="00DC0FBF"/>
    <w:rsid w:val="00DC25DE"/>
    <w:rsid w:val="00DD00C8"/>
    <w:rsid w:val="00DD38D7"/>
    <w:rsid w:val="00DD5943"/>
    <w:rsid w:val="00DE1782"/>
    <w:rsid w:val="00DE2A9C"/>
    <w:rsid w:val="00E008AA"/>
    <w:rsid w:val="00E01BFC"/>
    <w:rsid w:val="00E05372"/>
    <w:rsid w:val="00E11253"/>
    <w:rsid w:val="00E3049C"/>
    <w:rsid w:val="00E41A7D"/>
    <w:rsid w:val="00E55B14"/>
    <w:rsid w:val="00E64936"/>
    <w:rsid w:val="00E811C0"/>
    <w:rsid w:val="00EA0142"/>
    <w:rsid w:val="00EB65A5"/>
    <w:rsid w:val="00EB7714"/>
    <w:rsid w:val="00EC0342"/>
    <w:rsid w:val="00ED1ABD"/>
    <w:rsid w:val="00EE1613"/>
    <w:rsid w:val="00EE22EF"/>
    <w:rsid w:val="00EE65BA"/>
    <w:rsid w:val="00EF6B95"/>
    <w:rsid w:val="00F00B84"/>
    <w:rsid w:val="00F137D8"/>
    <w:rsid w:val="00F14D6C"/>
    <w:rsid w:val="00F155ED"/>
    <w:rsid w:val="00F15BF4"/>
    <w:rsid w:val="00F2324E"/>
    <w:rsid w:val="00F26761"/>
    <w:rsid w:val="00F340DE"/>
    <w:rsid w:val="00F43D64"/>
    <w:rsid w:val="00F475B0"/>
    <w:rsid w:val="00F54B04"/>
    <w:rsid w:val="00F57112"/>
    <w:rsid w:val="00F61707"/>
    <w:rsid w:val="00F639A5"/>
    <w:rsid w:val="00F74673"/>
    <w:rsid w:val="00F77DCF"/>
    <w:rsid w:val="00F86C15"/>
    <w:rsid w:val="00F93219"/>
    <w:rsid w:val="00F93F9E"/>
    <w:rsid w:val="00F95EE6"/>
    <w:rsid w:val="00FA39BC"/>
    <w:rsid w:val="00FA3CF4"/>
    <w:rsid w:val="00FA5648"/>
    <w:rsid w:val="00FA5B5C"/>
    <w:rsid w:val="00FC2596"/>
    <w:rsid w:val="00FD18AE"/>
    <w:rsid w:val="00FD3AD0"/>
    <w:rsid w:val="00FE4815"/>
    <w:rsid w:val="00FF2962"/>
    <w:rsid w:val="00FF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EF6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388"/>
  </w:style>
  <w:style w:type="paragraph" w:styleId="Heading1">
    <w:name w:val="heading 1"/>
    <w:basedOn w:val="Normal"/>
    <w:next w:val="Normal"/>
    <w:link w:val="Heading1Char"/>
    <w:uiPriority w:val="9"/>
    <w:qFormat/>
    <w:rsid w:val="002B13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3Bodytext"/>
    <w:next w:val="Normal"/>
    <w:link w:val="Heading2Char"/>
    <w:uiPriority w:val="9"/>
    <w:unhideWhenUsed/>
    <w:qFormat/>
    <w:rsid w:val="004066C3"/>
    <w:pPr>
      <w:numPr>
        <w:ilvl w:val="0"/>
        <w:numId w:val="0"/>
      </w:numPr>
      <w:outlineLvl w:val="1"/>
    </w:pPr>
    <w:rPr>
      <w:b/>
    </w:rPr>
  </w:style>
  <w:style w:type="paragraph" w:styleId="Heading3">
    <w:name w:val="heading 3"/>
    <w:basedOn w:val="Normal"/>
    <w:next w:val="Normal"/>
    <w:link w:val="Heading3Char"/>
    <w:uiPriority w:val="9"/>
    <w:unhideWhenUsed/>
    <w:qFormat/>
    <w:rsid w:val="002B1388"/>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B138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B138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B138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B138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B13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B13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13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38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066C3"/>
    <w:rPr>
      <w:rFonts w:asciiTheme="minorHAnsi" w:hAnsiTheme="minorHAnsi" w:cstheme="minorBidi"/>
      <w:b/>
      <w:szCs w:val="22"/>
    </w:rPr>
  </w:style>
  <w:style w:type="paragraph" w:styleId="NoSpacing">
    <w:name w:val="No Spacing"/>
    <w:uiPriority w:val="1"/>
    <w:qFormat/>
    <w:rsid w:val="002B1388"/>
    <w:pPr>
      <w:spacing w:after="0" w:line="240" w:lineRule="auto"/>
    </w:pPr>
  </w:style>
  <w:style w:type="character" w:customStyle="1" w:styleId="Heading1Char">
    <w:name w:val="Heading 1 Char"/>
    <w:basedOn w:val="DefaultParagraphFont"/>
    <w:link w:val="Heading1"/>
    <w:uiPriority w:val="9"/>
    <w:rsid w:val="002B138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B1388"/>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2B138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B138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B138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2B138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2B13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B1388"/>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2B1388"/>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1388"/>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2B1388"/>
    <w:rPr>
      <w:i/>
      <w:iCs/>
      <w:color w:val="404040" w:themeColor="text1" w:themeTint="BF"/>
    </w:rPr>
  </w:style>
  <w:style w:type="paragraph" w:customStyle="1" w:styleId="2Sections">
    <w:name w:val="2. Sections"/>
    <w:qFormat/>
    <w:rsid w:val="002B1388"/>
    <w:pPr>
      <w:numPr>
        <w:numId w:val="1"/>
      </w:numPr>
      <w:spacing w:before="240" w:after="120" w:line="240" w:lineRule="auto"/>
      <w:outlineLvl w:val="0"/>
    </w:pPr>
    <w:rPr>
      <w:rFonts w:asciiTheme="minorHAnsi" w:eastAsia="Times New Roman" w:hAnsiTheme="minorHAnsi" w:cs="Arial"/>
      <w:b/>
      <w:snapToGrid w:val="0"/>
      <w:sz w:val="32"/>
      <w:szCs w:val="32"/>
    </w:rPr>
  </w:style>
  <w:style w:type="paragraph" w:customStyle="1" w:styleId="3Bodytext">
    <w:name w:val="3. Body text"/>
    <w:basedOn w:val="ListParagraph"/>
    <w:link w:val="3BodytextChar"/>
    <w:qFormat/>
    <w:rsid w:val="002B1388"/>
    <w:pPr>
      <w:numPr>
        <w:ilvl w:val="1"/>
        <w:numId w:val="1"/>
      </w:numPr>
      <w:spacing w:after="120" w:line="240" w:lineRule="auto"/>
      <w:contextualSpacing w:val="0"/>
      <w:jc w:val="both"/>
    </w:pPr>
    <w:rPr>
      <w:rFonts w:asciiTheme="minorHAnsi" w:hAnsiTheme="minorHAnsi" w:cstheme="minorBidi"/>
      <w:szCs w:val="22"/>
    </w:rPr>
  </w:style>
  <w:style w:type="character" w:customStyle="1" w:styleId="3BodytextChar">
    <w:name w:val="3. Body text Char"/>
    <w:basedOn w:val="DefaultParagraphFont"/>
    <w:link w:val="3Bodytext"/>
    <w:rsid w:val="002B1388"/>
    <w:rPr>
      <w:rFonts w:asciiTheme="minorHAnsi" w:hAnsiTheme="minorHAnsi" w:cstheme="minorBidi"/>
      <w:szCs w:val="22"/>
    </w:rPr>
  </w:style>
  <w:style w:type="paragraph" w:styleId="ListParagraph">
    <w:name w:val="List Paragraph"/>
    <w:aliases w:val="Footnote,BulletPoints,List Paragraph1,Recommendation,Body Text Bullet Points,Numbered para,Bullet point,List Paragraph11,ES Paragraph,PBAC ES Paragraph,PBAC normal points,Bullet List,Section heading"/>
    <w:basedOn w:val="Normal"/>
    <w:link w:val="ListParagraphChar"/>
    <w:uiPriority w:val="72"/>
    <w:qFormat/>
    <w:rsid w:val="002B1388"/>
    <w:pPr>
      <w:ind w:left="720"/>
      <w:contextualSpacing/>
    </w:pPr>
  </w:style>
  <w:style w:type="paragraph" w:styleId="Caption">
    <w:name w:val="caption"/>
    <w:basedOn w:val="Normal"/>
    <w:next w:val="Normal"/>
    <w:link w:val="CaptionChar"/>
    <w:uiPriority w:val="35"/>
    <w:unhideWhenUsed/>
    <w:qFormat/>
    <w:rsid w:val="002B1388"/>
    <w:pPr>
      <w:spacing w:after="40" w:line="240" w:lineRule="auto"/>
      <w:jc w:val="both"/>
    </w:pPr>
    <w:rPr>
      <w:rFonts w:ascii="Arial Narrow" w:eastAsia="Times New Roman" w:hAnsi="Arial Narrow"/>
      <w:b/>
      <w:iCs/>
      <w:sz w:val="20"/>
      <w:szCs w:val="18"/>
    </w:rPr>
  </w:style>
  <w:style w:type="paragraph" w:customStyle="1" w:styleId="Tabletext">
    <w:name w:val="Table text"/>
    <w:basedOn w:val="Normal"/>
    <w:link w:val="TabletextChar"/>
    <w:rsid w:val="002B1388"/>
    <w:pPr>
      <w:spacing w:after="120" w:line="240" w:lineRule="auto"/>
      <w:jc w:val="both"/>
    </w:pPr>
    <w:rPr>
      <w:rFonts w:ascii="Arial" w:eastAsia="Times New Roman" w:hAnsi="Arial"/>
      <w:sz w:val="20"/>
      <w:szCs w:val="20"/>
    </w:rPr>
  </w:style>
  <w:style w:type="paragraph" w:customStyle="1" w:styleId="TableText0">
    <w:name w:val="Table Text"/>
    <w:link w:val="TableTextChar0"/>
    <w:qFormat/>
    <w:rsid w:val="002B1388"/>
    <w:pPr>
      <w:keepNext/>
      <w:spacing w:after="0" w:line="240" w:lineRule="auto"/>
    </w:pPr>
    <w:rPr>
      <w:rFonts w:ascii="Arial Narrow" w:eastAsiaTheme="majorEastAsia" w:hAnsi="Arial Narrow" w:cstheme="majorBidi"/>
      <w:bCs/>
      <w:sz w:val="20"/>
    </w:rPr>
  </w:style>
  <w:style w:type="character" w:customStyle="1" w:styleId="TableTextChar0">
    <w:name w:val="Table Text Char"/>
    <w:basedOn w:val="DefaultParagraphFont"/>
    <w:link w:val="TableText0"/>
    <w:rsid w:val="002B1388"/>
    <w:rPr>
      <w:rFonts w:ascii="Arial Narrow" w:eastAsiaTheme="majorEastAsia" w:hAnsi="Arial Narrow" w:cstheme="majorBidi"/>
      <w:bCs/>
      <w:sz w:val="20"/>
    </w:rPr>
  </w:style>
  <w:style w:type="character" w:customStyle="1" w:styleId="CaptionChar">
    <w:name w:val="Caption Char"/>
    <w:basedOn w:val="DefaultParagraphFont"/>
    <w:link w:val="Caption"/>
    <w:uiPriority w:val="35"/>
    <w:rsid w:val="002B1388"/>
    <w:rPr>
      <w:rFonts w:ascii="Arial Narrow" w:eastAsia="Times New Roman" w:hAnsi="Arial Narrow"/>
      <w:b/>
      <w:iCs/>
      <w:sz w:val="20"/>
      <w:szCs w:val="18"/>
    </w:rPr>
  </w:style>
  <w:style w:type="character" w:customStyle="1" w:styleId="TabletextChar">
    <w:name w:val="Table text Char"/>
    <w:basedOn w:val="DefaultParagraphFont"/>
    <w:link w:val="Tabletext"/>
    <w:rsid w:val="002B1388"/>
    <w:rPr>
      <w:rFonts w:ascii="Arial" w:eastAsia="Times New Roman" w:hAnsi="Arial"/>
      <w:sz w:val="20"/>
      <w:szCs w:val="20"/>
    </w:rPr>
  </w:style>
  <w:style w:type="paragraph" w:customStyle="1" w:styleId="In-tableHeading">
    <w:name w:val="In-table Heading"/>
    <w:qFormat/>
    <w:rsid w:val="002B1388"/>
    <w:pPr>
      <w:keepNext/>
      <w:spacing w:after="0" w:line="240" w:lineRule="auto"/>
    </w:pPr>
    <w:rPr>
      <w:rFonts w:ascii="Arial Narrow" w:eastAsiaTheme="majorEastAsia" w:hAnsi="Arial Narrow"/>
      <w:b/>
      <w:sz w:val="20"/>
      <w:lang w:val="en-US"/>
    </w:rPr>
  </w:style>
  <w:style w:type="paragraph" w:customStyle="1" w:styleId="TableFigureFooter">
    <w:name w:val="Table/Figure Footer"/>
    <w:basedOn w:val="Normal"/>
    <w:link w:val="TableFigureFooterChar"/>
    <w:qFormat/>
    <w:rsid w:val="002B1388"/>
    <w:pPr>
      <w:spacing w:after="0" w:line="240" w:lineRule="auto"/>
      <w:contextualSpacing/>
      <w:jc w:val="both"/>
    </w:pPr>
    <w:rPr>
      <w:rFonts w:ascii="Arial Narrow" w:eastAsia="Times New Roman" w:hAnsi="Arial Narrow" w:cs="Arial"/>
      <w:snapToGrid w:val="0"/>
      <w:sz w:val="18"/>
      <w:szCs w:val="22"/>
    </w:rPr>
  </w:style>
  <w:style w:type="character" w:customStyle="1" w:styleId="TableFigureFooterChar">
    <w:name w:val="Table/Figure Footer Char"/>
    <w:link w:val="TableFigureFooter"/>
    <w:rsid w:val="002B1388"/>
    <w:rPr>
      <w:rFonts w:ascii="Arial Narrow" w:eastAsia="Times New Roman" w:hAnsi="Arial Narrow" w:cs="Arial"/>
      <w:snapToGrid w:val="0"/>
      <w:sz w:val="18"/>
      <w:szCs w:val="22"/>
    </w:rPr>
  </w:style>
  <w:style w:type="table" w:styleId="TableGrid">
    <w:name w:val="Table Grid"/>
    <w:aliases w:val="Summary box,Table Gridbeth"/>
    <w:basedOn w:val="TableNormal"/>
    <w:uiPriority w:val="39"/>
    <w:rsid w:val="002B138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39"/>
    <w:rsid w:val="002B138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age Header,Header title,he=header,cntr/bld"/>
    <w:basedOn w:val="Normal"/>
    <w:link w:val="HeaderChar"/>
    <w:unhideWhenUsed/>
    <w:qFormat/>
    <w:rsid w:val="002B1388"/>
    <w:pPr>
      <w:tabs>
        <w:tab w:val="center" w:pos="4513"/>
        <w:tab w:val="right" w:pos="9026"/>
      </w:tabs>
      <w:spacing w:after="0" w:line="240" w:lineRule="auto"/>
    </w:pPr>
  </w:style>
  <w:style w:type="character" w:customStyle="1" w:styleId="HeaderChar">
    <w:name w:val="Header Char"/>
    <w:aliases w:val="Page Header Char,Header title Char,he=header Char,cntr/bld Char"/>
    <w:basedOn w:val="DefaultParagraphFont"/>
    <w:link w:val="Header"/>
    <w:rsid w:val="002B1388"/>
  </w:style>
  <w:style w:type="paragraph" w:styleId="Footer">
    <w:name w:val="footer"/>
    <w:basedOn w:val="Normal"/>
    <w:link w:val="FooterChar"/>
    <w:uiPriority w:val="99"/>
    <w:unhideWhenUsed/>
    <w:rsid w:val="002B1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388"/>
  </w:style>
  <w:style w:type="paragraph" w:styleId="FootnoteText">
    <w:name w:val="footnote text"/>
    <w:basedOn w:val="Normal"/>
    <w:link w:val="FootnoteTextChar"/>
    <w:uiPriority w:val="99"/>
    <w:semiHidden/>
    <w:unhideWhenUsed/>
    <w:rsid w:val="002B13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388"/>
    <w:rPr>
      <w:sz w:val="20"/>
      <w:szCs w:val="20"/>
    </w:rPr>
  </w:style>
  <w:style w:type="character" w:styleId="FootnoteReference">
    <w:name w:val="footnote reference"/>
    <w:basedOn w:val="DefaultParagraphFont"/>
    <w:uiPriority w:val="99"/>
    <w:semiHidden/>
    <w:unhideWhenUsed/>
    <w:rsid w:val="002B1388"/>
    <w:rPr>
      <w:vertAlign w:val="superscript"/>
    </w:rPr>
  </w:style>
  <w:style w:type="paragraph" w:styleId="BalloonText">
    <w:name w:val="Balloon Text"/>
    <w:basedOn w:val="Normal"/>
    <w:link w:val="BalloonTextChar"/>
    <w:uiPriority w:val="99"/>
    <w:semiHidden/>
    <w:unhideWhenUsed/>
    <w:rsid w:val="001D1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D41"/>
    <w:rPr>
      <w:rFonts w:ascii="Segoe UI" w:hAnsi="Segoe UI" w:cs="Segoe UI"/>
      <w:sz w:val="18"/>
      <w:szCs w:val="18"/>
    </w:rPr>
  </w:style>
  <w:style w:type="character" w:styleId="CommentReference">
    <w:name w:val="annotation reference"/>
    <w:basedOn w:val="DefaultParagraphFont"/>
    <w:uiPriority w:val="99"/>
    <w:semiHidden/>
    <w:unhideWhenUsed/>
    <w:rsid w:val="001D1D41"/>
    <w:rPr>
      <w:sz w:val="16"/>
      <w:szCs w:val="16"/>
    </w:rPr>
  </w:style>
  <w:style w:type="paragraph" w:styleId="CommentText">
    <w:name w:val="annotation text"/>
    <w:basedOn w:val="Normal"/>
    <w:link w:val="CommentTextChar"/>
    <w:uiPriority w:val="99"/>
    <w:unhideWhenUsed/>
    <w:rsid w:val="001D1D41"/>
    <w:pPr>
      <w:spacing w:line="240" w:lineRule="auto"/>
    </w:pPr>
    <w:rPr>
      <w:sz w:val="20"/>
      <w:szCs w:val="20"/>
    </w:rPr>
  </w:style>
  <w:style w:type="character" w:customStyle="1" w:styleId="CommentTextChar">
    <w:name w:val="Comment Text Char"/>
    <w:basedOn w:val="DefaultParagraphFont"/>
    <w:link w:val="CommentText"/>
    <w:uiPriority w:val="99"/>
    <w:rsid w:val="001D1D41"/>
    <w:rPr>
      <w:sz w:val="20"/>
      <w:szCs w:val="20"/>
    </w:rPr>
  </w:style>
  <w:style w:type="paragraph" w:styleId="CommentSubject">
    <w:name w:val="annotation subject"/>
    <w:basedOn w:val="CommentText"/>
    <w:next w:val="CommentText"/>
    <w:link w:val="CommentSubjectChar"/>
    <w:uiPriority w:val="99"/>
    <w:semiHidden/>
    <w:unhideWhenUsed/>
    <w:rsid w:val="001D1D41"/>
    <w:rPr>
      <w:b/>
      <w:bCs/>
    </w:rPr>
  </w:style>
  <w:style w:type="character" w:customStyle="1" w:styleId="CommentSubjectChar">
    <w:name w:val="Comment Subject Char"/>
    <w:basedOn w:val="CommentTextChar"/>
    <w:link w:val="CommentSubject"/>
    <w:uiPriority w:val="99"/>
    <w:semiHidden/>
    <w:rsid w:val="001D1D41"/>
    <w:rPr>
      <w:b/>
      <w:bCs/>
      <w:sz w:val="20"/>
      <w:szCs w:val="20"/>
    </w:rPr>
  </w:style>
  <w:style w:type="paragraph" w:styleId="Revision">
    <w:name w:val="Revision"/>
    <w:hidden/>
    <w:uiPriority w:val="99"/>
    <w:semiHidden/>
    <w:rsid w:val="008D5870"/>
    <w:pPr>
      <w:spacing w:after="0" w:line="240" w:lineRule="auto"/>
    </w:pPr>
  </w:style>
  <w:style w:type="paragraph" w:styleId="ListBullet">
    <w:name w:val="List Bullet"/>
    <w:basedOn w:val="Normal"/>
    <w:uiPriority w:val="99"/>
    <w:unhideWhenUsed/>
    <w:rsid w:val="00446083"/>
    <w:pPr>
      <w:numPr>
        <w:numId w:val="2"/>
      </w:numPr>
      <w:spacing w:after="0" w:line="240" w:lineRule="auto"/>
      <w:contextualSpacing/>
      <w:jc w:val="both"/>
    </w:pPr>
    <w:rPr>
      <w:rFonts w:ascii="Calibri" w:eastAsia="Times New Roman" w:hAnsi="Calibri"/>
    </w:rPr>
  </w:style>
  <w:style w:type="character" w:customStyle="1" w:styleId="ListParagraphChar">
    <w:name w:val="List Paragraph Char"/>
    <w:aliases w:val="Footnote Char,BulletPoints Char,List Paragraph1 Char,Recommendation Char,Body Text Bullet Points Char,Numbered para Char,Bullet point Char,List Paragraph11 Char,ES Paragraph Char,PBAC ES Paragraph Char,PBAC normal points Char"/>
    <w:basedOn w:val="DefaultParagraphFont"/>
    <w:link w:val="ListParagraph"/>
    <w:uiPriority w:val="72"/>
    <w:qFormat/>
    <w:locked/>
    <w:rsid w:val="00FA39BC"/>
  </w:style>
  <w:style w:type="paragraph" w:styleId="ListNumber">
    <w:name w:val="List Number"/>
    <w:basedOn w:val="Normal"/>
    <w:uiPriority w:val="99"/>
    <w:unhideWhenUsed/>
    <w:rsid w:val="000D3660"/>
    <w:pPr>
      <w:spacing w:after="0" w:line="240" w:lineRule="auto"/>
      <w:ind w:left="720" w:hanging="720"/>
      <w:contextualSpacing/>
    </w:pPr>
    <w:rPr>
      <w:rFonts w:eastAsia="Times New Roman"/>
      <w:lang w:eastAsia="en-AU"/>
    </w:rPr>
  </w:style>
  <w:style w:type="paragraph" w:customStyle="1" w:styleId="4-SubsectionHeading">
    <w:name w:val="4-Subsection Heading"/>
    <w:basedOn w:val="Heading2"/>
    <w:next w:val="Normal"/>
    <w:link w:val="4-SubsectionHeadingChar"/>
    <w:qFormat/>
    <w:rsid w:val="009648EE"/>
    <w:pPr>
      <w:spacing w:before="120"/>
    </w:pPr>
    <w:rPr>
      <w:b w:val="0"/>
      <w:i/>
      <w:spacing w:val="5"/>
      <w:kern w:val="28"/>
      <w:sz w:val="28"/>
      <w:szCs w:val="36"/>
      <w:lang w:eastAsia="en-AU"/>
    </w:rPr>
  </w:style>
  <w:style w:type="character" w:customStyle="1" w:styleId="4-SubsectionHeadingChar">
    <w:name w:val="4-Subsection Heading Char"/>
    <w:basedOn w:val="Heading2Char"/>
    <w:link w:val="4-SubsectionHeading"/>
    <w:rsid w:val="009648EE"/>
    <w:rPr>
      <w:rFonts w:asciiTheme="minorHAnsi" w:eastAsiaTheme="majorEastAsia" w:hAnsiTheme="minorHAnsi" w:cstheme="majorBidi"/>
      <w:b w:val="0"/>
      <w:i/>
      <w:color w:val="2E74B5" w:themeColor="accent1" w:themeShade="BF"/>
      <w:spacing w:val="5"/>
      <w:kern w:val="28"/>
      <w:sz w:val="28"/>
      <w:szCs w:val="36"/>
      <w:lang w:eastAsia="en-AU"/>
    </w:rPr>
  </w:style>
  <w:style w:type="paragraph" w:customStyle="1" w:styleId="Default">
    <w:name w:val="Default"/>
    <w:rsid w:val="00660240"/>
    <w:pPr>
      <w:autoSpaceDE w:val="0"/>
      <w:autoSpaceDN w:val="0"/>
      <w:adjustRightInd w:val="0"/>
      <w:spacing w:after="0" w:line="240" w:lineRule="auto"/>
    </w:pPr>
    <w:rPr>
      <w:rFonts w:ascii="Symbol" w:eastAsia="Times New Roman" w:hAnsi="Symbol" w:cs="Symbol"/>
      <w:color w:val="000000"/>
      <w:lang w:eastAsia="en-AU"/>
    </w:rPr>
  </w:style>
  <w:style w:type="paragraph" w:customStyle="1" w:styleId="4Bodytextnumbered">
    <w:name w:val="4. Body text numbered"/>
    <w:basedOn w:val="ListParagraph"/>
    <w:qFormat/>
    <w:rsid w:val="00D674EF"/>
    <w:pPr>
      <w:spacing w:after="120" w:line="240" w:lineRule="auto"/>
      <w:ind w:hanging="720"/>
      <w:contextualSpacing w:val="0"/>
      <w:jc w:val="both"/>
    </w:pPr>
    <w:rPr>
      <w:rFonts w:asciiTheme="minorHAnsi" w:hAnsiTheme="minorHAnsi" w:cstheme="minorBidi"/>
      <w:szCs w:val="22"/>
    </w:rPr>
  </w:style>
  <w:style w:type="character" w:styleId="Hyperlink">
    <w:name w:val="Hyperlink"/>
    <w:basedOn w:val="DefaultParagraphFont"/>
    <w:uiPriority w:val="99"/>
    <w:unhideWhenUsed/>
    <w:rsid w:val="00D648CE"/>
    <w:rPr>
      <w:color w:val="0563C1" w:themeColor="hyperlink"/>
      <w:u w:val="single"/>
    </w:rPr>
  </w:style>
  <w:style w:type="character" w:customStyle="1" w:styleId="UnresolvedMention1">
    <w:name w:val="Unresolved Mention1"/>
    <w:basedOn w:val="DefaultParagraphFont"/>
    <w:uiPriority w:val="99"/>
    <w:semiHidden/>
    <w:unhideWhenUsed/>
    <w:rsid w:val="00D648CE"/>
    <w:rPr>
      <w:color w:val="605E5C"/>
      <w:shd w:val="clear" w:color="auto" w:fill="E1DFDD"/>
    </w:rPr>
  </w:style>
  <w:style w:type="character" w:styleId="FollowedHyperlink">
    <w:name w:val="FollowedHyperlink"/>
    <w:basedOn w:val="DefaultParagraphFont"/>
    <w:uiPriority w:val="99"/>
    <w:semiHidden/>
    <w:unhideWhenUsed/>
    <w:rsid w:val="00047312"/>
    <w:rPr>
      <w:color w:val="954F72" w:themeColor="followedHyperlink"/>
      <w:u w:val="single"/>
    </w:rPr>
  </w:style>
  <w:style w:type="character" w:styleId="UnresolvedMention">
    <w:name w:val="Unresolved Mention"/>
    <w:basedOn w:val="DefaultParagraphFont"/>
    <w:uiPriority w:val="99"/>
    <w:semiHidden/>
    <w:unhideWhenUsed/>
    <w:rsid w:val="00594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731279">
      <w:bodyDiv w:val="1"/>
      <w:marLeft w:val="0"/>
      <w:marRight w:val="0"/>
      <w:marTop w:val="0"/>
      <w:marBottom w:val="0"/>
      <w:divBdr>
        <w:top w:val="none" w:sz="0" w:space="0" w:color="auto"/>
        <w:left w:val="none" w:sz="0" w:space="0" w:color="auto"/>
        <w:bottom w:val="none" w:sz="0" w:space="0" w:color="auto"/>
        <w:right w:val="none" w:sz="0" w:space="0" w:color="auto"/>
      </w:divBdr>
    </w:div>
    <w:div w:id="675114250">
      <w:bodyDiv w:val="1"/>
      <w:marLeft w:val="0"/>
      <w:marRight w:val="0"/>
      <w:marTop w:val="0"/>
      <w:marBottom w:val="0"/>
      <w:divBdr>
        <w:top w:val="none" w:sz="0" w:space="0" w:color="auto"/>
        <w:left w:val="none" w:sz="0" w:space="0" w:color="auto"/>
        <w:bottom w:val="none" w:sz="0" w:space="0" w:color="auto"/>
        <w:right w:val="none" w:sz="0" w:space="0" w:color="auto"/>
      </w:divBdr>
    </w:div>
    <w:div w:id="838618362">
      <w:bodyDiv w:val="1"/>
      <w:marLeft w:val="0"/>
      <w:marRight w:val="0"/>
      <w:marTop w:val="0"/>
      <w:marBottom w:val="0"/>
      <w:divBdr>
        <w:top w:val="none" w:sz="0" w:space="0" w:color="auto"/>
        <w:left w:val="none" w:sz="0" w:space="0" w:color="auto"/>
        <w:bottom w:val="none" w:sz="0" w:space="0" w:color="auto"/>
        <w:right w:val="none" w:sz="0" w:space="0" w:color="auto"/>
      </w:divBdr>
    </w:div>
    <w:div w:id="1001860631">
      <w:bodyDiv w:val="1"/>
      <w:marLeft w:val="0"/>
      <w:marRight w:val="0"/>
      <w:marTop w:val="0"/>
      <w:marBottom w:val="0"/>
      <w:divBdr>
        <w:top w:val="none" w:sz="0" w:space="0" w:color="auto"/>
        <w:left w:val="none" w:sz="0" w:space="0" w:color="auto"/>
        <w:bottom w:val="none" w:sz="0" w:space="0" w:color="auto"/>
        <w:right w:val="none" w:sz="0" w:space="0" w:color="auto"/>
      </w:divBdr>
    </w:div>
    <w:div w:id="1150946434">
      <w:bodyDiv w:val="1"/>
      <w:marLeft w:val="0"/>
      <w:marRight w:val="0"/>
      <w:marTop w:val="0"/>
      <w:marBottom w:val="0"/>
      <w:divBdr>
        <w:top w:val="none" w:sz="0" w:space="0" w:color="auto"/>
        <w:left w:val="none" w:sz="0" w:space="0" w:color="auto"/>
        <w:bottom w:val="none" w:sz="0" w:space="0" w:color="auto"/>
        <w:right w:val="none" w:sz="0" w:space="0" w:color="auto"/>
      </w:divBdr>
    </w:div>
    <w:div w:id="1522359177">
      <w:bodyDiv w:val="1"/>
      <w:marLeft w:val="0"/>
      <w:marRight w:val="0"/>
      <w:marTop w:val="0"/>
      <w:marBottom w:val="0"/>
      <w:divBdr>
        <w:top w:val="none" w:sz="0" w:space="0" w:color="auto"/>
        <w:left w:val="none" w:sz="0" w:space="0" w:color="auto"/>
        <w:bottom w:val="none" w:sz="0" w:space="0" w:color="auto"/>
        <w:right w:val="none" w:sz="0" w:space="0" w:color="auto"/>
      </w:divBdr>
    </w:div>
    <w:div w:id="1656841296">
      <w:bodyDiv w:val="1"/>
      <w:marLeft w:val="0"/>
      <w:marRight w:val="0"/>
      <w:marTop w:val="0"/>
      <w:marBottom w:val="0"/>
      <w:divBdr>
        <w:top w:val="none" w:sz="0" w:space="0" w:color="auto"/>
        <w:left w:val="none" w:sz="0" w:space="0" w:color="auto"/>
        <w:bottom w:val="none" w:sz="0" w:space="0" w:color="auto"/>
        <w:right w:val="none" w:sz="0" w:space="0" w:color="auto"/>
      </w:divBdr>
    </w:div>
    <w:div w:id="1771702934">
      <w:bodyDiv w:val="1"/>
      <w:marLeft w:val="0"/>
      <w:marRight w:val="0"/>
      <w:marTop w:val="0"/>
      <w:marBottom w:val="0"/>
      <w:divBdr>
        <w:top w:val="none" w:sz="0" w:space="0" w:color="auto"/>
        <w:left w:val="none" w:sz="0" w:space="0" w:color="auto"/>
        <w:bottom w:val="none" w:sz="0" w:space="0" w:color="auto"/>
        <w:right w:val="none" w:sz="0" w:space="0" w:color="auto"/>
      </w:divBdr>
    </w:div>
    <w:div w:id="1922988421">
      <w:bodyDiv w:val="1"/>
      <w:marLeft w:val="0"/>
      <w:marRight w:val="0"/>
      <w:marTop w:val="0"/>
      <w:marBottom w:val="0"/>
      <w:divBdr>
        <w:top w:val="none" w:sz="0" w:space="0" w:color="auto"/>
        <w:left w:val="none" w:sz="0" w:space="0" w:color="auto"/>
        <w:bottom w:val="none" w:sz="0" w:space="0" w:color="auto"/>
        <w:right w:val="none" w:sz="0" w:space="0" w:color="auto"/>
      </w:divBdr>
    </w:div>
    <w:div w:id="1972587394">
      <w:bodyDiv w:val="1"/>
      <w:marLeft w:val="0"/>
      <w:marRight w:val="0"/>
      <w:marTop w:val="0"/>
      <w:marBottom w:val="0"/>
      <w:divBdr>
        <w:top w:val="none" w:sz="0" w:space="0" w:color="auto"/>
        <w:left w:val="none" w:sz="0" w:space="0" w:color="auto"/>
        <w:bottom w:val="none" w:sz="0" w:space="0" w:color="auto"/>
        <w:right w:val="none" w:sz="0" w:space="0" w:color="auto"/>
      </w:divBdr>
    </w:div>
    <w:div w:id="20250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dcheck.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bs.gov.au/info/industry/listing/elements/pbac-meetings/psd/2021-07/dapagliflozin-heart-failure-tablet-10-mg-forxiga" TargetMode="External"/><Relationship Id="rId4" Type="http://schemas.openxmlformats.org/officeDocument/2006/relationships/settings" Target="settings.xml"/><Relationship Id="rId9" Type="http://schemas.openxmlformats.org/officeDocument/2006/relationships/hyperlink" Target="http://www.cvdcheck.org.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diabetessociet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C584E-C0EB-47EE-B542-FD0D38CD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3554</Words>
  <Characters>20260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2024-11-08T03:32:00Z</dcterms:created>
  <dcterms:modified xsi:type="dcterms:W3CDTF">2024-11-08T03:46:00Z</dcterms:modified>
</cp:coreProperties>
</file>