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7D01C" w14:textId="5918E79B" w:rsidR="0071655B" w:rsidRPr="003326B0" w:rsidRDefault="000F5535" w:rsidP="00CD0476">
      <w:pPr>
        <w:pStyle w:val="1MainTitle"/>
        <w:ind w:left="1440" w:hanging="1440"/>
      </w:pPr>
      <w:bookmarkStart w:id="0" w:name="_Toc440980439"/>
      <w:r>
        <w:t>9.0</w:t>
      </w:r>
      <w:r w:rsidR="002A2C23">
        <w:t>4</w:t>
      </w:r>
      <w:r w:rsidR="00CD0476">
        <w:tab/>
      </w:r>
      <w:r w:rsidR="00F658C4">
        <w:t>Cost-</w:t>
      </w:r>
      <w:r w:rsidR="00CD0476">
        <w:t>e</w:t>
      </w:r>
      <w:r w:rsidR="00F658C4">
        <w:t xml:space="preserve">ffectiveness </w:t>
      </w:r>
      <w:r w:rsidR="00CD0476">
        <w:t>r</w:t>
      </w:r>
      <w:r w:rsidR="004D7F35">
        <w:t xml:space="preserve">eview of </w:t>
      </w:r>
      <w:r w:rsidR="00F658C4">
        <w:t>SGLT2</w:t>
      </w:r>
      <w:r w:rsidR="00E918D4">
        <w:t xml:space="preserve"> </w:t>
      </w:r>
      <w:r w:rsidR="00F658C4">
        <w:t>inhibitor medi</w:t>
      </w:r>
      <w:r w:rsidR="004D7F35">
        <w:t xml:space="preserve">cines for </w:t>
      </w:r>
      <w:r w:rsidR="00CD0476">
        <w:t>t</w:t>
      </w:r>
      <w:r w:rsidR="004D7F35">
        <w:t xml:space="preserve">ype 2 </w:t>
      </w:r>
      <w:r w:rsidR="00CD0476">
        <w:t>d</w:t>
      </w:r>
      <w:r w:rsidR="004D7F35">
        <w:t xml:space="preserve">iabetes </w:t>
      </w:r>
      <w:r w:rsidR="00CD0476">
        <w:t>m</w:t>
      </w:r>
      <w:r w:rsidR="004D7F35">
        <w:t>ellitus</w:t>
      </w:r>
    </w:p>
    <w:p w14:paraId="672798DD" w14:textId="77777777" w:rsidR="0071655B" w:rsidRPr="0071655B" w:rsidRDefault="0071655B" w:rsidP="00495819">
      <w:pPr>
        <w:pStyle w:val="NoSpacing"/>
      </w:pPr>
    </w:p>
    <w:p w14:paraId="75203631" w14:textId="564463F9" w:rsidR="00A013C4" w:rsidRDefault="00A013C4" w:rsidP="0067120F">
      <w:pPr>
        <w:pStyle w:val="2Sections"/>
      </w:pPr>
      <w:r w:rsidRPr="0071655B">
        <w:t xml:space="preserve">Purpose of </w:t>
      </w:r>
      <w:bookmarkEnd w:id="0"/>
      <w:r w:rsidRPr="0071655B">
        <w:t>Item</w:t>
      </w:r>
    </w:p>
    <w:p w14:paraId="18BC2592" w14:textId="7B200B21" w:rsidR="00A3458F" w:rsidRPr="0071655B" w:rsidRDefault="00A3458F" w:rsidP="00A3458F">
      <w:pPr>
        <w:pStyle w:val="3Bodytext"/>
      </w:pPr>
      <w:r>
        <w:t>That the Pharmaceutical Benefits Advisory Committee (PBAC):</w:t>
      </w:r>
    </w:p>
    <w:p w14:paraId="334146AF" w14:textId="706081E2" w:rsidR="00DA6AB7" w:rsidRPr="004D7F35" w:rsidRDefault="005B2D3B" w:rsidP="00C839F4">
      <w:pPr>
        <w:pStyle w:val="4Bodytextnumbered"/>
        <w:numPr>
          <w:ilvl w:val="1"/>
          <w:numId w:val="1"/>
        </w:numPr>
        <w:spacing w:before="120"/>
      </w:pPr>
      <w:r>
        <w:rPr>
          <w:b/>
          <w:bCs/>
        </w:rPr>
        <w:t xml:space="preserve">Note </w:t>
      </w:r>
      <w:r>
        <w:t xml:space="preserve">the </w:t>
      </w:r>
      <w:r w:rsidR="00E918D4">
        <w:t>A</w:t>
      </w:r>
      <w:r w:rsidR="004A411E">
        <w:t xml:space="preserve">ddendum to the </w:t>
      </w:r>
      <w:r w:rsidR="0002787B">
        <w:t xml:space="preserve">cost-effectiveness review (CER) of </w:t>
      </w:r>
      <w:r w:rsidR="00A3458F">
        <w:t>sodium-glucose cotransporter 2 (</w:t>
      </w:r>
      <w:r w:rsidR="00520B74">
        <w:t>SGLT2</w:t>
      </w:r>
      <w:r w:rsidR="00A3458F">
        <w:t>)</w:t>
      </w:r>
      <w:r w:rsidR="00520B74">
        <w:t xml:space="preserve"> inhibitor medicines for </w:t>
      </w:r>
      <w:r w:rsidR="0002787B">
        <w:t>type 2 diabetes mellitus (T2DM)</w:t>
      </w:r>
      <w:r w:rsidR="00C839F4">
        <w:t>, which provides</w:t>
      </w:r>
      <w:r w:rsidR="00640182">
        <w:t xml:space="preserve"> revised </w:t>
      </w:r>
      <w:r w:rsidR="00A3458F">
        <w:t>incremental cost-effectiveness ratios (</w:t>
      </w:r>
      <w:r w:rsidR="00640182">
        <w:t>ICERs</w:t>
      </w:r>
      <w:r w:rsidR="00A3458F">
        <w:t>)</w:t>
      </w:r>
      <w:r w:rsidR="00640182">
        <w:t xml:space="preserve"> and</w:t>
      </w:r>
      <w:r w:rsidR="00C839F4">
        <w:t xml:space="preserve"> </w:t>
      </w:r>
      <w:r w:rsidR="003708FD">
        <w:t>e</w:t>
      </w:r>
      <w:r w:rsidR="00520B74">
        <w:t>stimate</w:t>
      </w:r>
      <w:r w:rsidR="00640182">
        <w:t>s</w:t>
      </w:r>
      <w:r w:rsidR="00C839F4">
        <w:t xml:space="preserve"> of the</w:t>
      </w:r>
      <w:r w:rsidR="00520B74">
        <w:t xml:space="preserve"> financial impact to the </w:t>
      </w:r>
      <w:r w:rsidR="00E50E96">
        <w:t>Pharmaceutical Benefits Scheme (</w:t>
      </w:r>
      <w:r w:rsidR="00520B74">
        <w:t>PBS</w:t>
      </w:r>
      <w:r w:rsidR="00E50E96">
        <w:t>)</w:t>
      </w:r>
      <w:r w:rsidR="00520B74">
        <w:t xml:space="preserve"> of</w:t>
      </w:r>
      <w:r w:rsidR="00640182">
        <w:t xml:space="preserve"> listing </w:t>
      </w:r>
      <w:r w:rsidR="00642C92">
        <w:t xml:space="preserve">SGLT2 inhibitors as add-on therapy to metformin for people with T2DM and </w:t>
      </w:r>
      <w:r w:rsidR="00640182" w:rsidRPr="00640182">
        <w:t xml:space="preserve">established cardiovascular disease (CVD) or high </w:t>
      </w:r>
      <w:r w:rsidR="00E918D4">
        <w:t>cardiovascular</w:t>
      </w:r>
      <w:r w:rsidR="00B64428">
        <w:t xml:space="preserve"> (CV)</w:t>
      </w:r>
      <w:r w:rsidR="00640182" w:rsidRPr="00640182">
        <w:t xml:space="preserve"> risk</w:t>
      </w:r>
      <w:r w:rsidR="00642C92">
        <w:t xml:space="preserve"> without</w:t>
      </w:r>
      <w:r w:rsidR="00C46942">
        <w:t xml:space="preserve"> the requirement to have</w:t>
      </w:r>
      <w:r w:rsidR="00642C92">
        <w:t xml:space="preserve"> a</w:t>
      </w:r>
      <w:r w:rsidR="00C46942">
        <w:t xml:space="preserve"> specific unmet</w:t>
      </w:r>
      <w:r w:rsidR="00642C92">
        <w:t xml:space="preserve"> glycaemic </w:t>
      </w:r>
      <w:r w:rsidR="00C46942">
        <w:t>target</w:t>
      </w:r>
      <w:r w:rsidR="00713A57">
        <w:t xml:space="preserve">, </w:t>
      </w:r>
      <w:r w:rsidR="00640182">
        <w:t>based on 15%, 25% and 50% price reductions.</w:t>
      </w:r>
      <w:r w:rsidR="00713A57">
        <w:t xml:space="preserve"> Financial estimates for modelled price reductions to the current SGLT2 inhibitor market for T2DM are also provided.</w:t>
      </w:r>
    </w:p>
    <w:p w14:paraId="594614D6" w14:textId="25B56030" w:rsidR="0038530B" w:rsidRDefault="00CC5A3A" w:rsidP="00DA6AB7">
      <w:pPr>
        <w:pStyle w:val="4Bodytextnumbered"/>
        <w:numPr>
          <w:ilvl w:val="1"/>
          <w:numId w:val="1"/>
        </w:numPr>
        <w:spacing w:before="120"/>
      </w:pPr>
      <w:r>
        <w:rPr>
          <w:b/>
          <w:bCs/>
        </w:rPr>
        <w:t xml:space="preserve">Recommend </w:t>
      </w:r>
      <w:r>
        <w:t xml:space="preserve">any changes to the </w:t>
      </w:r>
      <w:r w:rsidR="007247A3">
        <w:t xml:space="preserve">price, PBS restrictions, or risk-sharing arrangements for </w:t>
      </w:r>
      <w:r>
        <w:t>SGLT2 inhibitors</w:t>
      </w:r>
      <w:r w:rsidR="0038530B">
        <w:t>.</w:t>
      </w:r>
    </w:p>
    <w:p w14:paraId="6A417233" w14:textId="6E519FEA" w:rsidR="00DA6AB7" w:rsidRDefault="0038530B" w:rsidP="00DA6AB7">
      <w:pPr>
        <w:pStyle w:val="4Bodytextnumbered"/>
        <w:numPr>
          <w:ilvl w:val="1"/>
          <w:numId w:val="1"/>
        </w:numPr>
        <w:spacing w:before="120"/>
      </w:pPr>
      <w:r>
        <w:rPr>
          <w:b/>
          <w:bCs/>
        </w:rPr>
        <w:t xml:space="preserve">Advise </w:t>
      </w:r>
      <w:r w:rsidR="00082968">
        <w:t>t</w:t>
      </w:r>
      <w:r w:rsidR="00817502">
        <w:t xml:space="preserve">he </w:t>
      </w:r>
      <w:bookmarkStart w:id="1" w:name="_Hlk89892360"/>
      <w:r w:rsidR="00817502">
        <w:t xml:space="preserve">department if the PBAC would like </w:t>
      </w:r>
      <w:r>
        <w:t xml:space="preserve">any further work undertaken on the cost-effectiveness of </w:t>
      </w:r>
      <w:r w:rsidR="00E50E96">
        <w:t xml:space="preserve">T2DM </w:t>
      </w:r>
      <w:r>
        <w:t>medicines</w:t>
      </w:r>
      <w:r w:rsidR="00082968">
        <w:t xml:space="preserve">.  </w:t>
      </w:r>
      <w:bookmarkEnd w:id="1"/>
    </w:p>
    <w:p w14:paraId="4E0E734C" w14:textId="46F5984D" w:rsidR="00DA6AB7" w:rsidRDefault="00DA6AB7" w:rsidP="00DA6AB7">
      <w:pPr>
        <w:pStyle w:val="2Sections"/>
        <w:numPr>
          <w:ilvl w:val="0"/>
          <w:numId w:val="1"/>
        </w:numPr>
        <w:spacing w:before="120"/>
      </w:pPr>
      <w:r w:rsidRPr="0071655B">
        <w:t>Background</w:t>
      </w:r>
    </w:p>
    <w:p w14:paraId="56E0ABC5" w14:textId="680FC02E" w:rsidR="00B64428" w:rsidRPr="0071655B" w:rsidRDefault="00B64428" w:rsidP="00B64428">
      <w:pPr>
        <w:pStyle w:val="3Subheading1"/>
      </w:pPr>
      <w:r w:rsidRPr="006A77F3">
        <w:t>Cost-effectiveness Review of T2DM medicines</w:t>
      </w:r>
    </w:p>
    <w:p w14:paraId="2A8C61EA" w14:textId="1538915E" w:rsidR="00DA6AB7" w:rsidRDefault="00DA6AB7" w:rsidP="00DA6AB7">
      <w:pPr>
        <w:pStyle w:val="3Bodytext"/>
        <w:numPr>
          <w:ilvl w:val="1"/>
          <w:numId w:val="1"/>
        </w:numPr>
        <w:spacing w:before="120"/>
      </w:pPr>
      <w:r>
        <w:t xml:space="preserve">In September 2019, </w:t>
      </w:r>
      <w:r w:rsidR="009E75B8">
        <w:t>a stakeholder</w:t>
      </w:r>
      <w:r w:rsidRPr="00996D59">
        <w:t xml:space="preserve"> </w:t>
      </w:r>
      <w:r w:rsidR="00E50E96">
        <w:t xml:space="preserve">wrote </w:t>
      </w:r>
      <w:r>
        <w:t>to the</w:t>
      </w:r>
      <w:r w:rsidRPr="00996D59">
        <w:t xml:space="preserve"> PBAC requesting broader listings for </w:t>
      </w:r>
      <w:r w:rsidR="00E50E96">
        <w:t xml:space="preserve">glucagon-like peptide-1 receptor agonists (GLP-1 RAs) </w:t>
      </w:r>
      <w:r>
        <w:t>and SGLT2 inhibito</w:t>
      </w:r>
      <w:r w:rsidRPr="00996D59">
        <w:t>rs on the PBS</w:t>
      </w:r>
      <w:r>
        <w:t xml:space="preserve">. The </w:t>
      </w:r>
      <w:r w:rsidR="009E75B8">
        <w:t xml:space="preserve">stakeholder </w:t>
      </w:r>
      <w:r>
        <w:t>considered that PBS reimbursement should support the use of these medicines in people with T2DM with</w:t>
      </w:r>
      <w:r w:rsidR="00C839F4">
        <w:t xml:space="preserve"> CVD</w:t>
      </w:r>
      <w:r>
        <w:t xml:space="preserve">, or with multiple CV risk factors, and HbA1c &gt;6.5%, </w:t>
      </w:r>
      <w:r w:rsidR="00272281">
        <w:t>based on</w:t>
      </w:r>
      <w:r>
        <w:t xml:space="preserve"> the results of several CV outcome trials.</w:t>
      </w:r>
    </w:p>
    <w:p w14:paraId="14272829" w14:textId="4F0295F4" w:rsidR="00DA6AB7" w:rsidRDefault="00642C92" w:rsidP="0022649B">
      <w:pPr>
        <w:pStyle w:val="3Bodytext"/>
        <w:numPr>
          <w:ilvl w:val="1"/>
          <w:numId w:val="1"/>
        </w:numPr>
      </w:pPr>
      <w:r>
        <w:t>The Department engaged a contractor to prepare a</w:t>
      </w:r>
      <w:r w:rsidRPr="00B56AF4">
        <w:t xml:space="preserve"> clinical and cost-utility evaluation report</w:t>
      </w:r>
      <w:r>
        <w:t xml:space="preserve"> </w:t>
      </w:r>
      <w:r w:rsidRPr="00B56AF4">
        <w:t xml:space="preserve">using </w:t>
      </w:r>
      <w:r>
        <w:t>an</w:t>
      </w:r>
      <w:r w:rsidRPr="00B56AF4">
        <w:t xml:space="preserve"> adaptation and calibration of a reference model </w:t>
      </w:r>
      <w:r>
        <w:t>(</w:t>
      </w:r>
      <w:r w:rsidRPr="007E6C7B">
        <w:t>UK Prospective Diabetes Study</w:t>
      </w:r>
      <w:r>
        <w:t xml:space="preserve"> Outcomes Model 2 </w:t>
      </w:r>
      <w:r w:rsidRPr="00B56AF4">
        <w:t>[UKPDS OM2]</w:t>
      </w:r>
      <w:r>
        <w:t>)</w:t>
      </w:r>
      <w:r w:rsidRPr="00B56AF4">
        <w:t xml:space="preserve"> to assess the cost-effectiveness of SGLT2 inhibitors compared to </w:t>
      </w:r>
      <w:r w:rsidR="0022649B">
        <w:t>sulfonylureas (</w:t>
      </w:r>
      <w:r w:rsidRPr="00B56AF4">
        <w:t>SUs</w:t>
      </w:r>
      <w:r w:rsidR="0022649B">
        <w:t>)</w:t>
      </w:r>
      <w:r w:rsidRPr="00B56AF4">
        <w:t xml:space="preserve"> as dual therapy with metformin for the treatment of T2DM</w:t>
      </w:r>
      <w:r w:rsidR="00534DC0">
        <w:t xml:space="preserve"> (the SGLT2 inhibitor report)</w:t>
      </w:r>
      <w:r w:rsidRPr="00B56AF4">
        <w:t xml:space="preserve">. This involved using Australian-specific mortality, </w:t>
      </w:r>
      <w:r w:rsidR="00A20179" w:rsidRPr="00B56AF4">
        <w:t>cost,</w:t>
      </w:r>
      <w:r w:rsidRPr="00B56AF4">
        <w:t xml:space="preserve"> and patient data to calibrate the original UKPDS Outcomes Model to allow </w:t>
      </w:r>
      <w:r>
        <w:t xml:space="preserve">a </w:t>
      </w:r>
      <w:r w:rsidRPr="00B56AF4">
        <w:t>cost-effectiveness analysis in a contemporary Australian setting.</w:t>
      </w:r>
      <w:r w:rsidR="0022649B">
        <w:t xml:space="preserve"> </w:t>
      </w:r>
      <w:r w:rsidR="00DA6AB7" w:rsidRPr="000D3660">
        <w:t xml:space="preserve">This comparison </w:t>
      </w:r>
      <w:r w:rsidR="007247A3" w:rsidRPr="000D3660">
        <w:t>was</w:t>
      </w:r>
      <w:r w:rsidR="00DA6AB7" w:rsidRPr="000D3660">
        <w:t xml:space="preserve"> of interest to the PBAC</w:t>
      </w:r>
      <w:r w:rsidR="00DA6AB7" w:rsidRPr="0022649B">
        <w:rPr>
          <w:sz w:val="22"/>
        </w:rPr>
        <w:t xml:space="preserve"> </w:t>
      </w:r>
      <w:r w:rsidR="00DA6AB7" w:rsidRPr="000D3660">
        <w:t>given emerging evidence o</w:t>
      </w:r>
      <w:r w:rsidR="007D68C5">
        <w:t>f</w:t>
      </w:r>
      <w:r w:rsidR="00DA6AB7" w:rsidRPr="000D3660">
        <w:t xml:space="preserve"> CV benefits and weight loss associated with SGLT2 inhibitors. </w:t>
      </w:r>
    </w:p>
    <w:p w14:paraId="3D3C5DE6" w14:textId="006CA9EC" w:rsidR="00DA6AB7" w:rsidRPr="00DE5B2C" w:rsidRDefault="007D68C5" w:rsidP="005E4E1E">
      <w:pPr>
        <w:keepNext/>
        <w:keepLines/>
        <w:numPr>
          <w:ilvl w:val="1"/>
          <w:numId w:val="1"/>
        </w:numPr>
        <w:spacing w:before="120" w:after="120"/>
        <w:contextualSpacing/>
        <w:rPr>
          <w:rFonts w:asciiTheme="minorHAnsi" w:hAnsiTheme="minorHAnsi" w:cstheme="minorBidi"/>
        </w:rPr>
      </w:pPr>
      <w:r>
        <w:rPr>
          <w:rFonts w:asciiTheme="minorHAnsi" w:hAnsiTheme="minorHAnsi" w:cstheme="minorBidi"/>
        </w:rPr>
        <w:lastRenderedPageBreak/>
        <w:t xml:space="preserve">The </w:t>
      </w:r>
      <w:r w:rsidR="00534DC0">
        <w:rPr>
          <w:rFonts w:asciiTheme="minorHAnsi" w:hAnsiTheme="minorHAnsi" w:cstheme="minorBidi"/>
        </w:rPr>
        <w:t xml:space="preserve">SGLT2 inhibitor </w:t>
      </w:r>
      <w:r>
        <w:rPr>
          <w:rFonts w:asciiTheme="minorHAnsi" w:hAnsiTheme="minorHAnsi" w:cstheme="minorBidi"/>
        </w:rPr>
        <w:t>report concluded that</w:t>
      </w:r>
      <w:r w:rsidR="00DA6AB7" w:rsidRPr="00DE5B2C">
        <w:rPr>
          <w:rFonts w:asciiTheme="minorHAnsi" w:hAnsiTheme="minorHAnsi" w:cstheme="minorBidi"/>
        </w:rPr>
        <w:t>:</w:t>
      </w:r>
    </w:p>
    <w:p w14:paraId="4FEB1273" w14:textId="4D5019F4" w:rsidR="00DA6AB7" w:rsidRPr="00DE5B2C" w:rsidRDefault="00DA6AB7" w:rsidP="007543BE">
      <w:pPr>
        <w:pStyle w:val="ListParagraph"/>
        <w:keepNext/>
        <w:keepLines/>
        <w:numPr>
          <w:ilvl w:val="0"/>
          <w:numId w:val="32"/>
        </w:numPr>
        <w:spacing w:before="120" w:after="120"/>
        <w:ind w:left="924" w:hanging="357"/>
        <w:rPr>
          <w:rFonts w:asciiTheme="minorHAnsi" w:hAnsiTheme="minorHAnsi" w:cstheme="minorBidi"/>
          <w:sz w:val="24"/>
          <w:szCs w:val="24"/>
        </w:rPr>
      </w:pPr>
      <w:r w:rsidRPr="00DE5B2C">
        <w:rPr>
          <w:rFonts w:asciiTheme="minorHAnsi" w:hAnsiTheme="minorHAnsi" w:cstheme="minorBidi"/>
          <w:sz w:val="24"/>
          <w:szCs w:val="24"/>
        </w:rPr>
        <w:t xml:space="preserve">SGLT2 inhibitors decreased the risk of all-cause and CV-related mortality when compared to SUs. </w:t>
      </w:r>
      <w:r w:rsidR="0059210A">
        <w:rPr>
          <w:rFonts w:asciiTheme="minorHAnsi" w:hAnsiTheme="minorHAnsi" w:cstheme="minorBidi"/>
          <w:sz w:val="24"/>
          <w:szCs w:val="24"/>
        </w:rPr>
        <w:t>Compared to SUs, SGLT2 inhibitors saw greater r</w:t>
      </w:r>
      <w:r w:rsidR="00350826">
        <w:rPr>
          <w:rFonts w:asciiTheme="minorHAnsi" w:hAnsiTheme="minorHAnsi" w:cstheme="minorBidi"/>
          <w:sz w:val="24"/>
          <w:szCs w:val="24"/>
        </w:rPr>
        <w:t>eductions in systolic blood pressure and weight, but no</w:t>
      </w:r>
      <w:r w:rsidR="0059210A">
        <w:rPr>
          <w:rFonts w:asciiTheme="minorHAnsi" w:hAnsiTheme="minorHAnsi" w:cstheme="minorBidi"/>
          <w:sz w:val="24"/>
          <w:szCs w:val="24"/>
        </w:rPr>
        <w:t xml:space="preserve"> significant difference in</w:t>
      </w:r>
      <w:r w:rsidR="00350826">
        <w:rPr>
          <w:rFonts w:asciiTheme="minorHAnsi" w:hAnsiTheme="minorHAnsi" w:cstheme="minorBidi"/>
          <w:sz w:val="24"/>
          <w:szCs w:val="24"/>
        </w:rPr>
        <w:t xml:space="preserve"> HbA1c</w:t>
      </w:r>
      <w:r w:rsidR="0059210A">
        <w:rPr>
          <w:rFonts w:asciiTheme="minorHAnsi" w:hAnsiTheme="minorHAnsi" w:cstheme="minorBidi"/>
          <w:sz w:val="24"/>
          <w:szCs w:val="24"/>
        </w:rPr>
        <w:t xml:space="preserve"> reductions.</w:t>
      </w:r>
    </w:p>
    <w:p w14:paraId="208E7C28" w14:textId="77777777" w:rsidR="00A2127B" w:rsidRDefault="00DA6AB7" w:rsidP="007543BE">
      <w:pPr>
        <w:pStyle w:val="ListParagraph"/>
        <w:numPr>
          <w:ilvl w:val="0"/>
          <w:numId w:val="32"/>
        </w:numPr>
        <w:spacing w:before="120" w:after="120"/>
        <w:ind w:left="924" w:hanging="357"/>
        <w:rPr>
          <w:rFonts w:asciiTheme="minorHAnsi" w:hAnsiTheme="minorHAnsi" w:cstheme="minorBidi"/>
          <w:sz w:val="24"/>
          <w:szCs w:val="24"/>
        </w:rPr>
      </w:pPr>
      <w:r w:rsidRPr="00DE5B2C">
        <w:rPr>
          <w:rFonts w:asciiTheme="minorHAnsi" w:hAnsiTheme="minorHAnsi" w:cstheme="minorBidi"/>
          <w:sz w:val="24"/>
          <w:szCs w:val="24"/>
        </w:rPr>
        <w:t>SGLT2 inhibitors were likely to improve life expectancy and quality adjusted life expectancy (quality-adjusted life years, or QALYs) versus SUs</w:t>
      </w:r>
      <w:r w:rsidR="00A2127B">
        <w:rPr>
          <w:rFonts w:asciiTheme="minorHAnsi" w:hAnsiTheme="minorHAnsi" w:cstheme="minorBidi"/>
          <w:sz w:val="24"/>
          <w:szCs w:val="24"/>
        </w:rPr>
        <w:t>,</w:t>
      </w:r>
      <w:r w:rsidRPr="00DE5B2C">
        <w:rPr>
          <w:rFonts w:asciiTheme="minorHAnsi" w:hAnsiTheme="minorHAnsi" w:cstheme="minorBidi"/>
          <w:sz w:val="24"/>
          <w:szCs w:val="24"/>
        </w:rPr>
        <w:t xml:space="preserve"> but were likely to lead to an overall increase in lifetime costs per patient. </w:t>
      </w:r>
    </w:p>
    <w:p w14:paraId="7D5D4DC9" w14:textId="7F1E2A38" w:rsidR="008258B7" w:rsidRDefault="00A2127B" w:rsidP="006C07B3">
      <w:pPr>
        <w:pStyle w:val="4Bodytextnumbered"/>
      </w:pPr>
      <w:r>
        <w:t>T</w:t>
      </w:r>
      <w:r w:rsidRPr="00A2127B">
        <w:t xml:space="preserve">he CER forecast </w:t>
      </w:r>
      <w:r w:rsidR="00FE72B3">
        <w:t xml:space="preserve">ICERs of </w:t>
      </w:r>
      <w:r w:rsidRPr="00A2127B">
        <w:t>$29,939 per QALY gained for men and $27,316 per QALY gained for women</w:t>
      </w:r>
      <w:r w:rsidR="008258B7">
        <w:t>, based on a lifetime treatment effect duration</w:t>
      </w:r>
      <w:r w:rsidR="005417C9">
        <w:t xml:space="preserve">. These </w:t>
      </w:r>
      <w:r w:rsidR="00FE72B3">
        <w:t>ICERs</w:t>
      </w:r>
      <w:r w:rsidR="005417C9" w:rsidRPr="00A2127B">
        <w:t xml:space="preserve"> </w:t>
      </w:r>
      <w:r w:rsidR="005417C9">
        <w:t xml:space="preserve">apply to the </w:t>
      </w:r>
      <w:r w:rsidR="00EB2A20">
        <w:t>Australian</w:t>
      </w:r>
      <w:r w:rsidR="00A84555">
        <w:t xml:space="preserve">s with </w:t>
      </w:r>
      <w:r w:rsidR="00EB2A20">
        <w:t>T2DM who are treated with SGLT2 inhibitors as</w:t>
      </w:r>
      <w:r w:rsidR="005417C9">
        <w:t xml:space="preserve"> dual therapy with metformin</w:t>
      </w:r>
      <w:r w:rsidR="005E4E1E">
        <w:t xml:space="preserve"> and include the currently eligible population as well as those with CVD or high CV risk</w:t>
      </w:r>
      <w:r w:rsidR="00EB2A20">
        <w:t>.</w:t>
      </w:r>
      <w:r w:rsidR="005417C9">
        <w:t xml:space="preserve"> </w:t>
      </w:r>
      <w:r w:rsidR="008258B7">
        <w:t>The ICERs were sensitive to shorter treatment effect durations</w:t>
      </w:r>
      <w:r w:rsidR="00FE72B3">
        <w:t xml:space="preserve">; </w:t>
      </w:r>
      <w:r w:rsidR="008258B7" w:rsidRPr="00555495">
        <w:t>$72,425 per QALY gained for men and $82,331 per QALY gained for women</w:t>
      </w:r>
      <w:r w:rsidR="008258B7">
        <w:t>, based on a three-year treatment effect to match the duration of the clinical trials.</w:t>
      </w:r>
      <w:r w:rsidR="008258B7" w:rsidRPr="00A2127B">
        <w:t xml:space="preserve"> </w:t>
      </w:r>
      <w:r w:rsidR="00A1617E">
        <w:t>Varying the cost associated with complications also had a</w:t>
      </w:r>
      <w:r w:rsidR="00EB2A20">
        <w:t>n</w:t>
      </w:r>
      <w:r w:rsidR="00A1617E">
        <w:t xml:space="preserve"> impact on the ICER.</w:t>
      </w:r>
    </w:p>
    <w:p w14:paraId="4EC80D47" w14:textId="2A8CD938" w:rsidR="00E45CB8" w:rsidRPr="00E45CB8" w:rsidRDefault="00E45CB8" w:rsidP="00A3458F">
      <w:pPr>
        <w:pStyle w:val="3Subheading1"/>
      </w:pPr>
      <w:r w:rsidRPr="00E45CB8">
        <w:t>PBAC Consideration</w:t>
      </w:r>
      <w:r w:rsidR="00712500">
        <w:t xml:space="preserve"> – November 2021</w:t>
      </w:r>
    </w:p>
    <w:p w14:paraId="29745365" w14:textId="01030EEC" w:rsidR="00E45CB8" w:rsidRPr="006A77F3" w:rsidRDefault="00E45CB8" w:rsidP="006D023C">
      <w:pPr>
        <w:pStyle w:val="4Bodytextnumbered"/>
      </w:pPr>
      <w:r>
        <w:t xml:space="preserve">At its November 2021 meeting, the PBAC considered the SGLT2 inhibitor </w:t>
      </w:r>
      <w:r w:rsidR="00914DAC">
        <w:t>report</w:t>
      </w:r>
      <w:r w:rsidR="00F96CD4">
        <w:t>, ESC and DUSC October 2021 advice, and sponsor pre-sub-committee and pre-PBAC responses</w:t>
      </w:r>
      <w:r>
        <w:t>.</w:t>
      </w:r>
      <w:r w:rsidR="00914DAC">
        <w:t xml:space="preserve"> </w:t>
      </w:r>
      <w:r>
        <w:t xml:space="preserve">The PBAC were asked to advise </w:t>
      </w:r>
      <w:r w:rsidRPr="001670D7">
        <w:t xml:space="preserve">on the suitability of </w:t>
      </w:r>
      <w:r w:rsidR="00A7437A">
        <w:t xml:space="preserve">the proposed </w:t>
      </w:r>
      <w:bookmarkStart w:id="2" w:name="_Hlk89873170"/>
      <w:r>
        <w:t xml:space="preserve">PBS restrictions </w:t>
      </w:r>
      <w:r w:rsidR="00A7437A">
        <w:t xml:space="preserve">that would </w:t>
      </w:r>
      <w:r w:rsidRPr="001670D7">
        <w:t xml:space="preserve">allow earlier subsidised access to SGLT2 inhibitors </w:t>
      </w:r>
      <w:r w:rsidR="005E4E1E">
        <w:t>for</w:t>
      </w:r>
      <w:r w:rsidR="00C46942">
        <w:t xml:space="preserve"> patients with</w:t>
      </w:r>
      <w:r w:rsidRPr="001670D7">
        <w:t xml:space="preserve"> T2DM as add-on therapy to metformin if they have established</w:t>
      </w:r>
      <w:r w:rsidR="00914DAC">
        <w:t xml:space="preserve"> CVD</w:t>
      </w:r>
      <w:r w:rsidRPr="001670D7">
        <w:t xml:space="preserve"> or are at high </w:t>
      </w:r>
      <w:r w:rsidR="00914DAC">
        <w:t xml:space="preserve">CV </w:t>
      </w:r>
      <w:r w:rsidRPr="001670D7">
        <w:t>risk</w:t>
      </w:r>
      <w:bookmarkStart w:id="3" w:name="_Hlk98338308"/>
      <w:r w:rsidRPr="001670D7">
        <w:t>, without the requirement to have a specific unmet glycaemic target</w:t>
      </w:r>
      <w:r>
        <w:t>.</w:t>
      </w:r>
      <w:bookmarkEnd w:id="2"/>
      <w:bookmarkEnd w:id="3"/>
      <w:r w:rsidR="006D023C">
        <w:t xml:space="preserve"> Th</w:t>
      </w:r>
      <w:r w:rsidRPr="00655A2A">
        <w:t xml:space="preserve">e net cost of the proposed restriction changes </w:t>
      </w:r>
      <w:r>
        <w:t>was</w:t>
      </w:r>
      <w:r w:rsidRPr="00655A2A">
        <w:t xml:space="preserve"> estimated to be $108</w:t>
      </w:r>
      <w:r w:rsidR="005E4E1E">
        <w:t> </w:t>
      </w:r>
      <w:r w:rsidRPr="00655A2A">
        <w:t>million in 2022, increasing to $200 million in 2026</w:t>
      </w:r>
      <w:r>
        <w:t>, based on current PBS-listed prices</w:t>
      </w:r>
      <w:r w:rsidRPr="00655A2A">
        <w:t>.</w:t>
      </w:r>
      <w:r>
        <w:t xml:space="preserve"> The base case estimates assumed a</w:t>
      </w:r>
      <w:r w:rsidRPr="009208B5">
        <w:t xml:space="preserve"> 50% uptake in the eligible population in 2022, increasing by 10% every year up to 90%</w:t>
      </w:r>
      <w:r w:rsidR="0059210A">
        <w:t xml:space="preserve"> uptake</w:t>
      </w:r>
      <w:r w:rsidRPr="009208B5">
        <w:t xml:space="preserve"> in 2026</w:t>
      </w:r>
      <w:r>
        <w:t xml:space="preserve">. </w:t>
      </w:r>
    </w:p>
    <w:p w14:paraId="6EB0160A" w14:textId="123B2B31" w:rsidR="00E45CB8" w:rsidRDefault="00712500" w:rsidP="00E45CB8">
      <w:pPr>
        <w:pStyle w:val="4Bodytextnumbered"/>
      </w:pPr>
      <w:r>
        <w:t>T</w:t>
      </w:r>
      <w:r w:rsidR="00E45CB8" w:rsidRPr="001670D7">
        <w:t xml:space="preserve">he PBAC </w:t>
      </w:r>
      <w:r w:rsidR="00E45CB8" w:rsidRPr="005E4E1E">
        <w:t>deferred</w:t>
      </w:r>
      <w:r w:rsidR="00E45CB8" w:rsidRPr="001670D7">
        <w:t xml:space="preserve"> a decision to recommend </w:t>
      </w:r>
      <w:r w:rsidR="00E45CB8">
        <w:t>expanding the listings of SGLT2 inhibitors</w:t>
      </w:r>
      <w:r w:rsidR="005E4E1E">
        <w:t xml:space="preserve"> due to </w:t>
      </w:r>
      <w:r w:rsidR="00E45CB8">
        <w:t>several concerns, including:</w:t>
      </w:r>
    </w:p>
    <w:p w14:paraId="744A815B" w14:textId="15894111" w:rsidR="00E45CB8" w:rsidRDefault="00E45CB8" w:rsidP="00E45CB8">
      <w:pPr>
        <w:pStyle w:val="4Bodytextnumbered"/>
        <w:numPr>
          <w:ilvl w:val="0"/>
          <w:numId w:val="26"/>
        </w:numPr>
      </w:pPr>
      <w:r>
        <w:t>the net cost to the PBS over the first five years of listing was very high and uncertain</w:t>
      </w:r>
    </w:p>
    <w:p w14:paraId="1E77ABAE" w14:textId="28EDB2FA" w:rsidR="00E45CB8" w:rsidRDefault="00E45CB8" w:rsidP="0001431A">
      <w:pPr>
        <w:pStyle w:val="4Bodytextnumbered"/>
        <w:numPr>
          <w:ilvl w:val="0"/>
          <w:numId w:val="26"/>
        </w:numPr>
      </w:pPr>
      <w:r>
        <w:t>the cost-effectiveness of the proposed listings was uncertain given the ICER for the base case and sensitivity analyses were higher than PBAC would normally accept for preventative treatments</w:t>
      </w:r>
    </w:p>
    <w:p w14:paraId="72D58892" w14:textId="79064E67" w:rsidR="00E45CB8" w:rsidRDefault="00E45CB8" w:rsidP="0001431A">
      <w:pPr>
        <w:pStyle w:val="4Bodytextnumbered"/>
        <w:numPr>
          <w:ilvl w:val="0"/>
          <w:numId w:val="26"/>
        </w:numPr>
      </w:pPr>
      <w:r>
        <w:t xml:space="preserve">effectively targeting the eligible population, specifically patients with T2DM with high </w:t>
      </w:r>
      <w:r w:rsidR="00914DAC">
        <w:t xml:space="preserve">CV </w:t>
      </w:r>
      <w:r>
        <w:t xml:space="preserve">risk in the proposed PBS restrictions. </w:t>
      </w:r>
    </w:p>
    <w:p w14:paraId="30D437E2" w14:textId="4BD07346" w:rsidR="00955E02" w:rsidRPr="008B1262" w:rsidRDefault="00217E7F" w:rsidP="00955E02">
      <w:pPr>
        <w:pStyle w:val="3Bodytext"/>
        <w:numPr>
          <w:ilvl w:val="1"/>
          <w:numId w:val="1"/>
        </w:numPr>
      </w:pPr>
      <w:bookmarkStart w:id="4" w:name="_Hlk99026420"/>
      <w:r>
        <w:t>The PBAC</w:t>
      </w:r>
      <w:r w:rsidRPr="00466600">
        <w:t xml:space="preserve"> </w:t>
      </w:r>
      <w:r>
        <w:t xml:space="preserve">acknowledged the clinical rationale for expanding the PBS listings for SGLT2 inhibitors to </w:t>
      </w:r>
      <w:r w:rsidR="00636A4B">
        <w:t>the</w:t>
      </w:r>
      <w:r>
        <w:t xml:space="preserve"> population</w:t>
      </w:r>
      <w:r w:rsidR="00636A4B">
        <w:t xml:space="preserve"> with </w:t>
      </w:r>
      <w:r w:rsidR="00C46942">
        <w:t xml:space="preserve">T2DM and </w:t>
      </w:r>
      <w:r w:rsidR="00636A4B">
        <w:t>CVD</w:t>
      </w:r>
      <w:r w:rsidR="00326511">
        <w:t xml:space="preserve"> or </w:t>
      </w:r>
      <w:r w:rsidR="00636A4B">
        <w:t>high CV</w:t>
      </w:r>
      <w:r w:rsidR="00326511">
        <w:t xml:space="preserve"> risk and H</w:t>
      </w:r>
      <w:r w:rsidR="00C46942">
        <w:t>b</w:t>
      </w:r>
      <w:r w:rsidR="00636A4B">
        <w:t>A1c</w:t>
      </w:r>
      <w:r w:rsidR="00326511">
        <w:t xml:space="preserve"> &lt;7%. </w:t>
      </w:r>
      <w:r w:rsidR="00636A4B">
        <w:lastRenderedPageBreak/>
        <w:t>However,</w:t>
      </w:r>
      <w:r>
        <w:t xml:space="preserve"> </w:t>
      </w:r>
      <w:r w:rsidR="00724379">
        <w:t xml:space="preserve">noting </w:t>
      </w:r>
      <w:r>
        <w:t xml:space="preserve">DUSC concerns that while the eligible population and </w:t>
      </w:r>
      <w:r w:rsidR="00724379">
        <w:t xml:space="preserve">treatment </w:t>
      </w:r>
      <w:r w:rsidRPr="005A38A1">
        <w:t xml:space="preserve">uptake rates </w:t>
      </w:r>
      <w:r>
        <w:t>presented</w:t>
      </w:r>
      <w:r w:rsidRPr="005A38A1">
        <w:t xml:space="preserve"> </w:t>
      </w:r>
      <w:r>
        <w:t>in</w:t>
      </w:r>
      <w:r w:rsidRPr="005A38A1">
        <w:t xml:space="preserve"> the base case</w:t>
      </w:r>
      <w:r>
        <w:t xml:space="preserve"> estimates appear</w:t>
      </w:r>
      <w:r w:rsidR="00724379">
        <w:t>ed</w:t>
      </w:r>
      <w:r>
        <w:t xml:space="preserve"> reasonable</w:t>
      </w:r>
      <w:bookmarkEnd w:id="4"/>
      <w:r>
        <w:t>, uncertainty remain</w:t>
      </w:r>
      <w:r w:rsidR="00724379">
        <w:t>ed</w:t>
      </w:r>
      <w:r>
        <w:t xml:space="preserve"> about whether the </w:t>
      </w:r>
      <w:r w:rsidRPr="008B1262">
        <w:t xml:space="preserve">estimated cost to the Government </w:t>
      </w:r>
      <w:r>
        <w:t xml:space="preserve">could </w:t>
      </w:r>
      <w:r w:rsidRPr="008B1262">
        <w:t xml:space="preserve">be </w:t>
      </w:r>
      <w:r w:rsidR="00636A4B">
        <w:t xml:space="preserve">even </w:t>
      </w:r>
      <w:r w:rsidRPr="008B1262">
        <w:t xml:space="preserve">higher given the strong clinical and consumer interest in expanded access to </w:t>
      </w:r>
      <w:r>
        <w:t>SGLT2 inhibitors</w:t>
      </w:r>
      <w:r w:rsidRPr="008B1262">
        <w:t>, supported by current clinical guidance and sponsor promotion.</w:t>
      </w:r>
      <w:r w:rsidR="00955E02">
        <w:t xml:space="preserve"> </w:t>
      </w:r>
      <w:r w:rsidR="004C05E2">
        <w:t xml:space="preserve">The PBAC noted </w:t>
      </w:r>
      <w:r w:rsidR="00955E02" w:rsidRPr="008B1262">
        <w:t xml:space="preserve">the potential for </w:t>
      </w:r>
      <w:r w:rsidR="00955E02">
        <w:t>use of SGLT2 inhibitors outside the restrictions,</w:t>
      </w:r>
      <w:r w:rsidR="00955E02" w:rsidRPr="008B1262">
        <w:t xml:space="preserve"> in pre-diabet</w:t>
      </w:r>
      <w:r w:rsidR="00955E02">
        <w:t>es</w:t>
      </w:r>
      <w:r w:rsidR="00955E02" w:rsidRPr="008B1262">
        <w:t xml:space="preserve"> and other conditions. </w:t>
      </w:r>
    </w:p>
    <w:p w14:paraId="023AC861" w14:textId="7ECB2A28" w:rsidR="004C05E2" w:rsidRDefault="00E45CB8" w:rsidP="004C05E2">
      <w:pPr>
        <w:pStyle w:val="4Bodytextnumbered"/>
      </w:pPr>
      <w:r>
        <w:t>The</w:t>
      </w:r>
      <w:r w:rsidRPr="0026757F">
        <w:t xml:space="preserve"> PBAC considered that a price reduction for SGLT2 inhibitor medicines would be required to bring the ICER for the expanded listing into an acceptable range</w:t>
      </w:r>
      <w:r>
        <w:t xml:space="preserve"> and </w:t>
      </w:r>
      <w:r w:rsidR="00A7437A">
        <w:t xml:space="preserve">to reduce the uncertainty in the overall </w:t>
      </w:r>
      <w:r w:rsidR="00636A4B">
        <w:t>cost to the PBS.</w:t>
      </w:r>
      <w:r w:rsidR="00A7437A">
        <w:t xml:space="preserve"> The PBAC </w:t>
      </w:r>
      <w:r>
        <w:t xml:space="preserve">requested that the Department provide modelled </w:t>
      </w:r>
      <w:r w:rsidR="00636A4B">
        <w:t xml:space="preserve">ICERs and </w:t>
      </w:r>
      <w:r w:rsidR="003C5FD1">
        <w:t xml:space="preserve">financial </w:t>
      </w:r>
      <w:r>
        <w:t>estimates</w:t>
      </w:r>
      <w:r w:rsidR="00636A4B">
        <w:t xml:space="preserve"> where the current price of SGLT2</w:t>
      </w:r>
      <w:r w:rsidR="0023412F">
        <w:t xml:space="preserve"> inhibitors w</w:t>
      </w:r>
      <w:r w:rsidR="003C5FD1">
        <w:t>as</w:t>
      </w:r>
      <w:r w:rsidR="00636A4B">
        <w:t xml:space="preserve"> reduced</w:t>
      </w:r>
      <w:r w:rsidR="00326511">
        <w:t xml:space="preserve"> </w:t>
      </w:r>
      <w:r w:rsidR="00636A4B">
        <w:t>by 15</w:t>
      </w:r>
      <w:r w:rsidR="00326511">
        <w:t>%, 25% and 50%</w:t>
      </w:r>
      <w:r>
        <w:t>.</w:t>
      </w:r>
    </w:p>
    <w:p w14:paraId="45B3B3EA" w14:textId="6205B8CB" w:rsidR="00955E02" w:rsidRPr="003F7958" w:rsidRDefault="00955E02" w:rsidP="00955E02">
      <w:pPr>
        <w:pStyle w:val="4Bodytextnumbered"/>
      </w:pPr>
      <w:r w:rsidRPr="008B1262">
        <w:t xml:space="preserve">The PBAC recalled that </w:t>
      </w:r>
      <w:r w:rsidR="00E03A9D">
        <w:t xml:space="preserve">it had </w:t>
      </w:r>
      <w:r>
        <w:t>recommended</w:t>
      </w:r>
      <w:r w:rsidRPr="003E364B">
        <w:t xml:space="preserve"> extending the existing listing of dapagliflozin to include a General Schedule Authority Required (Streamlined) listing for the treatment of patients with </w:t>
      </w:r>
      <w:r w:rsidR="00E03A9D">
        <w:t>heart failure with reduced ejection fraction (HFrEF)</w:t>
      </w:r>
      <w:r>
        <w:t xml:space="preserve"> at the September 2021 intracycle meeting</w:t>
      </w:r>
      <w:r w:rsidRPr="003E364B">
        <w:t>.</w:t>
      </w:r>
      <w:r>
        <w:t xml:space="preserve"> </w:t>
      </w:r>
      <w:r w:rsidRPr="003F7958">
        <w:t>The PBAC considered that the estimates for HFrEF formed a reliable basis for a</w:t>
      </w:r>
      <w:r w:rsidR="00E03A9D">
        <w:t xml:space="preserve"> risk-sharing arrangement (</w:t>
      </w:r>
      <w:r>
        <w:t>RSA</w:t>
      </w:r>
      <w:r w:rsidR="00E03A9D">
        <w:t>)</w:t>
      </w:r>
      <w:r w:rsidRPr="003F7958">
        <w:t xml:space="preserve">, </w:t>
      </w:r>
      <w:r w:rsidR="008033A2" w:rsidRPr="008033A2">
        <w:rPr>
          <w:w w:val="15"/>
          <w:shd w:val="solid" w:color="000000" w:fill="000000"/>
          <w:fitText w:val="-20" w:id="-881146112"/>
          <w14:textFill>
            <w14:solidFill>
              <w14:srgbClr w14:val="000000">
                <w14:alpha w14:val="100000"/>
              </w14:srgbClr>
            </w14:solidFill>
          </w14:textFill>
        </w:rPr>
        <w:t xml:space="preserve">|  </w:t>
      </w:r>
      <w:r w:rsidR="008033A2" w:rsidRPr="008033A2">
        <w:rPr>
          <w:spacing w:val="-69"/>
          <w:w w:val="15"/>
          <w:shd w:val="solid" w:color="000000" w:fill="000000"/>
          <w:fitText w:val="-20" w:id="-881146112"/>
          <w14:textFill>
            <w14:solidFill>
              <w14:srgbClr w14:val="000000">
                <w14:alpha w14:val="100000"/>
              </w14:srgbClr>
            </w14:solidFill>
          </w14:textFill>
        </w:rPr>
        <w:t>|</w:t>
      </w:r>
      <w:r w:rsidR="00323028" w:rsidRPr="00323028">
        <w:t xml:space="preserve"> </w:t>
      </w:r>
      <w:r w:rsidR="008033A2" w:rsidRPr="008033A2">
        <w:rPr>
          <w:w w:val="15"/>
          <w:shd w:val="solid" w:color="000000" w:fill="000000"/>
          <w:fitText w:val="-20" w:id="-881146111"/>
          <w14:textFill>
            <w14:solidFill>
              <w14:srgbClr w14:val="000000">
                <w14:alpha w14:val="100000"/>
              </w14:srgbClr>
            </w14:solidFill>
          </w14:textFill>
        </w:rPr>
        <w:t xml:space="preserve">|  </w:t>
      </w:r>
      <w:r w:rsidR="008033A2" w:rsidRPr="008033A2">
        <w:rPr>
          <w:spacing w:val="-69"/>
          <w:w w:val="15"/>
          <w:shd w:val="solid" w:color="000000" w:fill="000000"/>
          <w:fitText w:val="-20" w:id="-881146111"/>
          <w14:textFill>
            <w14:solidFill>
              <w14:srgbClr w14:val="000000">
                <w14:alpha w14:val="100000"/>
              </w14:srgbClr>
            </w14:solidFill>
          </w14:textFill>
        </w:rPr>
        <w:t>|</w:t>
      </w:r>
      <w:r w:rsidR="00323028" w:rsidRPr="00323028">
        <w:t xml:space="preserve"> </w:t>
      </w:r>
      <w:r w:rsidR="008033A2" w:rsidRPr="008033A2">
        <w:rPr>
          <w:w w:val="15"/>
          <w:shd w:val="solid" w:color="000000" w:fill="000000"/>
          <w:fitText w:val="-20" w:id="-881146110"/>
          <w14:textFill>
            <w14:solidFill>
              <w14:srgbClr w14:val="000000">
                <w14:alpha w14:val="100000"/>
              </w14:srgbClr>
            </w14:solidFill>
          </w14:textFill>
        </w:rPr>
        <w:t xml:space="preserve">|  </w:t>
      </w:r>
      <w:r w:rsidR="008033A2" w:rsidRPr="008033A2">
        <w:rPr>
          <w:spacing w:val="-69"/>
          <w:w w:val="15"/>
          <w:shd w:val="solid" w:color="000000" w:fill="000000"/>
          <w:fitText w:val="-20" w:id="-881146110"/>
          <w14:textFill>
            <w14:solidFill>
              <w14:srgbClr w14:val="000000">
                <w14:alpha w14:val="100000"/>
              </w14:srgbClr>
            </w14:solidFill>
          </w14:textFill>
        </w:rPr>
        <w:t>|</w:t>
      </w:r>
      <w:r w:rsidR="00323028" w:rsidRPr="00323028">
        <w:t xml:space="preserve"> </w:t>
      </w:r>
      <w:r w:rsidR="008033A2" w:rsidRPr="008033A2">
        <w:rPr>
          <w:w w:val="15"/>
          <w:shd w:val="solid" w:color="000000" w:fill="000000"/>
          <w:fitText w:val="-20" w:id="-881146109"/>
          <w14:textFill>
            <w14:solidFill>
              <w14:srgbClr w14:val="000000">
                <w14:alpha w14:val="100000"/>
              </w14:srgbClr>
            </w14:solidFill>
          </w14:textFill>
        </w:rPr>
        <w:t xml:space="preserve">|  </w:t>
      </w:r>
      <w:r w:rsidR="008033A2" w:rsidRPr="008033A2">
        <w:rPr>
          <w:spacing w:val="-69"/>
          <w:w w:val="15"/>
          <w:shd w:val="solid" w:color="000000" w:fill="000000"/>
          <w:fitText w:val="-20" w:id="-881146109"/>
          <w14:textFill>
            <w14:solidFill>
              <w14:srgbClr w14:val="000000">
                <w14:alpha w14:val="100000"/>
              </w14:srgbClr>
            </w14:solidFill>
          </w14:textFill>
        </w:rPr>
        <w:t>|</w:t>
      </w:r>
      <w:r w:rsidR="00323028" w:rsidRPr="00323028">
        <w:t xml:space="preserve"> </w:t>
      </w:r>
      <w:r w:rsidR="008033A2" w:rsidRPr="008033A2">
        <w:rPr>
          <w:w w:val="61"/>
          <w:shd w:val="solid" w:color="000000" w:fill="000000"/>
          <w:fitText w:val="475" w:id="-881146108"/>
          <w14:textFill>
            <w14:solidFill>
              <w14:srgbClr w14:val="000000">
                <w14:alpha w14:val="100000"/>
              </w14:srgbClr>
            </w14:solidFill>
          </w14:textFill>
        </w:rPr>
        <w:t>|||  ||</w:t>
      </w:r>
      <w:r w:rsidR="008033A2" w:rsidRPr="008033A2">
        <w:rPr>
          <w:spacing w:val="5"/>
          <w:w w:val="61"/>
          <w:shd w:val="solid" w:color="000000" w:fill="000000"/>
          <w:fitText w:val="475" w:id="-881146108"/>
          <w14:textFill>
            <w14:solidFill>
              <w14:srgbClr w14:val="000000">
                <w14:alpha w14:val="100000"/>
              </w14:srgbClr>
            </w14:solidFill>
          </w14:textFill>
        </w:rPr>
        <w:t>|</w:t>
      </w:r>
      <w:r w:rsidR="00323028" w:rsidRPr="00323028">
        <w:t xml:space="preserve"> </w:t>
      </w:r>
      <w:r w:rsidR="008033A2" w:rsidRPr="008033A2">
        <w:rPr>
          <w:w w:val="15"/>
          <w:shd w:val="solid" w:color="000000" w:fill="000000"/>
          <w:fitText w:val="-20" w:id="-881146107"/>
          <w14:textFill>
            <w14:solidFill>
              <w14:srgbClr w14:val="000000">
                <w14:alpha w14:val="100000"/>
              </w14:srgbClr>
            </w14:solidFill>
          </w14:textFill>
        </w:rPr>
        <w:t xml:space="preserve">|  </w:t>
      </w:r>
      <w:r w:rsidR="008033A2" w:rsidRPr="008033A2">
        <w:rPr>
          <w:spacing w:val="-69"/>
          <w:w w:val="15"/>
          <w:shd w:val="solid" w:color="000000" w:fill="000000"/>
          <w:fitText w:val="-20" w:id="-881146107"/>
          <w14:textFill>
            <w14:solidFill>
              <w14:srgbClr w14:val="000000">
                <w14:alpha w14:val="100000"/>
              </w14:srgbClr>
            </w14:solidFill>
          </w14:textFill>
        </w:rPr>
        <w:t>|</w:t>
      </w:r>
      <w:r w:rsidR="00323028" w:rsidRPr="00323028">
        <w:t xml:space="preserve"> </w:t>
      </w:r>
      <w:r w:rsidR="008033A2" w:rsidRPr="008033A2">
        <w:rPr>
          <w:w w:val="61"/>
          <w:shd w:val="solid" w:color="000000" w:fill="000000"/>
          <w:fitText w:val="475" w:id="-881146106"/>
          <w14:textFill>
            <w14:solidFill>
              <w14:srgbClr w14:val="000000">
                <w14:alpha w14:val="100000"/>
              </w14:srgbClr>
            </w14:solidFill>
          </w14:textFill>
        </w:rPr>
        <w:t>|||  ||</w:t>
      </w:r>
      <w:r w:rsidR="008033A2" w:rsidRPr="008033A2">
        <w:rPr>
          <w:spacing w:val="5"/>
          <w:w w:val="61"/>
          <w:shd w:val="solid" w:color="000000" w:fill="000000"/>
          <w:fitText w:val="475" w:id="-881146106"/>
          <w14:textFill>
            <w14:solidFill>
              <w14:srgbClr w14:val="000000">
                <w14:alpha w14:val="100000"/>
              </w14:srgbClr>
            </w14:solidFill>
          </w14:textFill>
        </w:rPr>
        <w:t>|</w:t>
      </w:r>
      <w:r w:rsidR="00323028" w:rsidRPr="00323028">
        <w:t xml:space="preserve"> </w:t>
      </w:r>
      <w:r w:rsidR="008033A2" w:rsidRPr="008033A2">
        <w:rPr>
          <w:shd w:val="solid" w:color="000000" w:fill="000000"/>
          <w:fitText w:val="475" w:id="-881146105"/>
          <w14:textFill>
            <w14:solidFill>
              <w14:srgbClr w14:val="000000">
                <w14:alpha w14:val="100000"/>
              </w14:srgbClr>
            </w14:solidFill>
          </w14:textFill>
        </w:rPr>
        <w:t>|||  |||</w:t>
      </w:r>
      <w:r w:rsidRPr="003F7958">
        <w:t>. At this meeting,</w:t>
      </w:r>
      <w:r>
        <w:t xml:space="preserve"> the PBAC did not recommend extending the existing listing of dapagliflozin to include a General Schedule Authority Required (Streamlined) listing for the treatment of patients with </w:t>
      </w:r>
      <w:r w:rsidR="00E03A9D">
        <w:t>chronic kidney disease (</w:t>
      </w:r>
      <w:r>
        <w:t>CKD</w:t>
      </w:r>
      <w:r w:rsidR="00E03A9D">
        <w:t>)</w:t>
      </w:r>
      <w:r>
        <w:t xml:space="preserve">. The PBAC </w:t>
      </w:r>
      <w:r w:rsidR="00E03A9D">
        <w:t xml:space="preserve">considered </w:t>
      </w:r>
      <w:r>
        <w:t xml:space="preserve">that the financial estimates for CKD </w:t>
      </w:r>
      <w:r w:rsidR="00E03A9D">
        <w:t xml:space="preserve">were </w:t>
      </w:r>
      <w:r>
        <w:t xml:space="preserve">high and substantially overestimated. </w:t>
      </w:r>
      <w:r w:rsidRPr="003F7958">
        <w:t xml:space="preserve">  </w:t>
      </w:r>
    </w:p>
    <w:p w14:paraId="1A09FDB0" w14:textId="17102A00" w:rsidR="00955E02" w:rsidRPr="0057652D" w:rsidRDefault="00E03A9D" w:rsidP="00955E02">
      <w:pPr>
        <w:pStyle w:val="4Bodytextnumbered"/>
      </w:pPr>
      <w:r>
        <w:t>T</w:t>
      </w:r>
      <w:r w:rsidR="00955E02" w:rsidRPr="0057652D">
        <w:t xml:space="preserve">he PBAC </w:t>
      </w:r>
      <w:r>
        <w:t>w</w:t>
      </w:r>
      <w:r w:rsidR="0059210A">
        <w:t>as</w:t>
      </w:r>
      <w:r>
        <w:t xml:space="preserve"> </w:t>
      </w:r>
      <w:r w:rsidR="00955E02" w:rsidRPr="0057652D">
        <w:t>concerned with the likely significant overlap and potential movement of patients between the proposed expanded listings for SGLT2 inhibitors for use in T2DM patients with CVD/high CV risk, those recommended for HFrEF, and what PBAC may consider for the population with CKD.</w:t>
      </w:r>
    </w:p>
    <w:p w14:paraId="2732A14A" w14:textId="1669C353" w:rsidR="00955E02" w:rsidRDefault="00955E02" w:rsidP="00955E02">
      <w:pPr>
        <w:pStyle w:val="4Bodytextnumbered"/>
      </w:pPr>
      <w:r>
        <w:t xml:space="preserve">The PBAC considered the clinical evaluation findings </w:t>
      </w:r>
      <w:r w:rsidR="00472DFE">
        <w:t xml:space="preserve">and </w:t>
      </w:r>
      <w:r>
        <w:t>noted that the review did not include any CV outcome trials suggesting that ertugliflozin has comparable CV benefits to dapagliflozin and empagliflozin. The PBAC advised that ertugliflozin should be excluded from any potential expansion of this class of medicines until more evidence becomes available.</w:t>
      </w:r>
    </w:p>
    <w:p w14:paraId="31F89A3A" w14:textId="271A2A7D" w:rsidR="007305D7" w:rsidRDefault="007305D7" w:rsidP="000B6840">
      <w:pPr>
        <w:pStyle w:val="4Bodytextnumbered"/>
      </w:pPr>
      <w:r>
        <w:t xml:space="preserve">The PBAC noted </w:t>
      </w:r>
      <w:r w:rsidR="004C05E2">
        <w:t xml:space="preserve">the </w:t>
      </w:r>
      <w:r>
        <w:t xml:space="preserve">ESC advice on </w:t>
      </w:r>
      <w:r w:rsidRPr="005E267C">
        <w:t xml:space="preserve">the </w:t>
      </w:r>
      <w:r>
        <w:t>proposed restrictions</w:t>
      </w:r>
      <w:r w:rsidR="004C05E2">
        <w:t>, which suggested either</w:t>
      </w:r>
      <w:r w:rsidR="000B6840">
        <w:t xml:space="preserve"> </w:t>
      </w:r>
      <w:r w:rsidR="004C05E2">
        <w:rPr>
          <w:rFonts w:ascii="Calibri" w:hAnsi="Calibri"/>
          <w:snapToGrid w:val="0"/>
        </w:rPr>
        <w:t>s</w:t>
      </w:r>
      <w:r w:rsidR="004C05E2" w:rsidRPr="004C05E2">
        <w:rPr>
          <w:rFonts w:ascii="Calibri" w:hAnsi="Calibri"/>
          <w:snapToGrid w:val="0"/>
        </w:rPr>
        <w:t>impli</w:t>
      </w:r>
      <w:r w:rsidR="000B6840">
        <w:rPr>
          <w:rFonts w:ascii="Calibri" w:hAnsi="Calibri"/>
          <w:snapToGrid w:val="0"/>
        </w:rPr>
        <w:t>fi</w:t>
      </w:r>
      <w:r w:rsidR="004C05E2" w:rsidRPr="004C05E2">
        <w:rPr>
          <w:rFonts w:ascii="Calibri" w:hAnsi="Calibri"/>
          <w:snapToGrid w:val="0"/>
        </w:rPr>
        <w:t>cation of the proposed restriction to enable prescribers to assess CV risk on a case-by-case basis, instead of using a prescribed tool or risk calculator</w:t>
      </w:r>
      <w:r w:rsidR="000B6840">
        <w:rPr>
          <w:rFonts w:ascii="Calibri" w:hAnsi="Calibri"/>
          <w:snapToGrid w:val="0"/>
        </w:rPr>
        <w:t xml:space="preserve">, or consideration of a </w:t>
      </w:r>
      <w:r w:rsidR="000B6840" w:rsidRPr="000B6840">
        <w:rPr>
          <w:rFonts w:ascii="Calibri" w:hAnsi="Calibri"/>
          <w:snapToGrid w:val="0"/>
        </w:rPr>
        <w:t>broader list of risk factors, potentially using the clinical criteria for ezetimibe as an example</w:t>
      </w:r>
      <w:r w:rsidR="004C05E2" w:rsidRPr="000B6840">
        <w:rPr>
          <w:rFonts w:ascii="Calibri" w:hAnsi="Calibri"/>
          <w:snapToGrid w:val="0"/>
        </w:rPr>
        <w:t>.</w:t>
      </w:r>
      <w:r w:rsidR="00197B84">
        <w:rPr>
          <w:rFonts w:ascii="Calibri" w:hAnsi="Calibri"/>
          <w:snapToGrid w:val="0"/>
        </w:rPr>
        <w:t xml:space="preserve"> The ESC advice noted that the </w:t>
      </w:r>
      <w:r w:rsidR="00197B84" w:rsidRPr="00197B84">
        <w:rPr>
          <w:rFonts w:cstheme="minorHAnsi"/>
        </w:rPr>
        <w:t xml:space="preserve">CVD Risk Calculator introduces a dimension of complexity for prescribers </w:t>
      </w:r>
      <w:r w:rsidR="00197B84">
        <w:rPr>
          <w:rFonts w:cstheme="minorHAnsi"/>
        </w:rPr>
        <w:t xml:space="preserve">and </w:t>
      </w:r>
      <w:r w:rsidR="00197B84" w:rsidRPr="00197B84">
        <w:rPr>
          <w:rFonts w:cstheme="minorHAnsi"/>
        </w:rPr>
        <w:t>does not consider a wide range of risk factors such as family history, Aboriginal and Torres Strait Islander status, socioeconomic status, waist circumference and physical activity levels</w:t>
      </w:r>
      <w:r w:rsidR="00197B84">
        <w:rPr>
          <w:rFonts w:cstheme="minorHAnsi"/>
        </w:rPr>
        <w:t>.</w:t>
      </w:r>
      <w:r w:rsidR="004C05E2" w:rsidRPr="000B6840">
        <w:rPr>
          <w:rFonts w:ascii="Calibri" w:hAnsi="Calibri"/>
          <w:snapToGrid w:val="0"/>
        </w:rPr>
        <w:t xml:space="preserve"> </w:t>
      </w:r>
    </w:p>
    <w:p w14:paraId="29416CB5" w14:textId="77777777" w:rsidR="007305D7" w:rsidRDefault="007305D7" w:rsidP="007305D7">
      <w:pPr>
        <w:pStyle w:val="4Bodytextnumbered"/>
      </w:pPr>
      <w:r>
        <w:lastRenderedPageBreak/>
        <w:t xml:space="preserve">The PBAC considered the clinical criterion </w:t>
      </w:r>
      <w:r w:rsidRPr="00E918D4">
        <w:t>“Patient must identify as Aboriginal or Torres Strait Islander”</w:t>
      </w:r>
      <w:r>
        <w:t xml:space="preserve"> should be included as one of the eligibility options, recognising the higher risk of CVD in this population. </w:t>
      </w:r>
    </w:p>
    <w:p w14:paraId="12BB2EA1" w14:textId="3A96A52E" w:rsidR="007305D7" w:rsidRDefault="007305D7" w:rsidP="007305D7">
      <w:pPr>
        <w:pStyle w:val="4Bodytextnumbered"/>
      </w:pPr>
      <w:r>
        <w:t xml:space="preserve">The PBAC considered the clinical criterion </w:t>
      </w:r>
      <w:r w:rsidRPr="00BC3BB3">
        <w:t xml:space="preserve">“Patient must have kidney disease” </w:t>
      </w:r>
      <w:r>
        <w:t xml:space="preserve">should be excluded from the proposed PBS restrictions noting its separate consideration of </w:t>
      </w:r>
      <w:r w:rsidR="005F69E8">
        <w:t xml:space="preserve">a </w:t>
      </w:r>
      <w:r>
        <w:t xml:space="preserve">submission for dapagliflozin for CKD and potential for use outside the PBS restriction and overlap across CKD and T2DM indications. The PBAC also noted that the presence of </w:t>
      </w:r>
      <w:r w:rsidRPr="00952B92">
        <w:t>microalbuminuria (&gt;20 mcg/min or urine albumin-to-creatine ratio [UACR] &gt;2.5 mg/mmol for men and &gt;3.5 mg/mmol for women)</w:t>
      </w:r>
      <w:r>
        <w:t xml:space="preserve"> is an independent risk factor for CVD.</w:t>
      </w:r>
    </w:p>
    <w:p w14:paraId="404BA1C3" w14:textId="75CD7878" w:rsidR="0022649B" w:rsidRDefault="0022649B" w:rsidP="0022649B">
      <w:pPr>
        <w:pStyle w:val="4Bodytextnumbered"/>
      </w:pPr>
      <w:r>
        <w:t xml:space="preserve">The </w:t>
      </w:r>
      <w:r w:rsidRPr="00DE5B2C">
        <w:t xml:space="preserve">PBAC requested that </w:t>
      </w:r>
      <w:r>
        <w:t>a</w:t>
      </w:r>
      <w:r w:rsidRPr="00DE5B2C">
        <w:t xml:space="preserve"> CER of G</w:t>
      </w:r>
      <w:r>
        <w:t>LP</w:t>
      </w:r>
      <w:r w:rsidRPr="00DE5B2C">
        <w:t xml:space="preserve">-1 </w:t>
      </w:r>
      <w:r w:rsidR="00534DC0">
        <w:t>RAs</w:t>
      </w:r>
      <w:r w:rsidRPr="00DE5B2C">
        <w:t xml:space="preserve"> compared with </w:t>
      </w:r>
      <w:r>
        <w:t>SU</w:t>
      </w:r>
      <w:r w:rsidRPr="00DE5B2C">
        <w:t>s as add-on therapy to metformin</w:t>
      </w:r>
      <w:r w:rsidRPr="002F68D7">
        <w:t xml:space="preserve"> </w:t>
      </w:r>
      <w:r>
        <w:t xml:space="preserve">also be conducted </w:t>
      </w:r>
      <w:r w:rsidRPr="002F68D7">
        <w:t xml:space="preserve">using the </w:t>
      </w:r>
      <w:r>
        <w:t xml:space="preserve">same </w:t>
      </w:r>
      <w:r w:rsidRPr="002F68D7">
        <w:t>UKPDS OM2 modified to the Australian setting</w:t>
      </w:r>
      <w:r w:rsidRPr="00DE5B2C">
        <w:t xml:space="preserve">. </w:t>
      </w:r>
    </w:p>
    <w:p w14:paraId="087D6AC7" w14:textId="38D29D91" w:rsidR="00F776EC" w:rsidRPr="0010075D" w:rsidRDefault="00F776EC" w:rsidP="00004E6E">
      <w:pPr>
        <w:pStyle w:val="2Sections"/>
        <w:keepNext/>
        <w:keepLines/>
        <w:numPr>
          <w:ilvl w:val="0"/>
          <w:numId w:val="1"/>
        </w:numPr>
      </w:pPr>
      <w:bookmarkStart w:id="5" w:name="_Hlk89682091"/>
      <w:r>
        <w:t>Budget Impact</w:t>
      </w:r>
    </w:p>
    <w:p w14:paraId="31531279" w14:textId="15DBDE6D" w:rsidR="001B305E" w:rsidRPr="009D3312" w:rsidRDefault="00F776EC" w:rsidP="00004E6E">
      <w:pPr>
        <w:pStyle w:val="4Bodytextnumbered"/>
        <w:keepNext/>
        <w:keepLines/>
        <w:rPr>
          <w:rFonts w:ascii="Arial Narrow" w:hAnsi="Arial Narrow" w:cstheme="minorHAnsi"/>
          <w:b/>
          <w:bCs/>
          <w:sz w:val="22"/>
        </w:rPr>
      </w:pPr>
      <w:r>
        <w:t xml:space="preserve">As requested by PBAC, an Addendum to the SGLT2 inhibitor </w:t>
      </w:r>
      <w:r w:rsidR="006751F9">
        <w:t>report</w:t>
      </w:r>
      <w:r>
        <w:t xml:space="preserve"> provides the modelled ICERs </w:t>
      </w:r>
      <w:r w:rsidR="00930198">
        <w:t xml:space="preserve">for SGLT2 inhibitors versus SUs as add-on therapy to metformin </w:t>
      </w:r>
      <w:r>
        <w:t>assuming 15%, 25% and 50% price reduction</w:t>
      </w:r>
      <w:r w:rsidR="00E03A9D">
        <w:t>s</w:t>
      </w:r>
      <w:r w:rsidR="00930198">
        <w:t xml:space="preserve"> (Table 1). These ICERs apply to both the currently eligible</w:t>
      </w:r>
      <w:r w:rsidR="00326511">
        <w:t xml:space="preserve"> PBS</w:t>
      </w:r>
      <w:r w:rsidR="00930198">
        <w:t xml:space="preserve"> population and the proposed additional population with CVD or high CV risk and HbA1c &lt;7%.</w:t>
      </w:r>
      <w:r>
        <w:t xml:space="preserve"> </w:t>
      </w:r>
    </w:p>
    <w:p w14:paraId="0652FBC7" w14:textId="6C4284C2" w:rsidR="009D3312" w:rsidRPr="009D3312" w:rsidRDefault="009D3312" w:rsidP="009D3312">
      <w:pPr>
        <w:pStyle w:val="4Bodytextnumbered"/>
      </w:pPr>
      <w:r>
        <w:t xml:space="preserve">Drug </w:t>
      </w:r>
      <w:r w:rsidRPr="00046BDE">
        <w:t xml:space="preserve">treatment costs constitute a relatively small proportion of the health care costs related to </w:t>
      </w:r>
      <w:r w:rsidR="006751F9">
        <w:t>T2DM</w:t>
      </w:r>
      <w:r>
        <w:t xml:space="preserve"> and therefore the ICER was not particularly sensitive to changes in the cost of SGLT2 inhibitor medicines. The ICER was sensitive to shorter treatment effect durations and varying the cost associated with complications.</w:t>
      </w:r>
    </w:p>
    <w:p w14:paraId="5AF88532" w14:textId="0993B4FC" w:rsidR="001B305E" w:rsidRPr="004E6794" w:rsidRDefault="001B305E" w:rsidP="001B305E">
      <w:pPr>
        <w:keepNext/>
        <w:keepLines/>
        <w:rPr>
          <w:rFonts w:ascii="Arial Narrow" w:hAnsi="Arial Narrow" w:cstheme="minorHAnsi"/>
          <w:b/>
          <w:bCs/>
          <w:sz w:val="20"/>
          <w:szCs w:val="20"/>
        </w:rPr>
      </w:pPr>
      <w:r w:rsidRPr="004E6794">
        <w:rPr>
          <w:rFonts w:ascii="Arial Narrow" w:hAnsi="Arial Narrow" w:cstheme="minorHAnsi"/>
          <w:b/>
          <w:bCs/>
          <w:sz w:val="20"/>
          <w:szCs w:val="20"/>
        </w:rPr>
        <w:t xml:space="preserve">Table 1. Incremental costs per QALY gained associated with SGLT2 inhibitors compared to sulfonylureas in the lifetime treatment effect scenarios where the price of SGLT2 inhibitors is reduced by 0%, 15%, 25% and 50%. </w:t>
      </w:r>
    </w:p>
    <w:tbl>
      <w:tblPr>
        <w:tblStyle w:val="TableGrid"/>
        <w:tblW w:w="0" w:type="auto"/>
        <w:tblLook w:val="04A0" w:firstRow="1" w:lastRow="0" w:firstColumn="1" w:lastColumn="0" w:noHBand="0" w:noVBand="1"/>
      </w:tblPr>
      <w:tblGrid>
        <w:gridCol w:w="1803"/>
        <w:gridCol w:w="1803"/>
        <w:gridCol w:w="1803"/>
        <w:gridCol w:w="1803"/>
        <w:gridCol w:w="1804"/>
      </w:tblGrid>
      <w:tr w:rsidR="001B305E" w:rsidRPr="00621DB0" w14:paraId="3523EF03" w14:textId="77777777" w:rsidTr="00EB7DAB">
        <w:tc>
          <w:tcPr>
            <w:tcW w:w="1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AB5D2" w14:textId="77777777" w:rsidR="001B305E" w:rsidRPr="004E6794" w:rsidRDefault="001B305E" w:rsidP="00EB7DAB">
            <w:pPr>
              <w:keepNext/>
              <w:keepLines/>
              <w:rPr>
                <w:rFonts w:ascii="Arial Narrow" w:hAnsi="Arial Narrow" w:cstheme="minorHAnsi"/>
                <w:b/>
                <w:bCs/>
                <w:sz w:val="20"/>
                <w:szCs w:val="20"/>
              </w:rPr>
            </w:pPr>
          </w:p>
        </w:tc>
        <w:tc>
          <w:tcPr>
            <w:tcW w:w="1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BDE6EC" w14:textId="4C65609F" w:rsidR="001B305E" w:rsidRPr="004E6794" w:rsidRDefault="001B305E" w:rsidP="00D66F6E">
            <w:pPr>
              <w:keepNext/>
              <w:keepLines/>
              <w:jc w:val="center"/>
              <w:rPr>
                <w:rFonts w:ascii="Arial Narrow" w:hAnsi="Arial Narrow" w:cstheme="minorHAnsi"/>
                <w:b/>
                <w:bCs/>
                <w:sz w:val="20"/>
                <w:szCs w:val="20"/>
              </w:rPr>
            </w:pPr>
            <w:r w:rsidRPr="004E6794">
              <w:rPr>
                <w:rFonts w:ascii="Arial Narrow" w:hAnsi="Arial Narrow" w:cstheme="minorHAnsi"/>
                <w:b/>
                <w:bCs/>
                <w:sz w:val="20"/>
                <w:szCs w:val="20"/>
              </w:rPr>
              <w:t>Current prices</w:t>
            </w:r>
          </w:p>
        </w:tc>
        <w:tc>
          <w:tcPr>
            <w:tcW w:w="1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50B6F7" w14:textId="77777777" w:rsidR="001B305E" w:rsidRPr="004E6794" w:rsidRDefault="001B305E" w:rsidP="00D66F6E">
            <w:pPr>
              <w:keepNext/>
              <w:keepLines/>
              <w:jc w:val="center"/>
              <w:rPr>
                <w:rFonts w:ascii="Arial Narrow" w:hAnsi="Arial Narrow" w:cstheme="minorHAnsi"/>
                <w:b/>
                <w:bCs/>
                <w:sz w:val="20"/>
                <w:szCs w:val="20"/>
              </w:rPr>
            </w:pPr>
            <w:r w:rsidRPr="004E6794">
              <w:rPr>
                <w:rFonts w:ascii="Arial Narrow" w:hAnsi="Arial Narrow" w:cstheme="minorHAnsi"/>
                <w:b/>
                <w:bCs/>
                <w:sz w:val="20"/>
                <w:szCs w:val="20"/>
              </w:rPr>
              <w:t>15% price reduction</w:t>
            </w:r>
          </w:p>
        </w:tc>
        <w:tc>
          <w:tcPr>
            <w:tcW w:w="1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87E34A" w14:textId="77777777" w:rsidR="001B305E" w:rsidRPr="004E6794" w:rsidRDefault="001B305E" w:rsidP="00D66F6E">
            <w:pPr>
              <w:keepNext/>
              <w:keepLines/>
              <w:jc w:val="center"/>
              <w:rPr>
                <w:rFonts w:ascii="Arial Narrow" w:hAnsi="Arial Narrow" w:cstheme="minorHAnsi"/>
                <w:b/>
                <w:bCs/>
                <w:sz w:val="20"/>
                <w:szCs w:val="20"/>
              </w:rPr>
            </w:pPr>
            <w:r w:rsidRPr="004E6794">
              <w:rPr>
                <w:rFonts w:ascii="Arial Narrow" w:hAnsi="Arial Narrow" w:cstheme="minorHAnsi"/>
                <w:b/>
                <w:bCs/>
                <w:sz w:val="20"/>
                <w:szCs w:val="20"/>
              </w:rPr>
              <w:t>25% price reduction</w:t>
            </w:r>
          </w:p>
        </w:tc>
        <w:tc>
          <w:tcPr>
            <w:tcW w:w="1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278B9E" w14:textId="77777777" w:rsidR="001B305E" w:rsidRPr="004E6794" w:rsidRDefault="001B305E" w:rsidP="00D66F6E">
            <w:pPr>
              <w:keepNext/>
              <w:keepLines/>
              <w:jc w:val="center"/>
              <w:rPr>
                <w:rFonts w:ascii="Arial Narrow" w:hAnsi="Arial Narrow" w:cstheme="minorHAnsi"/>
                <w:b/>
                <w:bCs/>
                <w:sz w:val="20"/>
                <w:szCs w:val="20"/>
              </w:rPr>
            </w:pPr>
            <w:r w:rsidRPr="004E6794">
              <w:rPr>
                <w:rFonts w:ascii="Arial Narrow" w:hAnsi="Arial Narrow" w:cstheme="minorHAnsi"/>
                <w:b/>
                <w:bCs/>
                <w:sz w:val="20"/>
                <w:szCs w:val="20"/>
              </w:rPr>
              <w:t>50% price reduction</w:t>
            </w:r>
          </w:p>
        </w:tc>
      </w:tr>
      <w:tr w:rsidR="001B305E" w:rsidRPr="00621DB0" w14:paraId="4C86581A" w14:textId="77777777" w:rsidTr="00EB7DAB">
        <w:tc>
          <w:tcPr>
            <w:tcW w:w="1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950BEC" w14:textId="77777777" w:rsidR="001B305E" w:rsidRPr="004E6794" w:rsidRDefault="001B305E" w:rsidP="00EB7DAB">
            <w:pPr>
              <w:keepNext/>
              <w:keepLines/>
              <w:rPr>
                <w:rFonts w:ascii="Arial Narrow" w:hAnsi="Arial Narrow" w:cstheme="minorHAnsi"/>
                <w:b/>
                <w:bCs/>
                <w:sz w:val="20"/>
                <w:szCs w:val="20"/>
              </w:rPr>
            </w:pPr>
            <w:r w:rsidRPr="004E6794">
              <w:rPr>
                <w:rFonts w:ascii="Arial Narrow" w:hAnsi="Arial Narrow" w:cstheme="minorHAnsi"/>
                <w:b/>
                <w:bCs/>
                <w:sz w:val="20"/>
                <w:szCs w:val="20"/>
              </w:rPr>
              <w:t xml:space="preserve">Men </w:t>
            </w:r>
          </w:p>
        </w:tc>
        <w:tc>
          <w:tcPr>
            <w:tcW w:w="1803" w:type="dxa"/>
            <w:tcBorders>
              <w:top w:val="single" w:sz="4" w:space="0" w:color="auto"/>
              <w:left w:val="single" w:sz="4" w:space="0" w:color="auto"/>
              <w:bottom w:val="single" w:sz="4" w:space="0" w:color="auto"/>
              <w:right w:val="single" w:sz="4" w:space="0" w:color="auto"/>
            </w:tcBorders>
            <w:hideMark/>
          </w:tcPr>
          <w:p w14:paraId="76F741A9" w14:textId="77777777" w:rsidR="001B305E" w:rsidRPr="004E6794" w:rsidRDefault="001B305E" w:rsidP="00D66F6E">
            <w:pPr>
              <w:keepNext/>
              <w:keepLines/>
              <w:jc w:val="center"/>
              <w:rPr>
                <w:rFonts w:ascii="Arial Narrow" w:hAnsi="Arial Narrow" w:cstheme="minorHAnsi"/>
                <w:sz w:val="20"/>
                <w:szCs w:val="20"/>
              </w:rPr>
            </w:pPr>
            <w:r w:rsidRPr="004E6794">
              <w:rPr>
                <w:rFonts w:ascii="Arial Narrow" w:hAnsi="Arial Narrow" w:cstheme="minorHAnsi"/>
                <w:sz w:val="20"/>
                <w:szCs w:val="20"/>
              </w:rPr>
              <w:t>$29,939</w:t>
            </w:r>
          </w:p>
        </w:tc>
        <w:tc>
          <w:tcPr>
            <w:tcW w:w="1803" w:type="dxa"/>
            <w:tcBorders>
              <w:top w:val="single" w:sz="4" w:space="0" w:color="auto"/>
              <w:left w:val="single" w:sz="4" w:space="0" w:color="auto"/>
              <w:bottom w:val="single" w:sz="4" w:space="0" w:color="auto"/>
              <w:right w:val="single" w:sz="4" w:space="0" w:color="auto"/>
            </w:tcBorders>
            <w:hideMark/>
          </w:tcPr>
          <w:p w14:paraId="069EE3F0" w14:textId="77777777" w:rsidR="001B305E" w:rsidRPr="004E6794" w:rsidRDefault="001B305E" w:rsidP="00D66F6E">
            <w:pPr>
              <w:keepNext/>
              <w:keepLines/>
              <w:jc w:val="center"/>
              <w:rPr>
                <w:rFonts w:ascii="Arial Narrow" w:hAnsi="Arial Narrow" w:cstheme="minorHAnsi"/>
                <w:sz w:val="20"/>
                <w:szCs w:val="20"/>
              </w:rPr>
            </w:pPr>
            <w:r w:rsidRPr="004E6794">
              <w:rPr>
                <w:rFonts w:ascii="Arial Narrow" w:hAnsi="Arial Narrow" w:cstheme="minorHAnsi"/>
                <w:sz w:val="20"/>
                <w:szCs w:val="20"/>
              </w:rPr>
              <w:t>$28,287</w:t>
            </w:r>
          </w:p>
        </w:tc>
        <w:tc>
          <w:tcPr>
            <w:tcW w:w="1803" w:type="dxa"/>
            <w:tcBorders>
              <w:top w:val="single" w:sz="4" w:space="0" w:color="auto"/>
              <w:left w:val="single" w:sz="4" w:space="0" w:color="auto"/>
              <w:bottom w:val="single" w:sz="4" w:space="0" w:color="auto"/>
              <w:right w:val="single" w:sz="4" w:space="0" w:color="auto"/>
            </w:tcBorders>
            <w:hideMark/>
          </w:tcPr>
          <w:p w14:paraId="189B2543" w14:textId="77777777" w:rsidR="001B305E" w:rsidRPr="004E6794" w:rsidRDefault="001B305E" w:rsidP="00D66F6E">
            <w:pPr>
              <w:keepNext/>
              <w:keepLines/>
              <w:jc w:val="center"/>
              <w:rPr>
                <w:rFonts w:ascii="Arial Narrow" w:hAnsi="Arial Narrow" w:cstheme="minorHAnsi"/>
                <w:sz w:val="20"/>
                <w:szCs w:val="20"/>
              </w:rPr>
            </w:pPr>
            <w:r w:rsidRPr="004E6794">
              <w:rPr>
                <w:rFonts w:ascii="Arial Narrow" w:hAnsi="Arial Narrow" w:cstheme="minorHAnsi"/>
                <w:sz w:val="20"/>
                <w:szCs w:val="20"/>
              </w:rPr>
              <w:t>$27,185</w:t>
            </w:r>
          </w:p>
        </w:tc>
        <w:tc>
          <w:tcPr>
            <w:tcW w:w="1804" w:type="dxa"/>
            <w:tcBorders>
              <w:top w:val="single" w:sz="4" w:space="0" w:color="auto"/>
              <w:left w:val="single" w:sz="4" w:space="0" w:color="auto"/>
              <w:bottom w:val="single" w:sz="4" w:space="0" w:color="auto"/>
              <w:right w:val="single" w:sz="4" w:space="0" w:color="auto"/>
            </w:tcBorders>
            <w:hideMark/>
          </w:tcPr>
          <w:p w14:paraId="12F1423A" w14:textId="77777777" w:rsidR="001B305E" w:rsidRPr="004E6794" w:rsidRDefault="001B305E" w:rsidP="00D66F6E">
            <w:pPr>
              <w:keepNext/>
              <w:keepLines/>
              <w:jc w:val="center"/>
              <w:rPr>
                <w:rFonts w:ascii="Arial Narrow" w:hAnsi="Arial Narrow" w:cstheme="minorHAnsi"/>
                <w:sz w:val="20"/>
                <w:szCs w:val="20"/>
              </w:rPr>
            </w:pPr>
            <w:r w:rsidRPr="004E6794">
              <w:rPr>
                <w:rFonts w:ascii="Arial Narrow" w:hAnsi="Arial Narrow" w:cstheme="minorHAnsi"/>
                <w:sz w:val="20"/>
                <w:szCs w:val="20"/>
              </w:rPr>
              <w:t>$24,432</w:t>
            </w:r>
          </w:p>
        </w:tc>
      </w:tr>
      <w:tr w:rsidR="001B305E" w:rsidRPr="00621DB0" w14:paraId="278776A3" w14:textId="77777777" w:rsidTr="00EB7DAB">
        <w:tc>
          <w:tcPr>
            <w:tcW w:w="1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EEBDA7" w14:textId="77777777" w:rsidR="001B305E" w:rsidRPr="004E6794" w:rsidRDefault="001B305E" w:rsidP="00EB7DAB">
            <w:pPr>
              <w:keepNext/>
              <w:keepLines/>
              <w:rPr>
                <w:rFonts w:ascii="Arial Narrow" w:hAnsi="Arial Narrow" w:cstheme="minorHAnsi"/>
                <w:b/>
                <w:bCs/>
                <w:sz w:val="20"/>
                <w:szCs w:val="20"/>
              </w:rPr>
            </w:pPr>
            <w:r w:rsidRPr="004E6794">
              <w:rPr>
                <w:rFonts w:ascii="Arial Narrow" w:hAnsi="Arial Narrow" w:cstheme="minorHAnsi"/>
                <w:b/>
                <w:bCs/>
                <w:sz w:val="20"/>
                <w:szCs w:val="20"/>
              </w:rPr>
              <w:t xml:space="preserve">Women </w:t>
            </w:r>
          </w:p>
        </w:tc>
        <w:tc>
          <w:tcPr>
            <w:tcW w:w="1803" w:type="dxa"/>
            <w:tcBorders>
              <w:top w:val="single" w:sz="4" w:space="0" w:color="auto"/>
              <w:left w:val="single" w:sz="4" w:space="0" w:color="auto"/>
              <w:bottom w:val="single" w:sz="4" w:space="0" w:color="auto"/>
              <w:right w:val="single" w:sz="4" w:space="0" w:color="auto"/>
            </w:tcBorders>
            <w:hideMark/>
          </w:tcPr>
          <w:p w14:paraId="59EE9233" w14:textId="77777777" w:rsidR="001B305E" w:rsidRPr="004E6794" w:rsidRDefault="001B305E" w:rsidP="00D66F6E">
            <w:pPr>
              <w:keepNext/>
              <w:keepLines/>
              <w:jc w:val="center"/>
              <w:rPr>
                <w:rFonts w:ascii="Arial Narrow" w:hAnsi="Arial Narrow" w:cstheme="minorHAnsi"/>
                <w:sz w:val="20"/>
                <w:szCs w:val="20"/>
              </w:rPr>
            </w:pPr>
            <w:r w:rsidRPr="004E6794">
              <w:rPr>
                <w:rFonts w:ascii="Arial Narrow" w:hAnsi="Arial Narrow" w:cstheme="minorHAnsi"/>
                <w:sz w:val="20"/>
                <w:szCs w:val="20"/>
              </w:rPr>
              <w:t>$27,316</w:t>
            </w:r>
          </w:p>
        </w:tc>
        <w:tc>
          <w:tcPr>
            <w:tcW w:w="1803" w:type="dxa"/>
            <w:tcBorders>
              <w:top w:val="single" w:sz="4" w:space="0" w:color="auto"/>
              <w:left w:val="single" w:sz="4" w:space="0" w:color="auto"/>
              <w:bottom w:val="single" w:sz="4" w:space="0" w:color="auto"/>
              <w:right w:val="single" w:sz="4" w:space="0" w:color="auto"/>
            </w:tcBorders>
            <w:hideMark/>
          </w:tcPr>
          <w:p w14:paraId="306B82E6" w14:textId="77777777" w:rsidR="001B305E" w:rsidRPr="004E6794" w:rsidRDefault="001B305E" w:rsidP="00D66F6E">
            <w:pPr>
              <w:keepNext/>
              <w:keepLines/>
              <w:jc w:val="center"/>
              <w:rPr>
                <w:rFonts w:ascii="Arial Narrow" w:hAnsi="Arial Narrow" w:cstheme="minorHAnsi"/>
                <w:sz w:val="20"/>
                <w:szCs w:val="20"/>
              </w:rPr>
            </w:pPr>
            <w:r w:rsidRPr="004E6794">
              <w:rPr>
                <w:rFonts w:ascii="Arial Narrow" w:hAnsi="Arial Narrow" w:cstheme="minorHAnsi"/>
                <w:sz w:val="20"/>
                <w:szCs w:val="20"/>
              </w:rPr>
              <w:t>$25,553</w:t>
            </w:r>
          </w:p>
        </w:tc>
        <w:tc>
          <w:tcPr>
            <w:tcW w:w="1803" w:type="dxa"/>
            <w:tcBorders>
              <w:top w:val="single" w:sz="4" w:space="0" w:color="auto"/>
              <w:left w:val="single" w:sz="4" w:space="0" w:color="auto"/>
              <w:bottom w:val="single" w:sz="4" w:space="0" w:color="auto"/>
              <w:right w:val="single" w:sz="4" w:space="0" w:color="auto"/>
            </w:tcBorders>
            <w:hideMark/>
          </w:tcPr>
          <w:p w14:paraId="27897943" w14:textId="77777777" w:rsidR="001B305E" w:rsidRPr="004E6794" w:rsidRDefault="001B305E" w:rsidP="00D66F6E">
            <w:pPr>
              <w:keepNext/>
              <w:keepLines/>
              <w:jc w:val="center"/>
              <w:rPr>
                <w:rFonts w:ascii="Arial Narrow" w:hAnsi="Arial Narrow" w:cstheme="minorHAnsi"/>
                <w:sz w:val="20"/>
                <w:szCs w:val="20"/>
              </w:rPr>
            </w:pPr>
            <w:r w:rsidRPr="004E6794">
              <w:rPr>
                <w:rFonts w:ascii="Arial Narrow" w:hAnsi="Arial Narrow" w:cstheme="minorHAnsi"/>
                <w:sz w:val="20"/>
                <w:szCs w:val="20"/>
              </w:rPr>
              <w:t>$24,377</w:t>
            </w:r>
          </w:p>
        </w:tc>
        <w:tc>
          <w:tcPr>
            <w:tcW w:w="1804" w:type="dxa"/>
            <w:tcBorders>
              <w:top w:val="single" w:sz="4" w:space="0" w:color="auto"/>
              <w:left w:val="single" w:sz="4" w:space="0" w:color="auto"/>
              <w:bottom w:val="single" w:sz="4" w:space="0" w:color="auto"/>
              <w:right w:val="single" w:sz="4" w:space="0" w:color="auto"/>
            </w:tcBorders>
            <w:hideMark/>
          </w:tcPr>
          <w:p w14:paraId="5FFDD2A9" w14:textId="77777777" w:rsidR="001B305E" w:rsidRPr="004E6794" w:rsidRDefault="001B305E" w:rsidP="00D66F6E">
            <w:pPr>
              <w:keepNext/>
              <w:keepLines/>
              <w:jc w:val="center"/>
              <w:rPr>
                <w:rFonts w:ascii="Arial Narrow" w:hAnsi="Arial Narrow" w:cstheme="minorHAnsi"/>
                <w:sz w:val="20"/>
                <w:szCs w:val="20"/>
              </w:rPr>
            </w:pPr>
            <w:r w:rsidRPr="004E6794">
              <w:rPr>
                <w:rFonts w:ascii="Arial Narrow" w:hAnsi="Arial Narrow" w:cstheme="minorHAnsi"/>
                <w:sz w:val="20"/>
                <w:szCs w:val="20"/>
              </w:rPr>
              <w:t>$21,439</w:t>
            </w:r>
          </w:p>
        </w:tc>
      </w:tr>
    </w:tbl>
    <w:p w14:paraId="12DF0B82" w14:textId="347FED04" w:rsidR="001B305E" w:rsidRDefault="00E918D4" w:rsidP="00E918D4">
      <w:pPr>
        <w:pStyle w:val="4Bodytextnumbered"/>
        <w:numPr>
          <w:ilvl w:val="0"/>
          <w:numId w:val="0"/>
        </w:numPr>
        <w:ind w:left="720" w:hanging="720"/>
        <w:rPr>
          <w:i/>
          <w:iCs/>
          <w:sz w:val="20"/>
          <w:szCs w:val="20"/>
        </w:rPr>
      </w:pPr>
      <w:r w:rsidRPr="00E918D4">
        <w:rPr>
          <w:i/>
          <w:iCs/>
          <w:sz w:val="20"/>
          <w:szCs w:val="20"/>
        </w:rPr>
        <w:t>Source: Attachment D – Addendum to the CER of SGLT2 inhibitors</w:t>
      </w:r>
      <w:r>
        <w:rPr>
          <w:i/>
          <w:iCs/>
          <w:sz w:val="20"/>
          <w:szCs w:val="20"/>
        </w:rPr>
        <w:t xml:space="preserve"> for T2DM</w:t>
      </w:r>
      <w:r w:rsidRPr="00E918D4">
        <w:rPr>
          <w:i/>
          <w:iCs/>
          <w:sz w:val="20"/>
          <w:szCs w:val="20"/>
        </w:rPr>
        <w:t>, Table 4.</w:t>
      </w:r>
    </w:p>
    <w:p w14:paraId="23C1ED7E" w14:textId="77777777" w:rsidR="00930198" w:rsidRDefault="00930198" w:rsidP="00930198">
      <w:pPr>
        <w:pStyle w:val="4Bodytextnumbered"/>
        <w:numPr>
          <w:ilvl w:val="0"/>
          <w:numId w:val="0"/>
        </w:numPr>
        <w:ind w:left="720"/>
      </w:pPr>
    </w:p>
    <w:p w14:paraId="6B432D3E" w14:textId="43B8A29F" w:rsidR="00930198" w:rsidRPr="004E6794" w:rsidRDefault="00930198" w:rsidP="00930198">
      <w:pPr>
        <w:pStyle w:val="4Bodytextnumbered"/>
      </w:pPr>
      <w:r>
        <w:t xml:space="preserve">Table 2 shows the estimated budget impact to the PBS of expanding the listing for SGLT2 inhibitors to </w:t>
      </w:r>
      <w:r w:rsidR="008D7680">
        <w:t xml:space="preserve">include </w:t>
      </w:r>
      <w:r>
        <w:t>people with CVD or high CV risk and HbA1c &lt;7%, and the effect of 15%, 25% and 50% price reductions</w:t>
      </w:r>
      <w:r>
        <w:rPr>
          <w:szCs w:val="24"/>
        </w:rPr>
        <w:t>.</w:t>
      </w:r>
    </w:p>
    <w:p w14:paraId="5E0777DB" w14:textId="77777777" w:rsidR="004E6794" w:rsidRPr="00F025FA" w:rsidRDefault="004E6794" w:rsidP="004E6794">
      <w:pPr>
        <w:pStyle w:val="4Bodytextnumbered"/>
        <w:numPr>
          <w:ilvl w:val="0"/>
          <w:numId w:val="0"/>
        </w:numPr>
      </w:pPr>
    </w:p>
    <w:p w14:paraId="11C927DC" w14:textId="1A373F1F" w:rsidR="001B305E" w:rsidRPr="004E6794" w:rsidRDefault="001B305E" w:rsidP="001B305E">
      <w:pPr>
        <w:keepNext/>
        <w:keepLines/>
        <w:rPr>
          <w:rFonts w:ascii="Arial Narrow" w:hAnsi="Arial Narrow" w:cstheme="minorHAnsi"/>
          <w:b/>
          <w:bCs/>
          <w:sz w:val="20"/>
          <w:szCs w:val="20"/>
        </w:rPr>
      </w:pPr>
      <w:r w:rsidRPr="004E6794">
        <w:rPr>
          <w:rFonts w:ascii="Arial Narrow" w:hAnsi="Arial Narrow" w:cstheme="minorHAnsi"/>
          <w:b/>
          <w:bCs/>
          <w:sz w:val="20"/>
          <w:szCs w:val="20"/>
        </w:rPr>
        <w:t xml:space="preserve">Table 2. Estimated net cost to the PBS </w:t>
      </w:r>
      <w:r w:rsidR="00D66F6E" w:rsidRPr="004E6794">
        <w:rPr>
          <w:rFonts w:ascii="Arial Narrow" w:hAnsi="Arial Narrow" w:cstheme="minorHAnsi"/>
          <w:b/>
          <w:bCs/>
          <w:sz w:val="20"/>
          <w:szCs w:val="20"/>
        </w:rPr>
        <w:t>for the additional population with CVD or high CV risk</w:t>
      </w:r>
      <w:r w:rsidR="00930198" w:rsidRPr="004E6794">
        <w:rPr>
          <w:rFonts w:ascii="Arial Narrow" w:hAnsi="Arial Narrow" w:cstheme="minorHAnsi"/>
          <w:b/>
          <w:bCs/>
          <w:sz w:val="20"/>
          <w:szCs w:val="20"/>
        </w:rPr>
        <w:t xml:space="preserve"> and HbA1c &lt;7%</w:t>
      </w:r>
      <w:r w:rsidR="00D66F6E" w:rsidRPr="004E6794">
        <w:rPr>
          <w:rFonts w:ascii="Arial Narrow" w:hAnsi="Arial Narrow" w:cstheme="minorHAnsi"/>
          <w:b/>
          <w:bCs/>
          <w:sz w:val="20"/>
          <w:szCs w:val="20"/>
        </w:rPr>
        <w:t xml:space="preserve">, </w:t>
      </w:r>
      <w:r w:rsidRPr="004E6794">
        <w:rPr>
          <w:rFonts w:ascii="Arial Narrow" w:hAnsi="Arial Narrow" w:cstheme="minorHAnsi"/>
          <w:b/>
          <w:bCs/>
          <w:sz w:val="20"/>
          <w:szCs w:val="20"/>
        </w:rPr>
        <w:t>whe</w:t>
      </w:r>
      <w:r w:rsidR="00D66F6E" w:rsidRPr="004E6794">
        <w:rPr>
          <w:rFonts w:ascii="Arial Narrow" w:hAnsi="Arial Narrow" w:cstheme="minorHAnsi"/>
          <w:b/>
          <w:bCs/>
          <w:sz w:val="20"/>
          <w:szCs w:val="20"/>
        </w:rPr>
        <w:t>n</w:t>
      </w:r>
      <w:r w:rsidRPr="004E6794">
        <w:rPr>
          <w:rFonts w:ascii="Arial Narrow" w:hAnsi="Arial Narrow" w:cstheme="minorHAnsi"/>
          <w:b/>
          <w:bCs/>
          <w:sz w:val="20"/>
          <w:szCs w:val="20"/>
        </w:rPr>
        <w:t xml:space="preserve"> the price of SGLT2 inhibitors is reduced by 0%, 15%, 25% and 50%.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07"/>
        <w:gridCol w:w="1808"/>
        <w:gridCol w:w="1807"/>
        <w:gridCol w:w="1808"/>
      </w:tblGrid>
      <w:tr w:rsidR="001B305E" w:rsidRPr="006C0E33" w14:paraId="4C242852" w14:textId="77777777" w:rsidTr="009702D4">
        <w:trPr>
          <w:trHeight w:val="290"/>
        </w:trPr>
        <w:tc>
          <w:tcPr>
            <w:tcW w:w="1701" w:type="dxa"/>
            <w:shd w:val="clear" w:color="auto" w:fill="F2F2F2" w:themeFill="background1" w:themeFillShade="F2"/>
            <w:noWrap/>
            <w:vAlign w:val="center"/>
            <w:hideMark/>
          </w:tcPr>
          <w:p w14:paraId="6D0AEE26" w14:textId="77777777" w:rsidR="001B305E" w:rsidRPr="004E6794" w:rsidRDefault="001B305E" w:rsidP="005F69E8">
            <w:pPr>
              <w:keepNext/>
              <w:keepLines/>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Year</w:t>
            </w:r>
          </w:p>
        </w:tc>
        <w:tc>
          <w:tcPr>
            <w:tcW w:w="1807" w:type="dxa"/>
            <w:shd w:val="clear" w:color="auto" w:fill="F2F2F2" w:themeFill="background1" w:themeFillShade="F2"/>
            <w:noWrap/>
            <w:vAlign w:val="center"/>
            <w:hideMark/>
          </w:tcPr>
          <w:p w14:paraId="575F0FBB" w14:textId="77777777" w:rsidR="001B305E" w:rsidRPr="004E6794" w:rsidRDefault="001B305E" w:rsidP="005F69E8">
            <w:pPr>
              <w:keepNext/>
              <w:keepLines/>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Current prices</w:t>
            </w:r>
          </w:p>
          <w:p w14:paraId="74EB505F" w14:textId="77777777" w:rsidR="001B305E" w:rsidRPr="004E6794" w:rsidRDefault="001B305E" w:rsidP="005F69E8">
            <w:pPr>
              <w:keepNext/>
              <w:keepLines/>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Net cost ($)</w:t>
            </w:r>
          </w:p>
        </w:tc>
        <w:tc>
          <w:tcPr>
            <w:tcW w:w="1808" w:type="dxa"/>
            <w:shd w:val="clear" w:color="auto" w:fill="F2F2F2" w:themeFill="background1" w:themeFillShade="F2"/>
            <w:vAlign w:val="center"/>
          </w:tcPr>
          <w:p w14:paraId="02774BBE" w14:textId="77777777" w:rsidR="001B305E" w:rsidRPr="004E6794" w:rsidRDefault="001B305E" w:rsidP="005F69E8">
            <w:pPr>
              <w:keepNext/>
              <w:keepLines/>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15% price reduction</w:t>
            </w:r>
          </w:p>
          <w:p w14:paraId="35A17BFC" w14:textId="77777777" w:rsidR="001B305E" w:rsidRPr="004E6794" w:rsidRDefault="001B305E" w:rsidP="005F69E8">
            <w:pPr>
              <w:keepNext/>
              <w:keepLines/>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Net cost ($)</w:t>
            </w:r>
          </w:p>
        </w:tc>
        <w:tc>
          <w:tcPr>
            <w:tcW w:w="1807" w:type="dxa"/>
            <w:shd w:val="clear" w:color="auto" w:fill="F2F2F2" w:themeFill="background1" w:themeFillShade="F2"/>
            <w:vAlign w:val="center"/>
          </w:tcPr>
          <w:p w14:paraId="0F1E42BA" w14:textId="77777777" w:rsidR="001B305E" w:rsidRPr="004E6794" w:rsidRDefault="001B305E" w:rsidP="005F69E8">
            <w:pPr>
              <w:keepNext/>
              <w:keepLines/>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25% price reduction</w:t>
            </w:r>
          </w:p>
          <w:p w14:paraId="16F28B53" w14:textId="77777777" w:rsidR="001B305E" w:rsidRPr="004E6794" w:rsidRDefault="001B305E" w:rsidP="005F69E8">
            <w:pPr>
              <w:keepNext/>
              <w:keepLines/>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Net cost ($)</w:t>
            </w:r>
          </w:p>
        </w:tc>
        <w:tc>
          <w:tcPr>
            <w:tcW w:w="1808" w:type="dxa"/>
            <w:shd w:val="clear" w:color="auto" w:fill="F2F2F2" w:themeFill="background1" w:themeFillShade="F2"/>
            <w:vAlign w:val="center"/>
          </w:tcPr>
          <w:p w14:paraId="71D7BA01" w14:textId="77777777" w:rsidR="001B305E" w:rsidRPr="004E6794" w:rsidRDefault="001B305E" w:rsidP="005F69E8">
            <w:pPr>
              <w:keepNext/>
              <w:keepLines/>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50% price reduction</w:t>
            </w:r>
          </w:p>
          <w:p w14:paraId="7C07A3CF" w14:textId="77777777" w:rsidR="001B305E" w:rsidRPr="004E6794" w:rsidRDefault="001B305E" w:rsidP="005F69E8">
            <w:pPr>
              <w:keepNext/>
              <w:keepLines/>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Net cost ($)</w:t>
            </w:r>
          </w:p>
        </w:tc>
      </w:tr>
      <w:tr w:rsidR="001B305E" w:rsidRPr="006C0E33" w14:paraId="72588407" w14:textId="77777777" w:rsidTr="009702D4">
        <w:trPr>
          <w:trHeight w:val="399"/>
        </w:trPr>
        <w:tc>
          <w:tcPr>
            <w:tcW w:w="1701" w:type="dxa"/>
            <w:shd w:val="clear" w:color="auto" w:fill="F2F2F2" w:themeFill="background1" w:themeFillShade="F2"/>
            <w:noWrap/>
            <w:vAlign w:val="center"/>
            <w:hideMark/>
          </w:tcPr>
          <w:p w14:paraId="222BAFD4" w14:textId="77777777" w:rsidR="001B305E" w:rsidRPr="004E6794" w:rsidRDefault="001B305E" w:rsidP="005F69E8">
            <w:pPr>
              <w:keepNext/>
              <w:keepLines/>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2022</w:t>
            </w:r>
          </w:p>
        </w:tc>
        <w:tc>
          <w:tcPr>
            <w:tcW w:w="1807" w:type="dxa"/>
            <w:shd w:val="clear" w:color="auto" w:fill="auto"/>
            <w:noWrap/>
            <w:vAlign w:val="center"/>
            <w:hideMark/>
          </w:tcPr>
          <w:p w14:paraId="010509EC" w14:textId="70B8287F" w:rsidR="001B305E" w:rsidRPr="004E6794" w:rsidRDefault="001B305E" w:rsidP="005F69E8">
            <w:pPr>
              <w:keepNext/>
              <w:keepLines/>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108,170,098</w:t>
            </w:r>
          </w:p>
        </w:tc>
        <w:tc>
          <w:tcPr>
            <w:tcW w:w="1808" w:type="dxa"/>
            <w:vAlign w:val="center"/>
          </w:tcPr>
          <w:p w14:paraId="395A5529" w14:textId="00B97D39" w:rsidR="001B305E" w:rsidRPr="004E6794" w:rsidRDefault="001B305E" w:rsidP="005F69E8">
            <w:pPr>
              <w:keepNext/>
              <w:keepLines/>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85,187,745</w:t>
            </w:r>
          </w:p>
        </w:tc>
        <w:tc>
          <w:tcPr>
            <w:tcW w:w="1807" w:type="dxa"/>
            <w:vAlign w:val="center"/>
          </w:tcPr>
          <w:p w14:paraId="5981E919" w14:textId="5D3F3B04" w:rsidR="001B305E" w:rsidRPr="004E6794" w:rsidRDefault="001B305E" w:rsidP="005F69E8">
            <w:pPr>
              <w:keepNext/>
              <w:keepLines/>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69,866,176</w:t>
            </w:r>
          </w:p>
        </w:tc>
        <w:tc>
          <w:tcPr>
            <w:tcW w:w="1808" w:type="dxa"/>
            <w:vAlign w:val="center"/>
          </w:tcPr>
          <w:p w14:paraId="67D85C44" w14:textId="59F05585" w:rsidR="001B305E" w:rsidRPr="004E6794" w:rsidRDefault="001B305E" w:rsidP="005F69E8">
            <w:pPr>
              <w:keepNext/>
              <w:keepLines/>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42,202,755</w:t>
            </w:r>
          </w:p>
        </w:tc>
      </w:tr>
      <w:tr w:rsidR="001B305E" w:rsidRPr="006C0E33" w14:paraId="28D7565D" w14:textId="77777777" w:rsidTr="009702D4">
        <w:trPr>
          <w:trHeight w:val="290"/>
        </w:trPr>
        <w:tc>
          <w:tcPr>
            <w:tcW w:w="1701" w:type="dxa"/>
            <w:shd w:val="clear" w:color="auto" w:fill="F2F2F2" w:themeFill="background1" w:themeFillShade="F2"/>
            <w:noWrap/>
            <w:vAlign w:val="center"/>
            <w:hideMark/>
          </w:tcPr>
          <w:p w14:paraId="48CDECE4" w14:textId="77777777" w:rsidR="001B305E" w:rsidRPr="004E6794" w:rsidRDefault="001B305E" w:rsidP="005F69E8">
            <w:pPr>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2023</w:t>
            </w:r>
          </w:p>
        </w:tc>
        <w:tc>
          <w:tcPr>
            <w:tcW w:w="1807" w:type="dxa"/>
            <w:shd w:val="clear" w:color="auto" w:fill="auto"/>
            <w:noWrap/>
            <w:vAlign w:val="center"/>
            <w:hideMark/>
          </w:tcPr>
          <w:p w14:paraId="1F05B37B" w14:textId="4A673D7B"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130,708,501</w:t>
            </w:r>
          </w:p>
        </w:tc>
        <w:tc>
          <w:tcPr>
            <w:tcW w:w="1808" w:type="dxa"/>
            <w:vAlign w:val="center"/>
          </w:tcPr>
          <w:p w14:paraId="38C3488E" w14:textId="3F827C25"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102,937,527</w:t>
            </w:r>
          </w:p>
        </w:tc>
        <w:tc>
          <w:tcPr>
            <w:tcW w:w="1807" w:type="dxa"/>
            <w:vAlign w:val="center"/>
          </w:tcPr>
          <w:p w14:paraId="36C34561" w14:textId="6478952B"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84,423,545</w:t>
            </w:r>
          </w:p>
        </w:tc>
        <w:tc>
          <w:tcPr>
            <w:tcW w:w="1808" w:type="dxa"/>
            <w:vAlign w:val="center"/>
          </w:tcPr>
          <w:p w14:paraId="7C497340" w14:textId="65BC50D3"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50,996,153</w:t>
            </w:r>
          </w:p>
        </w:tc>
      </w:tr>
      <w:tr w:rsidR="001B305E" w:rsidRPr="006C0E33" w14:paraId="0382B3CE" w14:textId="77777777" w:rsidTr="009702D4">
        <w:trPr>
          <w:trHeight w:val="290"/>
        </w:trPr>
        <w:tc>
          <w:tcPr>
            <w:tcW w:w="1701" w:type="dxa"/>
            <w:shd w:val="clear" w:color="auto" w:fill="F2F2F2" w:themeFill="background1" w:themeFillShade="F2"/>
            <w:noWrap/>
            <w:vAlign w:val="center"/>
            <w:hideMark/>
          </w:tcPr>
          <w:p w14:paraId="6818E7DA" w14:textId="77777777" w:rsidR="001B305E" w:rsidRPr="004E6794" w:rsidRDefault="001B305E" w:rsidP="005F69E8">
            <w:pPr>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2024</w:t>
            </w:r>
          </w:p>
        </w:tc>
        <w:tc>
          <w:tcPr>
            <w:tcW w:w="1807" w:type="dxa"/>
            <w:shd w:val="clear" w:color="auto" w:fill="auto"/>
            <w:noWrap/>
            <w:vAlign w:val="center"/>
            <w:hideMark/>
          </w:tcPr>
          <w:p w14:paraId="1E838DA2" w14:textId="2FEA79E8"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153,548,365</w:t>
            </w:r>
          </w:p>
        </w:tc>
        <w:tc>
          <w:tcPr>
            <w:tcW w:w="1808" w:type="dxa"/>
            <w:vAlign w:val="center"/>
          </w:tcPr>
          <w:p w14:paraId="37DD47DC" w14:textId="0AC7A5E6"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120,924,721</w:t>
            </w:r>
          </w:p>
        </w:tc>
        <w:tc>
          <w:tcPr>
            <w:tcW w:w="1807" w:type="dxa"/>
            <w:vAlign w:val="center"/>
          </w:tcPr>
          <w:p w14:paraId="3F1A8BC1" w14:textId="732F848C"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99,175,625</w:t>
            </w:r>
          </w:p>
        </w:tc>
        <w:tc>
          <w:tcPr>
            <w:tcW w:w="1808" w:type="dxa"/>
            <w:vAlign w:val="center"/>
          </w:tcPr>
          <w:p w14:paraId="787033DE" w14:textId="02692AC5"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59,907,167</w:t>
            </w:r>
          </w:p>
        </w:tc>
      </w:tr>
      <w:tr w:rsidR="001B305E" w:rsidRPr="006C0E33" w14:paraId="2543A4C5" w14:textId="77777777" w:rsidTr="009702D4">
        <w:trPr>
          <w:trHeight w:val="290"/>
        </w:trPr>
        <w:tc>
          <w:tcPr>
            <w:tcW w:w="1701" w:type="dxa"/>
            <w:shd w:val="clear" w:color="auto" w:fill="F2F2F2" w:themeFill="background1" w:themeFillShade="F2"/>
            <w:noWrap/>
            <w:vAlign w:val="center"/>
            <w:hideMark/>
          </w:tcPr>
          <w:p w14:paraId="48388588" w14:textId="77777777" w:rsidR="001B305E" w:rsidRPr="004E6794" w:rsidRDefault="001B305E" w:rsidP="005F69E8">
            <w:pPr>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2025</w:t>
            </w:r>
          </w:p>
        </w:tc>
        <w:tc>
          <w:tcPr>
            <w:tcW w:w="1807" w:type="dxa"/>
            <w:shd w:val="clear" w:color="auto" w:fill="auto"/>
            <w:noWrap/>
            <w:vAlign w:val="center"/>
            <w:hideMark/>
          </w:tcPr>
          <w:p w14:paraId="3B6785E1" w14:textId="1952F5FE"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176,689,690</w:t>
            </w:r>
          </w:p>
        </w:tc>
        <w:tc>
          <w:tcPr>
            <w:tcW w:w="1808" w:type="dxa"/>
            <w:vAlign w:val="center"/>
          </w:tcPr>
          <w:p w14:paraId="0D87C98E" w14:textId="74967891"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139,149,326</w:t>
            </w:r>
          </w:p>
        </w:tc>
        <w:tc>
          <w:tcPr>
            <w:tcW w:w="1807" w:type="dxa"/>
            <w:vAlign w:val="center"/>
          </w:tcPr>
          <w:p w14:paraId="2D4C04A2" w14:textId="447C821C"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114,122,417</w:t>
            </w:r>
          </w:p>
        </w:tc>
        <w:tc>
          <w:tcPr>
            <w:tcW w:w="1808" w:type="dxa"/>
            <w:vAlign w:val="center"/>
          </w:tcPr>
          <w:p w14:paraId="585A8F98" w14:textId="25D728E1"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68,935,796</w:t>
            </w:r>
          </w:p>
        </w:tc>
      </w:tr>
      <w:tr w:rsidR="001B305E" w:rsidRPr="006C0E33" w14:paraId="4E9CCFF8" w14:textId="77777777" w:rsidTr="009702D4">
        <w:trPr>
          <w:trHeight w:val="70"/>
        </w:trPr>
        <w:tc>
          <w:tcPr>
            <w:tcW w:w="1701" w:type="dxa"/>
            <w:shd w:val="clear" w:color="auto" w:fill="F2F2F2" w:themeFill="background1" w:themeFillShade="F2"/>
            <w:noWrap/>
            <w:vAlign w:val="center"/>
            <w:hideMark/>
          </w:tcPr>
          <w:p w14:paraId="2F14D848" w14:textId="77777777" w:rsidR="001B305E" w:rsidRPr="004E6794" w:rsidRDefault="001B305E" w:rsidP="005F69E8">
            <w:pPr>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2026</w:t>
            </w:r>
          </w:p>
        </w:tc>
        <w:tc>
          <w:tcPr>
            <w:tcW w:w="1807" w:type="dxa"/>
            <w:shd w:val="clear" w:color="auto" w:fill="auto"/>
            <w:noWrap/>
            <w:vAlign w:val="center"/>
            <w:hideMark/>
          </w:tcPr>
          <w:p w14:paraId="4DBA1D45" w14:textId="475B3EDB"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200,132,476</w:t>
            </w:r>
          </w:p>
        </w:tc>
        <w:tc>
          <w:tcPr>
            <w:tcW w:w="1808" w:type="dxa"/>
            <w:vAlign w:val="center"/>
          </w:tcPr>
          <w:p w14:paraId="7801B51B" w14:textId="68C698FB"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157,611,342</w:t>
            </w:r>
          </w:p>
        </w:tc>
        <w:tc>
          <w:tcPr>
            <w:tcW w:w="1807" w:type="dxa"/>
            <w:vAlign w:val="center"/>
          </w:tcPr>
          <w:p w14:paraId="748DD33A" w14:textId="487699B5"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129,263,919</w:t>
            </w:r>
          </w:p>
        </w:tc>
        <w:tc>
          <w:tcPr>
            <w:tcW w:w="1808" w:type="dxa"/>
            <w:vAlign w:val="center"/>
          </w:tcPr>
          <w:p w14:paraId="7FED532D" w14:textId="03A963C6" w:rsidR="001B305E" w:rsidRPr="004E6794" w:rsidRDefault="001B305E" w:rsidP="005F69E8">
            <w:pPr>
              <w:contextualSpacing/>
              <w:jc w:val="center"/>
              <w:rPr>
                <w:rFonts w:ascii="Arial Narrow" w:hAnsi="Arial Narrow" w:cs="Calibri"/>
                <w:color w:val="000000"/>
                <w:sz w:val="20"/>
                <w:szCs w:val="20"/>
                <w:lang w:eastAsia="en-AU"/>
              </w:rPr>
            </w:pPr>
            <w:r w:rsidRPr="004E6794">
              <w:rPr>
                <w:rFonts w:ascii="Arial Narrow" w:hAnsi="Arial Narrow" w:cs="Calibri"/>
                <w:color w:val="000000"/>
                <w:sz w:val="20"/>
                <w:szCs w:val="20"/>
                <w:lang w:eastAsia="en-AU"/>
              </w:rPr>
              <w:t>78,082,040</w:t>
            </w:r>
          </w:p>
        </w:tc>
      </w:tr>
      <w:tr w:rsidR="001B305E" w:rsidRPr="006C0E33" w14:paraId="06663DCC" w14:textId="77777777" w:rsidTr="009702D4">
        <w:trPr>
          <w:trHeight w:val="70"/>
        </w:trPr>
        <w:tc>
          <w:tcPr>
            <w:tcW w:w="1701" w:type="dxa"/>
            <w:shd w:val="clear" w:color="auto" w:fill="F2F2F2" w:themeFill="background1" w:themeFillShade="F2"/>
            <w:noWrap/>
            <w:vAlign w:val="center"/>
            <w:hideMark/>
          </w:tcPr>
          <w:p w14:paraId="70E34936" w14:textId="6335D5A8" w:rsidR="001B305E" w:rsidRPr="004E6794" w:rsidRDefault="001B305E" w:rsidP="005F69E8">
            <w:pPr>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PBS</w:t>
            </w:r>
          </w:p>
          <w:p w14:paraId="5A7CA0F0" w14:textId="49D999BB" w:rsidR="001B305E" w:rsidRPr="004E6794" w:rsidRDefault="001B305E" w:rsidP="005F69E8">
            <w:pPr>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Total net cost</w:t>
            </w:r>
            <w:r w:rsidR="009702D4" w:rsidRPr="004E6794">
              <w:rPr>
                <w:rFonts w:ascii="Arial Narrow" w:hAnsi="Arial Narrow" w:cs="Calibri"/>
                <w:b/>
                <w:bCs/>
                <w:color w:val="000000"/>
                <w:sz w:val="20"/>
                <w:szCs w:val="20"/>
                <w:lang w:eastAsia="en-AU"/>
              </w:rPr>
              <w:t xml:space="preserve"> ($)</w:t>
            </w:r>
          </w:p>
        </w:tc>
        <w:tc>
          <w:tcPr>
            <w:tcW w:w="1807" w:type="dxa"/>
            <w:shd w:val="clear" w:color="auto" w:fill="auto"/>
            <w:noWrap/>
            <w:vAlign w:val="center"/>
            <w:hideMark/>
          </w:tcPr>
          <w:p w14:paraId="7A370EFF" w14:textId="0D40B603" w:rsidR="001B305E" w:rsidRPr="004E6794" w:rsidRDefault="001B305E" w:rsidP="005F69E8">
            <w:pPr>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769,249,128</w:t>
            </w:r>
          </w:p>
        </w:tc>
        <w:tc>
          <w:tcPr>
            <w:tcW w:w="1808" w:type="dxa"/>
            <w:vAlign w:val="center"/>
          </w:tcPr>
          <w:p w14:paraId="2D47377C" w14:textId="593911AD" w:rsidR="001B305E" w:rsidRPr="004E6794" w:rsidRDefault="001B305E" w:rsidP="005F69E8">
            <w:pPr>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605,810,661</w:t>
            </w:r>
          </w:p>
        </w:tc>
        <w:tc>
          <w:tcPr>
            <w:tcW w:w="1807" w:type="dxa"/>
            <w:vAlign w:val="center"/>
          </w:tcPr>
          <w:p w14:paraId="20286ACA" w14:textId="1A2FDF44" w:rsidR="001B305E" w:rsidRPr="004E6794" w:rsidRDefault="001B305E" w:rsidP="005F69E8">
            <w:pPr>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496,851,682</w:t>
            </w:r>
          </w:p>
        </w:tc>
        <w:tc>
          <w:tcPr>
            <w:tcW w:w="1808" w:type="dxa"/>
            <w:vAlign w:val="center"/>
          </w:tcPr>
          <w:p w14:paraId="49957996" w14:textId="2019A586" w:rsidR="001B305E" w:rsidRPr="004E6794" w:rsidRDefault="001B305E" w:rsidP="005F69E8">
            <w:pPr>
              <w:contextualSpacing/>
              <w:jc w:val="center"/>
              <w:rPr>
                <w:rFonts w:ascii="Arial Narrow" w:hAnsi="Arial Narrow" w:cs="Calibri"/>
                <w:b/>
                <w:bCs/>
                <w:color w:val="000000"/>
                <w:sz w:val="20"/>
                <w:szCs w:val="20"/>
                <w:lang w:eastAsia="en-AU"/>
              </w:rPr>
            </w:pPr>
            <w:r w:rsidRPr="004E6794">
              <w:rPr>
                <w:rFonts w:ascii="Arial Narrow" w:hAnsi="Arial Narrow" w:cs="Calibri"/>
                <w:b/>
                <w:bCs/>
                <w:color w:val="000000"/>
                <w:sz w:val="20"/>
                <w:szCs w:val="20"/>
                <w:lang w:eastAsia="en-AU"/>
              </w:rPr>
              <w:t>300,123,910</w:t>
            </w:r>
          </w:p>
        </w:tc>
      </w:tr>
    </w:tbl>
    <w:p w14:paraId="6CEDFAFB" w14:textId="13762D50" w:rsidR="00436834" w:rsidRDefault="00436834" w:rsidP="00436834">
      <w:pPr>
        <w:pStyle w:val="4Bodytextnumbered"/>
        <w:numPr>
          <w:ilvl w:val="0"/>
          <w:numId w:val="0"/>
        </w:numPr>
        <w:ind w:left="720" w:hanging="720"/>
        <w:rPr>
          <w:i/>
          <w:iCs/>
          <w:sz w:val="20"/>
          <w:szCs w:val="20"/>
        </w:rPr>
      </w:pPr>
      <w:r w:rsidRPr="00E918D4">
        <w:rPr>
          <w:i/>
          <w:iCs/>
          <w:sz w:val="20"/>
          <w:szCs w:val="20"/>
        </w:rPr>
        <w:t>Source: Attachment D – Addendum to the CER of SGLT2 inhibitors</w:t>
      </w:r>
      <w:r>
        <w:rPr>
          <w:i/>
          <w:iCs/>
          <w:sz w:val="20"/>
          <w:szCs w:val="20"/>
        </w:rPr>
        <w:t xml:space="preserve"> for T2DM</w:t>
      </w:r>
      <w:r w:rsidRPr="00E918D4">
        <w:rPr>
          <w:i/>
          <w:iCs/>
          <w:sz w:val="20"/>
          <w:szCs w:val="20"/>
        </w:rPr>
        <w:t xml:space="preserve">, Table </w:t>
      </w:r>
      <w:r>
        <w:rPr>
          <w:i/>
          <w:iCs/>
          <w:sz w:val="20"/>
          <w:szCs w:val="20"/>
        </w:rPr>
        <w:t>7</w:t>
      </w:r>
      <w:r w:rsidRPr="00E918D4">
        <w:rPr>
          <w:i/>
          <w:iCs/>
          <w:sz w:val="20"/>
          <w:szCs w:val="20"/>
        </w:rPr>
        <w:t>.</w:t>
      </w:r>
    </w:p>
    <w:p w14:paraId="37B51707" w14:textId="77777777" w:rsidR="009702D4" w:rsidRPr="00E918D4" w:rsidRDefault="009702D4" w:rsidP="00436834">
      <w:pPr>
        <w:pStyle w:val="4Bodytextnumbered"/>
        <w:numPr>
          <w:ilvl w:val="0"/>
          <w:numId w:val="0"/>
        </w:numPr>
        <w:ind w:left="720" w:hanging="720"/>
        <w:rPr>
          <w:i/>
          <w:iCs/>
          <w:sz w:val="20"/>
          <w:szCs w:val="20"/>
        </w:rPr>
      </w:pPr>
    </w:p>
    <w:p w14:paraId="19D50CEE" w14:textId="3E815126" w:rsidR="00712500" w:rsidRDefault="00AF1512" w:rsidP="00712500">
      <w:pPr>
        <w:pStyle w:val="4Bodytextnumbered"/>
      </w:pPr>
      <w:r>
        <w:t xml:space="preserve">The Department </w:t>
      </w:r>
      <w:r w:rsidR="00636FB3">
        <w:t xml:space="preserve">also </w:t>
      </w:r>
      <w:r>
        <w:t xml:space="preserve">modelled the estimated </w:t>
      </w:r>
      <w:r w:rsidR="005E2606">
        <w:t>R/PBS</w:t>
      </w:r>
      <w:r>
        <w:t xml:space="preserve"> </w:t>
      </w:r>
      <w:r w:rsidR="00D66F6E">
        <w:t>cost</w:t>
      </w:r>
      <w:r>
        <w:t xml:space="preserve"> of </w:t>
      </w:r>
      <w:r w:rsidR="003A5B77">
        <w:t>applying the 15%, 25% and 50%</w:t>
      </w:r>
      <w:r>
        <w:t xml:space="preserve"> price reductions to the </w:t>
      </w:r>
      <w:r w:rsidR="00A97842">
        <w:t xml:space="preserve">current </w:t>
      </w:r>
      <w:r>
        <w:t>SGLT2 inhibitor market</w:t>
      </w:r>
      <w:r w:rsidR="009702D4">
        <w:t xml:space="preserve"> for T2DM</w:t>
      </w:r>
      <w:r w:rsidR="003A5B77">
        <w:t>, projected for five years (2022</w:t>
      </w:r>
      <w:r w:rsidR="005C3557">
        <w:t>-20</w:t>
      </w:r>
      <w:r w:rsidR="003A5B77">
        <w:t>26)</w:t>
      </w:r>
      <w:r w:rsidR="00436834">
        <w:t xml:space="preserve"> </w:t>
      </w:r>
      <w:r w:rsidR="003A5B77">
        <w:t>(Table 3).</w:t>
      </w:r>
      <w:r w:rsidR="005E2606">
        <w:t xml:space="preserve"> </w:t>
      </w:r>
    </w:p>
    <w:p w14:paraId="03ACF73C" w14:textId="77777777" w:rsidR="00436834" w:rsidRDefault="00436834" w:rsidP="003A5B77">
      <w:pPr>
        <w:pStyle w:val="4Bodytextnumbered"/>
        <w:numPr>
          <w:ilvl w:val="0"/>
          <w:numId w:val="0"/>
        </w:numPr>
        <w:rPr>
          <w:rFonts w:ascii="Arial Narrow" w:hAnsi="Arial Narrow" w:cstheme="minorHAnsi"/>
          <w:b/>
          <w:bCs/>
          <w:sz w:val="22"/>
        </w:rPr>
      </w:pPr>
    </w:p>
    <w:p w14:paraId="1FEBB01E" w14:textId="288A1B95" w:rsidR="003A5B77" w:rsidRPr="004E6794" w:rsidRDefault="003A5B77" w:rsidP="00CD0476">
      <w:pPr>
        <w:pStyle w:val="4Bodytextnumbered"/>
        <w:keepNext/>
        <w:keepLines/>
        <w:numPr>
          <w:ilvl w:val="0"/>
          <w:numId w:val="0"/>
        </w:numPr>
        <w:rPr>
          <w:rFonts w:ascii="Arial Narrow" w:hAnsi="Arial Narrow" w:cstheme="minorHAnsi"/>
          <w:b/>
          <w:bCs/>
          <w:sz w:val="20"/>
          <w:szCs w:val="20"/>
        </w:rPr>
      </w:pPr>
      <w:r w:rsidRPr="004E6794">
        <w:rPr>
          <w:rFonts w:ascii="Arial Narrow" w:hAnsi="Arial Narrow" w:cstheme="minorHAnsi"/>
          <w:b/>
          <w:bCs/>
          <w:sz w:val="20"/>
          <w:szCs w:val="20"/>
        </w:rPr>
        <w:t>Table 3. Estimated net cost to the PBS</w:t>
      </w:r>
      <w:r w:rsidR="0001431A" w:rsidRPr="004E6794">
        <w:rPr>
          <w:rFonts w:ascii="Arial Narrow" w:hAnsi="Arial Narrow" w:cstheme="minorHAnsi"/>
          <w:b/>
          <w:bCs/>
          <w:sz w:val="20"/>
          <w:szCs w:val="20"/>
        </w:rPr>
        <w:t xml:space="preserve"> for </w:t>
      </w:r>
      <w:r w:rsidR="00A26A1C" w:rsidRPr="004E6794">
        <w:rPr>
          <w:rFonts w:ascii="Arial Narrow" w:hAnsi="Arial Narrow" w:cstheme="minorHAnsi"/>
          <w:b/>
          <w:bCs/>
          <w:sz w:val="20"/>
          <w:szCs w:val="20"/>
        </w:rPr>
        <w:t>5 years (</w:t>
      </w:r>
      <w:r w:rsidR="00A757D4" w:rsidRPr="004E6794">
        <w:rPr>
          <w:rFonts w:ascii="Arial Narrow" w:hAnsi="Arial Narrow" w:cstheme="minorHAnsi"/>
          <w:b/>
          <w:bCs/>
          <w:sz w:val="20"/>
          <w:szCs w:val="20"/>
        </w:rPr>
        <w:t>2022 to 2026</w:t>
      </w:r>
      <w:r w:rsidR="00A26A1C" w:rsidRPr="004E6794">
        <w:rPr>
          <w:rFonts w:ascii="Arial Narrow" w:hAnsi="Arial Narrow" w:cstheme="minorHAnsi"/>
          <w:b/>
          <w:bCs/>
          <w:sz w:val="20"/>
          <w:szCs w:val="20"/>
        </w:rPr>
        <w:t>)</w:t>
      </w:r>
      <w:r w:rsidR="00A757D4" w:rsidRPr="004E6794">
        <w:rPr>
          <w:rFonts w:ascii="Arial Narrow" w:hAnsi="Arial Narrow" w:cstheme="minorHAnsi"/>
          <w:b/>
          <w:bCs/>
          <w:sz w:val="20"/>
          <w:szCs w:val="20"/>
        </w:rPr>
        <w:t xml:space="preserve"> </w:t>
      </w:r>
      <w:r w:rsidR="0001431A" w:rsidRPr="004E6794">
        <w:rPr>
          <w:rFonts w:ascii="Arial Narrow" w:hAnsi="Arial Narrow" w:cstheme="minorHAnsi"/>
          <w:b/>
          <w:bCs/>
          <w:sz w:val="20"/>
          <w:szCs w:val="20"/>
        </w:rPr>
        <w:t xml:space="preserve">when 15%, 25% and </w:t>
      </w:r>
      <w:r w:rsidR="00A757D4" w:rsidRPr="004E6794">
        <w:rPr>
          <w:rFonts w:ascii="Arial Narrow" w:hAnsi="Arial Narrow" w:cstheme="minorHAnsi"/>
          <w:b/>
          <w:bCs/>
          <w:sz w:val="20"/>
          <w:szCs w:val="20"/>
        </w:rPr>
        <w:t>5</w:t>
      </w:r>
      <w:r w:rsidR="0001431A" w:rsidRPr="004E6794">
        <w:rPr>
          <w:rFonts w:ascii="Arial Narrow" w:hAnsi="Arial Narrow" w:cstheme="minorHAnsi"/>
          <w:b/>
          <w:bCs/>
          <w:sz w:val="20"/>
          <w:szCs w:val="20"/>
        </w:rPr>
        <w:t>0% price reductions are</w:t>
      </w:r>
      <w:r w:rsidR="00A757D4" w:rsidRPr="004E6794">
        <w:rPr>
          <w:rFonts w:ascii="Arial Narrow" w:hAnsi="Arial Narrow" w:cstheme="minorHAnsi"/>
          <w:b/>
          <w:bCs/>
          <w:sz w:val="20"/>
          <w:szCs w:val="20"/>
        </w:rPr>
        <w:t xml:space="preserve"> </w:t>
      </w:r>
      <w:r w:rsidR="0001431A" w:rsidRPr="004E6794">
        <w:rPr>
          <w:rFonts w:ascii="Arial Narrow" w:hAnsi="Arial Narrow" w:cstheme="minorHAnsi"/>
          <w:b/>
          <w:bCs/>
          <w:sz w:val="20"/>
          <w:szCs w:val="20"/>
        </w:rPr>
        <w:t>applied to the projected current SGLT2 inhibitor market</w:t>
      </w:r>
      <w:r w:rsidR="00A757D4" w:rsidRPr="004E6794">
        <w:rPr>
          <w:rFonts w:ascii="Arial Narrow" w:hAnsi="Arial Narrow" w:cstheme="minorHAnsi"/>
          <w:b/>
          <w:bCs/>
          <w:sz w:val="20"/>
          <w:szCs w:val="20"/>
        </w:rPr>
        <w:t xml:space="preserve"> </w:t>
      </w:r>
      <w:r w:rsidR="00436834" w:rsidRPr="004E6794">
        <w:rPr>
          <w:rFonts w:ascii="Arial Narrow" w:hAnsi="Arial Narrow" w:cstheme="minorHAnsi"/>
          <w:b/>
          <w:bCs/>
          <w:sz w:val="20"/>
          <w:szCs w:val="20"/>
        </w:rPr>
        <w:t xml:space="preserve">for T2DM </w:t>
      </w:r>
      <w:r w:rsidR="00A757D4" w:rsidRPr="004E6794">
        <w:rPr>
          <w:rFonts w:ascii="Arial Narrow" w:hAnsi="Arial Narrow" w:cstheme="minorHAnsi"/>
          <w:b/>
          <w:bCs/>
          <w:sz w:val="20"/>
          <w:szCs w:val="20"/>
        </w:rPr>
        <w:t xml:space="preserve">and </w:t>
      </w:r>
      <w:r w:rsidR="00A26A1C" w:rsidRPr="004E6794">
        <w:rPr>
          <w:rFonts w:ascii="Arial Narrow" w:hAnsi="Arial Narrow" w:cstheme="minorHAnsi"/>
          <w:b/>
          <w:bCs/>
          <w:sz w:val="20"/>
          <w:szCs w:val="20"/>
        </w:rPr>
        <w:t>proposed SGLT2 inhibitor market</w:t>
      </w:r>
      <w:r w:rsidR="009D3312" w:rsidRPr="004E6794">
        <w:rPr>
          <w:rFonts w:ascii="Arial Narrow" w:hAnsi="Arial Narrow" w:cstheme="minorHAnsi"/>
          <w:b/>
          <w:bCs/>
          <w:sz w:val="20"/>
          <w:szCs w:val="20"/>
        </w:rPr>
        <w:t xml:space="preserve"> (CVD/high CV risk and HbA1c &lt;7%)</w:t>
      </w:r>
      <w:r w:rsidR="00A26A1C" w:rsidRPr="004E6794">
        <w:rPr>
          <w:rFonts w:ascii="Arial Narrow" w:hAnsi="Arial Narrow" w:cstheme="minorHAnsi"/>
          <w:b/>
          <w:bCs/>
          <w:sz w:val="20"/>
          <w:szCs w:val="20"/>
        </w:rPr>
        <w:t xml:space="preserve">. </w:t>
      </w:r>
    </w:p>
    <w:tbl>
      <w:tblPr>
        <w:tblStyle w:val="TableGrid"/>
        <w:tblW w:w="8926" w:type="dxa"/>
        <w:tblLook w:val="04A0" w:firstRow="1" w:lastRow="0" w:firstColumn="1" w:lastColumn="0" w:noHBand="0" w:noVBand="1"/>
      </w:tblPr>
      <w:tblGrid>
        <w:gridCol w:w="1413"/>
        <w:gridCol w:w="2504"/>
        <w:gridCol w:w="2504"/>
        <w:gridCol w:w="2505"/>
      </w:tblGrid>
      <w:tr w:rsidR="009D3312" w14:paraId="0838932E" w14:textId="162E31B8" w:rsidTr="007D0456">
        <w:tc>
          <w:tcPr>
            <w:tcW w:w="1413" w:type="dxa"/>
            <w:tcBorders>
              <w:bottom w:val="single" w:sz="4" w:space="0" w:color="auto"/>
            </w:tcBorders>
            <w:shd w:val="clear" w:color="auto" w:fill="F2F2F2" w:themeFill="background1" w:themeFillShade="F2"/>
          </w:tcPr>
          <w:p w14:paraId="39EC4118" w14:textId="1A75B2B3" w:rsidR="009D3312" w:rsidRPr="004E6794" w:rsidRDefault="006751F9" w:rsidP="00CD0476">
            <w:pPr>
              <w:pStyle w:val="5Tabletitle"/>
              <w:keepNext/>
              <w:keepLines/>
              <w:jc w:val="center"/>
              <w:rPr>
                <w:rFonts w:cstheme="minorHAnsi"/>
                <w:szCs w:val="20"/>
              </w:rPr>
            </w:pPr>
            <w:r>
              <w:rPr>
                <w:rFonts w:cstheme="minorHAnsi"/>
                <w:szCs w:val="20"/>
              </w:rPr>
              <w:t>Price reduction (%)</w:t>
            </w:r>
          </w:p>
        </w:tc>
        <w:tc>
          <w:tcPr>
            <w:tcW w:w="2504" w:type="dxa"/>
            <w:tcBorders>
              <w:bottom w:val="single" w:sz="4" w:space="0" w:color="auto"/>
            </w:tcBorders>
            <w:shd w:val="clear" w:color="auto" w:fill="F2F2F2" w:themeFill="background1" w:themeFillShade="F2"/>
          </w:tcPr>
          <w:p w14:paraId="378A07FE" w14:textId="33C70D65" w:rsidR="009D3312" w:rsidRPr="004E6794" w:rsidRDefault="009D3312" w:rsidP="00CD0476">
            <w:pPr>
              <w:pStyle w:val="5Tabletitle"/>
              <w:keepNext/>
              <w:keepLines/>
              <w:jc w:val="center"/>
              <w:rPr>
                <w:rFonts w:cstheme="minorHAnsi"/>
                <w:szCs w:val="20"/>
              </w:rPr>
            </w:pPr>
            <w:r w:rsidRPr="004E6794">
              <w:rPr>
                <w:rFonts w:cstheme="minorHAnsi"/>
                <w:szCs w:val="20"/>
              </w:rPr>
              <w:t xml:space="preserve">Projected current </w:t>
            </w:r>
            <w:r w:rsidR="006751F9">
              <w:rPr>
                <w:rFonts w:cstheme="minorHAnsi"/>
                <w:szCs w:val="20"/>
              </w:rPr>
              <w:t xml:space="preserve">T2DM </w:t>
            </w:r>
            <w:r w:rsidRPr="004E6794">
              <w:rPr>
                <w:rFonts w:cstheme="minorHAnsi"/>
                <w:szCs w:val="20"/>
              </w:rPr>
              <w:t>market ($)</w:t>
            </w:r>
          </w:p>
        </w:tc>
        <w:tc>
          <w:tcPr>
            <w:tcW w:w="2504" w:type="dxa"/>
            <w:tcBorders>
              <w:bottom w:val="single" w:sz="4" w:space="0" w:color="auto"/>
            </w:tcBorders>
            <w:shd w:val="clear" w:color="auto" w:fill="F2F2F2" w:themeFill="background1" w:themeFillShade="F2"/>
          </w:tcPr>
          <w:p w14:paraId="33C1AA85" w14:textId="25CA56D5" w:rsidR="00004E6E" w:rsidRPr="004E6794" w:rsidRDefault="009D3312" w:rsidP="00CD0476">
            <w:pPr>
              <w:pStyle w:val="5Tabletitle"/>
              <w:keepNext/>
              <w:keepLines/>
              <w:jc w:val="center"/>
              <w:rPr>
                <w:rFonts w:cstheme="minorHAnsi"/>
                <w:szCs w:val="20"/>
              </w:rPr>
            </w:pPr>
            <w:r w:rsidRPr="004E6794">
              <w:rPr>
                <w:rFonts w:cstheme="minorHAnsi"/>
                <w:szCs w:val="20"/>
              </w:rPr>
              <w:t>Proposed</w:t>
            </w:r>
            <w:r w:rsidR="008D7680" w:rsidRPr="004E6794">
              <w:rPr>
                <w:rFonts w:cstheme="minorHAnsi"/>
                <w:szCs w:val="20"/>
              </w:rPr>
              <w:t xml:space="preserve"> CV</w:t>
            </w:r>
            <w:r w:rsidRPr="004E6794">
              <w:rPr>
                <w:rFonts w:cstheme="minorHAnsi"/>
                <w:szCs w:val="20"/>
              </w:rPr>
              <w:t xml:space="preserve"> market</w:t>
            </w:r>
          </w:p>
          <w:p w14:paraId="43A09032" w14:textId="53BDCF2C" w:rsidR="009D3312" w:rsidRPr="004E6794" w:rsidRDefault="00004E6E" w:rsidP="00CD0476">
            <w:pPr>
              <w:pStyle w:val="5Tabletitle"/>
              <w:keepNext/>
              <w:keepLines/>
              <w:jc w:val="center"/>
              <w:rPr>
                <w:rFonts w:cstheme="minorHAnsi"/>
                <w:szCs w:val="20"/>
              </w:rPr>
            </w:pPr>
            <w:r w:rsidRPr="004E6794">
              <w:rPr>
                <w:rFonts w:cstheme="minorHAnsi"/>
                <w:szCs w:val="20"/>
              </w:rPr>
              <w:t xml:space="preserve"> (</w:t>
            </w:r>
            <w:r w:rsidR="009D3312" w:rsidRPr="004E6794">
              <w:rPr>
                <w:rFonts w:cstheme="minorHAnsi"/>
                <w:szCs w:val="20"/>
              </w:rPr>
              <w:t>base case</w:t>
            </w:r>
            <w:r w:rsidRPr="004E6794">
              <w:rPr>
                <w:rFonts w:cstheme="minorHAnsi"/>
                <w:szCs w:val="20"/>
              </w:rPr>
              <w:t>)</w:t>
            </w:r>
            <w:r w:rsidR="009D3312" w:rsidRPr="004E6794">
              <w:rPr>
                <w:rFonts w:cstheme="minorHAnsi"/>
                <w:szCs w:val="20"/>
              </w:rPr>
              <w:t xml:space="preserve"> ($)</w:t>
            </w:r>
          </w:p>
        </w:tc>
        <w:tc>
          <w:tcPr>
            <w:tcW w:w="2505" w:type="dxa"/>
            <w:tcBorders>
              <w:bottom w:val="single" w:sz="4" w:space="0" w:color="auto"/>
            </w:tcBorders>
            <w:shd w:val="clear" w:color="auto" w:fill="F2F2F2" w:themeFill="background1" w:themeFillShade="F2"/>
          </w:tcPr>
          <w:p w14:paraId="05360AC8" w14:textId="5F504791" w:rsidR="009D3312" w:rsidRPr="004E6794" w:rsidRDefault="009D3312" w:rsidP="00CD0476">
            <w:pPr>
              <w:pStyle w:val="5Tabletitle"/>
              <w:keepNext/>
              <w:keepLines/>
              <w:jc w:val="center"/>
              <w:rPr>
                <w:rFonts w:cstheme="minorHAnsi"/>
                <w:szCs w:val="20"/>
              </w:rPr>
            </w:pPr>
            <w:r w:rsidRPr="004E6794">
              <w:rPr>
                <w:rFonts w:cstheme="minorHAnsi"/>
                <w:szCs w:val="20"/>
              </w:rPr>
              <w:t>Projected current market and proposed market ($)</w:t>
            </w:r>
          </w:p>
        </w:tc>
      </w:tr>
      <w:tr w:rsidR="007247A3" w14:paraId="59FFF1D2" w14:textId="05485135" w:rsidTr="007D0456">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EF607D5" w14:textId="7627FC49" w:rsidR="007247A3" w:rsidRPr="004E6794" w:rsidRDefault="007247A3" w:rsidP="00CD0476">
            <w:pPr>
              <w:pStyle w:val="5Tabletext"/>
              <w:keepNext/>
              <w:keepLines/>
              <w:jc w:val="center"/>
              <w:rPr>
                <w:rFonts w:cstheme="minorHAnsi"/>
                <w:b/>
                <w:bCs/>
              </w:rPr>
            </w:pPr>
            <w:r w:rsidRPr="004E6794">
              <w:rPr>
                <w:rFonts w:cstheme="minorHAnsi"/>
                <w:b/>
                <w:bCs/>
                <w:color w:val="000000"/>
              </w:rPr>
              <w:t>0</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76486" w14:textId="770677A0" w:rsidR="007247A3" w:rsidRPr="004E6794" w:rsidRDefault="007247A3" w:rsidP="00CD0476">
            <w:pPr>
              <w:pStyle w:val="5Tabletext"/>
              <w:keepNext/>
              <w:keepLines/>
              <w:jc w:val="center"/>
              <w:rPr>
                <w:rFonts w:cstheme="minorHAnsi"/>
              </w:rPr>
            </w:pPr>
            <w:r w:rsidRPr="004E6794">
              <w:rPr>
                <w:rFonts w:cstheme="minorHAnsi"/>
                <w:color w:val="000000"/>
              </w:rPr>
              <w:t>1,087,850,068</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3B8F5" w14:textId="7456CE81" w:rsidR="007247A3" w:rsidRPr="004E6794" w:rsidRDefault="007247A3" w:rsidP="00CD0476">
            <w:pPr>
              <w:pStyle w:val="5Tabletext"/>
              <w:keepNext/>
              <w:keepLines/>
              <w:jc w:val="center"/>
              <w:rPr>
                <w:rFonts w:cstheme="minorHAnsi"/>
              </w:rPr>
            </w:pPr>
            <w:r w:rsidRPr="004E6794">
              <w:rPr>
                <w:rFonts w:cstheme="minorHAnsi"/>
                <w:color w:val="000000"/>
              </w:rPr>
              <w:t>769,249,128</w:t>
            </w:r>
          </w:p>
        </w:tc>
        <w:tc>
          <w:tcPr>
            <w:tcW w:w="2505" w:type="dxa"/>
            <w:tcBorders>
              <w:top w:val="single" w:sz="4" w:space="0" w:color="auto"/>
              <w:left w:val="nil"/>
              <w:bottom w:val="single" w:sz="4" w:space="0" w:color="auto"/>
              <w:right w:val="single" w:sz="4" w:space="0" w:color="auto"/>
            </w:tcBorders>
            <w:shd w:val="clear" w:color="auto" w:fill="auto"/>
            <w:vAlign w:val="bottom"/>
          </w:tcPr>
          <w:p w14:paraId="42601AB9" w14:textId="3FA8998A" w:rsidR="007247A3" w:rsidRPr="004E6794" w:rsidRDefault="007247A3" w:rsidP="00CD0476">
            <w:pPr>
              <w:pStyle w:val="5Tabletext"/>
              <w:keepNext/>
              <w:keepLines/>
              <w:jc w:val="center"/>
              <w:rPr>
                <w:rFonts w:cstheme="minorHAnsi"/>
              </w:rPr>
            </w:pPr>
            <w:r w:rsidRPr="004E6794">
              <w:rPr>
                <w:rFonts w:cstheme="minorHAnsi"/>
              </w:rPr>
              <w:t>1,857,099,196</w:t>
            </w:r>
          </w:p>
        </w:tc>
      </w:tr>
      <w:tr w:rsidR="007247A3" w14:paraId="7171954F" w14:textId="7BEDF515" w:rsidTr="007D0456">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AECDB3B" w14:textId="634815E2" w:rsidR="007247A3" w:rsidRPr="004E6794" w:rsidRDefault="007247A3" w:rsidP="00CD0476">
            <w:pPr>
              <w:pStyle w:val="5Tabletext"/>
              <w:keepNext/>
              <w:keepLines/>
              <w:jc w:val="center"/>
              <w:rPr>
                <w:rFonts w:cstheme="minorHAnsi"/>
                <w:b/>
                <w:bCs/>
              </w:rPr>
            </w:pPr>
            <w:r w:rsidRPr="004E6794">
              <w:rPr>
                <w:rFonts w:cstheme="minorHAnsi"/>
                <w:b/>
                <w:bCs/>
                <w:color w:val="000000"/>
              </w:rPr>
              <w:t>15</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34D62" w14:textId="5F7C69F3" w:rsidR="007247A3" w:rsidRPr="004E6794" w:rsidRDefault="007247A3" w:rsidP="00CD0476">
            <w:pPr>
              <w:pStyle w:val="5Tabletext"/>
              <w:keepNext/>
              <w:keepLines/>
              <w:jc w:val="center"/>
              <w:rPr>
                <w:rFonts w:cstheme="minorHAnsi"/>
              </w:rPr>
            </w:pPr>
            <w:r w:rsidRPr="004E6794">
              <w:rPr>
                <w:rFonts w:cstheme="minorHAnsi"/>
                <w:color w:val="000000"/>
              </w:rPr>
              <w:t>869,522,386</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214C7" w14:textId="755F3446" w:rsidR="007247A3" w:rsidRPr="004E6794" w:rsidRDefault="007247A3" w:rsidP="00CD0476">
            <w:pPr>
              <w:pStyle w:val="5Tabletext"/>
              <w:keepNext/>
              <w:keepLines/>
              <w:jc w:val="center"/>
              <w:rPr>
                <w:rFonts w:cstheme="minorHAnsi"/>
              </w:rPr>
            </w:pPr>
            <w:r w:rsidRPr="004E6794">
              <w:rPr>
                <w:rFonts w:cstheme="minorHAnsi"/>
                <w:color w:val="000000"/>
              </w:rPr>
              <w:t>605,810,661</w:t>
            </w:r>
          </w:p>
        </w:tc>
        <w:tc>
          <w:tcPr>
            <w:tcW w:w="2505" w:type="dxa"/>
            <w:tcBorders>
              <w:top w:val="single" w:sz="4" w:space="0" w:color="auto"/>
              <w:left w:val="nil"/>
              <w:bottom w:val="single" w:sz="4" w:space="0" w:color="auto"/>
              <w:right w:val="single" w:sz="4" w:space="0" w:color="auto"/>
            </w:tcBorders>
            <w:shd w:val="clear" w:color="auto" w:fill="auto"/>
            <w:vAlign w:val="bottom"/>
          </w:tcPr>
          <w:p w14:paraId="72E02A93" w14:textId="4217169A" w:rsidR="007247A3" w:rsidRPr="004E6794" w:rsidRDefault="007247A3" w:rsidP="00CD0476">
            <w:pPr>
              <w:pStyle w:val="5Tabletext"/>
              <w:keepNext/>
              <w:keepLines/>
              <w:jc w:val="center"/>
              <w:rPr>
                <w:rFonts w:cstheme="minorHAnsi"/>
              </w:rPr>
            </w:pPr>
            <w:r w:rsidRPr="004E6794">
              <w:rPr>
                <w:rFonts w:cstheme="minorHAnsi"/>
              </w:rPr>
              <w:t>1,475,333,047</w:t>
            </w:r>
          </w:p>
        </w:tc>
      </w:tr>
      <w:tr w:rsidR="007247A3" w14:paraId="2DE38629" w14:textId="1CCE44A9" w:rsidTr="007D0456">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D79EAA4" w14:textId="2BE0DB4A" w:rsidR="007247A3" w:rsidRPr="004E6794" w:rsidRDefault="007247A3" w:rsidP="00CD0476">
            <w:pPr>
              <w:pStyle w:val="5Tabletext"/>
              <w:keepNext/>
              <w:keepLines/>
              <w:jc w:val="center"/>
              <w:rPr>
                <w:rFonts w:cstheme="minorHAnsi"/>
                <w:b/>
                <w:bCs/>
              </w:rPr>
            </w:pPr>
            <w:r w:rsidRPr="004E6794">
              <w:rPr>
                <w:rFonts w:cstheme="minorHAnsi"/>
                <w:b/>
                <w:bCs/>
                <w:color w:val="000000"/>
              </w:rPr>
              <w:t>25</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B61A2" w14:textId="6C497BC0" w:rsidR="007247A3" w:rsidRPr="004E6794" w:rsidRDefault="007247A3" w:rsidP="00CD0476">
            <w:pPr>
              <w:pStyle w:val="5Tabletext"/>
              <w:keepNext/>
              <w:keepLines/>
              <w:jc w:val="center"/>
              <w:rPr>
                <w:rFonts w:cstheme="minorHAnsi"/>
              </w:rPr>
            </w:pPr>
            <w:r w:rsidRPr="004E6794">
              <w:rPr>
                <w:rFonts w:cstheme="minorHAnsi"/>
                <w:color w:val="000000"/>
              </w:rPr>
              <w:t>723,970,598</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9EB01" w14:textId="32487E00" w:rsidR="007247A3" w:rsidRPr="004E6794" w:rsidRDefault="007247A3" w:rsidP="00CD0476">
            <w:pPr>
              <w:pStyle w:val="5Tabletext"/>
              <w:keepNext/>
              <w:keepLines/>
              <w:jc w:val="center"/>
              <w:rPr>
                <w:rFonts w:cstheme="minorHAnsi"/>
              </w:rPr>
            </w:pPr>
            <w:r w:rsidRPr="004E6794">
              <w:rPr>
                <w:rFonts w:cstheme="minorHAnsi"/>
                <w:color w:val="000000"/>
              </w:rPr>
              <w:t>496,851,682</w:t>
            </w:r>
          </w:p>
        </w:tc>
        <w:tc>
          <w:tcPr>
            <w:tcW w:w="2505" w:type="dxa"/>
            <w:tcBorders>
              <w:top w:val="single" w:sz="4" w:space="0" w:color="auto"/>
              <w:left w:val="nil"/>
              <w:bottom w:val="single" w:sz="4" w:space="0" w:color="auto"/>
              <w:right w:val="single" w:sz="4" w:space="0" w:color="auto"/>
            </w:tcBorders>
            <w:shd w:val="clear" w:color="auto" w:fill="auto"/>
            <w:vAlign w:val="bottom"/>
          </w:tcPr>
          <w:p w14:paraId="302CD998" w14:textId="0ACAF920" w:rsidR="007247A3" w:rsidRPr="004E6794" w:rsidRDefault="007247A3" w:rsidP="00CD0476">
            <w:pPr>
              <w:pStyle w:val="5Tabletext"/>
              <w:keepNext/>
              <w:keepLines/>
              <w:jc w:val="center"/>
              <w:rPr>
                <w:rFonts w:cstheme="minorHAnsi"/>
              </w:rPr>
            </w:pPr>
            <w:r w:rsidRPr="004E6794">
              <w:rPr>
                <w:rFonts w:cstheme="minorHAnsi"/>
              </w:rPr>
              <w:t>1,220,822,280</w:t>
            </w:r>
          </w:p>
        </w:tc>
      </w:tr>
      <w:tr w:rsidR="0020349A" w14:paraId="01D69599" w14:textId="43A459A9" w:rsidTr="00E924CB">
        <w:trPr>
          <w:trHeight w:val="267"/>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C9E9848" w14:textId="5552D711" w:rsidR="0020349A" w:rsidRPr="004E6794" w:rsidRDefault="0020349A" w:rsidP="00CD0476">
            <w:pPr>
              <w:pStyle w:val="5Tabletext"/>
              <w:keepNext/>
              <w:keepLines/>
              <w:jc w:val="center"/>
              <w:rPr>
                <w:rFonts w:cstheme="minorHAnsi"/>
                <w:b/>
                <w:bCs/>
              </w:rPr>
            </w:pPr>
            <w:r w:rsidRPr="004E6794">
              <w:rPr>
                <w:rFonts w:cstheme="minorHAnsi"/>
                <w:b/>
                <w:bCs/>
                <w:color w:val="000000"/>
              </w:rPr>
              <w:t>50</w:t>
            </w:r>
          </w:p>
        </w:tc>
        <w:tc>
          <w:tcPr>
            <w:tcW w:w="2504" w:type="dxa"/>
            <w:tcBorders>
              <w:top w:val="single" w:sz="4" w:space="0" w:color="auto"/>
              <w:left w:val="single" w:sz="4" w:space="0" w:color="auto"/>
              <w:bottom w:val="single" w:sz="8" w:space="0" w:color="auto"/>
              <w:right w:val="single" w:sz="4" w:space="0" w:color="auto"/>
            </w:tcBorders>
            <w:shd w:val="clear" w:color="auto" w:fill="auto"/>
            <w:noWrap/>
            <w:vAlign w:val="bottom"/>
          </w:tcPr>
          <w:p w14:paraId="3B44BD46" w14:textId="5424C928" w:rsidR="0020349A" w:rsidRPr="004E6794" w:rsidRDefault="0020349A" w:rsidP="00CD0476">
            <w:pPr>
              <w:pStyle w:val="5Tabletext"/>
              <w:keepNext/>
              <w:keepLines/>
              <w:jc w:val="center"/>
              <w:rPr>
                <w:rFonts w:cstheme="minorHAnsi"/>
              </w:rPr>
            </w:pPr>
            <w:r w:rsidRPr="004E6794">
              <w:rPr>
                <w:rFonts w:cstheme="minorHAnsi"/>
                <w:color w:val="000000"/>
              </w:rPr>
              <w:t>444,674,825</w:t>
            </w:r>
          </w:p>
        </w:tc>
        <w:tc>
          <w:tcPr>
            <w:tcW w:w="2504" w:type="dxa"/>
            <w:tcBorders>
              <w:top w:val="single" w:sz="4" w:space="0" w:color="auto"/>
              <w:left w:val="nil"/>
              <w:bottom w:val="single" w:sz="8" w:space="0" w:color="auto"/>
              <w:right w:val="single" w:sz="4" w:space="0" w:color="auto"/>
            </w:tcBorders>
            <w:shd w:val="clear" w:color="auto" w:fill="auto"/>
            <w:noWrap/>
            <w:vAlign w:val="bottom"/>
          </w:tcPr>
          <w:p w14:paraId="36CBF3EB" w14:textId="2245E4A4" w:rsidR="0020349A" w:rsidRPr="004E6794" w:rsidRDefault="0020349A" w:rsidP="00CD0476">
            <w:pPr>
              <w:pStyle w:val="5Tabletext"/>
              <w:keepNext/>
              <w:keepLines/>
              <w:jc w:val="center"/>
              <w:rPr>
                <w:rFonts w:cstheme="minorHAnsi"/>
              </w:rPr>
            </w:pPr>
            <w:r w:rsidRPr="004E6794">
              <w:rPr>
                <w:rFonts w:cstheme="minorHAnsi"/>
                <w:color w:val="000000"/>
              </w:rPr>
              <w:t>300,123,910</w:t>
            </w:r>
          </w:p>
        </w:tc>
        <w:tc>
          <w:tcPr>
            <w:tcW w:w="2505" w:type="dxa"/>
            <w:tcBorders>
              <w:top w:val="single" w:sz="4" w:space="0" w:color="auto"/>
              <w:left w:val="nil"/>
              <w:bottom w:val="single" w:sz="8" w:space="0" w:color="auto"/>
              <w:right w:val="single" w:sz="8" w:space="0" w:color="auto"/>
            </w:tcBorders>
            <w:shd w:val="clear" w:color="auto" w:fill="auto"/>
            <w:vAlign w:val="bottom"/>
          </w:tcPr>
          <w:p w14:paraId="13108023" w14:textId="6E612AA3" w:rsidR="0020349A" w:rsidRPr="004E6794" w:rsidRDefault="0020349A" w:rsidP="00CD0476">
            <w:pPr>
              <w:pStyle w:val="5Tabletext"/>
              <w:keepNext/>
              <w:keepLines/>
              <w:jc w:val="center"/>
              <w:rPr>
                <w:rFonts w:cstheme="minorHAnsi"/>
              </w:rPr>
            </w:pPr>
            <w:r w:rsidRPr="004E6794">
              <w:rPr>
                <w:rFonts w:cstheme="minorHAnsi"/>
                <w:color w:val="000000"/>
              </w:rPr>
              <w:t>744,798,736</w:t>
            </w:r>
          </w:p>
        </w:tc>
      </w:tr>
    </w:tbl>
    <w:p w14:paraId="39E5D7E9" w14:textId="5B5E7A34" w:rsidR="00436834" w:rsidRDefault="00436834" w:rsidP="00CD0476">
      <w:pPr>
        <w:pStyle w:val="4Bodytextnumbered"/>
        <w:keepNext/>
        <w:keepLines/>
        <w:numPr>
          <w:ilvl w:val="0"/>
          <w:numId w:val="0"/>
        </w:numPr>
        <w:ind w:left="720" w:hanging="720"/>
        <w:rPr>
          <w:i/>
          <w:iCs/>
          <w:sz w:val="20"/>
          <w:szCs w:val="20"/>
        </w:rPr>
      </w:pPr>
      <w:r w:rsidRPr="00E918D4">
        <w:rPr>
          <w:i/>
          <w:iCs/>
          <w:sz w:val="20"/>
          <w:szCs w:val="20"/>
        </w:rPr>
        <w:t>Source: Attachment D – Addendum to the CER of SGLT2 inhibitors</w:t>
      </w:r>
      <w:r>
        <w:rPr>
          <w:i/>
          <w:iCs/>
          <w:sz w:val="20"/>
          <w:szCs w:val="20"/>
        </w:rPr>
        <w:t xml:space="preserve"> for T2DM</w:t>
      </w:r>
      <w:r w:rsidRPr="00E918D4">
        <w:rPr>
          <w:i/>
          <w:iCs/>
          <w:sz w:val="20"/>
          <w:szCs w:val="20"/>
        </w:rPr>
        <w:t>, Table</w:t>
      </w:r>
      <w:r>
        <w:rPr>
          <w:i/>
          <w:iCs/>
          <w:sz w:val="20"/>
          <w:szCs w:val="20"/>
        </w:rPr>
        <w:t>s</w:t>
      </w:r>
      <w:r w:rsidRPr="00E918D4">
        <w:rPr>
          <w:i/>
          <w:iCs/>
          <w:sz w:val="20"/>
          <w:szCs w:val="20"/>
        </w:rPr>
        <w:t xml:space="preserve"> </w:t>
      </w:r>
      <w:r>
        <w:rPr>
          <w:i/>
          <w:iCs/>
          <w:sz w:val="20"/>
          <w:szCs w:val="20"/>
        </w:rPr>
        <w:t>8-10</w:t>
      </w:r>
      <w:r w:rsidRPr="00E918D4">
        <w:rPr>
          <w:i/>
          <w:iCs/>
          <w:sz w:val="20"/>
          <w:szCs w:val="20"/>
        </w:rPr>
        <w:t>.</w:t>
      </w:r>
    </w:p>
    <w:p w14:paraId="5282F6CE" w14:textId="77777777" w:rsidR="009702D4" w:rsidRPr="00E918D4" w:rsidRDefault="009702D4" w:rsidP="00436834">
      <w:pPr>
        <w:pStyle w:val="4Bodytextnumbered"/>
        <w:numPr>
          <w:ilvl w:val="0"/>
          <w:numId w:val="0"/>
        </w:numPr>
        <w:ind w:left="720" w:hanging="720"/>
        <w:rPr>
          <w:i/>
          <w:iCs/>
          <w:sz w:val="20"/>
          <w:szCs w:val="20"/>
        </w:rPr>
      </w:pPr>
    </w:p>
    <w:bookmarkEnd w:id="5"/>
    <w:p w14:paraId="258D5F64" w14:textId="77777777" w:rsidR="004D453A" w:rsidRDefault="004D453A" w:rsidP="002E4CB8">
      <w:pPr>
        <w:pStyle w:val="2Sections"/>
        <w:keepNext/>
        <w:keepLines/>
      </w:pPr>
      <w:r>
        <w:t>PBAC Outcome</w:t>
      </w:r>
    </w:p>
    <w:p w14:paraId="1F8911CE" w14:textId="62177625" w:rsidR="00001D0A" w:rsidRDefault="0022649B" w:rsidP="003245BB">
      <w:pPr>
        <w:pStyle w:val="4Bodytextnumbered"/>
      </w:pPr>
      <w:r w:rsidRPr="003E00FC">
        <w:t xml:space="preserve">The PBAC </w:t>
      </w:r>
      <w:r w:rsidR="00FA3556" w:rsidRPr="006751F9">
        <w:t>recommended</w:t>
      </w:r>
      <w:r w:rsidR="00FA3556">
        <w:t xml:space="preserve"> </w:t>
      </w:r>
      <w:r w:rsidR="00D032FA">
        <w:t xml:space="preserve">the listing of dapagliflozin and empagliflozin for the treatment of </w:t>
      </w:r>
      <w:r w:rsidR="00942EC0">
        <w:t>T2DM</w:t>
      </w:r>
      <w:r w:rsidR="00D032FA">
        <w:t xml:space="preserve">, </w:t>
      </w:r>
      <w:r w:rsidRPr="001C5E4C">
        <w:t>as add-on therapy to metformin</w:t>
      </w:r>
      <w:r w:rsidR="00D032FA">
        <w:t>,</w:t>
      </w:r>
      <w:r w:rsidRPr="001C5E4C">
        <w:t xml:space="preserve"> in patients with established </w:t>
      </w:r>
      <w:r w:rsidR="00942EC0">
        <w:t xml:space="preserve">CVD </w:t>
      </w:r>
      <w:r w:rsidRPr="001C5E4C">
        <w:t xml:space="preserve">or at high </w:t>
      </w:r>
      <w:r w:rsidR="00942EC0">
        <w:t xml:space="preserve">CV </w:t>
      </w:r>
      <w:r w:rsidRPr="001C5E4C">
        <w:t>risk, without the requirement to have a specific unmet glycaemic target.</w:t>
      </w:r>
      <w:r w:rsidR="00D032FA">
        <w:t xml:space="preserve"> </w:t>
      </w:r>
    </w:p>
    <w:p w14:paraId="057E65AB" w14:textId="26977477" w:rsidR="00102D93" w:rsidRDefault="00EF0C14" w:rsidP="00102D93">
      <w:pPr>
        <w:pStyle w:val="4Bodytextnumbered"/>
      </w:pPr>
      <w:r>
        <w:t>I</w:t>
      </w:r>
      <w:r w:rsidR="00D032FA">
        <w:t xml:space="preserve">n making this recommendation, the PBAC noted the Addendum </w:t>
      </w:r>
      <w:r w:rsidR="00001D0A">
        <w:t xml:space="preserve">to the cost-effectiveness review report on SGLT2 inhibitors for T2DM which </w:t>
      </w:r>
      <w:r w:rsidR="00D032FA">
        <w:t>provi</w:t>
      </w:r>
      <w:r w:rsidR="00001D0A">
        <w:t>ded</w:t>
      </w:r>
      <w:r w:rsidR="00D032FA">
        <w:t xml:space="preserve"> revised estimates of the </w:t>
      </w:r>
      <w:r w:rsidR="00C46942">
        <w:t xml:space="preserve">net cost to </w:t>
      </w:r>
      <w:r w:rsidR="006751F9">
        <w:t xml:space="preserve">the </w:t>
      </w:r>
      <w:r w:rsidR="00C46942">
        <w:t xml:space="preserve">PBS </w:t>
      </w:r>
      <w:r w:rsidR="00D032FA">
        <w:t xml:space="preserve">and </w:t>
      </w:r>
      <w:r w:rsidR="00001D0A">
        <w:t>ICERs resulting from modelled price reductions</w:t>
      </w:r>
      <w:r>
        <w:t xml:space="preserve"> to SGLT2 inhibitors</w:t>
      </w:r>
      <w:r w:rsidR="00001D0A">
        <w:t xml:space="preserve">, the October 2021 </w:t>
      </w:r>
      <w:r w:rsidR="00D032FA">
        <w:t>DUSC and ESC advice,</w:t>
      </w:r>
      <w:r w:rsidR="00001D0A">
        <w:t xml:space="preserve"> and sponsor pre-PBAC responses.</w:t>
      </w:r>
    </w:p>
    <w:p w14:paraId="66C3EB7E" w14:textId="3D843651" w:rsidR="0098537C" w:rsidRDefault="0098537C" w:rsidP="00BD2648">
      <w:pPr>
        <w:pStyle w:val="4Bodytextnumbered"/>
      </w:pPr>
      <w:r>
        <w:t xml:space="preserve">The PBAC is satisfied that dapagliflozin and empagliflozin provide, for some patients, a significant improvement in efficacy over </w:t>
      </w:r>
      <w:r w:rsidR="00102D93">
        <w:t>SUs</w:t>
      </w:r>
      <w:r>
        <w:t xml:space="preserve">, when used as add-on therapy to metformin in T2DM. </w:t>
      </w:r>
      <w:r w:rsidR="00102D93">
        <w:t xml:space="preserve">The PBAC noted the results of the clinical and economic analyses in the </w:t>
      </w:r>
      <w:r w:rsidR="006751F9">
        <w:t>SGLT2 inhibitor</w:t>
      </w:r>
      <w:r w:rsidR="00102D93">
        <w:t xml:space="preserve"> report which indicate that </w:t>
      </w:r>
      <w:r w:rsidR="00102D93" w:rsidRPr="00BD2648">
        <w:rPr>
          <w:szCs w:val="24"/>
        </w:rPr>
        <w:t>SGLT2 inhibitors compared to SUs decreased the risk of all-cause and CV-related mortality and were likely to improve life expectancy and quality-adjusted life expectancy. However, SGLT2 inhibitors were likely to lead to an increase in lifetime costs per patient compared to SUs.</w:t>
      </w:r>
    </w:p>
    <w:p w14:paraId="1BD0D39D" w14:textId="04F9A248" w:rsidR="00001D0A" w:rsidRDefault="00001D0A" w:rsidP="003245BB">
      <w:pPr>
        <w:pStyle w:val="4Bodytextnumbered"/>
      </w:pPr>
      <w:r>
        <w:t xml:space="preserve">The PBAC noted that the current PBS restrictions </w:t>
      </w:r>
      <w:r w:rsidR="00175C85">
        <w:t xml:space="preserve">for SGLT2 inhibitors </w:t>
      </w:r>
      <w:r>
        <w:t>were no longer in line with T2DM clinical treatment guidelines</w:t>
      </w:r>
      <w:r w:rsidR="00F353DD">
        <w:t xml:space="preserve">, which may recommend individualisation of glycaemic targets and that second-line medicine selection should be influenced by the presence of other risk factors, </w:t>
      </w:r>
      <w:r w:rsidR="00A20179">
        <w:t>e.g.,</w:t>
      </w:r>
      <w:r w:rsidR="00F353DD">
        <w:t xml:space="preserve"> SGLT2 inhibitors may be recommended for patients at high CV risk.</w:t>
      </w:r>
    </w:p>
    <w:p w14:paraId="01B2EF17" w14:textId="3FB142FA" w:rsidR="000A7A04" w:rsidRDefault="000A7A04" w:rsidP="003245BB">
      <w:pPr>
        <w:pStyle w:val="4Bodytextnumbered"/>
      </w:pPr>
      <w:r>
        <w:t xml:space="preserve">The PBAC noted the </w:t>
      </w:r>
      <w:r w:rsidR="00412C09">
        <w:t xml:space="preserve">study by the George Institute for Global Health on the </w:t>
      </w:r>
      <w:r>
        <w:t>wider health-related cost savings and societal benefits of SGLT2 inhibitors</w:t>
      </w:r>
      <w:r w:rsidR="00412C09">
        <w:rPr>
          <w:rStyle w:val="FootnoteReference"/>
        </w:rPr>
        <w:footnoteReference w:id="1"/>
      </w:r>
      <w:r>
        <w:t xml:space="preserve">, </w:t>
      </w:r>
      <w:r w:rsidR="00412C09">
        <w:t>referenced by one sponsor.</w:t>
      </w:r>
    </w:p>
    <w:p w14:paraId="6BB1006A" w14:textId="032DB1EB" w:rsidR="00D032FA" w:rsidRDefault="00D032FA" w:rsidP="003245BB">
      <w:pPr>
        <w:pStyle w:val="4Bodytextnumbered"/>
      </w:pPr>
      <w:r>
        <w:t>The PBAC affirmed its previous recommendation that ertugliflozin should be excluded from any potential restriction expansion until CV outcome trials demonstrate that ertugliflozin has comparable CV benefits to dapagliflozin and empagliflozin.</w:t>
      </w:r>
    </w:p>
    <w:p w14:paraId="5577DE65" w14:textId="1CDC41F2" w:rsidR="00EF0C14" w:rsidRDefault="00EF0C14" w:rsidP="008D7680">
      <w:pPr>
        <w:pStyle w:val="4Bodytextnumbered"/>
      </w:pPr>
      <w:r>
        <w:rPr>
          <w:szCs w:val="24"/>
        </w:rPr>
        <w:t>The PBAC Overview presented two options for r</w:t>
      </w:r>
      <w:r>
        <w:t xml:space="preserve">evised </w:t>
      </w:r>
      <w:r w:rsidRPr="0037386F">
        <w:t>restriction</w:t>
      </w:r>
      <w:r>
        <w:t xml:space="preserve">s for SGLT2 inhibitors. The PBAC considered that </w:t>
      </w:r>
      <w:r w:rsidR="008D7680">
        <w:t xml:space="preserve">the simple restriction </w:t>
      </w:r>
      <w:r>
        <w:t xml:space="preserve">with minor amendments was most appropriate, as </w:t>
      </w:r>
      <w:r w:rsidR="008D7680">
        <w:t xml:space="preserve">this </w:t>
      </w:r>
      <w:r w:rsidR="0059210A">
        <w:t xml:space="preserve">substantially allowed the </w:t>
      </w:r>
      <w:r w:rsidR="00A20179">
        <w:t>high</w:t>
      </w:r>
      <w:r w:rsidR="006751F9">
        <w:t xml:space="preserve"> CV </w:t>
      </w:r>
      <w:r w:rsidR="00A20179">
        <w:t>risk</w:t>
      </w:r>
      <w:r w:rsidR="0059210A">
        <w:t xml:space="preserve"> population to be identified and </w:t>
      </w:r>
      <w:r>
        <w:t xml:space="preserve">would be </w:t>
      </w:r>
      <w:r w:rsidR="0059210A">
        <w:t xml:space="preserve">more easily utilised </w:t>
      </w:r>
      <w:r>
        <w:t>by</w:t>
      </w:r>
      <w:r w:rsidR="006751F9">
        <w:t xml:space="preserve"> GPs</w:t>
      </w:r>
      <w:r>
        <w:t xml:space="preserve">. </w:t>
      </w:r>
      <w:r w:rsidR="008D7680">
        <w:t>The PBAC agreed restriction for the recommended listing is</w:t>
      </w:r>
      <w:r w:rsidR="009E3B07">
        <w:t xml:space="preserve"> at Section </w:t>
      </w:r>
      <w:r w:rsidR="00F12935">
        <w:t>5</w:t>
      </w:r>
      <w:r w:rsidR="008D7680">
        <w:t>.</w:t>
      </w:r>
    </w:p>
    <w:p w14:paraId="626E26AA" w14:textId="68F6E6BD" w:rsidR="00EF0C14" w:rsidRDefault="00EF0C14" w:rsidP="00EF0C14">
      <w:pPr>
        <w:pStyle w:val="4Bodytextnumbered"/>
      </w:pPr>
      <w:r>
        <w:t xml:space="preserve">The PBAC noted sponsor comments </w:t>
      </w:r>
      <w:r w:rsidR="00783003">
        <w:t xml:space="preserve">that it was inappropriate to </w:t>
      </w:r>
      <w:r>
        <w:t>exclu</w:t>
      </w:r>
      <w:r w:rsidR="00783003">
        <w:t>de</w:t>
      </w:r>
      <w:r>
        <w:t xml:space="preserve"> </w:t>
      </w:r>
      <w:r w:rsidR="00783003">
        <w:t xml:space="preserve">patients with </w:t>
      </w:r>
      <w:r>
        <w:t>CKD from the proposed listing</w:t>
      </w:r>
      <w:r w:rsidR="00783003">
        <w:t>s</w:t>
      </w:r>
      <w:r>
        <w:t xml:space="preserve"> </w:t>
      </w:r>
      <w:r w:rsidR="00A20179">
        <w:t>based on</w:t>
      </w:r>
      <w:r>
        <w:t xml:space="preserve"> the separate consideration of </w:t>
      </w:r>
      <w:r w:rsidR="006744BE">
        <w:t xml:space="preserve">PBS listing </w:t>
      </w:r>
      <w:r>
        <w:t xml:space="preserve">dapagliflozin for </w:t>
      </w:r>
      <w:r w:rsidR="006744BE">
        <w:t xml:space="preserve">the treatment of </w:t>
      </w:r>
      <w:r>
        <w:t>CKD</w:t>
      </w:r>
      <w:r w:rsidR="00783003">
        <w:t xml:space="preserve">. The PBAC </w:t>
      </w:r>
      <w:r w:rsidR="000C26D8">
        <w:t xml:space="preserve">agreed </w:t>
      </w:r>
      <w:r w:rsidR="00783003">
        <w:t xml:space="preserve">that patients with CKD </w:t>
      </w:r>
      <w:r w:rsidR="000C26D8">
        <w:t xml:space="preserve">should be included </w:t>
      </w:r>
      <w:r w:rsidR="00783003">
        <w:t>within the population of high CV risk defined in the restrictions</w:t>
      </w:r>
      <w:r w:rsidR="000C26D8">
        <w:t xml:space="preserve">, as </w:t>
      </w:r>
      <w:r w:rsidR="00783003">
        <w:t xml:space="preserve">the exclusion of these patients would be </w:t>
      </w:r>
      <w:r>
        <w:t>confusing to prescribers</w:t>
      </w:r>
      <w:r w:rsidR="000C26D8">
        <w:t xml:space="preserve"> and it may be difficult to define appropriate clinical criteria</w:t>
      </w:r>
      <w:r w:rsidR="00783003">
        <w:t>.</w:t>
      </w:r>
    </w:p>
    <w:p w14:paraId="3462159B" w14:textId="73F83F36" w:rsidR="00095102" w:rsidRDefault="00095102" w:rsidP="00EF0C14">
      <w:pPr>
        <w:pStyle w:val="4Bodytextnumbered"/>
      </w:pPr>
      <w:r>
        <w:t>The PBAC considered that a separate clinical criteri</w:t>
      </w:r>
      <w:r w:rsidR="00804D24">
        <w:t>on</w:t>
      </w:r>
      <w:r w:rsidRPr="00095102">
        <w:rPr>
          <w:rFonts w:asciiTheme="majorHAnsi" w:hAnsiTheme="majorHAnsi" w:cstheme="majorHAnsi"/>
        </w:rPr>
        <w:t xml:space="preserve"> </w:t>
      </w:r>
      <w:r>
        <w:rPr>
          <w:rFonts w:asciiTheme="majorHAnsi" w:hAnsiTheme="majorHAnsi" w:cstheme="majorHAnsi"/>
        </w:rPr>
        <w:t>of ‘</w:t>
      </w:r>
      <w:r w:rsidRPr="00A970EB">
        <w:rPr>
          <w:rFonts w:asciiTheme="majorHAnsi" w:hAnsiTheme="majorHAnsi" w:cstheme="majorHAnsi"/>
        </w:rPr>
        <w:t>Patient identif</w:t>
      </w:r>
      <w:r w:rsidR="006744BE">
        <w:rPr>
          <w:rFonts w:asciiTheme="majorHAnsi" w:hAnsiTheme="majorHAnsi" w:cstheme="majorHAnsi"/>
        </w:rPr>
        <w:t>ies</w:t>
      </w:r>
      <w:r w:rsidRPr="00A970EB">
        <w:rPr>
          <w:rFonts w:asciiTheme="majorHAnsi" w:hAnsiTheme="majorHAnsi" w:cstheme="majorHAnsi"/>
        </w:rPr>
        <w:t xml:space="preserve"> as Aboriginal or Torres Strait Islander</w:t>
      </w:r>
      <w:r>
        <w:rPr>
          <w:rFonts w:asciiTheme="majorHAnsi" w:hAnsiTheme="majorHAnsi" w:cstheme="majorHAnsi"/>
        </w:rPr>
        <w:t>’ should be added to the restriction</w:t>
      </w:r>
      <w:r w:rsidR="006A624C">
        <w:rPr>
          <w:rFonts w:asciiTheme="majorHAnsi" w:hAnsiTheme="majorHAnsi" w:cstheme="majorHAnsi"/>
        </w:rPr>
        <w:t xml:space="preserve">, and that the note regarding use of the maximally tolerated dose of metformin or a </w:t>
      </w:r>
      <w:r w:rsidR="006751F9">
        <w:rPr>
          <w:rFonts w:asciiTheme="majorHAnsi" w:hAnsiTheme="majorHAnsi" w:cstheme="majorHAnsi"/>
        </w:rPr>
        <w:t xml:space="preserve">SU </w:t>
      </w:r>
      <w:r w:rsidR="006A624C">
        <w:rPr>
          <w:rFonts w:asciiTheme="majorHAnsi" w:hAnsiTheme="majorHAnsi" w:cstheme="majorHAnsi"/>
        </w:rPr>
        <w:t>should be removed.</w:t>
      </w:r>
    </w:p>
    <w:p w14:paraId="12A86F3A" w14:textId="54350549" w:rsidR="00783003" w:rsidRPr="000A6CD4" w:rsidRDefault="00783003" w:rsidP="00EF0C14">
      <w:pPr>
        <w:pStyle w:val="4Bodytextnumbered"/>
      </w:pPr>
      <w:r>
        <w:t xml:space="preserve">The PBAC agreed that the restriction should include a prescriber note with a definition of high CV risk and a reference to the </w:t>
      </w:r>
      <w:r w:rsidRPr="0059625A">
        <w:rPr>
          <w:rFonts w:ascii="Calibri" w:eastAsia="Calibri" w:hAnsi="Calibri" w:cs="Calibri"/>
        </w:rPr>
        <w:t>Australian Absolute Cardiovascular Disease Risk Calculator</w:t>
      </w:r>
      <w:r>
        <w:rPr>
          <w:rFonts w:ascii="Calibri" w:eastAsia="Calibri" w:hAnsi="Calibri" w:cs="Calibri"/>
        </w:rPr>
        <w:t>.</w:t>
      </w:r>
    </w:p>
    <w:p w14:paraId="111892AC" w14:textId="7C50DFE9" w:rsidR="000A6CD4" w:rsidRDefault="000A6CD4" w:rsidP="00EF0C14">
      <w:pPr>
        <w:pStyle w:val="4Bodytextnumbered"/>
      </w:pPr>
      <w:r>
        <w:t xml:space="preserve">The PBAC noted a comment from one sponsor that the restriction should include a requirement for patients to have a HbA1c &gt;6.5%, in addition to CVD or high CV risk, to initiate a SGLT2 inhibitor. The PBAC considered that this was unnecessary as a glycaemic </w:t>
      </w:r>
      <w:r w:rsidR="006744BE">
        <w:t>requirement</w:t>
      </w:r>
      <w:r>
        <w:t xml:space="preserve"> was not included in the inclusion/exclusion criteria for the</w:t>
      </w:r>
      <w:r w:rsidR="00F353DD">
        <w:t xml:space="preserve"> CER</w:t>
      </w:r>
      <w:r>
        <w:t>.</w:t>
      </w:r>
    </w:p>
    <w:p w14:paraId="3D722686" w14:textId="4C19BCF5" w:rsidR="00F56771" w:rsidRDefault="00F56771" w:rsidP="00EF0C14">
      <w:pPr>
        <w:pStyle w:val="4Bodytextnumbered"/>
      </w:pPr>
      <w:r>
        <w:t>The PBAC recommended that SGLT2 inhibitors be listed as add-on therapy to metformin for the treatment of T2DM patients with CVD, or high CV risk, if expenditure over the five years (2022-2026)</w:t>
      </w:r>
      <w:r w:rsidR="000A7A04">
        <w:t xml:space="preserve"> for </w:t>
      </w:r>
      <w:r w:rsidR="000A7A04" w:rsidRPr="00BD2648">
        <w:t>the current T2DM market</w:t>
      </w:r>
      <w:r w:rsidR="001D7213" w:rsidRPr="00BD2648">
        <w:t xml:space="preserve"> </w:t>
      </w:r>
      <w:r w:rsidR="000A7A04" w:rsidRPr="00BD2648">
        <w:t xml:space="preserve">and the proposed CVD/high CV risk population </w:t>
      </w:r>
      <w:r w:rsidRPr="00BD2648">
        <w:t xml:space="preserve">was limited to </w:t>
      </w:r>
      <w:r w:rsidR="000A7A04" w:rsidRPr="00BD2648">
        <w:t>$</w:t>
      </w:r>
      <w:r w:rsidRPr="00BD2648">
        <w:t>1.5 billion.</w:t>
      </w:r>
      <w:r w:rsidR="00916658" w:rsidRPr="00BD2648">
        <w:t xml:space="preserve"> </w:t>
      </w:r>
      <w:bookmarkStart w:id="6" w:name="_Hlk99023581"/>
      <w:r w:rsidR="00916658" w:rsidRPr="00BD2648">
        <w:t xml:space="preserve">The PBAC noted that based on the estimates in the </w:t>
      </w:r>
      <w:r w:rsidR="00974587">
        <w:t xml:space="preserve">report </w:t>
      </w:r>
      <w:r w:rsidR="00916658" w:rsidRPr="00BD2648">
        <w:t xml:space="preserve">Addendum this would equate to a price reduction </w:t>
      </w:r>
      <w:r w:rsidR="001D7213" w:rsidRPr="00BD2648">
        <w:t xml:space="preserve">in the order of </w:t>
      </w:r>
      <w:r w:rsidR="00916658" w:rsidRPr="00BD2648">
        <w:t>15%</w:t>
      </w:r>
      <w:r w:rsidR="00051274" w:rsidRPr="00BD2648">
        <w:t xml:space="preserve"> for</w:t>
      </w:r>
      <w:r w:rsidR="00051274">
        <w:t xml:space="preserve"> T2DM indications</w:t>
      </w:r>
      <w:r w:rsidR="00916658">
        <w:t>.</w:t>
      </w:r>
      <w:bookmarkEnd w:id="6"/>
    </w:p>
    <w:p w14:paraId="65AA4189" w14:textId="0ECDBE15" w:rsidR="00EF0C14" w:rsidRDefault="00095102" w:rsidP="00EF0C14">
      <w:pPr>
        <w:pStyle w:val="4Bodytextnumbered"/>
      </w:pPr>
      <w:r>
        <w:t xml:space="preserve">The PBAC noted </w:t>
      </w:r>
      <w:r w:rsidR="0059210A">
        <w:t xml:space="preserve">a </w:t>
      </w:r>
      <w:r>
        <w:t xml:space="preserve">sponsor comment that the </w:t>
      </w:r>
      <w:r w:rsidR="00974587">
        <w:t>CER</w:t>
      </w:r>
      <w:r>
        <w:t xml:space="preserve"> should have been undertaken as part of a post-market review</w:t>
      </w:r>
      <w:r w:rsidR="0020349A">
        <w:t xml:space="preserve"> (PMR) </w:t>
      </w:r>
      <w:r>
        <w:t xml:space="preserve">but </w:t>
      </w:r>
      <w:r w:rsidR="00916658">
        <w:t>considered</w:t>
      </w:r>
      <w:r>
        <w:t xml:space="preserve"> that there was precedence for changing restrictions and prices </w:t>
      </w:r>
      <w:r w:rsidR="00A20179">
        <w:t>based on</w:t>
      </w:r>
      <w:r>
        <w:t xml:space="preserve"> </w:t>
      </w:r>
      <w:r w:rsidR="00816A29">
        <w:t xml:space="preserve">specific </w:t>
      </w:r>
      <w:r>
        <w:t>background research</w:t>
      </w:r>
      <w:r w:rsidR="00816A29">
        <w:t>, and that a PMR had been conducted on diabetes medicines previously</w:t>
      </w:r>
      <w:r>
        <w:t>.</w:t>
      </w:r>
    </w:p>
    <w:p w14:paraId="2538AAEC" w14:textId="76860BB1" w:rsidR="00E67464" w:rsidRPr="0037386F" w:rsidRDefault="00E67464" w:rsidP="00EF0C14">
      <w:pPr>
        <w:pStyle w:val="4Bodytextnumbered"/>
      </w:pPr>
      <w:r>
        <w:t xml:space="preserve">The PBAC noted that there may be implications for the pricing of GLP-1 </w:t>
      </w:r>
      <w:r w:rsidR="00974587">
        <w:t xml:space="preserve">RAs </w:t>
      </w:r>
      <w:r>
        <w:t>and dipeptidyl peptidase-4 (DPP4) inhibitors if SGLT2 inhibitor prices are lowered</w:t>
      </w:r>
      <w:r w:rsidR="006744BE">
        <w:t>. The PBAC noted</w:t>
      </w:r>
      <w:r>
        <w:t xml:space="preserve"> that DPP4 inhibitors </w:t>
      </w:r>
      <w:r w:rsidR="006744BE">
        <w:t>have a similar</w:t>
      </w:r>
      <w:r w:rsidR="00816A29">
        <w:t xml:space="preserve"> PBS</w:t>
      </w:r>
      <w:r w:rsidR="006744BE">
        <w:t xml:space="preserve"> price to SGLT2 inhibitors but </w:t>
      </w:r>
      <w:r>
        <w:t>have no</w:t>
      </w:r>
      <w:r w:rsidR="00816A29">
        <w:t xml:space="preserve"> evidence of</w:t>
      </w:r>
      <w:r>
        <w:t xml:space="preserve"> specific CV benefits and similar effects on HbA1c to SGLT2 inhibitors.</w:t>
      </w:r>
    </w:p>
    <w:p w14:paraId="0550FB17" w14:textId="3216D155" w:rsidR="0020349A" w:rsidRPr="00974587" w:rsidRDefault="003245BB" w:rsidP="0020349A">
      <w:pPr>
        <w:pStyle w:val="4Bodytextnumbered"/>
        <w:rPr>
          <w:rFonts w:ascii="Calibri" w:hAnsi="Calibri" w:cs="Calibri"/>
          <w:b/>
          <w:bCs/>
          <w:color w:val="000000"/>
          <w:szCs w:val="24"/>
        </w:rPr>
      </w:pPr>
      <w:r>
        <w:t>The</w:t>
      </w:r>
      <w:r w:rsidR="0062396D">
        <w:t xml:space="preserve"> </w:t>
      </w:r>
      <w:r w:rsidR="0062396D" w:rsidRPr="003245BB">
        <w:t xml:space="preserve">PBAC noted an error </w:t>
      </w:r>
      <w:r>
        <w:t>in the totals in Table 8, Attachment D – Addendum to the CER, which was repeated in Table 4.27</w:t>
      </w:r>
      <w:r w:rsidR="00FA3556">
        <w:t xml:space="preserve">, </w:t>
      </w:r>
      <w:r>
        <w:t xml:space="preserve">Attachment F – Section 4 – Financial. The total estimated cost </w:t>
      </w:r>
      <w:r w:rsidR="00974587">
        <w:t>to</w:t>
      </w:r>
      <w:r w:rsidR="0059210A">
        <w:t xml:space="preserve"> </w:t>
      </w:r>
      <w:r>
        <w:t xml:space="preserve">the PBS from 2022-2026 for the current SGLT2 inhibitor market for T2DM </w:t>
      </w:r>
      <w:r w:rsidR="00FA3556">
        <w:t>is</w:t>
      </w:r>
      <w:r>
        <w:t xml:space="preserve"> </w:t>
      </w:r>
      <w:r w:rsidRPr="003245BB">
        <w:t>$1,087,850,068</w:t>
      </w:r>
      <w:r>
        <w:t>.</w:t>
      </w:r>
      <w:r w:rsidR="0020349A">
        <w:rPr>
          <w:rFonts w:ascii="Calibri" w:hAnsi="Calibri" w:cs="Calibri"/>
          <w:b/>
          <w:bCs/>
          <w:color w:val="000000"/>
          <w:sz w:val="22"/>
        </w:rPr>
        <w:t xml:space="preserve"> </w:t>
      </w:r>
      <w:r w:rsidR="0020349A" w:rsidRPr="00974587">
        <w:rPr>
          <w:rFonts w:ascii="Calibri" w:hAnsi="Calibri" w:cs="Calibri"/>
          <w:color w:val="000000"/>
          <w:szCs w:val="24"/>
        </w:rPr>
        <w:t>The PBAC also noted an error in</w:t>
      </w:r>
      <w:r w:rsidR="0020349A" w:rsidRPr="00974587">
        <w:rPr>
          <w:rFonts w:ascii="Calibri" w:hAnsi="Calibri" w:cs="Calibri"/>
          <w:b/>
          <w:bCs/>
          <w:color w:val="000000"/>
          <w:szCs w:val="24"/>
        </w:rPr>
        <w:t xml:space="preserve"> </w:t>
      </w:r>
      <w:r w:rsidR="00973B3F" w:rsidRPr="00974587">
        <w:rPr>
          <w:rFonts w:ascii="Calibri" w:hAnsi="Calibri" w:cs="Calibri"/>
          <w:color w:val="000000"/>
          <w:szCs w:val="24"/>
        </w:rPr>
        <w:t>Table 11,</w:t>
      </w:r>
      <w:r w:rsidR="00973B3F" w:rsidRPr="00974587">
        <w:rPr>
          <w:rFonts w:ascii="Calibri" w:hAnsi="Calibri" w:cs="Calibri"/>
          <w:b/>
          <w:bCs/>
          <w:color w:val="000000"/>
          <w:szCs w:val="24"/>
        </w:rPr>
        <w:t xml:space="preserve"> </w:t>
      </w:r>
      <w:r w:rsidR="00973B3F" w:rsidRPr="00974587">
        <w:rPr>
          <w:szCs w:val="24"/>
        </w:rPr>
        <w:t xml:space="preserve">Attachment D – Addendum to the CER, which was repeated in </w:t>
      </w:r>
      <w:r w:rsidR="0020349A" w:rsidRPr="00974587">
        <w:rPr>
          <w:szCs w:val="24"/>
        </w:rPr>
        <w:t>Table 4.30, Attachment F – Section 4 – Financial</w:t>
      </w:r>
      <w:r w:rsidR="00EE33F7" w:rsidRPr="00974587">
        <w:rPr>
          <w:szCs w:val="24"/>
        </w:rPr>
        <w:t xml:space="preserve">. The total estimated cost </w:t>
      </w:r>
      <w:r w:rsidR="00974587">
        <w:rPr>
          <w:szCs w:val="24"/>
        </w:rPr>
        <w:t>to</w:t>
      </w:r>
      <w:r w:rsidR="0059210A" w:rsidRPr="00974587">
        <w:rPr>
          <w:szCs w:val="24"/>
        </w:rPr>
        <w:t xml:space="preserve"> </w:t>
      </w:r>
      <w:r w:rsidR="00EE33F7" w:rsidRPr="00974587">
        <w:rPr>
          <w:szCs w:val="24"/>
        </w:rPr>
        <w:t>the PBS from 2022-2026 for the current SGLT2 inhibitor market for T2DM at a 50% price reduction is $444,674,825.</w:t>
      </w:r>
    </w:p>
    <w:p w14:paraId="4140EEDB" w14:textId="5915D54B" w:rsidR="003E2898" w:rsidRPr="00B40956" w:rsidRDefault="0052379C" w:rsidP="00B40956">
      <w:pPr>
        <w:pStyle w:val="3Bodytext"/>
        <w:rPr>
          <w:b/>
          <w:bCs/>
        </w:rPr>
      </w:pPr>
      <w:r w:rsidRPr="00B40956">
        <w:rPr>
          <w:b/>
          <w:bCs/>
        </w:rPr>
        <w:t>Outcome</w:t>
      </w:r>
      <w:r w:rsidR="00B40956" w:rsidRPr="00B40956">
        <w:rPr>
          <w:b/>
          <w:bCs/>
        </w:rPr>
        <w:t>:</w:t>
      </w:r>
    </w:p>
    <w:p w14:paraId="537545A3" w14:textId="482523E7" w:rsidR="0052379C" w:rsidRDefault="0052379C" w:rsidP="0052379C">
      <w:pPr>
        <w:pStyle w:val="4Bodytext"/>
      </w:pPr>
      <w:r>
        <w:t>Recommended</w:t>
      </w:r>
    </w:p>
    <w:p w14:paraId="603128F8" w14:textId="4AE9F7AA" w:rsidR="00942EC0" w:rsidRPr="00B40956" w:rsidRDefault="00942EC0" w:rsidP="006502F0">
      <w:pPr>
        <w:pStyle w:val="3Bodytext"/>
        <w:ind w:left="0" w:firstLine="0"/>
      </w:pPr>
      <w:r>
        <w:rPr>
          <w:b/>
          <w:bCs/>
        </w:rPr>
        <w:br w:type="page"/>
      </w:r>
    </w:p>
    <w:p w14:paraId="74A0CACB" w14:textId="765D034B" w:rsidR="009E3B07" w:rsidRPr="00CB73BD" w:rsidRDefault="009E3B07" w:rsidP="009E3B07">
      <w:pPr>
        <w:pStyle w:val="2-SectionHeading"/>
        <w:numPr>
          <w:ilvl w:val="0"/>
          <w:numId w:val="1"/>
        </w:numPr>
      </w:pPr>
      <w:r>
        <w:rPr>
          <w:bCs/>
        </w:rPr>
        <w:t>Recommended listings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993"/>
        <w:gridCol w:w="850"/>
        <w:gridCol w:w="851"/>
        <w:gridCol w:w="708"/>
        <w:gridCol w:w="1559"/>
      </w:tblGrid>
      <w:tr w:rsidR="006502F0" w:rsidRPr="00CD0476" w14:paraId="65B7F6B3" w14:textId="77777777" w:rsidTr="006502F0">
        <w:trPr>
          <w:cantSplit/>
          <w:trHeight w:val="471"/>
        </w:trPr>
        <w:tc>
          <w:tcPr>
            <w:tcW w:w="3964" w:type="dxa"/>
            <w:tcBorders>
              <w:top w:val="single" w:sz="4" w:space="0" w:color="auto"/>
              <w:left w:val="single" w:sz="4" w:space="0" w:color="auto"/>
              <w:bottom w:val="single" w:sz="4" w:space="0" w:color="auto"/>
              <w:right w:val="single" w:sz="4" w:space="0" w:color="auto"/>
            </w:tcBorders>
            <w:hideMark/>
          </w:tcPr>
          <w:p w14:paraId="1589D75B" w14:textId="77777777" w:rsidR="006502F0" w:rsidRPr="00CD0476" w:rsidRDefault="006502F0">
            <w:pPr>
              <w:keepNext/>
              <w:ind w:left="-108"/>
              <w:jc w:val="both"/>
              <w:rPr>
                <w:rFonts w:ascii="Arial Narrow" w:hAnsi="Arial Narrow" w:cs="Arial"/>
                <w:b/>
                <w:sz w:val="20"/>
                <w:szCs w:val="20"/>
              </w:rPr>
            </w:pPr>
            <w:bookmarkStart w:id="7" w:name="_Hlk99722476"/>
            <w:r w:rsidRPr="00CD0476">
              <w:rPr>
                <w:rFonts w:ascii="Arial Narrow" w:hAnsi="Arial Narrow" w:cs="Arial"/>
                <w:b/>
                <w:sz w:val="20"/>
                <w:szCs w:val="20"/>
              </w:rPr>
              <w:t>Name, Restriction,</w:t>
            </w:r>
          </w:p>
          <w:p w14:paraId="64178A09" w14:textId="77777777" w:rsidR="006502F0" w:rsidRPr="00CD0476" w:rsidRDefault="006502F0">
            <w:pPr>
              <w:keepNext/>
              <w:ind w:left="-108"/>
              <w:jc w:val="both"/>
              <w:rPr>
                <w:rFonts w:ascii="Arial Narrow" w:hAnsi="Arial Narrow" w:cs="Arial"/>
                <w:b/>
                <w:sz w:val="20"/>
                <w:szCs w:val="20"/>
              </w:rPr>
            </w:pPr>
            <w:r w:rsidRPr="00CD0476">
              <w:rPr>
                <w:rFonts w:ascii="Arial Narrow" w:hAnsi="Arial Narrow" w:cs="Arial"/>
                <w:b/>
                <w:sz w:val="20"/>
                <w:szCs w:val="20"/>
              </w:rPr>
              <w:t>Manner of administration and form</w:t>
            </w:r>
          </w:p>
        </w:tc>
        <w:tc>
          <w:tcPr>
            <w:tcW w:w="993" w:type="dxa"/>
            <w:tcBorders>
              <w:top w:val="single" w:sz="4" w:space="0" w:color="auto"/>
              <w:left w:val="single" w:sz="4" w:space="0" w:color="auto"/>
              <w:bottom w:val="single" w:sz="4" w:space="0" w:color="auto"/>
              <w:right w:val="single" w:sz="4" w:space="0" w:color="auto"/>
            </w:tcBorders>
            <w:hideMark/>
          </w:tcPr>
          <w:p w14:paraId="76175C26" w14:textId="77777777" w:rsidR="006502F0" w:rsidRPr="00CD0476" w:rsidRDefault="006502F0">
            <w:pPr>
              <w:keepNext/>
              <w:ind w:left="-108"/>
              <w:jc w:val="center"/>
              <w:rPr>
                <w:rFonts w:ascii="Arial Narrow" w:hAnsi="Arial Narrow" w:cs="Arial"/>
                <w:b/>
                <w:sz w:val="20"/>
                <w:szCs w:val="20"/>
              </w:rPr>
            </w:pPr>
            <w:r w:rsidRPr="00CD0476">
              <w:rPr>
                <w:rFonts w:ascii="Arial Narrow" w:hAnsi="Arial Narrow" w:cs="Arial"/>
                <w:b/>
                <w:sz w:val="20"/>
                <w:szCs w:val="20"/>
              </w:rPr>
              <w:t>PBS item code</w:t>
            </w:r>
          </w:p>
        </w:tc>
        <w:tc>
          <w:tcPr>
            <w:tcW w:w="850" w:type="dxa"/>
            <w:tcBorders>
              <w:top w:val="single" w:sz="4" w:space="0" w:color="auto"/>
              <w:left w:val="single" w:sz="4" w:space="0" w:color="auto"/>
              <w:bottom w:val="single" w:sz="4" w:space="0" w:color="auto"/>
              <w:right w:val="single" w:sz="4" w:space="0" w:color="auto"/>
            </w:tcBorders>
            <w:hideMark/>
          </w:tcPr>
          <w:p w14:paraId="793718AF" w14:textId="77777777" w:rsidR="006502F0" w:rsidRPr="00CD0476" w:rsidRDefault="006502F0">
            <w:pPr>
              <w:keepNext/>
              <w:ind w:left="-108"/>
              <w:jc w:val="center"/>
              <w:rPr>
                <w:rFonts w:ascii="Arial Narrow" w:hAnsi="Arial Narrow" w:cs="Arial"/>
                <w:b/>
                <w:sz w:val="20"/>
                <w:szCs w:val="20"/>
              </w:rPr>
            </w:pPr>
            <w:r w:rsidRPr="00CD0476">
              <w:rPr>
                <w:rFonts w:ascii="Arial Narrow" w:hAnsi="Arial Narrow" w:cs="Arial"/>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hideMark/>
          </w:tcPr>
          <w:p w14:paraId="51BAED94" w14:textId="77777777" w:rsidR="006502F0" w:rsidRPr="00CD0476" w:rsidRDefault="006502F0">
            <w:pPr>
              <w:keepNext/>
              <w:ind w:left="-108"/>
              <w:jc w:val="center"/>
              <w:rPr>
                <w:rFonts w:ascii="Arial Narrow" w:hAnsi="Arial Narrow" w:cs="Arial"/>
                <w:b/>
                <w:sz w:val="20"/>
                <w:szCs w:val="20"/>
              </w:rPr>
            </w:pPr>
            <w:r w:rsidRPr="00CD0476">
              <w:rPr>
                <w:rFonts w:ascii="Arial Narrow" w:hAnsi="Arial Narrow" w:cs="Arial"/>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hideMark/>
          </w:tcPr>
          <w:p w14:paraId="0B393849" w14:textId="77777777" w:rsidR="006502F0" w:rsidRPr="00CD0476" w:rsidRDefault="006502F0">
            <w:pPr>
              <w:keepNext/>
              <w:ind w:left="-108"/>
              <w:jc w:val="center"/>
              <w:rPr>
                <w:rFonts w:ascii="Arial Narrow" w:hAnsi="Arial Narrow" w:cs="Arial"/>
                <w:b/>
                <w:sz w:val="20"/>
                <w:szCs w:val="20"/>
              </w:rPr>
            </w:pPr>
            <w:r w:rsidRPr="00CD0476">
              <w:rPr>
                <w:rFonts w:ascii="Arial Narrow" w:hAnsi="Arial Narrow" w:cs="Arial"/>
                <w:b/>
                <w:sz w:val="20"/>
                <w:szCs w:val="20"/>
              </w:rPr>
              <w:t>№.of</w:t>
            </w:r>
          </w:p>
          <w:p w14:paraId="2D31031D" w14:textId="77777777" w:rsidR="006502F0" w:rsidRPr="00CD0476" w:rsidRDefault="006502F0">
            <w:pPr>
              <w:keepNext/>
              <w:ind w:left="-108"/>
              <w:jc w:val="center"/>
              <w:rPr>
                <w:rFonts w:ascii="Arial Narrow" w:hAnsi="Arial Narrow" w:cs="Arial"/>
                <w:b/>
                <w:sz w:val="20"/>
                <w:szCs w:val="20"/>
              </w:rPr>
            </w:pPr>
            <w:r w:rsidRPr="00CD0476">
              <w:rPr>
                <w:rFonts w:ascii="Arial Narrow" w:hAnsi="Arial Narrow" w:cs="Arial"/>
                <w:b/>
                <w:sz w:val="20"/>
                <w:szCs w:val="20"/>
              </w:rPr>
              <w:t>Rpts</w:t>
            </w:r>
          </w:p>
        </w:tc>
        <w:tc>
          <w:tcPr>
            <w:tcW w:w="1559" w:type="dxa"/>
            <w:tcBorders>
              <w:top w:val="single" w:sz="4" w:space="0" w:color="auto"/>
              <w:left w:val="single" w:sz="4" w:space="0" w:color="auto"/>
              <w:bottom w:val="single" w:sz="4" w:space="0" w:color="auto"/>
              <w:right w:val="single" w:sz="4" w:space="0" w:color="auto"/>
            </w:tcBorders>
            <w:hideMark/>
          </w:tcPr>
          <w:p w14:paraId="4C514B06" w14:textId="77777777" w:rsidR="006502F0" w:rsidRPr="00CD0476" w:rsidRDefault="006502F0">
            <w:pPr>
              <w:keepNext/>
              <w:rPr>
                <w:rFonts w:ascii="Arial Narrow" w:hAnsi="Arial Narrow" w:cs="Arial"/>
                <w:b/>
                <w:sz w:val="20"/>
                <w:szCs w:val="20"/>
                <w:lang w:val="fr-FR"/>
              </w:rPr>
            </w:pPr>
            <w:r w:rsidRPr="00CD0476">
              <w:rPr>
                <w:rFonts w:ascii="Arial Narrow" w:hAnsi="Arial Narrow" w:cs="Arial"/>
                <w:b/>
                <w:sz w:val="20"/>
                <w:szCs w:val="20"/>
              </w:rPr>
              <w:t>Available brands</w:t>
            </w:r>
          </w:p>
        </w:tc>
      </w:tr>
      <w:tr w:rsidR="006502F0" w:rsidRPr="00CD0476" w14:paraId="65084DE8" w14:textId="77777777" w:rsidTr="006502F0">
        <w:trPr>
          <w:cantSplit/>
          <w:trHeight w:val="761"/>
        </w:trPr>
        <w:tc>
          <w:tcPr>
            <w:tcW w:w="3964" w:type="dxa"/>
            <w:tcBorders>
              <w:top w:val="single" w:sz="4" w:space="0" w:color="auto"/>
              <w:left w:val="single" w:sz="4" w:space="0" w:color="auto"/>
              <w:bottom w:val="single" w:sz="4" w:space="0" w:color="auto"/>
              <w:right w:val="single" w:sz="4" w:space="0" w:color="auto"/>
            </w:tcBorders>
          </w:tcPr>
          <w:p w14:paraId="5D8022D8" w14:textId="77777777" w:rsidR="006502F0" w:rsidRPr="00CD0476" w:rsidRDefault="006502F0">
            <w:pPr>
              <w:keepNext/>
              <w:ind w:left="-108"/>
              <w:rPr>
                <w:rFonts w:ascii="Arial Narrow" w:hAnsi="Arial Narrow" w:cs="Arial"/>
                <w:sz w:val="20"/>
                <w:szCs w:val="20"/>
              </w:rPr>
            </w:pPr>
            <w:r w:rsidRPr="00CD0476">
              <w:rPr>
                <w:rFonts w:ascii="Arial Narrow" w:hAnsi="Arial Narrow" w:cs="Arial"/>
                <w:sz w:val="20"/>
                <w:szCs w:val="20"/>
              </w:rPr>
              <w:t>DAPAGLIFLOZIN</w:t>
            </w:r>
          </w:p>
          <w:p w14:paraId="17C58EF0" w14:textId="77777777" w:rsidR="006502F0" w:rsidRPr="00CD0476" w:rsidRDefault="006502F0">
            <w:pPr>
              <w:keepNext/>
              <w:ind w:left="-108"/>
              <w:jc w:val="both"/>
              <w:rPr>
                <w:rFonts w:ascii="Arial Narrow" w:hAnsi="Arial Narrow" w:cs="Arial"/>
                <w:sz w:val="20"/>
                <w:szCs w:val="20"/>
              </w:rPr>
            </w:pPr>
          </w:p>
          <w:p w14:paraId="11095832" w14:textId="77777777" w:rsidR="006502F0" w:rsidRPr="00CD0476" w:rsidRDefault="006502F0" w:rsidP="00A26A73">
            <w:pPr>
              <w:keepNext/>
              <w:ind w:left="-108"/>
              <w:jc w:val="both"/>
              <w:rPr>
                <w:rFonts w:ascii="Arial Narrow" w:hAnsi="Arial Narrow" w:cs="Arial"/>
                <w:sz w:val="20"/>
                <w:szCs w:val="20"/>
              </w:rPr>
            </w:pPr>
            <w:r w:rsidRPr="00CD0476">
              <w:rPr>
                <w:rFonts w:ascii="Arial Narrow" w:hAnsi="Arial Narrow" w:cs="Arial"/>
                <w:sz w:val="20"/>
                <w:szCs w:val="20"/>
              </w:rPr>
              <w:t>dapagliflozin 10 mg tablet, 28</w:t>
            </w:r>
          </w:p>
        </w:tc>
        <w:tc>
          <w:tcPr>
            <w:tcW w:w="993" w:type="dxa"/>
            <w:tcBorders>
              <w:top w:val="single" w:sz="4" w:space="0" w:color="auto"/>
              <w:left w:val="single" w:sz="4" w:space="0" w:color="auto"/>
              <w:bottom w:val="single" w:sz="4" w:space="0" w:color="auto"/>
              <w:right w:val="single" w:sz="4" w:space="0" w:color="auto"/>
            </w:tcBorders>
          </w:tcPr>
          <w:p w14:paraId="2E8922D3" w14:textId="77777777" w:rsidR="006502F0" w:rsidRPr="00CD0476" w:rsidRDefault="006502F0" w:rsidP="008F04C0">
            <w:pPr>
              <w:keepNext/>
              <w:ind w:left="-108"/>
              <w:jc w:val="center"/>
              <w:rPr>
                <w:rFonts w:ascii="Arial Narrow" w:hAnsi="Arial Narrow" w:cs="Arial"/>
                <w:sz w:val="20"/>
                <w:szCs w:val="20"/>
              </w:rPr>
            </w:pPr>
          </w:p>
          <w:p w14:paraId="5E09B604" w14:textId="77777777" w:rsidR="006502F0" w:rsidRPr="00CD0476" w:rsidRDefault="006502F0" w:rsidP="008F04C0">
            <w:pPr>
              <w:keepNext/>
              <w:jc w:val="center"/>
              <w:rPr>
                <w:rFonts w:ascii="Arial Narrow" w:hAnsi="Arial Narrow" w:cs="Arial"/>
                <w:sz w:val="20"/>
                <w:szCs w:val="20"/>
              </w:rPr>
            </w:pPr>
          </w:p>
          <w:p w14:paraId="3D6EA95A" w14:textId="02FB7FD9" w:rsidR="006502F0" w:rsidRPr="00CD0476" w:rsidRDefault="008F04C0" w:rsidP="008F04C0">
            <w:pPr>
              <w:keepNext/>
              <w:jc w:val="center"/>
              <w:rPr>
                <w:rFonts w:ascii="Arial Narrow" w:hAnsi="Arial Narrow" w:cs="Arial"/>
                <w:sz w:val="20"/>
                <w:szCs w:val="20"/>
              </w:rPr>
            </w:pPr>
            <w:r w:rsidRPr="00CD0476">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5963BB02" w14:textId="77777777" w:rsidR="006502F0" w:rsidRPr="00CD0476" w:rsidRDefault="006502F0">
            <w:pPr>
              <w:keepNext/>
              <w:jc w:val="center"/>
              <w:rPr>
                <w:rFonts w:ascii="Arial Narrow" w:hAnsi="Arial Narrow" w:cs="Arial"/>
                <w:sz w:val="20"/>
                <w:szCs w:val="20"/>
              </w:rPr>
            </w:pPr>
          </w:p>
          <w:p w14:paraId="620A2958" w14:textId="77777777" w:rsidR="006502F0" w:rsidRPr="00CD0476" w:rsidRDefault="006502F0">
            <w:pPr>
              <w:keepNext/>
              <w:rPr>
                <w:rFonts w:ascii="Arial Narrow" w:hAnsi="Arial Narrow" w:cs="Arial"/>
                <w:sz w:val="20"/>
                <w:szCs w:val="20"/>
              </w:rPr>
            </w:pPr>
          </w:p>
          <w:p w14:paraId="3AE10B35" w14:textId="77777777" w:rsidR="006502F0" w:rsidRPr="00CD0476" w:rsidRDefault="006502F0">
            <w:pPr>
              <w:keepNext/>
              <w:jc w:val="center"/>
              <w:rPr>
                <w:rFonts w:ascii="Arial Narrow" w:hAnsi="Arial Narrow" w:cs="Arial"/>
                <w:sz w:val="20"/>
                <w:szCs w:val="20"/>
              </w:rPr>
            </w:pPr>
            <w:r w:rsidRPr="00CD0476">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677BBDB" w14:textId="77777777" w:rsidR="006502F0" w:rsidRPr="00CD0476" w:rsidRDefault="006502F0">
            <w:pPr>
              <w:keepNext/>
              <w:ind w:left="-108"/>
              <w:jc w:val="center"/>
              <w:rPr>
                <w:rFonts w:ascii="Arial Narrow" w:hAnsi="Arial Narrow" w:cs="Arial"/>
                <w:sz w:val="20"/>
                <w:szCs w:val="20"/>
              </w:rPr>
            </w:pPr>
          </w:p>
          <w:p w14:paraId="1A6EA4F7" w14:textId="77777777" w:rsidR="006502F0" w:rsidRPr="00CD0476" w:rsidRDefault="006502F0">
            <w:pPr>
              <w:keepNext/>
              <w:rPr>
                <w:rFonts w:ascii="Arial Narrow" w:hAnsi="Arial Narrow" w:cs="Arial"/>
                <w:sz w:val="20"/>
                <w:szCs w:val="20"/>
              </w:rPr>
            </w:pPr>
          </w:p>
          <w:p w14:paraId="21BB5A7E" w14:textId="77777777" w:rsidR="006502F0" w:rsidRPr="00CD0476" w:rsidRDefault="006502F0">
            <w:pPr>
              <w:keepNext/>
              <w:ind w:left="-108"/>
              <w:jc w:val="center"/>
              <w:rPr>
                <w:rFonts w:ascii="Arial Narrow" w:hAnsi="Arial Narrow" w:cs="Arial"/>
                <w:sz w:val="20"/>
                <w:szCs w:val="20"/>
              </w:rPr>
            </w:pPr>
            <w:r w:rsidRPr="00CD0476">
              <w:rPr>
                <w:rFonts w:ascii="Arial Narrow" w:hAnsi="Arial Narrow" w:cs="Arial"/>
                <w:sz w:val="20"/>
                <w:szCs w:val="20"/>
              </w:rPr>
              <w:t>28</w:t>
            </w:r>
          </w:p>
        </w:tc>
        <w:tc>
          <w:tcPr>
            <w:tcW w:w="708" w:type="dxa"/>
            <w:tcBorders>
              <w:top w:val="single" w:sz="4" w:space="0" w:color="auto"/>
              <w:left w:val="single" w:sz="4" w:space="0" w:color="auto"/>
              <w:bottom w:val="single" w:sz="4" w:space="0" w:color="auto"/>
              <w:right w:val="single" w:sz="4" w:space="0" w:color="auto"/>
            </w:tcBorders>
          </w:tcPr>
          <w:p w14:paraId="2B8B678B" w14:textId="77777777" w:rsidR="006502F0" w:rsidRPr="00CD0476" w:rsidRDefault="006502F0">
            <w:pPr>
              <w:keepNext/>
              <w:ind w:left="-108"/>
              <w:jc w:val="center"/>
              <w:rPr>
                <w:rFonts w:ascii="Arial Narrow" w:hAnsi="Arial Narrow" w:cs="Arial"/>
                <w:sz w:val="20"/>
                <w:szCs w:val="20"/>
              </w:rPr>
            </w:pPr>
          </w:p>
          <w:p w14:paraId="1E101C2F" w14:textId="77777777" w:rsidR="006502F0" w:rsidRPr="00CD0476" w:rsidRDefault="006502F0">
            <w:pPr>
              <w:keepNext/>
              <w:rPr>
                <w:rFonts w:ascii="Arial Narrow" w:hAnsi="Arial Narrow" w:cs="Arial"/>
                <w:sz w:val="20"/>
                <w:szCs w:val="20"/>
              </w:rPr>
            </w:pPr>
          </w:p>
          <w:p w14:paraId="6B1604FF" w14:textId="77777777" w:rsidR="006502F0" w:rsidRPr="00CD0476" w:rsidRDefault="006502F0">
            <w:pPr>
              <w:keepNext/>
              <w:ind w:left="-108"/>
              <w:jc w:val="center"/>
              <w:rPr>
                <w:rFonts w:ascii="Arial Narrow" w:hAnsi="Arial Narrow" w:cs="Arial"/>
                <w:sz w:val="20"/>
                <w:szCs w:val="20"/>
              </w:rPr>
            </w:pPr>
            <w:r w:rsidRPr="00CD0476">
              <w:rPr>
                <w:rFonts w:ascii="Arial Narrow" w:hAnsi="Arial Narrow" w:cs="Arial"/>
                <w:sz w:val="20"/>
                <w:szCs w:val="20"/>
              </w:rPr>
              <w:t>5</w:t>
            </w:r>
          </w:p>
          <w:p w14:paraId="46CAA73E" w14:textId="77777777" w:rsidR="006502F0" w:rsidRPr="00CD0476" w:rsidRDefault="006502F0">
            <w:pPr>
              <w:keepNext/>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7ED20F" w14:textId="77777777" w:rsidR="006502F0" w:rsidRPr="00CD0476" w:rsidRDefault="006502F0">
            <w:pPr>
              <w:keepNext/>
              <w:jc w:val="both"/>
              <w:rPr>
                <w:rFonts w:ascii="Arial Narrow" w:hAnsi="Arial Narrow" w:cs="Arial"/>
                <w:sz w:val="20"/>
                <w:szCs w:val="20"/>
              </w:rPr>
            </w:pPr>
          </w:p>
          <w:p w14:paraId="074D6FCE" w14:textId="77777777" w:rsidR="006502F0" w:rsidRPr="00CD0476" w:rsidRDefault="006502F0">
            <w:pPr>
              <w:keepNext/>
              <w:jc w:val="both"/>
              <w:rPr>
                <w:rFonts w:ascii="Arial Narrow" w:hAnsi="Arial Narrow" w:cs="Arial"/>
                <w:sz w:val="20"/>
                <w:szCs w:val="20"/>
              </w:rPr>
            </w:pPr>
          </w:p>
          <w:p w14:paraId="2A0A37B8" w14:textId="791F9B37" w:rsidR="006502F0" w:rsidRPr="00CD0476" w:rsidRDefault="006502F0" w:rsidP="00F6075D">
            <w:pPr>
              <w:keepNext/>
              <w:jc w:val="both"/>
              <w:rPr>
                <w:rFonts w:ascii="Arial Narrow" w:hAnsi="Arial Narrow" w:cs="Arial"/>
                <w:sz w:val="20"/>
                <w:szCs w:val="20"/>
              </w:rPr>
            </w:pPr>
            <w:r w:rsidRPr="00CD0476">
              <w:rPr>
                <w:rFonts w:ascii="Arial Narrow" w:hAnsi="Arial Narrow" w:cs="Arial"/>
                <w:sz w:val="20"/>
                <w:szCs w:val="20"/>
              </w:rPr>
              <w:t>Forxiga</w:t>
            </w:r>
          </w:p>
        </w:tc>
      </w:tr>
      <w:tr w:rsidR="006502F0" w:rsidRPr="00CD0476" w14:paraId="1658068B" w14:textId="77777777" w:rsidTr="006502F0">
        <w:trPr>
          <w:cantSplit/>
          <w:trHeight w:val="761"/>
        </w:trPr>
        <w:tc>
          <w:tcPr>
            <w:tcW w:w="3964" w:type="dxa"/>
            <w:tcBorders>
              <w:top w:val="single" w:sz="4" w:space="0" w:color="auto"/>
              <w:left w:val="single" w:sz="4" w:space="0" w:color="auto"/>
              <w:bottom w:val="single" w:sz="4" w:space="0" w:color="auto"/>
              <w:right w:val="single" w:sz="4" w:space="0" w:color="auto"/>
            </w:tcBorders>
          </w:tcPr>
          <w:p w14:paraId="0AA1A2BD" w14:textId="77777777" w:rsidR="006502F0" w:rsidRPr="00CD0476" w:rsidRDefault="006502F0">
            <w:pPr>
              <w:keepNext/>
              <w:ind w:left="-108"/>
              <w:rPr>
                <w:rFonts w:ascii="Arial Narrow" w:hAnsi="Arial Narrow" w:cs="Arial"/>
                <w:sz w:val="20"/>
                <w:szCs w:val="20"/>
              </w:rPr>
            </w:pPr>
            <w:r w:rsidRPr="00CD0476">
              <w:rPr>
                <w:rFonts w:ascii="Arial Narrow" w:hAnsi="Arial Narrow" w:cs="Arial"/>
                <w:sz w:val="20"/>
                <w:szCs w:val="20"/>
              </w:rPr>
              <w:t>EMPAGLIFLOZIN</w:t>
            </w:r>
          </w:p>
          <w:p w14:paraId="75ECDDE3" w14:textId="77777777" w:rsidR="006502F0" w:rsidRPr="00CD0476" w:rsidRDefault="006502F0">
            <w:pPr>
              <w:keepNext/>
              <w:ind w:left="-108"/>
              <w:jc w:val="both"/>
              <w:rPr>
                <w:rFonts w:ascii="Arial Narrow" w:hAnsi="Arial Narrow" w:cs="Arial"/>
                <w:sz w:val="20"/>
                <w:szCs w:val="20"/>
              </w:rPr>
            </w:pPr>
          </w:p>
          <w:p w14:paraId="1B093445" w14:textId="77777777" w:rsidR="006502F0" w:rsidRPr="00CD0476" w:rsidRDefault="006502F0">
            <w:pPr>
              <w:keepNext/>
              <w:ind w:left="-108"/>
              <w:jc w:val="both"/>
              <w:rPr>
                <w:rFonts w:ascii="Arial Narrow" w:hAnsi="Arial Narrow" w:cs="Arial"/>
                <w:sz w:val="20"/>
                <w:szCs w:val="20"/>
              </w:rPr>
            </w:pPr>
            <w:r w:rsidRPr="00CD0476">
              <w:rPr>
                <w:rFonts w:ascii="Arial Narrow" w:hAnsi="Arial Narrow" w:cs="Arial"/>
                <w:sz w:val="20"/>
                <w:szCs w:val="20"/>
              </w:rPr>
              <w:t>empagliflozin 10 mg tablet, 30</w:t>
            </w:r>
          </w:p>
        </w:tc>
        <w:tc>
          <w:tcPr>
            <w:tcW w:w="993" w:type="dxa"/>
            <w:tcBorders>
              <w:top w:val="single" w:sz="4" w:space="0" w:color="auto"/>
              <w:left w:val="single" w:sz="4" w:space="0" w:color="auto"/>
              <w:bottom w:val="single" w:sz="4" w:space="0" w:color="auto"/>
              <w:right w:val="single" w:sz="4" w:space="0" w:color="auto"/>
            </w:tcBorders>
          </w:tcPr>
          <w:p w14:paraId="4B26F6A2" w14:textId="77777777" w:rsidR="006502F0" w:rsidRPr="00CD0476" w:rsidRDefault="006502F0" w:rsidP="008F04C0">
            <w:pPr>
              <w:keepNext/>
              <w:ind w:left="-108"/>
              <w:jc w:val="center"/>
              <w:rPr>
                <w:rFonts w:ascii="Arial Narrow" w:hAnsi="Arial Narrow" w:cs="Arial"/>
                <w:sz w:val="20"/>
                <w:szCs w:val="20"/>
              </w:rPr>
            </w:pPr>
          </w:p>
          <w:p w14:paraId="30D08E34" w14:textId="77777777" w:rsidR="006502F0" w:rsidRPr="00CD0476" w:rsidRDefault="006502F0" w:rsidP="008F04C0">
            <w:pPr>
              <w:keepNext/>
              <w:jc w:val="center"/>
              <w:rPr>
                <w:rFonts w:ascii="Arial Narrow" w:hAnsi="Arial Narrow" w:cs="Arial"/>
                <w:sz w:val="20"/>
                <w:szCs w:val="20"/>
              </w:rPr>
            </w:pPr>
          </w:p>
          <w:p w14:paraId="0FD1D708" w14:textId="38230BEF" w:rsidR="006502F0" w:rsidRPr="00CD0476" w:rsidRDefault="008F04C0" w:rsidP="008F04C0">
            <w:pPr>
              <w:keepNext/>
              <w:jc w:val="center"/>
              <w:rPr>
                <w:rFonts w:ascii="Arial Narrow" w:hAnsi="Arial Narrow" w:cs="Arial"/>
                <w:sz w:val="20"/>
                <w:szCs w:val="20"/>
              </w:rPr>
            </w:pPr>
            <w:r w:rsidRPr="00CD0476">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00331997" w14:textId="77777777" w:rsidR="006502F0" w:rsidRPr="00CD0476" w:rsidRDefault="006502F0">
            <w:pPr>
              <w:keepNext/>
              <w:jc w:val="center"/>
              <w:rPr>
                <w:rFonts w:ascii="Arial Narrow" w:hAnsi="Arial Narrow" w:cs="Arial"/>
                <w:sz w:val="20"/>
                <w:szCs w:val="20"/>
              </w:rPr>
            </w:pPr>
          </w:p>
          <w:p w14:paraId="43695480" w14:textId="77777777" w:rsidR="006502F0" w:rsidRPr="00CD0476" w:rsidRDefault="006502F0">
            <w:pPr>
              <w:keepNext/>
              <w:rPr>
                <w:rFonts w:ascii="Arial Narrow" w:hAnsi="Arial Narrow" w:cs="Arial"/>
                <w:sz w:val="20"/>
                <w:szCs w:val="20"/>
              </w:rPr>
            </w:pPr>
          </w:p>
          <w:p w14:paraId="3ADB9781" w14:textId="77777777" w:rsidR="006502F0" w:rsidRPr="00CD0476" w:rsidRDefault="006502F0">
            <w:pPr>
              <w:keepNext/>
              <w:jc w:val="center"/>
              <w:rPr>
                <w:rFonts w:ascii="Arial Narrow" w:hAnsi="Arial Narrow" w:cs="Arial"/>
                <w:sz w:val="20"/>
                <w:szCs w:val="20"/>
              </w:rPr>
            </w:pPr>
            <w:r w:rsidRPr="00CD0476">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5501266" w14:textId="77777777" w:rsidR="006502F0" w:rsidRPr="00CD0476" w:rsidRDefault="006502F0">
            <w:pPr>
              <w:keepNext/>
              <w:ind w:left="-108"/>
              <w:jc w:val="center"/>
              <w:rPr>
                <w:rFonts w:ascii="Arial Narrow" w:hAnsi="Arial Narrow" w:cs="Arial"/>
                <w:sz w:val="20"/>
                <w:szCs w:val="20"/>
              </w:rPr>
            </w:pPr>
          </w:p>
          <w:p w14:paraId="3BDE8110" w14:textId="77777777" w:rsidR="006502F0" w:rsidRPr="00CD0476" w:rsidRDefault="006502F0">
            <w:pPr>
              <w:keepNext/>
              <w:rPr>
                <w:rFonts w:ascii="Arial Narrow" w:hAnsi="Arial Narrow" w:cs="Arial"/>
                <w:sz w:val="20"/>
                <w:szCs w:val="20"/>
              </w:rPr>
            </w:pPr>
          </w:p>
          <w:p w14:paraId="620A0A84" w14:textId="77777777" w:rsidR="006502F0" w:rsidRPr="00CD0476" w:rsidRDefault="006502F0">
            <w:pPr>
              <w:keepNext/>
              <w:ind w:left="-108"/>
              <w:jc w:val="center"/>
              <w:rPr>
                <w:rFonts w:ascii="Arial Narrow" w:hAnsi="Arial Narrow" w:cs="Arial"/>
                <w:sz w:val="20"/>
                <w:szCs w:val="20"/>
              </w:rPr>
            </w:pPr>
            <w:r w:rsidRPr="00CD0476">
              <w:rPr>
                <w:rFonts w:ascii="Arial Narrow" w:hAnsi="Arial Narrow"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364263A3" w14:textId="77777777" w:rsidR="006502F0" w:rsidRPr="00CD0476" w:rsidRDefault="006502F0">
            <w:pPr>
              <w:keepNext/>
              <w:ind w:left="-108"/>
              <w:jc w:val="center"/>
              <w:rPr>
                <w:rFonts w:ascii="Arial Narrow" w:hAnsi="Arial Narrow" w:cs="Arial"/>
                <w:sz w:val="20"/>
                <w:szCs w:val="20"/>
              </w:rPr>
            </w:pPr>
          </w:p>
          <w:p w14:paraId="2BF53D75" w14:textId="77777777" w:rsidR="006502F0" w:rsidRPr="00CD0476" w:rsidRDefault="006502F0">
            <w:pPr>
              <w:keepNext/>
              <w:rPr>
                <w:rFonts w:ascii="Arial Narrow" w:hAnsi="Arial Narrow" w:cs="Arial"/>
                <w:sz w:val="20"/>
                <w:szCs w:val="20"/>
              </w:rPr>
            </w:pPr>
          </w:p>
          <w:p w14:paraId="7A4371CA" w14:textId="77777777" w:rsidR="006502F0" w:rsidRPr="00CD0476" w:rsidRDefault="006502F0">
            <w:pPr>
              <w:keepNext/>
              <w:ind w:left="-108"/>
              <w:jc w:val="center"/>
              <w:rPr>
                <w:rFonts w:ascii="Arial Narrow" w:hAnsi="Arial Narrow" w:cs="Arial"/>
                <w:sz w:val="20"/>
                <w:szCs w:val="20"/>
              </w:rPr>
            </w:pPr>
            <w:r w:rsidRPr="00CD0476">
              <w:rPr>
                <w:rFonts w:ascii="Arial Narrow" w:hAnsi="Arial Narrow" w:cs="Arial"/>
                <w:sz w:val="20"/>
                <w:szCs w:val="20"/>
              </w:rPr>
              <w:t>5</w:t>
            </w:r>
          </w:p>
          <w:p w14:paraId="08714CBF" w14:textId="77777777" w:rsidR="006502F0" w:rsidRPr="00CD0476" w:rsidRDefault="006502F0">
            <w:pPr>
              <w:keepNext/>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99E053" w14:textId="77777777" w:rsidR="006502F0" w:rsidRPr="00CD0476" w:rsidRDefault="006502F0">
            <w:pPr>
              <w:keepNext/>
              <w:jc w:val="both"/>
              <w:rPr>
                <w:rFonts w:ascii="Arial Narrow" w:hAnsi="Arial Narrow" w:cs="Arial"/>
                <w:sz w:val="20"/>
                <w:szCs w:val="20"/>
              </w:rPr>
            </w:pPr>
          </w:p>
          <w:p w14:paraId="133FBF0D" w14:textId="77777777" w:rsidR="006502F0" w:rsidRPr="00CD0476" w:rsidRDefault="006502F0">
            <w:pPr>
              <w:keepNext/>
              <w:jc w:val="both"/>
              <w:rPr>
                <w:rFonts w:ascii="Arial Narrow" w:hAnsi="Arial Narrow" w:cs="Arial"/>
                <w:sz w:val="20"/>
                <w:szCs w:val="20"/>
              </w:rPr>
            </w:pPr>
          </w:p>
          <w:p w14:paraId="491DC694" w14:textId="7DCE9463" w:rsidR="006502F0" w:rsidRPr="00CD0476" w:rsidRDefault="006502F0" w:rsidP="00F6075D">
            <w:pPr>
              <w:keepNext/>
              <w:jc w:val="both"/>
              <w:rPr>
                <w:rFonts w:ascii="Arial Narrow" w:hAnsi="Arial Narrow" w:cs="Arial"/>
                <w:sz w:val="20"/>
                <w:szCs w:val="20"/>
              </w:rPr>
            </w:pPr>
            <w:r w:rsidRPr="00CD0476">
              <w:rPr>
                <w:rFonts w:ascii="Arial Narrow" w:hAnsi="Arial Narrow" w:cs="Arial"/>
                <w:sz w:val="20"/>
                <w:szCs w:val="20"/>
              </w:rPr>
              <w:t>Jardiance</w:t>
            </w:r>
          </w:p>
        </w:tc>
      </w:tr>
      <w:tr w:rsidR="006502F0" w:rsidRPr="00CD0476" w14:paraId="623E4851" w14:textId="77777777" w:rsidTr="00F6075D">
        <w:trPr>
          <w:cantSplit/>
          <w:trHeight w:val="676"/>
        </w:trPr>
        <w:tc>
          <w:tcPr>
            <w:tcW w:w="3964" w:type="dxa"/>
            <w:tcBorders>
              <w:top w:val="single" w:sz="4" w:space="0" w:color="auto"/>
              <w:left w:val="single" w:sz="4" w:space="0" w:color="auto"/>
              <w:bottom w:val="single" w:sz="4" w:space="0" w:color="auto"/>
              <w:right w:val="single" w:sz="4" w:space="0" w:color="auto"/>
            </w:tcBorders>
          </w:tcPr>
          <w:p w14:paraId="49FFAFC1" w14:textId="77777777" w:rsidR="006502F0" w:rsidRPr="00CD0476" w:rsidRDefault="006502F0">
            <w:pPr>
              <w:keepNext/>
              <w:ind w:left="-108"/>
              <w:rPr>
                <w:rFonts w:ascii="Arial Narrow" w:hAnsi="Arial Narrow" w:cs="Arial"/>
                <w:sz w:val="20"/>
                <w:szCs w:val="20"/>
              </w:rPr>
            </w:pPr>
            <w:r w:rsidRPr="00CD0476">
              <w:rPr>
                <w:rFonts w:ascii="Arial Narrow" w:hAnsi="Arial Narrow" w:cs="Arial"/>
                <w:sz w:val="20"/>
                <w:szCs w:val="20"/>
              </w:rPr>
              <w:t>EMPAGLIFLOZIN</w:t>
            </w:r>
          </w:p>
          <w:p w14:paraId="71064DDC" w14:textId="77777777" w:rsidR="006502F0" w:rsidRPr="00CD0476" w:rsidRDefault="006502F0">
            <w:pPr>
              <w:keepNext/>
              <w:ind w:left="-108"/>
              <w:jc w:val="both"/>
              <w:rPr>
                <w:rFonts w:ascii="Arial Narrow" w:hAnsi="Arial Narrow" w:cs="Arial"/>
                <w:sz w:val="20"/>
                <w:szCs w:val="20"/>
              </w:rPr>
            </w:pPr>
          </w:p>
          <w:p w14:paraId="19E5ED75" w14:textId="77777777" w:rsidR="006502F0" w:rsidRPr="00CD0476" w:rsidRDefault="006502F0">
            <w:pPr>
              <w:keepNext/>
              <w:ind w:left="-108"/>
              <w:rPr>
                <w:rFonts w:ascii="Arial Narrow" w:hAnsi="Arial Narrow" w:cs="Arial"/>
                <w:sz w:val="20"/>
                <w:szCs w:val="20"/>
              </w:rPr>
            </w:pPr>
            <w:r w:rsidRPr="00CD0476">
              <w:rPr>
                <w:rFonts w:ascii="Arial Narrow" w:hAnsi="Arial Narrow" w:cs="Arial"/>
                <w:sz w:val="20"/>
                <w:szCs w:val="20"/>
              </w:rPr>
              <w:t>empagliflozin 25 mg tablet, 30</w:t>
            </w:r>
          </w:p>
        </w:tc>
        <w:tc>
          <w:tcPr>
            <w:tcW w:w="993" w:type="dxa"/>
            <w:tcBorders>
              <w:top w:val="single" w:sz="4" w:space="0" w:color="auto"/>
              <w:left w:val="single" w:sz="4" w:space="0" w:color="auto"/>
              <w:bottom w:val="single" w:sz="4" w:space="0" w:color="auto"/>
              <w:right w:val="single" w:sz="4" w:space="0" w:color="auto"/>
            </w:tcBorders>
          </w:tcPr>
          <w:p w14:paraId="24D350C9" w14:textId="77777777" w:rsidR="006502F0" w:rsidRPr="00CD0476" w:rsidRDefault="006502F0" w:rsidP="008F04C0">
            <w:pPr>
              <w:keepNext/>
              <w:ind w:left="-108"/>
              <w:jc w:val="center"/>
              <w:rPr>
                <w:rFonts w:ascii="Arial Narrow" w:hAnsi="Arial Narrow" w:cs="Arial"/>
                <w:sz w:val="20"/>
                <w:szCs w:val="20"/>
              </w:rPr>
            </w:pPr>
          </w:p>
          <w:p w14:paraId="3EE17126" w14:textId="7A1AE733" w:rsidR="006502F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69BE8FF3" w14:textId="77777777" w:rsidR="006502F0" w:rsidRPr="00CD0476" w:rsidRDefault="006502F0">
            <w:pPr>
              <w:keepNext/>
              <w:jc w:val="center"/>
              <w:rPr>
                <w:rFonts w:ascii="Arial Narrow" w:hAnsi="Arial Narrow" w:cs="Arial"/>
                <w:sz w:val="20"/>
                <w:szCs w:val="20"/>
              </w:rPr>
            </w:pPr>
          </w:p>
          <w:p w14:paraId="4EA5529D" w14:textId="77777777" w:rsidR="006502F0" w:rsidRPr="00CD0476" w:rsidRDefault="006502F0">
            <w:pPr>
              <w:keepNext/>
              <w:rPr>
                <w:rFonts w:ascii="Arial Narrow" w:hAnsi="Arial Narrow" w:cs="Arial"/>
                <w:sz w:val="20"/>
                <w:szCs w:val="20"/>
              </w:rPr>
            </w:pPr>
          </w:p>
          <w:p w14:paraId="375F3C1C" w14:textId="77777777" w:rsidR="006502F0" w:rsidRPr="00CD0476" w:rsidRDefault="006502F0">
            <w:pPr>
              <w:keepNext/>
              <w:jc w:val="center"/>
              <w:rPr>
                <w:rFonts w:ascii="Arial Narrow" w:hAnsi="Arial Narrow" w:cs="Arial"/>
                <w:sz w:val="20"/>
                <w:szCs w:val="20"/>
              </w:rPr>
            </w:pPr>
            <w:r w:rsidRPr="00CD0476">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5B91C74D" w14:textId="77777777" w:rsidR="006502F0" w:rsidRPr="00CD0476" w:rsidRDefault="006502F0">
            <w:pPr>
              <w:keepNext/>
              <w:ind w:left="-108"/>
              <w:jc w:val="center"/>
              <w:rPr>
                <w:rFonts w:ascii="Arial Narrow" w:hAnsi="Arial Narrow" w:cs="Arial"/>
                <w:sz w:val="20"/>
                <w:szCs w:val="20"/>
              </w:rPr>
            </w:pPr>
          </w:p>
          <w:p w14:paraId="0297B99B" w14:textId="77777777" w:rsidR="006502F0" w:rsidRPr="00CD0476" w:rsidRDefault="006502F0">
            <w:pPr>
              <w:keepNext/>
              <w:rPr>
                <w:rFonts w:ascii="Arial Narrow" w:hAnsi="Arial Narrow" w:cs="Arial"/>
                <w:sz w:val="20"/>
                <w:szCs w:val="20"/>
              </w:rPr>
            </w:pPr>
          </w:p>
          <w:p w14:paraId="11B8209D" w14:textId="77777777" w:rsidR="006502F0" w:rsidRPr="00CD0476" w:rsidRDefault="006502F0">
            <w:pPr>
              <w:keepNext/>
              <w:ind w:left="-108"/>
              <w:jc w:val="center"/>
              <w:rPr>
                <w:rFonts w:ascii="Arial Narrow" w:hAnsi="Arial Narrow" w:cs="Arial"/>
                <w:sz w:val="20"/>
                <w:szCs w:val="20"/>
              </w:rPr>
            </w:pPr>
            <w:r w:rsidRPr="00CD0476">
              <w:rPr>
                <w:rFonts w:ascii="Arial Narrow" w:hAnsi="Arial Narrow"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5FC7EE71" w14:textId="77777777" w:rsidR="006502F0" w:rsidRPr="00CD0476" w:rsidRDefault="006502F0">
            <w:pPr>
              <w:keepNext/>
              <w:ind w:left="-108"/>
              <w:jc w:val="center"/>
              <w:rPr>
                <w:rFonts w:ascii="Arial Narrow" w:hAnsi="Arial Narrow" w:cs="Arial"/>
                <w:sz w:val="20"/>
                <w:szCs w:val="20"/>
              </w:rPr>
            </w:pPr>
          </w:p>
          <w:p w14:paraId="141359DE" w14:textId="77777777" w:rsidR="006502F0" w:rsidRPr="00CD0476" w:rsidRDefault="006502F0">
            <w:pPr>
              <w:keepNext/>
              <w:rPr>
                <w:rFonts w:ascii="Arial Narrow" w:hAnsi="Arial Narrow" w:cs="Arial"/>
                <w:sz w:val="20"/>
                <w:szCs w:val="20"/>
              </w:rPr>
            </w:pPr>
          </w:p>
          <w:p w14:paraId="456B53F1" w14:textId="77777777" w:rsidR="006502F0" w:rsidRPr="00CD0476" w:rsidRDefault="006502F0">
            <w:pPr>
              <w:keepNext/>
              <w:ind w:left="-108"/>
              <w:jc w:val="center"/>
              <w:rPr>
                <w:rFonts w:ascii="Arial Narrow" w:hAnsi="Arial Narrow" w:cs="Arial"/>
                <w:sz w:val="20"/>
                <w:szCs w:val="20"/>
              </w:rPr>
            </w:pPr>
            <w:r w:rsidRPr="00CD0476">
              <w:rPr>
                <w:rFonts w:ascii="Arial Narrow" w:hAnsi="Arial Narrow" w:cs="Arial"/>
                <w:sz w:val="20"/>
                <w:szCs w:val="20"/>
              </w:rPr>
              <w:t>5</w:t>
            </w:r>
          </w:p>
          <w:p w14:paraId="41802A87" w14:textId="77777777" w:rsidR="006502F0" w:rsidRPr="00CD0476" w:rsidRDefault="006502F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CEC5F0C" w14:textId="77777777" w:rsidR="006502F0" w:rsidRPr="00CD0476" w:rsidRDefault="006502F0">
            <w:pPr>
              <w:keepNext/>
              <w:jc w:val="both"/>
              <w:rPr>
                <w:rFonts w:ascii="Arial Narrow" w:hAnsi="Arial Narrow" w:cs="Arial"/>
                <w:sz w:val="20"/>
                <w:szCs w:val="20"/>
              </w:rPr>
            </w:pPr>
          </w:p>
          <w:p w14:paraId="43073FAD" w14:textId="77777777" w:rsidR="006502F0" w:rsidRPr="00CD0476" w:rsidRDefault="006502F0">
            <w:pPr>
              <w:keepNext/>
              <w:jc w:val="both"/>
              <w:rPr>
                <w:rFonts w:ascii="Arial Narrow" w:hAnsi="Arial Narrow" w:cs="Arial"/>
                <w:sz w:val="20"/>
                <w:szCs w:val="20"/>
              </w:rPr>
            </w:pPr>
          </w:p>
          <w:p w14:paraId="367283FD" w14:textId="538704C3" w:rsidR="006502F0" w:rsidRPr="00CD0476" w:rsidRDefault="006502F0" w:rsidP="00F6075D">
            <w:pPr>
              <w:keepNext/>
              <w:jc w:val="both"/>
              <w:rPr>
                <w:rFonts w:ascii="Arial Narrow" w:hAnsi="Arial Narrow" w:cs="Arial"/>
                <w:sz w:val="20"/>
                <w:szCs w:val="20"/>
              </w:rPr>
            </w:pPr>
            <w:r w:rsidRPr="00CD0476">
              <w:rPr>
                <w:rFonts w:ascii="Arial Narrow" w:hAnsi="Arial Narrow" w:cs="Arial"/>
                <w:sz w:val="20"/>
                <w:szCs w:val="20"/>
              </w:rPr>
              <w:t>Jardiance</w:t>
            </w:r>
          </w:p>
        </w:tc>
      </w:tr>
    </w:tbl>
    <w:p w14:paraId="0A69293D" w14:textId="77777777" w:rsidR="006502F0" w:rsidRPr="00CD0476" w:rsidRDefault="006502F0" w:rsidP="006502F0">
      <w:pPr>
        <w:rPr>
          <w:rFonts w:ascii="Arial Narrow" w:hAnsi="Arial Narrow"/>
          <w:sz w:val="20"/>
          <w:szCs w:val="20"/>
        </w:rPr>
      </w:pPr>
    </w:p>
    <w:p w14:paraId="7F5FCC84" w14:textId="77777777" w:rsidR="006502F0" w:rsidRPr="00CD0476" w:rsidRDefault="006502F0" w:rsidP="006502F0">
      <w:pPr>
        <w:rPr>
          <w:rFonts w:ascii="Arial Narrow" w:hAnsi="Arial Narrow"/>
          <w:b/>
          <w:sz w:val="20"/>
          <w:szCs w:val="20"/>
          <w:lang w:val="en-GB"/>
        </w:rPr>
      </w:pPr>
      <w:r w:rsidRPr="00CD0476">
        <w:rPr>
          <w:rFonts w:ascii="Arial Narrow" w:hAnsi="Arial Narrow"/>
          <w:b/>
          <w:sz w:val="20"/>
          <w:szCs w:val="20"/>
          <w:lang w:val="en-GB"/>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035"/>
      </w:tblGrid>
      <w:tr w:rsidR="006502F0" w:rsidRPr="00CD0476" w14:paraId="7069E63C" w14:textId="77777777" w:rsidTr="006502F0">
        <w:tc>
          <w:tcPr>
            <w:tcW w:w="54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35EF79" w14:textId="77777777" w:rsidR="006502F0" w:rsidRPr="00CD0476" w:rsidRDefault="006502F0">
            <w:pPr>
              <w:jc w:val="center"/>
              <w:rPr>
                <w:rFonts w:ascii="Arial Narrow" w:hAnsi="Arial Narrow" w:cs="Arial"/>
                <w:b/>
                <w:sz w:val="20"/>
                <w:szCs w:val="20"/>
              </w:rPr>
            </w:pPr>
            <w:r w:rsidRPr="00CD0476">
              <w:rPr>
                <w:rFonts w:ascii="Arial Narrow" w:hAnsi="Arial Narrow" w:cs="Arial"/>
                <w:b/>
                <w:sz w:val="20"/>
                <w:szCs w:val="20"/>
              </w:rPr>
              <w:t>Concept ID</w:t>
            </w:r>
          </w:p>
          <w:p w14:paraId="4530B0D3" w14:textId="77777777" w:rsidR="006502F0" w:rsidRPr="00CD0476" w:rsidRDefault="006502F0">
            <w:pPr>
              <w:jc w:val="both"/>
              <w:rPr>
                <w:rFonts w:ascii="Arial Narrow" w:hAnsi="Arial Narrow" w:cs="Arial"/>
                <w:i/>
                <w:sz w:val="20"/>
                <w:szCs w:val="20"/>
              </w:rPr>
            </w:pPr>
          </w:p>
          <w:p w14:paraId="44939384" w14:textId="5D3BA071" w:rsidR="006502F0" w:rsidRPr="00CD0476" w:rsidRDefault="006502F0" w:rsidP="00F6075D">
            <w:pPr>
              <w:jc w:val="center"/>
              <w:rPr>
                <w:rFonts w:ascii="Arial Narrow" w:hAnsi="Arial Narrow" w:cs="Arial"/>
                <w:i/>
                <w:sz w:val="20"/>
                <w:szCs w:val="20"/>
              </w:rPr>
            </w:pPr>
            <w:r w:rsidRPr="00CD0476">
              <w:rPr>
                <w:rFonts w:ascii="Arial Narrow" w:hAnsi="Arial Narrow" w:cs="Arial"/>
                <w:sz w:val="20"/>
                <w:szCs w:val="20"/>
              </w:rPr>
              <w:t>(for internal Dept. use)</w:t>
            </w:r>
          </w:p>
          <w:p w14:paraId="6C8F172D" w14:textId="77777777" w:rsidR="006502F0" w:rsidRPr="00CD0476" w:rsidRDefault="006502F0">
            <w:pPr>
              <w:jc w:val="both"/>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790C96" w14:textId="77777777" w:rsidR="006502F0" w:rsidRPr="00CD0476" w:rsidRDefault="006502F0">
            <w:pPr>
              <w:jc w:val="both"/>
              <w:rPr>
                <w:rFonts w:ascii="Arial Narrow" w:hAnsi="Arial Narrow" w:cs="Arial"/>
                <w:sz w:val="20"/>
                <w:szCs w:val="20"/>
              </w:rPr>
            </w:pPr>
            <w:r w:rsidRPr="00CD0476">
              <w:rPr>
                <w:rFonts w:ascii="Arial Narrow" w:hAnsi="Arial Narrow" w:cs="Arial"/>
                <w:b/>
                <w:sz w:val="20"/>
                <w:szCs w:val="20"/>
              </w:rPr>
              <w:t xml:space="preserve">Category / Program:   </w:t>
            </w:r>
          </w:p>
          <w:p w14:paraId="66E4BE6A" w14:textId="77777777" w:rsidR="006502F0" w:rsidRPr="00CD0476" w:rsidRDefault="006502F0">
            <w:pPr>
              <w:jc w:val="both"/>
              <w:rPr>
                <w:rFonts w:ascii="Arial Narrow" w:hAnsi="Arial Narrow" w:cs="Arial"/>
                <w:sz w:val="20"/>
                <w:szCs w:val="20"/>
              </w:rPr>
            </w:pPr>
            <w:r w:rsidRPr="00CD0476">
              <w:rPr>
                <w:rFonts w:ascii="Arial Narrow" w:hAnsi="Arial Narrow" w:cs="Arial"/>
                <w:sz w:val="20"/>
                <w:szCs w:val="20"/>
              </w:rPr>
              <w:t xml:space="preserve">GENERAL – General Schedule (Code GE) </w:t>
            </w:r>
          </w:p>
        </w:tc>
      </w:tr>
      <w:tr w:rsidR="006502F0" w:rsidRPr="00CD0476" w14:paraId="2F3B8056" w14:textId="77777777" w:rsidTr="006502F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2840F" w14:textId="77777777" w:rsidR="006502F0" w:rsidRPr="00CD0476" w:rsidRDefault="006502F0">
            <w:pPr>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80FB75" w14:textId="77777777" w:rsidR="006502F0" w:rsidRPr="00CD0476" w:rsidRDefault="006502F0">
            <w:pPr>
              <w:jc w:val="both"/>
              <w:rPr>
                <w:rFonts w:ascii="Arial Narrow" w:hAnsi="Arial Narrow" w:cs="Arial"/>
                <w:b/>
                <w:sz w:val="20"/>
                <w:szCs w:val="20"/>
              </w:rPr>
            </w:pPr>
            <w:r w:rsidRPr="00CD0476">
              <w:rPr>
                <w:rFonts w:ascii="Arial Narrow" w:hAnsi="Arial Narrow" w:cs="Arial"/>
                <w:b/>
                <w:sz w:val="20"/>
                <w:szCs w:val="20"/>
              </w:rPr>
              <w:t xml:space="preserve">Prescriber type:   </w:t>
            </w:r>
            <w:r w:rsidRPr="00CD0476">
              <w:rPr>
                <w:rFonts w:ascii="Arial Narrow" w:hAnsi="Arial Narrow" w:cs="Arial"/>
                <w:sz w:val="20"/>
                <w:szCs w:val="20"/>
              </w:rPr>
              <w:fldChar w:fldCharType="begin">
                <w:ffData>
                  <w:name w:val="Check1"/>
                  <w:enabled/>
                  <w:calcOnExit w:val="0"/>
                  <w:checkBox>
                    <w:sizeAuto/>
                    <w:default w:val="0"/>
                  </w:checkBox>
                </w:ffData>
              </w:fldChar>
            </w:r>
            <w:r w:rsidRPr="00CD0476">
              <w:rPr>
                <w:rFonts w:ascii="Arial Narrow" w:hAnsi="Arial Narrow" w:cs="Arial"/>
                <w:sz w:val="20"/>
                <w:szCs w:val="20"/>
              </w:rPr>
              <w:instrText xml:space="preserve"> FORMCHECKBOX </w:instrText>
            </w:r>
            <w:r w:rsidR="008033A2">
              <w:rPr>
                <w:rFonts w:ascii="Arial Narrow" w:hAnsi="Arial Narrow" w:cs="Arial"/>
                <w:sz w:val="20"/>
                <w:szCs w:val="20"/>
              </w:rPr>
            </w:r>
            <w:r w:rsidR="008033A2">
              <w:rPr>
                <w:rFonts w:ascii="Arial Narrow" w:hAnsi="Arial Narrow" w:cs="Arial"/>
                <w:sz w:val="20"/>
                <w:szCs w:val="20"/>
              </w:rPr>
              <w:fldChar w:fldCharType="separate"/>
            </w:r>
            <w:r w:rsidRPr="00CD0476">
              <w:rPr>
                <w:rFonts w:ascii="Arial Narrow" w:hAnsi="Arial Narrow" w:cs="Arial"/>
                <w:sz w:val="20"/>
                <w:szCs w:val="20"/>
              </w:rPr>
              <w:fldChar w:fldCharType="end"/>
            </w:r>
            <w:r w:rsidRPr="00CD0476">
              <w:rPr>
                <w:rFonts w:ascii="Arial Narrow" w:hAnsi="Arial Narrow" w:cs="Arial"/>
                <w:sz w:val="20"/>
                <w:szCs w:val="20"/>
              </w:rPr>
              <w:t xml:space="preserve">Dental    </w:t>
            </w:r>
            <w:r w:rsidRPr="00CD0476">
              <w:rPr>
                <w:rFonts w:ascii="Arial Narrow" w:hAnsi="Arial Narrow" w:cs="Arial"/>
                <w:sz w:val="20"/>
                <w:szCs w:val="20"/>
              </w:rPr>
              <w:fldChar w:fldCharType="begin">
                <w:ffData>
                  <w:name w:val=""/>
                  <w:enabled/>
                  <w:calcOnExit w:val="0"/>
                  <w:checkBox>
                    <w:sizeAuto/>
                    <w:default w:val="1"/>
                  </w:checkBox>
                </w:ffData>
              </w:fldChar>
            </w:r>
            <w:r w:rsidRPr="00CD0476">
              <w:rPr>
                <w:rFonts w:ascii="Arial Narrow" w:hAnsi="Arial Narrow" w:cs="Arial"/>
                <w:sz w:val="20"/>
                <w:szCs w:val="20"/>
              </w:rPr>
              <w:instrText xml:space="preserve"> FORMCHECKBOX </w:instrText>
            </w:r>
            <w:r w:rsidR="008033A2">
              <w:rPr>
                <w:rFonts w:ascii="Arial Narrow" w:hAnsi="Arial Narrow" w:cs="Arial"/>
                <w:sz w:val="20"/>
                <w:szCs w:val="20"/>
              </w:rPr>
            </w:r>
            <w:r w:rsidR="008033A2">
              <w:rPr>
                <w:rFonts w:ascii="Arial Narrow" w:hAnsi="Arial Narrow" w:cs="Arial"/>
                <w:sz w:val="20"/>
                <w:szCs w:val="20"/>
              </w:rPr>
              <w:fldChar w:fldCharType="separate"/>
            </w:r>
            <w:r w:rsidRPr="00CD0476">
              <w:rPr>
                <w:rFonts w:ascii="Arial Narrow" w:hAnsi="Arial Narrow" w:cs="Arial"/>
                <w:sz w:val="20"/>
                <w:szCs w:val="20"/>
              </w:rPr>
              <w:fldChar w:fldCharType="end"/>
            </w:r>
            <w:r w:rsidRPr="00CD0476">
              <w:rPr>
                <w:rFonts w:ascii="Arial Narrow" w:hAnsi="Arial Narrow" w:cs="Arial"/>
                <w:sz w:val="20"/>
                <w:szCs w:val="20"/>
              </w:rPr>
              <w:t xml:space="preserve">Medical Practitioners    </w:t>
            </w:r>
            <w:r w:rsidRPr="00CD0476">
              <w:rPr>
                <w:rFonts w:ascii="Arial Narrow" w:hAnsi="Arial Narrow" w:cs="Arial"/>
                <w:sz w:val="20"/>
                <w:szCs w:val="20"/>
              </w:rPr>
              <w:fldChar w:fldCharType="begin">
                <w:ffData>
                  <w:name w:val="Check3"/>
                  <w:enabled/>
                  <w:calcOnExit w:val="0"/>
                  <w:checkBox>
                    <w:sizeAuto/>
                    <w:default w:val="0"/>
                  </w:checkBox>
                </w:ffData>
              </w:fldChar>
            </w:r>
            <w:r w:rsidRPr="00CD0476">
              <w:rPr>
                <w:rFonts w:ascii="Arial Narrow" w:hAnsi="Arial Narrow" w:cs="Arial"/>
                <w:sz w:val="20"/>
                <w:szCs w:val="20"/>
              </w:rPr>
              <w:instrText xml:space="preserve"> FORMCHECKBOX </w:instrText>
            </w:r>
            <w:r w:rsidR="008033A2">
              <w:rPr>
                <w:rFonts w:ascii="Arial Narrow" w:hAnsi="Arial Narrow" w:cs="Arial"/>
                <w:sz w:val="20"/>
                <w:szCs w:val="20"/>
              </w:rPr>
            </w:r>
            <w:r w:rsidR="008033A2">
              <w:rPr>
                <w:rFonts w:ascii="Arial Narrow" w:hAnsi="Arial Narrow" w:cs="Arial"/>
                <w:sz w:val="20"/>
                <w:szCs w:val="20"/>
              </w:rPr>
              <w:fldChar w:fldCharType="separate"/>
            </w:r>
            <w:r w:rsidRPr="00CD0476">
              <w:rPr>
                <w:rFonts w:ascii="Arial Narrow" w:hAnsi="Arial Narrow" w:cs="Arial"/>
                <w:sz w:val="20"/>
                <w:szCs w:val="20"/>
              </w:rPr>
              <w:fldChar w:fldCharType="end"/>
            </w:r>
            <w:r w:rsidRPr="00CD0476">
              <w:rPr>
                <w:rFonts w:ascii="Arial Narrow" w:hAnsi="Arial Narrow" w:cs="Arial"/>
                <w:sz w:val="20"/>
                <w:szCs w:val="20"/>
              </w:rPr>
              <w:t xml:space="preserve">Nurse practitioners     </w:t>
            </w:r>
            <w:r w:rsidRPr="00CD0476">
              <w:rPr>
                <w:rFonts w:ascii="Arial Narrow" w:hAnsi="Arial Narrow" w:cs="Arial"/>
                <w:sz w:val="20"/>
                <w:szCs w:val="20"/>
              </w:rPr>
              <w:fldChar w:fldCharType="begin">
                <w:ffData>
                  <w:name w:val=""/>
                  <w:enabled/>
                  <w:calcOnExit w:val="0"/>
                  <w:checkBox>
                    <w:sizeAuto/>
                    <w:default w:val="0"/>
                  </w:checkBox>
                </w:ffData>
              </w:fldChar>
            </w:r>
            <w:r w:rsidRPr="00CD0476">
              <w:rPr>
                <w:rFonts w:ascii="Arial Narrow" w:hAnsi="Arial Narrow" w:cs="Arial"/>
                <w:sz w:val="20"/>
                <w:szCs w:val="20"/>
              </w:rPr>
              <w:instrText xml:space="preserve"> FORMCHECKBOX </w:instrText>
            </w:r>
            <w:r w:rsidR="008033A2">
              <w:rPr>
                <w:rFonts w:ascii="Arial Narrow" w:hAnsi="Arial Narrow" w:cs="Arial"/>
                <w:sz w:val="20"/>
                <w:szCs w:val="20"/>
              </w:rPr>
            </w:r>
            <w:r w:rsidR="008033A2">
              <w:rPr>
                <w:rFonts w:ascii="Arial Narrow" w:hAnsi="Arial Narrow" w:cs="Arial"/>
                <w:sz w:val="20"/>
                <w:szCs w:val="20"/>
              </w:rPr>
              <w:fldChar w:fldCharType="separate"/>
            </w:r>
            <w:r w:rsidRPr="00CD0476">
              <w:rPr>
                <w:rFonts w:ascii="Arial Narrow" w:hAnsi="Arial Narrow" w:cs="Arial"/>
                <w:sz w:val="20"/>
                <w:szCs w:val="20"/>
              </w:rPr>
              <w:fldChar w:fldCharType="end"/>
            </w:r>
            <w:r w:rsidRPr="00CD0476">
              <w:rPr>
                <w:rFonts w:ascii="Arial Narrow" w:hAnsi="Arial Narrow" w:cs="Arial"/>
                <w:sz w:val="20"/>
                <w:szCs w:val="20"/>
              </w:rPr>
              <w:t xml:space="preserve">Optometrists    </w:t>
            </w:r>
            <w:r w:rsidRPr="00CD0476">
              <w:rPr>
                <w:rFonts w:ascii="Arial Narrow" w:hAnsi="Arial Narrow" w:cs="Arial"/>
                <w:sz w:val="20"/>
                <w:szCs w:val="20"/>
              </w:rPr>
              <w:fldChar w:fldCharType="begin">
                <w:ffData>
                  <w:name w:val="Check5"/>
                  <w:enabled/>
                  <w:calcOnExit w:val="0"/>
                  <w:checkBox>
                    <w:sizeAuto/>
                    <w:default w:val="0"/>
                  </w:checkBox>
                </w:ffData>
              </w:fldChar>
            </w:r>
            <w:r w:rsidRPr="00CD0476">
              <w:rPr>
                <w:rFonts w:ascii="Arial Narrow" w:hAnsi="Arial Narrow" w:cs="Arial"/>
                <w:sz w:val="20"/>
                <w:szCs w:val="20"/>
              </w:rPr>
              <w:instrText xml:space="preserve"> FORMCHECKBOX </w:instrText>
            </w:r>
            <w:r w:rsidR="008033A2">
              <w:rPr>
                <w:rFonts w:ascii="Arial Narrow" w:hAnsi="Arial Narrow" w:cs="Arial"/>
                <w:sz w:val="20"/>
                <w:szCs w:val="20"/>
              </w:rPr>
            </w:r>
            <w:r w:rsidR="008033A2">
              <w:rPr>
                <w:rFonts w:ascii="Arial Narrow" w:hAnsi="Arial Narrow" w:cs="Arial"/>
                <w:sz w:val="20"/>
                <w:szCs w:val="20"/>
              </w:rPr>
              <w:fldChar w:fldCharType="separate"/>
            </w:r>
            <w:r w:rsidRPr="00CD0476">
              <w:rPr>
                <w:rFonts w:ascii="Arial Narrow" w:hAnsi="Arial Narrow" w:cs="Arial"/>
                <w:sz w:val="20"/>
                <w:szCs w:val="20"/>
              </w:rPr>
              <w:fldChar w:fldCharType="end"/>
            </w:r>
            <w:r w:rsidRPr="00CD0476">
              <w:rPr>
                <w:rFonts w:ascii="Arial Narrow" w:hAnsi="Arial Narrow" w:cs="Arial"/>
                <w:sz w:val="20"/>
                <w:szCs w:val="20"/>
              </w:rPr>
              <w:t>Midwives</w:t>
            </w:r>
          </w:p>
        </w:tc>
      </w:tr>
      <w:tr w:rsidR="006502F0" w:rsidRPr="00CD0476" w14:paraId="5DD166C7" w14:textId="77777777" w:rsidTr="006502F0">
        <w:tc>
          <w:tcPr>
            <w:tcW w:w="0" w:type="auto"/>
            <w:vMerge/>
            <w:tcBorders>
              <w:top w:val="single" w:sz="4" w:space="0" w:color="auto"/>
              <w:left w:val="single" w:sz="4" w:space="0" w:color="auto"/>
              <w:bottom w:val="single" w:sz="4" w:space="0" w:color="auto"/>
              <w:right w:val="single" w:sz="4" w:space="0" w:color="auto"/>
            </w:tcBorders>
            <w:vAlign w:val="center"/>
            <w:hideMark/>
          </w:tcPr>
          <w:p w14:paraId="18B72C00" w14:textId="77777777" w:rsidR="006502F0" w:rsidRPr="00CD0476" w:rsidRDefault="006502F0">
            <w:pPr>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C0B44A" w14:textId="3DA50703" w:rsidR="006502F0" w:rsidRPr="00CD0476" w:rsidRDefault="006502F0" w:rsidP="007543BE">
            <w:pPr>
              <w:jc w:val="both"/>
              <w:rPr>
                <w:rFonts w:ascii="Arial Narrow" w:eastAsia="Calibri" w:hAnsi="Arial Narrow" w:cs="Arial"/>
                <w:sz w:val="20"/>
                <w:szCs w:val="20"/>
              </w:rPr>
            </w:pPr>
            <w:r w:rsidRPr="00CD0476">
              <w:rPr>
                <w:rFonts w:ascii="Arial Narrow" w:hAnsi="Arial Narrow" w:cs="Arial"/>
                <w:b/>
                <w:sz w:val="20"/>
                <w:szCs w:val="20"/>
              </w:rPr>
              <w:t xml:space="preserve">Restriction Type </w:t>
            </w:r>
            <w:r w:rsidRPr="00CD0476">
              <w:rPr>
                <w:rFonts w:ascii="Arial Narrow" w:eastAsia="Calibri" w:hAnsi="Arial Narrow" w:cs="Arial"/>
                <w:sz w:val="20"/>
                <w:szCs w:val="20"/>
              </w:rPr>
              <w:fldChar w:fldCharType="begin">
                <w:ffData>
                  <w:name w:val=""/>
                  <w:enabled/>
                  <w:calcOnExit w:val="0"/>
                  <w:checkBox>
                    <w:sizeAuto/>
                    <w:default w:val="1"/>
                  </w:checkBox>
                </w:ffData>
              </w:fldChar>
            </w:r>
            <w:r w:rsidRPr="00CD0476">
              <w:rPr>
                <w:rFonts w:ascii="Arial Narrow" w:eastAsia="Calibri" w:hAnsi="Arial Narrow" w:cs="Arial"/>
                <w:sz w:val="20"/>
                <w:szCs w:val="20"/>
              </w:rPr>
              <w:instrText xml:space="preserve"> FORMCHECKBOX </w:instrText>
            </w:r>
            <w:r w:rsidR="008033A2">
              <w:rPr>
                <w:rFonts w:ascii="Arial Narrow" w:eastAsia="Calibri" w:hAnsi="Arial Narrow" w:cs="Arial"/>
                <w:sz w:val="20"/>
                <w:szCs w:val="20"/>
              </w:rPr>
            </w:r>
            <w:r w:rsidR="008033A2">
              <w:rPr>
                <w:rFonts w:ascii="Arial Narrow" w:eastAsia="Calibri" w:hAnsi="Arial Narrow" w:cs="Arial"/>
                <w:sz w:val="20"/>
                <w:szCs w:val="20"/>
              </w:rPr>
              <w:fldChar w:fldCharType="separate"/>
            </w:r>
            <w:r w:rsidRPr="00CD0476">
              <w:rPr>
                <w:rFonts w:ascii="Arial Narrow" w:eastAsia="Calibri" w:hAnsi="Arial Narrow" w:cs="Arial"/>
                <w:sz w:val="20"/>
                <w:szCs w:val="20"/>
              </w:rPr>
              <w:fldChar w:fldCharType="end"/>
            </w:r>
            <w:r w:rsidRPr="00CD0476">
              <w:rPr>
                <w:rFonts w:ascii="Arial Narrow" w:eastAsia="Calibri" w:hAnsi="Arial Narrow" w:cs="Arial"/>
                <w:sz w:val="20"/>
                <w:szCs w:val="20"/>
              </w:rPr>
              <w:t xml:space="preserve">Authority Required – Streamlined [new code] </w:t>
            </w:r>
          </w:p>
        </w:tc>
      </w:tr>
      <w:tr w:rsidR="006502F0" w:rsidRPr="00CD0476" w14:paraId="14A33BAB"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5FDEC5" w14:textId="2341A762" w:rsidR="006502F0" w:rsidRPr="00CD0476" w:rsidRDefault="00C66F17">
            <w:pPr>
              <w:jc w:val="center"/>
              <w:rPr>
                <w:rFonts w:ascii="Arial Narrow" w:hAnsi="Arial Narrow"/>
                <w:color w:val="333333"/>
                <w:sz w:val="20"/>
                <w:szCs w:val="20"/>
                <w:lang w:eastAsia="en-AU"/>
              </w:rPr>
            </w:pPr>
            <w:r w:rsidRPr="00CD0476">
              <w:rPr>
                <w:rFonts w:ascii="Arial Narrow" w:hAnsi="Arial Narrow"/>
                <w:color w:val="333333"/>
                <w:sz w:val="20"/>
                <w:szCs w:val="20"/>
                <w:lang w:eastAsia="en-AU"/>
              </w:rPr>
              <w:t>N</w:t>
            </w:r>
            <w:r w:rsidR="006502F0" w:rsidRPr="00CD0476">
              <w:rPr>
                <w:rFonts w:ascii="Arial Narrow" w:hAnsi="Arial Narrow"/>
                <w:color w:val="333333"/>
                <w:sz w:val="20"/>
                <w:szCs w:val="20"/>
                <w:lang w:eastAsia="en-AU"/>
              </w:rPr>
              <w:t>ew</w:t>
            </w:r>
          </w:p>
          <w:p w14:paraId="4560CFB6" w14:textId="1C069D50" w:rsidR="00C66F17" w:rsidRPr="00CD0476" w:rsidRDefault="00C66F17">
            <w:pPr>
              <w:jc w:val="center"/>
              <w:rPr>
                <w:rFonts w:ascii="Arial Narrow" w:hAnsi="Arial Narrow"/>
                <w:color w:val="333333"/>
                <w:sz w:val="20"/>
                <w:szCs w:val="20"/>
                <w:lang w:eastAsia="en-AU"/>
              </w:rPr>
            </w:pPr>
            <w:r w:rsidRPr="00CD0476">
              <w:rPr>
                <w:rFonts w:ascii="Arial Narrow" w:hAnsi="Arial Narrow"/>
                <w:color w:val="333333"/>
                <w:sz w:val="20"/>
                <w:szCs w:val="20"/>
                <w:lang w:eastAsia="en-AU"/>
              </w:rPr>
              <w:t>AA1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0D56C7" w14:textId="77777777" w:rsidR="006502F0" w:rsidRPr="00CD0476" w:rsidRDefault="006502F0">
            <w:pPr>
              <w:rPr>
                <w:rFonts w:ascii="Arial Narrow" w:hAnsi="Arial Narrow"/>
                <w:color w:val="333333"/>
                <w:sz w:val="20"/>
                <w:szCs w:val="20"/>
                <w:lang w:eastAsia="en-AU"/>
              </w:rPr>
            </w:pPr>
            <w:r w:rsidRPr="00CD0476">
              <w:rPr>
                <w:rFonts w:ascii="Arial Narrow" w:hAnsi="Arial Narrow"/>
                <w:b/>
                <w:bCs/>
                <w:color w:val="333333"/>
                <w:sz w:val="20"/>
                <w:szCs w:val="20"/>
                <w:lang w:eastAsia="en-AU"/>
              </w:rPr>
              <w:t>Administrative Advice:</w:t>
            </w:r>
          </w:p>
          <w:p w14:paraId="4D95F954" w14:textId="778E5115" w:rsidR="00A24CD1" w:rsidRPr="007543BE" w:rsidRDefault="006502F0">
            <w:pPr>
              <w:contextualSpacing/>
              <w:jc w:val="both"/>
              <w:rPr>
                <w:rFonts w:ascii="Arial Narrow" w:hAnsi="Arial Narrow" w:cstheme="minorBidi"/>
                <w:sz w:val="20"/>
                <w:szCs w:val="20"/>
              </w:rPr>
            </w:pPr>
            <w:r w:rsidRPr="00CD0476">
              <w:rPr>
                <w:rFonts w:ascii="Arial Narrow" w:hAnsi="Arial Narrow" w:cstheme="minorBidi"/>
                <w:sz w:val="20"/>
                <w:szCs w:val="20"/>
              </w:rPr>
              <w:t>Patients should receive appropriate lifestyle modification education and support.</w:t>
            </w:r>
          </w:p>
          <w:p w14:paraId="281FBC9B" w14:textId="3E91043B" w:rsidR="00A24CD1" w:rsidRPr="00CD0476" w:rsidRDefault="00A24CD1" w:rsidP="00A24CD1">
            <w:pPr>
              <w:keepNext/>
              <w:keepLines/>
              <w:jc w:val="both"/>
              <w:rPr>
                <w:rFonts w:ascii="Arial Narrow" w:eastAsiaTheme="minorHAnsi" w:hAnsi="Arial Narrow" w:cstheme="minorBidi"/>
                <w:sz w:val="20"/>
                <w:szCs w:val="20"/>
              </w:rPr>
            </w:pPr>
            <w:r w:rsidRPr="00CD0476">
              <w:rPr>
                <w:rFonts w:ascii="Arial Narrow" w:eastAsia="Calibri" w:hAnsi="Arial Narrow" w:cs="Calibri"/>
                <w:sz w:val="20"/>
                <w:szCs w:val="20"/>
              </w:rPr>
              <w:t xml:space="preserve">The Australian Absolute Cardiovascular Disease Risk Calculator is available at </w:t>
            </w:r>
            <w:hyperlink r:id="rId8" w:history="1">
              <w:r w:rsidRPr="00CD0476">
                <w:rPr>
                  <w:rStyle w:val="Hyperlink"/>
                  <w:rFonts w:ascii="Arial Narrow" w:eastAsia="Calibri" w:hAnsi="Arial Narrow" w:cs="Calibri"/>
                  <w:sz w:val="20"/>
                  <w:szCs w:val="20"/>
                </w:rPr>
                <w:t>www.cvdcheck.org.au</w:t>
              </w:r>
            </w:hyperlink>
            <w:r w:rsidRPr="00CD0476">
              <w:rPr>
                <w:rFonts w:ascii="Arial Narrow" w:hAnsi="Arial Narrow" w:cstheme="minorBidi"/>
                <w:sz w:val="20"/>
                <w:szCs w:val="20"/>
              </w:rPr>
              <w:t>.</w:t>
            </w:r>
          </w:p>
          <w:p w14:paraId="7A5BA8A8" w14:textId="77777777" w:rsidR="006502F0" w:rsidRPr="00CD0476" w:rsidRDefault="006502F0">
            <w:pPr>
              <w:contextualSpacing/>
              <w:jc w:val="both"/>
              <w:rPr>
                <w:rFonts w:ascii="Arial Narrow" w:eastAsia="Calibri" w:hAnsi="Arial Narrow" w:cstheme="minorHAnsi"/>
                <w:sz w:val="20"/>
                <w:szCs w:val="20"/>
              </w:rPr>
            </w:pPr>
          </w:p>
          <w:p w14:paraId="56584D88" w14:textId="53DAFA85" w:rsidR="006502F0" w:rsidRPr="00CD0476" w:rsidRDefault="006502F0">
            <w:pPr>
              <w:contextualSpacing/>
              <w:jc w:val="both"/>
              <w:rPr>
                <w:rFonts w:ascii="Arial Narrow" w:eastAsiaTheme="minorHAnsi" w:hAnsi="Arial Narrow" w:cstheme="minorHAnsi"/>
                <w:sz w:val="20"/>
                <w:szCs w:val="20"/>
              </w:rPr>
            </w:pPr>
            <w:r w:rsidRPr="00CD0476">
              <w:rPr>
                <w:rFonts w:ascii="Arial Narrow" w:hAnsi="Arial Narrow" w:cstheme="minorHAnsi"/>
                <w:sz w:val="20"/>
                <w:szCs w:val="20"/>
              </w:rPr>
              <w:t>The National Vascular Disease Prevention Alliance Guidelines for the management of Absolute Cardiovascular Disease Risk 2012 specify a range of conditions known to be at clinically determined high risk of CVD.</w:t>
            </w:r>
          </w:p>
        </w:tc>
      </w:tr>
      <w:tr w:rsidR="0033426E" w:rsidRPr="00CD0476" w14:paraId="5200C73B"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AA12CF" w14:textId="2340F9FA" w:rsidR="0033426E" w:rsidRPr="00CD0476" w:rsidRDefault="0033426E">
            <w:pPr>
              <w:jc w:val="center"/>
              <w:rPr>
                <w:rFonts w:ascii="Arial Narrow" w:hAnsi="Arial Narrow"/>
                <w:color w:val="333333"/>
                <w:sz w:val="20"/>
                <w:szCs w:val="20"/>
                <w:lang w:eastAsia="en-AU"/>
              </w:rPr>
            </w:pPr>
            <w:r w:rsidRPr="00CD0476">
              <w:rPr>
                <w:rFonts w:ascii="Arial Narrow" w:hAnsi="Arial Narrow"/>
                <w:color w:val="333333"/>
                <w:sz w:val="20"/>
                <w:szCs w:val="20"/>
                <w:lang w:eastAsia="en-AU"/>
              </w:rPr>
              <w:t>new</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E7F7EE" w14:textId="77777777" w:rsidR="0033426E" w:rsidRPr="00CD0476" w:rsidRDefault="0033426E" w:rsidP="0033426E">
            <w:pPr>
              <w:rPr>
                <w:rFonts w:ascii="Arial Narrow" w:hAnsi="Arial Narrow"/>
                <w:color w:val="333333"/>
                <w:sz w:val="20"/>
                <w:szCs w:val="20"/>
                <w:lang w:eastAsia="en-AU"/>
              </w:rPr>
            </w:pPr>
            <w:r w:rsidRPr="00CD0476">
              <w:rPr>
                <w:rFonts w:ascii="Arial Narrow" w:hAnsi="Arial Narrow"/>
                <w:b/>
                <w:bCs/>
                <w:color w:val="333333"/>
                <w:sz w:val="20"/>
                <w:szCs w:val="20"/>
                <w:lang w:eastAsia="en-AU"/>
              </w:rPr>
              <w:t>Administrative Advice:</w:t>
            </w:r>
          </w:p>
          <w:p w14:paraId="3DA08450" w14:textId="4BA9FDCB" w:rsidR="0033426E" w:rsidRPr="00CD0476" w:rsidRDefault="0033426E" w:rsidP="0033426E">
            <w:pPr>
              <w:contextualSpacing/>
              <w:jc w:val="both"/>
              <w:rPr>
                <w:rFonts w:ascii="Arial Narrow" w:eastAsiaTheme="minorHAnsi" w:hAnsi="Arial Narrow" w:cstheme="minorHAnsi"/>
                <w:sz w:val="20"/>
                <w:szCs w:val="20"/>
                <w:lang w:eastAsia="en-AU"/>
              </w:rPr>
            </w:pPr>
            <w:r w:rsidRPr="00CD0476">
              <w:rPr>
                <w:rFonts w:ascii="Arial Narrow" w:hAnsi="Arial Narrow" w:cstheme="minorHAnsi"/>
                <w:sz w:val="20"/>
                <w:szCs w:val="20"/>
                <w:lang w:eastAsia="en-AU"/>
              </w:rPr>
              <w:t>SGLT2 inhibitors are not PBS subsidised for monotherapy and should be taken with metformin, unless contraindicated or intolerant.</w:t>
            </w:r>
          </w:p>
        </w:tc>
      </w:tr>
      <w:tr w:rsidR="0033426E" w:rsidRPr="00CD0476" w14:paraId="777EE0AE"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115BDD" w14:textId="193C168F" w:rsidR="0033426E" w:rsidRPr="00CD0476" w:rsidRDefault="00683193">
            <w:pPr>
              <w:jc w:val="center"/>
              <w:rPr>
                <w:rFonts w:ascii="Arial Narrow" w:hAnsi="Arial Narrow"/>
                <w:color w:val="333333"/>
                <w:sz w:val="20"/>
                <w:szCs w:val="20"/>
                <w:lang w:eastAsia="en-AU"/>
              </w:rPr>
            </w:pPr>
            <w:r w:rsidRPr="00CD0476">
              <w:rPr>
                <w:rFonts w:ascii="Arial Narrow" w:hAnsi="Arial Narrow"/>
                <w:color w:val="333333"/>
                <w:sz w:val="20"/>
                <w:szCs w:val="20"/>
                <w:lang w:eastAsia="en-AU"/>
              </w:rPr>
              <w:t>new</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7CCD38" w14:textId="77777777" w:rsidR="0033426E" w:rsidRPr="00CD0476" w:rsidRDefault="0033426E" w:rsidP="0033426E">
            <w:pPr>
              <w:rPr>
                <w:rFonts w:ascii="Arial Narrow" w:hAnsi="Arial Narrow"/>
                <w:color w:val="333333"/>
                <w:sz w:val="20"/>
                <w:szCs w:val="20"/>
                <w:lang w:eastAsia="en-AU"/>
              </w:rPr>
            </w:pPr>
            <w:r w:rsidRPr="00CD0476">
              <w:rPr>
                <w:rFonts w:ascii="Arial Narrow" w:hAnsi="Arial Narrow"/>
                <w:b/>
                <w:bCs/>
                <w:color w:val="333333"/>
                <w:sz w:val="20"/>
                <w:szCs w:val="20"/>
                <w:lang w:eastAsia="en-AU"/>
              </w:rPr>
              <w:t>Administrative Advice:</w:t>
            </w:r>
          </w:p>
          <w:p w14:paraId="10FDE675" w14:textId="5B11CB27" w:rsidR="0033426E" w:rsidRPr="00CD0476" w:rsidRDefault="00AA4396" w:rsidP="0033426E">
            <w:pPr>
              <w:rPr>
                <w:rFonts w:ascii="Arial Narrow" w:hAnsi="Arial Narrow"/>
                <w:b/>
                <w:bCs/>
                <w:color w:val="333333"/>
                <w:sz w:val="20"/>
                <w:szCs w:val="20"/>
                <w:lang w:eastAsia="en-AU"/>
              </w:rPr>
            </w:pPr>
            <w:r w:rsidRPr="00CD0476">
              <w:rPr>
                <w:rFonts w:ascii="Arial Narrow" w:hAnsi="Arial Narrow" w:cstheme="minorHAnsi"/>
                <w:sz w:val="20"/>
                <w:szCs w:val="20"/>
                <w:lang w:eastAsia="en-AU"/>
              </w:rPr>
              <w:t xml:space="preserve">This drug is </w:t>
            </w:r>
            <w:r w:rsidR="0033426E" w:rsidRPr="00CD0476">
              <w:rPr>
                <w:rFonts w:ascii="Arial Narrow" w:hAnsi="Arial Narrow" w:cstheme="minorHAnsi"/>
                <w:sz w:val="20"/>
                <w:szCs w:val="20"/>
                <w:lang w:eastAsia="en-AU"/>
              </w:rPr>
              <w:t>not PBS</w:t>
            </w:r>
            <w:r w:rsidRPr="00CD0476">
              <w:rPr>
                <w:rFonts w:ascii="Arial Narrow" w:hAnsi="Arial Narrow" w:cstheme="minorHAnsi"/>
                <w:sz w:val="20"/>
                <w:szCs w:val="20"/>
                <w:lang w:eastAsia="en-AU"/>
              </w:rPr>
              <w:t>-</w:t>
            </w:r>
            <w:r w:rsidR="0033426E" w:rsidRPr="00CD0476">
              <w:rPr>
                <w:rFonts w:ascii="Arial Narrow" w:hAnsi="Arial Narrow" w:cstheme="minorHAnsi"/>
                <w:sz w:val="20"/>
                <w:szCs w:val="20"/>
                <w:lang w:eastAsia="en-AU"/>
              </w:rPr>
              <w:t>subsidised for use</w:t>
            </w:r>
            <w:r w:rsidRPr="00CD0476">
              <w:rPr>
                <w:rFonts w:ascii="Arial Narrow" w:hAnsi="Arial Narrow" w:cstheme="minorHAnsi"/>
                <w:sz w:val="20"/>
                <w:szCs w:val="20"/>
                <w:lang w:eastAsia="en-AU"/>
              </w:rPr>
              <w:t xml:space="preserve"> </w:t>
            </w:r>
            <w:r w:rsidR="0033426E" w:rsidRPr="00CD0476">
              <w:rPr>
                <w:rFonts w:ascii="Arial Narrow" w:hAnsi="Arial Narrow" w:cstheme="minorHAnsi"/>
                <w:sz w:val="20"/>
                <w:szCs w:val="20"/>
                <w:lang w:eastAsia="en-AU"/>
              </w:rPr>
              <w:t>in combination with a thiazolidinedione (glitazone)</w:t>
            </w:r>
            <w:r w:rsidRPr="00CD0476">
              <w:rPr>
                <w:rFonts w:ascii="Arial Narrow" w:hAnsi="Arial Narrow" w:cstheme="minorHAnsi"/>
                <w:sz w:val="20"/>
                <w:szCs w:val="20"/>
                <w:lang w:eastAsia="en-AU"/>
              </w:rPr>
              <w:t>,</w:t>
            </w:r>
            <w:r w:rsidR="0033426E" w:rsidRPr="00CD0476">
              <w:rPr>
                <w:rFonts w:ascii="Arial Narrow" w:hAnsi="Arial Narrow" w:cstheme="minorHAnsi"/>
                <w:sz w:val="20"/>
                <w:szCs w:val="20"/>
                <w:lang w:eastAsia="en-AU"/>
              </w:rPr>
              <w:t xml:space="preserve"> or a glucagon-like peptide-1.</w:t>
            </w:r>
          </w:p>
        </w:tc>
      </w:tr>
      <w:tr w:rsidR="006502F0" w:rsidRPr="00CD0476" w14:paraId="7BC95280"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02C6F7" w14:textId="77777777" w:rsidR="006502F0" w:rsidRPr="00CD0476" w:rsidRDefault="006502F0">
            <w:pPr>
              <w:jc w:val="center"/>
              <w:rPr>
                <w:rFonts w:ascii="Arial Narrow" w:hAnsi="Arial Narrow"/>
                <w:color w:val="333333"/>
                <w:sz w:val="20"/>
                <w:szCs w:val="20"/>
                <w:lang w:eastAsia="en-AU"/>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97A608" w14:textId="3AB92D00" w:rsidR="006502F0" w:rsidRPr="00CD0476" w:rsidRDefault="006502F0">
            <w:pPr>
              <w:rPr>
                <w:rFonts w:ascii="Arial Narrow" w:hAnsi="Arial Narrow"/>
                <w:b/>
                <w:bCs/>
                <w:color w:val="333333"/>
                <w:sz w:val="20"/>
                <w:szCs w:val="20"/>
                <w:lang w:eastAsia="en-AU"/>
              </w:rPr>
            </w:pPr>
            <w:r w:rsidRPr="00CD0476">
              <w:rPr>
                <w:rFonts w:ascii="Arial Narrow" w:hAnsi="Arial Narrow"/>
                <w:b/>
                <w:bCs/>
                <w:color w:val="333333"/>
                <w:sz w:val="20"/>
                <w:szCs w:val="20"/>
                <w:lang w:eastAsia="en-AU"/>
              </w:rPr>
              <w:t xml:space="preserve">Condition: </w:t>
            </w:r>
            <w:r w:rsidR="0033426E" w:rsidRPr="00CD0476">
              <w:rPr>
                <w:rFonts w:ascii="Arial Narrow" w:hAnsi="Arial Narrow"/>
                <w:color w:val="333333"/>
                <w:sz w:val="20"/>
                <w:szCs w:val="20"/>
                <w:lang w:eastAsia="en-AU"/>
              </w:rPr>
              <w:t>Diabetes mellitus type 2</w:t>
            </w:r>
          </w:p>
        </w:tc>
      </w:tr>
      <w:tr w:rsidR="006502F0" w:rsidRPr="00CD0476" w14:paraId="64A3C319"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6EF148" w14:textId="6AB4774B" w:rsidR="006502F0" w:rsidRPr="00CD0476" w:rsidRDefault="0033426E">
            <w:pPr>
              <w:jc w:val="center"/>
              <w:rPr>
                <w:rFonts w:ascii="Arial Narrow" w:hAnsi="Arial Narrow"/>
                <w:color w:val="333333"/>
                <w:sz w:val="20"/>
                <w:szCs w:val="20"/>
                <w:lang w:eastAsia="en-AU"/>
              </w:rPr>
            </w:pPr>
            <w:r w:rsidRPr="00CD0476">
              <w:rPr>
                <w:rFonts w:ascii="Arial Narrow" w:hAnsi="Arial Narrow"/>
                <w:color w:val="333333"/>
                <w:sz w:val="20"/>
                <w:szCs w:val="20"/>
                <w:lang w:eastAsia="en-AU"/>
              </w:rPr>
              <w:t>8995</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2B4FDE" w14:textId="01F2A91A" w:rsidR="006502F0" w:rsidRPr="00CD0476" w:rsidRDefault="006502F0">
            <w:pPr>
              <w:rPr>
                <w:rFonts w:ascii="Arial Narrow" w:hAnsi="Arial Narrow"/>
                <w:color w:val="333333"/>
                <w:sz w:val="20"/>
                <w:szCs w:val="20"/>
                <w:lang w:eastAsia="en-AU"/>
              </w:rPr>
            </w:pPr>
            <w:r w:rsidRPr="00CD0476">
              <w:rPr>
                <w:rFonts w:ascii="Arial Narrow" w:hAnsi="Arial Narrow"/>
                <w:b/>
                <w:bCs/>
                <w:color w:val="333333"/>
                <w:sz w:val="20"/>
                <w:szCs w:val="20"/>
                <w:lang w:eastAsia="en-AU"/>
              </w:rPr>
              <w:t>Indication:</w:t>
            </w:r>
            <w:r w:rsidRPr="00CD0476">
              <w:rPr>
                <w:rFonts w:ascii="Arial Narrow" w:hAnsi="Arial Narrow"/>
                <w:color w:val="333333"/>
                <w:sz w:val="20"/>
                <w:szCs w:val="20"/>
                <w:lang w:eastAsia="en-AU"/>
              </w:rPr>
              <w:t xml:space="preserve"> </w:t>
            </w:r>
            <w:r w:rsidR="0033426E" w:rsidRPr="00CD0476">
              <w:rPr>
                <w:rFonts w:ascii="Arial Narrow" w:hAnsi="Arial Narrow"/>
                <w:color w:val="333333"/>
                <w:sz w:val="20"/>
                <w:szCs w:val="20"/>
                <w:lang w:eastAsia="en-AU"/>
              </w:rPr>
              <w:t>Diabetes mellitus type 2</w:t>
            </w:r>
          </w:p>
        </w:tc>
      </w:tr>
      <w:tr w:rsidR="006502F0" w:rsidRPr="00CD0476" w14:paraId="3FB54000"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DCF9C5" w14:textId="48454877" w:rsidR="006502F0" w:rsidRPr="00CD0476" w:rsidRDefault="008F04C0">
            <w:pPr>
              <w:jc w:val="center"/>
              <w:rPr>
                <w:rFonts w:ascii="Arial Narrow" w:hAnsi="Arial Narrow"/>
                <w:color w:val="333333"/>
                <w:sz w:val="20"/>
                <w:szCs w:val="20"/>
                <w:lang w:eastAsia="en-AU"/>
              </w:rPr>
            </w:pPr>
            <w:r w:rsidRPr="00CD0476">
              <w:rPr>
                <w:rFonts w:ascii="Arial Narrow" w:hAnsi="Arial Narrow"/>
                <w:color w:val="333333"/>
                <w:sz w:val="20"/>
                <w:szCs w:val="20"/>
                <w:lang w:eastAsia="en-AU"/>
              </w:rPr>
              <w:t>9855</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66ED96" w14:textId="77777777" w:rsidR="006502F0" w:rsidRPr="00CD0476" w:rsidRDefault="006502F0">
            <w:pPr>
              <w:rPr>
                <w:rFonts w:ascii="Arial Narrow" w:hAnsi="Arial Narrow"/>
                <w:color w:val="333333"/>
                <w:sz w:val="20"/>
                <w:szCs w:val="20"/>
                <w:lang w:eastAsia="en-AU"/>
              </w:rPr>
            </w:pPr>
            <w:r w:rsidRPr="00CD0476">
              <w:rPr>
                <w:rFonts w:ascii="Arial Narrow" w:hAnsi="Arial Narrow"/>
                <w:b/>
                <w:bCs/>
                <w:color w:val="333333"/>
                <w:sz w:val="20"/>
                <w:szCs w:val="20"/>
                <w:lang w:eastAsia="en-AU"/>
              </w:rPr>
              <w:t>Clinical criteria:</w:t>
            </w:r>
          </w:p>
        </w:tc>
      </w:tr>
      <w:tr w:rsidR="006502F0" w:rsidRPr="00CD0476" w14:paraId="1FD83B97"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6515CB" w14:textId="6A6538EA" w:rsidR="006502F0" w:rsidRPr="00CD0476" w:rsidRDefault="006502F0">
            <w:pPr>
              <w:jc w:val="center"/>
              <w:rPr>
                <w:rFonts w:ascii="Arial Narrow" w:hAnsi="Arial Narrow"/>
                <w:color w:val="333333"/>
                <w:sz w:val="20"/>
                <w:szCs w:val="20"/>
                <w:lang w:eastAsia="en-AU"/>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01E5C2" w14:textId="77777777" w:rsidR="006502F0" w:rsidRPr="00CD0476" w:rsidRDefault="006502F0">
            <w:pPr>
              <w:rPr>
                <w:rFonts w:ascii="Arial Narrow" w:hAnsi="Arial Narrow"/>
                <w:color w:val="333333"/>
                <w:sz w:val="20"/>
                <w:szCs w:val="20"/>
                <w:lang w:eastAsia="en-AU"/>
              </w:rPr>
            </w:pPr>
            <w:r w:rsidRPr="00CD0476">
              <w:rPr>
                <w:rFonts w:ascii="Arial Narrow" w:hAnsi="Arial Narrow"/>
                <w:color w:val="333333"/>
                <w:sz w:val="20"/>
                <w:szCs w:val="20"/>
                <w:lang w:eastAsia="en-AU"/>
              </w:rPr>
              <w:t xml:space="preserve">The treatment must be in combination with metformin; </w:t>
            </w:r>
          </w:p>
        </w:tc>
      </w:tr>
      <w:tr w:rsidR="006502F0" w:rsidRPr="00CD0476" w14:paraId="64C511FD"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72C9ED" w14:textId="77777777" w:rsidR="006502F0" w:rsidRPr="00CD0476" w:rsidRDefault="006502F0">
            <w:pPr>
              <w:jc w:val="center"/>
              <w:rPr>
                <w:rFonts w:ascii="Arial Narrow" w:hAnsi="Arial Narrow"/>
                <w:color w:val="333333"/>
                <w:sz w:val="20"/>
                <w:szCs w:val="20"/>
                <w:lang w:eastAsia="en-AU"/>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B95A2B" w14:textId="77777777" w:rsidR="006502F0" w:rsidRPr="00CD0476" w:rsidRDefault="006502F0">
            <w:pPr>
              <w:rPr>
                <w:rFonts w:ascii="Arial Narrow" w:hAnsi="Arial Narrow"/>
                <w:color w:val="333333"/>
                <w:sz w:val="20"/>
                <w:szCs w:val="20"/>
                <w:lang w:eastAsia="en-AU"/>
              </w:rPr>
            </w:pPr>
            <w:r w:rsidRPr="00CD0476">
              <w:rPr>
                <w:rFonts w:ascii="Arial Narrow" w:hAnsi="Arial Narrow"/>
                <w:b/>
                <w:bCs/>
                <w:color w:val="333333"/>
                <w:sz w:val="20"/>
                <w:szCs w:val="20"/>
                <w:lang w:eastAsia="en-AU"/>
              </w:rPr>
              <w:t>AND</w:t>
            </w:r>
          </w:p>
        </w:tc>
      </w:tr>
      <w:tr w:rsidR="006502F0" w:rsidRPr="00CD0476" w14:paraId="2BFA368A"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50061A" w14:textId="0D64D5AB" w:rsidR="006502F0" w:rsidRPr="00CD0476" w:rsidRDefault="00A24CD1">
            <w:pPr>
              <w:jc w:val="center"/>
              <w:rPr>
                <w:rFonts w:ascii="Arial Narrow" w:hAnsi="Arial Narrow"/>
                <w:color w:val="333333"/>
                <w:sz w:val="20"/>
                <w:szCs w:val="20"/>
                <w:lang w:eastAsia="en-AU"/>
              </w:rPr>
            </w:pPr>
            <w:r w:rsidRPr="00CD0476">
              <w:rPr>
                <w:rFonts w:ascii="Arial Narrow" w:hAnsi="Arial Narrow"/>
                <w:color w:val="333333"/>
                <w:sz w:val="20"/>
                <w:szCs w:val="20"/>
                <w:lang w:eastAsia="en-AU"/>
              </w:rPr>
              <w:t>N</w:t>
            </w:r>
            <w:r w:rsidR="000C6334" w:rsidRPr="00CD0476">
              <w:rPr>
                <w:rFonts w:ascii="Arial Narrow" w:hAnsi="Arial Narrow"/>
                <w:color w:val="333333"/>
                <w:sz w:val="20"/>
                <w:szCs w:val="20"/>
                <w:lang w:eastAsia="en-AU"/>
              </w:rPr>
              <w:t>ew</w:t>
            </w:r>
            <w:r w:rsidRPr="00CD0476">
              <w:rPr>
                <w:rFonts w:ascii="Arial Narrow" w:hAnsi="Arial Narrow"/>
                <w:color w:val="333333"/>
                <w:sz w:val="20"/>
                <w:szCs w:val="20"/>
                <w:lang w:eastAsia="en-AU"/>
              </w:rPr>
              <w:t xml:space="preserve"> CC1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070290" w14:textId="21ABBE02" w:rsidR="006502F0" w:rsidRPr="00CD0476" w:rsidRDefault="00C66F17">
            <w:pPr>
              <w:rPr>
                <w:rFonts w:ascii="Arial Narrow" w:hAnsi="Arial Narrow"/>
                <w:color w:val="333333"/>
                <w:sz w:val="20"/>
                <w:szCs w:val="20"/>
                <w:lang w:eastAsia="en-AU"/>
              </w:rPr>
            </w:pPr>
            <w:r w:rsidRPr="00CD0476">
              <w:rPr>
                <w:rFonts w:ascii="Arial Narrow" w:hAnsi="Arial Narrow"/>
                <w:b/>
                <w:bCs/>
                <w:color w:val="333333"/>
                <w:sz w:val="20"/>
                <w:szCs w:val="20"/>
                <w:lang w:eastAsia="en-AU"/>
              </w:rPr>
              <w:t>Clinical</w:t>
            </w:r>
            <w:r w:rsidR="006502F0" w:rsidRPr="00CD0476">
              <w:rPr>
                <w:rFonts w:ascii="Arial Narrow" w:hAnsi="Arial Narrow"/>
                <w:b/>
                <w:bCs/>
                <w:color w:val="333333"/>
                <w:sz w:val="20"/>
                <w:szCs w:val="20"/>
                <w:lang w:eastAsia="en-AU"/>
              </w:rPr>
              <w:t xml:space="preserve"> criteria:</w:t>
            </w:r>
          </w:p>
        </w:tc>
      </w:tr>
      <w:tr w:rsidR="006502F0" w:rsidRPr="00CD0476" w14:paraId="66B84E62"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0B1903" w14:textId="0DB80BB2" w:rsidR="006502F0" w:rsidRPr="00CD0476" w:rsidRDefault="00C66F17">
            <w:pPr>
              <w:jc w:val="center"/>
              <w:rPr>
                <w:rFonts w:ascii="Arial Narrow" w:hAnsi="Arial Narrow"/>
                <w:color w:val="333333"/>
                <w:sz w:val="20"/>
                <w:szCs w:val="20"/>
                <w:lang w:eastAsia="en-AU"/>
              </w:rPr>
            </w:pPr>
            <w:r w:rsidRPr="00CD0476">
              <w:rPr>
                <w:rFonts w:ascii="Arial Narrow" w:hAnsi="Arial Narrow"/>
                <w:color w:val="333333"/>
                <w:sz w:val="20"/>
                <w:szCs w:val="20"/>
                <w:lang w:eastAsia="en-AU"/>
              </w:rPr>
              <w:t>C</w:t>
            </w:r>
            <w:r w:rsidR="000C6334" w:rsidRPr="00CD0476">
              <w:rPr>
                <w:rFonts w:ascii="Arial Narrow" w:hAnsi="Arial Narrow"/>
                <w:color w:val="333333"/>
                <w:sz w:val="20"/>
                <w:szCs w:val="20"/>
                <w:lang w:eastAsia="en-AU"/>
              </w:rPr>
              <w:t>C1</w:t>
            </w:r>
            <w:r w:rsidR="00A24CD1" w:rsidRPr="00CD0476">
              <w:rPr>
                <w:rFonts w:ascii="Arial Narrow" w:hAnsi="Arial Narrow"/>
                <w:color w:val="333333"/>
                <w:sz w:val="20"/>
                <w:szCs w:val="20"/>
                <w:lang w:eastAsia="en-AU"/>
              </w:rPr>
              <w:t>, Para A</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CFA34C" w14:textId="58BAEA18" w:rsidR="006502F0" w:rsidRPr="00CD0476" w:rsidRDefault="006502F0">
            <w:pPr>
              <w:autoSpaceDE w:val="0"/>
              <w:autoSpaceDN w:val="0"/>
              <w:adjustRightInd w:val="0"/>
              <w:rPr>
                <w:rFonts w:ascii="Arial Narrow" w:hAnsi="Arial Narrow"/>
                <w:color w:val="333333"/>
                <w:sz w:val="20"/>
                <w:szCs w:val="20"/>
                <w:lang w:eastAsia="en-AU"/>
              </w:rPr>
            </w:pPr>
            <w:r w:rsidRPr="00CD0476">
              <w:rPr>
                <w:rFonts w:ascii="Arial Narrow" w:hAnsi="Arial Narrow"/>
                <w:color w:val="333333"/>
                <w:sz w:val="20"/>
                <w:szCs w:val="20"/>
                <w:lang w:eastAsia="en-AU"/>
              </w:rPr>
              <w:t>Patient must have cardiovascular disease;</w:t>
            </w:r>
          </w:p>
        </w:tc>
      </w:tr>
      <w:tr w:rsidR="00A24CD1" w:rsidRPr="00CD0476" w14:paraId="586E4B35"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42474A" w14:textId="77777777" w:rsidR="00A24CD1" w:rsidRPr="00CD0476" w:rsidRDefault="00A24CD1">
            <w:pPr>
              <w:jc w:val="center"/>
              <w:rPr>
                <w:rFonts w:ascii="Arial Narrow" w:hAnsi="Arial Narrow"/>
                <w:color w:val="333333"/>
                <w:sz w:val="20"/>
                <w:szCs w:val="20"/>
                <w:lang w:eastAsia="en-AU"/>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B5B1AE" w14:textId="60C2C27D" w:rsidR="00A24CD1" w:rsidRPr="00CD0476" w:rsidRDefault="00A24CD1">
            <w:pPr>
              <w:autoSpaceDE w:val="0"/>
              <w:autoSpaceDN w:val="0"/>
              <w:adjustRightInd w:val="0"/>
              <w:rPr>
                <w:rFonts w:ascii="Arial Narrow" w:hAnsi="Arial Narrow"/>
                <w:b/>
                <w:bCs/>
                <w:color w:val="333333"/>
                <w:sz w:val="20"/>
                <w:szCs w:val="20"/>
                <w:lang w:eastAsia="en-AU"/>
              </w:rPr>
            </w:pPr>
            <w:r w:rsidRPr="00CD0476">
              <w:rPr>
                <w:rFonts w:ascii="Arial Narrow" w:hAnsi="Arial Narrow"/>
                <w:b/>
                <w:bCs/>
                <w:color w:val="333333"/>
                <w:sz w:val="20"/>
                <w:szCs w:val="20"/>
                <w:lang w:eastAsia="en-AU"/>
              </w:rPr>
              <w:t>OR</w:t>
            </w:r>
          </w:p>
        </w:tc>
      </w:tr>
      <w:tr w:rsidR="000C6334" w:rsidRPr="00CD0476" w14:paraId="5CA13E48"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131252" w14:textId="7DCA6C4D" w:rsidR="000C6334" w:rsidRPr="00CD0476" w:rsidRDefault="00A24CD1">
            <w:pPr>
              <w:jc w:val="center"/>
              <w:rPr>
                <w:rFonts w:ascii="Arial Narrow" w:hAnsi="Arial Narrow"/>
                <w:color w:val="333333"/>
                <w:sz w:val="20"/>
                <w:szCs w:val="20"/>
                <w:lang w:eastAsia="en-AU"/>
              </w:rPr>
            </w:pPr>
            <w:r w:rsidRPr="00CD0476">
              <w:rPr>
                <w:rFonts w:ascii="Arial Narrow" w:hAnsi="Arial Narrow"/>
                <w:color w:val="333333"/>
                <w:sz w:val="20"/>
                <w:szCs w:val="20"/>
                <w:lang w:eastAsia="en-AU"/>
              </w:rPr>
              <w:t>CC1, Para B</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B2C7A0" w14:textId="1A7CE3EA" w:rsidR="000C6334" w:rsidRPr="00CD0476" w:rsidRDefault="000C6334">
            <w:pPr>
              <w:autoSpaceDE w:val="0"/>
              <w:autoSpaceDN w:val="0"/>
              <w:adjustRightInd w:val="0"/>
              <w:rPr>
                <w:rFonts w:ascii="Arial Narrow" w:hAnsi="Arial Narrow"/>
                <w:color w:val="333333"/>
                <w:sz w:val="20"/>
                <w:szCs w:val="20"/>
                <w:lang w:eastAsia="en-AU"/>
              </w:rPr>
            </w:pPr>
            <w:r w:rsidRPr="00CD0476">
              <w:rPr>
                <w:rFonts w:ascii="Arial Narrow" w:hAnsi="Arial Narrow"/>
                <w:color w:val="333333"/>
                <w:sz w:val="20"/>
                <w:szCs w:val="20"/>
                <w:lang w:eastAsia="en-AU"/>
              </w:rPr>
              <w:t>Patient must be at high risk of a cardiovascular event</w:t>
            </w:r>
            <w:r w:rsidR="00A24CD1" w:rsidRPr="00CD0476">
              <w:rPr>
                <w:rFonts w:ascii="Arial Narrow" w:hAnsi="Arial Narrow"/>
                <w:color w:val="333333"/>
                <w:sz w:val="20"/>
                <w:szCs w:val="20"/>
                <w:lang w:eastAsia="en-AU"/>
              </w:rPr>
              <w:t>;</w:t>
            </w:r>
          </w:p>
        </w:tc>
      </w:tr>
      <w:tr w:rsidR="00A24CD1" w:rsidRPr="00CD0476" w14:paraId="3359189E"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A9444A" w14:textId="77777777" w:rsidR="00A24CD1" w:rsidRPr="00CD0476" w:rsidRDefault="00A24CD1">
            <w:pPr>
              <w:jc w:val="center"/>
              <w:rPr>
                <w:rFonts w:ascii="Arial Narrow" w:hAnsi="Arial Narrow"/>
                <w:color w:val="333333"/>
                <w:sz w:val="20"/>
                <w:szCs w:val="20"/>
                <w:lang w:eastAsia="en-AU"/>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AD95D0" w14:textId="1F71B04C" w:rsidR="00A24CD1" w:rsidRPr="00CD0476" w:rsidRDefault="00A24CD1">
            <w:pPr>
              <w:autoSpaceDE w:val="0"/>
              <w:autoSpaceDN w:val="0"/>
              <w:adjustRightInd w:val="0"/>
              <w:rPr>
                <w:rFonts w:ascii="Arial Narrow" w:hAnsi="Arial Narrow"/>
                <w:color w:val="333333"/>
                <w:sz w:val="20"/>
                <w:szCs w:val="20"/>
                <w:lang w:eastAsia="en-AU"/>
              </w:rPr>
            </w:pPr>
            <w:r w:rsidRPr="00CD0476">
              <w:rPr>
                <w:rFonts w:ascii="Arial Narrow" w:hAnsi="Arial Narrow"/>
                <w:b/>
                <w:bCs/>
                <w:color w:val="333333"/>
                <w:sz w:val="20"/>
                <w:szCs w:val="20"/>
                <w:lang w:eastAsia="en-AU"/>
              </w:rPr>
              <w:t>OR</w:t>
            </w:r>
          </w:p>
        </w:tc>
      </w:tr>
      <w:tr w:rsidR="006502F0" w:rsidRPr="00CD0476" w14:paraId="79058902"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7A4623" w14:textId="6ACE4065" w:rsidR="006502F0" w:rsidRPr="00CD0476" w:rsidRDefault="00A24CD1">
            <w:pPr>
              <w:jc w:val="center"/>
              <w:rPr>
                <w:rFonts w:ascii="Arial Narrow" w:hAnsi="Arial Narrow"/>
                <w:color w:val="333333"/>
                <w:sz w:val="20"/>
                <w:szCs w:val="20"/>
                <w:lang w:eastAsia="en-AU"/>
              </w:rPr>
            </w:pPr>
            <w:r w:rsidRPr="00CD0476">
              <w:rPr>
                <w:rFonts w:ascii="Arial Narrow" w:hAnsi="Arial Narrow"/>
                <w:color w:val="333333"/>
                <w:sz w:val="20"/>
                <w:szCs w:val="20"/>
                <w:lang w:eastAsia="en-AU"/>
              </w:rPr>
              <w:t>CC1, Para C</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E17300" w14:textId="77777777" w:rsidR="006502F0" w:rsidRPr="00CD0476" w:rsidRDefault="006502F0">
            <w:pPr>
              <w:rPr>
                <w:rFonts w:ascii="Arial Narrow" w:hAnsi="Arial Narrow"/>
                <w:color w:val="333333"/>
                <w:sz w:val="20"/>
                <w:szCs w:val="20"/>
                <w:lang w:eastAsia="en-AU"/>
              </w:rPr>
            </w:pPr>
            <w:r w:rsidRPr="00CD0476">
              <w:rPr>
                <w:rFonts w:ascii="Arial Narrow" w:hAnsi="Arial Narrow"/>
                <w:color w:val="333333"/>
                <w:sz w:val="20"/>
                <w:szCs w:val="20"/>
                <w:lang w:eastAsia="en-AU"/>
              </w:rPr>
              <w:t>Patient must identify as Aboriginal or Torres Strait Islander.</w:t>
            </w:r>
          </w:p>
        </w:tc>
      </w:tr>
    </w:tbl>
    <w:p w14:paraId="567DC811" w14:textId="77777777" w:rsidR="006502F0" w:rsidRPr="00CD0476" w:rsidRDefault="006502F0" w:rsidP="006502F0">
      <w:pPr>
        <w:rPr>
          <w:rFonts w:ascii="Arial Narrow" w:eastAsiaTheme="minorHAnsi" w:hAnsi="Arial Narrow"/>
          <w:sz w:val="20"/>
          <w:szCs w:val="20"/>
        </w:rPr>
      </w:pPr>
    </w:p>
    <w:p w14:paraId="0E67B72C" w14:textId="77777777" w:rsidR="006502F0" w:rsidRPr="00CD0476" w:rsidRDefault="006502F0" w:rsidP="006502F0">
      <w:pPr>
        <w:rPr>
          <w:rFonts w:ascii="Arial Narrow" w:hAnsi="Arial Narrow"/>
          <w:b/>
          <w:i/>
          <w:iCs/>
          <w:sz w:val="20"/>
          <w:szCs w:val="20"/>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993"/>
        <w:gridCol w:w="850"/>
        <w:gridCol w:w="851"/>
        <w:gridCol w:w="708"/>
        <w:gridCol w:w="1559"/>
      </w:tblGrid>
      <w:tr w:rsidR="006502F0" w:rsidRPr="00CD0476" w14:paraId="05566F06" w14:textId="77777777" w:rsidTr="008F04C0">
        <w:trPr>
          <w:cantSplit/>
          <w:trHeight w:val="471"/>
          <w:jc w:val="center"/>
        </w:trPr>
        <w:tc>
          <w:tcPr>
            <w:tcW w:w="3964" w:type="dxa"/>
            <w:tcBorders>
              <w:top w:val="single" w:sz="4" w:space="0" w:color="auto"/>
              <w:left w:val="single" w:sz="4" w:space="0" w:color="auto"/>
              <w:bottom w:val="single" w:sz="4" w:space="0" w:color="auto"/>
              <w:right w:val="single" w:sz="4" w:space="0" w:color="auto"/>
            </w:tcBorders>
            <w:hideMark/>
          </w:tcPr>
          <w:p w14:paraId="5921E864" w14:textId="77777777" w:rsidR="006502F0" w:rsidRPr="00CD0476" w:rsidRDefault="006502F0" w:rsidP="00927559">
            <w:pPr>
              <w:keepNext/>
              <w:keepLines/>
              <w:ind w:left="-108"/>
              <w:jc w:val="both"/>
              <w:rPr>
                <w:rFonts w:ascii="Arial Narrow" w:hAnsi="Arial Narrow" w:cs="Arial"/>
                <w:b/>
                <w:sz w:val="20"/>
                <w:szCs w:val="20"/>
              </w:rPr>
            </w:pPr>
            <w:r w:rsidRPr="00CD0476">
              <w:rPr>
                <w:rFonts w:ascii="Arial Narrow" w:hAnsi="Arial Narrow" w:cs="Arial"/>
                <w:b/>
                <w:sz w:val="20"/>
                <w:szCs w:val="20"/>
              </w:rPr>
              <w:t>Name, Restriction,</w:t>
            </w:r>
          </w:p>
          <w:p w14:paraId="04DD3387" w14:textId="77777777" w:rsidR="006502F0" w:rsidRPr="00CD0476" w:rsidRDefault="006502F0" w:rsidP="00927559">
            <w:pPr>
              <w:keepNext/>
              <w:keepLines/>
              <w:ind w:left="-108"/>
              <w:jc w:val="both"/>
              <w:rPr>
                <w:rFonts w:ascii="Arial Narrow" w:hAnsi="Arial Narrow" w:cs="Arial"/>
                <w:b/>
                <w:sz w:val="20"/>
                <w:szCs w:val="20"/>
              </w:rPr>
            </w:pPr>
            <w:r w:rsidRPr="00CD0476">
              <w:rPr>
                <w:rFonts w:ascii="Arial Narrow" w:hAnsi="Arial Narrow" w:cs="Arial"/>
                <w:b/>
                <w:sz w:val="20"/>
                <w:szCs w:val="20"/>
              </w:rPr>
              <w:t>Manner of administration and form</w:t>
            </w:r>
          </w:p>
        </w:tc>
        <w:tc>
          <w:tcPr>
            <w:tcW w:w="993" w:type="dxa"/>
            <w:tcBorders>
              <w:top w:val="single" w:sz="4" w:space="0" w:color="auto"/>
              <w:left w:val="single" w:sz="4" w:space="0" w:color="auto"/>
              <w:bottom w:val="single" w:sz="4" w:space="0" w:color="auto"/>
              <w:right w:val="single" w:sz="4" w:space="0" w:color="auto"/>
            </w:tcBorders>
            <w:hideMark/>
          </w:tcPr>
          <w:p w14:paraId="350E6470" w14:textId="77777777" w:rsidR="006502F0" w:rsidRPr="00CD0476" w:rsidRDefault="006502F0" w:rsidP="00927559">
            <w:pPr>
              <w:keepNext/>
              <w:keepLines/>
              <w:ind w:left="-108"/>
              <w:jc w:val="center"/>
              <w:rPr>
                <w:rFonts w:ascii="Arial Narrow" w:hAnsi="Arial Narrow" w:cs="Arial"/>
                <w:b/>
                <w:sz w:val="20"/>
                <w:szCs w:val="20"/>
              </w:rPr>
            </w:pPr>
            <w:r w:rsidRPr="00CD0476">
              <w:rPr>
                <w:rFonts w:ascii="Arial Narrow" w:hAnsi="Arial Narrow" w:cs="Arial"/>
                <w:b/>
                <w:sz w:val="20"/>
                <w:szCs w:val="20"/>
              </w:rPr>
              <w:t>PBS item code</w:t>
            </w:r>
          </w:p>
        </w:tc>
        <w:tc>
          <w:tcPr>
            <w:tcW w:w="850" w:type="dxa"/>
            <w:tcBorders>
              <w:top w:val="single" w:sz="4" w:space="0" w:color="auto"/>
              <w:left w:val="single" w:sz="4" w:space="0" w:color="auto"/>
              <w:bottom w:val="single" w:sz="4" w:space="0" w:color="auto"/>
              <w:right w:val="single" w:sz="4" w:space="0" w:color="auto"/>
            </w:tcBorders>
            <w:hideMark/>
          </w:tcPr>
          <w:p w14:paraId="042FDE7B" w14:textId="77777777" w:rsidR="006502F0" w:rsidRPr="00CD0476" w:rsidRDefault="006502F0" w:rsidP="00927559">
            <w:pPr>
              <w:keepNext/>
              <w:keepLines/>
              <w:ind w:left="-108"/>
              <w:jc w:val="center"/>
              <w:rPr>
                <w:rFonts w:ascii="Arial Narrow" w:hAnsi="Arial Narrow" w:cs="Arial"/>
                <w:b/>
                <w:sz w:val="20"/>
                <w:szCs w:val="20"/>
              </w:rPr>
            </w:pPr>
            <w:r w:rsidRPr="00CD0476">
              <w:rPr>
                <w:rFonts w:ascii="Arial Narrow" w:hAnsi="Arial Narrow" w:cs="Arial"/>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hideMark/>
          </w:tcPr>
          <w:p w14:paraId="3B76B43B" w14:textId="77777777" w:rsidR="006502F0" w:rsidRPr="00CD0476" w:rsidRDefault="006502F0" w:rsidP="00927559">
            <w:pPr>
              <w:keepNext/>
              <w:keepLines/>
              <w:ind w:left="-108"/>
              <w:jc w:val="center"/>
              <w:rPr>
                <w:rFonts w:ascii="Arial Narrow" w:hAnsi="Arial Narrow" w:cs="Arial"/>
                <w:b/>
                <w:sz w:val="20"/>
                <w:szCs w:val="20"/>
              </w:rPr>
            </w:pPr>
            <w:r w:rsidRPr="00CD0476">
              <w:rPr>
                <w:rFonts w:ascii="Arial Narrow" w:hAnsi="Arial Narrow" w:cs="Arial"/>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hideMark/>
          </w:tcPr>
          <w:p w14:paraId="53ED00F7" w14:textId="403E92AD" w:rsidR="006502F0" w:rsidRPr="00CD0476" w:rsidRDefault="00A20179" w:rsidP="00927559">
            <w:pPr>
              <w:keepNext/>
              <w:keepLines/>
              <w:ind w:left="-108"/>
              <w:jc w:val="center"/>
              <w:rPr>
                <w:rFonts w:ascii="Arial Narrow" w:hAnsi="Arial Narrow" w:cs="Arial"/>
                <w:b/>
                <w:sz w:val="20"/>
                <w:szCs w:val="20"/>
              </w:rPr>
            </w:pPr>
            <w:r w:rsidRPr="00CD0476">
              <w:rPr>
                <w:rFonts w:ascii="Arial Narrow" w:hAnsi="Arial Narrow" w:cs="Arial"/>
                <w:b/>
                <w:sz w:val="20"/>
                <w:szCs w:val="20"/>
              </w:rPr>
              <w:t>№. of</w:t>
            </w:r>
          </w:p>
          <w:p w14:paraId="464AF326" w14:textId="77777777" w:rsidR="006502F0" w:rsidRPr="00CD0476" w:rsidRDefault="006502F0" w:rsidP="00927559">
            <w:pPr>
              <w:keepNext/>
              <w:keepLines/>
              <w:ind w:left="-108"/>
              <w:jc w:val="center"/>
              <w:rPr>
                <w:rFonts w:ascii="Arial Narrow" w:hAnsi="Arial Narrow" w:cs="Arial"/>
                <w:b/>
                <w:sz w:val="20"/>
                <w:szCs w:val="20"/>
              </w:rPr>
            </w:pPr>
            <w:r w:rsidRPr="00CD0476">
              <w:rPr>
                <w:rFonts w:ascii="Arial Narrow" w:hAnsi="Arial Narrow" w:cs="Arial"/>
                <w:b/>
                <w:sz w:val="20"/>
                <w:szCs w:val="20"/>
              </w:rPr>
              <w:t>Rpts</w:t>
            </w:r>
          </w:p>
        </w:tc>
        <w:tc>
          <w:tcPr>
            <w:tcW w:w="1559" w:type="dxa"/>
            <w:tcBorders>
              <w:top w:val="single" w:sz="4" w:space="0" w:color="auto"/>
              <w:left w:val="single" w:sz="4" w:space="0" w:color="auto"/>
              <w:bottom w:val="single" w:sz="4" w:space="0" w:color="auto"/>
              <w:right w:val="single" w:sz="4" w:space="0" w:color="auto"/>
            </w:tcBorders>
            <w:hideMark/>
          </w:tcPr>
          <w:p w14:paraId="445ED677" w14:textId="77777777" w:rsidR="006502F0" w:rsidRPr="00CD0476" w:rsidRDefault="006502F0" w:rsidP="00927559">
            <w:pPr>
              <w:keepNext/>
              <w:keepLines/>
              <w:rPr>
                <w:rFonts w:ascii="Arial Narrow" w:hAnsi="Arial Narrow" w:cs="Arial"/>
                <w:b/>
                <w:sz w:val="20"/>
                <w:szCs w:val="20"/>
                <w:lang w:val="fr-FR"/>
              </w:rPr>
            </w:pPr>
            <w:r w:rsidRPr="00CD0476">
              <w:rPr>
                <w:rFonts w:ascii="Arial Narrow" w:hAnsi="Arial Narrow" w:cs="Arial"/>
                <w:b/>
                <w:sz w:val="20"/>
                <w:szCs w:val="20"/>
              </w:rPr>
              <w:t>Available brands</w:t>
            </w:r>
          </w:p>
        </w:tc>
      </w:tr>
      <w:tr w:rsidR="008F04C0" w:rsidRPr="00CD0476" w14:paraId="084FDB1A" w14:textId="77777777" w:rsidTr="007543BE">
        <w:trPr>
          <w:cantSplit/>
          <w:trHeight w:val="927"/>
          <w:jc w:val="center"/>
        </w:trPr>
        <w:tc>
          <w:tcPr>
            <w:tcW w:w="3964" w:type="dxa"/>
            <w:tcBorders>
              <w:top w:val="single" w:sz="4" w:space="0" w:color="auto"/>
              <w:left w:val="single" w:sz="4" w:space="0" w:color="auto"/>
              <w:bottom w:val="single" w:sz="4" w:space="0" w:color="auto"/>
              <w:right w:val="single" w:sz="4" w:space="0" w:color="auto"/>
            </w:tcBorders>
          </w:tcPr>
          <w:p w14:paraId="5FEDD9D9"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DAPAGLIFLOZIN + METFORMIN</w:t>
            </w:r>
          </w:p>
          <w:p w14:paraId="42CB3B2A" w14:textId="77777777" w:rsidR="008F04C0" w:rsidRPr="00CD0476" w:rsidRDefault="008F04C0" w:rsidP="008F04C0">
            <w:pPr>
              <w:keepNext/>
              <w:ind w:left="-108"/>
              <w:jc w:val="both"/>
              <w:rPr>
                <w:rFonts w:ascii="Arial Narrow" w:hAnsi="Arial Narrow" w:cs="Arial"/>
                <w:sz w:val="20"/>
                <w:szCs w:val="20"/>
              </w:rPr>
            </w:pPr>
          </w:p>
          <w:p w14:paraId="09A9923A" w14:textId="77777777" w:rsidR="008F04C0" w:rsidRPr="00CD0476" w:rsidRDefault="008F04C0" w:rsidP="008F04C0">
            <w:pPr>
              <w:keepNext/>
              <w:ind w:left="-108"/>
              <w:jc w:val="both"/>
              <w:rPr>
                <w:rFonts w:ascii="Arial Narrow" w:hAnsi="Arial Narrow" w:cs="Arial"/>
                <w:sz w:val="20"/>
                <w:szCs w:val="20"/>
              </w:rPr>
            </w:pPr>
            <w:r w:rsidRPr="00CD0476">
              <w:rPr>
                <w:rFonts w:ascii="Arial Narrow" w:hAnsi="Arial Narrow" w:cs="Arial"/>
                <w:sz w:val="20"/>
                <w:szCs w:val="20"/>
              </w:rPr>
              <w:t>dapagliflozin 10 mg + metformin hydrochloride 1 g modified release tablet, 28</w:t>
            </w:r>
          </w:p>
        </w:tc>
        <w:tc>
          <w:tcPr>
            <w:tcW w:w="993" w:type="dxa"/>
            <w:tcBorders>
              <w:top w:val="single" w:sz="4" w:space="0" w:color="auto"/>
              <w:left w:val="single" w:sz="4" w:space="0" w:color="auto"/>
              <w:bottom w:val="single" w:sz="4" w:space="0" w:color="auto"/>
              <w:right w:val="single" w:sz="4" w:space="0" w:color="auto"/>
            </w:tcBorders>
            <w:vAlign w:val="center"/>
          </w:tcPr>
          <w:p w14:paraId="6C57D304" w14:textId="091CDD46" w:rsidR="008F04C0" w:rsidRPr="00CD0476" w:rsidRDefault="008F04C0" w:rsidP="008F04C0">
            <w:pPr>
              <w:keepNext/>
              <w:jc w:val="center"/>
              <w:rPr>
                <w:rFonts w:ascii="Arial Narrow" w:hAnsi="Arial Narrow" w:cs="Arial"/>
                <w:sz w:val="20"/>
                <w:szCs w:val="20"/>
              </w:rPr>
            </w:pPr>
            <w:r w:rsidRPr="00CD0476">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00473DE3" w14:textId="77777777" w:rsidR="008F04C0" w:rsidRPr="00CD0476" w:rsidRDefault="008F04C0" w:rsidP="008F04C0">
            <w:pPr>
              <w:keepNext/>
              <w:jc w:val="center"/>
              <w:rPr>
                <w:rFonts w:ascii="Arial Narrow" w:hAnsi="Arial Narrow" w:cs="Arial"/>
                <w:sz w:val="20"/>
                <w:szCs w:val="20"/>
              </w:rPr>
            </w:pPr>
          </w:p>
          <w:p w14:paraId="481DE3A3" w14:textId="77777777" w:rsidR="008F04C0" w:rsidRPr="00CD0476" w:rsidRDefault="008F04C0" w:rsidP="008F04C0">
            <w:pPr>
              <w:keepNext/>
              <w:rPr>
                <w:rFonts w:ascii="Arial Narrow" w:hAnsi="Arial Narrow" w:cs="Arial"/>
                <w:sz w:val="20"/>
                <w:szCs w:val="20"/>
              </w:rPr>
            </w:pPr>
          </w:p>
          <w:p w14:paraId="3DB2CA92" w14:textId="77777777" w:rsidR="008F04C0" w:rsidRPr="00CD0476" w:rsidRDefault="008F04C0" w:rsidP="008F04C0">
            <w:pPr>
              <w:keepNext/>
              <w:jc w:val="center"/>
              <w:rPr>
                <w:rFonts w:ascii="Arial Narrow" w:hAnsi="Arial Narrow" w:cs="Arial"/>
                <w:sz w:val="20"/>
                <w:szCs w:val="20"/>
              </w:rPr>
            </w:pPr>
            <w:r w:rsidRPr="00CD0476">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0F12098D" w14:textId="77777777" w:rsidR="008F04C0" w:rsidRPr="00CD0476" w:rsidRDefault="008F04C0" w:rsidP="008F04C0">
            <w:pPr>
              <w:keepNext/>
              <w:ind w:left="-108"/>
              <w:jc w:val="center"/>
              <w:rPr>
                <w:rFonts w:ascii="Arial Narrow" w:hAnsi="Arial Narrow" w:cs="Arial"/>
                <w:sz w:val="20"/>
                <w:szCs w:val="20"/>
              </w:rPr>
            </w:pPr>
          </w:p>
          <w:p w14:paraId="420516C7" w14:textId="77777777" w:rsidR="008F04C0" w:rsidRPr="00CD0476" w:rsidRDefault="008F04C0" w:rsidP="008F04C0">
            <w:pPr>
              <w:keepNext/>
              <w:rPr>
                <w:rFonts w:ascii="Arial Narrow" w:hAnsi="Arial Narrow" w:cs="Arial"/>
                <w:sz w:val="20"/>
                <w:szCs w:val="20"/>
              </w:rPr>
            </w:pPr>
          </w:p>
          <w:p w14:paraId="58479EBE"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28</w:t>
            </w:r>
          </w:p>
        </w:tc>
        <w:tc>
          <w:tcPr>
            <w:tcW w:w="708" w:type="dxa"/>
            <w:tcBorders>
              <w:top w:val="single" w:sz="4" w:space="0" w:color="auto"/>
              <w:left w:val="single" w:sz="4" w:space="0" w:color="auto"/>
              <w:bottom w:val="single" w:sz="4" w:space="0" w:color="auto"/>
              <w:right w:val="single" w:sz="4" w:space="0" w:color="auto"/>
            </w:tcBorders>
          </w:tcPr>
          <w:p w14:paraId="4EA1BFAE" w14:textId="77777777" w:rsidR="008F04C0" w:rsidRPr="00CD0476" w:rsidRDefault="008F04C0" w:rsidP="008F04C0">
            <w:pPr>
              <w:keepNext/>
              <w:ind w:left="-108"/>
              <w:jc w:val="center"/>
              <w:rPr>
                <w:rFonts w:ascii="Arial Narrow" w:hAnsi="Arial Narrow" w:cs="Arial"/>
                <w:sz w:val="20"/>
                <w:szCs w:val="20"/>
              </w:rPr>
            </w:pPr>
          </w:p>
          <w:p w14:paraId="2E435C31" w14:textId="77777777" w:rsidR="008F04C0" w:rsidRPr="00CD0476" w:rsidRDefault="008F04C0" w:rsidP="008F04C0">
            <w:pPr>
              <w:keepNext/>
              <w:rPr>
                <w:rFonts w:ascii="Arial Narrow" w:hAnsi="Arial Narrow" w:cs="Arial"/>
                <w:sz w:val="20"/>
                <w:szCs w:val="20"/>
              </w:rPr>
            </w:pPr>
          </w:p>
          <w:p w14:paraId="69347F71"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5</w:t>
            </w:r>
          </w:p>
          <w:p w14:paraId="1E0A025F" w14:textId="77777777" w:rsidR="008F04C0" w:rsidRPr="00CD0476" w:rsidRDefault="008F04C0" w:rsidP="008F04C0">
            <w:pPr>
              <w:keepNext/>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109B4B5" w14:textId="77777777" w:rsidR="008F04C0" w:rsidRPr="00CD0476" w:rsidRDefault="008F04C0" w:rsidP="00A20179">
            <w:pPr>
              <w:keepNext/>
              <w:rPr>
                <w:rFonts w:ascii="Arial Narrow" w:hAnsi="Arial Narrow" w:cs="Arial"/>
                <w:sz w:val="20"/>
                <w:szCs w:val="20"/>
              </w:rPr>
            </w:pPr>
          </w:p>
          <w:p w14:paraId="6C662E16" w14:textId="77777777" w:rsidR="008F04C0" w:rsidRPr="00CD0476" w:rsidRDefault="008F04C0" w:rsidP="00A20179">
            <w:pPr>
              <w:keepNext/>
              <w:rPr>
                <w:rFonts w:ascii="Arial Narrow" w:hAnsi="Arial Narrow" w:cs="Arial"/>
                <w:sz w:val="20"/>
                <w:szCs w:val="20"/>
              </w:rPr>
            </w:pPr>
          </w:p>
          <w:p w14:paraId="37530E14" w14:textId="5FA3E6CD" w:rsidR="008F04C0" w:rsidRPr="00CD0476" w:rsidRDefault="008F04C0" w:rsidP="007543BE">
            <w:pPr>
              <w:keepNext/>
              <w:rPr>
                <w:rFonts w:ascii="Arial Narrow" w:hAnsi="Arial Narrow" w:cs="Arial"/>
                <w:sz w:val="20"/>
                <w:szCs w:val="20"/>
              </w:rPr>
            </w:pPr>
            <w:r w:rsidRPr="00CD0476">
              <w:rPr>
                <w:rFonts w:ascii="Arial Narrow" w:hAnsi="Arial Narrow" w:cs="Arial"/>
                <w:sz w:val="20"/>
                <w:szCs w:val="20"/>
              </w:rPr>
              <w:t>Xigduo</w:t>
            </w:r>
            <w:r w:rsidR="00A20179">
              <w:rPr>
                <w:rFonts w:ascii="Arial Narrow" w:hAnsi="Arial Narrow" w:cs="Arial"/>
                <w:sz w:val="20"/>
                <w:szCs w:val="20"/>
              </w:rPr>
              <w:t xml:space="preserve"> </w:t>
            </w:r>
            <w:r w:rsidRPr="00CD0476">
              <w:rPr>
                <w:rFonts w:ascii="Arial Narrow" w:hAnsi="Arial Narrow" w:cs="Arial"/>
                <w:sz w:val="20"/>
                <w:szCs w:val="20"/>
              </w:rPr>
              <w:t>XR 10/1000</w:t>
            </w:r>
          </w:p>
        </w:tc>
      </w:tr>
      <w:tr w:rsidR="008F04C0" w:rsidRPr="00CD0476" w14:paraId="115B09E8" w14:textId="77777777" w:rsidTr="008F04C0">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7A953302"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DAPAGLIFLOZIN + METFORMIN</w:t>
            </w:r>
          </w:p>
          <w:p w14:paraId="48D2C744" w14:textId="77777777" w:rsidR="008F04C0" w:rsidRPr="00CD0476" w:rsidRDefault="008F04C0" w:rsidP="008F04C0">
            <w:pPr>
              <w:keepNext/>
              <w:ind w:left="-108"/>
              <w:jc w:val="both"/>
              <w:rPr>
                <w:rFonts w:ascii="Arial Narrow" w:hAnsi="Arial Narrow" w:cs="Arial"/>
                <w:sz w:val="20"/>
                <w:szCs w:val="20"/>
              </w:rPr>
            </w:pPr>
          </w:p>
          <w:p w14:paraId="59335923"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dapagliflozin 5 mg + metformin hydrochloride 1 g modified release tablet, 56</w:t>
            </w:r>
          </w:p>
        </w:tc>
        <w:tc>
          <w:tcPr>
            <w:tcW w:w="993" w:type="dxa"/>
            <w:tcBorders>
              <w:top w:val="single" w:sz="4" w:space="0" w:color="auto"/>
              <w:left w:val="single" w:sz="4" w:space="0" w:color="auto"/>
              <w:bottom w:val="single" w:sz="4" w:space="0" w:color="auto"/>
              <w:right w:val="single" w:sz="4" w:space="0" w:color="auto"/>
            </w:tcBorders>
            <w:vAlign w:val="center"/>
          </w:tcPr>
          <w:p w14:paraId="52E2890C" w14:textId="3F12997F"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57B073E4" w14:textId="77777777" w:rsidR="008F04C0" w:rsidRPr="00CD0476" w:rsidRDefault="008F04C0" w:rsidP="008F04C0">
            <w:pPr>
              <w:keepNext/>
              <w:jc w:val="center"/>
              <w:rPr>
                <w:rFonts w:ascii="Arial Narrow" w:hAnsi="Arial Narrow" w:cs="Arial"/>
                <w:sz w:val="20"/>
                <w:szCs w:val="20"/>
              </w:rPr>
            </w:pPr>
          </w:p>
          <w:p w14:paraId="275AC633" w14:textId="77777777" w:rsidR="008F04C0" w:rsidRPr="00CD0476" w:rsidRDefault="008F04C0" w:rsidP="008F04C0">
            <w:pPr>
              <w:keepNext/>
              <w:rPr>
                <w:rFonts w:ascii="Arial Narrow" w:hAnsi="Arial Narrow" w:cs="Arial"/>
                <w:sz w:val="20"/>
                <w:szCs w:val="20"/>
              </w:rPr>
            </w:pPr>
          </w:p>
          <w:p w14:paraId="60725A3B" w14:textId="77777777" w:rsidR="008F04C0" w:rsidRPr="00CD0476" w:rsidRDefault="008F04C0" w:rsidP="008F04C0">
            <w:pPr>
              <w:keepNext/>
              <w:jc w:val="center"/>
              <w:rPr>
                <w:rFonts w:ascii="Arial Narrow" w:hAnsi="Arial Narrow" w:cs="Arial"/>
                <w:sz w:val="20"/>
                <w:szCs w:val="20"/>
              </w:rPr>
            </w:pPr>
            <w:r w:rsidRPr="00CD0476">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DFC831F" w14:textId="77777777" w:rsidR="008F04C0" w:rsidRPr="00CD0476" w:rsidRDefault="008F04C0" w:rsidP="008F04C0">
            <w:pPr>
              <w:keepNext/>
              <w:ind w:left="-108"/>
              <w:jc w:val="center"/>
              <w:rPr>
                <w:rFonts w:ascii="Arial Narrow" w:hAnsi="Arial Narrow" w:cs="Arial"/>
                <w:sz w:val="20"/>
                <w:szCs w:val="20"/>
              </w:rPr>
            </w:pPr>
          </w:p>
          <w:p w14:paraId="7B3EEF22" w14:textId="77777777" w:rsidR="008F04C0" w:rsidRPr="00CD0476" w:rsidRDefault="008F04C0" w:rsidP="008F04C0">
            <w:pPr>
              <w:keepNext/>
              <w:rPr>
                <w:rFonts w:ascii="Arial Narrow" w:hAnsi="Arial Narrow" w:cs="Arial"/>
                <w:sz w:val="20"/>
                <w:szCs w:val="20"/>
              </w:rPr>
            </w:pPr>
          </w:p>
          <w:p w14:paraId="3868F85E"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56</w:t>
            </w:r>
          </w:p>
        </w:tc>
        <w:tc>
          <w:tcPr>
            <w:tcW w:w="708" w:type="dxa"/>
            <w:tcBorders>
              <w:top w:val="single" w:sz="4" w:space="0" w:color="auto"/>
              <w:left w:val="single" w:sz="4" w:space="0" w:color="auto"/>
              <w:bottom w:val="single" w:sz="4" w:space="0" w:color="auto"/>
              <w:right w:val="single" w:sz="4" w:space="0" w:color="auto"/>
            </w:tcBorders>
          </w:tcPr>
          <w:p w14:paraId="2E0D024B" w14:textId="77777777" w:rsidR="008F04C0" w:rsidRPr="00CD0476" w:rsidRDefault="008F04C0" w:rsidP="008F04C0">
            <w:pPr>
              <w:keepNext/>
              <w:ind w:left="-108"/>
              <w:jc w:val="center"/>
              <w:rPr>
                <w:rFonts w:ascii="Arial Narrow" w:hAnsi="Arial Narrow" w:cs="Arial"/>
                <w:sz w:val="20"/>
                <w:szCs w:val="20"/>
              </w:rPr>
            </w:pPr>
          </w:p>
          <w:p w14:paraId="441DD069" w14:textId="77777777" w:rsidR="008F04C0" w:rsidRPr="00CD0476" w:rsidRDefault="008F04C0" w:rsidP="008F04C0">
            <w:pPr>
              <w:keepNext/>
              <w:rPr>
                <w:rFonts w:ascii="Arial Narrow" w:hAnsi="Arial Narrow" w:cs="Arial"/>
                <w:sz w:val="20"/>
                <w:szCs w:val="20"/>
              </w:rPr>
            </w:pPr>
          </w:p>
          <w:p w14:paraId="46D12BD4"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5</w:t>
            </w:r>
          </w:p>
          <w:p w14:paraId="618B3C21" w14:textId="77777777" w:rsidR="008F04C0" w:rsidRPr="00CD0476" w:rsidRDefault="008F04C0" w:rsidP="008F04C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8EAF35" w14:textId="77777777" w:rsidR="008F04C0" w:rsidRPr="00CD0476" w:rsidRDefault="008F04C0" w:rsidP="00A20179">
            <w:pPr>
              <w:keepNext/>
              <w:rPr>
                <w:rFonts w:ascii="Arial Narrow" w:hAnsi="Arial Narrow" w:cs="Arial"/>
                <w:sz w:val="20"/>
                <w:szCs w:val="20"/>
              </w:rPr>
            </w:pPr>
          </w:p>
          <w:p w14:paraId="3DE44957" w14:textId="77777777" w:rsidR="008F04C0" w:rsidRPr="00CD0476" w:rsidRDefault="008F04C0" w:rsidP="00A20179">
            <w:pPr>
              <w:keepNext/>
              <w:rPr>
                <w:rFonts w:ascii="Arial Narrow" w:hAnsi="Arial Narrow" w:cs="Arial"/>
                <w:sz w:val="20"/>
                <w:szCs w:val="20"/>
              </w:rPr>
            </w:pPr>
          </w:p>
          <w:p w14:paraId="61519201" w14:textId="2DDA2928" w:rsidR="008F04C0" w:rsidRPr="00CD0476" w:rsidRDefault="008F04C0" w:rsidP="007543BE">
            <w:pPr>
              <w:keepNext/>
              <w:rPr>
                <w:rFonts w:ascii="Arial Narrow" w:hAnsi="Arial Narrow" w:cs="Arial"/>
                <w:sz w:val="20"/>
                <w:szCs w:val="20"/>
              </w:rPr>
            </w:pPr>
            <w:r w:rsidRPr="00CD0476">
              <w:rPr>
                <w:rFonts w:ascii="Arial Narrow" w:hAnsi="Arial Narrow" w:cs="Arial"/>
                <w:sz w:val="20"/>
                <w:szCs w:val="20"/>
              </w:rPr>
              <w:t>Xigduo XR 5/1000</w:t>
            </w:r>
          </w:p>
        </w:tc>
      </w:tr>
      <w:tr w:rsidR="008F04C0" w:rsidRPr="00CD0476" w14:paraId="2F8C3132" w14:textId="77777777" w:rsidTr="008F04C0">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6C97BF14"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DAPAGLIFLOZIN + METFORMIN</w:t>
            </w:r>
          </w:p>
          <w:p w14:paraId="148A4C24" w14:textId="77777777" w:rsidR="008F04C0" w:rsidRPr="00CD0476" w:rsidRDefault="008F04C0" w:rsidP="008F04C0">
            <w:pPr>
              <w:keepNext/>
              <w:ind w:left="-108"/>
              <w:jc w:val="both"/>
              <w:rPr>
                <w:rFonts w:ascii="Arial Narrow" w:hAnsi="Arial Narrow" w:cs="Arial"/>
                <w:sz w:val="20"/>
                <w:szCs w:val="20"/>
              </w:rPr>
            </w:pPr>
          </w:p>
          <w:p w14:paraId="1897CDE2"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dapagliflozin 10 mg + metformin hydrochloride 500 mg modified release tablet, 28</w:t>
            </w:r>
          </w:p>
        </w:tc>
        <w:tc>
          <w:tcPr>
            <w:tcW w:w="993" w:type="dxa"/>
            <w:tcBorders>
              <w:top w:val="single" w:sz="4" w:space="0" w:color="auto"/>
              <w:left w:val="single" w:sz="4" w:space="0" w:color="auto"/>
              <w:bottom w:val="single" w:sz="4" w:space="0" w:color="auto"/>
              <w:right w:val="single" w:sz="4" w:space="0" w:color="auto"/>
            </w:tcBorders>
            <w:vAlign w:val="center"/>
          </w:tcPr>
          <w:p w14:paraId="29FE96E9" w14:textId="15C82882"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26F0335A" w14:textId="77777777" w:rsidR="008F04C0" w:rsidRPr="00CD0476" w:rsidRDefault="008F04C0" w:rsidP="008F04C0">
            <w:pPr>
              <w:keepNext/>
              <w:jc w:val="center"/>
              <w:rPr>
                <w:rFonts w:ascii="Arial Narrow" w:hAnsi="Arial Narrow" w:cs="Arial"/>
                <w:sz w:val="20"/>
                <w:szCs w:val="20"/>
              </w:rPr>
            </w:pPr>
          </w:p>
          <w:p w14:paraId="67EEBAD7" w14:textId="77777777" w:rsidR="008F04C0" w:rsidRPr="00CD0476" w:rsidRDefault="008F04C0" w:rsidP="008F04C0">
            <w:pPr>
              <w:keepNext/>
              <w:rPr>
                <w:rFonts w:ascii="Arial Narrow" w:hAnsi="Arial Narrow" w:cs="Arial"/>
                <w:sz w:val="20"/>
                <w:szCs w:val="20"/>
              </w:rPr>
            </w:pPr>
          </w:p>
          <w:p w14:paraId="4C82BE52" w14:textId="77777777" w:rsidR="008F04C0" w:rsidRPr="00CD0476" w:rsidRDefault="008F04C0" w:rsidP="008F04C0">
            <w:pPr>
              <w:keepNext/>
              <w:jc w:val="center"/>
              <w:rPr>
                <w:rFonts w:ascii="Arial Narrow" w:hAnsi="Arial Narrow" w:cs="Arial"/>
                <w:sz w:val="20"/>
                <w:szCs w:val="20"/>
              </w:rPr>
            </w:pPr>
            <w:r w:rsidRPr="00CD0476">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ECC1F10" w14:textId="77777777" w:rsidR="008F04C0" w:rsidRPr="00CD0476" w:rsidRDefault="008F04C0" w:rsidP="008F04C0">
            <w:pPr>
              <w:keepNext/>
              <w:ind w:left="-108"/>
              <w:jc w:val="center"/>
              <w:rPr>
                <w:rFonts w:ascii="Arial Narrow" w:hAnsi="Arial Narrow" w:cs="Arial"/>
                <w:sz w:val="20"/>
                <w:szCs w:val="20"/>
              </w:rPr>
            </w:pPr>
          </w:p>
          <w:p w14:paraId="07D08966" w14:textId="77777777" w:rsidR="008F04C0" w:rsidRPr="00CD0476" w:rsidRDefault="008F04C0" w:rsidP="008F04C0">
            <w:pPr>
              <w:keepNext/>
              <w:rPr>
                <w:rFonts w:ascii="Arial Narrow" w:hAnsi="Arial Narrow" w:cs="Arial"/>
                <w:sz w:val="20"/>
                <w:szCs w:val="20"/>
              </w:rPr>
            </w:pPr>
          </w:p>
          <w:p w14:paraId="6633C6B3"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28</w:t>
            </w:r>
          </w:p>
        </w:tc>
        <w:tc>
          <w:tcPr>
            <w:tcW w:w="708" w:type="dxa"/>
            <w:tcBorders>
              <w:top w:val="single" w:sz="4" w:space="0" w:color="auto"/>
              <w:left w:val="single" w:sz="4" w:space="0" w:color="auto"/>
              <w:bottom w:val="single" w:sz="4" w:space="0" w:color="auto"/>
              <w:right w:val="single" w:sz="4" w:space="0" w:color="auto"/>
            </w:tcBorders>
          </w:tcPr>
          <w:p w14:paraId="6B5AA727" w14:textId="77777777" w:rsidR="008F04C0" w:rsidRPr="00CD0476" w:rsidRDefault="008F04C0" w:rsidP="008F04C0">
            <w:pPr>
              <w:keepNext/>
              <w:ind w:left="-108"/>
              <w:jc w:val="center"/>
              <w:rPr>
                <w:rFonts w:ascii="Arial Narrow" w:hAnsi="Arial Narrow" w:cs="Arial"/>
                <w:sz w:val="20"/>
                <w:szCs w:val="20"/>
              </w:rPr>
            </w:pPr>
          </w:p>
          <w:p w14:paraId="0FCB731D" w14:textId="77777777" w:rsidR="008F04C0" w:rsidRPr="00CD0476" w:rsidRDefault="008F04C0" w:rsidP="008F04C0">
            <w:pPr>
              <w:keepNext/>
              <w:rPr>
                <w:rFonts w:ascii="Arial Narrow" w:hAnsi="Arial Narrow" w:cs="Arial"/>
                <w:sz w:val="20"/>
                <w:szCs w:val="20"/>
              </w:rPr>
            </w:pPr>
          </w:p>
          <w:p w14:paraId="0B0BE167"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5</w:t>
            </w:r>
          </w:p>
          <w:p w14:paraId="61D2D2EE" w14:textId="77777777" w:rsidR="008F04C0" w:rsidRPr="00CD0476" w:rsidRDefault="008F04C0" w:rsidP="008F04C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F2DC3C" w14:textId="77777777" w:rsidR="008F04C0" w:rsidRPr="00CD0476" w:rsidRDefault="008F04C0" w:rsidP="00A20179">
            <w:pPr>
              <w:keepNext/>
              <w:rPr>
                <w:rFonts w:ascii="Arial Narrow" w:hAnsi="Arial Narrow" w:cs="Arial"/>
                <w:sz w:val="20"/>
                <w:szCs w:val="20"/>
              </w:rPr>
            </w:pPr>
          </w:p>
          <w:p w14:paraId="52F7D997" w14:textId="77777777" w:rsidR="008F04C0" w:rsidRPr="00CD0476" w:rsidRDefault="008F04C0" w:rsidP="00A20179">
            <w:pPr>
              <w:keepNext/>
              <w:rPr>
                <w:rFonts w:ascii="Arial Narrow" w:hAnsi="Arial Narrow" w:cs="Arial"/>
                <w:sz w:val="20"/>
                <w:szCs w:val="20"/>
              </w:rPr>
            </w:pPr>
          </w:p>
          <w:p w14:paraId="4200B0D2" w14:textId="25699F7A" w:rsidR="008F04C0" w:rsidRPr="00CD0476" w:rsidRDefault="008F04C0" w:rsidP="007543BE">
            <w:pPr>
              <w:keepNext/>
              <w:rPr>
                <w:rFonts w:ascii="Arial Narrow" w:hAnsi="Arial Narrow" w:cs="Arial"/>
                <w:sz w:val="20"/>
                <w:szCs w:val="20"/>
              </w:rPr>
            </w:pPr>
            <w:r w:rsidRPr="00CD0476">
              <w:rPr>
                <w:rFonts w:ascii="Arial Narrow" w:hAnsi="Arial Narrow" w:cs="Arial"/>
                <w:sz w:val="20"/>
                <w:szCs w:val="20"/>
              </w:rPr>
              <w:t>Xigduo XR 10/500</w:t>
            </w:r>
          </w:p>
        </w:tc>
      </w:tr>
      <w:tr w:rsidR="008F04C0" w:rsidRPr="00CD0476" w14:paraId="103074BB" w14:textId="77777777" w:rsidTr="008F04C0">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30481AE4"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EMPAGLIFLOZIN + METFORMIN</w:t>
            </w:r>
          </w:p>
          <w:p w14:paraId="593C5A7E" w14:textId="77777777" w:rsidR="008F04C0" w:rsidRPr="00CD0476" w:rsidRDefault="008F04C0" w:rsidP="008F04C0">
            <w:pPr>
              <w:keepNext/>
              <w:ind w:left="-108"/>
              <w:jc w:val="both"/>
              <w:rPr>
                <w:rFonts w:ascii="Arial Narrow" w:hAnsi="Arial Narrow" w:cs="Arial"/>
                <w:sz w:val="20"/>
                <w:szCs w:val="20"/>
              </w:rPr>
            </w:pPr>
          </w:p>
          <w:p w14:paraId="7B68806B" w14:textId="77777777" w:rsidR="008F04C0" w:rsidRPr="00CD0476" w:rsidRDefault="008F04C0" w:rsidP="008F04C0">
            <w:pPr>
              <w:keepNext/>
              <w:ind w:left="-108"/>
              <w:jc w:val="both"/>
              <w:rPr>
                <w:rFonts w:ascii="Arial Narrow" w:hAnsi="Arial Narrow" w:cs="Arial"/>
                <w:sz w:val="20"/>
                <w:szCs w:val="20"/>
              </w:rPr>
            </w:pPr>
            <w:r w:rsidRPr="00CD0476">
              <w:rPr>
                <w:rFonts w:ascii="Arial Narrow" w:hAnsi="Arial Narrow" w:cs="Arial"/>
                <w:sz w:val="20"/>
                <w:szCs w:val="20"/>
              </w:rPr>
              <w:t>empagliflozin 12.5 mg + metformin hydrochloride 1 g tablet, 60</w:t>
            </w:r>
          </w:p>
        </w:tc>
        <w:tc>
          <w:tcPr>
            <w:tcW w:w="993" w:type="dxa"/>
            <w:tcBorders>
              <w:top w:val="single" w:sz="4" w:space="0" w:color="auto"/>
              <w:left w:val="single" w:sz="4" w:space="0" w:color="auto"/>
              <w:bottom w:val="single" w:sz="4" w:space="0" w:color="auto"/>
              <w:right w:val="single" w:sz="4" w:space="0" w:color="auto"/>
            </w:tcBorders>
            <w:vAlign w:val="center"/>
          </w:tcPr>
          <w:p w14:paraId="0CCC6A42" w14:textId="75BD7927" w:rsidR="008F04C0" w:rsidRPr="00CD0476" w:rsidRDefault="008F04C0" w:rsidP="008F04C0">
            <w:pPr>
              <w:keepNext/>
              <w:jc w:val="center"/>
              <w:rPr>
                <w:rFonts w:ascii="Arial Narrow" w:hAnsi="Arial Narrow" w:cs="Arial"/>
                <w:sz w:val="20"/>
                <w:szCs w:val="20"/>
              </w:rPr>
            </w:pPr>
            <w:r w:rsidRPr="00CD0476">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19150EF7" w14:textId="77777777" w:rsidR="008F04C0" w:rsidRPr="00CD0476" w:rsidRDefault="008F04C0" w:rsidP="008F04C0">
            <w:pPr>
              <w:keepNext/>
              <w:jc w:val="center"/>
              <w:rPr>
                <w:rFonts w:ascii="Arial Narrow" w:hAnsi="Arial Narrow" w:cs="Arial"/>
                <w:sz w:val="20"/>
                <w:szCs w:val="20"/>
              </w:rPr>
            </w:pPr>
          </w:p>
          <w:p w14:paraId="57EBDAEB" w14:textId="77777777" w:rsidR="008F04C0" w:rsidRPr="00CD0476" w:rsidRDefault="008F04C0" w:rsidP="008F04C0">
            <w:pPr>
              <w:keepNext/>
              <w:rPr>
                <w:rFonts w:ascii="Arial Narrow" w:hAnsi="Arial Narrow" w:cs="Arial"/>
                <w:sz w:val="20"/>
                <w:szCs w:val="20"/>
              </w:rPr>
            </w:pPr>
          </w:p>
          <w:p w14:paraId="0E3A4443" w14:textId="77777777" w:rsidR="008F04C0" w:rsidRPr="00CD0476" w:rsidRDefault="008F04C0" w:rsidP="008F04C0">
            <w:pPr>
              <w:keepNext/>
              <w:jc w:val="center"/>
              <w:rPr>
                <w:rFonts w:ascii="Arial Narrow" w:hAnsi="Arial Narrow" w:cs="Arial"/>
                <w:sz w:val="20"/>
                <w:szCs w:val="20"/>
              </w:rPr>
            </w:pPr>
            <w:r w:rsidRPr="00CD0476">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C597E7A" w14:textId="77777777" w:rsidR="008F04C0" w:rsidRPr="00CD0476" w:rsidRDefault="008F04C0" w:rsidP="008F04C0">
            <w:pPr>
              <w:keepNext/>
              <w:ind w:left="-108"/>
              <w:jc w:val="center"/>
              <w:rPr>
                <w:rFonts w:ascii="Arial Narrow" w:hAnsi="Arial Narrow" w:cs="Arial"/>
                <w:sz w:val="20"/>
                <w:szCs w:val="20"/>
              </w:rPr>
            </w:pPr>
          </w:p>
          <w:p w14:paraId="4055FABE" w14:textId="77777777" w:rsidR="008F04C0" w:rsidRPr="00CD0476" w:rsidRDefault="008F04C0" w:rsidP="008F04C0">
            <w:pPr>
              <w:keepNext/>
              <w:rPr>
                <w:rFonts w:ascii="Arial Narrow" w:hAnsi="Arial Narrow" w:cs="Arial"/>
                <w:sz w:val="20"/>
                <w:szCs w:val="20"/>
              </w:rPr>
            </w:pPr>
          </w:p>
          <w:p w14:paraId="3D811E92"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60</w:t>
            </w:r>
          </w:p>
        </w:tc>
        <w:tc>
          <w:tcPr>
            <w:tcW w:w="708" w:type="dxa"/>
            <w:tcBorders>
              <w:top w:val="single" w:sz="4" w:space="0" w:color="auto"/>
              <w:left w:val="single" w:sz="4" w:space="0" w:color="auto"/>
              <w:bottom w:val="single" w:sz="4" w:space="0" w:color="auto"/>
              <w:right w:val="single" w:sz="4" w:space="0" w:color="auto"/>
            </w:tcBorders>
          </w:tcPr>
          <w:p w14:paraId="1D7E8ED3" w14:textId="77777777" w:rsidR="008F04C0" w:rsidRPr="00CD0476" w:rsidRDefault="008F04C0" w:rsidP="008F04C0">
            <w:pPr>
              <w:keepNext/>
              <w:ind w:left="-108"/>
              <w:jc w:val="center"/>
              <w:rPr>
                <w:rFonts w:ascii="Arial Narrow" w:hAnsi="Arial Narrow" w:cs="Arial"/>
                <w:sz w:val="20"/>
                <w:szCs w:val="20"/>
              </w:rPr>
            </w:pPr>
          </w:p>
          <w:p w14:paraId="1B39E895" w14:textId="77777777" w:rsidR="008F04C0" w:rsidRPr="00CD0476" w:rsidRDefault="008F04C0" w:rsidP="008F04C0">
            <w:pPr>
              <w:keepNext/>
              <w:rPr>
                <w:rFonts w:ascii="Arial Narrow" w:hAnsi="Arial Narrow" w:cs="Arial"/>
                <w:sz w:val="20"/>
                <w:szCs w:val="20"/>
              </w:rPr>
            </w:pPr>
          </w:p>
          <w:p w14:paraId="179C4AE3"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5</w:t>
            </w:r>
          </w:p>
          <w:p w14:paraId="61F1A720" w14:textId="77777777" w:rsidR="008F04C0" w:rsidRPr="00CD0476" w:rsidRDefault="008F04C0" w:rsidP="008F04C0">
            <w:pPr>
              <w:keepNext/>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A56D77" w14:textId="77777777" w:rsidR="008F04C0" w:rsidRPr="00CD0476" w:rsidRDefault="008F04C0" w:rsidP="00A20179">
            <w:pPr>
              <w:keepNext/>
              <w:rPr>
                <w:rFonts w:ascii="Arial Narrow" w:hAnsi="Arial Narrow" w:cs="Arial"/>
                <w:sz w:val="20"/>
                <w:szCs w:val="20"/>
              </w:rPr>
            </w:pPr>
          </w:p>
          <w:p w14:paraId="7B6524DA" w14:textId="77777777" w:rsidR="008F04C0" w:rsidRPr="00CD0476" w:rsidRDefault="008F04C0" w:rsidP="00A20179">
            <w:pPr>
              <w:keepNext/>
              <w:rPr>
                <w:rFonts w:ascii="Arial Narrow" w:hAnsi="Arial Narrow" w:cs="Arial"/>
                <w:sz w:val="20"/>
                <w:szCs w:val="20"/>
              </w:rPr>
            </w:pPr>
          </w:p>
          <w:p w14:paraId="28B70466" w14:textId="6017CAC8" w:rsidR="008F04C0" w:rsidRPr="00CD0476" w:rsidRDefault="008F04C0" w:rsidP="007543BE">
            <w:pPr>
              <w:keepNext/>
              <w:rPr>
                <w:rFonts w:ascii="Arial Narrow" w:hAnsi="Arial Narrow" w:cs="Arial"/>
                <w:sz w:val="20"/>
                <w:szCs w:val="20"/>
              </w:rPr>
            </w:pPr>
            <w:r w:rsidRPr="00CD0476">
              <w:rPr>
                <w:rFonts w:ascii="Arial Narrow" w:hAnsi="Arial Narrow" w:cs="Arial"/>
                <w:sz w:val="20"/>
                <w:szCs w:val="20"/>
              </w:rPr>
              <w:t>Jardiamet 12.5 mg/1000 mg</w:t>
            </w:r>
          </w:p>
        </w:tc>
      </w:tr>
      <w:tr w:rsidR="008F04C0" w:rsidRPr="00CD0476" w14:paraId="11CA0401" w14:textId="77777777" w:rsidTr="008F04C0">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2DFADBD6"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EMPAGLIFLOZIN + METFORMIN</w:t>
            </w:r>
          </w:p>
          <w:p w14:paraId="0BD07989" w14:textId="77777777" w:rsidR="008F04C0" w:rsidRPr="00CD0476" w:rsidRDefault="008F04C0" w:rsidP="008F04C0">
            <w:pPr>
              <w:keepNext/>
              <w:ind w:left="-108"/>
              <w:jc w:val="both"/>
              <w:rPr>
                <w:rFonts w:ascii="Arial Narrow" w:hAnsi="Arial Narrow" w:cs="Arial"/>
                <w:sz w:val="20"/>
                <w:szCs w:val="20"/>
              </w:rPr>
            </w:pPr>
          </w:p>
          <w:p w14:paraId="57D3399C"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empagliflozin 5 mg + metformin hydrochloride 1 g tablet, 60</w:t>
            </w:r>
          </w:p>
        </w:tc>
        <w:tc>
          <w:tcPr>
            <w:tcW w:w="993" w:type="dxa"/>
            <w:tcBorders>
              <w:top w:val="single" w:sz="4" w:space="0" w:color="auto"/>
              <w:left w:val="single" w:sz="4" w:space="0" w:color="auto"/>
              <w:bottom w:val="single" w:sz="4" w:space="0" w:color="auto"/>
              <w:right w:val="single" w:sz="4" w:space="0" w:color="auto"/>
            </w:tcBorders>
            <w:vAlign w:val="center"/>
          </w:tcPr>
          <w:p w14:paraId="18113442" w14:textId="2BA8DD2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670E8EA2" w14:textId="77777777" w:rsidR="008F04C0" w:rsidRPr="00CD0476" w:rsidRDefault="008F04C0" w:rsidP="008F04C0">
            <w:pPr>
              <w:keepNext/>
              <w:jc w:val="center"/>
              <w:rPr>
                <w:rFonts w:ascii="Arial Narrow" w:hAnsi="Arial Narrow" w:cs="Arial"/>
                <w:sz w:val="20"/>
                <w:szCs w:val="20"/>
              </w:rPr>
            </w:pPr>
          </w:p>
          <w:p w14:paraId="3482C1B5" w14:textId="77777777" w:rsidR="008F04C0" w:rsidRPr="00CD0476" w:rsidRDefault="008F04C0" w:rsidP="008F04C0">
            <w:pPr>
              <w:keepNext/>
              <w:rPr>
                <w:rFonts w:ascii="Arial Narrow" w:hAnsi="Arial Narrow" w:cs="Arial"/>
                <w:sz w:val="20"/>
                <w:szCs w:val="20"/>
              </w:rPr>
            </w:pPr>
          </w:p>
          <w:p w14:paraId="174E02F7" w14:textId="77777777" w:rsidR="008F04C0" w:rsidRPr="00CD0476" w:rsidRDefault="008F04C0" w:rsidP="008F04C0">
            <w:pPr>
              <w:keepNext/>
              <w:jc w:val="center"/>
              <w:rPr>
                <w:rFonts w:ascii="Arial Narrow" w:hAnsi="Arial Narrow" w:cs="Arial"/>
                <w:sz w:val="20"/>
                <w:szCs w:val="20"/>
              </w:rPr>
            </w:pPr>
            <w:r w:rsidRPr="00CD0476">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6D478C7" w14:textId="77777777" w:rsidR="008F04C0" w:rsidRPr="00CD0476" w:rsidRDefault="008F04C0" w:rsidP="008F04C0">
            <w:pPr>
              <w:keepNext/>
              <w:ind w:left="-108"/>
              <w:jc w:val="center"/>
              <w:rPr>
                <w:rFonts w:ascii="Arial Narrow" w:hAnsi="Arial Narrow" w:cs="Arial"/>
                <w:sz w:val="20"/>
                <w:szCs w:val="20"/>
              </w:rPr>
            </w:pPr>
          </w:p>
          <w:p w14:paraId="402A22DD" w14:textId="77777777" w:rsidR="008F04C0" w:rsidRPr="00CD0476" w:rsidRDefault="008F04C0" w:rsidP="008F04C0">
            <w:pPr>
              <w:keepNext/>
              <w:rPr>
                <w:rFonts w:ascii="Arial Narrow" w:hAnsi="Arial Narrow" w:cs="Arial"/>
                <w:sz w:val="20"/>
                <w:szCs w:val="20"/>
              </w:rPr>
            </w:pPr>
          </w:p>
          <w:p w14:paraId="2B885772"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60</w:t>
            </w:r>
          </w:p>
        </w:tc>
        <w:tc>
          <w:tcPr>
            <w:tcW w:w="708" w:type="dxa"/>
            <w:tcBorders>
              <w:top w:val="single" w:sz="4" w:space="0" w:color="auto"/>
              <w:left w:val="single" w:sz="4" w:space="0" w:color="auto"/>
              <w:bottom w:val="single" w:sz="4" w:space="0" w:color="auto"/>
              <w:right w:val="single" w:sz="4" w:space="0" w:color="auto"/>
            </w:tcBorders>
          </w:tcPr>
          <w:p w14:paraId="288F7E1E" w14:textId="77777777" w:rsidR="008F04C0" w:rsidRPr="00CD0476" w:rsidRDefault="008F04C0" w:rsidP="008F04C0">
            <w:pPr>
              <w:keepNext/>
              <w:ind w:left="-108"/>
              <w:jc w:val="center"/>
              <w:rPr>
                <w:rFonts w:ascii="Arial Narrow" w:hAnsi="Arial Narrow" w:cs="Arial"/>
                <w:sz w:val="20"/>
                <w:szCs w:val="20"/>
              </w:rPr>
            </w:pPr>
          </w:p>
          <w:p w14:paraId="23E6063D" w14:textId="77777777" w:rsidR="008F04C0" w:rsidRPr="00CD0476" w:rsidRDefault="008F04C0" w:rsidP="008F04C0">
            <w:pPr>
              <w:keepNext/>
              <w:rPr>
                <w:rFonts w:ascii="Arial Narrow" w:hAnsi="Arial Narrow" w:cs="Arial"/>
                <w:sz w:val="20"/>
                <w:szCs w:val="20"/>
              </w:rPr>
            </w:pPr>
          </w:p>
          <w:p w14:paraId="4A8A149F"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5</w:t>
            </w:r>
          </w:p>
          <w:p w14:paraId="2E45F606" w14:textId="77777777" w:rsidR="008F04C0" w:rsidRPr="00CD0476" w:rsidRDefault="008F04C0" w:rsidP="008F04C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FC0AFD" w14:textId="77777777" w:rsidR="008F04C0" w:rsidRPr="00CD0476" w:rsidRDefault="008F04C0" w:rsidP="00A20179">
            <w:pPr>
              <w:keepNext/>
              <w:rPr>
                <w:rFonts w:ascii="Arial Narrow" w:hAnsi="Arial Narrow" w:cs="Arial"/>
                <w:sz w:val="20"/>
                <w:szCs w:val="20"/>
              </w:rPr>
            </w:pPr>
          </w:p>
          <w:p w14:paraId="7C3E5855" w14:textId="77777777" w:rsidR="008F04C0" w:rsidRPr="00CD0476" w:rsidRDefault="008F04C0" w:rsidP="00A20179">
            <w:pPr>
              <w:keepNext/>
              <w:rPr>
                <w:rFonts w:ascii="Arial Narrow" w:hAnsi="Arial Narrow" w:cs="Arial"/>
                <w:sz w:val="20"/>
                <w:szCs w:val="20"/>
              </w:rPr>
            </w:pPr>
          </w:p>
          <w:p w14:paraId="02F52646" w14:textId="0BCB5518" w:rsidR="008F04C0" w:rsidRPr="00CD0476" w:rsidRDefault="008F04C0" w:rsidP="007543BE">
            <w:pPr>
              <w:keepNext/>
              <w:rPr>
                <w:rFonts w:ascii="Arial Narrow" w:hAnsi="Arial Narrow" w:cs="Arial"/>
                <w:sz w:val="20"/>
                <w:szCs w:val="20"/>
              </w:rPr>
            </w:pPr>
            <w:r w:rsidRPr="00CD0476">
              <w:rPr>
                <w:rFonts w:ascii="Arial Narrow" w:hAnsi="Arial Narrow" w:cs="Arial"/>
                <w:sz w:val="20"/>
                <w:szCs w:val="20"/>
              </w:rPr>
              <w:t>Jardiamet 5 mg/1000 mg</w:t>
            </w:r>
          </w:p>
        </w:tc>
      </w:tr>
      <w:tr w:rsidR="008F04C0" w:rsidRPr="00CD0476" w14:paraId="69AC34BE" w14:textId="77777777" w:rsidTr="008F04C0">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0E08532A"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EMPAGLIFLOZIN + METFORMIN</w:t>
            </w:r>
          </w:p>
          <w:p w14:paraId="706B3098" w14:textId="77777777" w:rsidR="008F04C0" w:rsidRPr="00CD0476" w:rsidRDefault="008F04C0" w:rsidP="008F04C0">
            <w:pPr>
              <w:keepNext/>
              <w:ind w:left="-108"/>
              <w:jc w:val="both"/>
              <w:rPr>
                <w:rFonts w:ascii="Arial Narrow" w:hAnsi="Arial Narrow" w:cs="Arial"/>
                <w:sz w:val="20"/>
                <w:szCs w:val="20"/>
              </w:rPr>
            </w:pPr>
          </w:p>
          <w:p w14:paraId="5B343C37"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empagliflozin 12.5 mg + metformin hydrochloride 500 mg tablet, 60</w:t>
            </w:r>
          </w:p>
        </w:tc>
        <w:tc>
          <w:tcPr>
            <w:tcW w:w="993" w:type="dxa"/>
            <w:tcBorders>
              <w:top w:val="single" w:sz="4" w:space="0" w:color="auto"/>
              <w:left w:val="single" w:sz="4" w:space="0" w:color="auto"/>
              <w:bottom w:val="single" w:sz="4" w:space="0" w:color="auto"/>
              <w:right w:val="single" w:sz="4" w:space="0" w:color="auto"/>
            </w:tcBorders>
            <w:vAlign w:val="center"/>
          </w:tcPr>
          <w:p w14:paraId="0749E96F" w14:textId="0C41B611"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398CF927" w14:textId="77777777" w:rsidR="008F04C0" w:rsidRPr="00CD0476" w:rsidRDefault="008F04C0" w:rsidP="008F04C0">
            <w:pPr>
              <w:keepNext/>
              <w:jc w:val="center"/>
              <w:rPr>
                <w:rFonts w:ascii="Arial Narrow" w:hAnsi="Arial Narrow" w:cs="Arial"/>
                <w:sz w:val="20"/>
                <w:szCs w:val="20"/>
              </w:rPr>
            </w:pPr>
          </w:p>
          <w:p w14:paraId="703F1EFD" w14:textId="77777777" w:rsidR="008F04C0" w:rsidRPr="00CD0476" w:rsidRDefault="008F04C0" w:rsidP="008F04C0">
            <w:pPr>
              <w:keepNext/>
              <w:rPr>
                <w:rFonts w:ascii="Arial Narrow" w:hAnsi="Arial Narrow" w:cs="Arial"/>
                <w:sz w:val="20"/>
                <w:szCs w:val="20"/>
              </w:rPr>
            </w:pPr>
          </w:p>
          <w:p w14:paraId="4094B73D" w14:textId="77777777" w:rsidR="008F04C0" w:rsidRPr="00CD0476" w:rsidRDefault="008F04C0" w:rsidP="008F04C0">
            <w:pPr>
              <w:keepNext/>
              <w:jc w:val="center"/>
              <w:rPr>
                <w:rFonts w:ascii="Arial Narrow" w:hAnsi="Arial Narrow" w:cs="Arial"/>
                <w:sz w:val="20"/>
                <w:szCs w:val="20"/>
              </w:rPr>
            </w:pPr>
            <w:r w:rsidRPr="00CD0476">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4466538" w14:textId="77777777" w:rsidR="008F04C0" w:rsidRPr="00CD0476" w:rsidRDefault="008F04C0" w:rsidP="008F04C0">
            <w:pPr>
              <w:keepNext/>
              <w:ind w:left="-108"/>
              <w:jc w:val="center"/>
              <w:rPr>
                <w:rFonts w:ascii="Arial Narrow" w:hAnsi="Arial Narrow" w:cs="Arial"/>
                <w:sz w:val="20"/>
                <w:szCs w:val="20"/>
              </w:rPr>
            </w:pPr>
          </w:p>
          <w:p w14:paraId="3BA5E8D1" w14:textId="77777777" w:rsidR="008F04C0" w:rsidRPr="00CD0476" w:rsidRDefault="008F04C0" w:rsidP="008F04C0">
            <w:pPr>
              <w:keepNext/>
              <w:rPr>
                <w:rFonts w:ascii="Arial Narrow" w:hAnsi="Arial Narrow" w:cs="Arial"/>
                <w:sz w:val="20"/>
                <w:szCs w:val="20"/>
              </w:rPr>
            </w:pPr>
          </w:p>
          <w:p w14:paraId="66E15ABD"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60</w:t>
            </w:r>
          </w:p>
        </w:tc>
        <w:tc>
          <w:tcPr>
            <w:tcW w:w="708" w:type="dxa"/>
            <w:tcBorders>
              <w:top w:val="single" w:sz="4" w:space="0" w:color="auto"/>
              <w:left w:val="single" w:sz="4" w:space="0" w:color="auto"/>
              <w:bottom w:val="single" w:sz="4" w:space="0" w:color="auto"/>
              <w:right w:val="single" w:sz="4" w:space="0" w:color="auto"/>
            </w:tcBorders>
          </w:tcPr>
          <w:p w14:paraId="6E62E311" w14:textId="77777777" w:rsidR="008F04C0" w:rsidRPr="00CD0476" w:rsidRDefault="008F04C0" w:rsidP="008F04C0">
            <w:pPr>
              <w:keepNext/>
              <w:ind w:left="-108"/>
              <w:jc w:val="center"/>
              <w:rPr>
                <w:rFonts w:ascii="Arial Narrow" w:hAnsi="Arial Narrow" w:cs="Arial"/>
                <w:sz w:val="20"/>
                <w:szCs w:val="20"/>
              </w:rPr>
            </w:pPr>
          </w:p>
          <w:p w14:paraId="62ADFE48" w14:textId="77777777" w:rsidR="008F04C0" w:rsidRPr="00CD0476" w:rsidRDefault="008F04C0" w:rsidP="008F04C0">
            <w:pPr>
              <w:keepNext/>
              <w:rPr>
                <w:rFonts w:ascii="Arial Narrow" w:hAnsi="Arial Narrow" w:cs="Arial"/>
                <w:sz w:val="20"/>
                <w:szCs w:val="20"/>
              </w:rPr>
            </w:pPr>
          </w:p>
          <w:p w14:paraId="4800FAC7"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5</w:t>
            </w:r>
          </w:p>
          <w:p w14:paraId="68A19056" w14:textId="77777777" w:rsidR="008F04C0" w:rsidRPr="00CD0476" w:rsidRDefault="008F04C0" w:rsidP="008F04C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2B309A" w14:textId="77777777" w:rsidR="008F04C0" w:rsidRPr="00CD0476" w:rsidRDefault="008F04C0" w:rsidP="00A20179">
            <w:pPr>
              <w:keepNext/>
              <w:rPr>
                <w:rFonts w:ascii="Arial Narrow" w:hAnsi="Arial Narrow" w:cs="Arial"/>
                <w:sz w:val="20"/>
                <w:szCs w:val="20"/>
              </w:rPr>
            </w:pPr>
          </w:p>
          <w:p w14:paraId="28F43301" w14:textId="77777777" w:rsidR="008F04C0" w:rsidRPr="00CD0476" w:rsidRDefault="008F04C0" w:rsidP="00A20179">
            <w:pPr>
              <w:keepNext/>
              <w:rPr>
                <w:rFonts w:ascii="Arial Narrow" w:hAnsi="Arial Narrow" w:cs="Arial"/>
                <w:sz w:val="20"/>
                <w:szCs w:val="20"/>
              </w:rPr>
            </w:pPr>
          </w:p>
          <w:p w14:paraId="55D8651F" w14:textId="128C258E" w:rsidR="008F04C0" w:rsidRPr="00CD0476" w:rsidRDefault="008F04C0" w:rsidP="007543BE">
            <w:pPr>
              <w:keepNext/>
              <w:rPr>
                <w:rFonts w:ascii="Arial Narrow" w:hAnsi="Arial Narrow" w:cs="Arial"/>
                <w:sz w:val="20"/>
                <w:szCs w:val="20"/>
              </w:rPr>
            </w:pPr>
            <w:r w:rsidRPr="00CD0476">
              <w:rPr>
                <w:rFonts w:ascii="Arial Narrow" w:hAnsi="Arial Narrow" w:cs="Arial"/>
                <w:sz w:val="20"/>
                <w:szCs w:val="20"/>
              </w:rPr>
              <w:t>Jardiamet 12.5 mg/500 mg</w:t>
            </w:r>
          </w:p>
        </w:tc>
      </w:tr>
      <w:tr w:rsidR="008F04C0" w:rsidRPr="00CD0476" w14:paraId="36EB7EB7" w14:textId="77777777" w:rsidTr="008F04C0">
        <w:trPr>
          <w:cantSplit/>
          <w:trHeight w:val="761"/>
          <w:jc w:val="center"/>
        </w:trPr>
        <w:tc>
          <w:tcPr>
            <w:tcW w:w="3964" w:type="dxa"/>
            <w:tcBorders>
              <w:top w:val="single" w:sz="4" w:space="0" w:color="auto"/>
              <w:left w:val="single" w:sz="4" w:space="0" w:color="auto"/>
              <w:bottom w:val="single" w:sz="4" w:space="0" w:color="auto"/>
              <w:right w:val="single" w:sz="4" w:space="0" w:color="auto"/>
            </w:tcBorders>
          </w:tcPr>
          <w:p w14:paraId="0E705F1A"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EMPAGLIFLOZIN + METFORMIN</w:t>
            </w:r>
          </w:p>
          <w:p w14:paraId="07FD2883" w14:textId="77777777" w:rsidR="008F04C0" w:rsidRPr="00CD0476" w:rsidRDefault="008F04C0" w:rsidP="008F04C0">
            <w:pPr>
              <w:keepNext/>
              <w:ind w:left="-108"/>
              <w:jc w:val="both"/>
              <w:rPr>
                <w:rFonts w:ascii="Arial Narrow" w:hAnsi="Arial Narrow" w:cs="Arial"/>
                <w:sz w:val="20"/>
                <w:szCs w:val="20"/>
              </w:rPr>
            </w:pPr>
          </w:p>
          <w:p w14:paraId="1607E8AF" w14:textId="77777777" w:rsidR="008F04C0" w:rsidRPr="00CD0476" w:rsidRDefault="008F04C0" w:rsidP="008F04C0">
            <w:pPr>
              <w:keepNext/>
              <w:ind w:left="-108"/>
              <w:rPr>
                <w:rFonts w:ascii="Arial Narrow" w:hAnsi="Arial Narrow" w:cs="Arial"/>
                <w:sz w:val="20"/>
                <w:szCs w:val="20"/>
              </w:rPr>
            </w:pPr>
            <w:r w:rsidRPr="00CD0476">
              <w:rPr>
                <w:rFonts w:ascii="Arial Narrow" w:hAnsi="Arial Narrow" w:cs="Arial"/>
                <w:sz w:val="20"/>
                <w:szCs w:val="20"/>
              </w:rPr>
              <w:t>empagliflozin 5 mg + metformin hydrochloride 500 mg tablet, 60</w:t>
            </w:r>
          </w:p>
        </w:tc>
        <w:tc>
          <w:tcPr>
            <w:tcW w:w="993" w:type="dxa"/>
            <w:tcBorders>
              <w:top w:val="single" w:sz="4" w:space="0" w:color="auto"/>
              <w:left w:val="single" w:sz="4" w:space="0" w:color="auto"/>
              <w:bottom w:val="single" w:sz="4" w:space="0" w:color="auto"/>
              <w:right w:val="single" w:sz="4" w:space="0" w:color="auto"/>
            </w:tcBorders>
            <w:vAlign w:val="center"/>
          </w:tcPr>
          <w:p w14:paraId="0CB406D9" w14:textId="2110B50E"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New</w:t>
            </w:r>
          </w:p>
        </w:tc>
        <w:tc>
          <w:tcPr>
            <w:tcW w:w="850" w:type="dxa"/>
            <w:tcBorders>
              <w:top w:val="single" w:sz="4" w:space="0" w:color="auto"/>
              <w:left w:val="single" w:sz="4" w:space="0" w:color="auto"/>
              <w:bottom w:val="single" w:sz="4" w:space="0" w:color="auto"/>
              <w:right w:val="single" w:sz="4" w:space="0" w:color="auto"/>
            </w:tcBorders>
          </w:tcPr>
          <w:p w14:paraId="71777C1C" w14:textId="77777777" w:rsidR="008F04C0" w:rsidRPr="00CD0476" w:rsidRDefault="008F04C0" w:rsidP="008F04C0">
            <w:pPr>
              <w:keepNext/>
              <w:jc w:val="center"/>
              <w:rPr>
                <w:rFonts w:ascii="Arial Narrow" w:hAnsi="Arial Narrow" w:cs="Arial"/>
                <w:sz w:val="20"/>
                <w:szCs w:val="20"/>
              </w:rPr>
            </w:pPr>
          </w:p>
          <w:p w14:paraId="0FE130BE" w14:textId="77777777" w:rsidR="008F04C0" w:rsidRPr="00CD0476" w:rsidRDefault="008F04C0" w:rsidP="008F04C0">
            <w:pPr>
              <w:keepNext/>
              <w:rPr>
                <w:rFonts w:ascii="Arial Narrow" w:hAnsi="Arial Narrow" w:cs="Arial"/>
                <w:sz w:val="20"/>
                <w:szCs w:val="20"/>
              </w:rPr>
            </w:pPr>
          </w:p>
          <w:p w14:paraId="4D179229" w14:textId="77777777" w:rsidR="008F04C0" w:rsidRPr="00CD0476" w:rsidRDefault="008F04C0" w:rsidP="008F04C0">
            <w:pPr>
              <w:keepNext/>
              <w:jc w:val="center"/>
              <w:rPr>
                <w:rFonts w:ascii="Arial Narrow" w:hAnsi="Arial Narrow" w:cs="Arial"/>
                <w:sz w:val="20"/>
                <w:szCs w:val="20"/>
              </w:rPr>
            </w:pPr>
            <w:r w:rsidRPr="00CD0476">
              <w:rPr>
                <w:rFonts w:ascii="Arial Narrow" w:hAnsi="Arial Narrow" w:cs="Arial"/>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C4EFE05" w14:textId="77777777" w:rsidR="008F04C0" w:rsidRPr="00CD0476" w:rsidRDefault="008F04C0" w:rsidP="008F04C0">
            <w:pPr>
              <w:keepNext/>
              <w:ind w:left="-108"/>
              <w:jc w:val="center"/>
              <w:rPr>
                <w:rFonts w:ascii="Arial Narrow" w:hAnsi="Arial Narrow" w:cs="Arial"/>
                <w:sz w:val="20"/>
                <w:szCs w:val="20"/>
              </w:rPr>
            </w:pPr>
          </w:p>
          <w:p w14:paraId="1D73D877" w14:textId="77777777" w:rsidR="008F04C0" w:rsidRPr="00CD0476" w:rsidRDefault="008F04C0" w:rsidP="008F04C0">
            <w:pPr>
              <w:keepNext/>
              <w:rPr>
                <w:rFonts w:ascii="Arial Narrow" w:hAnsi="Arial Narrow" w:cs="Arial"/>
                <w:sz w:val="20"/>
                <w:szCs w:val="20"/>
              </w:rPr>
            </w:pPr>
          </w:p>
          <w:p w14:paraId="00440E1F"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60</w:t>
            </w:r>
          </w:p>
        </w:tc>
        <w:tc>
          <w:tcPr>
            <w:tcW w:w="708" w:type="dxa"/>
            <w:tcBorders>
              <w:top w:val="single" w:sz="4" w:space="0" w:color="auto"/>
              <w:left w:val="single" w:sz="4" w:space="0" w:color="auto"/>
              <w:bottom w:val="single" w:sz="4" w:space="0" w:color="auto"/>
              <w:right w:val="single" w:sz="4" w:space="0" w:color="auto"/>
            </w:tcBorders>
          </w:tcPr>
          <w:p w14:paraId="4DDE7A47" w14:textId="77777777" w:rsidR="008F04C0" w:rsidRPr="00CD0476" w:rsidRDefault="008F04C0" w:rsidP="008F04C0">
            <w:pPr>
              <w:keepNext/>
              <w:ind w:left="-108"/>
              <w:jc w:val="center"/>
              <w:rPr>
                <w:rFonts w:ascii="Arial Narrow" w:hAnsi="Arial Narrow" w:cs="Arial"/>
                <w:sz w:val="20"/>
                <w:szCs w:val="20"/>
              </w:rPr>
            </w:pPr>
          </w:p>
          <w:p w14:paraId="6B05C66A" w14:textId="77777777" w:rsidR="008F04C0" w:rsidRPr="00CD0476" w:rsidRDefault="008F04C0" w:rsidP="008F04C0">
            <w:pPr>
              <w:keepNext/>
              <w:rPr>
                <w:rFonts w:ascii="Arial Narrow" w:hAnsi="Arial Narrow" w:cs="Arial"/>
                <w:sz w:val="20"/>
                <w:szCs w:val="20"/>
              </w:rPr>
            </w:pPr>
          </w:p>
          <w:p w14:paraId="5799C9D1" w14:textId="77777777" w:rsidR="008F04C0" w:rsidRPr="00CD0476" w:rsidRDefault="008F04C0" w:rsidP="008F04C0">
            <w:pPr>
              <w:keepNext/>
              <w:ind w:left="-108"/>
              <w:jc w:val="center"/>
              <w:rPr>
                <w:rFonts w:ascii="Arial Narrow" w:hAnsi="Arial Narrow" w:cs="Arial"/>
                <w:sz w:val="20"/>
                <w:szCs w:val="20"/>
              </w:rPr>
            </w:pPr>
            <w:r w:rsidRPr="00CD0476">
              <w:rPr>
                <w:rFonts w:ascii="Arial Narrow" w:hAnsi="Arial Narrow" w:cs="Arial"/>
                <w:sz w:val="20"/>
                <w:szCs w:val="20"/>
              </w:rPr>
              <w:t>5</w:t>
            </w:r>
          </w:p>
          <w:p w14:paraId="41E033C3" w14:textId="77777777" w:rsidR="008F04C0" w:rsidRPr="00CD0476" w:rsidRDefault="008F04C0" w:rsidP="008F04C0">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2E9BB4" w14:textId="77777777" w:rsidR="008F04C0" w:rsidRPr="00CD0476" w:rsidRDefault="008F04C0" w:rsidP="00A20179">
            <w:pPr>
              <w:keepNext/>
              <w:rPr>
                <w:rFonts w:ascii="Arial Narrow" w:hAnsi="Arial Narrow" w:cs="Arial"/>
                <w:sz w:val="20"/>
                <w:szCs w:val="20"/>
              </w:rPr>
            </w:pPr>
          </w:p>
          <w:p w14:paraId="04181665" w14:textId="77777777" w:rsidR="008F04C0" w:rsidRPr="00CD0476" w:rsidRDefault="008F04C0" w:rsidP="00A20179">
            <w:pPr>
              <w:keepNext/>
              <w:rPr>
                <w:rFonts w:ascii="Arial Narrow" w:hAnsi="Arial Narrow" w:cs="Arial"/>
                <w:sz w:val="20"/>
                <w:szCs w:val="20"/>
              </w:rPr>
            </w:pPr>
          </w:p>
          <w:p w14:paraId="7F9CA178" w14:textId="25897607" w:rsidR="008F04C0" w:rsidRPr="00CD0476" w:rsidRDefault="008F04C0" w:rsidP="007543BE">
            <w:pPr>
              <w:keepNext/>
              <w:rPr>
                <w:rFonts w:ascii="Arial Narrow" w:hAnsi="Arial Narrow" w:cs="Arial"/>
                <w:sz w:val="20"/>
                <w:szCs w:val="20"/>
              </w:rPr>
            </w:pPr>
            <w:r w:rsidRPr="00CD0476">
              <w:rPr>
                <w:rFonts w:ascii="Arial Narrow" w:hAnsi="Arial Narrow" w:cs="Arial"/>
                <w:sz w:val="20"/>
                <w:szCs w:val="20"/>
              </w:rPr>
              <w:t>Jardiamet 5 mg/500 mg</w:t>
            </w:r>
          </w:p>
        </w:tc>
      </w:tr>
    </w:tbl>
    <w:p w14:paraId="036911B8" w14:textId="77777777" w:rsidR="006502F0" w:rsidRPr="00CD0476" w:rsidRDefault="006502F0" w:rsidP="006502F0">
      <w:pPr>
        <w:rPr>
          <w:rFonts w:ascii="Arial Narrow" w:hAnsi="Arial Narrow"/>
          <w:sz w:val="20"/>
          <w:szCs w:val="20"/>
        </w:rPr>
      </w:pPr>
    </w:p>
    <w:p w14:paraId="70D96E26" w14:textId="77777777" w:rsidR="006502F0" w:rsidRPr="00CD0476" w:rsidRDefault="006502F0" w:rsidP="00C362B5">
      <w:pPr>
        <w:keepNext/>
        <w:keepLines/>
        <w:rPr>
          <w:rFonts w:ascii="Arial Narrow" w:hAnsi="Arial Narrow"/>
          <w:b/>
          <w:sz w:val="20"/>
          <w:szCs w:val="20"/>
          <w:lang w:val="en-GB"/>
        </w:rPr>
      </w:pPr>
      <w:r w:rsidRPr="00CD0476">
        <w:rPr>
          <w:rFonts w:ascii="Arial Narrow" w:hAnsi="Arial Narrow"/>
          <w:b/>
          <w:sz w:val="20"/>
          <w:szCs w:val="20"/>
          <w:lang w:val="en-GB"/>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035"/>
      </w:tblGrid>
      <w:tr w:rsidR="006502F0" w:rsidRPr="00CD0476" w14:paraId="632FE282" w14:textId="77777777" w:rsidTr="006502F0">
        <w:tc>
          <w:tcPr>
            <w:tcW w:w="54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638B62" w14:textId="77777777" w:rsidR="006502F0" w:rsidRPr="00CD0476" w:rsidRDefault="006502F0" w:rsidP="00C362B5">
            <w:pPr>
              <w:keepNext/>
              <w:keepLines/>
              <w:jc w:val="center"/>
              <w:rPr>
                <w:rFonts w:ascii="Arial Narrow" w:hAnsi="Arial Narrow" w:cs="Arial"/>
                <w:b/>
                <w:sz w:val="20"/>
                <w:szCs w:val="20"/>
              </w:rPr>
            </w:pPr>
            <w:r w:rsidRPr="00CD0476">
              <w:rPr>
                <w:rFonts w:ascii="Arial Narrow" w:hAnsi="Arial Narrow" w:cs="Arial"/>
                <w:b/>
                <w:sz w:val="20"/>
                <w:szCs w:val="20"/>
              </w:rPr>
              <w:t>Concept ID</w:t>
            </w:r>
          </w:p>
          <w:p w14:paraId="65E717E0" w14:textId="77777777" w:rsidR="006502F0" w:rsidRPr="00CD0476" w:rsidRDefault="006502F0" w:rsidP="00C362B5">
            <w:pPr>
              <w:keepNext/>
              <w:keepLines/>
              <w:jc w:val="both"/>
              <w:rPr>
                <w:rFonts w:ascii="Arial Narrow" w:hAnsi="Arial Narrow" w:cs="Arial"/>
                <w:i/>
                <w:sz w:val="20"/>
                <w:szCs w:val="20"/>
              </w:rPr>
            </w:pPr>
          </w:p>
          <w:p w14:paraId="7A67D7D5" w14:textId="040416E0" w:rsidR="006502F0" w:rsidRPr="00CD0476" w:rsidRDefault="006502F0" w:rsidP="007543BE">
            <w:pPr>
              <w:keepNext/>
              <w:keepLines/>
              <w:jc w:val="center"/>
              <w:rPr>
                <w:rFonts w:ascii="Arial Narrow" w:hAnsi="Arial Narrow" w:cs="Arial"/>
                <w:i/>
                <w:sz w:val="20"/>
                <w:szCs w:val="20"/>
              </w:rPr>
            </w:pPr>
            <w:r w:rsidRPr="00CD0476">
              <w:rPr>
                <w:rFonts w:ascii="Arial Narrow" w:hAnsi="Arial Narrow" w:cs="Arial"/>
                <w:sz w:val="20"/>
                <w:szCs w:val="20"/>
              </w:rPr>
              <w:t>(for internal Dept. use)</w:t>
            </w:r>
          </w:p>
          <w:p w14:paraId="7CD0023B" w14:textId="77777777" w:rsidR="006502F0" w:rsidRPr="00CD0476" w:rsidRDefault="006502F0" w:rsidP="00C362B5">
            <w:pPr>
              <w:keepNext/>
              <w:keepLines/>
              <w:jc w:val="both"/>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F29B60" w14:textId="77777777" w:rsidR="006502F0" w:rsidRPr="00CD0476" w:rsidRDefault="006502F0" w:rsidP="00C362B5">
            <w:pPr>
              <w:keepNext/>
              <w:keepLines/>
              <w:jc w:val="both"/>
              <w:rPr>
                <w:rFonts w:ascii="Arial Narrow" w:hAnsi="Arial Narrow" w:cs="Arial"/>
                <w:sz w:val="20"/>
                <w:szCs w:val="20"/>
              </w:rPr>
            </w:pPr>
            <w:r w:rsidRPr="00CD0476">
              <w:rPr>
                <w:rFonts w:ascii="Arial Narrow" w:hAnsi="Arial Narrow" w:cs="Arial"/>
                <w:b/>
                <w:sz w:val="20"/>
                <w:szCs w:val="20"/>
              </w:rPr>
              <w:t xml:space="preserve">Category / Program:   </w:t>
            </w:r>
          </w:p>
          <w:p w14:paraId="403F9B26" w14:textId="77777777" w:rsidR="006502F0" w:rsidRPr="00CD0476" w:rsidRDefault="006502F0" w:rsidP="00C362B5">
            <w:pPr>
              <w:keepNext/>
              <w:keepLines/>
              <w:jc w:val="both"/>
              <w:rPr>
                <w:rFonts w:ascii="Arial Narrow" w:hAnsi="Arial Narrow" w:cs="Arial"/>
                <w:sz w:val="20"/>
                <w:szCs w:val="20"/>
              </w:rPr>
            </w:pPr>
            <w:r w:rsidRPr="00CD0476">
              <w:rPr>
                <w:rFonts w:ascii="Arial Narrow" w:hAnsi="Arial Narrow" w:cs="Arial"/>
                <w:sz w:val="20"/>
                <w:szCs w:val="20"/>
              </w:rPr>
              <w:t xml:space="preserve">GENERAL – General Schedule (Code GE) </w:t>
            </w:r>
          </w:p>
        </w:tc>
      </w:tr>
      <w:tr w:rsidR="006502F0" w:rsidRPr="00CD0476" w14:paraId="75394E1C" w14:textId="77777777" w:rsidTr="006502F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119009" w14:textId="77777777" w:rsidR="006502F0" w:rsidRPr="00CD0476" w:rsidRDefault="006502F0" w:rsidP="00C362B5">
            <w:pPr>
              <w:keepNext/>
              <w:keepLines/>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CF77F2" w14:textId="77777777" w:rsidR="006502F0" w:rsidRPr="00CD0476" w:rsidRDefault="006502F0" w:rsidP="00C362B5">
            <w:pPr>
              <w:keepNext/>
              <w:keepLines/>
              <w:jc w:val="both"/>
              <w:rPr>
                <w:rFonts w:ascii="Arial Narrow" w:hAnsi="Arial Narrow" w:cs="Arial"/>
                <w:b/>
                <w:sz w:val="20"/>
                <w:szCs w:val="20"/>
              </w:rPr>
            </w:pPr>
            <w:r w:rsidRPr="00CD0476">
              <w:rPr>
                <w:rFonts w:ascii="Arial Narrow" w:hAnsi="Arial Narrow" w:cs="Arial"/>
                <w:b/>
                <w:sz w:val="20"/>
                <w:szCs w:val="20"/>
              </w:rPr>
              <w:t xml:space="preserve">Prescriber type:   </w:t>
            </w:r>
            <w:r w:rsidRPr="00CD0476">
              <w:rPr>
                <w:rFonts w:ascii="Arial Narrow" w:hAnsi="Arial Narrow" w:cs="Arial"/>
                <w:sz w:val="20"/>
                <w:szCs w:val="20"/>
              </w:rPr>
              <w:fldChar w:fldCharType="begin">
                <w:ffData>
                  <w:name w:val="Check1"/>
                  <w:enabled/>
                  <w:calcOnExit w:val="0"/>
                  <w:checkBox>
                    <w:sizeAuto/>
                    <w:default w:val="0"/>
                  </w:checkBox>
                </w:ffData>
              </w:fldChar>
            </w:r>
            <w:r w:rsidRPr="00CD0476">
              <w:rPr>
                <w:rFonts w:ascii="Arial Narrow" w:hAnsi="Arial Narrow" w:cs="Arial"/>
                <w:sz w:val="20"/>
                <w:szCs w:val="20"/>
              </w:rPr>
              <w:instrText xml:space="preserve"> FORMCHECKBOX </w:instrText>
            </w:r>
            <w:r w:rsidR="008033A2">
              <w:rPr>
                <w:rFonts w:ascii="Arial Narrow" w:hAnsi="Arial Narrow" w:cs="Arial"/>
                <w:sz w:val="20"/>
                <w:szCs w:val="20"/>
              </w:rPr>
            </w:r>
            <w:r w:rsidR="008033A2">
              <w:rPr>
                <w:rFonts w:ascii="Arial Narrow" w:hAnsi="Arial Narrow" w:cs="Arial"/>
                <w:sz w:val="20"/>
                <w:szCs w:val="20"/>
              </w:rPr>
              <w:fldChar w:fldCharType="separate"/>
            </w:r>
            <w:r w:rsidRPr="00CD0476">
              <w:rPr>
                <w:rFonts w:ascii="Arial Narrow" w:hAnsi="Arial Narrow" w:cs="Arial"/>
                <w:sz w:val="20"/>
                <w:szCs w:val="20"/>
              </w:rPr>
              <w:fldChar w:fldCharType="end"/>
            </w:r>
            <w:r w:rsidRPr="00CD0476">
              <w:rPr>
                <w:rFonts w:ascii="Arial Narrow" w:hAnsi="Arial Narrow" w:cs="Arial"/>
                <w:sz w:val="20"/>
                <w:szCs w:val="20"/>
              </w:rPr>
              <w:t xml:space="preserve">Dental    </w:t>
            </w:r>
            <w:r w:rsidRPr="00CD0476">
              <w:rPr>
                <w:rFonts w:ascii="Arial Narrow" w:hAnsi="Arial Narrow" w:cs="Arial"/>
                <w:sz w:val="20"/>
                <w:szCs w:val="20"/>
              </w:rPr>
              <w:fldChar w:fldCharType="begin">
                <w:ffData>
                  <w:name w:val=""/>
                  <w:enabled/>
                  <w:calcOnExit w:val="0"/>
                  <w:checkBox>
                    <w:sizeAuto/>
                    <w:default w:val="1"/>
                  </w:checkBox>
                </w:ffData>
              </w:fldChar>
            </w:r>
            <w:r w:rsidRPr="00CD0476">
              <w:rPr>
                <w:rFonts w:ascii="Arial Narrow" w:hAnsi="Arial Narrow" w:cs="Arial"/>
                <w:sz w:val="20"/>
                <w:szCs w:val="20"/>
              </w:rPr>
              <w:instrText xml:space="preserve"> FORMCHECKBOX </w:instrText>
            </w:r>
            <w:r w:rsidR="008033A2">
              <w:rPr>
                <w:rFonts w:ascii="Arial Narrow" w:hAnsi="Arial Narrow" w:cs="Arial"/>
                <w:sz w:val="20"/>
                <w:szCs w:val="20"/>
              </w:rPr>
            </w:r>
            <w:r w:rsidR="008033A2">
              <w:rPr>
                <w:rFonts w:ascii="Arial Narrow" w:hAnsi="Arial Narrow" w:cs="Arial"/>
                <w:sz w:val="20"/>
                <w:szCs w:val="20"/>
              </w:rPr>
              <w:fldChar w:fldCharType="separate"/>
            </w:r>
            <w:r w:rsidRPr="00CD0476">
              <w:rPr>
                <w:rFonts w:ascii="Arial Narrow" w:hAnsi="Arial Narrow" w:cs="Arial"/>
                <w:sz w:val="20"/>
                <w:szCs w:val="20"/>
              </w:rPr>
              <w:fldChar w:fldCharType="end"/>
            </w:r>
            <w:r w:rsidRPr="00CD0476">
              <w:rPr>
                <w:rFonts w:ascii="Arial Narrow" w:hAnsi="Arial Narrow" w:cs="Arial"/>
                <w:sz w:val="20"/>
                <w:szCs w:val="20"/>
              </w:rPr>
              <w:t xml:space="preserve">Medical Practitioners    </w:t>
            </w:r>
            <w:r w:rsidRPr="00CD0476">
              <w:rPr>
                <w:rFonts w:ascii="Arial Narrow" w:hAnsi="Arial Narrow" w:cs="Arial"/>
                <w:sz w:val="20"/>
                <w:szCs w:val="20"/>
              </w:rPr>
              <w:fldChar w:fldCharType="begin">
                <w:ffData>
                  <w:name w:val="Check3"/>
                  <w:enabled/>
                  <w:calcOnExit w:val="0"/>
                  <w:checkBox>
                    <w:sizeAuto/>
                    <w:default w:val="0"/>
                  </w:checkBox>
                </w:ffData>
              </w:fldChar>
            </w:r>
            <w:r w:rsidRPr="00CD0476">
              <w:rPr>
                <w:rFonts w:ascii="Arial Narrow" w:hAnsi="Arial Narrow" w:cs="Arial"/>
                <w:sz w:val="20"/>
                <w:szCs w:val="20"/>
              </w:rPr>
              <w:instrText xml:space="preserve"> FORMCHECKBOX </w:instrText>
            </w:r>
            <w:r w:rsidR="008033A2">
              <w:rPr>
                <w:rFonts w:ascii="Arial Narrow" w:hAnsi="Arial Narrow" w:cs="Arial"/>
                <w:sz w:val="20"/>
                <w:szCs w:val="20"/>
              </w:rPr>
            </w:r>
            <w:r w:rsidR="008033A2">
              <w:rPr>
                <w:rFonts w:ascii="Arial Narrow" w:hAnsi="Arial Narrow" w:cs="Arial"/>
                <w:sz w:val="20"/>
                <w:szCs w:val="20"/>
              </w:rPr>
              <w:fldChar w:fldCharType="separate"/>
            </w:r>
            <w:r w:rsidRPr="00CD0476">
              <w:rPr>
                <w:rFonts w:ascii="Arial Narrow" w:hAnsi="Arial Narrow" w:cs="Arial"/>
                <w:sz w:val="20"/>
                <w:szCs w:val="20"/>
              </w:rPr>
              <w:fldChar w:fldCharType="end"/>
            </w:r>
            <w:r w:rsidRPr="00CD0476">
              <w:rPr>
                <w:rFonts w:ascii="Arial Narrow" w:hAnsi="Arial Narrow" w:cs="Arial"/>
                <w:sz w:val="20"/>
                <w:szCs w:val="20"/>
              </w:rPr>
              <w:t xml:space="preserve">Nurse practitioners     </w:t>
            </w:r>
            <w:r w:rsidRPr="00CD0476">
              <w:rPr>
                <w:rFonts w:ascii="Arial Narrow" w:hAnsi="Arial Narrow" w:cs="Arial"/>
                <w:sz w:val="20"/>
                <w:szCs w:val="20"/>
              </w:rPr>
              <w:fldChar w:fldCharType="begin">
                <w:ffData>
                  <w:name w:val=""/>
                  <w:enabled/>
                  <w:calcOnExit w:val="0"/>
                  <w:checkBox>
                    <w:sizeAuto/>
                    <w:default w:val="0"/>
                  </w:checkBox>
                </w:ffData>
              </w:fldChar>
            </w:r>
            <w:r w:rsidRPr="00CD0476">
              <w:rPr>
                <w:rFonts w:ascii="Arial Narrow" w:hAnsi="Arial Narrow" w:cs="Arial"/>
                <w:sz w:val="20"/>
                <w:szCs w:val="20"/>
              </w:rPr>
              <w:instrText xml:space="preserve"> FORMCHECKBOX </w:instrText>
            </w:r>
            <w:r w:rsidR="008033A2">
              <w:rPr>
                <w:rFonts w:ascii="Arial Narrow" w:hAnsi="Arial Narrow" w:cs="Arial"/>
                <w:sz w:val="20"/>
                <w:szCs w:val="20"/>
              </w:rPr>
            </w:r>
            <w:r w:rsidR="008033A2">
              <w:rPr>
                <w:rFonts w:ascii="Arial Narrow" w:hAnsi="Arial Narrow" w:cs="Arial"/>
                <w:sz w:val="20"/>
                <w:szCs w:val="20"/>
              </w:rPr>
              <w:fldChar w:fldCharType="separate"/>
            </w:r>
            <w:r w:rsidRPr="00CD0476">
              <w:rPr>
                <w:rFonts w:ascii="Arial Narrow" w:hAnsi="Arial Narrow" w:cs="Arial"/>
                <w:sz w:val="20"/>
                <w:szCs w:val="20"/>
              </w:rPr>
              <w:fldChar w:fldCharType="end"/>
            </w:r>
            <w:r w:rsidRPr="00CD0476">
              <w:rPr>
                <w:rFonts w:ascii="Arial Narrow" w:hAnsi="Arial Narrow" w:cs="Arial"/>
                <w:sz w:val="20"/>
                <w:szCs w:val="20"/>
              </w:rPr>
              <w:t xml:space="preserve">Optometrists    </w:t>
            </w:r>
            <w:r w:rsidRPr="00CD0476">
              <w:rPr>
                <w:rFonts w:ascii="Arial Narrow" w:hAnsi="Arial Narrow" w:cs="Arial"/>
                <w:sz w:val="20"/>
                <w:szCs w:val="20"/>
              </w:rPr>
              <w:fldChar w:fldCharType="begin">
                <w:ffData>
                  <w:name w:val="Check5"/>
                  <w:enabled/>
                  <w:calcOnExit w:val="0"/>
                  <w:checkBox>
                    <w:sizeAuto/>
                    <w:default w:val="0"/>
                  </w:checkBox>
                </w:ffData>
              </w:fldChar>
            </w:r>
            <w:r w:rsidRPr="00CD0476">
              <w:rPr>
                <w:rFonts w:ascii="Arial Narrow" w:hAnsi="Arial Narrow" w:cs="Arial"/>
                <w:sz w:val="20"/>
                <w:szCs w:val="20"/>
              </w:rPr>
              <w:instrText xml:space="preserve"> FORMCHECKBOX </w:instrText>
            </w:r>
            <w:r w:rsidR="008033A2">
              <w:rPr>
                <w:rFonts w:ascii="Arial Narrow" w:hAnsi="Arial Narrow" w:cs="Arial"/>
                <w:sz w:val="20"/>
                <w:szCs w:val="20"/>
              </w:rPr>
            </w:r>
            <w:r w:rsidR="008033A2">
              <w:rPr>
                <w:rFonts w:ascii="Arial Narrow" w:hAnsi="Arial Narrow" w:cs="Arial"/>
                <w:sz w:val="20"/>
                <w:szCs w:val="20"/>
              </w:rPr>
              <w:fldChar w:fldCharType="separate"/>
            </w:r>
            <w:r w:rsidRPr="00CD0476">
              <w:rPr>
                <w:rFonts w:ascii="Arial Narrow" w:hAnsi="Arial Narrow" w:cs="Arial"/>
                <w:sz w:val="20"/>
                <w:szCs w:val="20"/>
              </w:rPr>
              <w:fldChar w:fldCharType="end"/>
            </w:r>
            <w:r w:rsidRPr="00CD0476">
              <w:rPr>
                <w:rFonts w:ascii="Arial Narrow" w:hAnsi="Arial Narrow" w:cs="Arial"/>
                <w:sz w:val="20"/>
                <w:szCs w:val="20"/>
              </w:rPr>
              <w:t>Midwives</w:t>
            </w:r>
          </w:p>
        </w:tc>
      </w:tr>
      <w:tr w:rsidR="006502F0" w:rsidRPr="00CD0476" w14:paraId="4A43F4DE" w14:textId="77777777" w:rsidTr="007543BE">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68827" w14:textId="77777777" w:rsidR="006502F0" w:rsidRPr="00CD0476" w:rsidRDefault="006502F0" w:rsidP="00C362B5">
            <w:pPr>
              <w:keepNext/>
              <w:keepLines/>
              <w:rPr>
                <w:rFonts w:ascii="Arial Narrow" w:hAnsi="Arial Narrow" w:cs="Arial"/>
                <w:b/>
                <w:sz w:val="20"/>
                <w:szCs w:val="20"/>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614294" w14:textId="2581C249" w:rsidR="006502F0" w:rsidRPr="00CD0476" w:rsidRDefault="006502F0" w:rsidP="007543BE">
            <w:pPr>
              <w:keepNext/>
              <w:keepLines/>
              <w:jc w:val="both"/>
              <w:rPr>
                <w:rFonts w:ascii="Arial Narrow" w:eastAsia="Calibri" w:hAnsi="Arial Narrow" w:cs="Arial"/>
                <w:sz w:val="20"/>
                <w:szCs w:val="20"/>
              </w:rPr>
            </w:pPr>
            <w:r w:rsidRPr="00CD0476">
              <w:rPr>
                <w:rFonts w:ascii="Arial Narrow" w:hAnsi="Arial Narrow" w:cs="Arial"/>
                <w:b/>
                <w:sz w:val="20"/>
                <w:szCs w:val="20"/>
              </w:rPr>
              <w:t xml:space="preserve">Restriction Type </w:t>
            </w:r>
            <w:r w:rsidRPr="00CD0476">
              <w:rPr>
                <w:rFonts w:ascii="Arial Narrow" w:eastAsia="Calibri" w:hAnsi="Arial Narrow" w:cs="Arial"/>
                <w:sz w:val="20"/>
                <w:szCs w:val="20"/>
              </w:rPr>
              <w:fldChar w:fldCharType="begin">
                <w:ffData>
                  <w:name w:val=""/>
                  <w:enabled/>
                  <w:calcOnExit w:val="0"/>
                  <w:checkBox>
                    <w:sizeAuto/>
                    <w:default w:val="1"/>
                  </w:checkBox>
                </w:ffData>
              </w:fldChar>
            </w:r>
            <w:r w:rsidRPr="00CD0476">
              <w:rPr>
                <w:rFonts w:ascii="Arial Narrow" w:eastAsia="Calibri" w:hAnsi="Arial Narrow" w:cs="Arial"/>
                <w:sz w:val="20"/>
                <w:szCs w:val="20"/>
              </w:rPr>
              <w:instrText xml:space="preserve"> FORMCHECKBOX </w:instrText>
            </w:r>
            <w:r w:rsidR="008033A2">
              <w:rPr>
                <w:rFonts w:ascii="Arial Narrow" w:eastAsia="Calibri" w:hAnsi="Arial Narrow" w:cs="Arial"/>
                <w:sz w:val="20"/>
                <w:szCs w:val="20"/>
              </w:rPr>
            </w:r>
            <w:r w:rsidR="008033A2">
              <w:rPr>
                <w:rFonts w:ascii="Arial Narrow" w:eastAsia="Calibri" w:hAnsi="Arial Narrow" w:cs="Arial"/>
                <w:sz w:val="20"/>
                <w:szCs w:val="20"/>
              </w:rPr>
              <w:fldChar w:fldCharType="separate"/>
            </w:r>
            <w:r w:rsidRPr="00CD0476">
              <w:rPr>
                <w:rFonts w:ascii="Arial Narrow" w:eastAsia="Calibri" w:hAnsi="Arial Narrow" w:cs="Arial"/>
                <w:sz w:val="20"/>
                <w:szCs w:val="20"/>
              </w:rPr>
              <w:fldChar w:fldCharType="end"/>
            </w:r>
            <w:r w:rsidRPr="00CD0476">
              <w:rPr>
                <w:rFonts w:ascii="Arial Narrow" w:eastAsia="Calibri" w:hAnsi="Arial Narrow" w:cs="Arial"/>
                <w:sz w:val="20"/>
                <w:szCs w:val="20"/>
              </w:rPr>
              <w:t xml:space="preserve">Authority Required – Streamlined [new code] </w:t>
            </w:r>
          </w:p>
        </w:tc>
      </w:tr>
      <w:tr w:rsidR="006502F0" w:rsidRPr="00CD0476" w14:paraId="1C494992"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9523CB" w14:textId="2DDE6825" w:rsidR="006502F0" w:rsidRPr="00CD0476" w:rsidRDefault="00C66F17" w:rsidP="00C362B5">
            <w:pPr>
              <w:keepNext/>
              <w:keepLines/>
              <w:jc w:val="center"/>
              <w:rPr>
                <w:rFonts w:ascii="Arial Narrow" w:hAnsi="Arial Narrow"/>
                <w:color w:val="333333"/>
                <w:sz w:val="20"/>
                <w:szCs w:val="20"/>
                <w:lang w:eastAsia="en-AU"/>
              </w:rPr>
            </w:pPr>
            <w:r w:rsidRPr="00CD0476">
              <w:rPr>
                <w:rFonts w:ascii="Arial Narrow" w:hAnsi="Arial Narrow"/>
                <w:color w:val="333333"/>
                <w:sz w:val="20"/>
                <w:szCs w:val="20"/>
                <w:lang w:eastAsia="en-AU"/>
              </w:rPr>
              <w:t>N</w:t>
            </w:r>
            <w:r w:rsidR="006502F0" w:rsidRPr="00CD0476">
              <w:rPr>
                <w:rFonts w:ascii="Arial Narrow" w:hAnsi="Arial Narrow"/>
                <w:color w:val="333333"/>
                <w:sz w:val="20"/>
                <w:szCs w:val="20"/>
                <w:lang w:eastAsia="en-AU"/>
              </w:rPr>
              <w:t>ew</w:t>
            </w:r>
          </w:p>
          <w:p w14:paraId="2C15BEF8" w14:textId="1F14C144" w:rsidR="00C66F17" w:rsidRPr="00CD0476" w:rsidRDefault="00C66F17" w:rsidP="00C362B5">
            <w:pPr>
              <w:keepNext/>
              <w:keepLines/>
              <w:jc w:val="center"/>
              <w:rPr>
                <w:rFonts w:ascii="Arial Narrow" w:hAnsi="Arial Narrow"/>
                <w:color w:val="333333"/>
                <w:sz w:val="20"/>
                <w:szCs w:val="20"/>
                <w:lang w:eastAsia="en-AU"/>
              </w:rPr>
            </w:pPr>
            <w:r w:rsidRPr="00CD0476">
              <w:rPr>
                <w:rFonts w:ascii="Arial Narrow" w:hAnsi="Arial Narrow"/>
                <w:color w:val="333333"/>
                <w:sz w:val="20"/>
                <w:szCs w:val="20"/>
                <w:lang w:eastAsia="en-AU"/>
              </w:rPr>
              <w:t>AA1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4BED29" w14:textId="77777777" w:rsidR="006502F0" w:rsidRPr="00CD0476" w:rsidRDefault="006502F0" w:rsidP="00C362B5">
            <w:pPr>
              <w:keepNext/>
              <w:keepLines/>
              <w:rPr>
                <w:rFonts w:ascii="Arial Narrow" w:hAnsi="Arial Narrow"/>
                <w:color w:val="333333"/>
                <w:sz w:val="20"/>
                <w:szCs w:val="20"/>
                <w:lang w:eastAsia="en-AU"/>
              </w:rPr>
            </w:pPr>
            <w:r w:rsidRPr="00CD0476">
              <w:rPr>
                <w:rFonts w:ascii="Arial Narrow" w:hAnsi="Arial Narrow"/>
                <w:b/>
                <w:bCs/>
                <w:color w:val="333333"/>
                <w:sz w:val="20"/>
                <w:szCs w:val="20"/>
                <w:lang w:eastAsia="en-AU"/>
              </w:rPr>
              <w:t>Administrative Advice:</w:t>
            </w:r>
          </w:p>
          <w:p w14:paraId="7399E617" w14:textId="32A5E310" w:rsidR="007B0DE8" w:rsidRPr="007543BE" w:rsidRDefault="006502F0" w:rsidP="00C362B5">
            <w:pPr>
              <w:keepNext/>
              <w:keepLines/>
              <w:contextualSpacing/>
              <w:jc w:val="both"/>
              <w:rPr>
                <w:rFonts w:ascii="Arial Narrow" w:hAnsi="Arial Narrow" w:cstheme="minorBidi"/>
                <w:sz w:val="20"/>
                <w:szCs w:val="20"/>
              </w:rPr>
            </w:pPr>
            <w:r w:rsidRPr="00CD0476">
              <w:rPr>
                <w:rFonts w:ascii="Arial Narrow" w:hAnsi="Arial Narrow" w:cstheme="minorBidi"/>
                <w:sz w:val="20"/>
                <w:szCs w:val="20"/>
              </w:rPr>
              <w:t>Patients should receive appropriate lifestyle modification education and support.</w:t>
            </w:r>
          </w:p>
          <w:p w14:paraId="5684AC99" w14:textId="77777777" w:rsidR="007B0DE8" w:rsidRPr="00CD0476" w:rsidRDefault="007B0DE8" w:rsidP="007B0DE8">
            <w:pPr>
              <w:keepNext/>
              <w:keepLines/>
              <w:jc w:val="both"/>
              <w:rPr>
                <w:rFonts w:ascii="Arial Narrow" w:eastAsiaTheme="minorHAnsi" w:hAnsi="Arial Narrow" w:cstheme="minorBidi"/>
                <w:sz w:val="20"/>
                <w:szCs w:val="20"/>
              </w:rPr>
            </w:pPr>
            <w:r w:rsidRPr="00CD0476">
              <w:rPr>
                <w:rFonts w:ascii="Arial Narrow" w:eastAsia="Calibri" w:hAnsi="Arial Narrow" w:cs="Calibri"/>
                <w:sz w:val="20"/>
                <w:szCs w:val="20"/>
              </w:rPr>
              <w:t xml:space="preserve">The Australian Absolute Cardiovascular Disease Risk Calculator is available at </w:t>
            </w:r>
            <w:hyperlink r:id="rId9" w:history="1">
              <w:r w:rsidRPr="00CD0476">
                <w:rPr>
                  <w:rStyle w:val="Hyperlink"/>
                  <w:rFonts w:ascii="Arial Narrow" w:eastAsia="Calibri" w:hAnsi="Arial Narrow" w:cs="Calibri"/>
                  <w:sz w:val="20"/>
                  <w:szCs w:val="20"/>
                </w:rPr>
                <w:t>www.cvdcheck.org.au</w:t>
              </w:r>
            </w:hyperlink>
            <w:r w:rsidRPr="00CD0476">
              <w:rPr>
                <w:rFonts w:ascii="Arial Narrow" w:hAnsi="Arial Narrow" w:cstheme="minorBidi"/>
                <w:sz w:val="20"/>
                <w:szCs w:val="20"/>
              </w:rPr>
              <w:t>.</w:t>
            </w:r>
          </w:p>
          <w:p w14:paraId="4B848620" w14:textId="77777777" w:rsidR="006502F0" w:rsidRPr="00CD0476" w:rsidRDefault="006502F0" w:rsidP="00C362B5">
            <w:pPr>
              <w:keepNext/>
              <w:keepLines/>
              <w:contextualSpacing/>
              <w:jc w:val="both"/>
              <w:rPr>
                <w:rFonts w:ascii="Arial Narrow" w:eastAsia="Calibri" w:hAnsi="Arial Narrow" w:cstheme="minorHAnsi"/>
                <w:sz w:val="20"/>
                <w:szCs w:val="20"/>
              </w:rPr>
            </w:pPr>
          </w:p>
          <w:p w14:paraId="3980C66E" w14:textId="78DED673" w:rsidR="006502F0" w:rsidRPr="00CD0476" w:rsidRDefault="006502F0" w:rsidP="00C362B5">
            <w:pPr>
              <w:keepNext/>
              <w:keepLines/>
              <w:contextualSpacing/>
              <w:jc w:val="both"/>
              <w:rPr>
                <w:rFonts w:ascii="Arial Narrow" w:eastAsiaTheme="minorHAnsi" w:hAnsi="Arial Narrow" w:cstheme="minorHAnsi"/>
                <w:sz w:val="20"/>
                <w:szCs w:val="20"/>
              </w:rPr>
            </w:pPr>
            <w:r w:rsidRPr="00CD0476">
              <w:rPr>
                <w:rFonts w:ascii="Arial Narrow" w:hAnsi="Arial Narrow" w:cstheme="minorHAnsi"/>
                <w:sz w:val="20"/>
                <w:szCs w:val="20"/>
              </w:rPr>
              <w:t>The National Vascular Disease Prevention Alliance Guidelines for the management of Absolute Cardiovascular Disease Risk 2012 specify a range of conditions known to be at clinically determined high risk of CVD.</w:t>
            </w:r>
          </w:p>
        </w:tc>
      </w:tr>
      <w:tr w:rsidR="00B40A6A" w:rsidRPr="00CD0476" w14:paraId="13F84BE0"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5DF3E1" w14:textId="6105CDE1" w:rsidR="00B40A6A" w:rsidRPr="00CD0476" w:rsidRDefault="008F04C0" w:rsidP="00C362B5">
            <w:pPr>
              <w:keepNext/>
              <w:keepLines/>
              <w:jc w:val="center"/>
              <w:rPr>
                <w:rFonts w:ascii="Arial Narrow" w:hAnsi="Arial Narrow"/>
                <w:color w:val="333333"/>
                <w:sz w:val="20"/>
                <w:szCs w:val="20"/>
                <w:lang w:eastAsia="en-AU"/>
              </w:rPr>
            </w:pPr>
            <w:r w:rsidRPr="00CD0476">
              <w:rPr>
                <w:rFonts w:ascii="Arial Narrow" w:hAnsi="Arial Narrow"/>
                <w:color w:val="333333"/>
                <w:sz w:val="20"/>
                <w:szCs w:val="20"/>
                <w:lang w:eastAsia="en-AU"/>
              </w:rPr>
              <w:t>21881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78DACD" w14:textId="77777777" w:rsidR="00B40A6A" w:rsidRPr="00CD0476" w:rsidRDefault="00B40A6A" w:rsidP="00B40A6A">
            <w:pPr>
              <w:keepNext/>
              <w:keepLines/>
              <w:rPr>
                <w:rFonts w:ascii="Arial Narrow" w:hAnsi="Arial Narrow"/>
                <w:color w:val="333333"/>
                <w:sz w:val="20"/>
                <w:szCs w:val="20"/>
                <w:lang w:eastAsia="en-AU"/>
              </w:rPr>
            </w:pPr>
            <w:r w:rsidRPr="00CD0476">
              <w:rPr>
                <w:rFonts w:ascii="Arial Narrow" w:hAnsi="Arial Narrow"/>
                <w:b/>
                <w:bCs/>
                <w:color w:val="333333"/>
                <w:sz w:val="20"/>
                <w:szCs w:val="20"/>
                <w:lang w:eastAsia="en-AU"/>
              </w:rPr>
              <w:t>Administrative Advice:</w:t>
            </w:r>
          </w:p>
          <w:p w14:paraId="0561CCBE" w14:textId="6728E96C" w:rsidR="00B40A6A" w:rsidRPr="00CD0476" w:rsidRDefault="00B40A6A" w:rsidP="00C362B5">
            <w:pPr>
              <w:keepNext/>
              <w:keepLines/>
              <w:rPr>
                <w:rFonts w:ascii="Arial Narrow" w:hAnsi="Arial Narrow"/>
                <w:b/>
                <w:bCs/>
                <w:color w:val="333333"/>
                <w:sz w:val="20"/>
                <w:szCs w:val="20"/>
                <w:lang w:eastAsia="en-AU"/>
              </w:rPr>
            </w:pPr>
            <w:r w:rsidRPr="00CD0476">
              <w:rPr>
                <w:rFonts w:ascii="Arial Narrow" w:hAnsi="Arial Narrow" w:cstheme="minorHAnsi"/>
                <w:sz w:val="20"/>
                <w:szCs w:val="20"/>
                <w:lang w:eastAsia="en-AU"/>
              </w:rPr>
              <w:t>Th</w:t>
            </w:r>
            <w:r w:rsidR="008F04C0" w:rsidRPr="00CD0476">
              <w:rPr>
                <w:rFonts w:ascii="Arial Narrow" w:hAnsi="Arial Narrow" w:cstheme="minorHAnsi"/>
                <w:sz w:val="20"/>
                <w:szCs w:val="20"/>
                <w:lang w:eastAsia="en-AU"/>
              </w:rPr>
              <w:t>is</w:t>
            </w:r>
            <w:r w:rsidRPr="00CD0476">
              <w:rPr>
                <w:rFonts w:ascii="Arial Narrow" w:hAnsi="Arial Narrow" w:cstheme="minorHAnsi"/>
                <w:sz w:val="20"/>
                <w:szCs w:val="20"/>
                <w:lang w:eastAsia="en-AU"/>
              </w:rPr>
              <w:t xml:space="preserve"> fixed dose combination is not PBS</w:t>
            </w:r>
            <w:r w:rsidR="008F04C0" w:rsidRPr="00CD0476">
              <w:rPr>
                <w:rFonts w:ascii="Arial Narrow" w:hAnsi="Arial Narrow" w:cstheme="minorHAnsi"/>
                <w:sz w:val="20"/>
                <w:szCs w:val="20"/>
                <w:lang w:eastAsia="en-AU"/>
              </w:rPr>
              <w:t>-</w:t>
            </w:r>
            <w:r w:rsidRPr="00CD0476">
              <w:rPr>
                <w:rFonts w:ascii="Arial Narrow" w:hAnsi="Arial Narrow" w:cstheme="minorHAnsi"/>
                <w:sz w:val="20"/>
                <w:szCs w:val="20"/>
                <w:lang w:eastAsia="en-AU"/>
              </w:rPr>
              <w:t xml:space="preserve">subsidised for </w:t>
            </w:r>
            <w:r w:rsidR="008F04C0" w:rsidRPr="00CD0476">
              <w:rPr>
                <w:rFonts w:ascii="Arial Narrow" w:hAnsi="Arial Narrow" w:cstheme="minorHAnsi"/>
                <w:sz w:val="20"/>
                <w:szCs w:val="20"/>
                <w:lang w:eastAsia="en-AU"/>
              </w:rPr>
              <w:t xml:space="preserve">initiating dual oral combination treatment </w:t>
            </w:r>
            <w:r w:rsidRPr="00CD0476">
              <w:rPr>
                <w:rFonts w:ascii="Arial Narrow" w:hAnsi="Arial Narrow" w:cstheme="minorHAnsi"/>
                <w:sz w:val="20"/>
                <w:szCs w:val="20"/>
                <w:lang w:eastAsia="en-AU"/>
              </w:rPr>
              <w:t>or in combination with a thiazolidinedione (glitazone), glucagon-like peptide-1 analogue</w:t>
            </w:r>
            <w:r w:rsidR="008F04C0" w:rsidRPr="00CD0476">
              <w:rPr>
                <w:rFonts w:ascii="Arial Narrow" w:hAnsi="Arial Narrow" w:cstheme="minorHAnsi"/>
                <w:sz w:val="20"/>
                <w:szCs w:val="20"/>
                <w:lang w:eastAsia="en-AU"/>
              </w:rPr>
              <w:t>,</w:t>
            </w:r>
            <w:r w:rsidRPr="00CD0476">
              <w:rPr>
                <w:rFonts w:ascii="Arial Narrow" w:hAnsi="Arial Narrow" w:cstheme="minorHAnsi"/>
                <w:sz w:val="20"/>
                <w:szCs w:val="20"/>
                <w:lang w:eastAsia="en-AU"/>
              </w:rPr>
              <w:t xml:space="preserve"> or another SGLT2 inhibitor.</w:t>
            </w:r>
          </w:p>
        </w:tc>
      </w:tr>
      <w:tr w:rsidR="006502F0" w:rsidRPr="00CD0476" w14:paraId="2FD1A862"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16034E" w14:textId="77777777" w:rsidR="006502F0" w:rsidRPr="00CD0476" w:rsidRDefault="006502F0" w:rsidP="00C362B5">
            <w:pPr>
              <w:keepNext/>
              <w:keepLines/>
              <w:jc w:val="center"/>
              <w:rPr>
                <w:rFonts w:ascii="Arial Narrow" w:hAnsi="Arial Narrow"/>
                <w:color w:val="333333"/>
                <w:sz w:val="20"/>
                <w:szCs w:val="20"/>
                <w:lang w:eastAsia="en-AU"/>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897EC8" w14:textId="2CDC665A" w:rsidR="006502F0" w:rsidRPr="00CD0476" w:rsidRDefault="006502F0" w:rsidP="00C362B5">
            <w:pPr>
              <w:keepNext/>
              <w:keepLines/>
              <w:rPr>
                <w:rFonts w:ascii="Arial Narrow" w:hAnsi="Arial Narrow"/>
                <w:b/>
                <w:bCs/>
                <w:color w:val="333333"/>
                <w:sz w:val="20"/>
                <w:szCs w:val="20"/>
                <w:lang w:eastAsia="en-AU"/>
              </w:rPr>
            </w:pPr>
            <w:r w:rsidRPr="00CD0476">
              <w:rPr>
                <w:rFonts w:ascii="Arial Narrow" w:hAnsi="Arial Narrow"/>
                <w:b/>
                <w:bCs/>
                <w:color w:val="333333"/>
                <w:sz w:val="20"/>
                <w:szCs w:val="20"/>
                <w:lang w:eastAsia="en-AU"/>
              </w:rPr>
              <w:t xml:space="preserve">Condition: </w:t>
            </w:r>
            <w:r w:rsidR="0033426E" w:rsidRPr="00CD0476">
              <w:rPr>
                <w:rFonts w:ascii="Arial Narrow" w:hAnsi="Arial Narrow"/>
                <w:color w:val="333333"/>
                <w:sz w:val="20"/>
                <w:szCs w:val="20"/>
                <w:lang w:eastAsia="en-AU"/>
              </w:rPr>
              <w:t>Diabetes mellitus type 2</w:t>
            </w:r>
          </w:p>
        </w:tc>
      </w:tr>
      <w:tr w:rsidR="006502F0" w:rsidRPr="00CD0476" w14:paraId="6447D911"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357665" w14:textId="48B65D96" w:rsidR="006502F0" w:rsidRPr="00CD0476" w:rsidRDefault="0033426E" w:rsidP="00C362B5">
            <w:pPr>
              <w:keepNext/>
              <w:keepLines/>
              <w:jc w:val="center"/>
              <w:rPr>
                <w:rFonts w:ascii="Arial Narrow" w:hAnsi="Arial Narrow"/>
                <w:color w:val="333333"/>
                <w:sz w:val="20"/>
                <w:szCs w:val="20"/>
                <w:lang w:eastAsia="en-AU"/>
              </w:rPr>
            </w:pPr>
            <w:r w:rsidRPr="00CD0476">
              <w:rPr>
                <w:rFonts w:ascii="Arial Narrow" w:hAnsi="Arial Narrow"/>
                <w:color w:val="333333"/>
                <w:sz w:val="20"/>
                <w:szCs w:val="20"/>
                <w:lang w:eastAsia="en-AU"/>
              </w:rPr>
              <w:t>8995</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0BBC69" w14:textId="67018B3E" w:rsidR="006502F0" w:rsidRPr="00CD0476" w:rsidRDefault="006502F0" w:rsidP="00C362B5">
            <w:pPr>
              <w:keepNext/>
              <w:keepLines/>
              <w:rPr>
                <w:rFonts w:ascii="Arial Narrow" w:hAnsi="Arial Narrow"/>
                <w:color w:val="333333"/>
                <w:sz w:val="20"/>
                <w:szCs w:val="20"/>
                <w:lang w:eastAsia="en-AU"/>
              </w:rPr>
            </w:pPr>
            <w:r w:rsidRPr="00CD0476">
              <w:rPr>
                <w:rFonts w:ascii="Arial Narrow" w:hAnsi="Arial Narrow"/>
                <w:b/>
                <w:bCs/>
                <w:color w:val="333333"/>
                <w:sz w:val="20"/>
                <w:szCs w:val="20"/>
                <w:lang w:eastAsia="en-AU"/>
              </w:rPr>
              <w:t>Indication:</w:t>
            </w:r>
            <w:r w:rsidRPr="00CD0476">
              <w:rPr>
                <w:rFonts w:ascii="Arial Narrow" w:hAnsi="Arial Narrow"/>
                <w:color w:val="333333"/>
                <w:sz w:val="20"/>
                <w:szCs w:val="20"/>
                <w:lang w:eastAsia="en-AU"/>
              </w:rPr>
              <w:t xml:space="preserve"> </w:t>
            </w:r>
            <w:r w:rsidR="0033426E" w:rsidRPr="00CD0476">
              <w:rPr>
                <w:rFonts w:ascii="Arial Narrow" w:hAnsi="Arial Narrow"/>
                <w:color w:val="333333"/>
                <w:sz w:val="20"/>
                <w:szCs w:val="20"/>
                <w:lang w:eastAsia="en-AU"/>
              </w:rPr>
              <w:t>Diabetes mellitus type 2</w:t>
            </w:r>
          </w:p>
        </w:tc>
      </w:tr>
      <w:tr w:rsidR="006502F0" w:rsidRPr="00CD0476" w14:paraId="5FBB8779"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AC1486" w14:textId="03593350" w:rsidR="006502F0" w:rsidRPr="00CD0476" w:rsidRDefault="007B0DE8" w:rsidP="00C362B5">
            <w:pPr>
              <w:keepNext/>
              <w:keepLines/>
              <w:jc w:val="center"/>
              <w:rPr>
                <w:rFonts w:ascii="Arial Narrow" w:hAnsi="Arial Narrow"/>
                <w:color w:val="333333"/>
                <w:sz w:val="20"/>
                <w:szCs w:val="20"/>
                <w:lang w:eastAsia="en-AU"/>
              </w:rPr>
            </w:pPr>
            <w:r w:rsidRPr="00CD0476">
              <w:rPr>
                <w:rFonts w:ascii="Arial Narrow" w:hAnsi="Arial Narrow"/>
                <w:color w:val="333333"/>
                <w:sz w:val="20"/>
                <w:szCs w:val="20"/>
                <w:lang w:eastAsia="en-AU"/>
              </w:rPr>
              <w:t>New CC1</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9C216F" w14:textId="3A6EDC80" w:rsidR="006502F0" w:rsidRPr="00CD0476" w:rsidRDefault="00C66F17" w:rsidP="00C362B5">
            <w:pPr>
              <w:keepNext/>
              <w:keepLines/>
              <w:rPr>
                <w:rFonts w:ascii="Arial Narrow" w:hAnsi="Arial Narrow"/>
                <w:color w:val="333333"/>
                <w:sz w:val="20"/>
                <w:szCs w:val="20"/>
                <w:lang w:eastAsia="en-AU"/>
              </w:rPr>
            </w:pPr>
            <w:r w:rsidRPr="00CD0476">
              <w:rPr>
                <w:rFonts w:ascii="Arial Narrow" w:hAnsi="Arial Narrow"/>
                <w:b/>
                <w:bCs/>
                <w:color w:val="333333"/>
                <w:sz w:val="20"/>
                <w:szCs w:val="20"/>
                <w:lang w:eastAsia="en-AU"/>
              </w:rPr>
              <w:t>Clinical</w:t>
            </w:r>
            <w:r w:rsidR="006502F0" w:rsidRPr="00CD0476">
              <w:rPr>
                <w:rFonts w:ascii="Arial Narrow" w:hAnsi="Arial Narrow"/>
                <w:b/>
                <w:bCs/>
                <w:color w:val="333333"/>
                <w:sz w:val="20"/>
                <w:szCs w:val="20"/>
                <w:lang w:eastAsia="en-AU"/>
              </w:rPr>
              <w:t xml:space="preserve"> criteria:</w:t>
            </w:r>
          </w:p>
        </w:tc>
      </w:tr>
      <w:tr w:rsidR="006502F0" w:rsidRPr="00CD0476" w14:paraId="58FB6FDF"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491961" w14:textId="69872EEE" w:rsidR="006502F0" w:rsidRPr="00CD0476" w:rsidRDefault="00C66F17" w:rsidP="00C362B5">
            <w:pPr>
              <w:keepNext/>
              <w:keepLines/>
              <w:jc w:val="center"/>
              <w:rPr>
                <w:rFonts w:ascii="Arial Narrow" w:hAnsi="Arial Narrow"/>
                <w:color w:val="333333"/>
                <w:sz w:val="20"/>
                <w:szCs w:val="20"/>
                <w:lang w:eastAsia="en-AU"/>
              </w:rPr>
            </w:pPr>
            <w:r w:rsidRPr="00CD0476">
              <w:rPr>
                <w:rFonts w:ascii="Arial Narrow" w:hAnsi="Arial Narrow"/>
                <w:color w:val="333333"/>
                <w:sz w:val="20"/>
                <w:szCs w:val="20"/>
                <w:lang w:eastAsia="en-AU"/>
              </w:rPr>
              <w:t>C</w:t>
            </w:r>
            <w:r w:rsidR="000C6334" w:rsidRPr="00CD0476">
              <w:rPr>
                <w:rFonts w:ascii="Arial Narrow" w:hAnsi="Arial Narrow"/>
                <w:color w:val="333333"/>
                <w:sz w:val="20"/>
                <w:szCs w:val="20"/>
                <w:lang w:eastAsia="en-AU"/>
              </w:rPr>
              <w:t>C1</w:t>
            </w:r>
            <w:r w:rsidR="007B0DE8" w:rsidRPr="00CD0476">
              <w:rPr>
                <w:rFonts w:ascii="Arial Narrow" w:hAnsi="Arial Narrow"/>
                <w:color w:val="333333"/>
                <w:sz w:val="20"/>
                <w:szCs w:val="20"/>
                <w:lang w:eastAsia="en-AU"/>
              </w:rPr>
              <w:t>, Para A</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9A13EE" w14:textId="06B65F0E" w:rsidR="006502F0" w:rsidRPr="00CD0476" w:rsidRDefault="006502F0" w:rsidP="00C362B5">
            <w:pPr>
              <w:keepNext/>
              <w:keepLines/>
              <w:autoSpaceDE w:val="0"/>
              <w:autoSpaceDN w:val="0"/>
              <w:adjustRightInd w:val="0"/>
              <w:rPr>
                <w:rFonts w:ascii="Arial Narrow" w:hAnsi="Arial Narrow"/>
                <w:color w:val="333333"/>
                <w:sz w:val="20"/>
                <w:szCs w:val="20"/>
                <w:lang w:eastAsia="en-AU"/>
              </w:rPr>
            </w:pPr>
            <w:r w:rsidRPr="00CD0476">
              <w:rPr>
                <w:rFonts w:ascii="Arial Narrow" w:hAnsi="Arial Narrow"/>
                <w:color w:val="333333"/>
                <w:sz w:val="20"/>
                <w:szCs w:val="20"/>
                <w:lang w:eastAsia="en-AU"/>
              </w:rPr>
              <w:t>Patient must have cardiovascular disease;</w:t>
            </w:r>
          </w:p>
        </w:tc>
      </w:tr>
      <w:tr w:rsidR="007B0DE8" w:rsidRPr="00CD0476" w14:paraId="2584581B"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7E53D1" w14:textId="77777777" w:rsidR="007B0DE8" w:rsidRPr="00CD0476" w:rsidRDefault="007B0DE8" w:rsidP="00C362B5">
            <w:pPr>
              <w:keepNext/>
              <w:keepLines/>
              <w:jc w:val="center"/>
              <w:rPr>
                <w:rFonts w:ascii="Arial Narrow" w:hAnsi="Arial Narrow"/>
                <w:color w:val="333333"/>
                <w:sz w:val="20"/>
                <w:szCs w:val="20"/>
                <w:lang w:eastAsia="en-AU"/>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6241D6" w14:textId="46D75361" w:rsidR="007B0DE8" w:rsidRPr="00CD0476" w:rsidRDefault="007B0DE8" w:rsidP="00C362B5">
            <w:pPr>
              <w:keepNext/>
              <w:keepLines/>
              <w:autoSpaceDE w:val="0"/>
              <w:autoSpaceDN w:val="0"/>
              <w:adjustRightInd w:val="0"/>
              <w:rPr>
                <w:rFonts w:ascii="Arial Narrow" w:hAnsi="Arial Narrow"/>
                <w:b/>
                <w:bCs/>
                <w:color w:val="333333"/>
                <w:sz w:val="20"/>
                <w:szCs w:val="20"/>
                <w:lang w:eastAsia="en-AU"/>
              </w:rPr>
            </w:pPr>
            <w:r w:rsidRPr="00CD0476">
              <w:rPr>
                <w:rFonts w:ascii="Arial Narrow" w:hAnsi="Arial Narrow"/>
                <w:b/>
                <w:bCs/>
                <w:color w:val="333333"/>
                <w:sz w:val="20"/>
                <w:szCs w:val="20"/>
                <w:lang w:eastAsia="en-AU"/>
              </w:rPr>
              <w:t>OR</w:t>
            </w:r>
          </w:p>
        </w:tc>
      </w:tr>
      <w:tr w:rsidR="000C6334" w:rsidRPr="00CD0476" w14:paraId="21217A3E"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828AE8" w14:textId="2D892E53" w:rsidR="000C6334" w:rsidRPr="00CD0476" w:rsidRDefault="00C66F17" w:rsidP="00C362B5">
            <w:pPr>
              <w:keepNext/>
              <w:keepLines/>
              <w:jc w:val="center"/>
              <w:rPr>
                <w:rFonts w:ascii="Arial Narrow" w:hAnsi="Arial Narrow"/>
                <w:color w:val="333333"/>
                <w:sz w:val="20"/>
                <w:szCs w:val="20"/>
                <w:lang w:eastAsia="en-AU"/>
              </w:rPr>
            </w:pPr>
            <w:r w:rsidRPr="00CD0476">
              <w:rPr>
                <w:rFonts w:ascii="Arial Narrow" w:hAnsi="Arial Narrow"/>
                <w:color w:val="333333"/>
                <w:sz w:val="20"/>
                <w:szCs w:val="20"/>
                <w:lang w:eastAsia="en-AU"/>
              </w:rPr>
              <w:t>C</w:t>
            </w:r>
            <w:r w:rsidR="000C6334" w:rsidRPr="00CD0476">
              <w:rPr>
                <w:rFonts w:ascii="Arial Narrow" w:hAnsi="Arial Narrow"/>
                <w:color w:val="333333"/>
                <w:sz w:val="20"/>
                <w:szCs w:val="20"/>
                <w:lang w:eastAsia="en-AU"/>
              </w:rPr>
              <w:t>C2</w:t>
            </w:r>
            <w:r w:rsidR="007B0DE8" w:rsidRPr="00CD0476">
              <w:rPr>
                <w:rFonts w:ascii="Arial Narrow" w:hAnsi="Arial Narrow"/>
                <w:color w:val="333333"/>
                <w:sz w:val="20"/>
                <w:szCs w:val="20"/>
                <w:lang w:eastAsia="en-AU"/>
              </w:rPr>
              <w:t>, Para B</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17ABAA" w14:textId="225F8E89" w:rsidR="000C6334" w:rsidRPr="00CD0476" w:rsidRDefault="00927559" w:rsidP="00C362B5">
            <w:pPr>
              <w:keepNext/>
              <w:keepLines/>
              <w:autoSpaceDE w:val="0"/>
              <w:autoSpaceDN w:val="0"/>
              <w:adjustRightInd w:val="0"/>
              <w:rPr>
                <w:rFonts w:ascii="Arial Narrow" w:hAnsi="Arial Narrow"/>
                <w:color w:val="333333"/>
                <w:sz w:val="20"/>
                <w:szCs w:val="20"/>
                <w:lang w:eastAsia="en-AU"/>
              </w:rPr>
            </w:pPr>
            <w:r w:rsidRPr="00CD0476">
              <w:rPr>
                <w:rFonts w:ascii="Arial Narrow" w:hAnsi="Arial Narrow"/>
                <w:color w:val="333333"/>
                <w:sz w:val="20"/>
                <w:szCs w:val="20"/>
                <w:lang w:eastAsia="en-AU"/>
              </w:rPr>
              <w:t>Patient must be at high risk of a cardiovascular event;</w:t>
            </w:r>
          </w:p>
        </w:tc>
      </w:tr>
      <w:tr w:rsidR="007B0DE8" w:rsidRPr="00CD0476" w14:paraId="1D2EBA7B"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689B52" w14:textId="77777777" w:rsidR="007B0DE8" w:rsidRPr="00CD0476" w:rsidRDefault="007B0DE8" w:rsidP="00C362B5">
            <w:pPr>
              <w:keepNext/>
              <w:keepLines/>
              <w:jc w:val="center"/>
              <w:rPr>
                <w:rFonts w:ascii="Arial Narrow" w:hAnsi="Arial Narrow"/>
                <w:color w:val="333333"/>
                <w:sz w:val="20"/>
                <w:szCs w:val="20"/>
                <w:lang w:eastAsia="en-AU"/>
              </w:rPr>
            </w:pP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1B739B" w14:textId="0B92B5D8" w:rsidR="007B0DE8" w:rsidRPr="00CD0476" w:rsidRDefault="007B0DE8" w:rsidP="00C362B5">
            <w:pPr>
              <w:keepNext/>
              <w:keepLines/>
              <w:autoSpaceDE w:val="0"/>
              <w:autoSpaceDN w:val="0"/>
              <w:adjustRightInd w:val="0"/>
              <w:rPr>
                <w:rFonts w:ascii="Arial Narrow" w:hAnsi="Arial Narrow"/>
                <w:b/>
                <w:bCs/>
                <w:color w:val="333333"/>
                <w:sz w:val="20"/>
                <w:szCs w:val="20"/>
                <w:lang w:eastAsia="en-AU"/>
              </w:rPr>
            </w:pPr>
            <w:r w:rsidRPr="00CD0476">
              <w:rPr>
                <w:rFonts w:ascii="Arial Narrow" w:hAnsi="Arial Narrow"/>
                <w:b/>
                <w:bCs/>
                <w:color w:val="333333"/>
                <w:sz w:val="20"/>
                <w:szCs w:val="20"/>
                <w:lang w:eastAsia="en-AU"/>
              </w:rPr>
              <w:t>OR</w:t>
            </w:r>
          </w:p>
        </w:tc>
      </w:tr>
      <w:tr w:rsidR="006502F0" w:rsidRPr="00CD0476" w14:paraId="1281DC31" w14:textId="77777777" w:rsidTr="006502F0">
        <w:tc>
          <w:tcPr>
            <w:tcW w:w="5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363512" w14:textId="066DD8AF" w:rsidR="006502F0" w:rsidRPr="00CD0476" w:rsidRDefault="00C66F17" w:rsidP="00C362B5">
            <w:pPr>
              <w:keepNext/>
              <w:keepLines/>
              <w:jc w:val="center"/>
              <w:rPr>
                <w:rFonts w:ascii="Arial Narrow" w:hAnsi="Arial Narrow"/>
                <w:color w:val="333333"/>
                <w:sz w:val="20"/>
                <w:szCs w:val="20"/>
                <w:lang w:eastAsia="en-AU"/>
              </w:rPr>
            </w:pPr>
            <w:r w:rsidRPr="00CD0476">
              <w:rPr>
                <w:rFonts w:ascii="Arial Narrow" w:hAnsi="Arial Narrow"/>
                <w:color w:val="333333"/>
                <w:sz w:val="20"/>
                <w:szCs w:val="20"/>
                <w:lang w:eastAsia="en-AU"/>
              </w:rPr>
              <w:t>CC3</w:t>
            </w:r>
            <w:r w:rsidR="007B0DE8" w:rsidRPr="00CD0476">
              <w:rPr>
                <w:rFonts w:ascii="Arial Narrow" w:hAnsi="Arial Narrow"/>
                <w:color w:val="333333"/>
                <w:sz w:val="20"/>
                <w:szCs w:val="20"/>
                <w:lang w:eastAsia="en-AU"/>
              </w:rPr>
              <w:t>, Para C</w:t>
            </w:r>
          </w:p>
        </w:tc>
        <w:tc>
          <w:tcPr>
            <w:tcW w:w="44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9EC896" w14:textId="77777777" w:rsidR="006502F0" w:rsidRPr="00CD0476" w:rsidRDefault="006502F0" w:rsidP="00C362B5">
            <w:pPr>
              <w:keepNext/>
              <w:keepLines/>
              <w:rPr>
                <w:rFonts w:ascii="Arial Narrow" w:hAnsi="Arial Narrow"/>
                <w:color w:val="333333"/>
                <w:sz w:val="20"/>
                <w:szCs w:val="20"/>
                <w:lang w:eastAsia="en-AU"/>
              </w:rPr>
            </w:pPr>
            <w:r w:rsidRPr="00CD0476">
              <w:rPr>
                <w:rFonts w:ascii="Arial Narrow" w:hAnsi="Arial Narrow"/>
                <w:color w:val="333333"/>
                <w:sz w:val="20"/>
                <w:szCs w:val="20"/>
                <w:lang w:eastAsia="en-AU"/>
              </w:rPr>
              <w:t>Patient must identify as Aboriginal or Torres Strait Islander.</w:t>
            </w:r>
          </w:p>
        </w:tc>
      </w:tr>
    </w:tbl>
    <w:p w14:paraId="78F07F2F" w14:textId="77777777" w:rsidR="009E3B07" w:rsidRDefault="009E3B07">
      <w:pPr>
        <w:rPr>
          <w:rFonts w:ascii="Calibri" w:hAnsi="Calibri" w:cs="Calibri"/>
        </w:rPr>
      </w:pPr>
    </w:p>
    <w:p w14:paraId="3BE9D98E" w14:textId="21049E9A" w:rsidR="00974587" w:rsidRPr="007543BE" w:rsidRDefault="009E3B07" w:rsidP="007543BE">
      <w:pPr>
        <w:pStyle w:val="4Bodytextnumbered"/>
        <w:numPr>
          <w:ilvl w:val="0"/>
          <w:numId w:val="0"/>
        </w:numPr>
        <w:rPr>
          <w:i/>
          <w:iCs/>
        </w:rPr>
      </w:pPr>
      <w:r w:rsidRPr="009E3B07">
        <w:rPr>
          <w:i/>
          <w:iCs/>
        </w:rPr>
        <w:t>These restrictions may be subject to further review. Should there be any changes made to the restrictions the sponsors will be informed.</w:t>
      </w:r>
      <w:bookmarkEnd w:id="7"/>
    </w:p>
    <w:p w14:paraId="7C2CE61F" w14:textId="77777777" w:rsidR="00974587" w:rsidRPr="00974587" w:rsidRDefault="00974587" w:rsidP="00974587">
      <w:pPr>
        <w:pStyle w:val="2Sections"/>
        <w:rPr>
          <w:rFonts w:eastAsiaTheme="minorHAnsi"/>
          <w:lang w:val="en-GB"/>
        </w:rPr>
      </w:pPr>
      <w:r w:rsidRPr="00974587">
        <w:rPr>
          <w:rFonts w:eastAsiaTheme="minorHAnsi"/>
        </w:rPr>
        <w:t>Context for Decision</w:t>
      </w:r>
    </w:p>
    <w:p w14:paraId="61851B1C" w14:textId="77777777" w:rsidR="00974587" w:rsidRPr="00974587" w:rsidRDefault="00974587" w:rsidP="00974587">
      <w:pPr>
        <w:pStyle w:val="4Bodytextnumbered"/>
        <w:numPr>
          <w:ilvl w:val="0"/>
          <w:numId w:val="0"/>
        </w:numPr>
        <w:rPr>
          <w:bCs/>
          <w:szCs w:val="24"/>
          <w:lang w:val="en-GB"/>
        </w:rPr>
      </w:pPr>
      <w:r w:rsidRPr="00974587">
        <w:rPr>
          <w:bCs/>
          <w:szCs w:val="24"/>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76E83E9" w14:textId="77777777" w:rsidR="00974587" w:rsidRPr="009E3B07" w:rsidRDefault="00974587" w:rsidP="009E3B07">
      <w:pPr>
        <w:pStyle w:val="4Bodytextnumbered"/>
        <w:numPr>
          <w:ilvl w:val="0"/>
          <w:numId w:val="0"/>
        </w:numPr>
        <w:rPr>
          <w:i/>
          <w:iCs/>
        </w:rPr>
      </w:pPr>
    </w:p>
    <w:sectPr w:rsidR="00974587" w:rsidRPr="009E3B07" w:rsidSect="0052379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83B75" w14:textId="77777777" w:rsidR="007D2ED2" w:rsidRDefault="007D2ED2" w:rsidP="00331FF4">
      <w:r>
        <w:separator/>
      </w:r>
    </w:p>
    <w:p w14:paraId="2CEDBC84" w14:textId="77777777" w:rsidR="007D2ED2" w:rsidRDefault="007D2ED2"/>
    <w:p w14:paraId="3765D298" w14:textId="77777777" w:rsidR="007D2ED2" w:rsidRDefault="007D2ED2"/>
  </w:endnote>
  <w:endnote w:type="continuationSeparator" w:id="0">
    <w:p w14:paraId="1907F9F4" w14:textId="77777777" w:rsidR="007D2ED2" w:rsidRDefault="007D2ED2" w:rsidP="00331FF4">
      <w:r>
        <w:continuationSeparator/>
      </w:r>
    </w:p>
    <w:p w14:paraId="620CBEF6" w14:textId="77777777" w:rsidR="007D2ED2" w:rsidRDefault="007D2ED2"/>
    <w:p w14:paraId="1E06BB7C" w14:textId="77777777" w:rsidR="007D2ED2" w:rsidRDefault="007D2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D81BD" w14:textId="77777777" w:rsidR="008033A2" w:rsidRDefault="00803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7B3A" w14:textId="77777777" w:rsidR="00CD0476" w:rsidRDefault="00CD0476">
    <w:pPr>
      <w:pStyle w:val="Footer"/>
      <w:jc w:val="center"/>
      <w:rPr>
        <w:rFonts w:asciiTheme="majorHAnsi" w:hAnsiTheme="majorHAnsi" w:cstheme="majorHAnsi"/>
        <w:b/>
        <w:bCs/>
        <w:caps/>
      </w:rPr>
    </w:pPr>
  </w:p>
  <w:p w14:paraId="365694A7" w14:textId="2D070D93" w:rsidR="0059210A" w:rsidRPr="00CD0476" w:rsidRDefault="0059210A">
    <w:pPr>
      <w:pStyle w:val="Footer"/>
      <w:jc w:val="center"/>
      <w:rPr>
        <w:rFonts w:asciiTheme="majorHAnsi" w:hAnsiTheme="majorHAnsi" w:cstheme="majorHAnsi"/>
        <w:b/>
        <w:bCs/>
        <w:caps/>
        <w:noProof/>
      </w:rPr>
    </w:pPr>
    <w:r w:rsidRPr="00CD0476">
      <w:rPr>
        <w:rFonts w:asciiTheme="majorHAnsi" w:hAnsiTheme="majorHAnsi" w:cstheme="majorHAnsi"/>
        <w:b/>
        <w:bCs/>
        <w:caps/>
      </w:rPr>
      <w:fldChar w:fldCharType="begin"/>
    </w:r>
    <w:r w:rsidRPr="00CD0476">
      <w:rPr>
        <w:rFonts w:asciiTheme="majorHAnsi" w:hAnsiTheme="majorHAnsi" w:cstheme="majorHAnsi"/>
        <w:b/>
        <w:bCs/>
        <w:caps/>
      </w:rPr>
      <w:instrText xml:space="preserve"> PAGE   \* MERGEFORMAT </w:instrText>
    </w:r>
    <w:r w:rsidRPr="00CD0476">
      <w:rPr>
        <w:rFonts w:asciiTheme="majorHAnsi" w:hAnsiTheme="majorHAnsi" w:cstheme="majorHAnsi"/>
        <w:b/>
        <w:bCs/>
        <w:caps/>
      </w:rPr>
      <w:fldChar w:fldCharType="separate"/>
    </w:r>
    <w:r w:rsidRPr="00CD0476">
      <w:rPr>
        <w:rFonts w:asciiTheme="majorHAnsi" w:hAnsiTheme="majorHAnsi" w:cstheme="majorHAnsi"/>
        <w:b/>
        <w:bCs/>
        <w:caps/>
        <w:noProof/>
      </w:rPr>
      <w:t>2</w:t>
    </w:r>
    <w:r w:rsidRPr="00CD0476">
      <w:rPr>
        <w:rFonts w:asciiTheme="majorHAnsi" w:hAnsiTheme="majorHAnsi" w:cstheme="majorHAnsi"/>
        <w:b/>
        <w:bCs/>
        <w:caps/>
        <w:noProof/>
      </w:rPr>
      <w:fldChar w:fldCharType="end"/>
    </w:r>
  </w:p>
  <w:p w14:paraId="31567DD3" w14:textId="77777777" w:rsidR="0059210A" w:rsidRDefault="0059210A" w:rsidP="000413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D05B" w14:textId="77777777" w:rsidR="008033A2" w:rsidRDefault="00803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5AF4" w14:textId="77777777" w:rsidR="007D2ED2" w:rsidRDefault="007D2ED2" w:rsidP="00331FF4">
      <w:r>
        <w:separator/>
      </w:r>
    </w:p>
    <w:p w14:paraId="21B83D86" w14:textId="77777777" w:rsidR="007D2ED2" w:rsidRDefault="007D2ED2"/>
    <w:p w14:paraId="341D1353" w14:textId="77777777" w:rsidR="007D2ED2" w:rsidRDefault="007D2ED2"/>
  </w:footnote>
  <w:footnote w:type="continuationSeparator" w:id="0">
    <w:p w14:paraId="40DD0B6C" w14:textId="77777777" w:rsidR="007D2ED2" w:rsidRDefault="007D2ED2" w:rsidP="00331FF4">
      <w:r>
        <w:continuationSeparator/>
      </w:r>
    </w:p>
    <w:p w14:paraId="7B0C0DD7" w14:textId="77777777" w:rsidR="007D2ED2" w:rsidRDefault="007D2ED2"/>
    <w:p w14:paraId="187BE89E" w14:textId="77777777" w:rsidR="007D2ED2" w:rsidRDefault="007D2ED2"/>
  </w:footnote>
  <w:footnote w:id="1">
    <w:p w14:paraId="0E634D0F" w14:textId="43A8B16B" w:rsidR="0059210A" w:rsidRDefault="0059210A">
      <w:pPr>
        <w:pStyle w:val="FootnoteText"/>
      </w:pPr>
      <w:r>
        <w:rPr>
          <w:rStyle w:val="FootnoteReference"/>
        </w:rPr>
        <w:footnoteRef/>
      </w:r>
      <w:r>
        <w:t xml:space="preserve"> The George Institute for Global Health, </w:t>
      </w:r>
      <w:hyperlink r:id="rId1" w:history="1">
        <w:r w:rsidRPr="00412C09">
          <w:rPr>
            <w:rStyle w:val="Hyperlink"/>
          </w:rPr>
          <w:t>The wider benefits of SGLT2 inhibitors</w:t>
        </w:r>
      </w:hyperlink>
      <w:r>
        <w:t>, 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3D591" w14:textId="77777777" w:rsidR="008033A2" w:rsidRDefault="00803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460C" w14:textId="54A2411B" w:rsidR="0059210A" w:rsidRPr="007543BE" w:rsidRDefault="00E50E96" w:rsidP="00041323">
    <w:pPr>
      <w:pStyle w:val="Header"/>
      <w:keepNext/>
      <w:ind w:left="360"/>
      <w:jc w:val="center"/>
      <w:rPr>
        <w:rFonts w:asciiTheme="minorHAnsi" w:hAnsiTheme="minorHAnsi"/>
        <w:i/>
      </w:rPr>
    </w:pPr>
    <w:bookmarkStart w:id="8" w:name="_Hlk76375146"/>
    <w:r w:rsidRPr="007543BE">
      <w:rPr>
        <w:rFonts w:asciiTheme="minorHAnsi" w:hAnsiTheme="minorHAnsi"/>
        <w:i/>
      </w:rPr>
      <w:t xml:space="preserve">Public Summary Document </w:t>
    </w:r>
    <w:r w:rsidR="0059210A" w:rsidRPr="007543BE">
      <w:rPr>
        <w:rFonts w:asciiTheme="minorHAnsi" w:hAnsiTheme="minorHAnsi"/>
        <w:i/>
      </w:rPr>
      <w:t>– March 2022 PBAC Meeting</w:t>
    </w:r>
  </w:p>
  <w:bookmarkEnd w:id="8"/>
  <w:p w14:paraId="2C5510EF" w14:textId="77777777" w:rsidR="0059210A" w:rsidRDefault="00592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BEC07" w14:textId="77777777" w:rsidR="008033A2" w:rsidRDefault="00803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3AE8"/>
    <w:multiLevelType w:val="hybridMultilevel"/>
    <w:tmpl w:val="A720E5CE"/>
    <w:lvl w:ilvl="0" w:tplc="F77E53C2">
      <w:numFmt w:val="bullet"/>
      <w:lvlText w:val="-"/>
      <w:lvlJc w:val="left"/>
      <w:pPr>
        <w:ind w:left="720" w:hanging="360"/>
      </w:pPr>
      <w:rPr>
        <w:rFonts w:ascii="Times New Roman" w:eastAsia="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B71F7"/>
    <w:multiLevelType w:val="hybridMultilevel"/>
    <w:tmpl w:val="C7F6BA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855A2F"/>
    <w:multiLevelType w:val="hybridMultilevel"/>
    <w:tmpl w:val="F3D85CE2"/>
    <w:lvl w:ilvl="0" w:tplc="0C090001">
      <w:start w:val="1"/>
      <w:numFmt w:val="bullet"/>
      <w:lvlText w:val=""/>
      <w:lvlJc w:val="left"/>
      <w:pPr>
        <w:ind w:left="142" w:hanging="360"/>
      </w:pPr>
      <w:rPr>
        <w:rFonts w:ascii="Symbol" w:hAnsi="Symbol" w:hint="default"/>
      </w:rPr>
    </w:lvl>
    <w:lvl w:ilvl="1" w:tplc="0C090003">
      <w:start w:val="1"/>
      <w:numFmt w:val="bullet"/>
      <w:lvlText w:val="o"/>
      <w:lvlJc w:val="left"/>
      <w:pPr>
        <w:ind w:left="862" w:hanging="360"/>
      </w:pPr>
      <w:rPr>
        <w:rFonts w:ascii="Courier New" w:hAnsi="Courier New" w:cs="Courier New" w:hint="default"/>
      </w:rPr>
    </w:lvl>
    <w:lvl w:ilvl="2" w:tplc="0C090005">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3" w15:restartNumberingAfterBreak="0">
    <w:nsid w:val="07270B21"/>
    <w:multiLevelType w:val="hybridMultilevel"/>
    <w:tmpl w:val="076C0052"/>
    <w:lvl w:ilvl="0" w:tplc="57A48C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C55277"/>
    <w:multiLevelType w:val="hybridMultilevel"/>
    <w:tmpl w:val="5C941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D7A02CA"/>
    <w:multiLevelType w:val="hybridMultilevel"/>
    <w:tmpl w:val="092AD5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0B38E9"/>
    <w:multiLevelType w:val="hybridMultilevel"/>
    <w:tmpl w:val="076ADAC2"/>
    <w:lvl w:ilvl="0" w:tplc="3826656A">
      <w:start w:val="1"/>
      <w:numFmt w:val="upp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E667D9"/>
    <w:multiLevelType w:val="hybridMultilevel"/>
    <w:tmpl w:val="673E41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312461"/>
    <w:multiLevelType w:val="hybridMultilevel"/>
    <w:tmpl w:val="242E4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D7778E6"/>
    <w:multiLevelType w:val="hybridMultilevel"/>
    <w:tmpl w:val="BDECBC58"/>
    <w:lvl w:ilvl="0" w:tplc="61F804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EE476C"/>
    <w:multiLevelType w:val="hybridMultilevel"/>
    <w:tmpl w:val="846A7F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5453EB"/>
    <w:multiLevelType w:val="hybridMultilevel"/>
    <w:tmpl w:val="7C00953C"/>
    <w:lvl w:ilvl="0" w:tplc="0C090013">
      <w:start w:val="1"/>
      <w:numFmt w:val="upperRoman"/>
      <w:lvlText w:val="%1."/>
      <w:lvlJc w:val="righ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410105"/>
    <w:multiLevelType w:val="hybridMultilevel"/>
    <w:tmpl w:val="B344BF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52346E5"/>
    <w:multiLevelType w:val="hybridMultilevel"/>
    <w:tmpl w:val="0D0C05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A870A24"/>
    <w:multiLevelType w:val="hybridMultilevel"/>
    <w:tmpl w:val="665C62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4442297"/>
    <w:multiLevelType w:val="hybridMultilevel"/>
    <w:tmpl w:val="1256E66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942AD"/>
    <w:multiLevelType w:val="hybridMultilevel"/>
    <w:tmpl w:val="CEECB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A226BA"/>
    <w:multiLevelType w:val="hybridMultilevel"/>
    <w:tmpl w:val="E2E85D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8D25F76"/>
    <w:multiLevelType w:val="hybridMultilevel"/>
    <w:tmpl w:val="E7FEA97E"/>
    <w:lvl w:ilvl="0" w:tplc="3DD8F7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D5A4767"/>
    <w:multiLevelType w:val="hybridMultilevel"/>
    <w:tmpl w:val="EB584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18583D"/>
    <w:multiLevelType w:val="hybridMultilevel"/>
    <w:tmpl w:val="C944D9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63C7640"/>
    <w:multiLevelType w:val="hybridMultilevel"/>
    <w:tmpl w:val="2D9C3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67611"/>
    <w:multiLevelType w:val="hybridMultilevel"/>
    <w:tmpl w:val="076ADAC2"/>
    <w:lvl w:ilvl="0" w:tplc="3826656A">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DAC5FFD"/>
    <w:multiLevelType w:val="hybridMultilevel"/>
    <w:tmpl w:val="06AEAA6A"/>
    <w:lvl w:ilvl="0" w:tplc="309414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1F4256C"/>
    <w:multiLevelType w:val="hybridMultilevel"/>
    <w:tmpl w:val="A0C2D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F53DA5"/>
    <w:multiLevelType w:val="hybridMultilevel"/>
    <w:tmpl w:val="692C1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346CCF"/>
    <w:multiLevelType w:val="hybridMultilevel"/>
    <w:tmpl w:val="2876BE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7" w15:restartNumberingAfterBreak="0">
    <w:nsid w:val="66575B24"/>
    <w:multiLevelType w:val="hybridMultilevel"/>
    <w:tmpl w:val="FBCC4C64"/>
    <w:lvl w:ilvl="0" w:tplc="0C090001">
      <w:start w:val="1"/>
      <w:numFmt w:val="bullet"/>
      <w:lvlText w:val=""/>
      <w:lvlJc w:val="left"/>
      <w:pPr>
        <w:ind w:left="720" w:hanging="360"/>
      </w:pPr>
      <w:rPr>
        <w:rFonts w:ascii="Symbol" w:hAnsi="Symbol" w:hint="default"/>
      </w:rPr>
    </w:lvl>
    <w:lvl w:ilvl="1" w:tplc="DDA8FCAC">
      <w:start w:val="3"/>
      <w:numFmt w:val="bullet"/>
      <w:lvlText w:val="-"/>
      <w:lvlJc w:val="left"/>
      <w:pPr>
        <w:ind w:left="1440" w:hanging="360"/>
      </w:pPr>
      <w:rPr>
        <w:rFonts w:ascii="Cambria" w:eastAsia="Times New Roman" w:hAnsi="Cambria"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11048D"/>
    <w:multiLevelType w:val="hybridMultilevel"/>
    <w:tmpl w:val="A718F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D651125"/>
    <w:multiLevelType w:val="hybridMultilevel"/>
    <w:tmpl w:val="DD56EB3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70FB1081"/>
    <w:multiLevelType w:val="hybridMultilevel"/>
    <w:tmpl w:val="E1B8D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CB155F"/>
    <w:multiLevelType w:val="hybridMultilevel"/>
    <w:tmpl w:val="469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F2978"/>
    <w:multiLevelType w:val="hybridMultilevel"/>
    <w:tmpl w:val="355C9A82"/>
    <w:lvl w:ilvl="0" w:tplc="4112DA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834342B"/>
    <w:multiLevelType w:val="hybridMultilevel"/>
    <w:tmpl w:val="8E3A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4D033C"/>
    <w:multiLevelType w:val="multilevel"/>
    <w:tmpl w:val="0FA0ADD6"/>
    <w:lvl w:ilvl="0">
      <w:start w:val="1"/>
      <w:numFmt w:val="decimal"/>
      <w:pStyle w:val="2Sections"/>
      <w:lvlText w:val="%1"/>
      <w:lvlJc w:val="left"/>
      <w:pPr>
        <w:ind w:left="720" w:hanging="720"/>
      </w:pPr>
      <w:rPr>
        <w:rFonts w:hint="default"/>
        <w:b/>
        <w:color w:val="000000" w:themeColor="text1"/>
      </w:rPr>
    </w:lvl>
    <w:lvl w:ilvl="1">
      <w:start w:val="1"/>
      <w:numFmt w:val="decimal"/>
      <w:pStyle w:val="4Bodytextnumbered"/>
      <w:lvlText w:val="%1.%2"/>
      <w:lvlJc w:val="left"/>
      <w:pPr>
        <w:ind w:left="720" w:hanging="720"/>
      </w:pPr>
      <w:rPr>
        <w:rFonts w:asciiTheme="minorHAnsi" w:hAnsiTheme="minorHAnsi" w:cstheme="minorHAnsi"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AC7115"/>
    <w:multiLevelType w:val="hybridMultilevel"/>
    <w:tmpl w:val="52644E30"/>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3039389">
    <w:abstractNumId w:val="34"/>
  </w:num>
  <w:num w:numId="2" w16cid:durableId="1983268736">
    <w:abstractNumId w:val="34"/>
  </w:num>
  <w:num w:numId="3" w16cid:durableId="336737364">
    <w:abstractNumId w:val="34"/>
  </w:num>
  <w:num w:numId="4" w16cid:durableId="1757902734">
    <w:abstractNumId w:val="31"/>
  </w:num>
  <w:num w:numId="5" w16cid:durableId="1857038502">
    <w:abstractNumId w:val="35"/>
  </w:num>
  <w:num w:numId="6" w16cid:durableId="294722506">
    <w:abstractNumId w:val="34"/>
  </w:num>
  <w:num w:numId="7" w16cid:durableId="339627729">
    <w:abstractNumId w:val="23"/>
  </w:num>
  <w:num w:numId="8" w16cid:durableId="1692223580">
    <w:abstractNumId w:val="15"/>
  </w:num>
  <w:num w:numId="9" w16cid:durableId="1170102013">
    <w:abstractNumId w:val="34"/>
  </w:num>
  <w:num w:numId="10" w16cid:durableId="719091877">
    <w:abstractNumId w:val="34"/>
  </w:num>
  <w:num w:numId="11" w16cid:durableId="1763381478">
    <w:abstractNumId w:val="23"/>
  </w:num>
  <w:num w:numId="12" w16cid:durableId="764038276">
    <w:abstractNumId w:val="15"/>
  </w:num>
  <w:num w:numId="13" w16cid:durableId="2060278997">
    <w:abstractNumId w:val="34"/>
  </w:num>
  <w:num w:numId="14" w16cid:durableId="1225874983">
    <w:abstractNumId w:val="18"/>
  </w:num>
  <w:num w:numId="15" w16cid:durableId="2054033736">
    <w:abstractNumId w:val="9"/>
  </w:num>
  <w:num w:numId="16" w16cid:durableId="161481301">
    <w:abstractNumId w:val="17"/>
  </w:num>
  <w:num w:numId="17" w16cid:durableId="1721900881">
    <w:abstractNumId w:val="5"/>
  </w:num>
  <w:num w:numId="18" w16cid:durableId="1514802466">
    <w:abstractNumId w:val="16"/>
  </w:num>
  <w:num w:numId="19" w16cid:durableId="316499648">
    <w:abstractNumId w:val="19"/>
  </w:num>
  <w:num w:numId="20" w16cid:durableId="66849221">
    <w:abstractNumId w:val="0"/>
  </w:num>
  <w:num w:numId="21" w16cid:durableId="663624186">
    <w:abstractNumId w:val="13"/>
  </w:num>
  <w:num w:numId="22" w16cid:durableId="867256041">
    <w:abstractNumId w:val="3"/>
  </w:num>
  <w:num w:numId="23" w16cid:durableId="1865093602">
    <w:abstractNumId w:val="32"/>
  </w:num>
  <w:num w:numId="24" w16cid:durableId="581063561">
    <w:abstractNumId w:val="20"/>
  </w:num>
  <w:num w:numId="25" w16cid:durableId="316808393">
    <w:abstractNumId w:val="1"/>
  </w:num>
  <w:num w:numId="26" w16cid:durableId="689910913">
    <w:abstractNumId w:val="4"/>
  </w:num>
  <w:num w:numId="27" w16cid:durableId="658971635">
    <w:abstractNumId w:val="8"/>
  </w:num>
  <w:num w:numId="28" w16cid:durableId="277108177">
    <w:abstractNumId w:val="14"/>
  </w:num>
  <w:num w:numId="29" w16cid:durableId="1526677722">
    <w:abstractNumId w:val="12"/>
  </w:num>
  <w:num w:numId="30" w16cid:durableId="18510270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6866513">
    <w:abstractNumId w:val="22"/>
  </w:num>
  <w:num w:numId="32" w16cid:durableId="921256430">
    <w:abstractNumId w:val="10"/>
  </w:num>
  <w:num w:numId="33" w16cid:durableId="1071662238">
    <w:abstractNumId w:val="29"/>
  </w:num>
  <w:num w:numId="34" w16cid:durableId="4387670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3138283">
    <w:abstractNumId w:val="34"/>
  </w:num>
  <w:num w:numId="36" w16cid:durableId="1395470495">
    <w:abstractNumId w:val="6"/>
  </w:num>
  <w:num w:numId="37" w16cid:durableId="544760834">
    <w:abstractNumId w:val="34"/>
  </w:num>
  <w:num w:numId="38" w16cid:durableId="698550886">
    <w:abstractNumId w:val="34"/>
  </w:num>
  <w:num w:numId="39" w16cid:durableId="1575895806">
    <w:abstractNumId w:val="24"/>
  </w:num>
  <w:num w:numId="40" w16cid:durableId="112209324">
    <w:abstractNumId w:val="2"/>
  </w:num>
  <w:num w:numId="41" w16cid:durableId="1323509377">
    <w:abstractNumId w:val="21"/>
  </w:num>
  <w:num w:numId="42" w16cid:durableId="1688827913">
    <w:abstractNumId w:val="33"/>
  </w:num>
  <w:num w:numId="43" w16cid:durableId="2002346461">
    <w:abstractNumId w:val="30"/>
  </w:num>
  <w:num w:numId="44" w16cid:durableId="153255164">
    <w:abstractNumId w:val="27"/>
  </w:num>
  <w:num w:numId="45" w16cid:durableId="370572024">
    <w:abstractNumId w:val="36"/>
  </w:num>
  <w:num w:numId="46" w16cid:durableId="1308826010">
    <w:abstractNumId w:val="11"/>
  </w:num>
  <w:num w:numId="47" w16cid:durableId="398288272">
    <w:abstractNumId w:val="7"/>
  </w:num>
  <w:num w:numId="48" w16cid:durableId="1976131422">
    <w:abstractNumId w:val="26"/>
  </w:num>
  <w:num w:numId="49" w16cid:durableId="790683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5B"/>
    <w:rsid w:val="00001D0A"/>
    <w:rsid w:val="000025AC"/>
    <w:rsid w:val="00004E6E"/>
    <w:rsid w:val="00006191"/>
    <w:rsid w:val="0001431A"/>
    <w:rsid w:val="0002787B"/>
    <w:rsid w:val="00030D17"/>
    <w:rsid w:val="00040567"/>
    <w:rsid w:val="00041323"/>
    <w:rsid w:val="000428CA"/>
    <w:rsid w:val="00042C96"/>
    <w:rsid w:val="00043AEC"/>
    <w:rsid w:val="00051274"/>
    <w:rsid w:val="00051B62"/>
    <w:rsid w:val="00065E3F"/>
    <w:rsid w:val="00082968"/>
    <w:rsid w:val="00095102"/>
    <w:rsid w:val="000973DD"/>
    <w:rsid w:val="000A62B6"/>
    <w:rsid w:val="000A6CD4"/>
    <w:rsid w:val="000A7A04"/>
    <w:rsid w:val="000B2A6F"/>
    <w:rsid w:val="000B2E16"/>
    <w:rsid w:val="000B4D26"/>
    <w:rsid w:val="000B59B9"/>
    <w:rsid w:val="000B6840"/>
    <w:rsid w:val="000B6906"/>
    <w:rsid w:val="000B69EB"/>
    <w:rsid w:val="000C1DE3"/>
    <w:rsid w:val="000C26D8"/>
    <w:rsid w:val="000C6334"/>
    <w:rsid w:val="000E339D"/>
    <w:rsid w:val="000F5535"/>
    <w:rsid w:val="000F7E23"/>
    <w:rsid w:val="00102D93"/>
    <w:rsid w:val="00121CA0"/>
    <w:rsid w:val="00130D96"/>
    <w:rsid w:val="0015360C"/>
    <w:rsid w:val="001670D7"/>
    <w:rsid w:val="001675F6"/>
    <w:rsid w:val="001720F0"/>
    <w:rsid w:val="00175C85"/>
    <w:rsid w:val="0018495D"/>
    <w:rsid w:val="00187992"/>
    <w:rsid w:val="00187CC0"/>
    <w:rsid w:val="00195B16"/>
    <w:rsid w:val="00197B84"/>
    <w:rsid w:val="001A0598"/>
    <w:rsid w:val="001A6B1D"/>
    <w:rsid w:val="001B305E"/>
    <w:rsid w:val="001C15CA"/>
    <w:rsid w:val="001C5D95"/>
    <w:rsid w:val="001D7213"/>
    <w:rsid w:val="001D7525"/>
    <w:rsid w:val="001E1C07"/>
    <w:rsid w:val="001E361D"/>
    <w:rsid w:val="001F34B3"/>
    <w:rsid w:val="0020349A"/>
    <w:rsid w:val="0020415C"/>
    <w:rsid w:val="00204685"/>
    <w:rsid w:val="00217BE9"/>
    <w:rsid w:val="00217E7F"/>
    <w:rsid w:val="00224981"/>
    <w:rsid w:val="0022649B"/>
    <w:rsid w:val="00227B74"/>
    <w:rsid w:val="00232D65"/>
    <w:rsid w:val="0023412F"/>
    <w:rsid w:val="0024230C"/>
    <w:rsid w:val="00253830"/>
    <w:rsid w:val="002545BF"/>
    <w:rsid w:val="00261C3F"/>
    <w:rsid w:val="002643CA"/>
    <w:rsid w:val="0026543E"/>
    <w:rsid w:val="00266553"/>
    <w:rsid w:val="0026757F"/>
    <w:rsid w:val="00272281"/>
    <w:rsid w:val="00281DCB"/>
    <w:rsid w:val="00283760"/>
    <w:rsid w:val="00285615"/>
    <w:rsid w:val="0029153A"/>
    <w:rsid w:val="002A0430"/>
    <w:rsid w:val="002A2C23"/>
    <w:rsid w:val="002B1B78"/>
    <w:rsid w:val="002D12D9"/>
    <w:rsid w:val="002D3229"/>
    <w:rsid w:val="002E0E32"/>
    <w:rsid w:val="002E4CB8"/>
    <w:rsid w:val="002E501D"/>
    <w:rsid w:val="002E6E86"/>
    <w:rsid w:val="002E7D80"/>
    <w:rsid w:val="002F4D1F"/>
    <w:rsid w:val="002F68D7"/>
    <w:rsid w:val="003037D4"/>
    <w:rsid w:val="00305BFB"/>
    <w:rsid w:val="00310F9E"/>
    <w:rsid w:val="003146E0"/>
    <w:rsid w:val="00316898"/>
    <w:rsid w:val="0032052E"/>
    <w:rsid w:val="00323028"/>
    <w:rsid w:val="003245BB"/>
    <w:rsid w:val="00326511"/>
    <w:rsid w:val="00331FF4"/>
    <w:rsid w:val="003326B0"/>
    <w:rsid w:val="00333133"/>
    <w:rsid w:val="003339D9"/>
    <w:rsid w:val="0033426E"/>
    <w:rsid w:val="00350826"/>
    <w:rsid w:val="00350CFE"/>
    <w:rsid w:val="00357F33"/>
    <w:rsid w:val="00363C6C"/>
    <w:rsid w:val="00365AB4"/>
    <w:rsid w:val="00367EDA"/>
    <w:rsid w:val="003708FD"/>
    <w:rsid w:val="0037386F"/>
    <w:rsid w:val="0037521F"/>
    <w:rsid w:val="0038530B"/>
    <w:rsid w:val="00386F06"/>
    <w:rsid w:val="0039590F"/>
    <w:rsid w:val="003A5B77"/>
    <w:rsid w:val="003B4783"/>
    <w:rsid w:val="003B6578"/>
    <w:rsid w:val="003C37FA"/>
    <w:rsid w:val="003C5FD1"/>
    <w:rsid w:val="003D1234"/>
    <w:rsid w:val="003D5170"/>
    <w:rsid w:val="003E2898"/>
    <w:rsid w:val="003E64CC"/>
    <w:rsid w:val="003F7F09"/>
    <w:rsid w:val="00404A4D"/>
    <w:rsid w:val="0040539C"/>
    <w:rsid w:val="00407D1C"/>
    <w:rsid w:val="00412C09"/>
    <w:rsid w:val="004172FB"/>
    <w:rsid w:val="00436834"/>
    <w:rsid w:val="00436D64"/>
    <w:rsid w:val="00450F0F"/>
    <w:rsid w:val="00464BB6"/>
    <w:rsid w:val="00472A77"/>
    <w:rsid w:val="00472DFE"/>
    <w:rsid w:val="004736F1"/>
    <w:rsid w:val="00484578"/>
    <w:rsid w:val="004864F9"/>
    <w:rsid w:val="00495819"/>
    <w:rsid w:val="004A411E"/>
    <w:rsid w:val="004C05E2"/>
    <w:rsid w:val="004D453A"/>
    <w:rsid w:val="004D6183"/>
    <w:rsid w:val="004D7F35"/>
    <w:rsid w:val="004E6794"/>
    <w:rsid w:val="004F1A60"/>
    <w:rsid w:val="004F5E8E"/>
    <w:rsid w:val="00504A3E"/>
    <w:rsid w:val="005069EB"/>
    <w:rsid w:val="00510283"/>
    <w:rsid w:val="00520244"/>
    <w:rsid w:val="005205B6"/>
    <w:rsid w:val="00520B74"/>
    <w:rsid w:val="0052379C"/>
    <w:rsid w:val="00534DC0"/>
    <w:rsid w:val="005417C9"/>
    <w:rsid w:val="005565D1"/>
    <w:rsid w:val="00574E57"/>
    <w:rsid w:val="0059210A"/>
    <w:rsid w:val="0059318F"/>
    <w:rsid w:val="005A4D3C"/>
    <w:rsid w:val="005A565D"/>
    <w:rsid w:val="005B2D3B"/>
    <w:rsid w:val="005B544C"/>
    <w:rsid w:val="005B716F"/>
    <w:rsid w:val="005C1B50"/>
    <w:rsid w:val="005C3557"/>
    <w:rsid w:val="005C3600"/>
    <w:rsid w:val="005C5D2A"/>
    <w:rsid w:val="005E2606"/>
    <w:rsid w:val="005E2E59"/>
    <w:rsid w:val="005E4E1E"/>
    <w:rsid w:val="005E647F"/>
    <w:rsid w:val="005F055C"/>
    <w:rsid w:val="005F69E8"/>
    <w:rsid w:val="00605C96"/>
    <w:rsid w:val="00614D1C"/>
    <w:rsid w:val="00617176"/>
    <w:rsid w:val="00621DB0"/>
    <w:rsid w:val="00622300"/>
    <w:rsid w:val="0062396D"/>
    <w:rsid w:val="00627CD2"/>
    <w:rsid w:val="0063094A"/>
    <w:rsid w:val="006317C8"/>
    <w:rsid w:val="00636A4B"/>
    <w:rsid w:val="00636FB3"/>
    <w:rsid w:val="00640182"/>
    <w:rsid w:val="00642C92"/>
    <w:rsid w:val="0064602E"/>
    <w:rsid w:val="006502F0"/>
    <w:rsid w:val="006577C7"/>
    <w:rsid w:val="00665F1C"/>
    <w:rsid w:val="0067120F"/>
    <w:rsid w:val="006744BE"/>
    <w:rsid w:val="006751F9"/>
    <w:rsid w:val="00680CA2"/>
    <w:rsid w:val="00683193"/>
    <w:rsid w:val="00687213"/>
    <w:rsid w:val="00694828"/>
    <w:rsid w:val="006A0C23"/>
    <w:rsid w:val="006A624C"/>
    <w:rsid w:val="006A77F3"/>
    <w:rsid w:val="006C07B3"/>
    <w:rsid w:val="006D023C"/>
    <w:rsid w:val="006D6D59"/>
    <w:rsid w:val="00700F32"/>
    <w:rsid w:val="007063C4"/>
    <w:rsid w:val="00712500"/>
    <w:rsid w:val="00713A57"/>
    <w:rsid w:val="0071655B"/>
    <w:rsid w:val="00724379"/>
    <w:rsid w:val="007244D3"/>
    <w:rsid w:val="007247A3"/>
    <w:rsid w:val="007305D7"/>
    <w:rsid w:val="00730636"/>
    <w:rsid w:val="00751C34"/>
    <w:rsid w:val="007543BE"/>
    <w:rsid w:val="00765745"/>
    <w:rsid w:val="00773BAD"/>
    <w:rsid w:val="00783003"/>
    <w:rsid w:val="00793258"/>
    <w:rsid w:val="007A5886"/>
    <w:rsid w:val="007A7B77"/>
    <w:rsid w:val="007B0DE8"/>
    <w:rsid w:val="007B3D99"/>
    <w:rsid w:val="007B7399"/>
    <w:rsid w:val="007C4BBC"/>
    <w:rsid w:val="007D0456"/>
    <w:rsid w:val="007D20E0"/>
    <w:rsid w:val="007D2ED2"/>
    <w:rsid w:val="007D4A42"/>
    <w:rsid w:val="007D68C5"/>
    <w:rsid w:val="00801801"/>
    <w:rsid w:val="008019AC"/>
    <w:rsid w:val="008029BD"/>
    <w:rsid w:val="008033A2"/>
    <w:rsid w:val="00804D24"/>
    <w:rsid w:val="008062C4"/>
    <w:rsid w:val="00815A67"/>
    <w:rsid w:val="00816A29"/>
    <w:rsid w:val="00817502"/>
    <w:rsid w:val="00822DFD"/>
    <w:rsid w:val="008258B7"/>
    <w:rsid w:val="00827E22"/>
    <w:rsid w:val="00833DA1"/>
    <w:rsid w:val="008416EF"/>
    <w:rsid w:val="00843EB8"/>
    <w:rsid w:val="00853FBD"/>
    <w:rsid w:val="0085423D"/>
    <w:rsid w:val="00855C79"/>
    <w:rsid w:val="00856711"/>
    <w:rsid w:val="00857177"/>
    <w:rsid w:val="00857D06"/>
    <w:rsid w:val="0086393B"/>
    <w:rsid w:val="008775E8"/>
    <w:rsid w:val="00887721"/>
    <w:rsid w:val="00887A93"/>
    <w:rsid w:val="0089155A"/>
    <w:rsid w:val="00893E56"/>
    <w:rsid w:val="008A750D"/>
    <w:rsid w:val="008B2292"/>
    <w:rsid w:val="008B4525"/>
    <w:rsid w:val="008B4CE2"/>
    <w:rsid w:val="008C3B18"/>
    <w:rsid w:val="008C6E52"/>
    <w:rsid w:val="008D16DF"/>
    <w:rsid w:val="008D7680"/>
    <w:rsid w:val="008E6FC4"/>
    <w:rsid w:val="008E7958"/>
    <w:rsid w:val="008F04C0"/>
    <w:rsid w:val="008F09AD"/>
    <w:rsid w:val="00903350"/>
    <w:rsid w:val="00914DAC"/>
    <w:rsid w:val="00916658"/>
    <w:rsid w:val="00926CDC"/>
    <w:rsid w:val="00927559"/>
    <w:rsid w:val="00930198"/>
    <w:rsid w:val="00941EDF"/>
    <w:rsid w:val="00942EC0"/>
    <w:rsid w:val="009500BD"/>
    <w:rsid w:val="009556C5"/>
    <w:rsid w:val="00955E02"/>
    <w:rsid w:val="00967653"/>
    <w:rsid w:val="009702D4"/>
    <w:rsid w:val="009707D0"/>
    <w:rsid w:val="00973B3F"/>
    <w:rsid w:val="00974587"/>
    <w:rsid w:val="00976F65"/>
    <w:rsid w:val="00980094"/>
    <w:rsid w:val="00984094"/>
    <w:rsid w:val="0098537C"/>
    <w:rsid w:val="0098717E"/>
    <w:rsid w:val="0098754B"/>
    <w:rsid w:val="009A2C59"/>
    <w:rsid w:val="009A6909"/>
    <w:rsid w:val="009C24E6"/>
    <w:rsid w:val="009D217D"/>
    <w:rsid w:val="009D3312"/>
    <w:rsid w:val="009E27C0"/>
    <w:rsid w:val="009E3B07"/>
    <w:rsid w:val="009E75B8"/>
    <w:rsid w:val="00A013C4"/>
    <w:rsid w:val="00A02130"/>
    <w:rsid w:val="00A11FC4"/>
    <w:rsid w:val="00A1617E"/>
    <w:rsid w:val="00A178D8"/>
    <w:rsid w:val="00A20179"/>
    <w:rsid w:val="00A2127B"/>
    <w:rsid w:val="00A24CD1"/>
    <w:rsid w:val="00A2585B"/>
    <w:rsid w:val="00A26A1C"/>
    <w:rsid w:val="00A26A73"/>
    <w:rsid w:val="00A31591"/>
    <w:rsid w:val="00A340AD"/>
    <w:rsid w:val="00A3458F"/>
    <w:rsid w:val="00A352C4"/>
    <w:rsid w:val="00A41A11"/>
    <w:rsid w:val="00A4232C"/>
    <w:rsid w:val="00A4385D"/>
    <w:rsid w:val="00A469F2"/>
    <w:rsid w:val="00A61104"/>
    <w:rsid w:val="00A7437A"/>
    <w:rsid w:val="00A757D4"/>
    <w:rsid w:val="00A76F22"/>
    <w:rsid w:val="00A84555"/>
    <w:rsid w:val="00A879F2"/>
    <w:rsid w:val="00A916A3"/>
    <w:rsid w:val="00A970EB"/>
    <w:rsid w:val="00A97842"/>
    <w:rsid w:val="00A97C60"/>
    <w:rsid w:val="00AA4396"/>
    <w:rsid w:val="00AA43B7"/>
    <w:rsid w:val="00AB0CD2"/>
    <w:rsid w:val="00AB35BD"/>
    <w:rsid w:val="00AB4C88"/>
    <w:rsid w:val="00AC1A24"/>
    <w:rsid w:val="00AC5149"/>
    <w:rsid w:val="00AC5445"/>
    <w:rsid w:val="00AC6EE4"/>
    <w:rsid w:val="00AD3317"/>
    <w:rsid w:val="00AD5D57"/>
    <w:rsid w:val="00AE2B7B"/>
    <w:rsid w:val="00AF070A"/>
    <w:rsid w:val="00AF1512"/>
    <w:rsid w:val="00B047F5"/>
    <w:rsid w:val="00B075ED"/>
    <w:rsid w:val="00B15787"/>
    <w:rsid w:val="00B218D9"/>
    <w:rsid w:val="00B21F7F"/>
    <w:rsid w:val="00B24E06"/>
    <w:rsid w:val="00B40956"/>
    <w:rsid w:val="00B40A6A"/>
    <w:rsid w:val="00B530D9"/>
    <w:rsid w:val="00B57EFD"/>
    <w:rsid w:val="00B64428"/>
    <w:rsid w:val="00B65BFA"/>
    <w:rsid w:val="00B82E4B"/>
    <w:rsid w:val="00B842B6"/>
    <w:rsid w:val="00B9759F"/>
    <w:rsid w:val="00BA230F"/>
    <w:rsid w:val="00BA3859"/>
    <w:rsid w:val="00BA7A7B"/>
    <w:rsid w:val="00BC43FD"/>
    <w:rsid w:val="00BD2648"/>
    <w:rsid w:val="00BD47F3"/>
    <w:rsid w:val="00BE5573"/>
    <w:rsid w:val="00BF66F3"/>
    <w:rsid w:val="00BF741E"/>
    <w:rsid w:val="00C049E3"/>
    <w:rsid w:val="00C0540B"/>
    <w:rsid w:val="00C101CA"/>
    <w:rsid w:val="00C11065"/>
    <w:rsid w:val="00C11541"/>
    <w:rsid w:val="00C26B56"/>
    <w:rsid w:val="00C34A35"/>
    <w:rsid w:val="00C34F3E"/>
    <w:rsid w:val="00C362B5"/>
    <w:rsid w:val="00C46942"/>
    <w:rsid w:val="00C66F17"/>
    <w:rsid w:val="00C73A9F"/>
    <w:rsid w:val="00C74BD4"/>
    <w:rsid w:val="00C76604"/>
    <w:rsid w:val="00C807AC"/>
    <w:rsid w:val="00C839F4"/>
    <w:rsid w:val="00CB4803"/>
    <w:rsid w:val="00CB4C04"/>
    <w:rsid w:val="00CB58DE"/>
    <w:rsid w:val="00CC5A3A"/>
    <w:rsid w:val="00CD0476"/>
    <w:rsid w:val="00CE0C20"/>
    <w:rsid w:val="00CE2B3D"/>
    <w:rsid w:val="00CE39A5"/>
    <w:rsid w:val="00CE49EB"/>
    <w:rsid w:val="00CE7A3E"/>
    <w:rsid w:val="00CF0A2D"/>
    <w:rsid w:val="00CF589A"/>
    <w:rsid w:val="00CF6556"/>
    <w:rsid w:val="00D0064D"/>
    <w:rsid w:val="00D032FA"/>
    <w:rsid w:val="00D10FBC"/>
    <w:rsid w:val="00D132CF"/>
    <w:rsid w:val="00D139AB"/>
    <w:rsid w:val="00D17533"/>
    <w:rsid w:val="00D223D5"/>
    <w:rsid w:val="00D30113"/>
    <w:rsid w:val="00D32524"/>
    <w:rsid w:val="00D3301E"/>
    <w:rsid w:val="00D44E38"/>
    <w:rsid w:val="00D47E53"/>
    <w:rsid w:val="00D508ED"/>
    <w:rsid w:val="00D66F6E"/>
    <w:rsid w:val="00D70F0A"/>
    <w:rsid w:val="00D76298"/>
    <w:rsid w:val="00D77275"/>
    <w:rsid w:val="00D82819"/>
    <w:rsid w:val="00D86354"/>
    <w:rsid w:val="00D9707D"/>
    <w:rsid w:val="00DA4D87"/>
    <w:rsid w:val="00DA6AB7"/>
    <w:rsid w:val="00DB03B5"/>
    <w:rsid w:val="00DB3D9C"/>
    <w:rsid w:val="00DC11F4"/>
    <w:rsid w:val="00DC4E30"/>
    <w:rsid w:val="00DC7B7B"/>
    <w:rsid w:val="00DD22A1"/>
    <w:rsid w:val="00DE0F82"/>
    <w:rsid w:val="00DF132C"/>
    <w:rsid w:val="00E03A9D"/>
    <w:rsid w:val="00E042E5"/>
    <w:rsid w:val="00E07B03"/>
    <w:rsid w:val="00E07BCB"/>
    <w:rsid w:val="00E15EE7"/>
    <w:rsid w:val="00E17967"/>
    <w:rsid w:val="00E2139E"/>
    <w:rsid w:val="00E214FF"/>
    <w:rsid w:val="00E31F6B"/>
    <w:rsid w:val="00E32C1C"/>
    <w:rsid w:val="00E33209"/>
    <w:rsid w:val="00E3770D"/>
    <w:rsid w:val="00E421D6"/>
    <w:rsid w:val="00E444AA"/>
    <w:rsid w:val="00E45CB8"/>
    <w:rsid w:val="00E46702"/>
    <w:rsid w:val="00E46AB9"/>
    <w:rsid w:val="00E50E96"/>
    <w:rsid w:val="00E56D4C"/>
    <w:rsid w:val="00E66B03"/>
    <w:rsid w:val="00E67464"/>
    <w:rsid w:val="00E80BAB"/>
    <w:rsid w:val="00E81BF9"/>
    <w:rsid w:val="00E82420"/>
    <w:rsid w:val="00E868BB"/>
    <w:rsid w:val="00E918D4"/>
    <w:rsid w:val="00E924CB"/>
    <w:rsid w:val="00EA1B59"/>
    <w:rsid w:val="00EA1DF0"/>
    <w:rsid w:val="00EA2312"/>
    <w:rsid w:val="00EA525D"/>
    <w:rsid w:val="00EB2A20"/>
    <w:rsid w:val="00EB7DAB"/>
    <w:rsid w:val="00ED7B3E"/>
    <w:rsid w:val="00EE0CA4"/>
    <w:rsid w:val="00EE33F7"/>
    <w:rsid w:val="00EF0C14"/>
    <w:rsid w:val="00EF5EC0"/>
    <w:rsid w:val="00F025FA"/>
    <w:rsid w:val="00F12935"/>
    <w:rsid w:val="00F140AB"/>
    <w:rsid w:val="00F353DD"/>
    <w:rsid w:val="00F37430"/>
    <w:rsid w:val="00F45441"/>
    <w:rsid w:val="00F467C1"/>
    <w:rsid w:val="00F56771"/>
    <w:rsid w:val="00F6075D"/>
    <w:rsid w:val="00F61275"/>
    <w:rsid w:val="00F658C4"/>
    <w:rsid w:val="00F66FE8"/>
    <w:rsid w:val="00F7085D"/>
    <w:rsid w:val="00F776EC"/>
    <w:rsid w:val="00F85D1B"/>
    <w:rsid w:val="00F85E66"/>
    <w:rsid w:val="00F91436"/>
    <w:rsid w:val="00F91A4A"/>
    <w:rsid w:val="00F96CD4"/>
    <w:rsid w:val="00FA2692"/>
    <w:rsid w:val="00FA3556"/>
    <w:rsid w:val="00FB3026"/>
    <w:rsid w:val="00FB4B21"/>
    <w:rsid w:val="00FC6797"/>
    <w:rsid w:val="00FD01D2"/>
    <w:rsid w:val="00FE72B3"/>
    <w:rsid w:val="00FE7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F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0F"/>
    <w:rPr>
      <w:sz w:val="24"/>
      <w:szCs w:val="24"/>
    </w:rPr>
  </w:style>
  <w:style w:type="paragraph" w:styleId="Heading1">
    <w:name w:val="heading 1"/>
    <w:basedOn w:val="PBACheading1"/>
    <w:next w:val="Normal"/>
    <w:link w:val="Heading1Char"/>
    <w:uiPriority w:val="9"/>
    <w:qFormat/>
    <w:rsid w:val="0071655B"/>
    <w:pPr>
      <w:spacing w:before="240" w:after="120"/>
      <w:outlineLvl w:val="0"/>
    </w:pPr>
    <w:rPr>
      <w:sz w:val="32"/>
      <w:szCs w:val="32"/>
    </w:rPr>
  </w:style>
  <w:style w:type="paragraph" w:styleId="Heading2">
    <w:name w:val="heading 2"/>
    <w:aliases w:val="3. Subsection Heading"/>
    <w:basedOn w:val="Normal"/>
    <w:next w:val="Normal"/>
    <w:link w:val="Heading2Char"/>
    <w:uiPriority w:val="1"/>
    <w:qFormat/>
    <w:rsid w:val="00AB4C88"/>
    <w:pPr>
      <w:keepNext/>
      <w:spacing w:before="240" w:after="120"/>
      <w:outlineLvl w:val="1"/>
    </w:pPr>
    <w:rPr>
      <w:rFonts w:asciiTheme="minorHAnsi" w:eastAsiaTheme="majorEastAsia" w:hAnsiTheme="minorHAnsi"/>
      <w:b/>
      <w:i/>
      <w:sz w:val="28"/>
      <w:szCs w:val="28"/>
    </w:rPr>
  </w:style>
  <w:style w:type="paragraph" w:styleId="Heading3">
    <w:name w:val="heading 3"/>
    <w:basedOn w:val="Normal"/>
    <w:next w:val="Normal"/>
    <w:link w:val="Heading3Char"/>
    <w:semiHidden/>
    <w:unhideWhenUsed/>
    <w:qFormat/>
    <w:rsid w:val="006712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Footnote,List Paragraph1,Recommendation,Body Text Bullet Points,Bullet point,List Paragraph11,Section heading,L1 Bulleted List,Summary Bullets,Footer Setting,Bullet List,FooterText,numbered,Paragraphe de liste1"/>
    <w:basedOn w:val="Normal"/>
    <w:link w:val="ListParagraphChar"/>
    <w:uiPriority w:val="34"/>
    <w:qFormat/>
    <w:rsid w:val="0067120F"/>
    <w:pPr>
      <w:widowControl w:val="0"/>
      <w:ind w:left="720"/>
      <w:contextualSpacing/>
      <w:jc w:val="both"/>
    </w:pPr>
    <w:rPr>
      <w:rFonts w:ascii="Arial" w:hAnsi="Arial" w:cs="Arial"/>
      <w:snapToGrid w:val="0"/>
      <w:sz w:val="22"/>
      <w:szCs w:val="20"/>
    </w:rPr>
  </w:style>
  <w:style w:type="character" w:customStyle="1" w:styleId="ListParagraphChar">
    <w:name w:val="List Paragraph Char"/>
    <w:aliases w:val="BulletPoints Char,Numbered para Char,Footnote Char,List Paragraph1 Char,Recommendation Char,Body Text Bullet Points Char,Bullet point Char,List Paragraph11 Char,Section heading Char,L1 Bulleted List Char,Summary Bullets Char"/>
    <w:basedOn w:val="DefaultParagraphFont"/>
    <w:link w:val="ListParagraph"/>
    <w:uiPriority w:val="34"/>
    <w:qFormat/>
    <w:locked/>
    <w:rsid w:val="0067120F"/>
    <w:rPr>
      <w:rFonts w:ascii="Arial" w:hAnsi="Arial" w:cs="Arial"/>
      <w:snapToGrid w:val="0"/>
      <w:sz w:val="22"/>
    </w:rPr>
  </w:style>
  <w:style w:type="character" w:styleId="CommentReference">
    <w:name w:val="annotation reference"/>
    <w:aliases w:val="Table Title"/>
    <w:basedOn w:val="DefaultParagraphFont"/>
    <w:uiPriority w:val="99"/>
    <w:qFormat/>
    <w:rsid w:val="0067120F"/>
    <w:rPr>
      <w:sz w:val="16"/>
      <w:szCs w:val="16"/>
    </w:rPr>
  </w:style>
  <w:style w:type="paragraph" w:styleId="CommentText">
    <w:name w:val="annotation text"/>
    <w:basedOn w:val="Normal"/>
    <w:link w:val="CommentTextChar"/>
    <w:uiPriority w:val="99"/>
    <w:rsid w:val="00A013C4"/>
    <w:rPr>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basedOn w:val="Title"/>
    <w:qFormat/>
    <w:rsid w:val="00331FF4"/>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71655B"/>
    <w:rPr>
      <w:b/>
      <w:snapToGrid w:val="0"/>
      <w:sz w:val="36"/>
      <w:szCs w:val="36"/>
      <w:lang w:eastAsia="en-AU"/>
    </w:rPr>
  </w:style>
  <w:style w:type="character" w:customStyle="1" w:styleId="TitleChar">
    <w:name w:val="Title Char"/>
    <w:basedOn w:val="DefaultParagraphFont"/>
    <w:link w:val="Title"/>
    <w:rsid w:val="0071655B"/>
    <w:rPr>
      <w:rFonts w:eastAsia="Times New Roman" w:cstheme="minorHAnsi"/>
      <w:b/>
      <w:sz w:val="36"/>
      <w:szCs w:val="36"/>
      <w:lang w:eastAsia="en-AU"/>
    </w:rPr>
  </w:style>
  <w:style w:type="paragraph" w:styleId="Header">
    <w:name w:val="header"/>
    <w:aliases w:val="Page Header,Header title,he=header,cntr/bld"/>
    <w:basedOn w:val="Normal"/>
    <w:link w:val="HeaderChar"/>
    <w:uiPriority w:val="99"/>
    <w:unhideWhenUsed/>
    <w:qFormat/>
    <w:rsid w:val="00A013C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sid w:val="002545BF"/>
    <w:rPr>
      <w:rFonts w:ascii="Arial" w:hAnsi="Arial" w:cs="Arial"/>
      <w:b/>
      <w:bCs/>
    </w:rPr>
  </w:style>
  <w:style w:type="character" w:customStyle="1" w:styleId="CommentSubjectChar">
    <w:name w:val="Comment Subject Char"/>
    <w:basedOn w:val="CommentTextChar"/>
    <w:link w:val="CommentSubject"/>
    <w:uiPriority w:val="99"/>
    <w:semiHidden/>
    <w:rsid w:val="002545BF"/>
    <w:rPr>
      <w:rFonts w:ascii="Arial" w:eastAsia="Times New Roman" w:hAnsi="Arial" w:cs="Arial"/>
      <w:b/>
      <w:bCs/>
      <w:snapToGrid w:val="0"/>
      <w:sz w:val="20"/>
      <w:szCs w:val="20"/>
    </w:rPr>
  </w:style>
  <w:style w:type="paragraph" w:styleId="NoSpacing">
    <w:name w:val="No Spacing"/>
    <w:basedOn w:val="Normal"/>
    <w:link w:val="NoSpacingChar"/>
    <w:uiPriority w:val="1"/>
    <w:qFormat/>
    <w:rsid w:val="0067120F"/>
    <w:pPr>
      <w:jc w:val="both"/>
    </w:pPr>
    <w:rPr>
      <w:rFonts w:asciiTheme="minorHAnsi" w:hAnsiTheme="minorHAnsi" w:cstheme="minorHAnsi"/>
    </w:rPr>
  </w:style>
  <w:style w:type="character" w:customStyle="1" w:styleId="Heading1Char">
    <w:name w:val="Heading 1 Char"/>
    <w:basedOn w:val="DefaultParagraphFont"/>
    <w:link w:val="Heading1"/>
    <w:uiPriority w:val="9"/>
    <w:rsid w:val="0071655B"/>
    <w:rPr>
      <w:rFonts w:eastAsia="Times New Roman" w:cstheme="minorHAnsi"/>
      <w:b/>
      <w:snapToGrid w:val="0"/>
      <w:sz w:val="32"/>
      <w:szCs w:val="32"/>
    </w:rPr>
  </w:style>
  <w:style w:type="paragraph" w:styleId="Caption">
    <w:name w:val="caption"/>
    <w:basedOn w:val="Normal"/>
    <w:next w:val="Normal"/>
    <w:link w:val="CaptionChar"/>
    <w:uiPriority w:val="35"/>
    <w:unhideWhenUsed/>
    <w:qFormat/>
    <w:rsid w:val="0067120F"/>
    <w:pPr>
      <w:spacing w:after="200"/>
    </w:pPr>
    <w:rPr>
      <w:rFonts w:ascii="Calibri" w:hAnsi="Calibri"/>
      <w:i/>
      <w:iCs/>
      <w:color w:val="000000" w:themeColor="text1"/>
      <w:sz w:val="18"/>
      <w:szCs w:val="18"/>
    </w:rPr>
  </w:style>
  <w:style w:type="character" w:customStyle="1" w:styleId="Heading2Char">
    <w:name w:val="Heading 2 Char"/>
    <w:aliases w:val="3. Subsection Heading Char"/>
    <w:basedOn w:val="DefaultParagraphFont"/>
    <w:link w:val="Heading2"/>
    <w:uiPriority w:val="1"/>
    <w:rsid w:val="00AB4C88"/>
    <w:rPr>
      <w:rFonts w:asciiTheme="minorHAnsi" w:eastAsiaTheme="majorEastAsia" w:hAnsiTheme="minorHAnsi"/>
      <w:b/>
      <w:i/>
      <w:sz w:val="28"/>
      <w:szCs w:val="28"/>
    </w:rPr>
  </w:style>
  <w:style w:type="paragraph" w:customStyle="1" w:styleId="4bulletpoint">
    <w:name w:val="4. bullet point"/>
    <w:basedOn w:val="ListParagraph"/>
    <w:link w:val="4bulletpointChar"/>
    <w:qFormat/>
    <w:rsid w:val="00CE39A5"/>
    <w:pPr>
      <w:numPr>
        <w:numId w:val="5"/>
      </w:numPr>
      <w:spacing w:after="120"/>
      <w:ind w:left="1077" w:hanging="357"/>
      <w:contextualSpacing w:val="0"/>
    </w:pPr>
    <w:rPr>
      <w:rFonts w:asciiTheme="minorHAnsi" w:hAnsiTheme="minorHAnsi"/>
      <w:sz w:val="24"/>
      <w:szCs w:val="24"/>
    </w:rPr>
  </w:style>
  <w:style w:type="paragraph" w:customStyle="1" w:styleId="5Tabletext">
    <w:name w:val="5. Table text"/>
    <w:basedOn w:val="BodyText2"/>
    <w:qFormat/>
    <w:rsid w:val="00CE39A5"/>
    <w:pPr>
      <w:widowControl w:val="0"/>
      <w:spacing w:after="0" w:line="240" w:lineRule="auto"/>
      <w:jc w:val="both"/>
    </w:pPr>
    <w:rPr>
      <w:rFonts w:ascii="Arial Narrow" w:hAnsi="Arial Narrow"/>
      <w:snapToGrid w:val="0"/>
      <w:sz w:val="20"/>
      <w:szCs w:val="20"/>
    </w:rPr>
  </w:style>
  <w:style w:type="character" w:customStyle="1" w:styleId="4bulletpointChar">
    <w:name w:val="4. bullet point Char"/>
    <w:basedOn w:val="ListParagraphChar"/>
    <w:link w:val="4bulletpoint"/>
    <w:rsid w:val="00CE39A5"/>
    <w:rPr>
      <w:rFonts w:asciiTheme="minorHAnsi" w:hAnsiTheme="minorHAnsi" w:cs="Arial"/>
      <w:snapToGrid w:val="0"/>
      <w:sz w:val="24"/>
      <w:szCs w:val="24"/>
    </w:rPr>
  </w:style>
  <w:style w:type="paragraph" w:styleId="BodyText2">
    <w:name w:val="Body Text 2"/>
    <w:basedOn w:val="Normal"/>
    <w:link w:val="BodyText2Char"/>
    <w:uiPriority w:val="99"/>
    <w:semiHidden/>
    <w:unhideWhenUsed/>
    <w:rsid w:val="0067120F"/>
    <w:pPr>
      <w:spacing w:after="120" w:line="480" w:lineRule="auto"/>
    </w:pPr>
  </w:style>
  <w:style w:type="character" w:customStyle="1" w:styleId="BodyText2Char">
    <w:name w:val="Body Text 2 Char"/>
    <w:basedOn w:val="DefaultParagraphFont"/>
    <w:link w:val="BodyText2"/>
    <w:uiPriority w:val="99"/>
    <w:semiHidden/>
    <w:rsid w:val="0067120F"/>
  </w:style>
  <w:style w:type="paragraph" w:customStyle="1" w:styleId="2Sections">
    <w:name w:val="2. Sections"/>
    <w:qFormat/>
    <w:rsid w:val="0067120F"/>
    <w:pPr>
      <w:numPr>
        <w:numId w:val="13"/>
      </w:numPr>
      <w:spacing w:before="240" w:after="120"/>
      <w:outlineLvl w:val="0"/>
    </w:pPr>
    <w:rPr>
      <w:rFonts w:asciiTheme="minorHAnsi" w:hAnsiTheme="minorHAnsi" w:cs="Arial"/>
      <w:b/>
      <w:snapToGrid w:val="0"/>
      <w:sz w:val="32"/>
      <w:szCs w:val="32"/>
    </w:rPr>
  </w:style>
  <w:style w:type="paragraph" w:customStyle="1" w:styleId="1MainTitle">
    <w:name w:val="1. Main Title"/>
    <w:basedOn w:val="Title"/>
    <w:link w:val="1MainTitleChar"/>
    <w:qFormat/>
    <w:rsid w:val="003326B0"/>
    <w:pPr>
      <w:spacing w:after="120"/>
      <w:ind w:left="720" w:hanging="720"/>
      <w:contextualSpacing/>
      <w:outlineLvl w:val="0"/>
    </w:pPr>
    <w:rPr>
      <w:rFonts w:asciiTheme="minorHAnsi" w:eastAsiaTheme="majorEastAsia" w:hAnsiTheme="minorHAnsi" w:cstheme="majorBidi"/>
      <w:snapToGrid/>
      <w:spacing w:val="5"/>
      <w:kern w:val="28"/>
      <w:lang w:eastAsia="en-US"/>
    </w:rPr>
  </w:style>
  <w:style w:type="character" w:customStyle="1" w:styleId="1MainTitleChar">
    <w:name w:val="1. Main Title Char"/>
    <w:basedOn w:val="TitleChar"/>
    <w:link w:val="1MainTitle"/>
    <w:rsid w:val="003326B0"/>
    <w:rPr>
      <w:rFonts w:asciiTheme="minorHAnsi" w:eastAsiaTheme="majorEastAsia" w:hAnsiTheme="minorHAnsi" w:cstheme="majorBidi"/>
      <w:b/>
      <w:spacing w:val="5"/>
      <w:kern w:val="28"/>
      <w:sz w:val="36"/>
      <w:szCs w:val="36"/>
      <w:lang w:eastAsia="en-AU"/>
    </w:rPr>
  </w:style>
  <w:style w:type="paragraph" w:customStyle="1" w:styleId="5Tableheaders">
    <w:name w:val="5. Table headers"/>
    <w:basedOn w:val="NoSpacing"/>
    <w:link w:val="5TableheadersChar"/>
    <w:qFormat/>
    <w:rsid w:val="00CE39A5"/>
    <w:rPr>
      <w:rFonts w:ascii="Arial Narrow" w:hAnsi="Arial Narrow" w:cs="Times New Roman"/>
      <w:b/>
      <w:sz w:val="20"/>
    </w:rPr>
  </w:style>
  <w:style w:type="character" w:customStyle="1" w:styleId="5TableheadersChar">
    <w:name w:val="5. Table headers Char"/>
    <w:basedOn w:val="NoSpacingChar"/>
    <w:link w:val="5Tableheaders"/>
    <w:rsid w:val="00CE39A5"/>
    <w:rPr>
      <w:rFonts w:ascii="Arial Narrow" w:hAnsi="Arial Narrow" w:cstheme="minorHAnsi"/>
      <w:b/>
      <w:sz w:val="24"/>
      <w:szCs w:val="24"/>
    </w:rPr>
  </w:style>
  <w:style w:type="paragraph" w:customStyle="1" w:styleId="4Bodytext">
    <w:name w:val="4. Body text"/>
    <w:basedOn w:val="4Bodytextnumbered"/>
    <w:link w:val="4BodytextChar"/>
    <w:qFormat/>
    <w:rsid w:val="0067120F"/>
    <w:pPr>
      <w:numPr>
        <w:ilvl w:val="0"/>
        <w:numId w:val="0"/>
      </w:numPr>
      <w:ind w:left="720" w:hanging="720"/>
    </w:pPr>
  </w:style>
  <w:style w:type="character" w:customStyle="1" w:styleId="4BodytextChar">
    <w:name w:val="4. Body text Char"/>
    <w:basedOn w:val="ListParagraphChar"/>
    <w:link w:val="4Bodytext"/>
    <w:rsid w:val="0067120F"/>
    <w:rPr>
      <w:rFonts w:asciiTheme="minorHAnsi" w:eastAsiaTheme="minorHAnsi" w:hAnsiTheme="minorHAnsi" w:cstheme="minorBidi"/>
      <w:snapToGrid/>
      <w:sz w:val="24"/>
      <w:szCs w:val="22"/>
    </w:rPr>
  </w:style>
  <w:style w:type="paragraph" w:customStyle="1" w:styleId="PBACFooter">
    <w:name w:val="PBAC Footer"/>
    <w:basedOn w:val="5TableFooter"/>
    <w:link w:val="PBACFooterChar"/>
    <w:qFormat/>
    <w:rsid w:val="00495819"/>
  </w:style>
  <w:style w:type="character" w:customStyle="1" w:styleId="PBACFooterChar">
    <w:name w:val="PBAC Footer Char"/>
    <w:basedOn w:val="FooterChar"/>
    <w:link w:val="PBACFooter"/>
    <w:rsid w:val="00495819"/>
    <w:rPr>
      <w:rFonts w:ascii="Arial Narrow" w:eastAsia="Times New Roman" w:hAnsi="Arial Narrow" w:cs="Arial"/>
      <w:snapToGrid w:val="0"/>
      <w:sz w:val="18"/>
      <w:szCs w:val="22"/>
    </w:rPr>
  </w:style>
  <w:style w:type="paragraph" w:customStyle="1" w:styleId="5Tabletitle">
    <w:name w:val="5. Table title"/>
    <w:basedOn w:val="Normal"/>
    <w:link w:val="5TabletitleChar"/>
    <w:qFormat/>
    <w:rsid w:val="00CE39A5"/>
    <w:rPr>
      <w:rFonts w:ascii="Arial Narrow" w:hAnsi="Arial Narrow" w:cs="Arial"/>
      <w:b/>
      <w:sz w:val="20"/>
      <w:szCs w:val="22"/>
    </w:rPr>
  </w:style>
  <w:style w:type="character" w:customStyle="1" w:styleId="5TabletitleChar">
    <w:name w:val="5. Table title Char"/>
    <w:basedOn w:val="NoSpacingChar"/>
    <w:link w:val="5Tabletitle"/>
    <w:rsid w:val="00CE39A5"/>
    <w:rPr>
      <w:rFonts w:ascii="Arial Narrow" w:hAnsi="Arial Narrow" w:cs="Arial"/>
      <w:b/>
      <w:sz w:val="24"/>
      <w:szCs w:val="22"/>
    </w:rPr>
  </w:style>
  <w:style w:type="paragraph" w:customStyle="1" w:styleId="Lists">
    <w:name w:val="Lists"/>
    <w:basedOn w:val="4Bodytext"/>
    <w:link w:val="ListsChar"/>
    <w:qFormat/>
    <w:rsid w:val="0067120F"/>
    <w:pPr>
      <w:ind w:left="1080" w:hanging="360"/>
    </w:pPr>
  </w:style>
  <w:style w:type="character" w:customStyle="1" w:styleId="ListsChar">
    <w:name w:val="Lists Char"/>
    <w:basedOn w:val="4BodytextChar"/>
    <w:link w:val="Lists"/>
    <w:rsid w:val="0067120F"/>
    <w:rPr>
      <w:rFonts w:asciiTheme="minorHAnsi" w:eastAsiaTheme="minorHAnsi" w:hAnsiTheme="minorHAnsi" w:cstheme="minorBidi"/>
      <w:snapToGrid/>
      <w:sz w:val="24"/>
      <w:szCs w:val="22"/>
    </w:rPr>
  </w:style>
  <w:style w:type="paragraph" w:customStyle="1" w:styleId="Bulletpoints">
    <w:name w:val="Bullet points"/>
    <w:basedOn w:val="ListParagraph"/>
    <w:qFormat/>
    <w:rsid w:val="0067120F"/>
    <w:pPr>
      <w:numPr>
        <w:numId w:val="12"/>
      </w:numPr>
      <w:contextualSpacing w:val="0"/>
    </w:pPr>
    <w:rPr>
      <w:rFonts w:ascii="Calibri" w:hAnsi="Calibri"/>
      <w:sz w:val="24"/>
      <w:szCs w:val="24"/>
    </w:rPr>
  </w:style>
  <w:style w:type="paragraph" w:customStyle="1" w:styleId="5TableFooter">
    <w:name w:val="5. Table Footer"/>
    <w:basedOn w:val="Normal"/>
    <w:link w:val="5TableFooterChar"/>
    <w:qFormat/>
    <w:rsid w:val="0067120F"/>
    <w:pPr>
      <w:widowControl w:val="0"/>
      <w:jc w:val="both"/>
    </w:pPr>
    <w:rPr>
      <w:rFonts w:ascii="Arial Narrow" w:hAnsi="Arial Narrow" w:cs="Arial"/>
      <w:snapToGrid w:val="0"/>
      <w:sz w:val="18"/>
      <w:szCs w:val="22"/>
    </w:rPr>
  </w:style>
  <w:style w:type="character" w:customStyle="1" w:styleId="5TableFooterChar">
    <w:name w:val="5. Table Footer Char"/>
    <w:link w:val="5TableFooter"/>
    <w:rsid w:val="0067120F"/>
    <w:rPr>
      <w:rFonts w:ascii="Arial Narrow" w:hAnsi="Arial Narrow" w:cs="Arial"/>
      <w:snapToGrid w:val="0"/>
      <w:sz w:val="18"/>
      <w:szCs w:val="22"/>
    </w:rPr>
  </w:style>
  <w:style w:type="paragraph" w:customStyle="1" w:styleId="4Bodytextnumbered">
    <w:name w:val="4. Body text numbered"/>
    <w:basedOn w:val="ListParagraph"/>
    <w:qFormat/>
    <w:rsid w:val="0067120F"/>
    <w:pPr>
      <w:widowControl/>
      <w:numPr>
        <w:ilvl w:val="1"/>
        <w:numId w:val="13"/>
      </w:numPr>
      <w:spacing w:after="120"/>
      <w:contextualSpacing w:val="0"/>
    </w:pPr>
    <w:rPr>
      <w:rFonts w:asciiTheme="minorHAnsi" w:eastAsiaTheme="minorHAnsi" w:hAnsiTheme="minorHAnsi" w:cstheme="minorBidi"/>
      <w:snapToGrid/>
      <w:sz w:val="24"/>
      <w:szCs w:val="22"/>
    </w:rPr>
  </w:style>
  <w:style w:type="paragraph" w:styleId="BodyText">
    <w:name w:val="Body Text"/>
    <w:basedOn w:val="Normal"/>
    <w:link w:val="BodyTextChar"/>
    <w:uiPriority w:val="99"/>
    <w:semiHidden/>
    <w:unhideWhenUsed/>
    <w:rsid w:val="0067120F"/>
    <w:pPr>
      <w:spacing w:after="120"/>
    </w:pPr>
  </w:style>
  <w:style w:type="character" w:customStyle="1" w:styleId="BodyTextChar">
    <w:name w:val="Body Text Char"/>
    <w:basedOn w:val="DefaultParagraphFont"/>
    <w:link w:val="BodyText"/>
    <w:uiPriority w:val="99"/>
    <w:semiHidden/>
    <w:rsid w:val="0067120F"/>
  </w:style>
  <w:style w:type="character" w:customStyle="1" w:styleId="Heading3Char">
    <w:name w:val="Heading 3 Char"/>
    <w:basedOn w:val="DefaultParagraphFont"/>
    <w:link w:val="Heading3"/>
    <w:semiHidden/>
    <w:rsid w:val="0067120F"/>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rsid w:val="0067120F"/>
    <w:rPr>
      <w:rFonts w:asciiTheme="minorHAnsi" w:hAnsiTheme="minorHAnsi" w:cstheme="minorHAnsi"/>
      <w:sz w:val="24"/>
      <w:szCs w:val="24"/>
    </w:rPr>
  </w:style>
  <w:style w:type="paragraph" w:customStyle="1" w:styleId="3Subheading2">
    <w:name w:val="3. Subheading 2"/>
    <w:basedOn w:val="Heading2"/>
    <w:link w:val="3Subheading2Char"/>
    <w:qFormat/>
    <w:rsid w:val="00AB4C88"/>
    <w:pPr>
      <w:spacing w:before="0"/>
    </w:pPr>
    <w:rPr>
      <w:sz w:val="24"/>
    </w:rPr>
  </w:style>
  <w:style w:type="paragraph" w:customStyle="1" w:styleId="3Subheading1">
    <w:name w:val="3. Subheading 1"/>
    <w:basedOn w:val="Heading2"/>
    <w:link w:val="3Subheading1Char"/>
    <w:qFormat/>
    <w:rsid w:val="00A3458F"/>
    <w:rPr>
      <w:sz w:val="24"/>
      <w:szCs w:val="24"/>
    </w:rPr>
  </w:style>
  <w:style w:type="character" w:customStyle="1" w:styleId="3Subheading2Char">
    <w:name w:val="3. Subheading 2 Char"/>
    <w:basedOn w:val="Heading2Char"/>
    <w:link w:val="3Subheading2"/>
    <w:rsid w:val="00AB4C88"/>
    <w:rPr>
      <w:rFonts w:asciiTheme="minorHAnsi" w:eastAsiaTheme="majorEastAsia" w:hAnsiTheme="minorHAnsi"/>
      <w:b/>
      <w:i/>
      <w:sz w:val="24"/>
      <w:szCs w:val="28"/>
    </w:rPr>
  </w:style>
  <w:style w:type="paragraph" w:customStyle="1" w:styleId="6attachments">
    <w:name w:val="6. attachments"/>
    <w:basedOn w:val="NoSpacing"/>
    <w:link w:val="6attachmentsChar"/>
    <w:qFormat/>
    <w:rsid w:val="00495819"/>
    <w:rPr>
      <w:b/>
    </w:rPr>
  </w:style>
  <w:style w:type="character" w:customStyle="1" w:styleId="3Subheading1Char">
    <w:name w:val="3. Subheading 1 Char"/>
    <w:basedOn w:val="Heading2Char"/>
    <w:link w:val="3Subheading1"/>
    <w:rsid w:val="00A3458F"/>
    <w:rPr>
      <w:rFonts w:asciiTheme="minorHAnsi" w:eastAsiaTheme="majorEastAsia" w:hAnsiTheme="minorHAnsi"/>
      <w:b/>
      <w:i/>
      <w:sz w:val="24"/>
      <w:szCs w:val="24"/>
    </w:rPr>
  </w:style>
  <w:style w:type="character" w:customStyle="1" w:styleId="6attachmentsChar">
    <w:name w:val="6. attachments Char"/>
    <w:basedOn w:val="NoSpacingChar"/>
    <w:link w:val="6attachments"/>
    <w:rsid w:val="00495819"/>
    <w:rPr>
      <w:rFonts w:asciiTheme="minorHAnsi" w:hAnsiTheme="minorHAnsi" w:cstheme="minorHAnsi"/>
      <w:b/>
      <w:sz w:val="24"/>
      <w:szCs w:val="24"/>
    </w:rPr>
  </w:style>
  <w:style w:type="character" w:styleId="Hyperlink">
    <w:name w:val="Hyperlink"/>
    <w:basedOn w:val="DefaultParagraphFont"/>
    <w:uiPriority w:val="99"/>
    <w:unhideWhenUsed/>
    <w:rsid w:val="00F7085D"/>
    <w:rPr>
      <w:color w:val="0000FF"/>
      <w:u w:val="single"/>
    </w:rPr>
  </w:style>
  <w:style w:type="character" w:styleId="FollowedHyperlink">
    <w:name w:val="FollowedHyperlink"/>
    <w:basedOn w:val="DefaultParagraphFont"/>
    <w:uiPriority w:val="99"/>
    <w:semiHidden/>
    <w:unhideWhenUsed/>
    <w:rsid w:val="00B218D9"/>
    <w:rPr>
      <w:color w:val="800080" w:themeColor="followedHyperlink"/>
      <w:u w:val="single"/>
    </w:rPr>
  </w:style>
  <w:style w:type="table" w:styleId="TableGrid">
    <w:name w:val="Table Grid"/>
    <w:aliases w:val="Summary box,Table Gridbeth"/>
    <w:basedOn w:val="TableNormal"/>
    <w:uiPriority w:val="39"/>
    <w:rsid w:val="000A62B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0113"/>
    <w:rPr>
      <w:sz w:val="20"/>
      <w:szCs w:val="20"/>
    </w:rPr>
  </w:style>
  <w:style w:type="character" w:customStyle="1" w:styleId="FootnoteTextChar">
    <w:name w:val="Footnote Text Char"/>
    <w:basedOn w:val="DefaultParagraphFont"/>
    <w:link w:val="FootnoteText"/>
    <w:uiPriority w:val="99"/>
    <w:semiHidden/>
    <w:rsid w:val="00D30113"/>
  </w:style>
  <w:style w:type="character" w:styleId="FootnoteReference">
    <w:name w:val="footnote reference"/>
    <w:basedOn w:val="DefaultParagraphFont"/>
    <w:uiPriority w:val="99"/>
    <w:semiHidden/>
    <w:unhideWhenUsed/>
    <w:rsid w:val="00D30113"/>
    <w:rPr>
      <w:vertAlign w:val="superscript"/>
    </w:rPr>
  </w:style>
  <w:style w:type="paragraph" w:customStyle="1" w:styleId="3Bodytext">
    <w:name w:val="3. Body text"/>
    <w:basedOn w:val="ListParagraph"/>
    <w:link w:val="3BodytextChar"/>
    <w:qFormat/>
    <w:rsid w:val="00E214FF"/>
    <w:pPr>
      <w:widowControl/>
      <w:spacing w:after="120"/>
      <w:ind w:hanging="720"/>
      <w:contextualSpacing w:val="0"/>
    </w:pPr>
    <w:rPr>
      <w:rFonts w:asciiTheme="minorHAnsi" w:eastAsiaTheme="minorHAnsi" w:hAnsiTheme="minorHAnsi" w:cstheme="minorBidi"/>
      <w:snapToGrid/>
      <w:sz w:val="24"/>
      <w:szCs w:val="22"/>
    </w:rPr>
  </w:style>
  <w:style w:type="character" w:customStyle="1" w:styleId="3BodytextChar">
    <w:name w:val="3. Body text Char"/>
    <w:basedOn w:val="DefaultParagraphFont"/>
    <w:link w:val="3Bodytext"/>
    <w:rsid w:val="00E214FF"/>
    <w:rPr>
      <w:rFonts w:asciiTheme="minorHAnsi" w:eastAsiaTheme="minorHAnsi" w:hAnsiTheme="minorHAnsi" w:cstheme="minorBidi"/>
      <w:sz w:val="24"/>
      <w:szCs w:val="22"/>
    </w:rPr>
  </w:style>
  <w:style w:type="table" w:customStyle="1" w:styleId="MSDTableGrid1">
    <w:name w:val="MSD Table Grid1"/>
    <w:basedOn w:val="TableNormal"/>
    <w:next w:val="TableGrid"/>
    <w:uiPriority w:val="39"/>
    <w:rsid w:val="00B9759F"/>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35"/>
    <w:rsid w:val="008E6FC4"/>
    <w:rPr>
      <w:rFonts w:ascii="Calibri" w:hAnsi="Calibri"/>
      <w:i/>
      <w:iCs/>
      <w:color w:val="000000" w:themeColor="text1"/>
      <w:sz w:val="18"/>
      <w:szCs w:val="18"/>
    </w:rPr>
  </w:style>
  <w:style w:type="character" w:styleId="UnresolvedMention">
    <w:name w:val="Unresolved Mention"/>
    <w:basedOn w:val="DefaultParagraphFont"/>
    <w:uiPriority w:val="99"/>
    <w:semiHidden/>
    <w:unhideWhenUsed/>
    <w:rsid w:val="00412C09"/>
    <w:rPr>
      <w:color w:val="605E5C"/>
      <w:shd w:val="clear" w:color="auto" w:fill="E1DFDD"/>
    </w:rPr>
  </w:style>
  <w:style w:type="paragraph" w:customStyle="1" w:styleId="2-SectionHeading">
    <w:name w:val="2-Section Heading"/>
    <w:uiPriority w:val="99"/>
    <w:qFormat/>
    <w:rsid w:val="00B40956"/>
    <w:pPr>
      <w:keepNext/>
      <w:spacing w:before="240" w:after="120"/>
      <w:ind w:left="720" w:hanging="720"/>
      <w:outlineLvl w:val="0"/>
    </w:pPr>
    <w:rPr>
      <w:rFonts w:asciiTheme="minorHAnsi" w:hAnsiTheme="minorHAnsi" w:cs="Arial"/>
      <w:b/>
      <w:snapToGrid w:val="0"/>
      <w:sz w:val="32"/>
      <w:szCs w:val="32"/>
      <w:lang w:eastAsia="en-AU"/>
    </w:rPr>
  </w:style>
  <w:style w:type="paragraph" w:customStyle="1" w:styleId="ExecSumBodyText">
    <w:name w:val="Exec Sum Body Text"/>
    <w:basedOn w:val="Normal"/>
    <w:qFormat/>
    <w:rsid w:val="00B40956"/>
    <w:pPr>
      <w:spacing w:after="120"/>
      <w:ind w:left="720" w:hanging="720"/>
      <w:jc w:val="both"/>
    </w:pPr>
    <w:rPr>
      <w:rFonts w:asciiTheme="minorHAnsi" w:hAnsiTheme="minorHAnsi" w:cs="Arial"/>
      <w:snapToGrid w:val="0"/>
      <w:lang w:eastAsia="en-AU"/>
    </w:rPr>
  </w:style>
  <w:style w:type="paragraph" w:customStyle="1" w:styleId="3-SubsectionHeading">
    <w:name w:val="3-Subsection Heading"/>
    <w:basedOn w:val="Heading2"/>
    <w:next w:val="ExecSumBodyText"/>
    <w:link w:val="3-SubsectionHeadingChar"/>
    <w:qFormat/>
    <w:rsid w:val="00B40956"/>
    <w:pPr>
      <w:spacing w:before="120"/>
      <w:jc w:val="both"/>
    </w:pPr>
    <w:rPr>
      <w:rFonts w:cstheme="majorBidi"/>
      <w:spacing w:val="5"/>
      <w:kern w:val="28"/>
      <w:szCs w:val="36"/>
      <w:lang w:eastAsia="en-AU"/>
    </w:rPr>
  </w:style>
  <w:style w:type="character" w:customStyle="1" w:styleId="3-SubsectionHeadingChar">
    <w:name w:val="3-Subsection Heading Char"/>
    <w:basedOn w:val="Heading2Char"/>
    <w:link w:val="3-SubsectionHeading"/>
    <w:rsid w:val="00B40956"/>
    <w:rPr>
      <w:rFonts w:asciiTheme="minorHAnsi" w:eastAsiaTheme="majorEastAsia" w:hAnsiTheme="minorHAnsi" w:cstheme="majorBidi"/>
      <w:b/>
      <w:i/>
      <w:spacing w:val="5"/>
      <w:kern w:val="28"/>
      <w:sz w:val="28"/>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7839">
      <w:bodyDiv w:val="1"/>
      <w:marLeft w:val="0"/>
      <w:marRight w:val="0"/>
      <w:marTop w:val="0"/>
      <w:marBottom w:val="0"/>
      <w:divBdr>
        <w:top w:val="none" w:sz="0" w:space="0" w:color="auto"/>
        <w:left w:val="none" w:sz="0" w:space="0" w:color="auto"/>
        <w:bottom w:val="none" w:sz="0" w:space="0" w:color="auto"/>
        <w:right w:val="none" w:sz="0" w:space="0" w:color="auto"/>
      </w:divBdr>
    </w:div>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90590859">
      <w:bodyDiv w:val="1"/>
      <w:marLeft w:val="0"/>
      <w:marRight w:val="0"/>
      <w:marTop w:val="0"/>
      <w:marBottom w:val="0"/>
      <w:divBdr>
        <w:top w:val="none" w:sz="0" w:space="0" w:color="auto"/>
        <w:left w:val="none" w:sz="0" w:space="0" w:color="auto"/>
        <w:bottom w:val="none" w:sz="0" w:space="0" w:color="auto"/>
        <w:right w:val="none" w:sz="0" w:space="0" w:color="auto"/>
      </w:divBdr>
    </w:div>
    <w:div w:id="225843638">
      <w:bodyDiv w:val="1"/>
      <w:marLeft w:val="0"/>
      <w:marRight w:val="0"/>
      <w:marTop w:val="0"/>
      <w:marBottom w:val="0"/>
      <w:divBdr>
        <w:top w:val="none" w:sz="0" w:space="0" w:color="auto"/>
        <w:left w:val="none" w:sz="0" w:space="0" w:color="auto"/>
        <w:bottom w:val="none" w:sz="0" w:space="0" w:color="auto"/>
        <w:right w:val="none" w:sz="0" w:space="0" w:color="auto"/>
      </w:divBdr>
    </w:div>
    <w:div w:id="229846723">
      <w:bodyDiv w:val="1"/>
      <w:marLeft w:val="0"/>
      <w:marRight w:val="0"/>
      <w:marTop w:val="0"/>
      <w:marBottom w:val="0"/>
      <w:divBdr>
        <w:top w:val="none" w:sz="0" w:space="0" w:color="auto"/>
        <w:left w:val="none" w:sz="0" w:space="0" w:color="auto"/>
        <w:bottom w:val="none" w:sz="0" w:space="0" w:color="auto"/>
        <w:right w:val="none" w:sz="0" w:space="0" w:color="auto"/>
      </w:divBdr>
    </w:div>
    <w:div w:id="267196257">
      <w:bodyDiv w:val="1"/>
      <w:marLeft w:val="0"/>
      <w:marRight w:val="0"/>
      <w:marTop w:val="0"/>
      <w:marBottom w:val="0"/>
      <w:divBdr>
        <w:top w:val="none" w:sz="0" w:space="0" w:color="auto"/>
        <w:left w:val="none" w:sz="0" w:space="0" w:color="auto"/>
        <w:bottom w:val="none" w:sz="0" w:space="0" w:color="auto"/>
        <w:right w:val="none" w:sz="0" w:space="0" w:color="auto"/>
      </w:divBdr>
    </w:div>
    <w:div w:id="403069293">
      <w:bodyDiv w:val="1"/>
      <w:marLeft w:val="0"/>
      <w:marRight w:val="0"/>
      <w:marTop w:val="0"/>
      <w:marBottom w:val="0"/>
      <w:divBdr>
        <w:top w:val="none" w:sz="0" w:space="0" w:color="auto"/>
        <w:left w:val="none" w:sz="0" w:space="0" w:color="auto"/>
        <w:bottom w:val="none" w:sz="0" w:space="0" w:color="auto"/>
        <w:right w:val="none" w:sz="0" w:space="0" w:color="auto"/>
      </w:divBdr>
    </w:div>
    <w:div w:id="437650014">
      <w:bodyDiv w:val="1"/>
      <w:marLeft w:val="0"/>
      <w:marRight w:val="0"/>
      <w:marTop w:val="0"/>
      <w:marBottom w:val="0"/>
      <w:divBdr>
        <w:top w:val="none" w:sz="0" w:space="0" w:color="auto"/>
        <w:left w:val="none" w:sz="0" w:space="0" w:color="auto"/>
        <w:bottom w:val="none" w:sz="0" w:space="0" w:color="auto"/>
        <w:right w:val="none" w:sz="0" w:space="0" w:color="auto"/>
      </w:divBdr>
    </w:div>
    <w:div w:id="486746959">
      <w:bodyDiv w:val="1"/>
      <w:marLeft w:val="0"/>
      <w:marRight w:val="0"/>
      <w:marTop w:val="0"/>
      <w:marBottom w:val="0"/>
      <w:divBdr>
        <w:top w:val="none" w:sz="0" w:space="0" w:color="auto"/>
        <w:left w:val="none" w:sz="0" w:space="0" w:color="auto"/>
        <w:bottom w:val="none" w:sz="0" w:space="0" w:color="auto"/>
        <w:right w:val="none" w:sz="0" w:space="0" w:color="auto"/>
      </w:divBdr>
    </w:div>
    <w:div w:id="654189841">
      <w:bodyDiv w:val="1"/>
      <w:marLeft w:val="0"/>
      <w:marRight w:val="0"/>
      <w:marTop w:val="0"/>
      <w:marBottom w:val="0"/>
      <w:divBdr>
        <w:top w:val="none" w:sz="0" w:space="0" w:color="auto"/>
        <w:left w:val="none" w:sz="0" w:space="0" w:color="auto"/>
        <w:bottom w:val="none" w:sz="0" w:space="0" w:color="auto"/>
        <w:right w:val="none" w:sz="0" w:space="0" w:color="auto"/>
      </w:divBdr>
    </w:div>
    <w:div w:id="663044893">
      <w:bodyDiv w:val="1"/>
      <w:marLeft w:val="0"/>
      <w:marRight w:val="0"/>
      <w:marTop w:val="0"/>
      <w:marBottom w:val="0"/>
      <w:divBdr>
        <w:top w:val="none" w:sz="0" w:space="0" w:color="auto"/>
        <w:left w:val="none" w:sz="0" w:space="0" w:color="auto"/>
        <w:bottom w:val="none" w:sz="0" w:space="0" w:color="auto"/>
        <w:right w:val="none" w:sz="0" w:space="0" w:color="auto"/>
      </w:divBdr>
    </w:div>
    <w:div w:id="751587728">
      <w:bodyDiv w:val="1"/>
      <w:marLeft w:val="0"/>
      <w:marRight w:val="0"/>
      <w:marTop w:val="0"/>
      <w:marBottom w:val="0"/>
      <w:divBdr>
        <w:top w:val="none" w:sz="0" w:space="0" w:color="auto"/>
        <w:left w:val="none" w:sz="0" w:space="0" w:color="auto"/>
        <w:bottom w:val="none" w:sz="0" w:space="0" w:color="auto"/>
        <w:right w:val="none" w:sz="0" w:space="0" w:color="auto"/>
      </w:divBdr>
    </w:div>
    <w:div w:id="823470264">
      <w:bodyDiv w:val="1"/>
      <w:marLeft w:val="0"/>
      <w:marRight w:val="0"/>
      <w:marTop w:val="0"/>
      <w:marBottom w:val="0"/>
      <w:divBdr>
        <w:top w:val="none" w:sz="0" w:space="0" w:color="auto"/>
        <w:left w:val="none" w:sz="0" w:space="0" w:color="auto"/>
        <w:bottom w:val="none" w:sz="0" w:space="0" w:color="auto"/>
        <w:right w:val="none" w:sz="0" w:space="0" w:color="auto"/>
      </w:divBdr>
    </w:div>
    <w:div w:id="859663277">
      <w:bodyDiv w:val="1"/>
      <w:marLeft w:val="0"/>
      <w:marRight w:val="0"/>
      <w:marTop w:val="0"/>
      <w:marBottom w:val="0"/>
      <w:divBdr>
        <w:top w:val="none" w:sz="0" w:space="0" w:color="auto"/>
        <w:left w:val="none" w:sz="0" w:space="0" w:color="auto"/>
        <w:bottom w:val="none" w:sz="0" w:space="0" w:color="auto"/>
        <w:right w:val="none" w:sz="0" w:space="0" w:color="auto"/>
      </w:divBdr>
    </w:div>
    <w:div w:id="1026515368">
      <w:bodyDiv w:val="1"/>
      <w:marLeft w:val="0"/>
      <w:marRight w:val="0"/>
      <w:marTop w:val="0"/>
      <w:marBottom w:val="0"/>
      <w:divBdr>
        <w:top w:val="none" w:sz="0" w:space="0" w:color="auto"/>
        <w:left w:val="none" w:sz="0" w:space="0" w:color="auto"/>
        <w:bottom w:val="none" w:sz="0" w:space="0" w:color="auto"/>
        <w:right w:val="none" w:sz="0" w:space="0" w:color="auto"/>
      </w:divBdr>
    </w:div>
    <w:div w:id="1185244851">
      <w:bodyDiv w:val="1"/>
      <w:marLeft w:val="0"/>
      <w:marRight w:val="0"/>
      <w:marTop w:val="0"/>
      <w:marBottom w:val="0"/>
      <w:divBdr>
        <w:top w:val="none" w:sz="0" w:space="0" w:color="auto"/>
        <w:left w:val="none" w:sz="0" w:space="0" w:color="auto"/>
        <w:bottom w:val="none" w:sz="0" w:space="0" w:color="auto"/>
        <w:right w:val="none" w:sz="0" w:space="0" w:color="auto"/>
      </w:divBdr>
    </w:div>
    <w:div w:id="1212498801">
      <w:bodyDiv w:val="1"/>
      <w:marLeft w:val="0"/>
      <w:marRight w:val="0"/>
      <w:marTop w:val="0"/>
      <w:marBottom w:val="0"/>
      <w:divBdr>
        <w:top w:val="none" w:sz="0" w:space="0" w:color="auto"/>
        <w:left w:val="none" w:sz="0" w:space="0" w:color="auto"/>
        <w:bottom w:val="none" w:sz="0" w:space="0" w:color="auto"/>
        <w:right w:val="none" w:sz="0" w:space="0" w:color="auto"/>
      </w:divBdr>
    </w:div>
    <w:div w:id="1229803485">
      <w:bodyDiv w:val="1"/>
      <w:marLeft w:val="0"/>
      <w:marRight w:val="0"/>
      <w:marTop w:val="0"/>
      <w:marBottom w:val="0"/>
      <w:divBdr>
        <w:top w:val="none" w:sz="0" w:space="0" w:color="auto"/>
        <w:left w:val="none" w:sz="0" w:space="0" w:color="auto"/>
        <w:bottom w:val="none" w:sz="0" w:space="0" w:color="auto"/>
        <w:right w:val="none" w:sz="0" w:space="0" w:color="auto"/>
      </w:divBdr>
    </w:div>
    <w:div w:id="1246108281">
      <w:bodyDiv w:val="1"/>
      <w:marLeft w:val="0"/>
      <w:marRight w:val="0"/>
      <w:marTop w:val="0"/>
      <w:marBottom w:val="0"/>
      <w:divBdr>
        <w:top w:val="none" w:sz="0" w:space="0" w:color="auto"/>
        <w:left w:val="none" w:sz="0" w:space="0" w:color="auto"/>
        <w:bottom w:val="none" w:sz="0" w:space="0" w:color="auto"/>
        <w:right w:val="none" w:sz="0" w:space="0" w:color="auto"/>
      </w:divBdr>
    </w:div>
    <w:div w:id="1409764355">
      <w:bodyDiv w:val="1"/>
      <w:marLeft w:val="0"/>
      <w:marRight w:val="0"/>
      <w:marTop w:val="0"/>
      <w:marBottom w:val="0"/>
      <w:divBdr>
        <w:top w:val="none" w:sz="0" w:space="0" w:color="auto"/>
        <w:left w:val="none" w:sz="0" w:space="0" w:color="auto"/>
        <w:bottom w:val="none" w:sz="0" w:space="0" w:color="auto"/>
        <w:right w:val="none" w:sz="0" w:space="0" w:color="auto"/>
      </w:divBdr>
    </w:div>
    <w:div w:id="1582567441">
      <w:bodyDiv w:val="1"/>
      <w:marLeft w:val="0"/>
      <w:marRight w:val="0"/>
      <w:marTop w:val="0"/>
      <w:marBottom w:val="0"/>
      <w:divBdr>
        <w:top w:val="none" w:sz="0" w:space="0" w:color="auto"/>
        <w:left w:val="none" w:sz="0" w:space="0" w:color="auto"/>
        <w:bottom w:val="none" w:sz="0" w:space="0" w:color="auto"/>
        <w:right w:val="none" w:sz="0" w:space="0" w:color="auto"/>
      </w:divBdr>
    </w:div>
    <w:div w:id="1585869924">
      <w:bodyDiv w:val="1"/>
      <w:marLeft w:val="0"/>
      <w:marRight w:val="0"/>
      <w:marTop w:val="0"/>
      <w:marBottom w:val="0"/>
      <w:divBdr>
        <w:top w:val="none" w:sz="0" w:space="0" w:color="auto"/>
        <w:left w:val="none" w:sz="0" w:space="0" w:color="auto"/>
        <w:bottom w:val="none" w:sz="0" w:space="0" w:color="auto"/>
        <w:right w:val="none" w:sz="0" w:space="0" w:color="auto"/>
      </w:divBdr>
    </w:div>
    <w:div w:id="1633092789">
      <w:bodyDiv w:val="1"/>
      <w:marLeft w:val="0"/>
      <w:marRight w:val="0"/>
      <w:marTop w:val="0"/>
      <w:marBottom w:val="0"/>
      <w:divBdr>
        <w:top w:val="none" w:sz="0" w:space="0" w:color="auto"/>
        <w:left w:val="none" w:sz="0" w:space="0" w:color="auto"/>
        <w:bottom w:val="none" w:sz="0" w:space="0" w:color="auto"/>
        <w:right w:val="none" w:sz="0" w:space="0" w:color="auto"/>
      </w:divBdr>
    </w:div>
    <w:div w:id="1761171214">
      <w:bodyDiv w:val="1"/>
      <w:marLeft w:val="0"/>
      <w:marRight w:val="0"/>
      <w:marTop w:val="0"/>
      <w:marBottom w:val="0"/>
      <w:divBdr>
        <w:top w:val="none" w:sz="0" w:space="0" w:color="auto"/>
        <w:left w:val="none" w:sz="0" w:space="0" w:color="auto"/>
        <w:bottom w:val="none" w:sz="0" w:space="0" w:color="auto"/>
        <w:right w:val="none" w:sz="0" w:space="0" w:color="auto"/>
      </w:divBdr>
    </w:div>
    <w:div w:id="1913810817">
      <w:bodyDiv w:val="1"/>
      <w:marLeft w:val="0"/>
      <w:marRight w:val="0"/>
      <w:marTop w:val="0"/>
      <w:marBottom w:val="0"/>
      <w:divBdr>
        <w:top w:val="none" w:sz="0" w:space="0" w:color="auto"/>
        <w:left w:val="none" w:sz="0" w:space="0" w:color="auto"/>
        <w:bottom w:val="none" w:sz="0" w:space="0" w:color="auto"/>
        <w:right w:val="none" w:sz="0" w:space="0" w:color="auto"/>
      </w:divBdr>
    </w:div>
    <w:div w:id="1940598990">
      <w:bodyDiv w:val="1"/>
      <w:marLeft w:val="0"/>
      <w:marRight w:val="0"/>
      <w:marTop w:val="0"/>
      <w:marBottom w:val="0"/>
      <w:divBdr>
        <w:top w:val="none" w:sz="0" w:space="0" w:color="auto"/>
        <w:left w:val="none" w:sz="0" w:space="0" w:color="auto"/>
        <w:bottom w:val="none" w:sz="0" w:space="0" w:color="auto"/>
        <w:right w:val="none" w:sz="0" w:space="0" w:color="auto"/>
      </w:divBdr>
    </w:div>
    <w:div w:id="1956250336">
      <w:bodyDiv w:val="1"/>
      <w:marLeft w:val="0"/>
      <w:marRight w:val="0"/>
      <w:marTop w:val="0"/>
      <w:marBottom w:val="0"/>
      <w:divBdr>
        <w:top w:val="none" w:sz="0" w:space="0" w:color="auto"/>
        <w:left w:val="none" w:sz="0" w:space="0" w:color="auto"/>
        <w:bottom w:val="none" w:sz="0" w:space="0" w:color="auto"/>
        <w:right w:val="none" w:sz="0" w:space="0" w:color="auto"/>
      </w:divBdr>
    </w:div>
    <w:div w:id="1969777131">
      <w:bodyDiv w:val="1"/>
      <w:marLeft w:val="0"/>
      <w:marRight w:val="0"/>
      <w:marTop w:val="0"/>
      <w:marBottom w:val="0"/>
      <w:divBdr>
        <w:top w:val="none" w:sz="0" w:space="0" w:color="auto"/>
        <w:left w:val="none" w:sz="0" w:space="0" w:color="auto"/>
        <w:bottom w:val="none" w:sz="0" w:space="0" w:color="auto"/>
        <w:right w:val="none" w:sz="0" w:space="0" w:color="auto"/>
      </w:divBdr>
    </w:div>
    <w:div w:id="1975141034">
      <w:bodyDiv w:val="1"/>
      <w:marLeft w:val="0"/>
      <w:marRight w:val="0"/>
      <w:marTop w:val="0"/>
      <w:marBottom w:val="0"/>
      <w:divBdr>
        <w:top w:val="none" w:sz="0" w:space="0" w:color="auto"/>
        <w:left w:val="none" w:sz="0" w:space="0" w:color="auto"/>
        <w:bottom w:val="none" w:sz="0" w:space="0" w:color="auto"/>
        <w:right w:val="none" w:sz="0" w:space="0" w:color="auto"/>
      </w:divBdr>
    </w:div>
    <w:div w:id="2001032352">
      <w:bodyDiv w:val="1"/>
      <w:marLeft w:val="0"/>
      <w:marRight w:val="0"/>
      <w:marTop w:val="0"/>
      <w:marBottom w:val="0"/>
      <w:divBdr>
        <w:top w:val="none" w:sz="0" w:space="0" w:color="auto"/>
        <w:left w:val="none" w:sz="0" w:space="0" w:color="auto"/>
        <w:bottom w:val="none" w:sz="0" w:space="0" w:color="auto"/>
        <w:right w:val="none" w:sz="0" w:space="0" w:color="auto"/>
      </w:divBdr>
    </w:div>
    <w:div w:id="20512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dcheck.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vdcheck.org.a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cdn.georgeinstitute.org/sites/default/files/documents/wider-benefits-of-sglt2-report-d1703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E134-4CBA-4C51-AD6A-C5A7152C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2024-11-15T00:07:00Z</dcterms:created>
  <dcterms:modified xsi:type="dcterms:W3CDTF">2024-11-15T00:07:00Z</dcterms:modified>
</cp:coreProperties>
</file>