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8E538" w14:textId="04C1D329" w:rsidR="00EB534F" w:rsidRPr="000F04A0" w:rsidRDefault="00EB534F" w:rsidP="00EB534F">
      <w:pPr>
        <w:rPr>
          <w:rFonts w:ascii="Calibri" w:eastAsiaTheme="majorEastAsia" w:hAnsi="Calibri" w:cs="Calibri"/>
          <w:b/>
          <w:spacing w:val="5"/>
          <w:kern w:val="28"/>
          <w:sz w:val="52"/>
          <w:szCs w:val="52"/>
          <w:lang w:eastAsia="en-AU"/>
        </w:rPr>
      </w:pPr>
      <w:r w:rsidRPr="000F04A0">
        <w:rPr>
          <w:rFonts w:ascii="Calibri" w:eastAsiaTheme="majorEastAsia" w:hAnsi="Calibri" w:cs="Calibri"/>
          <w:b/>
          <w:spacing w:val="5"/>
          <w:kern w:val="28"/>
          <w:sz w:val="52"/>
          <w:szCs w:val="52"/>
          <w:lang w:eastAsia="en-AU"/>
        </w:rPr>
        <w:t xml:space="preserve">Utilisation analysis of PBS-listed disease modifying therapies for relapsing-remitting multiple sclerosis </w:t>
      </w:r>
    </w:p>
    <w:p w14:paraId="0EC5D0A6" w14:textId="77777777" w:rsidR="00B06360" w:rsidRPr="000F04A0" w:rsidRDefault="00B06360" w:rsidP="004A6F1F">
      <w:pPr>
        <w:pStyle w:val="Title2"/>
      </w:pPr>
      <w:r w:rsidRPr="000F04A0">
        <w:t>Drug utilisation sub-committee (DUSC)</w:t>
      </w:r>
    </w:p>
    <w:p w14:paraId="55E21816" w14:textId="1ABA33A1" w:rsidR="00B06360" w:rsidRPr="000F04A0" w:rsidRDefault="00025FC7" w:rsidP="00CD7681">
      <w:pPr>
        <w:rPr>
          <w:rFonts w:ascii="Calibri" w:hAnsi="Calibri" w:cs="Calibri"/>
          <w:b/>
          <w:bCs/>
          <w:i/>
          <w:iCs/>
          <w:sz w:val="24"/>
          <w:szCs w:val="24"/>
        </w:rPr>
      </w:pPr>
      <w:r>
        <w:rPr>
          <w:rFonts w:ascii="Calibri" w:hAnsi="Calibri" w:cs="Calibri"/>
          <w:b/>
          <w:bCs/>
          <w:i/>
          <w:iCs/>
          <w:sz w:val="24"/>
          <w:szCs w:val="24"/>
        </w:rPr>
        <w:t>June</w:t>
      </w:r>
      <w:r w:rsidR="00B06360" w:rsidRPr="000F04A0">
        <w:rPr>
          <w:rFonts w:ascii="Calibri" w:hAnsi="Calibri" w:cs="Calibri"/>
          <w:b/>
          <w:bCs/>
          <w:i/>
          <w:iCs/>
          <w:sz w:val="24"/>
          <w:szCs w:val="24"/>
        </w:rPr>
        <w:t xml:space="preserve"> 2025</w:t>
      </w:r>
    </w:p>
    <w:p w14:paraId="5DC2E784" w14:textId="77777777" w:rsidR="00B06360" w:rsidRPr="000F04A0" w:rsidRDefault="00B06360" w:rsidP="004A6F1F">
      <w:pPr>
        <w:pStyle w:val="Heading1"/>
      </w:pPr>
      <w:r w:rsidRPr="000F04A0">
        <w:t>Abstract</w:t>
      </w:r>
    </w:p>
    <w:p w14:paraId="47B8FC90" w14:textId="77777777" w:rsidR="0070479D" w:rsidRPr="000F04A0" w:rsidRDefault="0070479D" w:rsidP="004A6F1F">
      <w:pPr>
        <w:pStyle w:val="Heading2"/>
      </w:pPr>
      <w:r w:rsidRPr="000F04A0">
        <w:t xml:space="preserve">Purpose </w:t>
      </w:r>
    </w:p>
    <w:p w14:paraId="1EBE02D8" w14:textId="1D625E3C" w:rsidR="0070479D" w:rsidRPr="000F04A0" w:rsidRDefault="0070479D" w:rsidP="0070479D">
      <w:pPr>
        <w:rPr>
          <w:rFonts w:ascii="Calibri" w:eastAsia="Times New Roman" w:hAnsi="Calibri" w:cs="Calibri"/>
          <w:sz w:val="24"/>
          <w:szCs w:val="24"/>
        </w:rPr>
      </w:pPr>
      <w:r w:rsidRPr="000F04A0">
        <w:rPr>
          <w:rFonts w:ascii="Calibri" w:eastAsia="Times New Roman" w:hAnsi="Calibri" w:cs="Calibri"/>
          <w:sz w:val="24"/>
          <w:szCs w:val="24"/>
        </w:rPr>
        <w:t>That the Drug Utilisation Sub-Committee (DUSC) consider the utilisation of Pharmaceutical Benefits Scheme (PBS)-listed disease modifying therapies (DMTs) for relapsing-remitting multiple sclerosis (RRMS).</w:t>
      </w:r>
    </w:p>
    <w:p w14:paraId="1F94AA9D" w14:textId="77777777" w:rsidR="0070479D" w:rsidRPr="000F04A0" w:rsidRDefault="0070479D" w:rsidP="004A6F1F">
      <w:pPr>
        <w:pStyle w:val="Heading2"/>
      </w:pPr>
      <w:r w:rsidRPr="000F04A0">
        <w:t>Data Source / methodology</w:t>
      </w:r>
    </w:p>
    <w:p w14:paraId="5C1B54E5" w14:textId="017498F7" w:rsidR="0070479D" w:rsidRPr="000F04A0" w:rsidRDefault="0070479D" w:rsidP="0070479D">
      <w:pPr>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Data was extracted from the PBS database maintained by the Department of Health and Aged Care, processed by Services Australia, from between 1 January 2019 to 31 December 2024. The data was extracted based on the date of supply using the PBS item codes at </w:t>
      </w:r>
      <w:r w:rsidRPr="000F04A0">
        <w:rPr>
          <w:rFonts w:ascii="Calibri" w:eastAsia="Times New Roman" w:hAnsi="Calibri" w:cs="Calibri"/>
          <w:snapToGrid w:val="0"/>
          <w:sz w:val="24"/>
          <w:szCs w:val="24"/>
          <w:u w:val="single"/>
        </w:rPr>
        <w:t>Attachment 1</w:t>
      </w:r>
      <w:r w:rsidRPr="000F04A0">
        <w:rPr>
          <w:rFonts w:ascii="Calibri" w:eastAsia="Times New Roman" w:hAnsi="Calibri" w:cs="Calibri"/>
          <w:snapToGrid w:val="0"/>
          <w:sz w:val="24"/>
          <w:szCs w:val="24"/>
        </w:rPr>
        <w:t>. Data were extracted based on the date of supply.</w:t>
      </w:r>
      <w:r w:rsidR="001A369A" w:rsidRPr="000F04A0">
        <w:rPr>
          <w:rFonts w:ascii="Calibri" w:eastAsia="Times New Roman" w:hAnsi="Calibri" w:cs="Calibri"/>
          <w:snapToGrid w:val="0"/>
          <w:sz w:val="24"/>
          <w:szCs w:val="24"/>
        </w:rPr>
        <w:t xml:space="preserve"> A three</w:t>
      </w:r>
      <w:r w:rsidR="00D4549C">
        <w:rPr>
          <w:rFonts w:ascii="Calibri" w:eastAsia="Times New Roman" w:hAnsi="Calibri" w:cs="Calibri"/>
          <w:snapToGrid w:val="0"/>
          <w:sz w:val="24"/>
          <w:szCs w:val="24"/>
        </w:rPr>
        <w:t>-</w:t>
      </w:r>
      <w:r w:rsidR="001A369A" w:rsidRPr="000F04A0">
        <w:rPr>
          <w:rFonts w:ascii="Calibri" w:eastAsia="Times New Roman" w:hAnsi="Calibri" w:cs="Calibri"/>
          <w:snapToGrid w:val="0"/>
          <w:sz w:val="24"/>
          <w:szCs w:val="24"/>
        </w:rPr>
        <w:t>year lookback period to 1 January 2016 was used to identify incident (initiating) patients from 1 January 2019.</w:t>
      </w:r>
    </w:p>
    <w:p w14:paraId="7A7FECD6" w14:textId="77777777" w:rsidR="0070479D" w:rsidRPr="000F04A0" w:rsidRDefault="0070479D" w:rsidP="004A6F1F">
      <w:pPr>
        <w:pStyle w:val="Heading2"/>
      </w:pPr>
      <w:r w:rsidRPr="000F04A0">
        <w:t>Key findings</w:t>
      </w:r>
    </w:p>
    <w:p w14:paraId="18ADBBD1" w14:textId="77777777" w:rsidR="0070479D" w:rsidRPr="000F04A0" w:rsidRDefault="0070479D" w:rsidP="004A6F1F">
      <w:pPr>
        <w:pStyle w:val="Heading3"/>
      </w:pPr>
      <w:r w:rsidRPr="000F04A0">
        <w:t>Prescription utilisation trends</w:t>
      </w:r>
    </w:p>
    <w:p w14:paraId="5C0AEDF5" w14:textId="77777777" w:rsidR="0070479D" w:rsidRPr="000F04A0" w:rsidRDefault="0070479D" w:rsidP="0070479D">
      <w:pPr>
        <w:pStyle w:val="3Bodytext"/>
        <w:numPr>
          <w:ilvl w:val="0"/>
          <w:numId w:val="3"/>
        </w:numPr>
        <w:rPr>
          <w:rFonts w:ascii="Calibri" w:eastAsia="Times New Roman" w:hAnsi="Calibri" w:cs="Calibri"/>
          <w:szCs w:val="24"/>
        </w:rPr>
      </w:pPr>
      <w:r w:rsidRPr="000F04A0">
        <w:rPr>
          <w:rFonts w:ascii="Calibri" w:eastAsia="Times New Roman" w:hAnsi="Calibri" w:cs="Calibri"/>
          <w:szCs w:val="24"/>
        </w:rPr>
        <w:t>The number of prescriptions for PBS-listed DMTs for RRMS increased from 168,891 in 2019 to 187,037 in 2024 (an increase of 10.7%).</w:t>
      </w:r>
    </w:p>
    <w:p w14:paraId="2A57B037" w14:textId="77777777" w:rsidR="0070479D" w:rsidRPr="000F04A0" w:rsidRDefault="0070479D" w:rsidP="0070479D">
      <w:pPr>
        <w:pStyle w:val="3Bodytext"/>
        <w:numPr>
          <w:ilvl w:val="0"/>
          <w:numId w:val="3"/>
        </w:numPr>
        <w:rPr>
          <w:rFonts w:ascii="Calibri" w:eastAsia="Times New Roman" w:hAnsi="Calibri" w:cs="Calibri"/>
          <w:szCs w:val="24"/>
        </w:rPr>
      </w:pPr>
      <w:r w:rsidRPr="000F04A0">
        <w:rPr>
          <w:rFonts w:ascii="Calibri" w:eastAsia="Times New Roman" w:hAnsi="Calibri" w:cs="Calibri"/>
          <w:szCs w:val="24"/>
        </w:rPr>
        <w:t>The number of prescriptions supplied for fingolimod has decreased over time from 59,114 prescriptions in 2019 to 35,331 in 2024 (40.2% decrease).</w:t>
      </w:r>
    </w:p>
    <w:p w14:paraId="010FEA27" w14:textId="7F303FF7" w:rsidR="0070479D" w:rsidRPr="00A07536" w:rsidRDefault="0070479D" w:rsidP="0070479D">
      <w:pPr>
        <w:pStyle w:val="3Bodytext"/>
        <w:numPr>
          <w:ilvl w:val="0"/>
          <w:numId w:val="3"/>
        </w:numPr>
        <w:rPr>
          <w:rFonts w:ascii="Calibri" w:eastAsia="Times New Roman" w:hAnsi="Calibri" w:cs="Calibri"/>
          <w:szCs w:val="24"/>
        </w:rPr>
      </w:pPr>
      <w:r w:rsidRPr="00A07536">
        <w:rPr>
          <w:rFonts w:ascii="Calibri" w:eastAsia="Times New Roman" w:hAnsi="Calibri" w:cs="Calibri"/>
          <w:szCs w:val="24"/>
        </w:rPr>
        <w:t xml:space="preserve">The benefits paid for PBS-listed DMTs for RRMS based on published prices increased from $448,814,609 in 2019 to $508,595,516 in 2024 (an increase of 13.3%). </w:t>
      </w:r>
      <w:r w:rsidR="00421984" w:rsidRPr="00A07536">
        <w:rPr>
          <w:rFonts w:ascii="Calibri" w:eastAsia="Times New Roman" w:hAnsi="Calibri" w:cs="Calibri"/>
          <w:szCs w:val="24"/>
        </w:rPr>
        <w:t>T</w:t>
      </w:r>
      <w:r w:rsidRPr="00A07536">
        <w:rPr>
          <w:rFonts w:ascii="Calibri" w:eastAsia="Times New Roman" w:hAnsi="Calibri" w:cs="Calibri"/>
          <w:szCs w:val="24"/>
        </w:rPr>
        <w:t>he benefits paid based on effective prices decreased from $326,119,635 in 2019 to $279,256,048 in 2024 (a decrease of 14.4%).</w:t>
      </w:r>
    </w:p>
    <w:p w14:paraId="5A96882C" w14:textId="4BAF6193" w:rsidR="0070479D" w:rsidRPr="00EA47E6" w:rsidRDefault="006421B2" w:rsidP="0070479D">
      <w:pPr>
        <w:pStyle w:val="3Bodytext"/>
        <w:numPr>
          <w:ilvl w:val="0"/>
          <w:numId w:val="3"/>
        </w:numPr>
        <w:rPr>
          <w:rFonts w:ascii="Calibri" w:eastAsia="Times New Roman" w:hAnsi="Calibri" w:cs="Calibri"/>
          <w:szCs w:val="24"/>
        </w:rPr>
      </w:pPr>
      <w:r w:rsidRPr="00EA47E6">
        <w:rPr>
          <w:rFonts w:ascii="Calibri" w:eastAsia="Times New Roman" w:hAnsi="Calibri" w:cs="Calibri"/>
          <w:szCs w:val="24"/>
        </w:rPr>
        <w:t xml:space="preserve">[REDACTED TEXT] </w:t>
      </w:r>
      <w:r w:rsidR="0070479D" w:rsidRPr="00EA47E6">
        <w:rPr>
          <w:rFonts w:ascii="Calibri" w:eastAsia="Times New Roman" w:hAnsi="Calibri" w:cs="Calibri"/>
          <w:szCs w:val="24"/>
        </w:rPr>
        <w:t>were the PBS-listed DMTs for RRMS that incurred the highest cost to the PBS in 2024, based on effective prices.</w:t>
      </w:r>
    </w:p>
    <w:p w14:paraId="5BF2EE0E" w14:textId="48E89394" w:rsidR="0070479D" w:rsidRPr="000F04A0" w:rsidRDefault="00AE6D30" w:rsidP="0070479D">
      <w:pPr>
        <w:pStyle w:val="3Bodytext"/>
        <w:numPr>
          <w:ilvl w:val="0"/>
          <w:numId w:val="3"/>
        </w:numPr>
        <w:rPr>
          <w:rFonts w:ascii="Calibri" w:eastAsia="Times New Roman" w:hAnsi="Calibri" w:cs="Calibri"/>
          <w:szCs w:val="24"/>
        </w:rPr>
      </w:pPr>
      <w:r w:rsidRPr="00EA47E6">
        <w:rPr>
          <w:rFonts w:ascii="Calibri" w:eastAsia="Times New Roman" w:hAnsi="Calibri" w:cs="Calibri"/>
          <w:szCs w:val="24"/>
        </w:rPr>
        <w:t xml:space="preserve">Based on PBS benefits paid (effective prices) </w:t>
      </w:r>
      <w:r w:rsidR="006421B2" w:rsidRPr="00EA47E6">
        <w:rPr>
          <w:rFonts w:ascii="Calibri" w:eastAsia="Times New Roman" w:hAnsi="Calibri" w:cs="Calibri"/>
          <w:szCs w:val="24"/>
        </w:rPr>
        <w:t xml:space="preserve">[REACTED TEXT] </w:t>
      </w:r>
      <w:r w:rsidRPr="00EA47E6">
        <w:rPr>
          <w:rFonts w:ascii="Calibri" w:eastAsia="Times New Roman" w:hAnsi="Calibri" w:cs="Calibri"/>
          <w:szCs w:val="24"/>
        </w:rPr>
        <w:t>had the greatest market share in 2024 (</w:t>
      </w:r>
      <w:r w:rsidR="006421B2" w:rsidRPr="00EA47E6">
        <w:rPr>
          <w:rFonts w:ascii="Calibri" w:eastAsia="Times New Roman" w:hAnsi="Calibri" w:cs="Calibri"/>
          <w:szCs w:val="24"/>
        </w:rPr>
        <w:t>[REDACTED TEXT]</w:t>
      </w:r>
      <w:r w:rsidRPr="00EA47E6">
        <w:rPr>
          <w:rFonts w:ascii="Calibri" w:eastAsia="Times New Roman" w:hAnsi="Calibri" w:cs="Calibri"/>
          <w:szCs w:val="24"/>
        </w:rPr>
        <w:t xml:space="preserve">), followed by </w:t>
      </w:r>
      <w:r w:rsidR="006421B2" w:rsidRPr="00EA47E6">
        <w:rPr>
          <w:rFonts w:ascii="Calibri" w:eastAsia="Times New Roman" w:hAnsi="Calibri" w:cs="Calibri"/>
          <w:szCs w:val="24"/>
        </w:rPr>
        <w:t>[REDACTED TEXT]</w:t>
      </w:r>
      <w:r w:rsidRPr="00EA47E6">
        <w:rPr>
          <w:rFonts w:ascii="Calibri" w:eastAsia="Times New Roman" w:hAnsi="Calibri" w:cs="Calibri"/>
          <w:szCs w:val="24"/>
        </w:rPr>
        <w:t xml:space="preserve">. </w:t>
      </w:r>
      <w:r w:rsidR="0070479D" w:rsidRPr="00EA47E6">
        <w:rPr>
          <w:rFonts w:ascii="Calibri" w:eastAsia="Times New Roman" w:hAnsi="Calibri" w:cs="Calibri"/>
          <w:szCs w:val="24"/>
        </w:rPr>
        <w:t>The</w:t>
      </w:r>
      <w:r w:rsidR="0070479D" w:rsidRPr="000F04A0">
        <w:rPr>
          <w:rFonts w:ascii="Calibri" w:eastAsia="Times New Roman" w:hAnsi="Calibri" w:cs="Calibri"/>
          <w:szCs w:val="24"/>
        </w:rPr>
        <w:t xml:space="preserve"> high efficacy DMTs represented 91% of the market for </w:t>
      </w:r>
      <w:r w:rsidR="0070479D" w:rsidRPr="00A07536">
        <w:rPr>
          <w:rFonts w:ascii="Calibri" w:eastAsia="Times New Roman" w:hAnsi="Calibri" w:cs="Calibri"/>
          <w:szCs w:val="24"/>
        </w:rPr>
        <w:t>RRMS ($253,223,411 benefits paid), while moderate efficacy DMTs represented 9% ($23,032,637 benefits</w:t>
      </w:r>
      <w:r w:rsidR="0070479D" w:rsidRPr="000F04A0">
        <w:rPr>
          <w:rFonts w:ascii="Calibri" w:eastAsia="Times New Roman" w:hAnsi="Calibri" w:cs="Calibri"/>
          <w:szCs w:val="24"/>
        </w:rPr>
        <w:t xml:space="preserve"> paid). </w:t>
      </w:r>
    </w:p>
    <w:p w14:paraId="11A36DE0" w14:textId="77777777" w:rsidR="0070479D" w:rsidRPr="00B34892" w:rsidRDefault="0070479D" w:rsidP="004A6F1F">
      <w:pPr>
        <w:pStyle w:val="Heading3"/>
      </w:pPr>
      <w:r w:rsidRPr="004A6F1F">
        <w:lastRenderedPageBreak/>
        <w:t>Patient</w:t>
      </w:r>
      <w:r w:rsidRPr="00B34892">
        <w:t xml:space="preserve"> utilisation trends</w:t>
      </w:r>
    </w:p>
    <w:p w14:paraId="45BAD53C" w14:textId="77777777" w:rsidR="0070479D" w:rsidRPr="000F04A0" w:rsidRDefault="0070479D" w:rsidP="0070479D">
      <w:pPr>
        <w:pStyle w:val="3Bodytext"/>
        <w:numPr>
          <w:ilvl w:val="0"/>
          <w:numId w:val="3"/>
        </w:numPr>
        <w:rPr>
          <w:rFonts w:ascii="Calibri" w:eastAsia="Times New Roman" w:hAnsi="Calibri" w:cs="Calibri"/>
          <w:szCs w:val="24"/>
        </w:rPr>
      </w:pPr>
      <w:r w:rsidRPr="000F04A0">
        <w:rPr>
          <w:rFonts w:ascii="Calibri" w:eastAsia="Times New Roman" w:hAnsi="Calibri" w:cs="Calibri"/>
          <w:szCs w:val="24"/>
        </w:rPr>
        <w:t>The number of prevalent patients to a PBS-listed DMT for RRMS increased from 19,612 in 2019 to 24,310 in 2024 (an increase of 23.9%). The number of patients initiating (incident) a PBS-listed DMT for RRMS declined from 2,550 in 2019 to 1,862 in 2024 (a decrease of 26.9%).</w:t>
      </w:r>
    </w:p>
    <w:p w14:paraId="2B9334BE" w14:textId="77777777" w:rsidR="0070479D" w:rsidRPr="000F04A0" w:rsidRDefault="0070479D" w:rsidP="0070479D">
      <w:pPr>
        <w:pStyle w:val="3Bodytext"/>
        <w:numPr>
          <w:ilvl w:val="0"/>
          <w:numId w:val="3"/>
        </w:numPr>
        <w:rPr>
          <w:rFonts w:ascii="Calibri" w:eastAsia="Times New Roman" w:hAnsi="Calibri" w:cs="Calibri"/>
          <w:szCs w:val="24"/>
        </w:rPr>
      </w:pPr>
      <w:r w:rsidRPr="000F04A0">
        <w:rPr>
          <w:rFonts w:ascii="Calibri" w:eastAsia="Times New Roman" w:hAnsi="Calibri" w:cs="Calibri"/>
          <w:szCs w:val="24"/>
        </w:rPr>
        <w:t>In terms of prevalent patients, ocrelizumab (7,753 prevalent patients), natalizumab (3,799 prevalent patients) and ofatumumab (3,549 prevalent patients) were the PBS-listed DMRs for RRMS with the highest utilisation in 2024.</w:t>
      </w:r>
    </w:p>
    <w:p w14:paraId="495B1D9D" w14:textId="77777777" w:rsidR="0070479D" w:rsidRPr="000F04A0" w:rsidRDefault="0070479D" w:rsidP="0070479D">
      <w:pPr>
        <w:pStyle w:val="3Bodytext"/>
        <w:numPr>
          <w:ilvl w:val="0"/>
          <w:numId w:val="3"/>
        </w:numPr>
        <w:rPr>
          <w:rFonts w:ascii="Calibri" w:eastAsia="Times New Roman" w:hAnsi="Calibri" w:cs="Calibri"/>
          <w:szCs w:val="24"/>
        </w:rPr>
      </w:pPr>
      <w:r w:rsidRPr="000F04A0">
        <w:rPr>
          <w:rFonts w:ascii="Calibri" w:eastAsia="Times New Roman" w:hAnsi="Calibri" w:cs="Calibri"/>
          <w:szCs w:val="24"/>
        </w:rPr>
        <w:t xml:space="preserve">In terms of incident (initiating) patients, ocrelizumab (545 incident patients), ofatumumab (489 incident patients) and natalizumab (349 incident patients) were the PBS-listed DMT for RRMS with the highest utilisation in 2024. </w:t>
      </w:r>
    </w:p>
    <w:p w14:paraId="478BD98A" w14:textId="77777777" w:rsidR="0070479D" w:rsidRPr="000F04A0" w:rsidRDefault="0070479D" w:rsidP="0070479D">
      <w:pPr>
        <w:pStyle w:val="3Bodytext"/>
        <w:numPr>
          <w:ilvl w:val="0"/>
          <w:numId w:val="3"/>
        </w:numPr>
        <w:rPr>
          <w:rFonts w:ascii="Calibri" w:eastAsia="Times New Roman" w:hAnsi="Calibri" w:cs="Calibri"/>
          <w:szCs w:val="24"/>
        </w:rPr>
      </w:pPr>
      <w:r w:rsidRPr="000F04A0">
        <w:rPr>
          <w:rFonts w:ascii="Calibri" w:eastAsia="Times New Roman" w:hAnsi="Calibri" w:cs="Calibri"/>
          <w:szCs w:val="24"/>
        </w:rPr>
        <w:t xml:space="preserve">Ocrelizumab was the most utilised PBS-listed DMT for RRMS for females, with utilisation peaking at 40-44 years of age. Natalizumab was the second most utilised PBS-listed DMT for RRMS in females, with utilisation peaking at 35-39 years of age. Ocrelizumab was the most utilised PBS-listed DMT for RRMS for males, with utilisation peaking at 50-54 years of age. Fingolimod was the second most utilised PBS-listed DMT for RRMS for males, with utilisation peaking at 50-54 years of age.  </w:t>
      </w:r>
    </w:p>
    <w:p w14:paraId="5B25643D" w14:textId="77777777" w:rsidR="0070479D" w:rsidRPr="000F04A0" w:rsidRDefault="0070479D" w:rsidP="0070479D">
      <w:pPr>
        <w:pStyle w:val="3Bodytext"/>
        <w:numPr>
          <w:ilvl w:val="0"/>
          <w:numId w:val="3"/>
        </w:numPr>
        <w:rPr>
          <w:rFonts w:ascii="Calibri" w:eastAsia="Times New Roman" w:hAnsi="Calibri" w:cs="Calibri"/>
          <w:szCs w:val="24"/>
        </w:rPr>
      </w:pPr>
      <w:r w:rsidRPr="000F04A0">
        <w:rPr>
          <w:rFonts w:ascii="Calibri" w:eastAsia="Times New Roman" w:hAnsi="Calibri" w:cs="Calibri"/>
          <w:szCs w:val="24"/>
        </w:rPr>
        <w:t>Monotherapy with ocrelizumab, ofatumumab and natalizumab were the three most utilised drug sequences. For drug initiation sequences consisting of two or more RRMS medicines, ‘natalizumab to ocrelizumab,’ ‘natalizumab to ofatumumab’ and ‘ocrelizumab to ofatumumab’ were the three most utilised treatment initiation sequences.</w:t>
      </w:r>
    </w:p>
    <w:p w14:paraId="37A4B1AD" w14:textId="77777777" w:rsidR="004A6F1F" w:rsidRDefault="004A6F1F" w:rsidP="004A6F1F">
      <w:pPr>
        <w:rPr>
          <w:snapToGrid w:val="0"/>
        </w:rPr>
      </w:pPr>
      <w:bookmarkStart w:id="0" w:name="_Hlk99358051"/>
      <w:bookmarkStart w:id="1" w:name="_Hlk139384707"/>
    </w:p>
    <w:p w14:paraId="06A7DD33" w14:textId="70243225" w:rsidR="00EB534F" w:rsidRPr="004A6F1F" w:rsidRDefault="00EB534F" w:rsidP="004A6F1F">
      <w:pPr>
        <w:pStyle w:val="Heading1"/>
      </w:pPr>
      <w:r w:rsidRPr="004A6F1F">
        <w:t>Background</w:t>
      </w:r>
      <w:bookmarkEnd w:id="0"/>
      <w:r w:rsidRPr="004A6F1F">
        <w:t xml:space="preserve">   </w:t>
      </w:r>
    </w:p>
    <w:p w14:paraId="70DDA98B" w14:textId="4DADD1D4"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In September 2024, the Pharmaceutical Benefits Advisory Committee (PBAC) considered the Post-market Review (PMR) workplan and considered proposed topics for future research, </w:t>
      </w:r>
      <w:r w:rsidR="00421984" w:rsidRPr="000F04A0">
        <w:rPr>
          <w:rFonts w:ascii="Calibri" w:eastAsia="Times New Roman" w:hAnsi="Calibri" w:cs="Calibri"/>
          <w:snapToGrid w:val="0"/>
          <w:sz w:val="24"/>
          <w:szCs w:val="24"/>
        </w:rPr>
        <w:t xml:space="preserve">which </w:t>
      </w:r>
      <w:r w:rsidRPr="000F04A0">
        <w:rPr>
          <w:rFonts w:ascii="Calibri" w:eastAsia="Times New Roman" w:hAnsi="Calibri" w:cs="Calibri"/>
          <w:snapToGrid w:val="0"/>
          <w:sz w:val="24"/>
          <w:szCs w:val="24"/>
        </w:rPr>
        <w:t>includ</w:t>
      </w:r>
      <w:r w:rsidR="00421984" w:rsidRPr="000F04A0">
        <w:rPr>
          <w:rFonts w:ascii="Calibri" w:eastAsia="Times New Roman" w:hAnsi="Calibri" w:cs="Calibri"/>
          <w:snapToGrid w:val="0"/>
          <w:sz w:val="24"/>
          <w:szCs w:val="24"/>
        </w:rPr>
        <w:t>ed</w:t>
      </w:r>
      <w:r w:rsidRPr="000F04A0">
        <w:rPr>
          <w:rFonts w:ascii="Calibri" w:eastAsia="Times New Roman" w:hAnsi="Calibri" w:cs="Calibri"/>
          <w:snapToGrid w:val="0"/>
          <w:sz w:val="24"/>
          <w:szCs w:val="24"/>
        </w:rPr>
        <w:t xml:space="preserve"> </w:t>
      </w:r>
      <w:r w:rsidR="00421984" w:rsidRPr="000F04A0">
        <w:rPr>
          <w:rFonts w:ascii="Calibri" w:eastAsia="Times New Roman" w:hAnsi="Calibri" w:cs="Calibri"/>
          <w:snapToGrid w:val="0"/>
          <w:sz w:val="24"/>
          <w:szCs w:val="24"/>
        </w:rPr>
        <w:t xml:space="preserve">a proposed utilisation analysis of </w:t>
      </w:r>
      <w:r w:rsidRPr="000F04A0">
        <w:rPr>
          <w:rFonts w:ascii="Calibri" w:eastAsia="Times New Roman" w:hAnsi="Calibri" w:cs="Calibri"/>
          <w:snapToGrid w:val="0"/>
          <w:sz w:val="24"/>
          <w:szCs w:val="24"/>
        </w:rPr>
        <w:t>treatments for RRMS.</w:t>
      </w:r>
    </w:p>
    <w:p w14:paraId="02BE264C" w14:textId="5B4F2EB3" w:rsidR="00EB534F" w:rsidRPr="000F04A0" w:rsidRDefault="00EB534F" w:rsidP="001A369A">
      <w:pPr>
        <w:spacing w:after="120" w:line="240" w:lineRule="auto"/>
        <w:jc w:val="both"/>
        <w:rPr>
          <w:rFonts w:ascii="Calibri" w:eastAsia="Times New Roman" w:hAnsi="Calibri" w:cs="Calibri"/>
          <w:snapToGrid w:val="0"/>
          <w:sz w:val="24"/>
          <w:szCs w:val="24"/>
        </w:rPr>
      </w:pPr>
      <w:bookmarkStart w:id="2" w:name="_Hlk175644449"/>
      <w:r w:rsidRPr="000F04A0">
        <w:rPr>
          <w:rFonts w:ascii="Calibri" w:eastAsia="Times New Roman" w:hAnsi="Calibri" w:cs="Calibri"/>
          <w:snapToGrid w:val="0"/>
          <w:sz w:val="24"/>
          <w:szCs w:val="24"/>
        </w:rPr>
        <w:t>Fingolimod was the first oral drug for the treatment of RRMS listed on the PBS. Other high</w:t>
      </w:r>
      <w:r w:rsidR="00421984" w:rsidRPr="000F04A0">
        <w:rPr>
          <w:rFonts w:ascii="Calibri" w:eastAsia="Times New Roman" w:hAnsi="Calibri" w:cs="Calibri"/>
          <w:snapToGrid w:val="0"/>
          <w:sz w:val="24"/>
          <w:szCs w:val="24"/>
        </w:rPr>
        <w:noBreakHyphen/>
      </w:r>
      <w:r w:rsidRPr="000F04A0">
        <w:rPr>
          <w:rFonts w:ascii="Calibri" w:eastAsia="Times New Roman" w:hAnsi="Calibri" w:cs="Calibri"/>
          <w:snapToGrid w:val="0"/>
          <w:sz w:val="24"/>
          <w:szCs w:val="24"/>
        </w:rPr>
        <w:t>efficacy disease-modifying therapies for the treatment of RRMS (apart from alemtuzumab and natalizumab) have been recommended for a PBS listing on a cost</w:t>
      </w:r>
      <w:r w:rsidR="00421984" w:rsidRPr="000F04A0">
        <w:rPr>
          <w:rFonts w:ascii="Calibri" w:eastAsia="Times New Roman" w:hAnsi="Calibri" w:cs="Calibri"/>
          <w:snapToGrid w:val="0"/>
          <w:sz w:val="24"/>
          <w:szCs w:val="24"/>
        </w:rPr>
        <w:noBreakHyphen/>
      </w:r>
      <w:r w:rsidRPr="000F04A0">
        <w:rPr>
          <w:rFonts w:ascii="Calibri" w:eastAsia="Times New Roman" w:hAnsi="Calibri" w:cs="Calibri"/>
          <w:snapToGrid w:val="0"/>
          <w:sz w:val="24"/>
          <w:szCs w:val="24"/>
        </w:rPr>
        <w:t xml:space="preserve">minimisation basis to fingolimod. All PBS-listed DMTs for RRMS are available as first-line treatment options with similar restrictions to fingolimod. </w:t>
      </w:r>
    </w:p>
    <w:p w14:paraId="53CFDB32" w14:textId="07BF8051"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In December 2022, the PBS price of fingolimod reduced by 25% following the listing of a first new brand. The PBAC noted that on 1 October 2024, fingolimod was reduced by a further 12.75% price disclosure price reduction. The PBAC noted that fingolimod is now less expensive than other high-efficacy DMTs for RRMS that were recommended for PBS listing on a cost</w:t>
      </w:r>
      <w:r w:rsidRPr="000F04A0">
        <w:rPr>
          <w:rFonts w:ascii="Calibri" w:eastAsia="Times New Roman" w:hAnsi="Calibri" w:cs="Calibri"/>
          <w:snapToGrid w:val="0"/>
          <w:sz w:val="24"/>
          <w:szCs w:val="24"/>
        </w:rPr>
        <w:noBreakHyphen/>
        <w:t>minimisation basis to fingolimod.</w:t>
      </w:r>
    </w:p>
    <w:p w14:paraId="6818DFBC" w14:textId="3394DF82"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The PBAC noted that the PBS prices of high-efficacy DMTs for RRMS have diverged since the price reduction of fingolimod on 1 December 2022. The PBAC recalled that there is currently no PBS requirement for patients to trial less costly medicines for RRMS before moving to more expensive therapies. The PBAC noted that an analysis of the PBS market for RRMS medicines has not been undertaken for some time and advised that a utilisation analysis of the current </w:t>
      </w:r>
      <w:r w:rsidRPr="000F04A0">
        <w:rPr>
          <w:rFonts w:ascii="Calibri" w:eastAsia="Times New Roman" w:hAnsi="Calibri" w:cs="Calibri"/>
          <w:snapToGrid w:val="0"/>
          <w:sz w:val="24"/>
          <w:szCs w:val="24"/>
        </w:rPr>
        <w:lastRenderedPageBreak/>
        <w:t>market for PBS-listed medicines for RRMS, including information around the market share of fingolimod</w:t>
      </w:r>
      <w:r w:rsidR="00421984" w:rsidRPr="000F04A0">
        <w:rPr>
          <w:rFonts w:ascii="Calibri" w:eastAsia="Times New Roman" w:hAnsi="Calibri" w:cs="Calibri"/>
          <w:snapToGrid w:val="0"/>
          <w:sz w:val="24"/>
          <w:szCs w:val="24"/>
        </w:rPr>
        <w:t>,</w:t>
      </w:r>
      <w:r w:rsidRPr="000F04A0">
        <w:rPr>
          <w:rFonts w:ascii="Calibri" w:eastAsia="Times New Roman" w:hAnsi="Calibri" w:cs="Calibri"/>
          <w:snapToGrid w:val="0"/>
          <w:sz w:val="24"/>
          <w:szCs w:val="24"/>
        </w:rPr>
        <w:t xml:space="preserve"> would be informative. </w:t>
      </w:r>
    </w:p>
    <w:bookmarkEnd w:id="2"/>
    <w:p w14:paraId="1D4C2696" w14:textId="77777777" w:rsidR="00EB534F" w:rsidRPr="004A6F1F" w:rsidRDefault="00EB534F" w:rsidP="004A6F1F">
      <w:pPr>
        <w:pStyle w:val="Heading2"/>
      </w:pPr>
      <w:r w:rsidRPr="004A6F1F">
        <w:t>Disease</w:t>
      </w:r>
    </w:p>
    <w:p w14:paraId="0D710291"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Multiple sclerosis (MS) is an inflammatory disease of the central nervous system (CNS). During the early stages of MS, discrete demyelinating lesions cause axonal and neuronal damage. Later, diffuse inflammatory processes and neurodegeneration exacerbate CNS dysfunction. MS is characterised by a complex range of symptoms including visual disturbance, fatigue, pain, reduced mobility and coordination, cognitive impairment and mood changes. The result is progressive disability. </w:t>
      </w:r>
    </w:p>
    <w:p w14:paraId="437C1F63"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The prevalence of MS appears to have increased over time, which is likely the result of earlier detection and diagnosis, improved disease management and life expectancy, and improvements in data quality and accuracy.</w:t>
      </w:r>
      <w:r w:rsidRPr="000F04A0">
        <w:rPr>
          <w:rFonts w:ascii="Calibri" w:eastAsia="Times New Roman" w:hAnsi="Calibri" w:cs="Calibri"/>
          <w:snapToGrid w:val="0"/>
          <w:sz w:val="24"/>
          <w:szCs w:val="24"/>
          <w:vertAlign w:val="superscript"/>
        </w:rPr>
        <w:footnoteReference w:id="1"/>
      </w:r>
      <w:r w:rsidRPr="000F04A0">
        <w:rPr>
          <w:rFonts w:ascii="Calibri" w:eastAsia="Times New Roman" w:hAnsi="Calibri" w:cs="Calibri"/>
          <w:snapToGrid w:val="0"/>
          <w:sz w:val="24"/>
          <w:szCs w:val="24"/>
        </w:rPr>
        <w:t xml:space="preserve"> It affects approximately 25,000 Australians (0.1% in 2019) and two million people worldwide.</w:t>
      </w:r>
      <w:r w:rsidRPr="000F04A0">
        <w:rPr>
          <w:rFonts w:ascii="Calibri" w:eastAsia="Times New Roman" w:hAnsi="Calibri" w:cs="Calibri"/>
          <w:snapToGrid w:val="0"/>
          <w:sz w:val="24"/>
          <w:szCs w:val="24"/>
          <w:vertAlign w:val="superscript"/>
        </w:rPr>
        <w:footnoteReference w:id="2"/>
      </w:r>
      <w:r w:rsidRPr="000F04A0">
        <w:rPr>
          <w:rFonts w:ascii="Calibri" w:eastAsia="Times New Roman" w:hAnsi="Calibri" w:cs="Calibri"/>
          <w:snapToGrid w:val="0"/>
          <w:sz w:val="24"/>
          <w:szCs w:val="24"/>
        </w:rPr>
        <w:t xml:space="preserve"> The peak age of onset is 30-49, so the illness in this age group results in high costs for medical care and lost productivity in the workforce.</w:t>
      </w:r>
      <w:r w:rsidRPr="000F04A0">
        <w:rPr>
          <w:rFonts w:ascii="Calibri" w:eastAsia="Times New Roman" w:hAnsi="Calibri" w:cs="Calibri"/>
          <w:snapToGrid w:val="0"/>
          <w:sz w:val="24"/>
          <w:szCs w:val="24"/>
          <w:vertAlign w:val="superscript"/>
        </w:rPr>
        <w:footnoteReference w:id="3"/>
      </w:r>
      <w:r w:rsidRPr="000F04A0">
        <w:rPr>
          <w:rFonts w:ascii="Calibri" w:eastAsia="Times New Roman" w:hAnsi="Calibri" w:cs="Calibri"/>
          <w:snapToGrid w:val="0"/>
          <w:sz w:val="24"/>
          <w:szCs w:val="24"/>
        </w:rPr>
        <w:t xml:space="preserve"> RRMS is the most common form of MS and approximately 85% of people with MS are diagnosed with RRMS.</w:t>
      </w:r>
      <w:r w:rsidRPr="000F04A0">
        <w:rPr>
          <w:rFonts w:ascii="Calibri" w:eastAsia="Times New Roman" w:hAnsi="Calibri" w:cs="Calibri"/>
          <w:snapToGrid w:val="0"/>
          <w:sz w:val="24"/>
          <w:szCs w:val="24"/>
          <w:vertAlign w:val="superscript"/>
        </w:rPr>
        <w:footnoteReference w:id="4"/>
      </w:r>
      <w:r w:rsidRPr="000F04A0">
        <w:rPr>
          <w:rFonts w:ascii="Calibri" w:eastAsia="Times New Roman" w:hAnsi="Calibri" w:cs="Calibri"/>
          <w:snapToGrid w:val="0"/>
          <w:sz w:val="24"/>
          <w:szCs w:val="24"/>
          <w:vertAlign w:val="superscript"/>
        </w:rPr>
        <w:t xml:space="preserve"> </w:t>
      </w:r>
      <w:r w:rsidRPr="000F04A0">
        <w:rPr>
          <w:rFonts w:ascii="Calibri" w:eastAsia="Times New Roman" w:hAnsi="Calibri" w:cs="Calibri"/>
          <w:snapToGrid w:val="0"/>
          <w:sz w:val="24"/>
          <w:szCs w:val="24"/>
        </w:rPr>
        <w:t>It is caused by flare ups or exacerbations of the neurological symptoms of MS, also known as relapses, followed by periods of recovery or remission. RRMS is not curable but DMTs reduce relapse rates and slow the progression of the disease, thereby delaying disability.</w:t>
      </w:r>
    </w:p>
    <w:p w14:paraId="0BCCE0F9" w14:textId="77777777" w:rsidR="00EB534F" w:rsidRPr="000F04A0" w:rsidRDefault="00EB534F" w:rsidP="004A6F1F">
      <w:pPr>
        <w:pStyle w:val="Heading2"/>
      </w:pPr>
      <w:r w:rsidRPr="000F04A0">
        <w:t>Treatment guidelines</w:t>
      </w:r>
    </w:p>
    <w:p w14:paraId="4DDF7949" w14:textId="77777777" w:rsidR="00EB534F"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The Australian Therapeutic Guidelines recommend immunotherapy as a treatment option for patients with relapsing forms of MS and active disease. Historically, when starting immunotherapy, the approach has been to start therapy with the safest drugs, before scaling up to more potent drugs that have a higher risk of adverse effects. This approach requires careful monitoring to ensure that the disease does not progress and cause damage. Increasingly, the approach to therapy is to give highly effective treatment early, so the patient achieves a target called ‘no evidence of disease activity’ (NEDA), where the patient is clinically stable, has no relapses and no new lesions on magnetic resonance imaging (MRI).</w:t>
      </w:r>
      <w:r w:rsidRPr="000F04A0">
        <w:rPr>
          <w:rFonts w:ascii="Calibri" w:eastAsia="Times New Roman" w:hAnsi="Calibri" w:cs="Calibri"/>
          <w:snapToGrid w:val="0"/>
          <w:sz w:val="24"/>
          <w:szCs w:val="24"/>
          <w:vertAlign w:val="superscript"/>
        </w:rPr>
        <w:footnoteReference w:id="5"/>
      </w:r>
      <w:r w:rsidRPr="000F04A0">
        <w:rPr>
          <w:rFonts w:ascii="Calibri" w:eastAsia="Times New Roman" w:hAnsi="Calibri" w:cs="Calibri"/>
          <w:snapToGrid w:val="0"/>
          <w:sz w:val="24"/>
          <w:szCs w:val="24"/>
        </w:rPr>
        <w:t xml:space="preserve"> Patients at high risk of disability start early on more potent but higher risk therapies. </w:t>
      </w:r>
    </w:p>
    <w:p w14:paraId="10874D66" w14:textId="77777777" w:rsidR="000618A1" w:rsidRDefault="000618A1" w:rsidP="001A369A">
      <w:pPr>
        <w:spacing w:after="120" w:line="240" w:lineRule="auto"/>
        <w:jc w:val="both"/>
        <w:rPr>
          <w:rFonts w:ascii="Calibri" w:eastAsia="Times New Roman" w:hAnsi="Calibri" w:cs="Calibri"/>
          <w:snapToGrid w:val="0"/>
          <w:sz w:val="24"/>
          <w:szCs w:val="24"/>
        </w:rPr>
      </w:pPr>
    </w:p>
    <w:p w14:paraId="113CD4A4" w14:textId="07DEFC72" w:rsidR="00EB534F" w:rsidRPr="000F04A0" w:rsidRDefault="00EB534F" w:rsidP="001A369A">
      <w:pPr>
        <w:spacing w:after="120" w:line="240" w:lineRule="auto"/>
        <w:jc w:val="both"/>
        <w:rPr>
          <w:rFonts w:ascii="Calibri" w:hAnsi="Calibri" w:cs="Calibri"/>
        </w:rPr>
      </w:pPr>
      <w:r w:rsidRPr="000F04A0">
        <w:rPr>
          <w:rFonts w:ascii="Calibri" w:eastAsia="Times New Roman" w:hAnsi="Calibri" w:cs="Calibri"/>
          <w:snapToGrid w:val="0"/>
          <w:sz w:val="24"/>
          <w:szCs w:val="24"/>
        </w:rPr>
        <w:lastRenderedPageBreak/>
        <w:t>DMTs are assessed in trials for their effect on annualised relapse rate (ARR), disability worsening, radiological lesion load and brain volume measurements.</w:t>
      </w:r>
      <w:r w:rsidRPr="000F04A0">
        <w:rPr>
          <w:rFonts w:ascii="Calibri" w:eastAsia="Times New Roman" w:hAnsi="Calibri" w:cs="Calibri"/>
          <w:snapToGrid w:val="0"/>
          <w:sz w:val="24"/>
          <w:szCs w:val="24"/>
          <w:vertAlign w:val="superscript"/>
        </w:rPr>
        <w:footnoteReference w:id="6"/>
      </w:r>
      <w:r w:rsidRPr="000F04A0">
        <w:rPr>
          <w:rFonts w:ascii="Calibri" w:eastAsia="Times New Roman" w:hAnsi="Calibri" w:cs="Calibri"/>
          <w:snapToGrid w:val="0"/>
          <w:sz w:val="24"/>
          <w:szCs w:val="24"/>
        </w:rPr>
        <w:t xml:space="preserve"> Consensus opinion is to consider a DMT early in the course of the disease, particularly when there is clinical or MRI evidence of active inflammatory disease. There are limited direct comparative trials, particularly between the newer drugs and, as clinical trial populations differ, comparative efficacy can be difficult to establish. Whilst DMTs may be broadly classified as those with high efficacy (alemtuzumab, cladribine, fingolimod, natalizumab, ocrelizumab, ofatumumab and </w:t>
      </w:r>
      <w:proofErr w:type="spellStart"/>
      <w:r w:rsidRPr="000F04A0">
        <w:rPr>
          <w:rFonts w:ascii="Calibri" w:eastAsia="Times New Roman" w:hAnsi="Calibri" w:cs="Calibri"/>
          <w:snapToGrid w:val="0"/>
          <w:sz w:val="24"/>
          <w:szCs w:val="24"/>
        </w:rPr>
        <w:t>siponimod</w:t>
      </w:r>
      <w:proofErr w:type="spellEnd"/>
      <w:r w:rsidRPr="000F04A0">
        <w:rPr>
          <w:rFonts w:ascii="Calibri" w:eastAsia="Times New Roman" w:hAnsi="Calibri" w:cs="Calibri"/>
          <w:snapToGrid w:val="0"/>
          <w:sz w:val="24"/>
          <w:szCs w:val="24"/>
        </w:rPr>
        <w:t>) or moderate efficacy (interferons, glatiramer acetate, teriflunomide, diroximel fumarate and dimethyl</w:t>
      </w:r>
      <w:r w:rsidRPr="000F04A0">
        <w:rPr>
          <w:rFonts w:ascii="Calibri" w:eastAsia="Times New Roman" w:hAnsi="Calibri" w:cs="Calibri"/>
          <w:snapToGrid w:val="0"/>
          <w:sz w:val="24"/>
          <w:szCs w:val="24"/>
        </w:rPr>
        <w:noBreakHyphen/>
        <w:t>fumarate), the choice of drug depends on individual patient factors such as clinical history and severity of MS, the route of administration and adverse effects.</w:t>
      </w:r>
      <w:r w:rsidRPr="000F04A0">
        <w:rPr>
          <w:rFonts w:ascii="Calibri" w:eastAsia="Times New Roman" w:hAnsi="Calibri" w:cs="Calibri"/>
          <w:snapToGrid w:val="0"/>
          <w:sz w:val="24"/>
          <w:szCs w:val="24"/>
          <w:vertAlign w:val="superscript"/>
        </w:rPr>
        <w:footnoteReference w:id="7"/>
      </w:r>
      <w:r w:rsidRPr="000F04A0">
        <w:rPr>
          <w:rFonts w:ascii="Calibri" w:hAnsi="Calibri" w:cs="Calibri"/>
          <w:vertAlign w:val="superscript"/>
        </w:rPr>
        <w:t xml:space="preserve"> </w:t>
      </w:r>
    </w:p>
    <w:p w14:paraId="65B6595D" w14:textId="77777777" w:rsidR="00EB534F" w:rsidRPr="000F04A0" w:rsidRDefault="00EB534F" w:rsidP="004A6F1F">
      <w:pPr>
        <w:pStyle w:val="Heading2"/>
      </w:pPr>
      <w:r w:rsidRPr="000F04A0">
        <w:t xml:space="preserve">Previous PBAC considerations </w:t>
      </w:r>
    </w:p>
    <w:p w14:paraId="1F8F310F"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Table 1 provides a summary of PBAC considerations to list higher efficacy tier DMTs on the PBS for RRMS. </w:t>
      </w:r>
    </w:p>
    <w:p w14:paraId="5359D1FB" w14:textId="1A299B9B" w:rsidR="00EB534F" w:rsidRPr="004A6F1F" w:rsidRDefault="00EB534F" w:rsidP="00EB534F">
      <w:pPr>
        <w:pStyle w:val="3Bodytext"/>
        <w:keepNext/>
        <w:spacing w:before="60" w:after="60"/>
        <w:ind w:left="0" w:firstLine="0"/>
        <w:rPr>
          <w:rFonts w:ascii="Calibri" w:hAnsi="Calibri" w:cs="Calibri"/>
          <w:b/>
          <w:bCs/>
          <w:sz w:val="20"/>
          <w:szCs w:val="20"/>
        </w:rPr>
      </w:pPr>
      <w:r w:rsidRPr="004A6F1F">
        <w:rPr>
          <w:rFonts w:ascii="Calibri" w:hAnsi="Calibri" w:cs="Calibri"/>
          <w:b/>
          <w:bCs/>
          <w:sz w:val="20"/>
          <w:szCs w:val="20"/>
        </w:rPr>
        <w:t>Table 1: Submissions to the PBAC to list high</w:t>
      </w:r>
      <w:r w:rsidR="001425A2">
        <w:rPr>
          <w:rFonts w:ascii="Calibri" w:hAnsi="Calibri" w:cs="Calibri"/>
          <w:b/>
          <w:bCs/>
          <w:sz w:val="20"/>
          <w:szCs w:val="20"/>
        </w:rPr>
        <w:t xml:space="preserve"> </w:t>
      </w:r>
      <w:r w:rsidRPr="004A6F1F">
        <w:rPr>
          <w:rFonts w:ascii="Calibri" w:hAnsi="Calibri" w:cs="Calibri"/>
          <w:b/>
          <w:bCs/>
          <w:sz w:val="20"/>
          <w:szCs w:val="20"/>
        </w:rPr>
        <w:t>efficacy tier DMTs on the PBS for RRMS</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9"/>
        <w:gridCol w:w="1691"/>
        <w:gridCol w:w="1353"/>
        <w:gridCol w:w="1218"/>
        <w:gridCol w:w="3735"/>
      </w:tblGrid>
      <w:tr w:rsidR="00EB534F" w:rsidRPr="000F04A0" w14:paraId="2C313B9E" w14:textId="77777777" w:rsidTr="007E7B02">
        <w:tc>
          <w:tcPr>
            <w:tcW w:w="508" w:type="pct"/>
            <w:shd w:val="clear" w:color="auto" w:fill="D9D9D9" w:themeFill="background1" w:themeFillShade="D9"/>
            <w:tcMar>
              <w:top w:w="80" w:type="dxa"/>
              <w:left w:w="80" w:type="dxa"/>
              <w:bottom w:w="80" w:type="dxa"/>
              <w:right w:w="80" w:type="dxa"/>
            </w:tcMar>
            <w:hideMark/>
          </w:tcPr>
          <w:p w14:paraId="37D9799A" w14:textId="77777777" w:rsidR="00EB534F" w:rsidRPr="000F04A0" w:rsidRDefault="00EB534F" w:rsidP="007E7B02">
            <w:pPr>
              <w:keepNext/>
              <w:spacing w:after="0" w:line="240" w:lineRule="auto"/>
              <w:rPr>
                <w:rFonts w:ascii="Calibri" w:eastAsia="Times New Roman" w:hAnsi="Calibri" w:cs="Calibri"/>
                <w:b/>
                <w:bCs/>
                <w:sz w:val="20"/>
                <w:szCs w:val="20"/>
                <w:lang w:eastAsia="en-AU"/>
              </w:rPr>
            </w:pPr>
            <w:r w:rsidRPr="000F04A0">
              <w:rPr>
                <w:rFonts w:ascii="Calibri" w:eastAsia="Times New Roman" w:hAnsi="Calibri" w:cs="Calibri"/>
                <w:b/>
                <w:bCs/>
                <w:sz w:val="20"/>
                <w:szCs w:val="20"/>
                <w:lang w:eastAsia="en-AU"/>
              </w:rPr>
              <w:t>PBAC meeting</w:t>
            </w:r>
          </w:p>
        </w:tc>
        <w:tc>
          <w:tcPr>
            <w:tcW w:w="952" w:type="pct"/>
            <w:shd w:val="clear" w:color="auto" w:fill="D9D9D9" w:themeFill="background1" w:themeFillShade="D9"/>
            <w:tcMar>
              <w:top w:w="80" w:type="dxa"/>
              <w:left w:w="80" w:type="dxa"/>
              <w:bottom w:w="80" w:type="dxa"/>
              <w:right w:w="80" w:type="dxa"/>
            </w:tcMar>
            <w:hideMark/>
          </w:tcPr>
          <w:p w14:paraId="2D1AE69B" w14:textId="77777777" w:rsidR="00EB534F" w:rsidRPr="000F04A0" w:rsidRDefault="00EB534F" w:rsidP="007E7B02">
            <w:pPr>
              <w:keepNext/>
              <w:spacing w:after="0" w:line="240" w:lineRule="auto"/>
              <w:rPr>
                <w:rFonts w:ascii="Calibri" w:eastAsia="Times New Roman" w:hAnsi="Calibri" w:cs="Calibri"/>
                <w:b/>
                <w:bCs/>
                <w:sz w:val="20"/>
                <w:szCs w:val="20"/>
                <w:lang w:eastAsia="en-AU"/>
              </w:rPr>
            </w:pPr>
            <w:r w:rsidRPr="000F04A0">
              <w:rPr>
                <w:rFonts w:ascii="Calibri" w:eastAsia="Times New Roman" w:hAnsi="Calibri" w:cs="Calibri"/>
                <w:b/>
                <w:bCs/>
                <w:sz w:val="20"/>
                <w:szCs w:val="20"/>
                <w:lang w:eastAsia="en-AU"/>
              </w:rPr>
              <w:t>Purpose</w:t>
            </w:r>
          </w:p>
        </w:tc>
        <w:tc>
          <w:tcPr>
            <w:tcW w:w="765" w:type="pct"/>
            <w:tcBorders>
              <w:bottom w:val="single" w:sz="4" w:space="0" w:color="auto"/>
            </w:tcBorders>
            <w:shd w:val="clear" w:color="auto" w:fill="D9D9D9" w:themeFill="background1" w:themeFillShade="D9"/>
          </w:tcPr>
          <w:p w14:paraId="7C0DA418" w14:textId="77777777" w:rsidR="00EB534F" w:rsidRPr="000F04A0" w:rsidRDefault="00EB534F" w:rsidP="007E7B02">
            <w:pPr>
              <w:keepNext/>
              <w:spacing w:after="0" w:line="240" w:lineRule="auto"/>
              <w:rPr>
                <w:rFonts w:ascii="Calibri" w:eastAsia="Times New Roman" w:hAnsi="Calibri" w:cs="Calibri"/>
                <w:b/>
                <w:bCs/>
                <w:sz w:val="20"/>
                <w:szCs w:val="20"/>
                <w:lang w:eastAsia="en-AU"/>
              </w:rPr>
            </w:pPr>
            <w:r w:rsidRPr="000F04A0">
              <w:rPr>
                <w:rFonts w:ascii="Calibri" w:eastAsia="Times New Roman" w:hAnsi="Calibri" w:cs="Calibri"/>
                <w:b/>
                <w:bCs/>
                <w:sz w:val="20"/>
                <w:szCs w:val="20"/>
                <w:lang w:eastAsia="en-AU"/>
              </w:rPr>
              <w:t>Medicine/Form</w:t>
            </w:r>
          </w:p>
        </w:tc>
        <w:tc>
          <w:tcPr>
            <w:tcW w:w="690" w:type="pct"/>
            <w:shd w:val="clear" w:color="auto" w:fill="D9D9D9" w:themeFill="background1" w:themeFillShade="D9"/>
          </w:tcPr>
          <w:p w14:paraId="325D1A1D" w14:textId="77777777" w:rsidR="00EB534F" w:rsidRPr="000F04A0" w:rsidRDefault="00EB534F" w:rsidP="007E7B02">
            <w:pPr>
              <w:keepNext/>
              <w:spacing w:after="0" w:line="240" w:lineRule="auto"/>
              <w:rPr>
                <w:rFonts w:ascii="Calibri" w:eastAsia="Times New Roman" w:hAnsi="Calibri" w:cs="Calibri"/>
                <w:b/>
                <w:bCs/>
                <w:sz w:val="20"/>
                <w:szCs w:val="20"/>
                <w:lang w:eastAsia="en-AU"/>
              </w:rPr>
            </w:pPr>
            <w:r w:rsidRPr="000F04A0">
              <w:rPr>
                <w:rFonts w:ascii="Calibri" w:eastAsia="Times New Roman" w:hAnsi="Calibri" w:cs="Calibri"/>
                <w:b/>
                <w:bCs/>
                <w:sz w:val="20"/>
                <w:szCs w:val="20"/>
                <w:lang w:eastAsia="en-AU"/>
              </w:rPr>
              <w:t>Comparator</w:t>
            </w:r>
          </w:p>
        </w:tc>
        <w:tc>
          <w:tcPr>
            <w:tcW w:w="2085" w:type="pct"/>
            <w:shd w:val="clear" w:color="auto" w:fill="D9D9D9" w:themeFill="background1" w:themeFillShade="D9"/>
            <w:tcMar>
              <w:top w:w="80" w:type="dxa"/>
              <w:left w:w="80" w:type="dxa"/>
              <w:bottom w:w="80" w:type="dxa"/>
              <w:right w:w="80" w:type="dxa"/>
            </w:tcMar>
            <w:hideMark/>
          </w:tcPr>
          <w:p w14:paraId="38BFABDE" w14:textId="77777777" w:rsidR="00EB534F" w:rsidRPr="000F04A0" w:rsidRDefault="00EB534F" w:rsidP="007E7B02">
            <w:pPr>
              <w:keepNext/>
              <w:spacing w:after="0" w:line="240" w:lineRule="auto"/>
              <w:rPr>
                <w:rFonts w:ascii="Calibri" w:eastAsia="Times New Roman" w:hAnsi="Calibri" w:cs="Calibri"/>
                <w:b/>
                <w:bCs/>
                <w:sz w:val="20"/>
                <w:szCs w:val="20"/>
                <w:lang w:eastAsia="en-AU"/>
              </w:rPr>
            </w:pPr>
            <w:r w:rsidRPr="000F04A0">
              <w:rPr>
                <w:rFonts w:ascii="Calibri" w:eastAsia="Times New Roman" w:hAnsi="Calibri" w:cs="Calibri"/>
                <w:b/>
                <w:bCs/>
                <w:sz w:val="20"/>
                <w:szCs w:val="20"/>
                <w:lang w:eastAsia="en-AU"/>
              </w:rPr>
              <w:t>Outcome</w:t>
            </w:r>
          </w:p>
        </w:tc>
      </w:tr>
      <w:tr w:rsidR="00EB534F" w:rsidRPr="000F04A0" w14:paraId="1E3838CA" w14:textId="77777777" w:rsidTr="007E7B02">
        <w:trPr>
          <w:trHeight w:val="222"/>
        </w:trPr>
        <w:tc>
          <w:tcPr>
            <w:tcW w:w="508" w:type="pct"/>
            <w:tcMar>
              <w:top w:w="80" w:type="dxa"/>
              <w:left w:w="80" w:type="dxa"/>
              <w:bottom w:w="80" w:type="dxa"/>
              <w:right w:w="80" w:type="dxa"/>
            </w:tcMar>
          </w:tcPr>
          <w:p w14:paraId="77C8D950"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November 2007</w:t>
            </w:r>
          </w:p>
        </w:tc>
        <w:tc>
          <w:tcPr>
            <w:tcW w:w="952" w:type="pct"/>
            <w:tcMar>
              <w:top w:w="80" w:type="dxa"/>
              <w:left w:w="80" w:type="dxa"/>
              <w:bottom w:w="80" w:type="dxa"/>
              <w:right w:w="80" w:type="dxa"/>
            </w:tcMar>
          </w:tcPr>
          <w:p w14:paraId="6F45C5C0"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The submission sought a Section 100 (HSD) listing for initial and continuing treatment, by neurologists, of clinically definite RRMS in ambulatory patients eighteen years of age or older.</w:t>
            </w:r>
          </w:p>
        </w:tc>
        <w:tc>
          <w:tcPr>
            <w:tcW w:w="765" w:type="pct"/>
            <w:tcBorders>
              <w:bottom w:val="single" w:sz="4" w:space="0" w:color="auto"/>
            </w:tcBorders>
          </w:tcPr>
          <w:p w14:paraId="62C041F8"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Natalizumab IV 300 mg/ 15 mL</w:t>
            </w:r>
          </w:p>
        </w:tc>
        <w:tc>
          <w:tcPr>
            <w:tcW w:w="690" w:type="pct"/>
          </w:tcPr>
          <w:p w14:paraId="04AFC49A"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Interferon beta-1b.</w:t>
            </w:r>
          </w:p>
        </w:tc>
        <w:tc>
          <w:tcPr>
            <w:tcW w:w="2085" w:type="pct"/>
            <w:tcMar>
              <w:top w:w="80" w:type="dxa"/>
              <w:left w:w="80" w:type="dxa"/>
              <w:bottom w:w="80" w:type="dxa"/>
              <w:right w:w="80" w:type="dxa"/>
            </w:tcMar>
          </w:tcPr>
          <w:p w14:paraId="661604EF"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Recommended</w:t>
            </w:r>
          </w:p>
          <w:p w14:paraId="75C83F7B"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The PBAC recommended the listing of natalizumab based on interferon beta-1b as the main comparator. Noting a high but acceptable cost-effectiveness ratio compared with interferon beta-1b.</w:t>
            </w:r>
          </w:p>
        </w:tc>
      </w:tr>
      <w:tr w:rsidR="00EB534F" w:rsidRPr="000F04A0" w14:paraId="56125786" w14:textId="77777777" w:rsidTr="007E7B02">
        <w:trPr>
          <w:trHeight w:val="222"/>
        </w:trPr>
        <w:tc>
          <w:tcPr>
            <w:tcW w:w="508" w:type="pct"/>
            <w:tcMar>
              <w:top w:w="80" w:type="dxa"/>
              <w:left w:w="80" w:type="dxa"/>
              <w:bottom w:w="80" w:type="dxa"/>
              <w:right w:w="80" w:type="dxa"/>
            </w:tcMar>
          </w:tcPr>
          <w:p w14:paraId="6DE74E75"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March 2011</w:t>
            </w:r>
          </w:p>
        </w:tc>
        <w:tc>
          <w:tcPr>
            <w:tcW w:w="952" w:type="pct"/>
            <w:tcMar>
              <w:top w:w="80" w:type="dxa"/>
              <w:left w:w="80" w:type="dxa"/>
              <w:bottom w:w="80" w:type="dxa"/>
              <w:right w:w="80" w:type="dxa"/>
            </w:tcMar>
          </w:tcPr>
          <w:p w14:paraId="5DB9DDBB"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The submission sought an Authority Required listing for the initial and continuing treatment of clinically RRMS.</w:t>
            </w:r>
          </w:p>
        </w:tc>
        <w:tc>
          <w:tcPr>
            <w:tcW w:w="765" w:type="pct"/>
            <w:tcBorders>
              <w:bottom w:val="single" w:sz="4" w:space="0" w:color="auto"/>
            </w:tcBorders>
          </w:tcPr>
          <w:p w14:paraId="3E7C3942"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hAnsi="Calibri" w:cs="Calibri"/>
                <w:sz w:val="20"/>
                <w:szCs w:val="20"/>
              </w:rPr>
              <w:t>Fingolimod</w:t>
            </w:r>
          </w:p>
        </w:tc>
        <w:tc>
          <w:tcPr>
            <w:tcW w:w="690" w:type="pct"/>
          </w:tcPr>
          <w:p w14:paraId="3EAD6926"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Interferon beta-1a</w:t>
            </w:r>
          </w:p>
        </w:tc>
        <w:tc>
          <w:tcPr>
            <w:tcW w:w="2085" w:type="pct"/>
            <w:tcMar>
              <w:top w:w="80" w:type="dxa"/>
              <w:left w:w="80" w:type="dxa"/>
              <w:bottom w:w="80" w:type="dxa"/>
              <w:right w:w="80" w:type="dxa"/>
            </w:tcMar>
          </w:tcPr>
          <w:p w14:paraId="1DA7BE48"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Recommended</w:t>
            </w:r>
          </w:p>
          <w:p w14:paraId="473BA413"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At the time of the submission the PBAC deferred making a recommendation due to the base case ICER being unacceptably high to recommend listing. The sponsor therefore offered a further price reduction. The PBAC recommended an out-of-session listing fingolimod on the PBS </w:t>
            </w:r>
            <w:proofErr w:type="gramStart"/>
            <w:r w:rsidRPr="000F04A0">
              <w:rPr>
                <w:rFonts w:ascii="Calibri" w:eastAsia="Times New Roman" w:hAnsi="Calibri" w:cs="Calibri"/>
                <w:sz w:val="20"/>
                <w:szCs w:val="20"/>
                <w:lang w:eastAsia="en-AU"/>
              </w:rPr>
              <w:t>on the basis of</w:t>
            </w:r>
            <w:proofErr w:type="gramEnd"/>
            <w:r w:rsidRPr="000F04A0">
              <w:rPr>
                <w:rFonts w:ascii="Calibri" w:eastAsia="Times New Roman" w:hAnsi="Calibri" w:cs="Calibri"/>
                <w:sz w:val="20"/>
                <w:szCs w:val="20"/>
                <w:lang w:eastAsia="en-AU"/>
              </w:rPr>
              <w:t xml:space="preserve"> an acceptable cost-effectiveness ratio compared with interferon beta-1a. </w:t>
            </w:r>
          </w:p>
        </w:tc>
      </w:tr>
      <w:tr w:rsidR="00EB534F" w:rsidRPr="000F04A0" w14:paraId="07FBEBC5" w14:textId="77777777" w:rsidTr="007E7B02">
        <w:trPr>
          <w:cantSplit/>
          <w:trHeight w:val="222"/>
        </w:trPr>
        <w:tc>
          <w:tcPr>
            <w:tcW w:w="508" w:type="pct"/>
            <w:tcMar>
              <w:top w:w="80" w:type="dxa"/>
              <w:left w:w="80" w:type="dxa"/>
              <w:bottom w:w="80" w:type="dxa"/>
              <w:right w:w="80" w:type="dxa"/>
            </w:tcMar>
          </w:tcPr>
          <w:p w14:paraId="18B49BBB" w14:textId="77777777" w:rsidR="00EB534F" w:rsidRPr="000F04A0" w:rsidRDefault="00EB534F" w:rsidP="007E7B02">
            <w:pPr>
              <w:keepNext/>
              <w:keepLines/>
              <w:widowControl w:val="0"/>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July 2014</w:t>
            </w:r>
          </w:p>
        </w:tc>
        <w:tc>
          <w:tcPr>
            <w:tcW w:w="952" w:type="pct"/>
            <w:tcMar>
              <w:top w:w="80" w:type="dxa"/>
              <w:left w:w="80" w:type="dxa"/>
              <w:bottom w:w="80" w:type="dxa"/>
              <w:right w:w="80" w:type="dxa"/>
            </w:tcMar>
          </w:tcPr>
          <w:p w14:paraId="63C7058F" w14:textId="77777777" w:rsidR="00EB534F" w:rsidRPr="000F04A0" w:rsidRDefault="00EB534F" w:rsidP="007E7B02">
            <w:pPr>
              <w:keepNext/>
              <w:keepLines/>
              <w:widowControl w:val="0"/>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Authority Required listing of alemtuzumab for the treatment of RRMS.</w:t>
            </w:r>
          </w:p>
        </w:tc>
        <w:tc>
          <w:tcPr>
            <w:tcW w:w="765" w:type="pct"/>
            <w:tcBorders>
              <w:bottom w:val="single" w:sz="4" w:space="0" w:color="auto"/>
            </w:tcBorders>
          </w:tcPr>
          <w:p w14:paraId="652D3ABB" w14:textId="77777777" w:rsidR="00EB534F" w:rsidRPr="000F04A0" w:rsidRDefault="00EB534F" w:rsidP="007E7B02">
            <w:pPr>
              <w:keepNext/>
              <w:keepLines/>
              <w:widowControl w:val="0"/>
              <w:spacing w:after="0" w:line="240" w:lineRule="auto"/>
              <w:rPr>
                <w:rFonts w:ascii="Calibri" w:eastAsia="Times New Roman" w:hAnsi="Calibri" w:cs="Calibri"/>
                <w:sz w:val="20"/>
                <w:szCs w:val="20"/>
                <w:lang w:eastAsia="en-AU"/>
              </w:rPr>
            </w:pPr>
            <w:r w:rsidRPr="000F04A0">
              <w:rPr>
                <w:rFonts w:ascii="Calibri" w:hAnsi="Calibri" w:cs="Calibri"/>
                <w:sz w:val="20"/>
                <w:szCs w:val="20"/>
              </w:rPr>
              <w:t>Alemtuzumab IV 12 mg/1.2 mL</w:t>
            </w:r>
          </w:p>
        </w:tc>
        <w:tc>
          <w:tcPr>
            <w:tcW w:w="690" w:type="pct"/>
          </w:tcPr>
          <w:p w14:paraId="1332F479" w14:textId="77777777" w:rsidR="00EB534F" w:rsidRPr="000F04A0" w:rsidRDefault="00EB534F" w:rsidP="007E7B02">
            <w:pPr>
              <w:keepNext/>
              <w:keepLines/>
              <w:widowControl w:val="0"/>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Fingolimod and natalizumab.</w:t>
            </w:r>
          </w:p>
        </w:tc>
        <w:tc>
          <w:tcPr>
            <w:tcW w:w="2085" w:type="pct"/>
            <w:tcMar>
              <w:top w:w="80" w:type="dxa"/>
              <w:left w:w="80" w:type="dxa"/>
              <w:bottom w:w="80" w:type="dxa"/>
              <w:right w:w="80" w:type="dxa"/>
            </w:tcMar>
          </w:tcPr>
          <w:p w14:paraId="24D985F3" w14:textId="77777777" w:rsidR="00EB534F" w:rsidRPr="000F04A0" w:rsidRDefault="00EB534F" w:rsidP="007E7B02">
            <w:pPr>
              <w:keepNext/>
              <w:keepLines/>
              <w:widowControl w:val="0"/>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Recommended</w:t>
            </w:r>
          </w:p>
          <w:p w14:paraId="47F47366" w14:textId="77777777" w:rsidR="00EB534F" w:rsidRPr="000F04A0" w:rsidRDefault="00EB534F" w:rsidP="007E7B02">
            <w:pPr>
              <w:keepNext/>
              <w:keepLines/>
              <w:widowControl w:val="0"/>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The PBAC recommended the Authority Required Section 100 (HSD program) listing of alemtuzumab for the treatment of RRMS, </w:t>
            </w:r>
            <w:proofErr w:type="gramStart"/>
            <w:r w:rsidRPr="000F04A0">
              <w:rPr>
                <w:rFonts w:ascii="Calibri" w:eastAsia="Times New Roman" w:hAnsi="Calibri" w:cs="Calibri"/>
                <w:sz w:val="20"/>
                <w:szCs w:val="20"/>
                <w:lang w:eastAsia="en-AU"/>
              </w:rPr>
              <w:t>on the basis of</w:t>
            </w:r>
            <w:proofErr w:type="gramEnd"/>
            <w:r w:rsidRPr="000F04A0">
              <w:rPr>
                <w:rFonts w:ascii="Calibri" w:eastAsia="Times New Roman" w:hAnsi="Calibri" w:cs="Calibri"/>
                <w:sz w:val="20"/>
                <w:szCs w:val="20"/>
                <w:lang w:eastAsia="en-AU"/>
              </w:rPr>
              <w:t xml:space="preserve"> non-inferior </w:t>
            </w:r>
            <w:r w:rsidRPr="000F04A0">
              <w:rPr>
                <w:rFonts w:ascii="Calibri" w:eastAsia="Times New Roman" w:hAnsi="Calibri" w:cs="Calibri"/>
                <w:sz w:val="20"/>
                <w:szCs w:val="20"/>
                <w:lang w:eastAsia="en-AU"/>
              </w:rPr>
              <w:lastRenderedPageBreak/>
              <w:t>effectiveness and a different safety profile to fingolimod and natalizumab.</w:t>
            </w:r>
          </w:p>
        </w:tc>
      </w:tr>
      <w:tr w:rsidR="00EB534F" w:rsidRPr="000F04A0" w14:paraId="799A4D28" w14:textId="77777777" w:rsidTr="007E7B02">
        <w:trPr>
          <w:trHeight w:val="222"/>
        </w:trPr>
        <w:tc>
          <w:tcPr>
            <w:tcW w:w="508" w:type="pct"/>
            <w:tcMar>
              <w:top w:w="80" w:type="dxa"/>
              <w:left w:w="80" w:type="dxa"/>
              <w:bottom w:w="80" w:type="dxa"/>
              <w:right w:w="80" w:type="dxa"/>
            </w:tcMar>
          </w:tcPr>
          <w:p w14:paraId="6690A4A1"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lastRenderedPageBreak/>
              <w:t xml:space="preserve">July 2017 </w:t>
            </w:r>
          </w:p>
        </w:tc>
        <w:tc>
          <w:tcPr>
            <w:tcW w:w="952" w:type="pct"/>
            <w:tcMar>
              <w:top w:w="80" w:type="dxa"/>
              <w:left w:w="80" w:type="dxa"/>
              <w:bottom w:w="80" w:type="dxa"/>
              <w:right w:w="80" w:type="dxa"/>
            </w:tcMar>
          </w:tcPr>
          <w:p w14:paraId="560899F1" w14:textId="77777777" w:rsidR="00EB534F" w:rsidRPr="000F04A0" w:rsidRDefault="00EB534F" w:rsidP="007E7B02">
            <w:pPr>
              <w:keepNext/>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The submission requested a Section 100 (Highly Specialised Drugs Program) PBS </w:t>
            </w:r>
          </w:p>
          <w:p w14:paraId="23068A25"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listing for ocrelizumab for the treatment of RRMS.</w:t>
            </w:r>
          </w:p>
        </w:tc>
        <w:tc>
          <w:tcPr>
            <w:tcW w:w="765" w:type="pct"/>
            <w:tcBorders>
              <w:bottom w:val="single" w:sz="4" w:space="0" w:color="auto"/>
            </w:tcBorders>
          </w:tcPr>
          <w:p w14:paraId="4CEE6DE1"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Ocrelizumab IV </w:t>
            </w:r>
            <w:r w:rsidRPr="000F04A0">
              <w:rPr>
                <w:rFonts w:ascii="Calibri" w:hAnsi="Calibri" w:cs="Calibri"/>
                <w:sz w:val="20"/>
                <w:szCs w:val="20"/>
              </w:rPr>
              <w:t>300 mg/10 mL</w:t>
            </w:r>
          </w:p>
        </w:tc>
        <w:tc>
          <w:tcPr>
            <w:tcW w:w="690" w:type="pct"/>
          </w:tcPr>
          <w:p w14:paraId="71FA32AB"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Fingolimod</w:t>
            </w:r>
          </w:p>
        </w:tc>
        <w:tc>
          <w:tcPr>
            <w:tcW w:w="2085" w:type="pct"/>
            <w:tcMar>
              <w:top w:w="80" w:type="dxa"/>
              <w:left w:w="80" w:type="dxa"/>
              <w:bottom w:w="80" w:type="dxa"/>
              <w:right w:w="80" w:type="dxa"/>
            </w:tcMar>
          </w:tcPr>
          <w:p w14:paraId="2676B379" w14:textId="77777777" w:rsidR="00EB534F" w:rsidRPr="000F04A0" w:rsidRDefault="00EB534F" w:rsidP="007E7B02">
            <w:pPr>
              <w:keepNext/>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Recommended</w:t>
            </w:r>
          </w:p>
          <w:p w14:paraId="32CFEB6B" w14:textId="77777777" w:rsidR="00EB534F" w:rsidRPr="000F04A0" w:rsidRDefault="00EB534F" w:rsidP="007E7B02">
            <w:pPr>
              <w:keepNext/>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The PBAC recommended the listing of ocrelizumab for the treatment of RRMS on a cost-minimisation basis with fingolimod. The PBAC considered that ocrelizumab was non-inferior to fingolimod.</w:t>
            </w:r>
          </w:p>
          <w:p w14:paraId="6D874621" w14:textId="77777777" w:rsidR="00EB534F" w:rsidRPr="000F04A0" w:rsidRDefault="00EB534F" w:rsidP="007E7B02">
            <w:pPr>
              <w:spacing w:after="0" w:line="240" w:lineRule="auto"/>
              <w:rPr>
                <w:rFonts w:ascii="Calibri" w:eastAsia="Times New Roman" w:hAnsi="Calibri" w:cs="Calibri"/>
                <w:sz w:val="20"/>
                <w:szCs w:val="20"/>
                <w:lang w:eastAsia="en-AU"/>
              </w:rPr>
            </w:pPr>
          </w:p>
        </w:tc>
      </w:tr>
      <w:tr w:rsidR="00EB534F" w:rsidRPr="000F04A0" w14:paraId="234C07AC" w14:textId="77777777" w:rsidTr="007E7B02">
        <w:trPr>
          <w:trHeight w:val="222"/>
        </w:trPr>
        <w:tc>
          <w:tcPr>
            <w:tcW w:w="508" w:type="pct"/>
            <w:tcMar>
              <w:top w:w="80" w:type="dxa"/>
              <w:left w:w="80" w:type="dxa"/>
              <w:bottom w:w="80" w:type="dxa"/>
              <w:right w:w="80" w:type="dxa"/>
            </w:tcMar>
          </w:tcPr>
          <w:p w14:paraId="2F8EEA66"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July 2018</w:t>
            </w:r>
          </w:p>
        </w:tc>
        <w:tc>
          <w:tcPr>
            <w:tcW w:w="952" w:type="pct"/>
            <w:tcMar>
              <w:top w:w="80" w:type="dxa"/>
              <w:left w:w="80" w:type="dxa"/>
              <w:bottom w:w="80" w:type="dxa"/>
              <w:right w:w="80" w:type="dxa"/>
            </w:tcMar>
          </w:tcPr>
          <w:p w14:paraId="18C31011"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The resubmission requested a general schedule listing for cladribine tablets </w:t>
            </w:r>
          </w:p>
          <w:p w14:paraId="0E4C1AD2"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for the treatment of patients with RRMS.</w:t>
            </w:r>
          </w:p>
        </w:tc>
        <w:tc>
          <w:tcPr>
            <w:tcW w:w="765" w:type="pct"/>
            <w:tcBorders>
              <w:bottom w:val="single" w:sz="4" w:space="0" w:color="auto"/>
            </w:tcBorders>
          </w:tcPr>
          <w:p w14:paraId="18AD9813"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hAnsi="Calibri" w:cs="Calibri"/>
                <w:sz w:val="20"/>
                <w:szCs w:val="20"/>
              </w:rPr>
              <w:t xml:space="preserve">Cladribine Oral 10 mg </w:t>
            </w:r>
          </w:p>
        </w:tc>
        <w:tc>
          <w:tcPr>
            <w:tcW w:w="690" w:type="pct"/>
          </w:tcPr>
          <w:p w14:paraId="56AFC3B4"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Fingolimod* </w:t>
            </w:r>
          </w:p>
        </w:tc>
        <w:tc>
          <w:tcPr>
            <w:tcW w:w="2085" w:type="pct"/>
            <w:tcMar>
              <w:top w:w="80" w:type="dxa"/>
              <w:left w:w="80" w:type="dxa"/>
              <w:bottom w:w="80" w:type="dxa"/>
              <w:right w:w="80" w:type="dxa"/>
            </w:tcMar>
          </w:tcPr>
          <w:p w14:paraId="2FF3B013"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Recommended</w:t>
            </w:r>
          </w:p>
          <w:p w14:paraId="32B6A105"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The PBAC’s recommendation for listing was based on, amongst other matters, its assessment than the cost-effectiveness of cladribine would be acceptable if it were cost minimised against fingolimod based on a claim that two years of cladribine treatment is non-inferior in efficacy to two years’ of fingolimod treatment.</w:t>
            </w:r>
          </w:p>
        </w:tc>
      </w:tr>
      <w:tr w:rsidR="00EB534F" w:rsidRPr="000F04A0" w14:paraId="79DD1CDD" w14:textId="77777777" w:rsidTr="007E7B02">
        <w:trPr>
          <w:trHeight w:val="222"/>
        </w:trPr>
        <w:tc>
          <w:tcPr>
            <w:tcW w:w="508" w:type="pct"/>
            <w:tcMar>
              <w:top w:w="80" w:type="dxa"/>
              <w:left w:w="80" w:type="dxa"/>
              <w:bottom w:w="80" w:type="dxa"/>
              <w:right w:w="80" w:type="dxa"/>
            </w:tcMar>
          </w:tcPr>
          <w:p w14:paraId="36CF1692"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March 2020</w:t>
            </w:r>
          </w:p>
        </w:tc>
        <w:tc>
          <w:tcPr>
            <w:tcW w:w="952" w:type="pct"/>
            <w:tcMar>
              <w:top w:w="80" w:type="dxa"/>
              <w:left w:w="80" w:type="dxa"/>
              <w:bottom w:w="80" w:type="dxa"/>
              <w:right w:w="80" w:type="dxa"/>
            </w:tcMar>
          </w:tcPr>
          <w:p w14:paraId="41A1A4A6"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The submission requested an Authority Required listing for ozanimod for the </w:t>
            </w:r>
          </w:p>
          <w:p w14:paraId="71364453"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treatment of clinically definite RRMS.</w:t>
            </w:r>
          </w:p>
        </w:tc>
        <w:tc>
          <w:tcPr>
            <w:tcW w:w="765" w:type="pct"/>
            <w:tcBorders>
              <w:bottom w:val="single" w:sz="4" w:space="0" w:color="auto"/>
            </w:tcBorders>
          </w:tcPr>
          <w:p w14:paraId="49E8240E" w14:textId="77777777" w:rsidR="00EB534F" w:rsidRPr="000F04A0" w:rsidRDefault="00EB534F" w:rsidP="007E7B02">
            <w:pPr>
              <w:spacing w:after="0" w:line="240" w:lineRule="auto"/>
              <w:rPr>
                <w:rFonts w:ascii="Calibri" w:hAnsi="Calibri" w:cs="Calibri"/>
                <w:sz w:val="20"/>
                <w:szCs w:val="20"/>
              </w:rPr>
            </w:pPr>
            <w:r w:rsidRPr="000F04A0">
              <w:rPr>
                <w:rFonts w:ascii="Calibri" w:hAnsi="Calibri" w:cs="Calibri"/>
                <w:sz w:val="20"/>
                <w:szCs w:val="20"/>
              </w:rPr>
              <w:t>Ozanimod Oral 920 mcg,230 mcg and 460 mcg</w:t>
            </w:r>
          </w:p>
        </w:tc>
        <w:tc>
          <w:tcPr>
            <w:tcW w:w="690" w:type="pct"/>
          </w:tcPr>
          <w:p w14:paraId="69BC0952"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Fingolimod</w:t>
            </w:r>
          </w:p>
        </w:tc>
        <w:tc>
          <w:tcPr>
            <w:tcW w:w="2085" w:type="pct"/>
            <w:tcMar>
              <w:top w:w="80" w:type="dxa"/>
              <w:left w:w="80" w:type="dxa"/>
              <w:bottom w:w="80" w:type="dxa"/>
              <w:right w:w="80" w:type="dxa"/>
            </w:tcMar>
          </w:tcPr>
          <w:p w14:paraId="6DBE7FA1"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Recommended</w:t>
            </w:r>
          </w:p>
          <w:p w14:paraId="40333275"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The PBAC recommended, out of session, the General Schedule, Authority Required </w:t>
            </w:r>
          </w:p>
          <w:p w14:paraId="07238CCC"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(STREAMLINED) listing of ozanimod for the treatment of RRMS on a cost minimisation basis with fingolimod.</w:t>
            </w:r>
          </w:p>
        </w:tc>
      </w:tr>
      <w:tr w:rsidR="00EB534F" w:rsidRPr="000F04A0" w14:paraId="398E45B4" w14:textId="77777777" w:rsidTr="007E7B02">
        <w:trPr>
          <w:trHeight w:val="222"/>
        </w:trPr>
        <w:tc>
          <w:tcPr>
            <w:tcW w:w="508" w:type="pct"/>
            <w:tcMar>
              <w:top w:w="80" w:type="dxa"/>
              <w:left w:w="80" w:type="dxa"/>
              <w:bottom w:w="80" w:type="dxa"/>
              <w:right w:w="80" w:type="dxa"/>
            </w:tcMar>
          </w:tcPr>
          <w:p w14:paraId="32A93150"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July 2020</w:t>
            </w:r>
          </w:p>
        </w:tc>
        <w:tc>
          <w:tcPr>
            <w:tcW w:w="952" w:type="pct"/>
            <w:tcMar>
              <w:top w:w="80" w:type="dxa"/>
              <w:left w:w="80" w:type="dxa"/>
              <w:bottom w:w="80" w:type="dxa"/>
              <w:right w:w="80" w:type="dxa"/>
            </w:tcMar>
          </w:tcPr>
          <w:p w14:paraId="1FD59A9D"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The resubmission requested a General Schedule, Authority Required (STREAMLINED) </w:t>
            </w:r>
          </w:p>
          <w:p w14:paraId="609936A0"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listing for </w:t>
            </w:r>
            <w:proofErr w:type="spellStart"/>
            <w:r w:rsidRPr="000F04A0">
              <w:rPr>
                <w:rFonts w:ascii="Calibri" w:eastAsia="Times New Roman" w:hAnsi="Calibri" w:cs="Calibri"/>
                <w:sz w:val="20"/>
                <w:szCs w:val="20"/>
                <w:lang w:eastAsia="en-AU"/>
              </w:rPr>
              <w:t>siponimod</w:t>
            </w:r>
            <w:proofErr w:type="spellEnd"/>
            <w:r w:rsidRPr="000F04A0">
              <w:rPr>
                <w:rFonts w:ascii="Calibri" w:eastAsia="Times New Roman" w:hAnsi="Calibri" w:cs="Calibri"/>
                <w:sz w:val="20"/>
                <w:szCs w:val="20"/>
                <w:lang w:eastAsia="en-AU"/>
              </w:rPr>
              <w:t xml:space="preserve"> for the treatment of relapse-onset phenotypes of MS.</w:t>
            </w:r>
          </w:p>
          <w:p w14:paraId="70D17DCD" w14:textId="77777777" w:rsidR="00EB534F" w:rsidRPr="000F04A0" w:rsidRDefault="00EB534F" w:rsidP="007E7B02">
            <w:pPr>
              <w:spacing w:after="0" w:line="240" w:lineRule="auto"/>
              <w:rPr>
                <w:rFonts w:ascii="Calibri" w:eastAsia="Times New Roman" w:hAnsi="Calibri" w:cs="Calibri"/>
                <w:sz w:val="20"/>
                <w:szCs w:val="20"/>
                <w:lang w:eastAsia="en-AU"/>
              </w:rPr>
            </w:pPr>
          </w:p>
        </w:tc>
        <w:tc>
          <w:tcPr>
            <w:tcW w:w="765" w:type="pct"/>
            <w:tcBorders>
              <w:bottom w:val="single" w:sz="4" w:space="0" w:color="auto"/>
            </w:tcBorders>
          </w:tcPr>
          <w:p w14:paraId="2FD40DF8"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hAnsi="Calibri" w:cs="Calibri"/>
                <w:sz w:val="20"/>
                <w:szCs w:val="20"/>
              </w:rPr>
              <w:t>Siponimod Oral 2mg</w:t>
            </w:r>
          </w:p>
        </w:tc>
        <w:tc>
          <w:tcPr>
            <w:tcW w:w="690" w:type="pct"/>
          </w:tcPr>
          <w:p w14:paraId="7528BD87"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Fingolimod</w:t>
            </w:r>
          </w:p>
        </w:tc>
        <w:tc>
          <w:tcPr>
            <w:tcW w:w="2085" w:type="pct"/>
            <w:tcMar>
              <w:top w:w="80" w:type="dxa"/>
              <w:left w:w="80" w:type="dxa"/>
              <w:bottom w:w="80" w:type="dxa"/>
              <w:right w:w="80" w:type="dxa"/>
            </w:tcMar>
          </w:tcPr>
          <w:p w14:paraId="36FBED76"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Recommended</w:t>
            </w:r>
          </w:p>
          <w:p w14:paraId="79D1A6CC"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The PBAC considered fingolimod (as a point of reference for other DMTs, noting that cladribine, ocrelizumab and alemtuzumab were all listed </w:t>
            </w:r>
            <w:proofErr w:type="gramStart"/>
            <w:r w:rsidRPr="000F04A0">
              <w:rPr>
                <w:rFonts w:ascii="Calibri" w:eastAsia="Times New Roman" w:hAnsi="Calibri" w:cs="Calibri"/>
                <w:sz w:val="20"/>
                <w:szCs w:val="20"/>
                <w:lang w:eastAsia="en-AU"/>
              </w:rPr>
              <w:t>on the basis of</w:t>
            </w:r>
            <w:proofErr w:type="gramEnd"/>
            <w:r w:rsidRPr="000F04A0">
              <w:rPr>
                <w:rFonts w:ascii="Calibri" w:eastAsia="Times New Roman" w:hAnsi="Calibri" w:cs="Calibri"/>
                <w:sz w:val="20"/>
                <w:szCs w:val="20"/>
                <w:lang w:eastAsia="en-AU"/>
              </w:rPr>
              <w:t xml:space="preserve"> similar efficacy and safety compared to fingolimod) was a reasonable comparator. The recommendation was made on a cost minimisation basis versus fingolimod in the </w:t>
            </w:r>
          </w:p>
          <w:p w14:paraId="7AF8E5A1" w14:textId="77777777" w:rsidR="00EB534F" w:rsidRPr="000F04A0" w:rsidRDefault="00EB534F" w:rsidP="007E7B02">
            <w:pPr>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group of patients who would otherwise be treated with fingolimod. The requested listing would permit use in patients with RRMS or secondary progressive MS. </w:t>
            </w:r>
          </w:p>
        </w:tc>
      </w:tr>
      <w:tr w:rsidR="00EB534F" w:rsidRPr="000F04A0" w14:paraId="409B2C62" w14:textId="77777777" w:rsidTr="007E7B02">
        <w:trPr>
          <w:trHeight w:val="2513"/>
        </w:trPr>
        <w:tc>
          <w:tcPr>
            <w:tcW w:w="508" w:type="pct"/>
            <w:tcMar>
              <w:top w:w="80" w:type="dxa"/>
              <w:left w:w="80" w:type="dxa"/>
              <w:bottom w:w="80" w:type="dxa"/>
              <w:right w:w="80" w:type="dxa"/>
            </w:tcMar>
            <w:hideMark/>
          </w:tcPr>
          <w:p w14:paraId="2214D9BE" w14:textId="77777777" w:rsidR="00EB534F" w:rsidRPr="000F04A0" w:rsidRDefault="00EB534F" w:rsidP="007E7B02">
            <w:pPr>
              <w:keepNext/>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lastRenderedPageBreak/>
              <w:t xml:space="preserve">March 2024 </w:t>
            </w:r>
          </w:p>
        </w:tc>
        <w:tc>
          <w:tcPr>
            <w:tcW w:w="952" w:type="pct"/>
            <w:tcMar>
              <w:top w:w="80" w:type="dxa"/>
              <w:left w:w="80" w:type="dxa"/>
              <w:bottom w:w="80" w:type="dxa"/>
              <w:right w:w="80" w:type="dxa"/>
            </w:tcMar>
            <w:hideMark/>
          </w:tcPr>
          <w:p w14:paraId="14F20F37" w14:textId="77777777" w:rsidR="00EB534F" w:rsidRPr="000F04A0" w:rsidRDefault="00EB534F" w:rsidP="007E7B02">
            <w:pPr>
              <w:keepNext/>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The submission requested separating the current higher efficacy DMT tier into two distinct efficacy tiers.</w:t>
            </w:r>
          </w:p>
        </w:tc>
        <w:tc>
          <w:tcPr>
            <w:tcW w:w="765" w:type="pct"/>
            <w:tcBorders>
              <w:bottom w:val="single" w:sz="4" w:space="0" w:color="auto"/>
            </w:tcBorders>
          </w:tcPr>
          <w:p w14:paraId="253E6582" w14:textId="77777777" w:rsidR="00EB534F" w:rsidRPr="000F04A0" w:rsidRDefault="00EB534F" w:rsidP="007E7B02">
            <w:pPr>
              <w:keepNext/>
              <w:spacing w:after="0" w:line="240" w:lineRule="auto"/>
              <w:rPr>
                <w:rFonts w:ascii="Calibri" w:eastAsia="Times New Roman" w:hAnsi="Calibri" w:cs="Calibri"/>
                <w:sz w:val="20"/>
                <w:szCs w:val="20"/>
                <w:lang w:eastAsia="en-AU"/>
              </w:rPr>
            </w:pPr>
            <w:r w:rsidRPr="000F04A0">
              <w:rPr>
                <w:rFonts w:ascii="Calibri" w:hAnsi="Calibri" w:cs="Calibri"/>
                <w:sz w:val="20"/>
                <w:szCs w:val="20"/>
              </w:rPr>
              <w:t>Ofatumumab</w:t>
            </w:r>
            <w:r w:rsidRPr="000F04A0">
              <w:rPr>
                <w:rFonts w:ascii="Calibri" w:eastAsia="Times New Roman" w:hAnsi="Calibri" w:cs="Calibri"/>
                <w:sz w:val="20"/>
                <w:szCs w:val="20"/>
                <w:lang w:eastAsia="en-AU"/>
              </w:rPr>
              <w:t xml:space="preserve"> </w:t>
            </w:r>
            <w:r w:rsidRPr="000F04A0">
              <w:rPr>
                <w:rFonts w:ascii="Calibri" w:hAnsi="Calibri" w:cs="Calibri"/>
                <w:sz w:val="20"/>
                <w:szCs w:val="20"/>
              </w:rPr>
              <w:t>IV 20 mg/0.4 mL</w:t>
            </w:r>
            <w:r w:rsidRPr="000F04A0">
              <w:rPr>
                <w:rFonts w:ascii="Calibri" w:eastAsia="Times New Roman" w:hAnsi="Calibri" w:cs="Calibri"/>
                <w:sz w:val="20"/>
                <w:szCs w:val="20"/>
                <w:lang w:eastAsia="en-AU"/>
              </w:rPr>
              <w:t xml:space="preserve"> </w:t>
            </w:r>
          </w:p>
        </w:tc>
        <w:tc>
          <w:tcPr>
            <w:tcW w:w="690" w:type="pct"/>
          </w:tcPr>
          <w:p w14:paraId="65C8EC5D" w14:textId="77777777" w:rsidR="00EB534F" w:rsidRPr="000F04A0" w:rsidRDefault="00EB534F" w:rsidP="007E7B02">
            <w:pPr>
              <w:keepNext/>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Fingolimod</w:t>
            </w:r>
          </w:p>
        </w:tc>
        <w:tc>
          <w:tcPr>
            <w:tcW w:w="2085" w:type="pct"/>
            <w:tcMar>
              <w:top w:w="80" w:type="dxa"/>
              <w:left w:w="80" w:type="dxa"/>
              <w:bottom w:w="80" w:type="dxa"/>
              <w:right w:w="80" w:type="dxa"/>
            </w:tcMar>
            <w:hideMark/>
          </w:tcPr>
          <w:p w14:paraId="68209834" w14:textId="77777777" w:rsidR="00EB534F" w:rsidRPr="000F04A0" w:rsidRDefault="00EB534F" w:rsidP="007E7B02">
            <w:pPr>
              <w:keepNext/>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Not recommended</w:t>
            </w:r>
          </w:p>
          <w:p w14:paraId="457BFCB9" w14:textId="77777777" w:rsidR="00EB534F" w:rsidRPr="000F04A0" w:rsidRDefault="00EB534F" w:rsidP="007E7B02">
            <w:pPr>
              <w:keepNext/>
              <w:spacing w:after="0" w:line="240" w:lineRule="auto"/>
              <w:rPr>
                <w:rFonts w:ascii="Calibri" w:eastAsia="Times New Roman" w:hAnsi="Calibri" w:cs="Calibri"/>
                <w:sz w:val="20"/>
                <w:szCs w:val="20"/>
                <w:lang w:eastAsia="en-AU"/>
              </w:rPr>
            </w:pPr>
            <w:r w:rsidRPr="000F04A0">
              <w:rPr>
                <w:rFonts w:ascii="Calibri" w:eastAsia="Times New Roman" w:hAnsi="Calibri" w:cs="Calibri"/>
                <w:sz w:val="20"/>
                <w:szCs w:val="20"/>
                <w:lang w:eastAsia="en-AU"/>
              </w:rPr>
              <w:t xml:space="preserve">Overall, the PBAC considered that the claim that ofatumumab is superior to fingolimod in terms of clinical effectiveness was not adequately supported by the data. The PBAC recalled that ofatumumab was recommended (in March 2021) for listing </w:t>
            </w:r>
            <w:proofErr w:type="gramStart"/>
            <w:r w:rsidRPr="000F04A0">
              <w:rPr>
                <w:rFonts w:ascii="Calibri" w:eastAsia="Times New Roman" w:hAnsi="Calibri" w:cs="Calibri"/>
                <w:sz w:val="20"/>
                <w:szCs w:val="20"/>
                <w:lang w:eastAsia="en-AU"/>
              </w:rPr>
              <w:t>on the basis of</w:t>
            </w:r>
            <w:proofErr w:type="gramEnd"/>
            <w:r w:rsidRPr="000F04A0">
              <w:rPr>
                <w:rFonts w:ascii="Calibri" w:eastAsia="Times New Roman" w:hAnsi="Calibri" w:cs="Calibri"/>
                <w:sz w:val="20"/>
                <w:szCs w:val="20"/>
                <w:lang w:eastAsia="en-AU"/>
              </w:rPr>
              <w:t xml:space="preserve"> non-inferiority versus fingolimod and considered that the additional analyses presented in the submission were not sufficient to support a change to this previous conclusion.</w:t>
            </w:r>
          </w:p>
        </w:tc>
      </w:tr>
    </w:tbl>
    <w:p w14:paraId="1C028A04" w14:textId="77777777" w:rsidR="00EB534F" w:rsidRPr="000F04A0" w:rsidRDefault="00EB534F" w:rsidP="00EB534F">
      <w:pPr>
        <w:spacing w:after="0" w:line="240" w:lineRule="auto"/>
        <w:jc w:val="both"/>
        <w:rPr>
          <w:rFonts w:ascii="Calibri" w:hAnsi="Calibri" w:cs="Calibri"/>
          <w:sz w:val="20"/>
          <w:szCs w:val="20"/>
        </w:rPr>
      </w:pPr>
      <w:r w:rsidRPr="000F04A0">
        <w:rPr>
          <w:rFonts w:ascii="Calibri" w:hAnsi="Calibri" w:cs="Calibri"/>
          <w:sz w:val="20"/>
          <w:szCs w:val="20"/>
        </w:rPr>
        <w:t xml:space="preserve">Abbreviations: HSD = </w:t>
      </w:r>
      <w:r w:rsidRPr="000F04A0">
        <w:rPr>
          <w:rFonts w:ascii="Calibri" w:eastAsia="Times New Roman" w:hAnsi="Calibri" w:cs="Calibri"/>
          <w:sz w:val="20"/>
          <w:szCs w:val="20"/>
          <w:lang w:eastAsia="en-AU"/>
        </w:rPr>
        <w:t>Highly Specialised Drug</w:t>
      </w:r>
      <w:r w:rsidRPr="000F04A0">
        <w:rPr>
          <w:rFonts w:ascii="Calibri" w:hAnsi="Calibri" w:cs="Calibri"/>
          <w:sz w:val="20"/>
          <w:szCs w:val="20"/>
        </w:rPr>
        <w:t>; ICER = incremental cost-effectiveness ratio; MS = multiple sclerosis; PBAC = Pharmaceutical Benefits Advisory Committee; PBS = Pharmaceutical Benefits Scheme; RRMS = relapsing-remitting multiple sclerosis.</w:t>
      </w:r>
    </w:p>
    <w:p w14:paraId="287569D6" w14:textId="77777777" w:rsidR="00EB534F" w:rsidRPr="000F04A0" w:rsidRDefault="00EB534F" w:rsidP="00EB534F">
      <w:pPr>
        <w:spacing w:line="240" w:lineRule="auto"/>
        <w:jc w:val="both"/>
        <w:rPr>
          <w:rFonts w:ascii="Calibri" w:hAnsi="Calibri" w:cs="Calibri"/>
          <w:sz w:val="20"/>
          <w:szCs w:val="20"/>
        </w:rPr>
      </w:pPr>
      <w:r w:rsidRPr="000F04A0">
        <w:rPr>
          <w:rFonts w:ascii="Calibri" w:hAnsi="Calibri" w:cs="Calibri"/>
          <w:sz w:val="20"/>
          <w:szCs w:val="20"/>
        </w:rPr>
        <w:t>* The PBAC accepted fingolimod as the appropriate main comparator, however, considered that cladribine may replace or displace all PBS listed RRMS treatments to some extent due to oral administration.</w:t>
      </w:r>
    </w:p>
    <w:p w14:paraId="3B69FAED" w14:textId="77777777" w:rsidR="00EB534F" w:rsidRPr="000F04A0" w:rsidRDefault="00EB534F" w:rsidP="004A6F1F">
      <w:pPr>
        <w:pStyle w:val="Heading1"/>
      </w:pPr>
      <w:proofErr w:type="gramStart"/>
      <w:r w:rsidRPr="000F04A0">
        <w:t>Current status</w:t>
      </w:r>
      <w:proofErr w:type="gramEnd"/>
    </w:p>
    <w:p w14:paraId="6BCC3B2C" w14:textId="77777777" w:rsidR="00EB534F" w:rsidRPr="000F04A0" w:rsidRDefault="00EB534F" w:rsidP="004A6F1F">
      <w:pPr>
        <w:pStyle w:val="Heading2"/>
      </w:pPr>
      <w:r w:rsidRPr="000F04A0">
        <w:t>Comparator</w:t>
      </w:r>
    </w:p>
    <w:p w14:paraId="15070877" w14:textId="58AA5D7E"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Fingolimod has been used as a comparator to many PBS-listed high-efficacy DMTs because fingolimod is used in the same subset of the PBS population and was considered to have non</w:t>
      </w:r>
      <w:r w:rsidR="00421984" w:rsidRPr="000F04A0">
        <w:rPr>
          <w:rFonts w:ascii="Calibri" w:eastAsia="Times New Roman" w:hAnsi="Calibri" w:cs="Calibri"/>
          <w:snapToGrid w:val="0"/>
          <w:sz w:val="24"/>
          <w:szCs w:val="24"/>
        </w:rPr>
        <w:noBreakHyphen/>
      </w:r>
      <w:r w:rsidRPr="000F04A0">
        <w:rPr>
          <w:rFonts w:ascii="Calibri" w:eastAsia="Times New Roman" w:hAnsi="Calibri" w:cs="Calibri"/>
          <w:snapToGrid w:val="0"/>
          <w:sz w:val="24"/>
          <w:szCs w:val="24"/>
        </w:rPr>
        <w:t xml:space="preserve">inferior comparative effectiveness. </w:t>
      </w:r>
    </w:p>
    <w:p w14:paraId="49DC6BE9" w14:textId="77777777" w:rsidR="00EB534F" w:rsidRPr="000F04A0" w:rsidRDefault="00EB534F" w:rsidP="004A6F1F">
      <w:pPr>
        <w:pStyle w:val="Heading2"/>
      </w:pPr>
      <w:r w:rsidRPr="000F04A0">
        <w:t xml:space="preserve">Registration status of fingolimod </w:t>
      </w:r>
    </w:p>
    <w:p w14:paraId="2824A9B4" w14:textId="1AD1A236"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Fingolimod was the first Therapeutic Goods Administration (TGA)-approved oral drug, for the treatment of RRMS. It was shown to be highly effective in reducing the relapse rate of MS. On 1 February 2011, fingolimod 500 microgram capsules were registered by the TGA for “the treatment of relapsing remitting multiple sclerosis and secondary progressive multiple sclerosis with superimposed relapses to delay the progression of physical disability and reduce the frequency of relapse”. In April 2019, this indication was extended to explicitly include both adult and paediatric patients. On 12 April 2019, fingolimod 250 microgram capsules were registered by the TGA for “the treatment of adult and paediatric patients of 10</w:t>
      </w:r>
      <w:r w:rsidR="00421984" w:rsidRPr="000F04A0">
        <w:rPr>
          <w:rFonts w:ascii="Calibri" w:eastAsia="Times New Roman" w:hAnsi="Calibri" w:cs="Calibri"/>
          <w:snapToGrid w:val="0"/>
          <w:sz w:val="24"/>
          <w:szCs w:val="24"/>
        </w:rPr>
        <w:t> </w:t>
      </w:r>
      <w:r w:rsidRPr="000F04A0">
        <w:rPr>
          <w:rFonts w:ascii="Calibri" w:eastAsia="Times New Roman" w:hAnsi="Calibri" w:cs="Calibri"/>
          <w:snapToGrid w:val="0"/>
          <w:sz w:val="24"/>
          <w:szCs w:val="24"/>
        </w:rPr>
        <w:t xml:space="preserve">years of age and above with relapsing forms of MS to reduce the frequency of relapses and to delay the progression of disability.” </w:t>
      </w:r>
    </w:p>
    <w:p w14:paraId="218F32FD" w14:textId="77777777" w:rsidR="00EB534F" w:rsidRPr="000F04A0" w:rsidRDefault="00EB534F" w:rsidP="004A6F1F">
      <w:pPr>
        <w:pStyle w:val="Heading2"/>
      </w:pPr>
      <w:r w:rsidRPr="000F04A0">
        <w:t xml:space="preserve">PBS listing of fingolimod </w:t>
      </w:r>
    </w:p>
    <w:p w14:paraId="0DA3CA29" w14:textId="13E8EAB1" w:rsidR="000618A1"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The PBS restrictions for fingolimod </w:t>
      </w:r>
      <w:r w:rsidR="001A369A" w:rsidRPr="000F04A0">
        <w:rPr>
          <w:rFonts w:ascii="Calibri" w:eastAsia="Times New Roman" w:hAnsi="Calibri" w:cs="Calibri"/>
          <w:snapToGrid w:val="0"/>
          <w:sz w:val="24"/>
          <w:szCs w:val="24"/>
        </w:rPr>
        <w:t xml:space="preserve">as of May 2025 </w:t>
      </w:r>
      <w:r w:rsidRPr="000F04A0">
        <w:rPr>
          <w:rFonts w:ascii="Calibri" w:eastAsia="Times New Roman" w:hAnsi="Calibri" w:cs="Calibri"/>
          <w:snapToGrid w:val="0"/>
          <w:sz w:val="24"/>
          <w:szCs w:val="24"/>
        </w:rPr>
        <w:t>are provided at Table 2.</w:t>
      </w:r>
    </w:p>
    <w:p w14:paraId="6980351B" w14:textId="77777777" w:rsidR="000618A1" w:rsidRDefault="000618A1">
      <w:pPr>
        <w:rPr>
          <w:rFonts w:ascii="Calibri" w:eastAsia="Times New Roman" w:hAnsi="Calibri" w:cs="Calibri"/>
          <w:snapToGrid w:val="0"/>
          <w:sz w:val="24"/>
          <w:szCs w:val="24"/>
        </w:rPr>
      </w:pPr>
      <w:r>
        <w:rPr>
          <w:rFonts w:ascii="Calibri" w:eastAsia="Times New Roman" w:hAnsi="Calibri" w:cs="Calibri"/>
          <w:snapToGrid w:val="0"/>
          <w:sz w:val="24"/>
          <w:szCs w:val="24"/>
        </w:rPr>
        <w:br w:type="page"/>
      </w:r>
    </w:p>
    <w:p w14:paraId="5F8F4DDA" w14:textId="77777777" w:rsidR="00EB534F" w:rsidRPr="004A6F1F" w:rsidRDefault="00EB534F" w:rsidP="00EB534F">
      <w:pPr>
        <w:pStyle w:val="3Bodytext"/>
        <w:keepNext/>
        <w:spacing w:before="60" w:after="60"/>
        <w:ind w:left="0" w:firstLine="0"/>
        <w:rPr>
          <w:rFonts w:ascii="Calibri" w:hAnsi="Calibri" w:cs="Calibri"/>
          <w:b/>
          <w:bCs/>
          <w:sz w:val="20"/>
          <w:szCs w:val="20"/>
        </w:rPr>
      </w:pPr>
      <w:r w:rsidRPr="004A6F1F">
        <w:rPr>
          <w:rFonts w:ascii="Calibri" w:hAnsi="Calibri" w:cs="Calibri"/>
          <w:b/>
          <w:bCs/>
          <w:sz w:val="20"/>
          <w:szCs w:val="20"/>
        </w:rPr>
        <w:lastRenderedPageBreak/>
        <w:t>Table 2: PBS restrictions for fingolimod (250 mcg and 500 mcg) for therapy initiation and continuation</w:t>
      </w:r>
    </w:p>
    <w:tbl>
      <w:tblPr>
        <w:tblStyle w:val="TableGrid"/>
        <w:tblW w:w="5000" w:type="pct"/>
        <w:jc w:val="center"/>
        <w:tblLook w:val="04A0" w:firstRow="1" w:lastRow="0" w:firstColumn="1" w:lastColumn="0" w:noHBand="0" w:noVBand="1"/>
      </w:tblPr>
      <w:tblGrid>
        <w:gridCol w:w="9016"/>
      </w:tblGrid>
      <w:tr w:rsidR="00EB534F" w:rsidRPr="000F04A0" w14:paraId="02C6100A" w14:textId="77777777" w:rsidTr="007E7B02">
        <w:trPr>
          <w:jc w:val="center"/>
        </w:trPr>
        <w:tc>
          <w:tcPr>
            <w:tcW w:w="5000" w:type="pct"/>
          </w:tcPr>
          <w:p w14:paraId="17AA7E90" w14:textId="77777777" w:rsidR="00EB534F" w:rsidRPr="000F04A0" w:rsidRDefault="00EB534F" w:rsidP="007E7B02">
            <w:pPr>
              <w:pStyle w:val="3-BodyText"/>
              <w:ind w:left="0" w:firstLine="0"/>
              <w:rPr>
                <w:rFonts w:ascii="Calibri" w:hAnsi="Calibri" w:cs="Calibri"/>
                <w:b/>
                <w:bCs/>
                <w:sz w:val="20"/>
                <w:szCs w:val="20"/>
              </w:rPr>
            </w:pPr>
            <w:r w:rsidRPr="000F04A0">
              <w:rPr>
                <w:rFonts w:ascii="Calibri" w:hAnsi="Calibri" w:cs="Calibri"/>
                <w:b/>
                <w:bCs/>
                <w:sz w:val="20"/>
                <w:szCs w:val="20"/>
              </w:rPr>
              <w:t>Authority required (Streamlined)</w:t>
            </w:r>
          </w:p>
        </w:tc>
      </w:tr>
      <w:tr w:rsidR="00EB534F" w:rsidRPr="000F04A0" w14:paraId="5740CD9F" w14:textId="77777777" w:rsidTr="007E7B02">
        <w:trPr>
          <w:jc w:val="center"/>
        </w:trPr>
        <w:tc>
          <w:tcPr>
            <w:tcW w:w="5000" w:type="pct"/>
            <w:shd w:val="clear" w:color="auto" w:fill="BFBFBF" w:themeFill="background1" w:themeFillShade="BF"/>
          </w:tcPr>
          <w:p w14:paraId="03620C2E" w14:textId="77777777" w:rsidR="00EB534F" w:rsidRPr="000F04A0" w:rsidRDefault="00EB534F" w:rsidP="007E7B02">
            <w:pPr>
              <w:pStyle w:val="3-BodyText"/>
              <w:ind w:left="0" w:firstLine="0"/>
              <w:rPr>
                <w:rFonts w:ascii="Calibri" w:hAnsi="Calibri" w:cs="Calibri"/>
                <w:sz w:val="20"/>
                <w:szCs w:val="20"/>
              </w:rPr>
            </w:pPr>
            <w:r w:rsidRPr="000F04A0">
              <w:rPr>
                <w:rFonts w:ascii="Calibri" w:hAnsi="Calibri" w:cs="Calibri"/>
                <w:sz w:val="20"/>
                <w:szCs w:val="20"/>
              </w:rPr>
              <w:t>Multiple sclerosis</w:t>
            </w:r>
          </w:p>
          <w:p w14:paraId="6379EB32" w14:textId="77777777" w:rsidR="00EB534F" w:rsidRPr="000F04A0" w:rsidRDefault="00EB534F" w:rsidP="007E7B02">
            <w:pPr>
              <w:pStyle w:val="3-BodyText"/>
              <w:ind w:left="0" w:firstLine="0"/>
              <w:rPr>
                <w:rFonts w:ascii="Calibri" w:hAnsi="Calibri" w:cs="Calibri"/>
                <w:sz w:val="20"/>
                <w:szCs w:val="20"/>
              </w:rPr>
            </w:pPr>
            <w:r w:rsidRPr="000F04A0">
              <w:rPr>
                <w:rFonts w:ascii="Calibri" w:hAnsi="Calibri" w:cs="Calibri"/>
                <w:sz w:val="20"/>
                <w:szCs w:val="20"/>
              </w:rPr>
              <w:t>Treatment Phase: Initial treatment</w:t>
            </w:r>
          </w:p>
        </w:tc>
      </w:tr>
      <w:tr w:rsidR="00EB534F" w:rsidRPr="000F04A0" w14:paraId="36C60374" w14:textId="77777777" w:rsidTr="007E7B02">
        <w:trPr>
          <w:jc w:val="center"/>
        </w:trPr>
        <w:tc>
          <w:tcPr>
            <w:tcW w:w="5000" w:type="pct"/>
          </w:tcPr>
          <w:p w14:paraId="6C1D2FF7" w14:textId="77777777" w:rsidR="00EB534F" w:rsidRPr="000F04A0" w:rsidRDefault="00EB534F" w:rsidP="007E7B02">
            <w:pPr>
              <w:pStyle w:val="3-BodyText"/>
              <w:ind w:left="0" w:firstLine="0"/>
              <w:rPr>
                <w:rFonts w:ascii="Calibri" w:hAnsi="Calibri" w:cs="Calibri"/>
                <w:b/>
                <w:bCs/>
                <w:sz w:val="20"/>
                <w:szCs w:val="20"/>
              </w:rPr>
            </w:pPr>
            <w:r w:rsidRPr="000F04A0">
              <w:rPr>
                <w:rFonts w:ascii="Calibri" w:hAnsi="Calibri" w:cs="Calibri"/>
                <w:b/>
                <w:bCs/>
                <w:sz w:val="20"/>
                <w:szCs w:val="20"/>
              </w:rPr>
              <w:t>Clinical criteria:</w:t>
            </w:r>
          </w:p>
        </w:tc>
      </w:tr>
      <w:tr w:rsidR="00EB534F" w:rsidRPr="000F04A0" w14:paraId="2644F6D2" w14:textId="77777777" w:rsidTr="007E7B02">
        <w:trPr>
          <w:trHeight w:val="4363"/>
          <w:jc w:val="center"/>
        </w:trPr>
        <w:tc>
          <w:tcPr>
            <w:tcW w:w="5000" w:type="pct"/>
          </w:tcPr>
          <w:p w14:paraId="657F4232" w14:textId="77777777" w:rsidR="00EB534F" w:rsidRPr="000F04A0" w:rsidRDefault="00EB534F" w:rsidP="007E7B02">
            <w:pPr>
              <w:pStyle w:val="3-BodyText"/>
              <w:ind w:firstLine="0"/>
              <w:rPr>
                <w:rFonts w:ascii="Calibri" w:hAnsi="Calibri" w:cs="Calibri"/>
                <w:sz w:val="20"/>
                <w:szCs w:val="20"/>
              </w:rPr>
            </w:pPr>
            <w:r w:rsidRPr="000F04A0">
              <w:rPr>
                <w:rFonts w:ascii="Calibri" w:hAnsi="Calibri" w:cs="Calibri"/>
                <w:sz w:val="20"/>
                <w:szCs w:val="20"/>
              </w:rPr>
              <w:t xml:space="preserve">The condition must be diagnosed as clinically definite relapsing-remitting multiple sclerosis by magnetic resonance imaging of the brain and/or spinal cord; </w:t>
            </w:r>
            <w:r w:rsidRPr="000F04A0">
              <w:rPr>
                <w:rFonts w:ascii="Calibri" w:hAnsi="Calibri" w:cs="Calibri"/>
                <w:b/>
                <w:bCs/>
                <w:sz w:val="20"/>
                <w:szCs w:val="20"/>
              </w:rPr>
              <w:t>OR</w:t>
            </w:r>
          </w:p>
          <w:p w14:paraId="5E1B55D3" w14:textId="77777777" w:rsidR="00EB534F" w:rsidRPr="000F04A0" w:rsidRDefault="00EB534F" w:rsidP="007E7B02">
            <w:pPr>
              <w:pStyle w:val="3-BodyText"/>
              <w:ind w:firstLine="0"/>
              <w:rPr>
                <w:rFonts w:ascii="Calibri" w:hAnsi="Calibri" w:cs="Calibri"/>
                <w:sz w:val="20"/>
                <w:szCs w:val="20"/>
              </w:rPr>
            </w:pPr>
            <w:r w:rsidRPr="000F04A0">
              <w:rPr>
                <w:rFonts w:ascii="Calibri" w:hAnsi="Calibri" w:cs="Calibri"/>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14:paraId="59B85B70" w14:textId="77777777" w:rsidR="00EB534F" w:rsidRPr="000F04A0" w:rsidRDefault="00EB534F" w:rsidP="007E7B02">
            <w:pPr>
              <w:pStyle w:val="3-BodyText"/>
              <w:ind w:left="0" w:firstLine="0"/>
              <w:rPr>
                <w:rFonts w:ascii="Calibri" w:hAnsi="Calibri" w:cs="Calibri"/>
                <w:b/>
                <w:bCs/>
                <w:sz w:val="20"/>
                <w:szCs w:val="20"/>
              </w:rPr>
            </w:pPr>
            <w:r w:rsidRPr="000F04A0">
              <w:rPr>
                <w:rFonts w:ascii="Calibri" w:hAnsi="Calibri" w:cs="Calibri"/>
                <w:b/>
                <w:bCs/>
                <w:sz w:val="20"/>
                <w:szCs w:val="20"/>
              </w:rPr>
              <w:t>AND</w:t>
            </w:r>
          </w:p>
          <w:p w14:paraId="1098C516" w14:textId="77777777" w:rsidR="00EB534F" w:rsidRPr="000F04A0" w:rsidRDefault="00EB534F" w:rsidP="007E7B02">
            <w:pPr>
              <w:pStyle w:val="3-BodyText"/>
              <w:ind w:firstLine="0"/>
              <w:rPr>
                <w:rFonts w:ascii="Calibri" w:hAnsi="Calibri" w:cs="Calibri"/>
                <w:sz w:val="20"/>
                <w:szCs w:val="20"/>
              </w:rPr>
            </w:pPr>
            <w:r w:rsidRPr="000F04A0">
              <w:rPr>
                <w:rFonts w:ascii="Calibri" w:hAnsi="Calibri" w:cs="Calibri"/>
                <w:sz w:val="20"/>
                <w:szCs w:val="20"/>
              </w:rPr>
              <w:t>The treatment must be the sole PBS-subsidised disease modifying therapy for this condition,</w:t>
            </w:r>
          </w:p>
          <w:p w14:paraId="4FCD97F6" w14:textId="77777777" w:rsidR="00EB534F" w:rsidRPr="000F04A0" w:rsidRDefault="00EB534F" w:rsidP="007E7B02">
            <w:pPr>
              <w:pStyle w:val="3-BodyText"/>
              <w:ind w:left="0" w:firstLine="0"/>
              <w:rPr>
                <w:rFonts w:ascii="Calibri" w:hAnsi="Calibri" w:cs="Calibri"/>
                <w:b/>
                <w:bCs/>
                <w:sz w:val="20"/>
                <w:szCs w:val="20"/>
              </w:rPr>
            </w:pPr>
            <w:r w:rsidRPr="000F04A0">
              <w:rPr>
                <w:rFonts w:ascii="Calibri" w:hAnsi="Calibri" w:cs="Calibri"/>
                <w:b/>
                <w:bCs/>
                <w:sz w:val="20"/>
                <w:szCs w:val="20"/>
              </w:rPr>
              <w:t>AND</w:t>
            </w:r>
          </w:p>
          <w:p w14:paraId="1D4B9056" w14:textId="77777777" w:rsidR="00EB534F" w:rsidRPr="000F04A0" w:rsidRDefault="00EB534F" w:rsidP="007E7B02">
            <w:pPr>
              <w:pStyle w:val="3-BodyText"/>
              <w:ind w:firstLine="0"/>
              <w:jc w:val="left"/>
              <w:rPr>
                <w:rFonts w:ascii="Calibri" w:hAnsi="Calibri" w:cs="Calibri"/>
                <w:sz w:val="20"/>
                <w:szCs w:val="20"/>
              </w:rPr>
            </w:pPr>
            <w:r w:rsidRPr="000F04A0">
              <w:rPr>
                <w:rFonts w:ascii="Calibri" w:hAnsi="Calibri" w:cs="Calibri"/>
                <w:sz w:val="20"/>
                <w:szCs w:val="20"/>
              </w:rPr>
              <w:t>Patient must have experienced at least 2 documented attacks of neurological dysfunction, believed to be due to multiple sclerosis, in the preceding 2 years of commencing a PBS-subsidised disease modifying therapy for this condition,</w:t>
            </w:r>
          </w:p>
          <w:p w14:paraId="76ECF028" w14:textId="77777777" w:rsidR="00EB534F" w:rsidRPr="000F04A0" w:rsidRDefault="00EB534F" w:rsidP="007E7B02">
            <w:pPr>
              <w:pStyle w:val="3-BodyText"/>
              <w:ind w:left="0" w:firstLine="0"/>
              <w:rPr>
                <w:rFonts w:ascii="Calibri" w:hAnsi="Calibri" w:cs="Calibri"/>
                <w:b/>
                <w:bCs/>
                <w:sz w:val="20"/>
                <w:szCs w:val="20"/>
              </w:rPr>
            </w:pPr>
            <w:r w:rsidRPr="000F04A0">
              <w:rPr>
                <w:rFonts w:ascii="Calibri" w:hAnsi="Calibri" w:cs="Calibri"/>
                <w:b/>
                <w:bCs/>
                <w:sz w:val="20"/>
                <w:szCs w:val="20"/>
              </w:rPr>
              <w:t>AND</w:t>
            </w:r>
          </w:p>
          <w:p w14:paraId="7AC62238" w14:textId="77777777" w:rsidR="00EB534F" w:rsidRPr="000F04A0" w:rsidRDefault="00EB534F" w:rsidP="007E7B02">
            <w:pPr>
              <w:pStyle w:val="3-BodyText"/>
              <w:ind w:firstLine="0"/>
              <w:rPr>
                <w:rFonts w:ascii="Calibri" w:hAnsi="Calibri" w:cs="Calibri"/>
                <w:sz w:val="20"/>
                <w:szCs w:val="20"/>
              </w:rPr>
            </w:pPr>
            <w:r w:rsidRPr="000F04A0">
              <w:rPr>
                <w:rFonts w:ascii="Calibri" w:hAnsi="Calibri" w:cs="Calibri"/>
                <w:sz w:val="20"/>
                <w:szCs w:val="20"/>
              </w:rPr>
              <w:t>Patient must be ambulatory (without assistance or support).</w:t>
            </w:r>
          </w:p>
          <w:p w14:paraId="1E1BA992" w14:textId="77777777" w:rsidR="00EB534F" w:rsidRPr="000F04A0" w:rsidRDefault="00EB534F" w:rsidP="007E7B02">
            <w:pPr>
              <w:pStyle w:val="3-BodyText"/>
              <w:ind w:firstLine="0"/>
              <w:rPr>
                <w:rFonts w:ascii="Calibri" w:hAnsi="Calibri" w:cs="Calibri"/>
                <w:sz w:val="20"/>
                <w:szCs w:val="20"/>
              </w:rPr>
            </w:pPr>
            <w:r w:rsidRPr="000F04A0">
              <w:rPr>
                <w:rFonts w:ascii="Calibri" w:hAnsi="Calibri" w:cs="Calibri"/>
                <w:sz w:val="20"/>
                <w:szCs w:val="20"/>
              </w:rPr>
              <w:t>Where applicable, the date of the magnetic resonance imaging scan must be recorded in the patient's medical records.</w:t>
            </w:r>
          </w:p>
        </w:tc>
      </w:tr>
      <w:tr w:rsidR="00EB534F" w:rsidRPr="000F04A0" w14:paraId="09C80574" w14:textId="77777777" w:rsidTr="007E7B02">
        <w:trPr>
          <w:cantSplit/>
          <w:jc w:val="center"/>
        </w:trPr>
        <w:tc>
          <w:tcPr>
            <w:tcW w:w="5000" w:type="pct"/>
            <w:shd w:val="clear" w:color="auto" w:fill="BFBFBF" w:themeFill="background1" w:themeFillShade="BF"/>
          </w:tcPr>
          <w:p w14:paraId="3EBD9348" w14:textId="77777777" w:rsidR="00EB534F" w:rsidRPr="000F04A0" w:rsidRDefault="00EB534F" w:rsidP="007E7B02">
            <w:pPr>
              <w:pStyle w:val="3-BodyText"/>
              <w:ind w:left="0" w:firstLine="0"/>
              <w:rPr>
                <w:rFonts w:ascii="Calibri" w:hAnsi="Calibri" w:cs="Calibri"/>
                <w:sz w:val="20"/>
                <w:szCs w:val="20"/>
              </w:rPr>
            </w:pPr>
            <w:r w:rsidRPr="000F04A0">
              <w:rPr>
                <w:rFonts w:ascii="Calibri" w:hAnsi="Calibri" w:cs="Calibri"/>
                <w:sz w:val="20"/>
                <w:szCs w:val="20"/>
              </w:rPr>
              <w:t xml:space="preserve">Treatment Phase: Continuing treatment </w:t>
            </w:r>
          </w:p>
        </w:tc>
      </w:tr>
      <w:tr w:rsidR="00EB534F" w:rsidRPr="000F04A0" w14:paraId="02E9D62F" w14:textId="77777777" w:rsidTr="007E7B02">
        <w:trPr>
          <w:cantSplit/>
          <w:jc w:val="center"/>
        </w:trPr>
        <w:tc>
          <w:tcPr>
            <w:tcW w:w="5000" w:type="pct"/>
          </w:tcPr>
          <w:p w14:paraId="5985F3E1" w14:textId="77777777" w:rsidR="00EB534F" w:rsidRPr="000F04A0" w:rsidRDefault="00EB534F" w:rsidP="007E7B02">
            <w:pPr>
              <w:pStyle w:val="3-BodyText"/>
              <w:ind w:left="0" w:firstLine="0"/>
              <w:rPr>
                <w:rFonts w:ascii="Calibri" w:hAnsi="Calibri" w:cs="Calibri"/>
                <w:b/>
                <w:bCs/>
                <w:sz w:val="20"/>
                <w:szCs w:val="20"/>
              </w:rPr>
            </w:pPr>
            <w:r w:rsidRPr="000F04A0">
              <w:rPr>
                <w:rFonts w:ascii="Calibri" w:hAnsi="Calibri" w:cs="Calibri"/>
                <w:b/>
                <w:bCs/>
                <w:sz w:val="20"/>
                <w:szCs w:val="20"/>
              </w:rPr>
              <w:t>Additional clinical criteria:</w:t>
            </w:r>
          </w:p>
        </w:tc>
      </w:tr>
      <w:tr w:rsidR="00EB534F" w:rsidRPr="000F04A0" w14:paraId="532DAD7E" w14:textId="77777777" w:rsidTr="007E7B02">
        <w:trPr>
          <w:cantSplit/>
          <w:jc w:val="center"/>
        </w:trPr>
        <w:tc>
          <w:tcPr>
            <w:tcW w:w="5000" w:type="pct"/>
          </w:tcPr>
          <w:p w14:paraId="5FCA7B93" w14:textId="77777777" w:rsidR="00EB534F" w:rsidRPr="000F04A0" w:rsidRDefault="00EB534F" w:rsidP="007E7B02">
            <w:pPr>
              <w:pStyle w:val="3-BodyText"/>
              <w:rPr>
                <w:rFonts w:ascii="Calibri" w:hAnsi="Calibri" w:cs="Calibri"/>
                <w:b/>
                <w:bCs/>
                <w:sz w:val="20"/>
                <w:szCs w:val="20"/>
              </w:rPr>
            </w:pPr>
            <w:r w:rsidRPr="000F04A0">
              <w:rPr>
                <w:rFonts w:ascii="Calibri" w:hAnsi="Calibri" w:cs="Calibri"/>
                <w:b/>
                <w:bCs/>
                <w:sz w:val="20"/>
                <w:szCs w:val="20"/>
              </w:rPr>
              <w:t>AND</w:t>
            </w:r>
          </w:p>
          <w:p w14:paraId="75F3A093" w14:textId="77777777" w:rsidR="00EB534F" w:rsidRPr="000F04A0" w:rsidRDefault="00EB534F" w:rsidP="007E7B02">
            <w:pPr>
              <w:pStyle w:val="3-BodyText"/>
              <w:rPr>
                <w:rFonts w:ascii="Calibri" w:hAnsi="Calibri" w:cs="Calibri"/>
                <w:sz w:val="20"/>
                <w:szCs w:val="20"/>
              </w:rPr>
            </w:pPr>
            <w:r w:rsidRPr="000F04A0">
              <w:rPr>
                <w:rFonts w:ascii="Calibri" w:hAnsi="Calibri" w:cs="Calibri"/>
                <w:sz w:val="20"/>
                <w:szCs w:val="20"/>
              </w:rPr>
              <w:t>Patient must have previously received PBS-subsidised treatment with this drug for this condition,</w:t>
            </w:r>
          </w:p>
          <w:p w14:paraId="1E642702" w14:textId="77777777" w:rsidR="00EB534F" w:rsidRPr="000F04A0" w:rsidRDefault="00EB534F" w:rsidP="007E7B02">
            <w:pPr>
              <w:pStyle w:val="3-BodyText"/>
              <w:rPr>
                <w:rFonts w:ascii="Calibri" w:hAnsi="Calibri" w:cs="Calibri"/>
                <w:b/>
                <w:bCs/>
                <w:sz w:val="20"/>
                <w:szCs w:val="20"/>
              </w:rPr>
            </w:pPr>
            <w:r w:rsidRPr="000F04A0">
              <w:rPr>
                <w:rFonts w:ascii="Calibri" w:hAnsi="Calibri" w:cs="Calibri"/>
                <w:b/>
                <w:bCs/>
                <w:sz w:val="20"/>
                <w:szCs w:val="20"/>
              </w:rPr>
              <w:t>AND</w:t>
            </w:r>
          </w:p>
          <w:p w14:paraId="03393818" w14:textId="77777777" w:rsidR="00EB534F" w:rsidRPr="000F04A0" w:rsidRDefault="00EB534F" w:rsidP="007E7B02">
            <w:pPr>
              <w:pStyle w:val="3-BodyText"/>
              <w:rPr>
                <w:rFonts w:ascii="Calibri" w:hAnsi="Calibri" w:cs="Calibri"/>
                <w:sz w:val="20"/>
                <w:szCs w:val="20"/>
              </w:rPr>
            </w:pPr>
            <w:r w:rsidRPr="000F04A0">
              <w:rPr>
                <w:rFonts w:ascii="Calibri" w:hAnsi="Calibri" w:cs="Calibri"/>
                <w:sz w:val="20"/>
                <w:szCs w:val="20"/>
              </w:rPr>
              <w:t>Patient must not show continuing progression of disability while on treatment with this drug,</w:t>
            </w:r>
          </w:p>
          <w:p w14:paraId="4529A552" w14:textId="77777777" w:rsidR="00EB534F" w:rsidRPr="000F04A0" w:rsidRDefault="00EB534F" w:rsidP="007E7B02">
            <w:pPr>
              <w:pStyle w:val="3-BodyText"/>
              <w:rPr>
                <w:rFonts w:ascii="Calibri" w:hAnsi="Calibri" w:cs="Calibri"/>
                <w:b/>
                <w:bCs/>
                <w:sz w:val="20"/>
                <w:szCs w:val="20"/>
              </w:rPr>
            </w:pPr>
            <w:r w:rsidRPr="000F04A0">
              <w:rPr>
                <w:rFonts w:ascii="Calibri" w:hAnsi="Calibri" w:cs="Calibri"/>
                <w:b/>
                <w:bCs/>
                <w:sz w:val="20"/>
                <w:szCs w:val="20"/>
              </w:rPr>
              <w:t>AND</w:t>
            </w:r>
          </w:p>
          <w:p w14:paraId="69B801E5" w14:textId="77777777" w:rsidR="00EB534F" w:rsidRPr="000F04A0" w:rsidRDefault="00EB534F" w:rsidP="007E7B02">
            <w:pPr>
              <w:pStyle w:val="3-BodyText"/>
              <w:ind w:left="0" w:firstLine="0"/>
              <w:rPr>
                <w:rFonts w:ascii="Calibri" w:hAnsi="Calibri" w:cs="Calibri"/>
                <w:sz w:val="20"/>
                <w:szCs w:val="20"/>
              </w:rPr>
            </w:pPr>
            <w:r w:rsidRPr="000F04A0">
              <w:rPr>
                <w:rFonts w:ascii="Calibri" w:hAnsi="Calibri" w:cs="Calibri"/>
                <w:sz w:val="20"/>
                <w:szCs w:val="20"/>
              </w:rPr>
              <w:t>Patient must have demonstrated compliance with, and an ability to tolerate this therapy.</w:t>
            </w:r>
          </w:p>
        </w:tc>
      </w:tr>
    </w:tbl>
    <w:p w14:paraId="1A65ABEB" w14:textId="77777777" w:rsidR="00EB534F" w:rsidRPr="000F04A0" w:rsidRDefault="00EB534F" w:rsidP="004A6F1F">
      <w:pPr>
        <w:pStyle w:val="Heading2"/>
      </w:pPr>
      <w:r w:rsidRPr="000F04A0">
        <w:t>PBS listings of DMTs</w:t>
      </w:r>
    </w:p>
    <w:p w14:paraId="4981147D" w14:textId="77777777" w:rsidR="00EB534F" w:rsidRPr="000F04A0" w:rsidRDefault="00EB534F" w:rsidP="001A369A">
      <w:pPr>
        <w:spacing w:after="120" w:line="240" w:lineRule="auto"/>
        <w:jc w:val="both"/>
        <w:rPr>
          <w:rFonts w:ascii="Calibri" w:hAnsi="Calibri" w:cs="Calibri"/>
          <w:b/>
          <w:bCs/>
          <w:sz w:val="20"/>
          <w:szCs w:val="20"/>
        </w:rPr>
      </w:pPr>
      <w:r w:rsidRPr="000F04A0">
        <w:rPr>
          <w:rFonts w:ascii="Calibri" w:eastAsia="Times New Roman" w:hAnsi="Calibri" w:cs="Calibri"/>
          <w:snapToGrid w:val="0"/>
          <w:sz w:val="24"/>
          <w:szCs w:val="24"/>
        </w:rPr>
        <w:t xml:space="preserve">All PBS-listed DMTs for RRMS are available as first-line treatment options and it is up to physicians to determine the course of treatment for patients. The PBS restrictions for other DMTs are </w:t>
      </w:r>
      <w:proofErr w:type="gramStart"/>
      <w:r w:rsidRPr="000F04A0">
        <w:rPr>
          <w:rFonts w:ascii="Calibri" w:eastAsia="Times New Roman" w:hAnsi="Calibri" w:cs="Calibri"/>
          <w:snapToGrid w:val="0"/>
          <w:sz w:val="24"/>
          <w:szCs w:val="24"/>
        </w:rPr>
        <w:t>similar to</w:t>
      </w:r>
      <w:proofErr w:type="gramEnd"/>
      <w:r w:rsidRPr="000F04A0">
        <w:rPr>
          <w:rFonts w:ascii="Calibri" w:eastAsia="Times New Roman" w:hAnsi="Calibri" w:cs="Calibri"/>
          <w:snapToGrid w:val="0"/>
          <w:sz w:val="24"/>
          <w:szCs w:val="24"/>
        </w:rPr>
        <w:t xml:space="preserve"> the restrictions for fingolimod, with some medicines having the additional requirement that patients must be treated by a neurologist. While the course of treatment is often determined by disease progression, some patients may switch from one treatment to another due to compliance issues, patient preference, pregnancy status and adverse events. </w:t>
      </w:r>
    </w:p>
    <w:p w14:paraId="77FBC923" w14:textId="077A74FB"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PBS-listed DMTs for RRMS</w:t>
      </w:r>
      <w:r w:rsidR="001A369A" w:rsidRPr="000F04A0">
        <w:rPr>
          <w:rFonts w:ascii="Calibri" w:eastAsia="Times New Roman" w:hAnsi="Calibri" w:cs="Calibri"/>
          <w:snapToGrid w:val="0"/>
          <w:sz w:val="24"/>
          <w:szCs w:val="24"/>
        </w:rPr>
        <w:t xml:space="preserve"> as of May 2025</w:t>
      </w:r>
      <w:r w:rsidRPr="000F04A0">
        <w:rPr>
          <w:rFonts w:ascii="Calibri" w:eastAsia="Times New Roman" w:hAnsi="Calibri" w:cs="Calibri"/>
          <w:snapToGrid w:val="0"/>
          <w:sz w:val="24"/>
          <w:szCs w:val="24"/>
        </w:rPr>
        <w:t xml:space="preserve"> are shown in Table 3.</w:t>
      </w:r>
    </w:p>
    <w:p w14:paraId="116039BB" w14:textId="77777777" w:rsidR="00EB534F" w:rsidRPr="000F04A0" w:rsidRDefault="00EB534F" w:rsidP="00EB534F">
      <w:pPr>
        <w:spacing w:before="120" w:after="0" w:line="240" w:lineRule="auto"/>
        <w:rPr>
          <w:rFonts w:ascii="Calibri" w:hAnsi="Calibri" w:cs="Calibri"/>
          <w:b/>
          <w:bCs/>
          <w:sz w:val="20"/>
          <w:szCs w:val="20"/>
        </w:rPr>
        <w:sectPr w:rsidR="00EB534F" w:rsidRPr="000F04A0" w:rsidSect="00EB534F">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pPr>
    </w:p>
    <w:p w14:paraId="339371B5" w14:textId="77777777" w:rsidR="00EB534F" w:rsidRDefault="00EB534F" w:rsidP="00EB534F">
      <w:pPr>
        <w:pStyle w:val="3Bodytext"/>
        <w:keepNext/>
        <w:spacing w:before="60" w:after="60"/>
        <w:ind w:left="0" w:firstLine="0"/>
        <w:rPr>
          <w:rFonts w:ascii="Calibri" w:hAnsi="Calibri" w:cs="Calibri"/>
          <w:b/>
          <w:bCs/>
          <w:sz w:val="20"/>
          <w:szCs w:val="20"/>
        </w:rPr>
      </w:pPr>
      <w:r w:rsidRPr="004A6F1F">
        <w:rPr>
          <w:rFonts w:ascii="Calibri" w:hAnsi="Calibri" w:cs="Calibri"/>
          <w:b/>
          <w:bCs/>
          <w:sz w:val="20"/>
          <w:szCs w:val="20"/>
        </w:rPr>
        <w:lastRenderedPageBreak/>
        <w:t>Table 3: PBS-listed DMTs for RRMS (as of 14 May 2025)</w:t>
      </w:r>
    </w:p>
    <w:p w14:paraId="345A32DD" w14:textId="3762B5FA" w:rsidR="001425A2" w:rsidRPr="004A6F1F" w:rsidRDefault="001425A2" w:rsidP="001425A2">
      <w:pPr>
        <w:pStyle w:val="3Bodytext"/>
        <w:keepNext/>
        <w:numPr>
          <w:ilvl w:val="0"/>
          <w:numId w:val="18"/>
        </w:numPr>
        <w:spacing w:before="60" w:after="60"/>
        <w:rPr>
          <w:rFonts w:ascii="Calibri" w:hAnsi="Calibri" w:cs="Calibri"/>
          <w:b/>
          <w:bCs/>
          <w:sz w:val="20"/>
          <w:szCs w:val="20"/>
        </w:rPr>
      </w:pPr>
      <w:r>
        <w:rPr>
          <w:rFonts w:ascii="Calibri" w:hAnsi="Calibri" w:cs="Calibri"/>
          <w:b/>
          <w:bCs/>
          <w:sz w:val="20"/>
          <w:szCs w:val="20"/>
        </w:rPr>
        <w:t>High efficacy tier DMTs</w:t>
      </w:r>
    </w:p>
    <w:tbl>
      <w:tblPr>
        <w:tblStyle w:val="TableGrid"/>
        <w:tblW w:w="5000" w:type="pct"/>
        <w:tblLook w:val="04A0" w:firstRow="1" w:lastRow="0" w:firstColumn="1" w:lastColumn="0" w:noHBand="0" w:noVBand="1"/>
      </w:tblPr>
      <w:tblGrid>
        <w:gridCol w:w="1554"/>
        <w:gridCol w:w="2095"/>
        <w:gridCol w:w="1448"/>
        <w:gridCol w:w="1844"/>
        <w:gridCol w:w="3919"/>
        <w:gridCol w:w="1046"/>
        <w:gridCol w:w="901"/>
        <w:gridCol w:w="1141"/>
      </w:tblGrid>
      <w:tr w:rsidR="00EB534F" w:rsidRPr="000F04A0" w14:paraId="7EB3BADD" w14:textId="77777777" w:rsidTr="001425A2">
        <w:trPr>
          <w:cantSplit/>
          <w:tblHeader/>
        </w:trPr>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7DFE20" w14:textId="77777777" w:rsidR="00EB534F" w:rsidRPr="000F04A0" w:rsidRDefault="00EB534F" w:rsidP="00AD7408">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Drug</w:t>
            </w:r>
          </w:p>
        </w:tc>
        <w:tc>
          <w:tcPr>
            <w:tcW w:w="75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8AF582" w14:textId="77777777" w:rsidR="00EB534F" w:rsidRPr="000F04A0" w:rsidRDefault="00EB534F" w:rsidP="00AD7408">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Class of drug</w:t>
            </w:r>
          </w:p>
        </w:tc>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F93494" w14:textId="77777777" w:rsidR="00EB534F" w:rsidRPr="000F04A0" w:rsidRDefault="00EB534F" w:rsidP="00AD7408">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Strength</w:t>
            </w:r>
          </w:p>
        </w:tc>
        <w:tc>
          <w:tcPr>
            <w:tcW w:w="66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62B5A9" w14:textId="606388AA" w:rsidR="00EB534F" w:rsidRPr="000F04A0" w:rsidRDefault="001425A2" w:rsidP="00AD7408">
            <w:pPr>
              <w:pStyle w:val="3Bodytext"/>
              <w:spacing w:after="0"/>
              <w:ind w:left="0" w:firstLine="0"/>
              <w:jc w:val="left"/>
              <w:rPr>
                <w:rFonts w:ascii="Calibri" w:hAnsi="Calibri" w:cs="Calibri"/>
                <w:b/>
                <w:bCs/>
                <w:sz w:val="20"/>
                <w:szCs w:val="20"/>
              </w:rPr>
            </w:pPr>
            <w:r>
              <w:rPr>
                <w:rFonts w:ascii="Calibri" w:hAnsi="Calibri" w:cs="Calibri"/>
                <w:b/>
                <w:bCs/>
                <w:sz w:val="20"/>
                <w:szCs w:val="20"/>
              </w:rPr>
              <w:t xml:space="preserve">Administration route and dosing </w:t>
            </w: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DFC819" w14:textId="77777777" w:rsidR="00EB534F" w:rsidRPr="000F04A0" w:rsidRDefault="00EB534F" w:rsidP="00AD7408">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Basis for PBS listing</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0C274C" w14:textId="77777777" w:rsidR="00EB534F" w:rsidRPr="000F04A0" w:rsidRDefault="00EB534F" w:rsidP="00AD7408">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PBS Schedule</w:t>
            </w:r>
          </w:p>
        </w:tc>
        <w:tc>
          <w:tcPr>
            <w:tcW w:w="32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4C5BA4" w14:textId="77777777" w:rsidR="00EB534F" w:rsidRPr="000F04A0" w:rsidRDefault="00EB534F" w:rsidP="00AD7408">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PBS Item</w:t>
            </w:r>
          </w:p>
        </w:tc>
        <w:tc>
          <w:tcPr>
            <w:tcW w:w="40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644B91" w14:textId="77777777" w:rsidR="00EB534F" w:rsidRPr="000F04A0" w:rsidRDefault="00EB534F" w:rsidP="00AD7408">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Published DPMQ</w:t>
            </w:r>
          </w:p>
        </w:tc>
      </w:tr>
      <w:tr w:rsidR="00EB534F" w:rsidRPr="000F04A0" w14:paraId="6FFA7B1A" w14:textId="77777777" w:rsidTr="001425A2">
        <w:trPr>
          <w:cantSplit/>
          <w:trHeight w:val="1459"/>
        </w:trPr>
        <w:tc>
          <w:tcPr>
            <w:tcW w:w="557" w:type="pct"/>
            <w:tcBorders>
              <w:top w:val="single" w:sz="4" w:space="0" w:color="auto"/>
              <w:left w:val="single" w:sz="4" w:space="0" w:color="auto"/>
              <w:bottom w:val="single" w:sz="4" w:space="0" w:color="auto"/>
              <w:right w:val="single" w:sz="4" w:space="0" w:color="auto"/>
            </w:tcBorders>
            <w:hideMark/>
          </w:tcPr>
          <w:p w14:paraId="3CB0D429"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Alemtuzumab*</w:t>
            </w:r>
          </w:p>
        </w:tc>
        <w:tc>
          <w:tcPr>
            <w:tcW w:w="751" w:type="pct"/>
            <w:tcBorders>
              <w:top w:val="single" w:sz="4" w:space="0" w:color="auto"/>
              <w:left w:val="single" w:sz="4" w:space="0" w:color="auto"/>
              <w:bottom w:val="single" w:sz="4" w:space="0" w:color="auto"/>
              <w:right w:val="single" w:sz="4" w:space="0" w:color="auto"/>
            </w:tcBorders>
            <w:hideMark/>
          </w:tcPr>
          <w:p w14:paraId="66C7F026"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Monoclonal antibody</w:t>
            </w:r>
          </w:p>
        </w:tc>
        <w:tc>
          <w:tcPr>
            <w:tcW w:w="519" w:type="pct"/>
            <w:tcBorders>
              <w:top w:val="single" w:sz="4" w:space="0" w:color="auto"/>
              <w:left w:val="single" w:sz="4" w:space="0" w:color="auto"/>
              <w:bottom w:val="single" w:sz="4" w:space="0" w:color="auto"/>
              <w:right w:val="single" w:sz="4" w:space="0" w:color="auto"/>
            </w:tcBorders>
            <w:hideMark/>
          </w:tcPr>
          <w:p w14:paraId="1F54D80B"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12 mg/1.2 mL</w:t>
            </w:r>
          </w:p>
        </w:tc>
        <w:tc>
          <w:tcPr>
            <w:tcW w:w="661" w:type="pct"/>
            <w:tcBorders>
              <w:top w:val="single" w:sz="4" w:space="0" w:color="auto"/>
              <w:left w:val="single" w:sz="4" w:space="0" w:color="auto"/>
              <w:bottom w:val="single" w:sz="4" w:space="0" w:color="auto"/>
              <w:right w:val="single" w:sz="4" w:space="0" w:color="auto"/>
            </w:tcBorders>
            <w:hideMark/>
          </w:tcPr>
          <w:p w14:paraId="14F0E99A"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IV</w:t>
            </w:r>
          </w:p>
          <w:p w14:paraId="793E76FC"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Infusion daily, short course once a year</w:t>
            </w:r>
          </w:p>
        </w:tc>
        <w:tc>
          <w:tcPr>
            <w:tcW w:w="1405" w:type="pct"/>
            <w:tcBorders>
              <w:top w:val="single" w:sz="4" w:space="0" w:color="auto"/>
              <w:left w:val="single" w:sz="4" w:space="0" w:color="auto"/>
              <w:bottom w:val="single" w:sz="4" w:space="0" w:color="auto"/>
              <w:right w:val="single" w:sz="4" w:space="0" w:color="auto"/>
            </w:tcBorders>
          </w:tcPr>
          <w:p w14:paraId="6C678AAB" w14:textId="19962D59"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 xml:space="preserve">Listed </w:t>
            </w:r>
            <w:r w:rsidR="001425A2" w:rsidRPr="000F04A0">
              <w:rPr>
                <w:rFonts w:ascii="Calibri" w:hAnsi="Calibri" w:cs="Calibri"/>
                <w:sz w:val="20"/>
                <w:szCs w:val="20"/>
              </w:rPr>
              <w:t>based on</w:t>
            </w:r>
            <w:r w:rsidRPr="000F04A0">
              <w:rPr>
                <w:rFonts w:ascii="Calibri" w:hAnsi="Calibri" w:cs="Calibri"/>
                <w:sz w:val="20"/>
                <w:szCs w:val="20"/>
              </w:rPr>
              <w:t xml:space="preserve"> non-inferior effectiveness and a different safety profile to fingolimod and natalizumab</w:t>
            </w:r>
          </w:p>
        </w:tc>
        <w:tc>
          <w:tcPr>
            <w:tcW w:w="375" w:type="pct"/>
            <w:tcBorders>
              <w:top w:val="single" w:sz="4" w:space="0" w:color="auto"/>
              <w:left w:val="single" w:sz="4" w:space="0" w:color="auto"/>
              <w:bottom w:val="single" w:sz="4" w:space="0" w:color="auto"/>
              <w:right w:val="single" w:sz="4" w:space="0" w:color="auto"/>
            </w:tcBorders>
            <w:hideMark/>
          </w:tcPr>
          <w:p w14:paraId="5B3FBC54"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 xml:space="preserve">S100 HSD  </w:t>
            </w:r>
          </w:p>
        </w:tc>
        <w:tc>
          <w:tcPr>
            <w:tcW w:w="323" w:type="pct"/>
            <w:tcBorders>
              <w:top w:val="single" w:sz="4" w:space="0" w:color="auto"/>
              <w:left w:val="single" w:sz="4" w:space="0" w:color="auto"/>
              <w:bottom w:val="single" w:sz="4" w:space="0" w:color="auto"/>
              <w:right w:val="single" w:sz="4" w:space="0" w:color="auto"/>
            </w:tcBorders>
            <w:hideMark/>
          </w:tcPr>
          <w:p w14:paraId="3728C63F"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10228H</w:t>
            </w:r>
          </w:p>
          <w:p w14:paraId="324A2FA9"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10232M</w:t>
            </w:r>
          </w:p>
          <w:p w14:paraId="631338E4"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10243D</w:t>
            </w:r>
          </w:p>
          <w:p w14:paraId="737A5C24"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10246G</w:t>
            </w:r>
          </w:p>
          <w:p w14:paraId="382DBEB3" w14:textId="77777777" w:rsidR="00EB534F" w:rsidRPr="000F04A0" w:rsidRDefault="00EB534F" w:rsidP="00AD7408">
            <w:pPr>
              <w:pStyle w:val="3Bodytext"/>
              <w:spacing w:after="0"/>
              <w:ind w:left="0" w:firstLine="0"/>
              <w:jc w:val="left"/>
              <w:rPr>
                <w:rFonts w:ascii="Calibri" w:hAnsi="Calibri" w:cs="Calibri"/>
                <w:i/>
                <w:iCs/>
                <w:sz w:val="20"/>
                <w:szCs w:val="20"/>
              </w:rPr>
            </w:pPr>
          </w:p>
        </w:tc>
        <w:tc>
          <w:tcPr>
            <w:tcW w:w="409" w:type="pct"/>
            <w:tcBorders>
              <w:top w:val="single" w:sz="4" w:space="0" w:color="auto"/>
              <w:left w:val="single" w:sz="4" w:space="0" w:color="auto"/>
              <w:bottom w:val="single" w:sz="4" w:space="0" w:color="auto"/>
              <w:right w:val="single" w:sz="4" w:space="0" w:color="auto"/>
            </w:tcBorders>
            <w:hideMark/>
          </w:tcPr>
          <w:p w14:paraId="4DF9A8FA"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$51415.45</w:t>
            </w:r>
          </w:p>
          <w:p w14:paraId="7DD45163"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 xml:space="preserve">$30849.27 </w:t>
            </w:r>
          </w:p>
          <w:p w14:paraId="5543499C"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$51464.12</w:t>
            </w:r>
          </w:p>
          <w:p w14:paraId="116BCF40"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$30897.93</w:t>
            </w:r>
          </w:p>
        </w:tc>
      </w:tr>
      <w:tr w:rsidR="00EB534F" w:rsidRPr="000F04A0" w14:paraId="515098E6" w14:textId="77777777" w:rsidTr="001425A2">
        <w:trPr>
          <w:cantSplit/>
        </w:trPr>
        <w:tc>
          <w:tcPr>
            <w:tcW w:w="557" w:type="pct"/>
            <w:tcBorders>
              <w:top w:val="single" w:sz="4" w:space="0" w:color="auto"/>
              <w:left w:val="single" w:sz="4" w:space="0" w:color="auto"/>
              <w:bottom w:val="single" w:sz="4" w:space="0" w:color="auto"/>
              <w:right w:val="single" w:sz="4" w:space="0" w:color="auto"/>
            </w:tcBorders>
            <w:hideMark/>
          </w:tcPr>
          <w:p w14:paraId="77517EC4"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Natalizumab</w:t>
            </w:r>
          </w:p>
        </w:tc>
        <w:tc>
          <w:tcPr>
            <w:tcW w:w="751" w:type="pct"/>
            <w:tcBorders>
              <w:top w:val="single" w:sz="4" w:space="0" w:color="auto"/>
              <w:left w:val="single" w:sz="4" w:space="0" w:color="auto"/>
              <w:bottom w:val="single" w:sz="4" w:space="0" w:color="auto"/>
              <w:right w:val="single" w:sz="4" w:space="0" w:color="auto"/>
            </w:tcBorders>
            <w:hideMark/>
          </w:tcPr>
          <w:p w14:paraId="0C791BD1"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Monoclonal antibody</w:t>
            </w:r>
          </w:p>
        </w:tc>
        <w:tc>
          <w:tcPr>
            <w:tcW w:w="519" w:type="pct"/>
            <w:tcBorders>
              <w:top w:val="single" w:sz="4" w:space="0" w:color="auto"/>
              <w:left w:val="single" w:sz="4" w:space="0" w:color="auto"/>
              <w:bottom w:val="single" w:sz="4" w:space="0" w:color="auto"/>
              <w:right w:val="single" w:sz="4" w:space="0" w:color="auto"/>
            </w:tcBorders>
          </w:tcPr>
          <w:p w14:paraId="1D2CE916"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150 mg/mL</w:t>
            </w:r>
          </w:p>
          <w:p w14:paraId="5EF6A165"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300 mg/15 mL</w:t>
            </w:r>
          </w:p>
        </w:tc>
        <w:tc>
          <w:tcPr>
            <w:tcW w:w="661" w:type="pct"/>
            <w:tcBorders>
              <w:top w:val="single" w:sz="4" w:space="0" w:color="auto"/>
              <w:left w:val="single" w:sz="4" w:space="0" w:color="auto"/>
              <w:bottom w:val="single" w:sz="4" w:space="0" w:color="auto"/>
              <w:right w:val="single" w:sz="4" w:space="0" w:color="auto"/>
            </w:tcBorders>
            <w:hideMark/>
          </w:tcPr>
          <w:p w14:paraId="369A8692"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SC</w:t>
            </w:r>
          </w:p>
          <w:p w14:paraId="61295193"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IV</w:t>
            </w:r>
          </w:p>
          <w:p w14:paraId="092B59A2"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Every 4 weeks</w:t>
            </w:r>
          </w:p>
        </w:tc>
        <w:tc>
          <w:tcPr>
            <w:tcW w:w="1405" w:type="pct"/>
            <w:tcBorders>
              <w:top w:val="single" w:sz="4" w:space="0" w:color="auto"/>
              <w:left w:val="single" w:sz="4" w:space="0" w:color="auto"/>
              <w:bottom w:val="single" w:sz="4" w:space="0" w:color="auto"/>
              <w:right w:val="single" w:sz="4" w:space="0" w:color="auto"/>
            </w:tcBorders>
          </w:tcPr>
          <w:p w14:paraId="5F1A5E89" w14:textId="53F7E0D1"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 xml:space="preserve">Listed </w:t>
            </w:r>
            <w:r w:rsidR="001425A2" w:rsidRPr="000F04A0">
              <w:rPr>
                <w:rFonts w:ascii="Calibri" w:hAnsi="Calibri" w:cs="Calibri"/>
                <w:sz w:val="20"/>
                <w:szCs w:val="20"/>
              </w:rPr>
              <w:t>based on</w:t>
            </w:r>
            <w:r w:rsidRPr="000F04A0">
              <w:rPr>
                <w:rFonts w:ascii="Calibri" w:hAnsi="Calibri" w:cs="Calibri"/>
                <w:sz w:val="20"/>
                <w:szCs w:val="20"/>
              </w:rPr>
              <w:t xml:space="preserve"> cost-effectiveness compared with interferon beta-1a</w:t>
            </w:r>
          </w:p>
        </w:tc>
        <w:tc>
          <w:tcPr>
            <w:tcW w:w="375" w:type="pct"/>
            <w:tcBorders>
              <w:top w:val="single" w:sz="4" w:space="0" w:color="auto"/>
              <w:left w:val="single" w:sz="4" w:space="0" w:color="auto"/>
              <w:bottom w:val="single" w:sz="4" w:space="0" w:color="auto"/>
              <w:right w:val="single" w:sz="4" w:space="0" w:color="auto"/>
            </w:tcBorders>
            <w:hideMark/>
          </w:tcPr>
          <w:p w14:paraId="11A9A0F0"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S100 HSD</w:t>
            </w:r>
          </w:p>
        </w:tc>
        <w:tc>
          <w:tcPr>
            <w:tcW w:w="323" w:type="pct"/>
            <w:tcBorders>
              <w:top w:val="single" w:sz="4" w:space="0" w:color="auto"/>
              <w:left w:val="single" w:sz="4" w:space="0" w:color="auto"/>
              <w:bottom w:val="single" w:sz="4" w:space="0" w:color="auto"/>
              <w:right w:val="single" w:sz="4" w:space="0" w:color="auto"/>
            </w:tcBorders>
            <w:hideMark/>
          </w:tcPr>
          <w:p w14:paraId="338FD1A2"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13820J</w:t>
            </w:r>
          </w:p>
          <w:p w14:paraId="2F6A0167"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13825P</w:t>
            </w:r>
          </w:p>
          <w:p w14:paraId="10C4A62F"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9505G</w:t>
            </w:r>
          </w:p>
          <w:p w14:paraId="632823C7"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9624M</w:t>
            </w:r>
          </w:p>
          <w:p w14:paraId="15F166CE" w14:textId="77777777" w:rsidR="00EB534F" w:rsidRPr="000F04A0" w:rsidRDefault="00EB534F" w:rsidP="00AD7408">
            <w:pPr>
              <w:pStyle w:val="3Bodytext"/>
              <w:spacing w:after="0"/>
              <w:ind w:left="0" w:firstLine="0"/>
              <w:jc w:val="left"/>
              <w:rPr>
                <w:rFonts w:ascii="Calibri" w:hAnsi="Calibri" w:cs="Calibri"/>
                <w:i/>
                <w:iCs/>
                <w:sz w:val="20"/>
                <w:szCs w:val="20"/>
              </w:rPr>
            </w:pPr>
          </w:p>
        </w:tc>
        <w:tc>
          <w:tcPr>
            <w:tcW w:w="409" w:type="pct"/>
            <w:tcBorders>
              <w:top w:val="single" w:sz="4" w:space="0" w:color="auto"/>
              <w:left w:val="single" w:sz="4" w:space="0" w:color="auto"/>
              <w:bottom w:val="single" w:sz="4" w:space="0" w:color="auto"/>
              <w:right w:val="single" w:sz="4" w:space="0" w:color="auto"/>
            </w:tcBorders>
            <w:hideMark/>
          </w:tcPr>
          <w:p w14:paraId="6901BAAF"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$983.46</w:t>
            </w:r>
          </w:p>
          <w:p w14:paraId="0263C137"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$937.30</w:t>
            </w:r>
          </w:p>
          <w:p w14:paraId="47F81533"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$937.30</w:t>
            </w:r>
          </w:p>
          <w:p w14:paraId="1352248B"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$983.46</w:t>
            </w:r>
          </w:p>
        </w:tc>
      </w:tr>
      <w:tr w:rsidR="00EB534F" w:rsidRPr="000F04A0" w14:paraId="790EEFE6" w14:textId="77777777" w:rsidTr="001425A2">
        <w:trPr>
          <w:cantSplit/>
        </w:trPr>
        <w:tc>
          <w:tcPr>
            <w:tcW w:w="557" w:type="pct"/>
            <w:tcBorders>
              <w:top w:val="single" w:sz="4" w:space="0" w:color="auto"/>
              <w:left w:val="single" w:sz="4" w:space="0" w:color="auto"/>
              <w:bottom w:val="single" w:sz="4" w:space="0" w:color="auto"/>
              <w:right w:val="single" w:sz="4" w:space="0" w:color="auto"/>
            </w:tcBorders>
            <w:hideMark/>
          </w:tcPr>
          <w:p w14:paraId="1C06966F"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Ocrelizumab*</w:t>
            </w:r>
          </w:p>
        </w:tc>
        <w:tc>
          <w:tcPr>
            <w:tcW w:w="751" w:type="pct"/>
            <w:tcBorders>
              <w:top w:val="single" w:sz="4" w:space="0" w:color="auto"/>
              <w:left w:val="single" w:sz="4" w:space="0" w:color="auto"/>
              <w:bottom w:val="single" w:sz="4" w:space="0" w:color="auto"/>
              <w:right w:val="single" w:sz="4" w:space="0" w:color="auto"/>
            </w:tcBorders>
            <w:hideMark/>
          </w:tcPr>
          <w:p w14:paraId="43C5E2DC"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Monoclonal antibody</w:t>
            </w:r>
          </w:p>
        </w:tc>
        <w:tc>
          <w:tcPr>
            <w:tcW w:w="519" w:type="pct"/>
            <w:tcBorders>
              <w:top w:val="single" w:sz="4" w:space="0" w:color="auto"/>
              <w:left w:val="single" w:sz="4" w:space="0" w:color="auto"/>
              <w:bottom w:val="single" w:sz="4" w:space="0" w:color="auto"/>
              <w:right w:val="single" w:sz="4" w:space="0" w:color="auto"/>
            </w:tcBorders>
            <w:hideMark/>
          </w:tcPr>
          <w:p w14:paraId="199CF727"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300 mg/10 mL</w:t>
            </w:r>
          </w:p>
        </w:tc>
        <w:tc>
          <w:tcPr>
            <w:tcW w:w="661" w:type="pct"/>
            <w:tcBorders>
              <w:top w:val="single" w:sz="4" w:space="0" w:color="auto"/>
              <w:left w:val="single" w:sz="4" w:space="0" w:color="auto"/>
              <w:bottom w:val="single" w:sz="4" w:space="0" w:color="auto"/>
              <w:right w:val="single" w:sz="4" w:space="0" w:color="auto"/>
            </w:tcBorders>
            <w:hideMark/>
          </w:tcPr>
          <w:p w14:paraId="35C255DB"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IV</w:t>
            </w:r>
          </w:p>
          <w:p w14:paraId="7B647F5B"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Every 6 months</w:t>
            </w:r>
          </w:p>
        </w:tc>
        <w:tc>
          <w:tcPr>
            <w:tcW w:w="1405" w:type="pct"/>
            <w:tcBorders>
              <w:top w:val="single" w:sz="4" w:space="0" w:color="auto"/>
              <w:left w:val="single" w:sz="4" w:space="0" w:color="auto"/>
              <w:bottom w:val="single" w:sz="4" w:space="0" w:color="auto"/>
              <w:right w:val="single" w:sz="4" w:space="0" w:color="auto"/>
            </w:tcBorders>
          </w:tcPr>
          <w:p w14:paraId="5976CD3A"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Listed on a cost-minimisation basis with fingolimod</w:t>
            </w:r>
          </w:p>
        </w:tc>
        <w:tc>
          <w:tcPr>
            <w:tcW w:w="375" w:type="pct"/>
            <w:tcBorders>
              <w:top w:val="single" w:sz="4" w:space="0" w:color="auto"/>
              <w:left w:val="single" w:sz="4" w:space="0" w:color="auto"/>
              <w:bottom w:val="single" w:sz="4" w:space="0" w:color="auto"/>
              <w:right w:val="single" w:sz="4" w:space="0" w:color="auto"/>
            </w:tcBorders>
            <w:hideMark/>
          </w:tcPr>
          <w:p w14:paraId="3DAC1DFC"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S100 HSD</w:t>
            </w:r>
          </w:p>
        </w:tc>
        <w:tc>
          <w:tcPr>
            <w:tcW w:w="323" w:type="pct"/>
            <w:tcBorders>
              <w:top w:val="single" w:sz="4" w:space="0" w:color="auto"/>
              <w:left w:val="single" w:sz="4" w:space="0" w:color="auto"/>
              <w:bottom w:val="single" w:sz="4" w:space="0" w:color="auto"/>
              <w:right w:val="single" w:sz="4" w:space="0" w:color="auto"/>
            </w:tcBorders>
            <w:hideMark/>
          </w:tcPr>
          <w:p w14:paraId="0F072650"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11237K</w:t>
            </w:r>
          </w:p>
          <w:p w14:paraId="205595C5"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11242Q</w:t>
            </w:r>
          </w:p>
          <w:p w14:paraId="0E5F5DB8" w14:textId="77777777" w:rsidR="00EB534F" w:rsidRPr="000F04A0" w:rsidRDefault="00EB534F" w:rsidP="00AD7408">
            <w:pPr>
              <w:pStyle w:val="3Bodytext"/>
              <w:spacing w:after="0"/>
              <w:ind w:left="0" w:firstLine="0"/>
              <w:jc w:val="left"/>
              <w:rPr>
                <w:rFonts w:ascii="Calibri" w:hAnsi="Calibri" w:cs="Calibri"/>
                <w:sz w:val="20"/>
                <w:szCs w:val="20"/>
              </w:rPr>
            </w:pPr>
          </w:p>
        </w:tc>
        <w:tc>
          <w:tcPr>
            <w:tcW w:w="409" w:type="pct"/>
            <w:tcBorders>
              <w:top w:val="single" w:sz="4" w:space="0" w:color="auto"/>
              <w:left w:val="single" w:sz="4" w:space="0" w:color="auto"/>
              <w:bottom w:val="single" w:sz="4" w:space="0" w:color="auto"/>
              <w:right w:val="single" w:sz="4" w:space="0" w:color="auto"/>
            </w:tcBorders>
            <w:hideMark/>
          </w:tcPr>
          <w:p w14:paraId="7B9B0354"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$16705.03</w:t>
            </w:r>
          </w:p>
          <w:p w14:paraId="04DBA328"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$16656.36</w:t>
            </w:r>
          </w:p>
        </w:tc>
      </w:tr>
      <w:tr w:rsidR="00EB534F" w:rsidRPr="000F04A0" w14:paraId="35D82EA7" w14:textId="77777777" w:rsidTr="001425A2">
        <w:trPr>
          <w:cantSplit/>
        </w:trPr>
        <w:tc>
          <w:tcPr>
            <w:tcW w:w="557" w:type="pct"/>
            <w:tcBorders>
              <w:top w:val="single" w:sz="4" w:space="0" w:color="auto"/>
              <w:left w:val="single" w:sz="4" w:space="0" w:color="auto"/>
              <w:bottom w:val="single" w:sz="4" w:space="0" w:color="auto"/>
              <w:right w:val="single" w:sz="4" w:space="0" w:color="auto"/>
            </w:tcBorders>
            <w:hideMark/>
          </w:tcPr>
          <w:p w14:paraId="4D163780"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Ozanimod*</w:t>
            </w:r>
          </w:p>
        </w:tc>
        <w:tc>
          <w:tcPr>
            <w:tcW w:w="751" w:type="pct"/>
            <w:tcBorders>
              <w:top w:val="single" w:sz="4" w:space="0" w:color="auto"/>
              <w:left w:val="single" w:sz="4" w:space="0" w:color="auto"/>
              <w:bottom w:val="single" w:sz="4" w:space="0" w:color="auto"/>
              <w:right w:val="single" w:sz="4" w:space="0" w:color="auto"/>
            </w:tcBorders>
            <w:hideMark/>
          </w:tcPr>
          <w:p w14:paraId="685C0788"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Sphingosine 1</w:t>
            </w:r>
            <w:r w:rsidRPr="000F04A0">
              <w:rPr>
                <w:rFonts w:ascii="Calibri" w:hAnsi="Calibri" w:cs="Calibri"/>
                <w:sz w:val="20"/>
                <w:szCs w:val="20"/>
              </w:rPr>
              <w:noBreakHyphen/>
              <w:t>phosphate receptor modulators</w:t>
            </w:r>
          </w:p>
        </w:tc>
        <w:tc>
          <w:tcPr>
            <w:tcW w:w="519" w:type="pct"/>
            <w:tcBorders>
              <w:top w:val="single" w:sz="4" w:space="0" w:color="auto"/>
              <w:left w:val="single" w:sz="4" w:space="0" w:color="auto"/>
              <w:bottom w:val="single" w:sz="4" w:space="0" w:color="auto"/>
              <w:right w:val="single" w:sz="4" w:space="0" w:color="auto"/>
            </w:tcBorders>
            <w:hideMark/>
          </w:tcPr>
          <w:p w14:paraId="2D99EB09"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920 mcg</w:t>
            </w:r>
          </w:p>
          <w:p w14:paraId="04DA9110"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 xml:space="preserve">230 mcg </w:t>
            </w:r>
          </w:p>
          <w:p w14:paraId="4FFBCFA7"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460 mcg</w:t>
            </w:r>
          </w:p>
        </w:tc>
        <w:tc>
          <w:tcPr>
            <w:tcW w:w="661" w:type="pct"/>
            <w:tcBorders>
              <w:top w:val="single" w:sz="4" w:space="0" w:color="auto"/>
              <w:left w:val="single" w:sz="4" w:space="0" w:color="auto"/>
              <w:bottom w:val="single" w:sz="4" w:space="0" w:color="auto"/>
              <w:right w:val="single" w:sz="4" w:space="0" w:color="auto"/>
            </w:tcBorders>
            <w:hideMark/>
          </w:tcPr>
          <w:p w14:paraId="0A5A2664"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Oral</w:t>
            </w:r>
          </w:p>
          <w:p w14:paraId="3F7F934F"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color w:val="333333"/>
                <w:sz w:val="20"/>
                <w:szCs w:val="20"/>
                <w:shd w:val="clear" w:color="auto" w:fill="FFFFFF"/>
              </w:rPr>
              <w:t>Daily</w:t>
            </w:r>
          </w:p>
        </w:tc>
        <w:tc>
          <w:tcPr>
            <w:tcW w:w="1405" w:type="pct"/>
            <w:tcBorders>
              <w:top w:val="single" w:sz="4" w:space="0" w:color="auto"/>
              <w:left w:val="single" w:sz="4" w:space="0" w:color="auto"/>
              <w:bottom w:val="single" w:sz="4" w:space="0" w:color="auto"/>
              <w:right w:val="single" w:sz="4" w:space="0" w:color="auto"/>
            </w:tcBorders>
          </w:tcPr>
          <w:p w14:paraId="1C431465"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Listed on a cost-minimisation basis with fingolimod</w:t>
            </w:r>
          </w:p>
        </w:tc>
        <w:tc>
          <w:tcPr>
            <w:tcW w:w="375" w:type="pct"/>
            <w:tcBorders>
              <w:top w:val="single" w:sz="4" w:space="0" w:color="auto"/>
              <w:left w:val="single" w:sz="4" w:space="0" w:color="auto"/>
              <w:bottom w:val="single" w:sz="4" w:space="0" w:color="auto"/>
              <w:right w:val="single" w:sz="4" w:space="0" w:color="auto"/>
            </w:tcBorders>
            <w:hideMark/>
          </w:tcPr>
          <w:p w14:paraId="5472203C"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 xml:space="preserve">General </w:t>
            </w:r>
          </w:p>
        </w:tc>
        <w:tc>
          <w:tcPr>
            <w:tcW w:w="323" w:type="pct"/>
            <w:tcBorders>
              <w:top w:val="single" w:sz="4" w:space="0" w:color="auto"/>
              <w:left w:val="single" w:sz="4" w:space="0" w:color="auto"/>
              <w:bottom w:val="single" w:sz="4" w:space="0" w:color="auto"/>
              <w:right w:val="single" w:sz="4" w:space="0" w:color="auto"/>
            </w:tcBorders>
            <w:hideMark/>
          </w:tcPr>
          <w:p w14:paraId="394B8AD1"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12271W</w:t>
            </w:r>
          </w:p>
          <w:p w14:paraId="221958C8"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12278F</w:t>
            </w:r>
          </w:p>
          <w:p w14:paraId="416FB6DD"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13251K</w:t>
            </w:r>
          </w:p>
        </w:tc>
        <w:tc>
          <w:tcPr>
            <w:tcW w:w="409" w:type="pct"/>
            <w:tcBorders>
              <w:top w:val="single" w:sz="4" w:space="0" w:color="auto"/>
              <w:left w:val="single" w:sz="4" w:space="0" w:color="auto"/>
              <w:bottom w:val="single" w:sz="4" w:space="0" w:color="auto"/>
              <w:right w:val="single" w:sz="4" w:space="0" w:color="auto"/>
            </w:tcBorders>
            <w:hideMark/>
          </w:tcPr>
          <w:p w14:paraId="75C71DB0"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$2220.89</w:t>
            </w:r>
          </w:p>
          <w:p w14:paraId="72CAEE3B"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$589.39</w:t>
            </w:r>
          </w:p>
          <w:p w14:paraId="6E225307"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$589.39</w:t>
            </w:r>
          </w:p>
        </w:tc>
      </w:tr>
      <w:tr w:rsidR="00EB534F" w:rsidRPr="000F04A0" w14:paraId="0FA3C4FD" w14:textId="77777777" w:rsidTr="001425A2">
        <w:trPr>
          <w:cantSplit/>
        </w:trPr>
        <w:tc>
          <w:tcPr>
            <w:tcW w:w="557" w:type="pct"/>
            <w:tcBorders>
              <w:top w:val="single" w:sz="4" w:space="0" w:color="auto"/>
              <w:left w:val="single" w:sz="4" w:space="0" w:color="auto"/>
              <w:bottom w:val="single" w:sz="4" w:space="0" w:color="auto"/>
              <w:right w:val="single" w:sz="4" w:space="0" w:color="auto"/>
            </w:tcBorders>
            <w:hideMark/>
          </w:tcPr>
          <w:p w14:paraId="418280EE"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Ofatumumab*</w:t>
            </w:r>
          </w:p>
        </w:tc>
        <w:tc>
          <w:tcPr>
            <w:tcW w:w="751" w:type="pct"/>
            <w:tcBorders>
              <w:top w:val="single" w:sz="4" w:space="0" w:color="auto"/>
              <w:left w:val="single" w:sz="4" w:space="0" w:color="auto"/>
              <w:bottom w:val="single" w:sz="4" w:space="0" w:color="auto"/>
              <w:right w:val="single" w:sz="4" w:space="0" w:color="auto"/>
            </w:tcBorders>
            <w:hideMark/>
          </w:tcPr>
          <w:p w14:paraId="4698F025"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Monoclonal antibody</w:t>
            </w:r>
          </w:p>
        </w:tc>
        <w:tc>
          <w:tcPr>
            <w:tcW w:w="519" w:type="pct"/>
            <w:tcBorders>
              <w:top w:val="single" w:sz="4" w:space="0" w:color="auto"/>
              <w:left w:val="single" w:sz="4" w:space="0" w:color="auto"/>
              <w:bottom w:val="single" w:sz="4" w:space="0" w:color="auto"/>
              <w:right w:val="single" w:sz="4" w:space="0" w:color="auto"/>
            </w:tcBorders>
            <w:hideMark/>
          </w:tcPr>
          <w:p w14:paraId="7441926E"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20 mg/0.4 mL</w:t>
            </w:r>
          </w:p>
        </w:tc>
        <w:tc>
          <w:tcPr>
            <w:tcW w:w="661" w:type="pct"/>
            <w:tcBorders>
              <w:top w:val="single" w:sz="4" w:space="0" w:color="auto"/>
              <w:left w:val="single" w:sz="4" w:space="0" w:color="auto"/>
              <w:bottom w:val="single" w:sz="4" w:space="0" w:color="auto"/>
              <w:right w:val="single" w:sz="4" w:space="0" w:color="auto"/>
            </w:tcBorders>
            <w:hideMark/>
          </w:tcPr>
          <w:p w14:paraId="129B81BF"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IV</w:t>
            </w:r>
          </w:p>
          <w:p w14:paraId="72CD328F"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Once a month (after initial load)</w:t>
            </w:r>
          </w:p>
        </w:tc>
        <w:tc>
          <w:tcPr>
            <w:tcW w:w="1405" w:type="pct"/>
            <w:tcBorders>
              <w:top w:val="single" w:sz="4" w:space="0" w:color="auto"/>
              <w:left w:val="single" w:sz="4" w:space="0" w:color="auto"/>
              <w:bottom w:val="single" w:sz="4" w:space="0" w:color="auto"/>
              <w:right w:val="single" w:sz="4" w:space="0" w:color="auto"/>
            </w:tcBorders>
          </w:tcPr>
          <w:p w14:paraId="45197E4D"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Listed on a cost-minimisation basis with fingolimod and as a reference comparator for the nominated comparators fingolimod, cladribine, ocrelizumab, and natalizumab.</w:t>
            </w:r>
          </w:p>
        </w:tc>
        <w:tc>
          <w:tcPr>
            <w:tcW w:w="375" w:type="pct"/>
            <w:tcBorders>
              <w:top w:val="single" w:sz="4" w:space="0" w:color="auto"/>
              <w:left w:val="single" w:sz="4" w:space="0" w:color="auto"/>
              <w:bottom w:val="single" w:sz="4" w:space="0" w:color="auto"/>
              <w:right w:val="single" w:sz="4" w:space="0" w:color="auto"/>
            </w:tcBorders>
            <w:hideMark/>
          </w:tcPr>
          <w:p w14:paraId="7E0F2E9B"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General</w:t>
            </w:r>
          </w:p>
        </w:tc>
        <w:tc>
          <w:tcPr>
            <w:tcW w:w="323" w:type="pct"/>
            <w:tcBorders>
              <w:top w:val="single" w:sz="4" w:space="0" w:color="auto"/>
              <w:left w:val="single" w:sz="4" w:space="0" w:color="auto"/>
              <w:bottom w:val="single" w:sz="4" w:space="0" w:color="auto"/>
              <w:right w:val="single" w:sz="4" w:space="0" w:color="auto"/>
            </w:tcBorders>
            <w:hideMark/>
          </w:tcPr>
          <w:p w14:paraId="277BD9F6"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12641H</w:t>
            </w:r>
          </w:p>
          <w:p w14:paraId="55656A56"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12642J</w:t>
            </w:r>
          </w:p>
        </w:tc>
        <w:tc>
          <w:tcPr>
            <w:tcW w:w="409" w:type="pct"/>
            <w:tcBorders>
              <w:top w:val="single" w:sz="4" w:space="0" w:color="auto"/>
              <w:left w:val="single" w:sz="4" w:space="0" w:color="auto"/>
              <w:bottom w:val="single" w:sz="4" w:space="0" w:color="auto"/>
              <w:right w:val="single" w:sz="4" w:space="0" w:color="auto"/>
            </w:tcBorders>
            <w:hideMark/>
          </w:tcPr>
          <w:p w14:paraId="2EAD5962"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$2184.80</w:t>
            </w:r>
          </w:p>
          <w:p w14:paraId="4B4ACCE8"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$6337.47</w:t>
            </w:r>
          </w:p>
        </w:tc>
      </w:tr>
      <w:tr w:rsidR="00EB534F" w:rsidRPr="000F04A0" w14:paraId="6E3CCD4D" w14:textId="77777777" w:rsidTr="001425A2">
        <w:trPr>
          <w:cantSplit/>
        </w:trPr>
        <w:tc>
          <w:tcPr>
            <w:tcW w:w="557" w:type="pct"/>
            <w:tcBorders>
              <w:top w:val="single" w:sz="4" w:space="0" w:color="auto"/>
              <w:left w:val="single" w:sz="4" w:space="0" w:color="auto"/>
              <w:bottom w:val="single" w:sz="4" w:space="0" w:color="auto"/>
              <w:right w:val="single" w:sz="4" w:space="0" w:color="auto"/>
            </w:tcBorders>
            <w:hideMark/>
          </w:tcPr>
          <w:p w14:paraId="18C8D62F"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Fingolimod</w:t>
            </w:r>
          </w:p>
        </w:tc>
        <w:tc>
          <w:tcPr>
            <w:tcW w:w="751" w:type="pct"/>
            <w:tcBorders>
              <w:top w:val="single" w:sz="4" w:space="0" w:color="auto"/>
              <w:left w:val="single" w:sz="4" w:space="0" w:color="auto"/>
              <w:bottom w:val="single" w:sz="4" w:space="0" w:color="auto"/>
              <w:right w:val="single" w:sz="4" w:space="0" w:color="auto"/>
            </w:tcBorders>
            <w:hideMark/>
          </w:tcPr>
          <w:p w14:paraId="6BCD8C5C"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Sphingosine 1-phosphate receptor modulator</w:t>
            </w:r>
          </w:p>
        </w:tc>
        <w:tc>
          <w:tcPr>
            <w:tcW w:w="519" w:type="pct"/>
            <w:tcBorders>
              <w:top w:val="single" w:sz="4" w:space="0" w:color="auto"/>
              <w:left w:val="single" w:sz="4" w:space="0" w:color="auto"/>
              <w:bottom w:val="single" w:sz="4" w:space="0" w:color="auto"/>
              <w:right w:val="single" w:sz="4" w:space="0" w:color="auto"/>
            </w:tcBorders>
            <w:hideMark/>
          </w:tcPr>
          <w:p w14:paraId="478E839B"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250 mcg</w:t>
            </w:r>
          </w:p>
          <w:p w14:paraId="415BB796"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500 mcg</w:t>
            </w:r>
          </w:p>
        </w:tc>
        <w:tc>
          <w:tcPr>
            <w:tcW w:w="661" w:type="pct"/>
            <w:tcBorders>
              <w:top w:val="single" w:sz="4" w:space="0" w:color="auto"/>
              <w:left w:val="single" w:sz="4" w:space="0" w:color="auto"/>
              <w:bottom w:val="single" w:sz="4" w:space="0" w:color="auto"/>
              <w:right w:val="single" w:sz="4" w:space="0" w:color="auto"/>
            </w:tcBorders>
            <w:hideMark/>
          </w:tcPr>
          <w:p w14:paraId="769ECD01"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Oral</w:t>
            </w:r>
          </w:p>
          <w:p w14:paraId="452BA58F"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color w:val="333333"/>
                <w:sz w:val="20"/>
                <w:szCs w:val="20"/>
                <w:shd w:val="clear" w:color="auto" w:fill="FFFFFF"/>
              </w:rPr>
              <w:t>Daily</w:t>
            </w:r>
          </w:p>
        </w:tc>
        <w:tc>
          <w:tcPr>
            <w:tcW w:w="1405" w:type="pct"/>
            <w:tcBorders>
              <w:top w:val="single" w:sz="4" w:space="0" w:color="auto"/>
              <w:left w:val="single" w:sz="4" w:space="0" w:color="auto"/>
              <w:bottom w:val="single" w:sz="4" w:space="0" w:color="auto"/>
              <w:right w:val="single" w:sz="4" w:space="0" w:color="auto"/>
            </w:tcBorders>
          </w:tcPr>
          <w:p w14:paraId="367B4514" w14:textId="01341FF6"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 xml:space="preserve">Listed </w:t>
            </w:r>
            <w:r w:rsidR="001425A2" w:rsidRPr="000F04A0">
              <w:rPr>
                <w:rFonts w:ascii="Calibri" w:hAnsi="Calibri" w:cs="Calibri"/>
                <w:sz w:val="20"/>
                <w:szCs w:val="20"/>
              </w:rPr>
              <w:t>based on</w:t>
            </w:r>
            <w:r w:rsidRPr="000F04A0">
              <w:rPr>
                <w:rFonts w:ascii="Calibri" w:hAnsi="Calibri" w:cs="Calibri"/>
                <w:sz w:val="20"/>
                <w:szCs w:val="20"/>
              </w:rPr>
              <w:t xml:space="preserve"> cost-effectiveness compared with interferon beta-1a.</w:t>
            </w:r>
          </w:p>
        </w:tc>
        <w:tc>
          <w:tcPr>
            <w:tcW w:w="375" w:type="pct"/>
            <w:tcBorders>
              <w:top w:val="single" w:sz="4" w:space="0" w:color="auto"/>
              <w:left w:val="single" w:sz="4" w:space="0" w:color="auto"/>
              <w:bottom w:val="single" w:sz="4" w:space="0" w:color="auto"/>
              <w:right w:val="single" w:sz="4" w:space="0" w:color="auto"/>
            </w:tcBorders>
            <w:hideMark/>
          </w:tcPr>
          <w:p w14:paraId="3215D9D9"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General</w:t>
            </w:r>
          </w:p>
        </w:tc>
        <w:tc>
          <w:tcPr>
            <w:tcW w:w="323" w:type="pct"/>
            <w:tcBorders>
              <w:top w:val="single" w:sz="4" w:space="0" w:color="auto"/>
              <w:left w:val="single" w:sz="4" w:space="0" w:color="auto"/>
              <w:bottom w:val="single" w:sz="4" w:space="0" w:color="auto"/>
              <w:right w:val="single" w:sz="4" w:space="0" w:color="auto"/>
            </w:tcBorders>
            <w:hideMark/>
          </w:tcPr>
          <w:p w14:paraId="0B531B8C"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11818B</w:t>
            </w:r>
          </w:p>
          <w:p w14:paraId="0E5488CD"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5262Y</w:t>
            </w:r>
          </w:p>
        </w:tc>
        <w:tc>
          <w:tcPr>
            <w:tcW w:w="409" w:type="pct"/>
            <w:tcBorders>
              <w:top w:val="single" w:sz="4" w:space="0" w:color="auto"/>
              <w:left w:val="single" w:sz="4" w:space="0" w:color="auto"/>
              <w:bottom w:val="single" w:sz="4" w:space="0" w:color="auto"/>
              <w:right w:val="single" w:sz="4" w:space="0" w:color="auto"/>
            </w:tcBorders>
            <w:hideMark/>
          </w:tcPr>
          <w:p w14:paraId="5C10EA20"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$1063.91</w:t>
            </w:r>
          </w:p>
          <w:p w14:paraId="0FF2BCAC"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$936.59</w:t>
            </w:r>
          </w:p>
        </w:tc>
      </w:tr>
      <w:tr w:rsidR="00EB534F" w:rsidRPr="000F04A0" w14:paraId="4756FCA1" w14:textId="77777777" w:rsidTr="001425A2">
        <w:trPr>
          <w:cantSplit/>
        </w:trPr>
        <w:tc>
          <w:tcPr>
            <w:tcW w:w="557" w:type="pct"/>
            <w:tcBorders>
              <w:top w:val="single" w:sz="4" w:space="0" w:color="auto"/>
              <w:left w:val="single" w:sz="4" w:space="0" w:color="auto"/>
              <w:bottom w:val="single" w:sz="4" w:space="0" w:color="auto"/>
              <w:right w:val="single" w:sz="4" w:space="0" w:color="auto"/>
            </w:tcBorders>
            <w:hideMark/>
          </w:tcPr>
          <w:p w14:paraId="2D9CF35E"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Cladribine*</w:t>
            </w:r>
          </w:p>
        </w:tc>
        <w:tc>
          <w:tcPr>
            <w:tcW w:w="751" w:type="pct"/>
            <w:tcBorders>
              <w:top w:val="single" w:sz="4" w:space="0" w:color="auto"/>
              <w:left w:val="single" w:sz="4" w:space="0" w:color="auto"/>
              <w:bottom w:val="single" w:sz="4" w:space="0" w:color="auto"/>
              <w:right w:val="single" w:sz="4" w:space="0" w:color="auto"/>
            </w:tcBorders>
            <w:hideMark/>
          </w:tcPr>
          <w:p w14:paraId="7931224E"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color w:val="333333"/>
                <w:sz w:val="20"/>
                <w:szCs w:val="20"/>
                <w:shd w:val="clear" w:color="auto" w:fill="FFFFFF"/>
              </w:rPr>
              <w:t>Purine antimetabolite</w:t>
            </w:r>
          </w:p>
        </w:tc>
        <w:tc>
          <w:tcPr>
            <w:tcW w:w="519" w:type="pct"/>
            <w:tcBorders>
              <w:top w:val="single" w:sz="4" w:space="0" w:color="auto"/>
              <w:left w:val="single" w:sz="4" w:space="0" w:color="auto"/>
              <w:bottom w:val="single" w:sz="4" w:space="0" w:color="auto"/>
              <w:right w:val="single" w:sz="4" w:space="0" w:color="auto"/>
            </w:tcBorders>
            <w:hideMark/>
          </w:tcPr>
          <w:p w14:paraId="6CFDFD46"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10 mg</w:t>
            </w:r>
          </w:p>
        </w:tc>
        <w:tc>
          <w:tcPr>
            <w:tcW w:w="661" w:type="pct"/>
            <w:tcBorders>
              <w:top w:val="single" w:sz="4" w:space="0" w:color="auto"/>
              <w:left w:val="single" w:sz="4" w:space="0" w:color="auto"/>
              <w:bottom w:val="single" w:sz="4" w:space="0" w:color="auto"/>
              <w:right w:val="single" w:sz="4" w:space="0" w:color="auto"/>
            </w:tcBorders>
            <w:hideMark/>
          </w:tcPr>
          <w:p w14:paraId="66EA58D8"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Oral</w:t>
            </w:r>
          </w:p>
          <w:p w14:paraId="475F3E65"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2 courses 12 months apart</w:t>
            </w:r>
          </w:p>
        </w:tc>
        <w:tc>
          <w:tcPr>
            <w:tcW w:w="1405" w:type="pct"/>
            <w:tcBorders>
              <w:top w:val="single" w:sz="4" w:space="0" w:color="auto"/>
              <w:left w:val="single" w:sz="4" w:space="0" w:color="auto"/>
              <w:bottom w:val="single" w:sz="4" w:space="0" w:color="auto"/>
              <w:right w:val="single" w:sz="4" w:space="0" w:color="auto"/>
            </w:tcBorders>
          </w:tcPr>
          <w:p w14:paraId="2BE9800F"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Listed on a cost-minimisation basis with fingolimod</w:t>
            </w:r>
          </w:p>
        </w:tc>
        <w:tc>
          <w:tcPr>
            <w:tcW w:w="375" w:type="pct"/>
            <w:tcBorders>
              <w:top w:val="single" w:sz="4" w:space="0" w:color="auto"/>
              <w:left w:val="single" w:sz="4" w:space="0" w:color="auto"/>
              <w:bottom w:val="single" w:sz="4" w:space="0" w:color="auto"/>
              <w:right w:val="single" w:sz="4" w:space="0" w:color="auto"/>
            </w:tcBorders>
            <w:hideMark/>
          </w:tcPr>
          <w:p w14:paraId="37E29159"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General</w:t>
            </w:r>
          </w:p>
        </w:tc>
        <w:tc>
          <w:tcPr>
            <w:tcW w:w="323" w:type="pct"/>
            <w:tcBorders>
              <w:top w:val="single" w:sz="4" w:space="0" w:color="auto"/>
              <w:left w:val="single" w:sz="4" w:space="0" w:color="auto"/>
              <w:bottom w:val="single" w:sz="4" w:space="0" w:color="auto"/>
              <w:right w:val="single" w:sz="4" w:space="0" w:color="auto"/>
            </w:tcBorders>
            <w:hideMark/>
          </w:tcPr>
          <w:p w14:paraId="09EECB44"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11603Q</w:t>
            </w:r>
          </w:p>
          <w:p w14:paraId="28F8B191"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11604R</w:t>
            </w:r>
          </w:p>
          <w:p w14:paraId="67C0D48D"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11611D</w:t>
            </w:r>
          </w:p>
        </w:tc>
        <w:tc>
          <w:tcPr>
            <w:tcW w:w="409" w:type="pct"/>
            <w:tcBorders>
              <w:top w:val="single" w:sz="4" w:space="0" w:color="auto"/>
              <w:left w:val="single" w:sz="4" w:space="0" w:color="auto"/>
              <w:bottom w:val="single" w:sz="4" w:space="0" w:color="auto"/>
              <w:right w:val="single" w:sz="4" w:space="0" w:color="auto"/>
            </w:tcBorders>
            <w:hideMark/>
          </w:tcPr>
          <w:p w14:paraId="6BA70CFF"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$3803.99</w:t>
            </w:r>
          </w:p>
          <w:p w14:paraId="02AA826F"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$29293.73</w:t>
            </w:r>
          </w:p>
          <w:p w14:paraId="625A9019"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$22010.94</w:t>
            </w:r>
          </w:p>
        </w:tc>
      </w:tr>
      <w:tr w:rsidR="00EB534F" w:rsidRPr="000F04A0" w14:paraId="526E4596" w14:textId="77777777" w:rsidTr="001425A2">
        <w:trPr>
          <w:cantSplit/>
        </w:trPr>
        <w:tc>
          <w:tcPr>
            <w:tcW w:w="557" w:type="pct"/>
            <w:tcBorders>
              <w:top w:val="single" w:sz="4" w:space="0" w:color="auto"/>
              <w:left w:val="single" w:sz="4" w:space="0" w:color="auto"/>
              <w:bottom w:val="single" w:sz="4" w:space="0" w:color="auto"/>
              <w:right w:val="single" w:sz="4" w:space="0" w:color="auto"/>
            </w:tcBorders>
          </w:tcPr>
          <w:p w14:paraId="6F268C65" w14:textId="77777777" w:rsidR="00EB534F" w:rsidRPr="000F04A0" w:rsidRDefault="00EB534F" w:rsidP="00AD7408">
            <w:pPr>
              <w:pStyle w:val="3Bodytext"/>
              <w:spacing w:after="0"/>
              <w:ind w:left="0" w:firstLine="0"/>
              <w:jc w:val="left"/>
              <w:rPr>
                <w:rFonts w:ascii="Calibri" w:hAnsi="Calibri" w:cs="Calibri"/>
                <w:sz w:val="20"/>
                <w:szCs w:val="20"/>
              </w:rPr>
            </w:pPr>
            <w:bookmarkStart w:id="3" w:name="_Hlk175571222"/>
            <w:r w:rsidRPr="000F04A0">
              <w:rPr>
                <w:rFonts w:ascii="Calibri" w:hAnsi="Calibri" w:cs="Calibri"/>
                <w:sz w:val="20"/>
                <w:szCs w:val="20"/>
              </w:rPr>
              <w:t>Siponimod</w:t>
            </w:r>
            <w:bookmarkEnd w:id="3"/>
            <w:r w:rsidRPr="000F04A0">
              <w:rPr>
                <w:rFonts w:ascii="Calibri" w:hAnsi="Calibri" w:cs="Calibri"/>
                <w:sz w:val="20"/>
                <w:szCs w:val="20"/>
              </w:rPr>
              <w:t>*</w:t>
            </w:r>
          </w:p>
          <w:p w14:paraId="34E4EBB7"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(Secondary progressive MS)</w:t>
            </w:r>
          </w:p>
        </w:tc>
        <w:tc>
          <w:tcPr>
            <w:tcW w:w="751" w:type="pct"/>
            <w:tcBorders>
              <w:top w:val="single" w:sz="4" w:space="0" w:color="auto"/>
              <w:left w:val="single" w:sz="4" w:space="0" w:color="auto"/>
              <w:bottom w:val="single" w:sz="4" w:space="0" w:color="auto"/>
              <w:right w:val="single" w:sz="4" w:space="0" w:color="auto"/>
            </w:tcBorders>
          </w:tcPr>
          <w:p w14:paraId="4D338A0C" w14:textId="77777777" w:rsidR="00EB534F" w:rsidRPr="000F04A0" w:rsidRDefault="00EB534F" w:rsidP="00AD7408">
            <w:pPr>
              <w:pStyle w:val="3Bodytext"/>
              <w:spacing w:after="0"/>
              <w:ind w:left="0" w:firstLine="0"/>
              <w:jc w:val="left"/>
              <w:rPr>
                <w:rFonts w:ascii="Calibri" w:hAnsi="Calibri" w:cs="Calibri"/>
                <w:color w:val="333333"/>
                <w:sz w:val="20"/>
                <w:szCs w:val="20"/>
                <w:shd w:val="clear" w:color="auto" w:fill="FFFFFF"/>
              </w:rPr>
            </w:pPr>
            <w:r w:rsidRPr="000F04A0">
              <w:rPr>
                <w:rFonts w:ascii="Calibri" w:hAnsi="Calibri" w:cs="Calibri"/>
                <w:sz w:val="20"/>
                <w:szCs w:val="20"/>
              </w:rPr>
              <w:t>Sphingosine 1-phosphate receptor modulator</w:t>
            </w:r>
          </w:p>
        </w:tc>
        <w:tc>
          <w:tcPr>
            <w:tcW w:w="519" w:type="pct"/>
            <w:tcBorders>
              <w:top w:val="single" w:sz="4" w:space="0" w:color="auto"/>
              <w:left w:val="single" w:sz="4" w:space="0" w:color="auto"/>
              <w:bottom w:val="single" w:sz="4" w:space="0" w:color="auto"/>
              <w:right w:val="single" w:sz="4" w:space="0" w:color="auto"/>
            </w:tcBorders>
          </w:tcPr>
          <w:p w14:paraId="4D43BB89"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2 mg</w:t>
            </w:r>
          </w:p>
        </w:tc>
        <w:tc>
          <w:tcPr>
            <w:tcW w:w="661" w:type="pct"/>
            <w:tcBorders>
              <w:top w:val="single" w:sz="4" w:space="0" w:color="auto"/>
              <w:left w:val="single" w:sz="4" w:space="0" w:color="auto"/>
              <w:bottom w:val="single" w:sz="4" w:space="0" w:color="auto"/>
              <w:right w:val="single" w:sz="4" w:space="0" w:color="auto"/>
            </w:tcBorders>
          </w:tcPr>
          <w:p w14:paraId="3A7E540E"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Oral</w:t>
            </w:r>
          </w:p>
          <w:p w14:paraId="1B6B7C66"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color w:val="333333"/>
                <w:sz w:val="20"/>
                <w:szCs w:val="20"/>
                <w:shd w:val="clear" w:color="auto" w:fill="FFFFFF"/>
              </w:rPr>
              <w:t>Daily</w:t>
            </w:r>
          </w:p>
        </w:tc>
        <w:tc>
          <w:tcPr>
            <w:tcW w:w="1405" w:type="pct"/>
            <w:tcBorders>
              <w:top w:val="single" w:sz="4" w:space="0" w:color="auto"/>
              <w:left w:val="single" w:sz="4" w:space="0" w:color="auto"/>
              <w:bottom w:val="single" w:sz="4" w:space="0" w:color="auto"/>
              <w:right w:val="single" w:sz="4" w:space="0" w:color="auto"/>
            </w:tcBorders>
          </w:tcPr>
          <w:p w14:paraId="05900A55"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Listed on a cost minimisation basis versus fingolimod in the group of patients who would otherwise be treated with fingolimod</w:t>
            </w:r>
          </w:p>
        </w:tc>
        <w:tc>
          <w:tcPr>
            <w:tcW w:w="375" w:type="pct"/>
            <w:tcBorders>
              <w:top w:val="single" w:sz="4" w:space="0" w:color="auto"/>
              <w:left w:val="single" w:sz="4" w:space="0" w:color="auto"/>
              <w:bottom w:val="single" w:sz="4" w:space="0" w:color="auto"/>
              <w:right w:val="single" w:sz="4" w:space="0" w:color="auto"/>
            </w:tcBorders>
          </w:tcPr>
          <w:p w14:paraId="01E917FA"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General</w:t>
            </w:r>
          </w:p>
        </w:tc>
        <w:tc>
          <w:tcPr>
            <w:tcW w:w="323" w:type="pct"/>
            <w:tcBorders>
              <w:top w:val="single" w:sz="4" w:space="0" w:color="auto"/>
              <w:left w:val="single" w:sz="4" w:space="0" w:color="auto"/>
              <w:bottom w:val="single" w:sz="4" w:space="0" w:color="auto"/>
              <w:right w:val="single" w:sz="4" w:space="0" w:color="auto"/>
            </w:tcBorders>
          </w:tcPr>
          <w:p w14:paraId="66499507" w14:textId="77777777" w:rsidR="00EB534F" w:rsidRPr="000F04A0" w:rsidRDefault="00EB534F" w:rsidP="00AD7408">
            <w:pPr>
              <w:pStyle w:val="3Bodytext"/>
              <w:spacing w:after="0"/>
              <w:ind w:left="0" w:firstLine="0"/>
              <w:jc w:val="left"/>
              <w:rPr>
                <w:rFonts w:ascii="Calibri" w:hAnsi="Calibri" w:cs="Calibri"/>
                <w:sz w:val="20"/>
                <w:szCs w:val="20"/>
              </w:rPr>
            </w:pPr>
            <w:r w:rsidRPr="000F04A0">
              <w:rPr>
                <w:rFonts w:ascii="Calibri" w:hAnsi="Calibri" w:cs="Calibri"/>
                <w:sz w:val="20"/>
                <w:szCs w:val="20"/>
              </w:rPr>
              <w:t>12158X</w:t>
            </w:r>
          </w:p>
        </w:tc>
        <w:tc>
          <w:tcPr>
            <w:tcW w:w="409" w:type="pct"/>
            <w:tcBorders>
              <w:top w:val="single" w:sz="4" w:space="0" w:color="auto"/>
              <w:left w:val="single" w:sz="4" w:space="0" w:color="auto"/>
              <w:bottom w:val="single" w:sz="4" w:space="0" w:color="auto"/>
              <w:right w:val="single" w:sz="4" w:space="0" w:color="auto"/>
            </w:tcBorders>
          </w:tcPr>
          <w:p w14:paraId="2FE72B20" w14:textId="77777777" w:rsidR="00EB534F" w:rsidRPr="000F04A0" w:rsidRDefault="00EB534F" w:rsidP="00AD7408">
            <w:pPr>
              <w:pStyle w:val="3Bodytext"/>
              <w:spacing w:after="0"/>
              <w:ind w:left="0" w:firstLine="0"/>
              <w:rPr>
                <w:rFonts w:ascii="Calibri" w:hAnsi="Calibri" w:cs="Calibri"/>
                <w:sz w:val="20"/>
                <w:szCs w:val="20"/>
              </w:rPr>
            </w:pPr>
            <w:r w:rsidRPr="000F04A0">
              <w:rPr>
                <w:rFonts w:ascii="Calibri" w:hAnsi="Calibri" w:cs="Calibri"/>
                <w:sz w:val="20"/>
                <w:szCs w:val="20"/>
              </w:rPr>
              <w:t>$2220.89</w:t>
            </w:r>
          </w:p>
        </w:tc>
      </w:tr>
    </w:tbl>
    <w:p w14:paraId="409C6833" w14:textId="77777777" w:rsidR="00EB534F" w:rsidRPr="000F04A0" w:rsidRDefault="00EB534F" w:rsidP="00EB534F">
      <w:pPr>
        <w:pStyle w:val="3Bodytext"/>
        <w:ind w:left="0" w:firstLine="0"/>
        <w:rPr>
          <w:rFonts w:ascii="Calibri" w:hAnsi="Calibri" w:cs="Calibri"/>
          <w:sz w:val="20"/>
          <w:szCs w:val="20"/>
        </w:rPr>
      </w:pPr>
      <w:r w:rsidRPr="000F04A0">
        <w:rPr>
          <w:rFonts w:ascii="Calibri" w:hAnsi="Calibri" w:cs="Calibri"/>
          <w:sz w:val="20"/>
          <w:szCs w:val="20"/>
        </w:rPr>
        <w:t>* A special pricing arrangement exists for this medicine.</w:t>
      </w:r>
    </w:p>
    <w:p w14:paraId="36233FF7" w14:textId="4E22BAB1" w:rsidR="00EB534F" w:rsidRPr="001425A2" w:rsidRDefault="001425A2" w:rsidP="001425A2">
      <w:pPr>
        <w:pStyle w:val="ListParagraph"/>
        <w:numPr>
          <w:ilvl w:val="0"/>
          <w:numId w:val="18"/>
        </w:numPr>
        <w:rPr>
          <w:rFonts w:ascii="Calibri" w:hAnsi="Calibri" w:cs="Calibri"/>
          <w:b/>
          <w:bCs/>
          <w:sz w:val="20"/>
          <w:szCs w:val="20"/>
        </w:rPr>
      </w:pPr>
      <w:r w:rsidRPr="001425A2">
        <w:rPr>
          <w:rFonts w:ascii="Calibri" w:hAnsi="Calibri" w:cs="Calibri"/>
          <w:b/>
          <w:bCs/>
          <w:sz w:val="20"/>
          <w:szCs w:val="20"/>
        </w:rPr>
        <w:lastRenderedPageBreak/>
        <w:t>Moderate efficacy tier DMTs</w:t>
      </w:r>
    </w:p>
    <w:tbl>
      <w:tblPr>
        <w:tblStyle w:val="TableGrid"/>
        <w:tblW w:w="5000" w:type="pct"/>
        <w:tblLook w:val="04A0" w:firstRow="1" w:lastRow="0" w:firstColumn="1" w:lastColumn="0" w:noHBand="0" w:noVBand="1"/>
      </w:tblPr>
      <w:tblGrid>
        <w:gridCol w:w="1554"/>
        <w:gridCol w:w="2095"/>
        <w:gridCol w:w="1035"/>
        <w:gridCol w:w="1886"/>
        <w:gridCol w:w="4290"/>
        <w:gridCol w:w="1046"/>
        <w:gridCol w:w="901"/>
        <w:gridCol w:w="1141"/>
      </w:tblGrid>
      <w:tr w:rsidR="001425A2" w:rsidRPr="000F04A0" w14:paraId="5B5BE7D3" w14:textId="77777777" w:rsidTr="00DB634F">
        <w:trPr>
          <w:cantSplit/>
          <w:tblHeader/>
        </w:trPr>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59A886" w14:textId="77777777" w:rsidR="001425A2" w:rsidRPr="000F04A0" w:rsidRDefault="001425A2" w:rsidP="00DB634F">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Drug</w:t>
            </w:r>
          </w:p>
        </w:tc>
        <w:tc>
          <w:tcPr>
            <w:tcW w:w="75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2BC39" w14:textId="77777777" w:rsidR="001425A2" w:rsidRPr="000F04A0" w:rsidRDefault="001425A2" w:rsidP="00DB634F">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Class of drug</w:t>
            </w:r>
          </w:p>
        </w:tc>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1BC29A" w14:textId="77777777" w:rsidR="001425A2" w:rsidRPr="000F04A0" w:rsidRDefault="001425A2" w:rsidP="00DB634F">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Strength</w:t>
            </w:r>
          </w:p>
        </w:tc>
        <w:tc>
          <w:tcPr>
            <w:tcW w:w="6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0588D3" w14:textId="77777777" w:rsidR="001425A2" w:rsidRPr="000F04A0" w:rsidRDefault="001425A2" w:rsidP="00DB634F">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Route of administration/ dose regimen</w:t>
            </w:r>
          </w:p>
        </w:tc>
        <w:tc>
          <w:tcPr>
            <w:tcW w:w="1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5F02A9" w14:textId="77777777" w:rsidR="001425A2" w:rsidRPr="000F04A0" w:rsidRDefault="001425A2" w:rsidP="00DB634F">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Basis for PBS listing</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F5D87A" w14:textId="77777777" w:rsidR="001425A2" w:rsidRPr="000F04A0" w:rsidRDefault="001425A2" w:rsidP="00DB634F">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PBS Schedule</w:t>
            </w:r>
          </w:p>
        </w:tc>
        <w:tc>
          <w:tcPr>
            <w:tcW w:w="32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7E73F2" w14:textId="77777777" w:rsidR="001425A2" w:rsidRPr="000F04A0" w:rsidRDefault="001425A2" w:rsidP="00DB634F">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PBS Item</w:t>
            </w:r>
          </w:p>
        </w:tc>
        <w:tc>
          <w:tcPr>
            <w:tcW w:w="40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32EA86" w14:textId="77777777" w:rsidR="001425A2" w:rsidRPr="000F04A0" w:rsidRDefault="001425A2" w:rsidP="00DB634F">
            <w:pPr>
              <w:pStyle w:val="3Bodytext"/>
              <w:spacing w:after="0"/>
              <w:ind w:left="0" w:firstLine="0"/>
              <w:jc w:val="left"/>
              <w:rPr>
                <w:rFonts w:ascii="Calibri" w:hAnsi="Calibri" w:cs="Calibri"/>
                <w:b/>
                <w:bCs/>
                <w:sz w:val="20"/>
                <w:szCs w:val="20"/>
              </w:rPr>
            </w:pPr>
            <w:r w:rsidRPr="000F04A0">
              <w:rPr>
                <w:rFonts w:ascii="Calibri" w:hAnsi="Calibri" w:cs="Calibri"/>
                <w:b/>
                <w:bCs/>
                <w:sz w:val="20"/>
                <w:szCs w:val="20"/>
              </w:rPr>
              <w:t>Published DPMQ</w:t>
            </w:r>
          </w:p>
        </w:tc>
      </w:tr>
      <w:tr w:rsidR="001425A2" w:rsidRPr="000F04A0" w14:paraId="054AC51A" w14:textId="77777777" w:rsidTr="00DB634F">
        <w:trPr>
          <w:cantSplit/>
        </w:trPr>
        <w:tc>
          <w:tcPr>
            <w:tcW w:w="557" w:type="pct"/>
            <w:tcBorders>
              <w:top w:val="single" w:sz="4" w:space="0" w:color="auto"/>
              <w:left w:val="single" w:sz="4" w:space="0" w:color="auto"/>
              <w:bottom w:val="single" w:sz="4" w:space="0" w:color="auto"/>
              <w:right w:val="single" w:sz="4" w:space="0" w:color="auto"/>
            </w:tcBorders>
            <w:hideMark/>
          </w:tcPr>
          <w:p w14:paraId="10A9D720"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Teriflunomide</w:t>
            </w:r>
          </w:p>
        </w:tc>
        <w:tc>
          <w:tcPr>
            <w:tcW w:w="751" w:type="pct"/>
            <w:tcBorders>
              <w:top w:val="single" w:sz="4" w:space="0" w:color="auto"/>
              <w:left w:val="single" w:sz="4" w:space="0" w:color="auto"/>
              <w:bottom w:val="single" w:sz="4" w:space="0" w:color="auto"/>
              <w:right w:val="single" w:sz="4" w:space="0" w:color="auto"/>
            </w:tcBorders>
            <w:hideMark/>
          </w:tcPr>
          <w:p w14:paraId="5EAE9887"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Pyrimidine synthesis inhibitor</w:t>
            </w:r>
          </w:p>
        </w:tc>
        <w:tc>
          <w:tcPr>
            <w:tcW w:w="371" w:type="pct"/>
            <w:tcBorders>
              <w:top w:val="single" w:sz="4" w:space="0" w:color="auto"/>
              <w:left w:val="single" w:sz="4" w:space="0" w:color="auto"/>
              <w:bottom w:val="single" w:sz="4" w:space="0" w:color="auto"/>
              <w:right w:val="single" w:sz="4" w:space="0" w:color="auto"/>
            </w:tcBorders>
            <w:hideMark/>
          </w:tcPr>
          <w:p w14:paraId="6B1E4BD5"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14 mg</w:t>
            </w:r>
          </w:p>
        </w:tc>
        <w:tc>
          <w:tcPr>
            <w:tcW w:w="676" w:type="pct"/>
            <w:tcBorders>
              <w:top w:val="single" w:sz="4" w:space="0" w:color="auto"/>
              <w:left w:val="single" w:sz="4" w:space="0" w:color="auto"/>
              <w:bottom w:val="single" w:sz="4" w:space="0" w:color="auto"/>
              <w:right w:val="single" w:sz="4" w:space="0" w:color="auto"/>
            </w:tcBorders>
            <w:hideMark/>
          </w:tcPr>
          <w:p w14:paraId="04500D97"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Oral</w:t>
            </w:r>
          </w:p>
          <w:p w14:paraId="0E25F9DA"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color w:val="333333"/>
                <w:sz w:val="20"/>
                <w:szCs w:val="20"/>
                <w:shd w:val="clear" w:color="auto" w:fill="FFFFFF"/>
              </w:rPr>
              <w:t>Daily</w:t>
            </w:r>
          </w:p>
        </w:tc>
        <w:tc>
          <w:tcPr>
            <w:tcW w:w="1538" w:type="pct"/>
            <w:tcBorders>
              <w:top w:val="single" w:sz="4" w:space="0" w:color="auto"/>
              <w:left w:val="single" w:sz="4" w:space="0" w:color="auto"/>
              <w:bottom w:val="single" w:sz="4" w:space="0" w:color="auto"/>
              <w:right w:val="single" w:sz="4" w:space="0" w:color="auto"/>
            </w:tcBorders>
          </w:tcPr>
          <w:p w14:paraId="61EEE92C"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Listed on a cost-minimisation basis to interferon β-1a and interferon β-1b.</w:t>
            </w:r>
          </w:p>
        </w:tc>
        <w:tc>
          <w:tcPr>
            <w:tcW w:w="375" w:type="pct"/>
            <w:tcBorders>
              <w:top w:val="single" w:sz="4" w:space="0" w:color="auto"/>
              <w:left w:val="single" w:sz="4" w:space="0" w:color="auto"/>
              <w:bottom w:val="single" w:sz="4" w:space="0" w:color="auto"/>
              <w:right w:val="single" w:sz="4" w:space="0" w:color="auto"/>
            </w:tcBorders>
            <w:hideMark/>
          </w:tcPr>
          <w:p w14:paraId="25743A0B"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General</w:t>
            </w:r>
          </w:p>
        </w:tc>
        <w:tc>
          <w:tcPr>
            <w:tcW w:w="323" w:type="pct"/>
            <w:tcBorders>
              <w:top w:val="single" w:sz="4" w:space="0" w:color="auto"/>
              <w:left w:val="single" w:sz="4" w:space="0" w:color="auto"/>
              <w:bottom w:val="single" w:sz="4" w:space="0" w:color="auto"/>
              <w:right w:val="single" w:sz="4" w:space="0" w:color="auto"/>
            </w:tcBorders>
            <w:hideMark/>
          </w:tcPr>
          <w:p w14:paraId="76E3718A"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2898M</w:t>
            </w:r>
          </w:p>
        </w:tc>
        <w:tc>
          <w:tcPr>
            <w:tcW w:w="409" w:type="pct"/>
            <w:tcBorders>
              <w:top w:val="single" w:sz="4" w:space="0" w:color="auto"/>
              <w:left w:val="single" w:sz="4" w:space="0" w:color="auto"/>
              <w:bottom w:val="single" w:sz="4" w:space="0" w:color="auto"/>
              <w:right w:val="single" w:sz="4" w:space="0" w:color="auto"/>
            </w:tcBorders>
            <w:hideMark/>
          </w:tcPr>
          <w:p w14:paraId="0E87A828" w14:textId="77777777" w:rsidR="001425A2" w:rsidRPr="000F04A0" w:rsidRDefault="001425A2" w:rsidP="00DB634F">
            <w:pPr>
              <w:pStyle w:val="3Bodytext"/>
              <w:spacing w:after="0"/>
              <w:ind w:left="0" w:firstLine="0"/>
              <w:rPr>
                <w:rFonts w:ascii="Calibri" w:hAnsi="Calibri" w:cs="Calibri"/>
                <w:sz w:val="20"/>
                <w:szCs w:val="20"/>
              </w:rPr>
            </w:pPr>
            <w:r w:rsidRPr="000F04A0">
              <w:rPr>
                <w:rFonts w:ascii="Calibri" w:hAnsi="Calibri" w:cs="Calibri"/>
                <w:sz w:val="20"/>
                <w:szCs w:val="20"/>
              </w:rPr>
              <w:t>$117.41</w:t>
            </w:r>
          </w:p>
        </w:tc>
      </w:tr>
      <w:tr w:rsidR="001425A2" w:rsidRPr="000F04A0" w14:paraId="7331773F" w14:textId="77777777" w:rsidTr="00DB634F">
        <w:trPr>
          <w:cantSplit/>
        </w:trPr>
        <w:tc>
          <w:tcPr>
            <w:tcW w:w="557" w:type="pct"/>
            <w:tcBorders>
              <w:top w:val="single" w:sz="4" w:space="0" w:color="auto"/>
              <w:left w:val="single" w:sz="4" w:space="0" w:color="auto"/>
              <w:bottom w:val="single" w:sz="4" w:space="0" w:color="auto"/>
              <w:right w:val="single" w:sz="4" w:space="0" w:color="auto"/>
            </w:tcBorders>
            <w:hideMark/>
          </w:tcPr>
          <w:p w14:paraId="20781D43"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Peginterferon beta 1a</w:t>
            </w:r>
          </w:p>
        </w:tc>
        <w:tc>
          <w:tcPr>
            <w:tcW w:w="751" w:type="pct"/>
            <w:tcBorders>
              <w:top w:val="single" w:sz="4" w:space="0" w:color="auto"/>
              <w:left w:val="single" w:sz="4" w:space="0" w:color="auto"/>
              <w:bottom w:val="single" w:sz="4" w:space="0" w:color="auto"/>
              <w:right w:val="single" w:sz="4" w:space="0" w:color="auto"/>
            </w:tcBorders>
            <w:hideMark/>
          </w:tcPr>
          <w:p w14:paraId="3B074A43"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Interferons</w:t>
            </w:r>
          </w:p>
        </w:tc>
        <w:tc>
          <w:tcPr>
            <w:tcW w:w="371" w:type="pct"/>
            <w:tcBorders>
              <w:top w:val="single" w:sz="4" w:space="0" w:color="auto"/>
              <w:left w:val="single" w:sz="4" w:space="0" w:color="auto"/>
              <w:bottom w:val="single" w:sz="4" w:space="0" w:color="auto"/>
              <w:right w:val="single" w:sz="4" w:space="0" w:color="auto"/>
            </w:tcBorders>
            <w:hideMark/>
          </w:tcPr>
          <w:p w14:paraId="21B8CBA7"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125 mcg /0.5 mL</w:t>
            </w:r>
          </w:p>
        </w:tc>
        <w:tc>
          <w:tcPr>
            <w:tcW w:w="676" w:type="pct"/>
            <w:tcBorders>
              <w:top w:val="single" w:sz="4" w:space="0" w:color="auto"/>
              <w:left w:val="single" w:sz="4" w:space="0" w:color="auto"/>
              <w:bottom w:val="single" w:sz="4" w:space="0" w:color="auto"/>
              <w:right w:val="single" w:sz="4" w:space="0" w:color="auto"/>
            </w:tcBorders>
            <w:hideMark/>
          </w:tcPr>
          <w:p w14:paraId="49697AF1"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SC</w:t>
            </w:r>
          </w:p>
          <w:p w14:paraId="6E9E4F02"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Every 2 weeks</w:t>
            </w:r>
          </w:p>
        </w:tc>
        <w:tc>
          <w:tcPr>
            <w:tcW w:w="1538" w:type="pct"/>
            <w:tcBorders>
              <w:top w:val="single" w:sz="4" w:space="0" w:color="auto"/>
              <w:left w:val="single" w:sz="4" w:space="0" w:color="auto"/>
              <w:bottom w:val="single" w:sz="4" w:space="0" w:color="auto"/>
              <w:right w:val="single" w:sz="4" w:space="0" w:color="auto"/>
            </w:tcBorders>
          </w:tcPr>
          <w:p w14:paraId="4A49E94D"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Listed on a cost-minimisation basis to interferon β-1b.</w:t>
            </w:r>
          </w:p>
        </w:tc>
        <w:tc>
          <w:tcPr>
            <w:tcW w:w="375" w:type="pct"/>
            <w:tcBorders>
              <w:top w:val="single" w:sz="4" w:space="0" w:color="auto"/>
              <w:left w:val="single" w:sz="4" w:space="0" w:color="auto"/>
              <w:bottom w:val="single" w:sz="4" w:space="0" w:color="auto"/>
              <w:right w:val="single" w:sz="4" w:space="0" w:color="auto"/>
            </w:tcBorders>
            <w:hideMark/>
          </w:tcPr>
          <w:p w14:paraId="10880644"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General</w:t>
            </w:r>
          </w:p>
        </w:tc>
        <w:tc>
          <w:tcPr>
            <w:tcW w:w="323" w:type="pct"/>
            <w:tcBorders>
              <w:top w:val="single" w:sz="4" w:space="0" w:color="auto"/>
              <w:left w:val="single" w:sz="4" w:space="0" w:color="auto"/>
              <w:bottom w:val="single" w:sz="4" w:space="0" w:color="auto"/>
              <w:right w:val="single" w:sz="4" w:space="0" w:color="auto"/>
            </w:tcBorders>
            <w:hideMark/>
          </w:tcPr>
          <w:p w14:paraId="4D6529A2"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10212L</w:t>
            </w:r>
          </w:p>
          <w:p w14:paraId="3CFAF7E7"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10218T</w:t>
            </w:r>
          </w:p>
          <w:p w14:paraId="030540C6"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10220X</w:t>
            </w:r>
          </w:p>
        </w:tc>
        <w:tc>
          <w:tcPr>
            <w:tcW w:w="409" w:type="pct"/>
            <w:tcBorders>
              <w:top w:val="single" w:sz="4" w:space="0" w:color="auto"/>
              <w:left w:val="single" w:sz="4" w:space="0" w:color="auto"/>
              <w:bottom w:val="single" w:sz="4" w:space="0" w:color="auto"/>
              <w:right w:val="single" w:sz="4" w:space="0" w:color="auto"/>
            </w:tcBorders>
            <w:hideMark/>
          </w:tcPr>
          <w:p w14:paraId="7B9295F6" w14:textId="77777777" w:rsidR="001425A2" w:rsidRPr="000F04A0" w:rsidRDefault="001425A2" w:rsidP="00DB634F">
            <w:pPr>
              <w:pStyle w:val="3Bodytext"/>
              <w:spacing w:after="0"/>
              <w:ind w:left="0" w:firstLine="0"/>
              <w:rPr>
                <w:rFonts w:ascii="Calibri" w:hAnsi="Calibri" w:cs="Calibri"/>
                <w:sz w:val="20"/>
                <w:szCs w:val="20"/>
              </w:rPr>
            </w:pPr>
            <w:r w:rsidRPr="000F04A0">
              <w:rPr>
                <w:rFonts w:ascii="Calibri" w:hAnsi="Calibri" w:cs="Calibri"/>
                <w:sz w:val="20"/>
                <w:szCs w:val="20"/>
              </w:rPr>
              <w:t>$635.56</w:t>
            </w:r>
          </w:p>
          <w:p w14:paraId="418FFAC0" w14:textId="77777777" w:rsidR="001425A2" w:rsidRPr="000F04A0" w:rsidRDefault="001425A2" w:rsidP="00DB634F">
            <w:pPr>
              <w:pStyle w:val="3Bodytext"/>
              <w:spacing w:after="0"/>
              <w:ind w:left="0" w:firstLine="0"/>
              <w:rPr>
                <w:rFonts w:ascii="Calibri" w:hAnsi="Calibri" w:cs="Calibri"/>
                <w:sz w:val="20"/>
                <w:szCs w:val="20"/>
              </w:rPr>
            </w:pPr>
            <w:r w:rsidRPr="000F04A0">
              <w:rPr>
                <w:rFonts w:ascii="Calibri" w:hAnsi="Calibri" w:cs="Calibri"/>
                <w:sz w:val="20"/>
                <w:szCs w:val="20"/>
              </w:rPr>
              <w:t>$635.56</w:t>
            </w:r>
          </w:p>
          <w:p w14:paraId="4B937662" w14:textId="77777777" w:rsidR="001425A2" w:rsidRPr="000F04A0" w:rsidRDefault="001425A2" w:rsidP="00DB634F">
            <w:pPr>
              <w:pStyle w:val="3Bodytext"/>
              <w:spacing w:after="0"/>
              <w:ind w:left="0" w:firstLine="0"/>
              <w:rPr>
                <w:rFonts w:ascii="Calibri" w:hAnsi="Calibri" w:cs="Calibri"/>
                <w:sz w:val="20"/>
                <w:szCs w:val="20"/>
              </w:rPr>
            </w:pPr>
            <w:r w:rsidRPr="000F04A0">
              <w:rPr>
                <w:rFonts w:ascii="Calibri" w:hAnsi="Calibri" w:cs="Calibri"/>
                <w:sz w:val="20"/>
                <w:szCs w:val="20"/>
              </w:rPr>
              <w:t>$635.56</w:t>
            </w:r>
          </w:p>
        </w:tc>
      </w:tr>
      <w:tr w:rsidR="001425A2" w:rsidRPr="000F04A0" w14:paraId="69E2E054" w14:textId="77777777" w:rsidTr="00DB634F">
        <w:trPr>
          <w:cantSplit/>
        </w:trPr>
        <w:tc>
          <w:tcPr>
            <w:tcW w:w="557" w:type="pct"/>
            <w:tcBorders>
              <w:top w:val="single" w:sz="4" w:space="0" w:color="auto"/>
              <w:left w:val="single" w:sz="4" w:space="0" w:color="auto"/>
              <w:bottom w:val="single" w:sz="4" w:space="0" w:color="auto"/>
              <w:right w:val="single" w:sz="4" w:space="0" w:color="auto"/>
            </w:tcBorders>
            <w:hideMark/>
          </w:tcPr>
          <w:p w14:paraId="4BB8B06F"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Interferon beta 1b</w:t>
            </w:r>
          </w:p>
        </w:tc>
        <w:tc>
          <w:tcPr>
            <w:tcW w:w="751" w:type="pct"/>
            <w:tcBorders>
              <w:top w:val="single" w:sz="4" w:space="0" w:color="auto"/>
              <w:left w:val="single" w:sz="4" w:space="0" w:color="auto"/>
              <w:bottom w:val="single" w:sz="4" w:space="0" w:color="auto"/>
              <w:right w:val="single" w:sz="4" w:space="0" w:color="auto"/>
            </w:tcBorders>
            <w:hideMark/>
          </w:tcPr>
          <w:p w14:paraId="0755789B"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Interferons</w:t>
            </w:r>
          </w:p>
        </w:tc>
        <w:tc>
          <w:tcPr>
            <w:tcW w:w="371" w:type="pct"/>
            <w:tcBorders>
              <w:top w:val="single" w:sz="4" w:space="0" w:color="auto"/>
              <w:left w:val="single" w:sz="4" w:space="0" w:color="auto"/>
              <w:bottom w:val="single" w:sz="4" w:space="0" w:color="auto"/>
              <w:right w:val="single" w:sz="4" w:space="0" w:color="auto"/>
            </w:tcBorders>
            <w:hideMark/>
          </w:tcPr>
          <w:p w14:paraId="75008375"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250 mcg</w:t>
            </w:r>
          </w:p>
        </w:tc>
        <w:tc>
          <w:tcPr>
            <w:tcW w:w="676" w:type="pct"/>
            <w:tcBorders>
              <w:top w:val="single" w:sz="4" w:space="0" w:color="auto"/>
              <w:left w:val="single" w:sz="4" w:space="0" w:color="auto"/>
              <w:bottom w:val="single" w:sz="4" w:space="0" w:color="auto"/>
              <w:right w:val="single" w:sz="4" w:space="0" w:color="auto"/>
            </w:tcBorders>
            <w:hideMark/>
          </w:tcPr>
          <w:p w14:paraId="2FC025B4"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SC</w:t>
            </w:r>
          </w:p>
          <w:p w14:paraId="79732A27"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Alternate days</w:t>
            </w:r>
          </w:p>
        </w:tc>
        <w:tc>
          <w:tcPr>
            <w:tcW w:w="1538" w:type="pct"/>
            <w:tcBorders>
              <w:top w:val="single" w:sz="4" w:space="0" w:color="auto"/>
              <w:left w:val="single" w:sz="4" w:space="0" w:color="auto"/>
              <w:bottom w:val="single" w:sz="4" w:space="0" w:color="auto"/>
              <w:right w:val="single" w:sz="4" w:space="0" w:color="auto"/>
            </w:tcBorders>
          </w:tcPr>
          <w:p w14:paraId="52250A1C"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Listed on a cost-effectiveness basis versus placebo</w:t>
            </w:r>
          </w:p>
        </w:tc>
        <w:tc>
          <w:tcPr>
            <w:tcW w:w="375" w:type="pct"/>
            <w:tcBorders>
              <w:top w:val="single" w:sz="4" w:space="0" w:color="auto"/>
              <w:left w:val="single" w:sz="4" w:space="0" w:color="auto"/>
              <w:bottom w:val="single" w:sz="4" w:space="0" w:color="auto"/>
              <w:right w:val="single" w:sz="4" w:space="0" w:color="auto"/>
            </w:tcBorders>
            <w:hideMark/>
          </w:tcPr>
          <w:p w14:paraId="7201BC65"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General</w:t>
            </w:r>
          </w:p>
        </w:tc>
        <w:tc>
          <w:tcPr>
            <w:tcW w:w="323" w:type="pct"/>
            <w:tcBorders>
              <w:top w:val="single" w:sz="4" w:space="0" w:color="auto"/>
              <w:left w:val="single" w:sz="4" w:space="0" w:color="auto"/>
              <w:bottom w:val="single" w:sz="4" w:space="0" w:color="auto"/>
              <w:right w:val="single" w:sz="4" w:space="0" w:color="auto"/>
            </w:tcBorders>
            <w:hideMark/>
          </w:tcPr>
          <w:p w14:paraId="47A561EE"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8101J</w:t>
            </w:r>
          </w:p>
        </w:tc>
        <w:tc>
          <w:tcPr>
            <w:tcW w:w="409" w:type="pct"/>
            <w:tcBorders>
              <w:top w:val="single" w:sz="4" w:space="0" w:color="auto"/>
              <w:left w:val="single" w:sz="4" w:space="0" w:color="auto"/>
              <w:bottom w:val="single" w:sz="4" w:space="0" w:color="auto"/>
              <w:right w:val="single" w:sz="4" w:space="0" w:color="auto"/>
            </w:tcBorders>
            <w:hideMark/>
          </w:tcPr>
          <w:p w14:paraId="2EAACF63" w14:textId="77777777" w:rsidR="001425A2" w:rsidRPr="000F04A0" w:rsidRDefault="001425A2" w:rsidP="00DB634F">
            <w:pPr>
              <w:pStyle w:val="3Bodytext"/>
              <w:spacing w:after="0"/>
              <w:ind w:left="0" w:firstLine="0"/>
              <w:rPr>
                <w:rFonts w:ascii="Calibri" w:hAnsi="Calibri" w:cs="Calibri"/>
                <w:sz w:val="20"/>
                <w:szCs w:val="20"/>
              </w:rPr>
            </w:pPr>
            <w:r w:rsidRPr="000F04A0">
              <w:rPr>
                <w:rFonts w:ascii="Calibri" w:hAnsi="Calibri" w:cs="Calibri"/>
                <w:sz w:val="20"/>
                <w:szCs w:val="20"/>
              </w:rPr>
              <w:t>$763.54</w:t>
            </w:r>
          </w:p>
        </w:tc>
      </w:tr>
      <w:tr w:rsidR="001425A2" w:rsidRPr="000F04A0" w14:paraId="4A66D18C" w14:textId="77777777" w:rsidTr="00DB634F">
        <w:trPr>
          <w:cantSplit/>
          <w:trHeight w:val="650"/>
        </w:trPr>
        <w:tc>
          <w:tcPr>
            <w:tcW w:w="557" w:type="pct"/>
            <w:tcBorders>
              <w:top w:val="single" w:sz="4" w:space="0" w:color="auto"/>
              <w:left w:val="single" w:sz="4" w:space="0" w:color="auto"/>
              <w:bottom w:val="single" w:sz="4" w:space="0" w:color="auto"/>
              <w:right w:val="single" w:sz="4" w:space="0" w:color="auto"/>
            </w:tcBorders>
            <w:hideMark/>
          </w:tcPr>
          <w:p w14:paraId="3FC4EEC7"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Glatiramer acetate</w:t>
            </w:r>
          </w:p>
        </w:tc>
        <w:tc>
          <w:tcPr>
            <w:tcW w:w="751" w:type="pct"/>
            <w:tcBorders>
              <w:top w:val="single" w:sz="4" w:space="0" w:color="auto"/>
              <w:left w:val="single" w:sz="4" w:space="0" w:color="auto"/>
              <w:bottom w:val="single" w:sz="4" w:space="0" w:color="auto"/>
              <w:right w:val="single" w:sz="4" w:space="0" w:color="auto"/>
            </w:tcBorders>
            <w:hideMark/>
          </w:tcPr>
          <w:p w14:paraId="0109103A"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Immunomodulator</w:t>
            </w:r>
          </w:p>
        </w:tc>
        <w:tc>
          <w:tcPr>
            <w:tcW w:w="371" w:type="pct"/>
            <w:tcBorders>
              <w:top w:val="single" w:sz="4" w:space="0" w:color="auto"/>
              <w:left w:val="single" w:sz="4" w:space="0" w:color="auto"/>
              <w:bottom w:val="single" w:sz="4" w:space="0" w:color="auto"/>
              <w:right w:val="single" w:sz="4" w:space="0" w:color="auto"/>
            </w:tcBorders>
            <w:hideMark/>
          </w:tcPr>
          <w:p w14:paraId="53C042EE"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40 mg/mL</w:t>
            </w:r>
          </w:p>
        </w:tc>
        <w:tc>
          <w:tcPr>
            <w:tcW w:w="676" w:type="pct"/>
            <w:tcBorders>
              <w:top w:val="single" w:sz="4" w:space="0" w:color="auto"/>
              <w:left w:val="single" w:sz="4" w:space="0" w:color="auto"/>
              <w:bottom w:val="single" w:sz="4" w:space="0" w:color="auto"/>
              <w:right w:val="single" w:sz="4" w:space="0" w:color="auto"/>
            </w:tcBorders>
            <w:hideMark/>
          </w:tcPr>
          <w:p w14:paraId="11D497B4"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SC</w:t>
            </w:r>
          </w:p>
          <w:p w14:paraId="23CCA145"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3 times a week</w:t>
            </w:r>
          </w:p>
        </w:tc>
        <w:tc>
          <w:tcPr>
            <w:tcW w:w="1538" w:type="pct"/>
            <w:tcBorders>
              <w:top w:val="single" w:sz="4" w:space="0" w:color="auto"/>
              <w:left w:val="single" w:sz="4" w:space="0" w:color="auto"/>
              <w:bottom w:val="single" w:sz="4" w:space="0" w:color="auto"/>
              <w:right w:val="single" w:sz="4" w:space="0" w:color="auto"/>
            </w:tcBorders>
          </w:tcPr>
          <w:p w14:paraId="7C53957A"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Listed on a cost-minimisation basis to interferon beta-1a and interferon beta-1b.</w:t>
            </w:r>
          </w:p>
        </w:tc>
        <w:tc>
          <w:tcPr>
            <w:tcW w:w="375" w:type="pct"/>
            <w:tcBorders>
              <w:top w:val="single" w:sz="4" w:space="0" w:color="auto"/>
              <w:left w:val="single" w:sz="4" w:space="0" w:color="auto"/>
              <w:bottom w:val="single" w:sz="4" w:space="0" w:color="auto"/>
              <w:right w:val="single" w:sz="4" w:space="0" w:color="auto"/>
            </w:tcBorders>
            <w:hideMark/>
          </w:tcPr>
          <w:p w14:paraId="2D9A591D"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General</w:t>
            </w:r>
          </w:p>
        </w:tc>
        <w:tc>
          <w:tcPr>
            <w:tcW w:w="323" w:type="pct"/>
            <w:tcBorders>
              <w:top w:val="single" w:sz="4" w:space="0" w:color="auto"/>
              <w:left w:val="single" w:sz="4" w:space="0" w:color="auto"/>
              <w:bottom w:val="single" w:sz="4" w:space="0" w:color="auto"/>
              <w:right w:val="single" w:sz="4" w:space="0" w:color="auto"/>
            </w:tcBorders>
            <w:hideMark/>
          </w:tcPr>
          <w:p w14:paraId="155987AD"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13110B</w:t>
            </w:r>
          </w:p>
          <w:p w14:paraId="26B6BF08"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10416F</w:t>
            </w:r>
          </w:p>
        </w:tc>
        <w:tc>
          <w:tcPr>
            <w:tcW w:w="409" w:type="pct"/>
            <w:tcBorders>
              <w:top w:val="single" w:sz="4" w:space="0" w:color="auto"/>
              <w:left w:val="single" w:sz="4" w:space="0" w:color="auto"/>
              <w:bottom w:val="single" w:sz="4" w:space="0" w:color="auto"/>
              <w:right w:val="single" w:sz="4" w:space="0" w:color="auto"/>
            </w:tcBorders>
            <w:hideMark/>
          </w:tcPr>
          <w:p w14:paraId="4BCB5ED0" w14:textId="77777777" w:rsidR="001425A2" w:rsidRPr="000F04A0" w:rsidRDefault="001425A2" w:rsidP="00DB634F">
            <w:pPr>
              <w:pStyle w:val="3Bodytext"/>
              <w:spacing w:after="0"/>
              <w:ind w:left="0" w:firstLine="0"/>
              <w:rPr>
                <w:rFonts w:ascii="Calibri" w:hAnsi="Calibri" w:cs="Calibri"/>
                <w:sz w:val="20"/>
                <w:szCs w:val="20"/>
              </w:rPr>
            </w:pPr>
            <w:r w:rsidRPr="000F04A0">
              <w:rPr>
                <w:rFonts w:ascii="Calibri" w:hAnsi="Calibri" w:cs="Calibri"/>
                <w:sz w:val="20"/>
                <w:szCs w:val="20"/>
              </w:rPr>
              <w:t>$598.86</w:t>
            </w:r>
          </w:p>
          <w:p w14:paraId="54012149" w14:textId="77777777" w:rsidR="001425A2" w:rsidRPr="000F04A0" w:rsidRDefault="001425A2" w:rsidP="00DB634F">
            <w:pPr>
              <w:pStyle w:val="3Bodytext"/>
              <w:spacing w:after="0"/>
              <w:ind w:left="0" w:firstLine="0"/>
              <w:rPr>
                <w:rFonts w:ascii="Calibri" w:hAnsi="Calibri" w:cs="Calibri"/>
                <w:sz w:val="20"/>
                <w:szCs w:val="20"/>
              </w:rPr>
            </w:pPr>
            <w:r w:rsidRPr="000F04A0">
              <w:rPr>
                <w:rFonts w:ascii="Calibri" w:hAnsi="Calibri" w:cs="Calibri"/>
                <w:sz w:val="20"/>
                <w:szCs w:val="20"/>
              </w:rPr>
              <w:t>$563.52</w:t>
            </w:r>
          </w:p>
        </w:tc>
      </w:tr>
      <w:tr w:rsidR="001425A2" w:rsidRPr="000F04A0" w14:paraId="5FFC4DBF" w14:textId="77777777" w:rsidTr="00DB634F">
        <w:trPr>
          <w:cantSplit/>
        </w:trPr>
        <w:tc>
          <w:tcPr>
            <w:tcW w:w="557" w:type="pct"/>
            <w:tcBorders>
              <w:top w:val="single" w:sz="4" w:space="0" w:color="auto"/>
              <w:left w:val="single" w:sz="4" w:space="0" w:color="auto"/>
              <w:bottom w:val="single" w:sz="4" w:space="0" w:color="auto"/>
              <w:right w:val="single" w:sz="4" w:space="0" w:color="auto"/>
            </w:tcBorders>
            <w:hideMark/>
          </w:tcPr>
          <w:p w14:paraId="6581D481"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Dimethyl fumarate</w:t>
            </w:r>
          </w:p>
        </w:tc>
        <w:tc>
          <w:tcPr>
            <w:tcW w:w="751" w:type="pct"/>
            <w:tcBorders>
              <w:top w:val="single" w:sz="4" w:space="0" w:color="auto"/>
              <w:left w:val="single" w:sz="4" w:space="0" w:color="auto"/>
              <w:bottom w:val="single" w:sz="4" w:space="0" w:color="auto"/>
              <w:right w:val="single" w:sz="4" w:space="0" w:color="auto"/>
            </w:tcBorders>
            <w:hideMark/>
          </w:tcPr>
          <w:p w14:paraId="40C2413D"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Immunomodulator</w:t>
            </w:r>
          </w:p>
        </w:tc>
        <w:tc>
          <w:tcPr>
            <w:tcW w:w="371" w:type="pct"/>
            <w:tcBorders>
              <w:top w:val="single" w:sz="4" w:space="0" w:color="auto"/>
              <w:left w:val="single" w:sz="4" w:space="0" w:color="auto"/>
              <w:bottom w:val="single" w:sz="4" w:space="0" w:color="auto"/>
              <w:right w:val="single" w:sz="4" w:space="0" w:color="auto"/>
            </w:tcBorders>
            <w:hideMark/>
          </w:tcPr>
          <w:p w14:paraId="774D9BF8"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120 mg</w:t>
            </w:r>
          </w:p>
        </w:tc>
        <w:tc>
          <w:tcPr>
            <w:tcW w:w="676" w:type="pct"/>
            <w:tcBorders>
              <w:top w:val="single" w:sz="4" w:space="0" w:color="auto"/>
              <w:left w:val="single" w:sz="4" w:space="0" w:color="auto"/>
              <w:bottom w:val="single" w:sz="4" w:space="0" w:color="auto"/>
              <w:right w:val="single" w:sz="4" w:space="0" w:color="auto"/>
            </w:tcBorders>
            <w:hideMark/>
          </w:tcPr>
          <w:p w14:paraId="77657EFD"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Oral</w:t>
            </w:r>
          </w:p>
          <w:p w14:paraId="0BC5A088"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color w:val="333333"/>
                <w:sz w:val="20"/>
                <w:szCs w:val="20"/>
                <w:shd w:val="clear" w:color="auto" w:fill="FFFFFF"/>
              </w:rPr>
              <w:t>Twice daily</w:t>
            </w:r>
          </w:p>
        </w:tc>
        <w:tc>
          <w:tcPr>
            <w:tcW w:w="1538" w:type="pct"/>
            <w:tcBorders>
              <w:top w:val="single" w:sz="4" w:space="0" w:color="auto"/>
              <w:left w:val="single" w:sz="4" w:space="0" w:color="auto"/>
              <w:bottom w:val="single" w:sz="4" w:space="0" w:color="auto"/>
              <w:right w:val="single" w:sz="4" w:space="0" w:color="auto"/>
            </w:tcBorders>
          </w:tcPr>
          <w:p w14:paraId="37AC352F"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Listed on a cost-minimisation basis to intramuscular interferon beta-1a, subcutaneous interferon beta-1a, interferon beta-1b and glatiramer acetate</w:t>
            </w:r>
          </w:p>
        </w:tc>
        <w:tc>
          <w:tcPr>
            <w:tcW w:w="375" w:type="pct"/>
            <w:tcBorders>
              <w:top w:val="single" w:sz="4" w:space="0" w:color="auto"/>
              <w:left w:val="single" w:sz="4" w:space="0" w:color="auto"/>
              <w:bottom w:val="single" w:sz="4" w:space="0" w:color="auto"/>
              <w:right w:val="single" w:sz="4" w:space="0" w:color="auto"/>
            </w:tcBorders>
            <w:hideMark/>
          </w:tcPr>
          <w:p w14:paraId="64811341"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General</w:t>
            </w:r>
          </w:p>
        </w:tc>
        <w:tc>
          <w:tcPr>
            <w:tcW w:w="323" w:type="pct"/>
            <w:tcBorders>
              <w:top w:val="single" w:sz="4" w:space="0" w:color="auto"/>
              <w:left w:val="single" w:sz="4" w:space="0" w:color="auto"/>
              <w:bottom w:val="single" w:sz="4" w:space="0" w:color="auto"/>
              <w:right w:val="single" w:sz="4" w:space="0" w:color="auto"/>
            </w:tcBorders>
            <w:hideMark/>
          </w:tcPr>
          <w:p w14:paraId="46CC93E2"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2896K</w:t>
            </w:r>
          </w:p>
          <w:p w14:paraId="315214D4"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2943X</w:t>
            </w:r>
          </w:p>
          <w:p w14:paraId="34F5C6AF"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2966D</w:t>
            </w:r>
          </w:p>
        </w:tc>
        <w:tc>
          <w:tcPr>
            <w:tcW w:w="409" w:type="pct"/>
            <w:tcBorders>
              <w:top w:val="single" w:sz="4" w:space="0" w:color="auto"/>
              <w:left w:val="single" w:sz="4" w:space="0" w:color="auto"/>
              <w:bottom w:val="single" w:sz="4" w:space="0" w:color="auto"/>
              <w:right w:val="single" w:sz="4" w:space="0" w:color="auto"/>
            </w:tcBorders>
            <w:hideMark/>
          </w:tcPr>
          <w:p w14:paraId="53D3EDDB" w14:textId="77777777" w:rsidR="001425A2" w:rsidRPr="000F04A0" w:rsidRDefault="001425A2" w:rsidP="00DB634F">
            <w:pPr>
              <w:pStyle w:val="3Bodytext"/>
              <w:spacing w:after="0"/>
              <w:ind w:left="0" w:firstLine="0"/>
              <w:rPr>
                <w:rFonts w:ascii="Calibri" w:hAnsi="Calibri" w:cs="Calibri"/>
                <w:sz w:val="20"/>
                <w:szCs w:val="20"/>
              </w:rPr>
            </w:pPr>
            <w:r w:rsidRPr="000F04A0">
              <w:rPr>
                <w:rFonts w:ascii="Calibri" w:hAnsi="Calibri" w:cs="Calibri"/>
                <w:sz w:val="20"/>
                <w:szCs w:val="20"/>
              </w:rPr>
              <w:t>$267.27</w:t>
            </w:r>
          </w:p>
          <w:p w14:paraId="0458D2F0" w14:textId="77777777" w:rsidR="001425A2" w:rsidRPr="000F04A0" w:rsidRDefault="001425A2" w:rsidP="00DB634F">
            <w:pPr>
              <w:pStyle w:val="3Bodytext"/>
              <w:spacing w:after="0"/>
              <w:ind w:left="0" w:firstLine="0"/>
              <w:rPr>
                <w:rFonts w:ascii="Calibri" w:hAnsi="Calibri" w:cs="Calibri"/>
                <w:sz w:val="20"/>
                <w:szCs w:val="20"/>
              </w:rPr>
            </w:pPr>
            <w:r w:rsidRPr="000F04A0">
              <w:rPr>
                <w:rFonts w:ascii="Calibri" w:hAnsi="Calibri" w:cs="Calibri"/>
                <w:sz w:val="20"/>
                <w:szCs w:val="20"/>
              </w:rPr>
              <w:t>$267.27</w:t>
            </w:r>
          </w:p>
          <w:p w14:paraId="5EA0F5A3" w14:textId="77777777" w:rsidR="001425A2" w:rsidRPr="000F04A0" w:rsidRDefault="001425A2" w:rsidP="00DB634F">
            <w:pPr>
              <w:pStyle w:val="3Bodytext"/>
              <w:spacing w:after="0"/>
              <w:ind w:left="0" w:firstLine="0"/>
              <w:rPr>
                <w:rFonts w:ascii="Calibri" w:hAnsi="Calibri" w:cs="Calibri"/>
                <w:sz w:val="20"/>
                <w:szCs w:val="20"/>
              </w:rPr>
            </w:pPr>
            <w:r w:rsidRPr="000F04A0">
              <w:rPr>
                <w:rFonts w:ascii="Calibri" w:hAnsi="Calibri" w:cs="Calibri"/>
                <w:sz w:val="20"/>
                <w:szCs w:val="20"/>
              </w:rPr>
              <w:t>$451.93</w:t>
            </w:r>
          </w:p>
        </w:tc>
      </w:tr>
      <w:tr w:rsidR="001425A2" w:rsidRPr="000F04A0" w14:paraId="72B8DC72" w14:textId="77777777" w:rsidTr="00DB634F">
        <w:trPr>
          <w:cantSplit/>
        </w:trPr>
        <w:tc>
          <w:tcPr>
            <w:tcW w:w="557" w:type="pct"/>
            <w:tcBorders>
              <w:top w:val="single" w:sz="4" w:space="0" w:color="auto"/>
              <w:left w:val="single" w:sz="4" w:space="0" w:color="auto"/>
              <w:bottom w:val="single" w:sz="4" w:space="0" w:color="auto"/>
              <w:right w:val="single" w:sz="4" w:space="0" w:color="auto"/>
            </w:tcBorders>
            <w:hideMark/>
          </w:tcPr>
          <w:p w14:paraId="6D3F88ED"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Diroximel fumarate</w:t>
            </w:r>
          </w:p>
        </w:tc>
        <w:tc>
          <w:tcPr>
            <w:tcW w:w="751" w:type="pct"/>
            <w:tcBorders>
              <w:top w:val="single" w:sz="4" w:space="0" w:color="auto"/>
              <w:left w:val="single" w:sz="4" w:space="0" w:color="auto"/>
              <w:bottom w:val="single" w:sz="4" w:space="0" w:color="auto"/>
              <w:right w:val="single" w:sz="4" w:space="0" w:color="auto"/>
            </w:tcBorders>
            <w:hideMark/>
          </w:tcPr>
          <w:p w14:paraId="3974E58F"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Immunomodulator</w:t>
            </w:r>
          </w:p>
        </w:tc>
        <w:tc>
          <w:tcPr>
            <w:tcW w:w="371" w:type="pct"/>
            <w:tcBorders>
              <w:top w:val="single" w:sz="4" w:space="0" w:color="auto"/>
              <w:left w:val="single" w:sz="4" w:space="0" w:color="auto"/>
              <w:bottom w:val="single" w:sz="4" w:space="0" w:color="auto"/>
              <w:right w:val="single" w:sz="4" w:space="0" w:color="auto"/>
            </w:tcBorders>
            <w:hideMark/>
          </w:tcPr>
          <w:p w14:paraId="5497635C"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231 mg</w:t>
            </w:r>
          </w:p>
        </w:tc>
        <w:tc>
          <w:tcPr>
            <w:tcW w:w="676" w:type="pct"/>
            <w:tcBorders>
              <w:top w:val="single" w:sz="4" w:space="0" w:color="auto"/>
              <w:left w:val="single" w:sz="4" w:space="0" w:color="auto"/>
              <w:bottom w:val="single" w:sz="4" w:space="0" w:color="auto"/>
              <w:right w:val="single" w:sz="4" w:space="0" w:color="auto"/>
            </w:tcBorders>
            <w:hideMark/>
          </w:tcPr>
          <w:p w14:paraId="4ECB940B"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Oral</w:t>
            </w:r>
          </w:p>
          <w:p w14:paraId="72FB38BE"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color w:val="333333"/>
                <w:sz w:val="20"/>
                <w:szCs w:val="20"/>
                <w:shd w:val="clear" w:color="auto" w:fill="FFFFFF"/>
              </w:rPr>
              <w:t>Twice daily</w:t>
            </w:r>
          </w:p>
        </w:tc>
        <w:tc>
          <w:tcPr>
            <w:tcW w:w="1538" w:type="pct"/>
            <w:tcBorders>
              <w:top w:val="single" w:sz="4" w:space="0" w:color="auto"/>
              <w:left w:val="single" w:sz="4" w:space="0" w:color="auto"/>
              <w:bottom w:val="single" w:sz="4" w:space="0" w:color="auto"/>
              <w:right w:val="single" w:sz="4" w:space="0" w:color="auto"/>
            </w:tcBorders>
          </w:tcPr>
          <w:p w14:paraId="2ABCCD8E"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Listed on a cost-minimisation basis to dimethyl fumarate</w:t>
            </w:r>
          </w:p>
        </w:tc>
        <w:tc>
          <w:tcPr>
            <w:tcW w:w="375" w:type="pct"/>
            <w:tcBorders>
              <w:top w:val="single" w:sz="4" w:space="0" w:color="auto"/>
              <w:left w:val="single" w:sz="4" w:space="0" w:color="auto"/>
              <w:bottom w:val="single" w:sz="4" w:space="0" w:color="auto"/>
              <w:right w:val="single" w:sz="4" w:space="0" w:color="auto"/>
            </w:tcBorders>
            <w:hideMark/>
          </w:tcPr>
          <w:p w14:paraId="2826963B" w14:textId="77777777" w:rsidR="001425A2" w:rsidRPr="000F04A0" w:rsidRDefault="001425A2" w:rsidP="00DB634F">
            <w:pPr>
              <w:pStyle w:val="3Bodytext"/>
              <w:spacing w:after="0"/>
              <w:ind w:left="0" w:firstLine="0"/>
              <w:jc w:val="left"/>
              <w:rPr>
                <w:rFonts w:ascii="Calibri" w:hAnsi="Calibri" w:cs="Calibri"/>
                <w:color w:val="333333"/>
                <w:sz w:val="20"/>
                <w:szCs w:val="20"/>
                <w:shd w:val="clear" w:color="auto" w:fill="FFFFFF"/>
              </w:rPr>
            </w:pPr>
            <w:r w:rsidRPr="000F04A0">
              <w:rPr>
                <w:rFonts w:ascii="Calibri" w:hAnsi="Calibri" w:cs="Calibri"/>
                <w:sz w:val="20"/>
                <w:szCs w:val="20"/>
              </w:rPr>
              <w:t>General</w:t>
            </w:r>
          </w:p>
        </w:tc>
        <w:tc>
          <w:tcPr>
            <w:tcW w:w="323" w:type="pct"/>
            <w:tcBorders>
              <w:top w:val="single" w:sz="4" w:space="0" w:color="auto"/>
              <w:left w:val="single" w:sz="4" w:space="0" w:color="auto"/>
              <w:bottom w:val="single" w:sz="4" w:space="0" w:color="auto"/>
              <w:right w:val="single" w:sz="4" w:space="0" w:color="auto"/>
            </w:tcBorders>
            <w:hideMark/>
          </w:tcPr>
          <w:p w14:paraId="6B5E2082" w14:textId="77777777" w:rsidR="001425A2" w:rsidRPr="000F04A0" w:rsidRDefault="001425A2" w:rsidP="00DB634F">
            <w:pPr>
              <w:pStyle w:val="3Bodytext"/>
              <w:spacing w:after="0"/>
              <w:ind w:left="0" w:firstLine="0"/>
              <w:jc w:val="left"/>
              <w:rPr>
                <w:rFonts w:ascii="Calibri" w:hAnsi="Calibri" w:cs="Calibri"/>
                <w:sz w:val="20"/>
                <w:szCs w:val="20"/>
              </w:rPr>
            </w:pPr>
            <w:r w:rsidRPr="000F04A0">
              <w:rPr>
                <w:rFonts w:ascii="Calibri" w:hAnsi="Calibri" w:cs="Calibri"/>
                <w:sz w:val="20"/>
                <w:szCs w:val="20"/>
              </w:rPr>
              <w:t>13059H</w:t>
            </w:r>
          </w:p>
        </w:tc>
        <w:tc>
          <w:tcPr>
            <w:tcW w:w="409" w:type="pct"/>
            <w:tcBorders>
              <w:top w:val="single" w:sz="4" w:space="0" w:color="auto"/>
              <w:left w:val="single" w:sz="4" w:space="0" w:color="auto"/>
              <w:bottom w:val="single" w:sz="4" w:space="0" w:color="auto"/>
              <w:right w:val="single" w:sz="4" w:space="0" w:color="auto"/>
            </w:tcBorders>
            <w:hideMark/>
          </w:tcPr>
          <w:p w14:paraId="15121B95" w14:textId="77777777" w:rsidR="001425A2" w:rsidRPr="000F04A0" w:rsidRDefault="001425A2" w:rsidP="00DB634F">
            <w:pPr>
              <w:pStyle w:val="3Bodytext"/>
              <w:spacing w:after="0"/>
              <w:ind w:left="0" w:firstLine="0"/>
              <w:rPr>
                <w:rFonts w:ascii="Calibri" w:hAnsi="Calibri" w:cs="Calibri"/>
                <w:sz w:val="20"/>
                <w:szCs w:val="20"/>
              </w:rPr>
            </w:pPr>
            <w:r w:rsidRPr="000F04A0">
              <w:rPr>
                <w:rFonts w:ascii="Calibri" w:hAnsi="Calibri" w:cs="Calibri"/>
                <w:sz w:val="20"/>
                <w:szCs w:val="20"/>
              </w:rPr>
              <w:t>$715.73</w:t>
            </w:r>
          </w:p>
        </w:tc>
      </w:tr>
    </w:tbl>
    <w:p w14:paraId="4B5632BC" w14:textId="77777777" w:rsidR="001425A2" w:rsidRPr="000F04A0" w:rsidRDefault="001425A2" w:rsidP="00EB534F">
      <w:pPr>
        <w:rPr>
          <w:rFonts w:ascii="Calibri" w:hAnsi="Calibri" w:cs="Calibri"/>
          <w:sz w:val="20"/>
          <w:szCs w:val="20"/>
        </w:rPr>
        <w:sectPr w:rsidR="001425A2" w:rsidRPr="000F04A0" w:rsidSect="00EB534F">
          <w:type w:val="continuous"/>
          <w:pgSz w:w="16838" w:h="11906" w:orient="landscape" w:code="9"/>
          <w:pgMar w:top="1440" w:right="1440" w:bottom="1440" w:left="1440" w:header="709" w:footer="709" w:gutter="0"/>
          <w:cols w:space="708"/>
          <w:docGrid w:linePitch="360"/>
        </w:sectPr>
      </w:pPr>
    </w:p>
    <w:p w14:paraId="44E537B4" w14:textId="77777777" w:rsidR="00EB534F" w:rsidRPr="000F04A0" w:rsidRDefault="00EB534F" w:rsidP="004A6F1F">
      <w:pPr>
        <w:pStyle w:val="Heading2"/>
      </w:pPr>
      <w:r w:rsidRPr="000F04A0">
        <w:lastRenderedPageBreak/>
        <w:t>Special pricing arrangements for DMTs</w:t>
      </w:r>
    </w:p>
    <w:p w14:paraId="2896D354"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As of 4 December 2024, the following DMTs for RRMS have a special pricing arrangement: alemtuzumab, ocrelizumab, ozanimod, ofatumumab, cladribine and </w:t>
      </w:r>
      <w:proofErr w:type="spellStart"/>
      <w:r w:rsidRPr="000F04A0">
        <w:rPr>
          <w:rFonts w:ascii="Calibri" w:eastAsia="Times New Roman" w:hAnsi="Calibri" w:cs="Calibri"/>
          <w:snapToGrid w:val="0"/>
          <w:sz w:val="24"/>
          <w:szCs w:val="24"/>
        </w:rPr>
        <w:t>siponimod</w:t>
      </w:r>
      <w:proofErr w:type="spellEnd"/>
      <w:r w:rsidRPr="000F04A0">
        <w:rPr>
          <w:rFonts w:ascii="Calibri" w:eastAsia="Times New Roman" w:hAnsi="Calibri" w:cs="Calibri"/>
          <w:snapToGrid w:val="0"/>
          <w:sz w:val="24"/>
          <w:szCs w:val="24"/>
        </w:rPr>
        <w:t xml:space="preserve"> (see Table 4 below). </w:t>
      </w:r>
      <w:bookmarkEnd w:id="1"/>
    </w:p>
    <w:p w14:paraId="3D35F650" w14:textId="77777777" w:rsidR="00EB534F" w:rsidRPr="00DE2335" w:rsidRDefault="00EB534F" w:rsidP="00EB534F">
      <w:pPr>
        <w:pStyle w:val="3Bodytext"/>
        <w:keepNext/>
        <w:spacing w:before="60" w:after="60"/>
        <w:ind w:left="0" w:firstLine="0"/>
        <w:rPr>
          <w:rFonts w:ascii="Calibri" w:hAnsi="Calibri" w:cs="Calibri"/>
          <w:b/>
          <w:bCs/>
          <w:sz w:val="20"/>
          <w:szCs w:val="20"/>
        </w:rPr>
      </w:pPr>
      <w:r w:rsidRPr="00DE2335">
        <w:rPr>
          <w:rFonts w:ascii="Calibri" w:hAnsi="Calibri" w:cs="Calibri"/>
          <w:b/>
          <w:bCs/>
          <w:sz w:val="20"/>
          <w:szCs w:val="20"/>
        </w:rPr>
        <w:t>Table 4. Special pricing arrangements for DMTs for RRMS (as of 1 December 2024)</w:t>
      </w:r>
    </w:p>
    <w:tbl>
      <w:tblPr>
        <w:tblW w:w="5000" w:type="pct"/>
        <w:tblLook w:val="04A0" w:firstRow="1" w:lastRow="0" w:firstColumn="1" w:lastColumn="0" w:noHBand="0" w:noVBand="1"/>
      </w:tblPr>
      <w:tblGrid>
        <w:gridCol w:w="1354"/>
        <w:gridCol w:w="2851"/>
        <w:gridCol w:w="1079"/>
        <w:gridCol w:w="2041"/>
        <w:gridCol w:w="1681"/>
      </w:tblGrid>
      <w:tr w:rsidR="00EB534F" w:rsidRPr="000F04A0" w14:paraId="389D3C04" w14:textId="77777777" w:rsidTr="00883F50">
        <w:trPr>
          <w:trHeight w:val="790"/>
        </w:trPr>
        <w:tc>
          <w:tcPr>
            <w:tcW w:w="752" w:type="pct"/>
            <w:tcBorders>
              <w:top w:val="single" w:sz="8" w:space="0" w:color="auto"/>
              <w:left w:val="single" w:sz="8" w:space="0" w:color="auto"/>
              <w:bottom w:val="single" w:sz="8" w:space="0" w:color="auto"/>
              <w:right w:val="single" w:sz="8" w:space="0" w:color="auto"/>
            </w:tcBorders>
            <w:vAlign w:val="center"/>
            <w:hideMark/>
          </w:tcPr>
          <w:p w14:paraId="5A3728C3" w14:textId="77777777" w:rsidR="00EB534F" w:rsidRPr="000F04A0" w:rsidRDefault="00EB534F" w:rsidP="007E7B02">
            <w:pPr>
              <w:spacing w:after="0" w:line="240" w:lineRule="auto"/>
              <w:jc w:val="center"/>
              <w:rPr>
                <w:rFonts w:ascii="Calibri" w:eastAsia="Times New Roman" w:hAnsi="Calibri" w:cs="Calibri"/>
                <w:b/>
                <w:bCs/>
                <w:color w:val="000000"/>
                <w:sz w:val="20"/>
                <w:szCs w:val="20"/>
                <w:lang w:eastAsia="en-AU"/>
              </w:rPr>
            </w:pPr>
            <w:r w:rsidRPr="000F04A0">
              <w:rPr>
                <w:rFonts w:ascii="Calibri" w:eastAsia="Times New Roman" w:hAnsi="Calibri" w:cs="Calibri"/>
                <w:b/>
                <w:bCs/>
                <w:color w:val="000000"/>
                <w:sz w:val="20"/>
                <w:szCs w:val="20"/>
                <w:lang w:eastAsia="en-AU"/>
              </w:rPr>
              <w:t>Drug</w:t>
            </w:r>
          </w:p>
        </w:tc>
        <w:tc>
          <w:tcPr>
            <w:tcW w:w="1583" w:type="pct"/>
            <w:tcBorders>
              <w:top w:val="single" w:sz="8" w:space="0" w:color="auto"/>
              <w:left w:val="nil"/>
              <w:bottom w:val="single" w:sz="8" w:space="0" w:color="auto"/>
              <w:right w:val="single" w:sz="8" w:space="0" w:color="auto"/>
            </w:tcBorders>
            <w:vAlign w:val="center"/>
            <w:hideMark/>
          </w:tcPr>
          <w:p w14:paraId="1123A88B" w14:textId="77777777" w:rsidR="00EB534F" w:rsidRPr="000F04A0" w:rsidRDefault="00EB534F" w:rsidP="007E7B02">
            <w:pPr>
              <w:spacing w:after="0" w:line="240" w:lineRule="auto"/>
              <w:jc w:val="center"/>
              <w:rPr>
                <w:rFonts w:ascii="Calibri" w:eastAsia="Times New Roman" w:hAnsi="Calibri" w:cs="Calibri"/>
                <w:b/>
                <w:bCs/>
                <w:color w:val="000000"/>
                <w:sz w:val="20"/>
                <w:szCs w:val="20"/>
                <w:lang w:eastAsia="en-AU"/>
              </w:rPr>
            </w:pPr>
            <w:r w:rsidRPr="000F04A0">
              <w:rPr>
                <w:rFonts w:ascii="Calibri" w:eastAsia="Times New Roman" w:hAnsi="Calibri" w:cs="Calibri"/>
                <w:b/>
                <w:bCs/>
                <w:color w:val="000000"/>
                <w:sz w:val="20"/>
                <w:szCs w:val="20"/>
                <w:lang w:eastAsia="en-AU"/>
              </w:rPr>
              <w:t xml:space="preserve">LI form description </w:t>
            </w:r>
          </w:p>
        </w:tc>
        <w:tc>
          <w:tcPr>
            <w:tcW w:w="599" w:type="pct"/>
            <w:tcBorders>
              <w:top w:val="single" w:sz="8" w:space="0" w:color="auto"/>
              <w:left w:val="nil"/>
              <w:bottom w:val="single" w:sz="8" w:space="0" w:color="auto"/>
              <w:right w:val="single" w:sz="8" w:space="0" w:color="auto"/>
            </w:tcBorders>
            <w:vAlign w:val="center"/>
            <w:hideMark/>
          </w:tcPr>
          <w:p w14:paraId="20059EF6" w14:textId="77777777" w:rsidR="00EB534F" w:rsidRPr="000F04A0" w:rsidRDefault="00EB534F" w:rsidP="007E7B02">
            <w:pPr>
              <w:spacing w:after="0" w:line="240" w:lineRule="auto"/>
              <w:jc w:val="center"/>
              <w:rPr>
                <w:rFonts w:ascii="Calibri" w:eastAsia="Times New Roman" w:hAnsi="Calibri" w:cs="Calibri"/>
                <w:b/>
                <w:bCs/>
                <w:color w:val="000000"/>
                <w:sz w:val="20"/>
                <w:szCs w:val="20"/>
                <w:lang w:eastAsia="en-AU"/>
              </w:rPr>
            </w:pPr>
            <w:r w:rsidRPr="000F04A0">
              <w:rPr>
                <w:rFonts w:ascii="Calibri" w:eastAsia="Times New Roman" w:hAnsi="Calibri" w:cs="Calibri"/>
                <w:b/>
                <w:bCs/>
                <w:color w:val="000000"/>
                <w:sz w:val="20"/>
                <w:szCs w:val="20"/>
                <w:lang w:eastAsia="en-AU"/>
              </w:rPr>
              <w:t>Pricing Quantity</w:t>
            </w:r>
          </w:p>
        </w:tc>
        <w:tc>
          <w:tcPr>
            <w:tcW w:w="1133" w:type="pct"/>
            <w:tcBorders>
              <w:top w:val="single" w:sz="8" w:space="0" w:color="auto"/>
              <w:left w:val="nil"/>
              <w:bottom w:val="single" w:sz="8" w:space="0" w:color="auto"/>
              <w:right w:val="single" w:sz="8" w:space="0" w:color="auto"/>
            </w:tcBorders>
            <w:vAlign w:val="center"/>
            <w:hideMark/>
          </w:tcPr>
          <w:p w14:paraId="12AFFB44" w14:textId="77777777" w:rsidR="00EB534F" w:rsidRPr="000F04A0" w:rsidRDefault="00EB534F" w:rsidP="007E7B02">
            <w:pPr>
              <w:spacing w:after="0" w:line="240" w:lineRule="auto"/>
              <w:jc w:val="center"/>
              <w:rPr>
                <w:rFonts w:ascii="Calibri" w:eastAsia="Times New Roman" w:hAnsi="Calibri" w:cs="Calibri"/>
                <w:b/>
                <w:bCs/>
                <w:color w:val="000000"/>
                <w:sz w:val="20"/>
                <w:szCs w:val="20"/>
                <w:lang w:eastAsia="en-AU"/>
              </w:rPr>
            </w:pPr>
            <w:r w:rsidRPr="000F04A0">
              <w:rPr>
                <w:rFonts w:ascii="Calibri" w:eastAsia="Times New Roman" w:hAnsi="Calibri" w:cs="Calibri"/>
                <w:b/>
                <w:bCs/>
                <w:color w:val="000000"/>
                <w:sz w:val="20"/>
                <w:szCs w:val="20"/>
                <w:lang w:eastAsia="en-AU"/>
              </w:rPr>
              <w:t>Published ex-manufacturer prices</w:t>
            </w:r>
          </w:p>
        </w:tc>
        <w:tc>
          <w:tcPr>
            <w:tcW w:w="933" w:type="pct"/>
            <w:tcBorders>
              <w:top w:val="single" w:sz="8" w:space="0" w:color="auto"/>
              <w:left w:val="nil"/>
              <w:bottom w:val="single" w:sz="8" w:space="0" w:color="auto"/>
              <w:right w:val="single" w:sz="8" w:space="0" w:color="auto"/>
            </w:tcBorders>
            <w:vAlign w:val="center"/>
            <w:hideMark/>
          </w:tcPr>
          <w:p w14:paraId="04472684" w14:textId="77777777" w:rsidR="00EB534F" w:rsidRPr="000F04A0" w:rsidRDefault="00EB534F" w:rsidP="007E7B02">
            <w:pPr>
              <w:spacing w:after="0" w:line="240" w:lineRule="auto"/>
              <w:jc w:val="center"/>
              <w:rPr>
                <w:rFonts w:ascii="Calibri" w:eastAsia="Times New Roman" w:hAnsi="Calibri" w:cs="Calibri"/>
                <w:b/>
                <w:bCs/>
                <w:color w:val="000000"/>
                <w:sz w:val="20"/>
                <w:szCs w:val="20"/>
                <w:lang w:eastAsia="en-AU"/>
              </w:rPr>
            </w:pPr>
            <w:r w:rsidRPr="000F04A0">
              <w:rPr>
                <w:rFonts w:ascii="Calibri" w:eastAsia="Times New Roman" w:hAnsi="Calibri" w:cs="Calibri"/>
                <w:b/>
                <w:bCs/>
                <w:color w:val="000000"/>
                <w:sz w:val="20"/>
                <w:szCs w:val="20"/>
                <w:lang w:eastAsia="en-AU"/>
              </w:rPr>
              <w:t>Effective ex-manufacturer prices</w:t>
            </w:r>
          </w:p>
        </w:tc>
      </w:tr>
      <w:tr w:rsidR="00EB534F" w:rsidRPr="000F04A0" w14:paraId="7BED34C5" w14:textId="77777777" w:rsidTr="00883F50">
        <w:trPr>
          <w:trHeight w:val="530"/>
        </w:trPr>
        <w:tc>
          <w:tcPr>
            <w:tcW w:w="752" w:type="pct"/>
            <w:tcBorders>
              <w:top w:val="nil"/>
              <w:left w:val="single" w:sz="8" w:space="0" w:color="auto"/>
              <w:bottom w:val="single" w:sz="8" w:space="0" w:color="auto"/>
              <w:right w:val="single" w:sz="8" w:space="0" w:color="auto"/>
            </w:tcBorders>
            <w:vAlign w:val="center"/>
            <w:hideMark/>
          </w:tcPr>
          <w:p w14:paraId="031449C9" w14:textId="77777777" w:rsidR="00EB534F" w:rsidRPr="000F04A0" w:rsidRDefault="00EB534F" w:rsidP="007E7B02">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Alemtuzumab</w:t>
            </w:r>
          </w:p>
        </w:tc>
        <w:tc>
          <w:tcPr>
            <w:tcW w:w="1583" w:type="pct"/>
            <w:tcBorders>
              <w:top w:val="nil"/>
              <w:left w:val="nil"/>
              <w:bottom w:val="single" w:sz="8" w:space="0" w:color="auto"/>
              <w:right w:val="single" w:sz="8" w:space="0" w:color="auto"/>
            </w:tcBorders>
            <w:vAlign w:val="center"/>
            <w:hideMark/>
          </w:tcPr>
          <w:p w14:paraId="3C5F5FD0" w14:textId="77777777" w:rsidR="00EB534F" w:rsidRPr="000F04A0" w:rsidRDefault="00EB534F" w:rsidP="007E7B02">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Solution concentrate for I.V. infusion 12 mg in 1.2 mL</w:t>
            </w:r>
          </w:p>
        </w:tc>
        <w:tc>
          <w:tcPr>
            <w:tcW w:w="599" w:type="pct"/>
            <w:tcBorders>
              <w:top w:val="nil"/>
              <w:left w:val="nil"/>
              <w:bottom w:val="single" w:sz="8" w:space="0" w:color="auto"/>
              <w:right w:val="single" w:sz="8" w:space="0" w:color="auto"/>
            </w:tcBorders>
            <w:vAlign w:val="center"/>
            <w:hideMark/>
          </w:tcPr>
          <w:p w14:paraId="31EB8675" w14:textId="77777777" w:rsidR="00EB534F" w:rsidRPr="000F04A0" w:rsidRDefault="00EB534F" w:rsidP="007E7B02">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1</w:t>
            </w:r>
          </w:p>
        </w:tc>
        <w:tc>
          <w:tcPr>
            <w:tcW w:w="1133" w:type="pct"/>
            <w:tcBorders>
              <w:top w:val="nil"/>
              <w:left w:val="nil"/>
              <w:bottom w:val="single" w:sz="8" w:space="0" w:color="auto"/>
              <w:right w:val="single" w:sz="8" w:space="0" w:color="auto"/>
            </w:tcBorders>
            <w:vAlign w:val="center"/>
            <w:hideMark/>
          </w:tcPr>
          <w:p w14:paraId="33920375" w14:textId="77777777" w:rsidR="00EB534F" w:rsidRPr="000F04A0" w:rsidRDefault="00EB534F" w:rsidP="007E7B02">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$10,824.30</w:t>
            </w:r>
          </w:p>
        </w:tc>
        <w:tc>
          <w:tcPr>
            <w:tcW w:w="933" w:type="pct"/>
            <w:tcBorders>
              <w:top w:val="nil"/>
              <w:left w:val="nil"/>
              <w:bottom w:val="single" w:sz="8" w:space="0" w:color="auto"/>
              <w:right w:val="single" w:sz="8" w:space="0" w:color="auto"/>
            </w:tcBorders>
            <w:vAlign w:val="center"/>
            <w:hideMark/>
          </w:tcPr>
          <w:p w14:paraId="039B67E3" w14:textId="16875FF4" w:rsidR="00EB534F" w:rsidRPr="00EA47E6" w:rsidRDefault="00883F50" w:rsidP="007E7B02">
            <w:pPr>
              <w:spacing w:after="0" w:line="240" w:lineRule="auto"/>
              <w:jc w:val="center"/>
              <w:rPr>
                <w:rFonts w:ascii="Calibri" w:eastAsia="Times New Roman" w:hAnsi="Calibri" w:cs="Calibri"/>
                <w:color w:val="000000"/>
                <w:sz w:val="20"/>
                <w:szCs w:val="20"/>
                <w:lang w:eastAsia="en-AU"/>
              </w:rPr>
            </w:pPr>
            <w:r w:rsidRPr="00EA47E6">
              <w:rPr>
                <w:rFonts w:ascii="Calibri" w:eastAsia="Times New Roman" w:hAnsi="Calibri" w:cs="Calibri"/>
                <w:color w:val="000000"/>
                <w:sz w:val="20"/>
                <w:szCs w:val="20"/>
                <w:lang w:eastAsia="en-AU"/>
              </w:rPr>
              <w:t>[REDACTED TEXT]</w:t>
            </w:r>
          </w:p>
        </w:tc>
      </w:tr>
      <w:tr w:rsidR="00883F50" w:rsidRPr="000F04A0" w14:paraId="16515ED7" w14:textId="77777777" w:rsidTr="00883F50">
        <w:trPr>
          <w:trHeight w:val="530"/>
        </w:trPr>
        <w:tc>
          <w:tcPr>
            <w:tcW w:w="752" w:type="pct"/>
            <w:tcBorders>
              <w:top w:val="nil"/>
              <w:left w:val="single" w:sz="8" w:space="0" w:color="auto"/>
              <w:bottom w:val="single" w:sz="8" w:space="0" w:color="auto"/>
              <w:right w:val="single" w:sz="8" w:space="0" w:color="auto"/>
            </w:tcBorders>
            <w:vAlign w:val="center"/>
            <w:hideMark/>
          </w:tcPr>
          <w:p w14:paraId="560E6A71"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Ocrelizumab</w:t>
            </w:r>
          </w:p>
        </w:tc>
        <w:tc>
          <w:tcPr>
            <w:tcW w:w="1583" w:type="pct"/>
            <w:tcBorders>
              <w:top w:val="nil"/>
              <w:left w:val="nil"/>
              <w:bottom w:val="single" w:sz="8" w:space="0" w:color="auto"/>
              <w:right w:val="single" w:sz="8" w:space="0" w:color="auto"/>
            </w:tcBorders>
            <w:vAlign w:val="center"/>
            <w:hideMark/>
          </w:tcPr>
          <w:p w14:paraId="02165B14"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Solution concentrate for I.V. infusion 300 mg in 10 mL</w:t>
            </w:r>
          </w:p>
        </w:tc>
        <w:tc>
          <w:tcPr>
            <w:tcW w:w="599" w:type="pct"/>
            <w:tcBorders>
              <w:top w:val="nil"/>
              <w:left w:val="nil"/>
              <w:bottom w:val="single" w:sz="8" w:space="0" w:color="auto"/>
              <w:right w:val="single" w:sz="8" w:space="0" w:color="auto"/>
            </w:tcBorders>
            <w:vAlign w:val="center"/>
            <w:hideMark/>
          </w:tcPr>
          <w:p w14:paraId="2EB0C291"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1</w:t>
            </w:r>
          </w:p>
        </w:tc>
        <w:tc>
          <w:tcPr>
            <w:tcW w:w="1133" w:type="pct"/>
            <w:tcBorders>
              <w:top w:val="nil"/>
              <w:left w:val="nil"/>
              <w:bottom w:val="single" w:sz="8" w:space="0" w:color="auto"/>
              <w:right w:val="single" w:sz="8" w:space="0" w:color="auto"/>
            </w:tcBorders>
            <w:vAlign w:val="center"/>
            <w:hideMark/>
          </w:tcPr>
          <w:p w14:paraId="4E250646"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$8,328.18</w:t>
            </w:r>
          </w:p>
        </w:tc>
        <w:tc>
          <w:tcPr>
            <w:tcW w:w="933" w:type="pct"/>
            <w:tcBorders>
              <w:top w:val="nil"/>
              <w:left w:val="nil"/>
              <w:bottom w:val="single" w:sz="8" w:space="0" w:color="auto"/>
              <w:right w:val="single" w:sz="8" w:space="0" w:color="auto"/>
            </w:tcBorders>
            <w:vAlign w:val="center"/>
            <w:hideMark/>
          </w:tcPr>
          <w:p w14:paraId="7D6E94DA" w14:textId="0D632987" w:rsidR="00883F50" w:rsidRPr="00EA47E6" w:rsidRDefault="00883F50" w:rsidP="00883F50">
            <w:pPr>
              <w:spacing w:after="0" w:line="240" w:lineRule="auto"/>
              <w:jc w:val="center"/>
              <w:rPr>
                <w:rFonts w:ascii="Calibri" w:eastAsia="Times New Roman" w:hAnsi="Calibri" w:cs="Calibri"/>
                <w:color w:val="000000"/>
                <w:sz w:val="20"/>
                <w:szCs w:val="20"/>
                <w:lang w:eastAsia="en-AU"/>
              </w:rPr>
            </w:pPr>
            <w:r w:rsidRPr="00EA47E6">
              <w:rPr>
                <w:rFonts w:ascii="Calibri" w:eastAsia="Times New Roman" w:hAnsi="Calibri" w:cs="Calibri"/>
                <w:color w:val="000000"/>
                <w:sz w:val="20"/>
                <w:szCs w:val="20"/>
                <w:lang w:eastAsia="en-AU"/>
              </w:rPr>
              <w:t>[REDACTED TEXT]</w:t>
            </w:r>
          </w:p>
        </w:tc>
      </w:tr>
      <w:tr w:rsidR="00883F50" w:rsidRPr="000F04A0" w14:paraId="7C2A7862" w14:textId="77777777" w:rsidTr="00883F50">
        <w:trPr>
          <w:trHeight w:val="270"/>
        </w:trPr>
        <w:tc>
          <w:tcPr>
            <w:tcW w:w="752" w:type="pct"/>
            <w:vMerge w:val="restart"/>
            <w:tcBorders>
              <w:top w:val="nil"/>
              <w:left w:val="single" w:sz="8" w:space="0" w:color="auto"/>
              <w:bottom w:val="single" w:sz="8" w:space="0" w:color="000000"/>
              <w:right w:val="single" w:sz="8" w:space="0" w:color="auto"/>
            </w:tcBorders>
            <w:vAlign w:val="center"/>
            <w:hideMark/>
          </w:tcPr>
          <w:p w14:paraId="4AB02A75"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Ozanimod</w:t>
            </w:r>
          </w:p>
        </w:tc>
        <w:tc>
          <w:tcPr>
            <w:tcW w:w="1583" w:type="pct"/>
            <w:tcBorders>
              <w:top w:val="nil"/>
              <w:left w:val="nil"/>
              <w:bottom w:val="single" w:sz="8" w:space="0" w:color="auto"/>
              <w:right w:val="single" w:sz="8" w:space="0" w:color="auto"/>
            </w:tcBorders>
            <w:vAlign w:val="center"/>
            <w:hideMark/>
          </w:tcPr>
          <w:p w14:paraId="6359A7DD"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Capsule 920 micrograms</w:t>
            </w:r>
          </w:p>
        </w:tc>
        <w:tc>
          <w:tcPr>
            <w:tcW w:w="599" w:type="pct"/>
            <w:tcBorders>
              <w:top w:val="nil"/>
              <w:left w:val="nil"/>
              <w:bottom w:val="single" w:sz="8" w:space="0" w:color="auto"/>
              <w:right w:val="single" w:sz="8" w:space="0" w:color="auto"/>
            </w:tcBorders>
            <w:vAlign w:val="center"/>
            <w:hideMark/>
          </w:tcPr>
          <w:p w14:paraId="0189AF91"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28</w:t>
            </w:r>
          </w:p>
        </w:tc>
        <w:tc>
          <w:tcPr>
            <w:tcW w:w="1133" w:type="pct"/>
            <w:tcBorders>
              <w:top w:val="nil"/>
              <w:left w:val="nil"/>
              <w:bottom w:val="single" w:sz="8" w:space="0" w:color="auto"/>
              <w:right w:val="single" w:sz="8" w:space="0" w:color="auto"/>
            </w:tcBorders>
            <w:vAlign w:val="center"/>
            <w:hideMark/>
          </w:tcPr>
          <w:p w14:paraId="1A20FED5"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$2,058.29</w:t>
            </w:r>
          </w:p>
        </w:tc>
        <w:tc>
          <w:tcPr>
            <w:tcW w:w="933" w:type="pct"/>
            <w:tcBorders>
              <w:top w:val="nil"/>
              <w:left w:val="nil"/>
              <w:bottom w:val="single" w:sz="8" w:space="0" w:color="auto"/>
              <w:right w:val="single" w:sz="8" w:space="0" w:color="auto"/>
            </w:tcBorders>
            <w:vAlign w:val="center"/>
            <w:hideMark/>
          </w:tcPr>
          <w:p w14:paraId="7EDCEAD9" w14:textId="3C81971D" w:rsidR="00883F50" w:rsidRPr="00EA47E6" w:rsidRDefault="00883F50" w:rsidP="00883F50">
            <w:pPr>
              <w:spacing w:after="0" w:line="240" w:lineRule="auto"/>
              <w:jc w:val="center"/>
              <w:rPr>
                <w:rFonts w:ascii="Calibri" w:eastAsia="Times New Roman" w:hAnsi="Calibri" w:cs="Calibri"/>
                <w:color w:val="000000"/>
                <w:sz w:val="20"/>
                <w:szCs w:val="20"/>
                <w:lang w:eastAsia="en-AU"/>
              </w:rPr>
            </w:pPr>
            <w:r w:rsidRPr="00EA47E6">
              <w:rPr>
                <w:rFonts w:ascii="Calibri" w:eastAsia="Times New Roman" w:hAnsi="Calibri" w:cs="Calibri"/>
                <w:color w:val="000000"/>
                <w:sz w:val="20"/>
                <w:szCs w:val="20"/>
                <w:lang w:eastAsia="en-AU"/>
              </w:rPr>
              <w:t>[REDACTED TEXT]</w:t>
            </w:r>
          </w:p>
        </w:tc>
      </w:tr>
      <w:tr w:rsidR="00883F50" w:rsidRPr="000F04A0" w14:paraId="59D9C2E6" w14:textId="77777777" w:rsidTr="00883F50">
        <w:trPr>
          <w:trHeight w:val="790"/>
        </w:trPr>
        <w:tc>
          <w:tcPr>
            <w:tcW w:w="752" w:type="pct"/>
            <w:vMerge/>
            <w:tcBorders>
              <w:top w:val="nil"/>
              <w:left w:val="single" w:sz="8" w:space="0" w:color="auto"/>
              <w:bottom w:val="single" w:sz="8" w:space="0" w:color="000000"/>
              <w:right w:val="single" w:sz="8" w:space="0" w:color="auto"/>
            </w:tcBorders>
            <w:vAlign w:val="center"/>
            <w:hideMark/>
          </w:tcPr>
          <w:p w14:paraId="04593F44"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p>
        </w:tc>
        <w:tc>
          <w:tcPr>
            <w:tcW w:w="1583" w:type="pct"/>
            <w:tcBorders>
              <w:top w:val="nil"/>
              <w:left w:val="nil"/>
              <w:bottom w:val="single" w:sz="8" w:space="0" w:color="auto"/>
              <w:right w:val="single" w:sz="8" w:space="0" w:color="auto"/>
            </w:tcBorders>
            <w:vAlign w:val="center"/>
            <w:hideMark/>
          </w:tcPr>
          <w:p w14:paraId="6EDCCA53"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Pack containing 4 capsules 230 micrograms and 3 capsules 460 micrograms</w:t>
            </w:r>
          </w:p>
        </w:tc>
        <w:tc>
          <w:tcPr>
            <w:tcW w:w="599" w:type="pct"/>
            <w:tcBorders>
              <w:top w:val="nil"/>
              <w:left w:val="nil"/>
              <w:bottom w:val="single" w:sz="8" w:space="0" w:color="auto"/>
              <w:right w:val="single" w:sz="8" w:space="0" w:color="auto"/>
            </w:tcBorders>
            <w:vAlign w:val="center"/>
            <w:hideMark/>
          </w:tcPr>
          <w:p w14:paraId="274ABBF4"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1</w:t>
            </w:r>
          </w:p>
        </w:tc>
        <w:tc>
          <w:tcPr>
            <w:tcW w:w="1133" w:type="pct"/>
            <w:tcBorders>
              <w:top w:val="nil"/>
              <w:left w:val="nil"/>
              <w:bottom w:val="single" w:sz="8" w:space="0" w:color="auto"/>
              <w:right w:val="single" w:sz="8" w:space="0" w:color="auto"/>
            </w:tcBorders>
            <w:vAlign w:val="center"/>
            <w:hideMark/>
          </w:tcPr>
          <w:p w14:paraId="79194565"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$514.57</w:t>
            </w:r>
          </w:p>
        </w:tc>
        <w:tc>
          <w:tcPr>
            <w:tcW w:w="933" w:type="pct"/>
            <w:tcBorders>
              <w:top w:val="nil"/>
              <w:left w:val="nil"/>
              <w:bottom w:val="single" w:sz="8" w:space="0" w:color="auto"/>
              <w:right w:val="single" w:sz="8" w:space="0" w:color="auto"/>
            </w:tcBorders>
            <w:vAlign w:val="center"/>
            <w:hideMark/>
          </w:tcPr>
          <w:p w14:paraId="59883803" w14:textId="32CAB102" w:rsidR="00883F50" w:rsidRPr="00EA47E6" w:rsidRDefault="00883F50" w:rsidP="00883F50">
            <w:pPr>
              <w:spacing w:after="0" w:line="240" w:lineRule="auto"/>
              <w:jc w:val="center"/>
              <w:rPr>
                <w:rFonts w:ascii="Calibri" w:eastAsia="Times New Roman" w:hAnsi="Calibri" w:cs="Calibri"/>
                <w:color w:val="000000"/>
                <w:sz w:val="20"/>
                <w:szCs w:val="20"/>
                <w:lang w:eastAsia="en-AU"/>
              </w:rPr>
            </w:pPr>
            <w:r w:rsidRPr="00EA47E6">
              <w:rPr>
                <w:rFonts w:ascii="Calibri" w:eastAsia="Times New Roman" w:hAnsi="Calibri" w:cs="Calibri"/>
                <w:color w:val="000000"/>
                <w:sz w:val="20"/>
                <w:szCs w:val="20"/>
                <w:lang w:eastAsia="en-AU"/>
              </w:rPr>
              <w:t>[REDACTED TEXT]</w:t>
            </w:r>
          </w:p>
        </w:tc>
      </w:tr>
      <w:tr w:rsidR="00883F50" w:rsidRPr="000F04A0" w14:paraId="7027C145" w14:textId="77777777" w:rsidTr="00883F50">
        <w:trPr>
          <w:trHeight w:val="530"/>
        </w:trPr>
        <w:tc>
          <w:tcPr>
            <w:tcW w:w="752" w:type="pct"/>
            <w:tcBorders>
              <w:top w:val="nil"/>
              <w:left w:val="single" w:sz="8" w:space="0" w:color="auto"/>
              <w:bottom w:val="single" w:sz="8" w:space="0" w:color="auto"/>
              <w:right w:val="single" w:sz="8" w:space="0" w:color="auto"/>
            </w:tcBorders>
            <w:vAlign w:val="center"/>
            <w:hideMark/>
          </w:tcPr>
          <w:p w14:paraId="1216DC68"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Ofatumumab</w:t>
            </w:r>
          </w:p>
        </w:tc>
        <w:tc>
          <w:tcPr>
            <w:tcW w:w="1583" w:type="pct"/>
            <w:tcBorders>
              <w:top w:val="nil"/>
              <w:left w:val="nil"/>
              <w:bottom w:val="single" w:sz="8" w:space="0" w:color="auto"/>
              <w:right w:val="single" w:sz="8" w:space="0" w:color="auto"/>
            </w:tcBorders>
            <w:vAlign w:val="center"/>
            <w:hideMark/>
          </w:tcPr>
          <w:p w14:paraId="12123602"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Solution for injection 20 mg in 0.4 mL pre-filled pen</w:t>
            </w:r>
          </w:p>
        </w:tc>
        <w:tc>
          <w:tcPr>
            <w:tcW w:w="599" w:type="pct"/>
            <w:tcBorders>
              <w:top w:val="nil"/>
              <w:left w:val="nil"/>
              <w:bottom w:val="single" w:sz="8" w:space="0" w:color="auto"/>
              <w:right w:val="single" w:sz="8" w:space="0" w:color="auto"/>
            </w:tcBorders>
            <w:vAlign w:val="center"/>
            <w:hideMark/>
          </w:tcPr>
          <w:p w14:paraId="5FAEB55B"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1</w:t>
            </w:r>
          </w:p>
        </w:tc>
        <w:tc>
          <w:tcPr>
            <w:tcW w:w="1133" w:type="pct"/>
            <w:tcBorders>
              <w:top w:val="nil"/>
              <w:left w:val="nil"/>
              <w:bottom w:val="single" w:sz="8" w:space="0" w:color="auto"/>
              <w:right w:val="single" w:sz="8" w:space="0" w:color="auto"/>
            </w:tcBorders>
            <w:vAlign w:val="center"/>
            <w:hideMark/>
          </w:tcPr>
          <w:p w14:paraId="4C703A9A"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$2,058.29</w:t>
            </w:r>
          </w:p>
        </w:tc>
        <w:tc>
          <w:tcPr>
            <w:tcW w:w="933" w:type="pct"/>
            <w:tcBorders>
              <w:top w:val="nil"/>
              <w:left w:val="nil"/>
              <w:bottom w:val="single" w:sz="8" w:space="0" w:color="auto"/>
              <w:right w:val="single" w:sz="8" w:space="0" w:color="auto"/>
            </w:tcBorders>
            <w:vAlign w:val="center"/>
            <w:hideMark/>
          </w:tcPr>
          <w:p w14:paraId="0884F7EC" w14:textId="368884BD" w:rsidR="00883F50" w:rsidRPr="00EA47E6" w:rsidRDefault="00883F50" w:rsidP="00883F50">
            <w:pPr>
              <w:spacing w:after="0" w:line="240" w:lineRule="auto"/>
              <w:jc w:val="center"/>
              <w:rPr>
                <w:rFonts w:ascii="Calibri" w:eastAsia="Times New Roman" w:hAnsi="Calibri" w:cs="Calibri"/>
                <w:color w:val="000000"/>
                <w:sz w:val="20"/>
                <w:szCs w:val="20"/>
                <w:lang w:eastAsia="en-AU"/>
              </w:rPr>
            </w:pPr>
            <w:r w:rsidRPr="00EA47E6">
              <w:rPr>
                <w:rFonts w:ascii="Calibri" w:eastAsia="Times New Roman" w:hAnsi="Calibri" w:cs="Calibri"/>
                <w:color w:val="000000"/>
                <w:sz w:val="20"/>
                <w:szCs w:val="20"/>
                <w:lang w:eastAsia="en-AU"/>
              </w:rPr>
              <w:t>[REDACTED TEXT]</w:t>
            </w:r>
          </w:p>
        </w:tc>
      </w:tr>
      <w:tr w:rsidR="00883F50" w:rsidRPr="000F04A0" w14:paraId="63DA42F7" w14:textId="77777777" w:rsidTr="00883F50">
        <w:trPr>
          <w:trHeight w:val="270"/>
        </w:trPr>
        <w:tc>
          <w:tcPr>
            <w:tcW w:w="752" w:type="pct"/>
            <w:tcBorders>
              <w:top w:val="nil"/>
              <w:left w:val="single" w:sz="8" w:space="0" w:color="auto"/>
              <w:bottom w:val="single" w:sz="8" w:space="0" w:color="auto"/>
              <w:right w:val="single" w:sz="8" w:space="0" w:color="auto"/>
            </w:tcBorders>
            <w:vAlign w:val="center"/>
            <w:hideMark/>
          </w:tcPr>
          <w:p w14:paraId="402E582C"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Cladribine</w:t>
            </w:r>
          </w:p>
        </w:tc>
        <w:tc>
          <w:tcPr>
            <w:tcW w:w="1583" w:type="pct"/>
            <w:tcBorders>
              <w:top w:val="nil"/>
              <w:left w:val="nil"/>
              <w:bottom w:val="single" w:sz="8" w:space="0" w:color="auto"/>
              <w:right w:val="single" w:sz="8" w:space="0" w:color="auto"/>
            </w:tcBorders>
            <w:vAlign w:val="center"/>
            <w:hideMark/>
          </w:tcPr>
          <w:p w14:paraId="4CF95D3C"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Tablet 10 mg</w:t>
            </w:r>
          </w:p>
        </w:tc>
        <w:tc>
          <w:tcPr>
            <w:tcW w:w="599" w:type="pct"/>
            <w:tcBorders>
              <w:top w:val="nil"/>
              <w:left w:val="nil"/>
              <w:bottom w:val="single" w:sz="8" w:space="0" w:color="auto"/>
              <w:right w:val="single" w:sz="8" w:space="0" w:color="auto"/>
            </w:tcBorders>
            <w:vAlign w:val="center"/>
            <w:hideMark/>
          </w:tcPr>
          <w:p w14:paraId="157AAB0E"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1</w:t>
            </w:r>
          </w:p>
        </w:tc>
        <w:tc>
          <w:tcPr>
            <w:tcW w:w="1133" w:type="pct"/>
            <w:tcBorders>
              <w:top w:val="nil"/>
              <w:left w:val="nil"/>
              <w:bottom w:val="single" w:sz="8" w:space="0" w:color="auto"/>
              <w:right w:val="single" w:sz="8" w:space="0" w:color="auto"/>
            </w:tcBorders>
            <w:vAlign w:val="center"/>
            <w:hideMark/>
          </w:tcPr>
          <w:p w14:paraId="1E00ECEA"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$3,641.39</w:t>
            </w:r>
          </w:p>
        </w:tc>
        <w:tc>
          <w:tcPr>
            <w:tcW w:w="933" w:type="pct"/>
            <w:tcBorders>
              <w:top w:val="nil"/>
              <w:left w:val="nil"/>
              <w:bottom w:val="single" w:sz="8" w:space="0" w:color="auto"/>
              <w:right w:val="single" w:sz="8" w:space="0" w:color="auto"/>
            </w:tcBorders>
            <w:vAlign w:val="center"/>
            <w:hideMark/>
          </w:tcPr>
          <w:p w14:paraId="248D82A9" w14:textId="17074470" w:rsidR="00883F50" w:rsidRPr="00EA47E6" w:rsidRDefault="00883F50" w:rsidP="00883F50">
            <w:pPr>
              <w:spacing w:after="0" w:line="240" w:lineRule="auto"/>
              <w:jc w:val="center"/>
              <w:rPr>
                <w:rFonts w:ascii="Calibri" w:eastAsia="Times New Roman" w:hAnsi="Calibri" w:cs="Calibri"/>
                <w:color w:val="000000"/>
                <w:sz w:val="20"/>
                <w:szCs w:val="20"/>
                <w:lang w:eastAsia="en-AU"/>
              </w:rPr>
            </w:pPr>
            <w:r w:rsidRPr="00EA47E6">
              <w:rPr>
                <w:rFonts w:ascii="Calibri" w:eastAsia="Times New Roman" w:hAnsi="Calibri" w:cs="Calibri"/>
                <w:color w:val="000000"/>
                <w:sz w:val="20"/>
                <w:szCs w:val="20"/>
                <w:lang w:eastAsia="en-AU"/>
              </w:rPr>
              <w:t>[REDACTED TEXT]</w:t>
            </w:r>
          </w:p>
        </w:tc>
      </w:tr>
      <w:tr w:rsidR="00883F50" w:rsidRPr="000F04A0" w14:paraId="1EF8925A" w14:textId="77777777" w:rsidTr="00883F50">
        <w:trPr>
          <w:trHeight w:val="270"/>
        </w:trPr>
        <w:tc>
          <w:tcPr>
            <w:tcW w:w="752" w:type="pct"/>
            <w:tcBorders>
              <w:top w:val="nil"/>
              <w:left w:val="single" w:sz="8" w:space="0" w:color="auto"/>
              <w:bottom w:val="single" w:sz="8" w:space="0" w:color="auto"/>
              <w:right w:val="single" w:sz="8" w:space="0" w:color="auto"/>
            </w:tcBorders>
            <w:vAlign w:val="center"/>
            <w:hideMark/>
          </w:tcPr>
          <w:p w14:paraId="4747F910"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Siponimod</w:t>
            </w:r>
          </w:p>
        </w:tc>
        <w:tc>
          <w:tcPr>
            <w:tcW w:w="1583" w:type="pct"/>
            <w:tcBorders>
              <w:top w:val="nil"/>
              <w:left w:val="nil"/>
              <w:bottom w:val="single" w:sz="8" w:space="0" w:color="auto"/>
              <w:right w:val="single" w:sz="8" w:space="0" w:color="auto"/>
            </w:tcBorders>
            <w:vAlign w:val="center"/>
            <w:hideMark/>
          </w:tcPr>
          <w:p w14:paraId="2F2AB3E7" w14:textId="77777777" w:rsidR="00883F50" w:rsidRPr="000F04A0" w:rsidRDefault="00883F50" w:rsidP="00883F50">
            <w:pPr>
              <w:spacing w:after="0" w:line="240" w:lineRule="auto"/>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Tablet 2 mg</w:t>
            </w:r>
          </w:p>
        </w:tc>
        <w:tc>
          <w:tcPr>
            <w:tcW w:w="599" w:type="pct"/>
            <w:tcBorders>
              <w:top w:val="nil"/>
              <w:left w:val="nil"/>
              <w:bottom w:val="single" w:sz="8" w:space="0" w:color="auto"/>
              <w:right w:val="single" w:sz="8" w:space="0" w:color="auto"/>
            </w:tcBorders>
            <w:vAlign w:val="center"/>
            <w:hideMark/>
          </w:tcPr>
          <w:p w14:paraId="14447DA3"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28</w:t>
            </w:r>
          </w:p>
        </w:tc>
        <w:tc>
          <w:tcPr>
            <w:tcW w:w="1133" w:type="pct"/>
            <w:tcBorders>
              <w:top w:val="nil"/>
              <w:left w:val="nil"/>
              <w:bottom w:val="single" w:sz="8" w:space="0" w:color="auto"/>
              <w:right w:val="single" w:sz="8" w:space="0" w:color="auto"/>
            </w:tcBorders>
            <w:vAlign w:val="center"/>
            <w:hideMark/>
          </w:tcPr>
          <w:p w14:paraId="22948C17" w14:textId="77777777" w:rsidR="00883F50" w:rsidRPr="000F04A0" w:rsidRDefault="00883F50" w:rsidP="00883F50">
            <w:pPr>
              <w:spacing w:after="0" w:line="240" w:lineRule="auto"/>
              <w:jc w:val="center"/>
              <w:rPr>
                <w:rFonts w:ascii="Calibri" w:eastAsia="Times New Roman" w:hAnsi="Calibri" w:cs="Calibri"/>
                <w:color w:val="000000"/>
                <w:sz w:val="20"/>
                <w:szCs w:val="20"/>
                <w:lang w:eastAsia="en-AU"/>
              </w:rPr>
            </w:pPr>
            <w:r w:rsidRPr="000F04A0">
              <w:rPr>
                <w:rFonts w:ascii="Calibri" w:eastAsia="Times New Roman" w:hAnsi="Calibri" w:cs="Calibri"/>
                <w:color w:val="000000"/>
                <w:sz w:val="20"/>
                <w:szCs w:val="20"/>
                <w:lang w:eastAsia="en-AU"/>
              </w:rPr>
              <w:t>$2,058.29</w:t>
            </w:r>
          </w:p>
        </w:tc>
        <w:tc>
          <w:tcPr>
            <w:tcW w:w="933" w:type="pct"/>
            <w:tcBorders>
              <w:top w:val="nil"/>
              <w:left w:val="nil"/>
              <w:bottom w:val="single" w:sz="8" w:space="0" w:color="auto"/>
              <w:right w:val="single" w:sz="8" w:space="0" w:color="auto"/>
            </w:tcBorders>
            <w:vAlign w:val="center"/>
            <w:hideMark/>
          </w:tcPr>
          <w:p w14:paraId="37CF18D6" w14:textId="5017E867" w:rsidR="00883F50" w:rsidRPr="00EA47E6" w:rsidRDefault="00883F50" w:rsidP="00883F50">
            <w:pPr>
              <w:spacing w:after="0" w:line="240" w:lineRule="auto"/>
              <w:jc w:val="center"/>
              <w:rPr>
                <w:rFonts w:ascii="Calibri" w:eastAsia="Times New Roman" w:hAnsi="Calibri" w:cs="Calibri"/>
                <w:color w:val="000000"/>
                <w:sz w:val="20"/>
                <w:szCs w:val="20"/>
                <w:lang w:eastAsia="en-AU"/>
              </w:rPr>
            </w:pPr>
            <w:r w:rsidRPr="00EA47E6">
              <w:rPr>
                <w:rFonts w:ascii="Calibri" w:eastAsia="Times New Roman" w:hAnsi="Calibri" w:cs="Calibri"/>
                <w:color w:val="000000"/>
                <w:sz w:val="20"/>
                <w:szCs w:val="20"/>
                <w:lang w:eastAsia="en-AU"/>
              </w:rPr>
              <w:t>[REDACTED TEXT]</w:t>
            </w:r>
          </w:p>
        </w:tc>
      </w:tr>
    </w:tbl>
    <w:p w14:paraId="02FDEA54" w14:textId="77777777" w:rsidR="004A6F1F" w:rsidRDefault="004A6F1F" w:rsidP="004A6F1F">
      <w:bookmarkStart w:id="4" w:name="Methods"/>
    </w:p>
    <w:p w14:paraId="72E6C28E" w14:textId="4B57D11C" w:rsidR="00EB534F" w:rsidRPr="000F04A0" w:rsidRDefault="00EB534F" w:rsidP="004A6F1F">
      <w:pPr>
        <w:pStyle w:val="Heading1"/>
      </w:pPr>
      <w:r w:rsidRPr="000F04A0">
        <w:t>Methods</w:t>
      </w:r>
    </w:p>
    <w:bookmarkEnd w:id="4"/>
    <w:p w14:paraId="19C2AA6A" w14:textId="2106F02E"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The data used for this analysis included all prescriptions supplied for PBS-listed DMTs for the treatment of RRMS from 1 January 2019 to 31 December 2024, using the PBS item codes at </w:t>
      </w:r>
      <w:r w:rsidRPr="000F04A0">
        <w:rPr>
          <w:rFonts w:ascii="Calibri" w:eastAsia="Times New Roman" w:hAnsi="Calibri" w:cs="Calibri"/>
          <w:snapToGrid w:val="0"/>
          <w:sz w:val="24"/>
          <w:szCs w:val="24"/>
          <w:u w:val="single"/>
        </w:rPr>
        <w:t>Attachment 1</w:t>
      </w:r>
      <w:r w:rsidRPr="000F04A0">
        <w:rPr>
          <w:rFonts w:ascii="Calibri" w:eastAsia="Times New Roman" w:hAnsi="Calibri" w:cs="Calibri"/>
          <w:snapToGrid w:val="0"/>
          <w:sz w:val="24"/>
          <w:szCs w:val="24"/>
        </w:rPr>
        <w:t>. A three</w:t>
      </w:r>
      <w:r w:rsidR="00EA47E6">
        <w:rPr>
          <w:rFonts w:ascii="Calibri" w:eastAsia="Times New Roman" w:hAnsi="Calibri" w:cs="Calibri"/>
          <w:snapToGrid w:val="0"/>
          <w:sz w:val="24"/>
          <w:szCs w:val="24"/>
        </w:rPr>
        <w:t>-</w:t>
      </w:r>
      <w:r w:rsidRPr="000F04A0">
        <w:rPr>
          <w:rFonts w:ascii="Calibri" w:eastAsia="Times New Roman" w:hAnsi="Calibri" w:cs="Calibri"/>
          <w:snapToGrid w:val="0"/>
          <w:sz w:val="24"/>
          <w:szCs w:val="24"/>
        </w:rPr>
        <w:t xml:space="preserve">year lookback period to 1 January 2016 was used to identify incident (initiating) patients from 1 January 2019. </w:t>
      </w:r>
    </w:p>
    <w:p w14:paraId="5C106804"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Analyses by age were based on the age of the patient at the time of the R/PBS supply.</w:t>
      </w:r>
    </w:p>
    <w:p w14:paraId="7C73548A"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The transition between the supply of medicines was examined in patients who first initiated on a R/PBS listing from 1 January 2019 with follow-up to 31 December 2024. </w:t>
      </w:r>
    </w:p>
    <w:p w14:paraId="6F7F3255" w14:textId="307D3DA1"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The Kaplan-Meier method was used to analyse time on treatment. All claims from the first ever listing of a RRMS medicine in 1996 to 31 December 2024 were included in the analysis. Patients were censored if they were identified as </w:t>
      </w:r>
      <w:r w:rsidR="00EA47E6" w:rsidRPr="000F04A0">
        <w:rPr>
          <w:rFonts w:ascii="Calibri" w:eastAsia="Times New Roman" w:hAnsi="Calibri" w:cs="Calibri"/>
          <w:snapToGrid w:val="0"/>
          <w:sz w:val="24"/>
          <w:szCs w:val="24"/>
        </w:rPr>
        <w:t>continuing</w:t>
      </w:r>
      <w:r w:rsidRPr="000F04A0">
        <w:rPr>
          <w:rFonts w:ascii="Calibri" w:eastAsia="Times New Roman" w:hAnsi="Calibri" w:cs="Calibri"/>
          <w:snapToGrid w:val="0"/>
          <w:sz w:val="24"/>
          <w:szCs w:val="24"/>
        </w:rPr>
        <w:t xml:space="preserve"> treatment. The median time between supplies for each medicine was obtained. A patient was assumed to be </w:t>
      </w:r>
      <w:r w:rsidR="00EA47E6" w:rsidRPr="000F04A0">
        <w:rPr>
          <w:rFonts w:ascii="Calibri" w:eastAsia="Times New Roman" w:hAnsi="Calibri" w:cs="Calibri"/>
          <w:snapToGrid w:val="0"/>
          <w:sz w:val="24"/>
          <w:szCs w:val="24"/>
        </w:rPr>
        <w:t>continuing</w:t>
      </w:r>
      <w:r w:rsidRPr="000F04A0">
        <w:rPr>
          <w:rFonts w:ascii="Calibri" w:eastAsia="Times New Roman" w:hAnsi="Calibri" w:cs="Calibri"/>
          <w:snapToGrid w:val="0"/>
          <w:sz w:val="24"/>
          <w:szCs w:val="24"/>
        </w:rPr>
        <w:t xml:space="preserve"> treatment if their last supply was within three times of the median time between supplies (i.e. 93 days = 3 x 31 standard coverage days). The exceptions to this method were alemtuzumab and ocrelizumab. Because Alemtuzumab is administered yearly, it was assumed that a patient was </w:t>
      </w:r>
      <w:r w:rsidR="00EA47E6" w:rsidRPr="000F04A0">
        <w:rPr>
          <w:rFonts w:ascii="Calibri" w:eastAsia="Times New Roman" w:hAnsi="Calibri" w:cs="Calibri"/>
          <w:snapToGrid w:val="0"/>
          <w:sz w:val="24"/>
          <w:szCs w:val="24"/>
        </w:rPr>
        <w:t>continuing</w:t>
      </w:r>
      <w:r w:rsidRPr="000F04A0">
        <w:rPr>
          <w:rFonts w:ascii="Calibri" w:eastAsia="Times New Roman" w:hAnsi="Calibri" w:cs="Calibri"/>
          <w:snapToGrid w:val="0"/>
          <w:sz w:val="24"/>
          <w:szCs w:val="24"/>
        </w:rPr>
        <w:t xml:space="preserve"> alemtuzumab treatment if their last supply was within 365 days of the analysis end period (31 December 2024). Ocrelizumab is administered at 6</w:t>
      </w:r>
      <w:r w:rsidR="00DD14A0" w:rsidRPr="000F04A0">
        <w:rPr>
          <w:rFonts w:ascii="Calibri" w:eastAsia="Times New Roman" w:hAnsi="Calibri" w:cs="Calibri"/>
          <w:snapToGrid w:val="0"/>
          <w:sz w:val="24"/>
          <w:szCs w:val="24"/>
        </w:rPr>
        <w:t> </w:t>
      </w:r>
      <w:r w:rsidRPr="000F04A0">
        <w:rPr>
          <w:rFonts w:ascii="Calibri" w:eastAsia="Times New Roman" w:hAnsi="Calibri" w:cs="Calibri"/>
          <w:snapToGrid w:val="0"/>
          <w:sz w:val="24"/>
          <w:szCs w:val="24"/>
        </w:rPr>
        <w:t xml:space="preserve">monthly intervals, therefore patients on this medicine were assumed to be </w:t>
      </w:r>
      <w:r w:rsidR="00EA47E6" w:rsidRPr="000F04A0">
        <w:rPr>
          <w:rFonts w:ascii="Calibri" w:eastAsia="Times New Roman" w:hAnsi="Calibri" w:cs="Calibri"/>
          <w:snapToGrid w:val="0"/>
          <w:sz w:val="24"/>
          <w:szCs w:val="24"/>
        </w:rPr>
        <w:t>continuing</w:t>
      </w:r>
      <w:r w:rsidRPr="000F04A0">
        <w:rPr>
          <w:rFonts w:ascii="Calibri" w:eastAsia="Times New Roman" w:hAnsi="Calibri" w:cs="Calibri"/>
          <w:snapToGrid w:val="0"/>
          <w:sz w:val="24"/>
          <w:szCs w:val="24"/>
        </w:rPr>
        <w:t xml:space="preserve"> treatment if their last supply was within 182 days of the analysis end period. </w:t>
      </w:r>
    </w:p>
    <w:p w14:paraId="7DBADEFC"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A patient was assumed to have a break in treatment if there was more than three times the median time between supplies (i.e. 93 days = 3 x 31 standard coverage days). Different assumptions were applied to alemtuzumab and ocrelizumab to allow for their administration frequency. A patient was assumed to have a break from alemtuzumab if there was more than </w:t>
      </w:r>
      <w:r w:rsidRPr="000F04A0">
        <w:rPr>
          <w:rFonts w:ascii="Calibri" w:eastAsia="Times New Roman" w:hAnsi="Calibri" w:cs="Calibri"/>
          <w:snapToGrid w:val="0"/>
          <w:sz w:val="24"/>
          <w:szCs w:val="24"/>
        </w:rPr>
        <w:lastRenderedPageBreak/>
        <w:t>365 days between supplies. A patient was assumed to have a break from ocrelizumab if there was more than 182 days between supplies.</w:t>
      </w:r>
    </w:p>
    <w:p w14:paraId="7083CA86" w14:textId="583E193E" w:rsidR="001A369A"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Time on treatment was analysed for patients supplied any drug</w:t>
      </w:r>
      <w:r w:rsidR="00EA47E6">
        <w:rPr>
          <w:rFonts w:ascii="Calibri" w:eastAsia="Times New Roman" w:hAnsi="Calibri" w:cs="Calibri"/>
          <w:snapToGrid w:val="0"/>
          <w:sz w:val="24"/>
          <w:szCs w:val="24"/>
        </w:rPr>
        <w:t xml:space="preserve"> (</w:t>
      </w:r>
      <w:r w:rsidRPr="000F04A0">
        <w:rPr>
          <w:rFonts w:ascii="Calibri" w:eastAsia="Times New Roman" w:hAnsi="Calibri" w:cs="Calibri"/>
          <w:snapToGrid w:val="0"/>
          <w:sz w:val="24"/>
          <w:szCs w:val="24"/>
        </w:rPr>
        <w:t>allow</w:t>
      </w:r>
      <w:r w:rsidR="00EA47E6">
        <w:rPr>
          <w:rFonts w:ascii="Calibri" w:eastAsia="Times New Roman" w:hAnsi="Calibri" w:cs="Calibri"/>
          <w:snapToGrid w:val="0"/>
          <w:sz w:val="24"/>
          <w:szCs w:val="24"/>
        </w:rPr>
        <w:t>ing</w:t>
      </w:r>
      <w:r w:rsidRPr="000F04A0">
        <w:rPr>
          <w:rFonts w:ascii="Calibri" w:eastAsia="Times New Roman" w:hAnsi="Calibri" w:cs="Calibri"/>
          <w:snapToGrid w:val="0"/>
          <w:sz w:val="24"/>
          <w:szCs w:val="24"/>
        </w:rPr>
        <w:t xml:space="preserve"> for switching between drugs). A further analysis was done for the time on the first episode of treatment with an individual drug.</w:t>
      </w:r>
    </w:p>
    <w:p w14:paraId="4BC29ADF" w14:textId="77777777" w:rsidR="00EB534F" w:rsidRPr="000F04A0" w:rsidRDefault="00EB534F" w:rsidP="004A6F1F">
      <w:pPr>
        <w:pStyle w:val="Heading1"/>
        <w:rPr>
          <w:lang w:eastAsia="en-AU"/>
        </w:rPr>
      </w:pPr>
      <w:r w:rsidRPr="000F04A0">
        <w:rPr>
          <w:lang w:eastAsia="en-AU"/>
        </w:rPr>
        <w:t>Results</w:t>
      </w:r>
    </w:p>
    <w:p w14:paraId="03BC4817" w14:textId="77777777" w:rsidR="00EB534F" w:rsidRPr="004A6F1F" w:rsidRDefault="00EB534F" w:rsidP="004A6F1F">
      <w:pPr>
        <w:pStyle w:val="Heading2"/>
      </w:pPr>
      <w:r w:rsidRPr="004A6F1F">
        <w:t>Prescription utilisation trends</w:t>
      </w:r>
    </w:p>
    <w:p w14:paraId="69263D1F"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Figure 1 shows the total number of prescriptions for PBS-listed DMTs for RRMS supplied from 2019 to 2024. The number of prescriptions increased from 168,891 in 2019 to 187,037 in 2024 (an increase of 10.7%).</w:t>
      </w:r>
    </w:p>
    <w:p w14:paraId="7B03B2E3" w14:textId="41248F89" w:rsidR="00EB534F" w:rsidRPr="000F04A0" w:rsidRDefault="00A45CDC" w:rsidP="00EB534F">
      <w:pPr>
        <w:spacing w:after="120" w:line="240" w:lineRule="auto"/>
        <w:jc w:val="both"/>
        <w:rPr>
          <w:rFonts w:ascii="Calibri" w:hAnsi="Calibri" w:cs="Calibri"/>
        </w:rPr>
      </w:pPr>
      <w:r>
        <w:rPr>
          <w:noProof/>
        </w:rPr>
        <w:drawing>
          <wp:inline distT="0" distB="0" distL="0" distR="0" wp14:anchorId="40DA89DC" wp14:editId="4EED9A98">
            <wp:extent cx="5731510" cy="3532505"/>
            <wp:effectExtent l="0" t="0" r="2540" b="0"/>
            <wp:docPr id="150155366" name="Picture 1" descr="Figure 1: Number of prescriptions supplied for PBS-listed DMTs for RRMS (201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55366" name="Picture 1" descr="Figure 1: Number of prescriptions supplied for PBS-listed DMTs for RRMS (2019-2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532505"/>
                    </a:xfrm>
                    <a:prstGeom prst="rect">
                      <a:avLst/>
                    </a:prstGeom>
                    <a:noFill/>
                    <a:ln>
                      <a:noFill/>
                    </a:ln>
                  </pic:spPr>
                </pic:pic>
              </a:graphicData>
            </a:graphic>
          </wp:inline>
        </w:drawing>
      </w:r>
    </w:p>
    <w:p w14:paraId="57F2AC7E" w14:textId="77777777" w:rsidR="00EB534F" w:rsidRPr="004A6F1F" w:rsidRDefault="00EB534F" w:rsidP="00EB534F">
      <w:pPr>
        <w:pStyle w:val="3Bodytext"/>
        <w:keepNext/>
        <w:spacing w:before="60" w:after="60"/>
        <w:ind w:left="0" w:firstLine="0"/>
        <w:rPr>
          <w:rFonts w:ascii="Calibri" w:hAnsi="Calibri" w:cs="Calibri"/>
          <w:b/>
          <w:bCs/>
          <w:sz w:val="20"/>
          <w:szCs w:val="20"/>
        </w:rPr>
      </w:pPr>
      <w:r w:rsidRPr="004A6F1F">
        <w:rPr>
          <w:rFonts w:ascii="Calibri" w:hAnsi="Calibri" w:cs="Calibri"/>
          <w:b/>
          <w:bCs/>
          <w:sz w:val="20"/>
          <w:szCs w:val="20"/>
        </w:rPr>
        <w:t>Figure 1: Number of prescriptions supplied for PBS-listed DMTs for RRMS (2019-2024)</w:t>
      </w:r>
    </w:p>
    <w:p w14:paraId="13D04BB2" w14:textId="77777777" w:rsidR="00EB534F" w:rsidRPr="000F04A0" w:rsidRDefault="00EB534F" w:rsidP="00EB534F">
      <w:pPr>
        <w:pStyle w:val="3Bodytext"/>
        <w:keepNext/>
        <w:spacing w:before="60" w:after="60"/>
        <w:ind w:left="0" w:firstLine="0"/>
        <w:rPr>
          <w:rFonts w:ascii="Calibri" w:hAnsi="Calibri" w:cs="Calibri"/>
          <w:b/>
          <w:bCs/>
          <w:sz w:val="20"/>
          <w:szCs w:val="20"/>
        </w:rPr>
      </w:pPr>
    </w:p>
    <w:p w14:paraId="22A23020"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Figure 2 shows the number prescriptions supplied for PBS-listed DMTs for RRMS by drug from 2019 to 2024. It should be noted that differences in the route of administration and dosage regimes between DMTs will impact the number of prescriptions. For example, ocrelizumab is administered intravenously every 6 months (requiring only 2 prescriptions per year) while fingolimod is administered orally daily (dispensed in packs of 28 units). The numbers of prescriptions supplied for fingolimod has decreased over time from 59,114 prescriptions in 2019 to 35,331 in 2024 (40.2% decrease). </w:t>
      </w:r>
    </w:p>
    <w:p w14:paraId="431CF76B" w14:textId="02850AC8" w:rsidR="00EB534F" w:rsidRPr="000F04A0" w:rsidRDefault="00EB534F" w:rsidP="00EB534F">
      <w:pPr>
        <w:pStyle w:val="3Bodytext"/>
        <w:ind w:left="0" w:firstLine="0"/>
        <w:rPr>
          <w:rFonts w:ascii="Calibri" w:hAnsi="Calibri" w:cs="Calibri"/>
        </w:rPr>
      </w:pPr>
    </w:p>
    <w:p w14:paraId="494C9BC3" w14:textId="45FC0091" w:rsidR="00EB534F" w:rsidRPr="000F04A0" w:rsidRDefault="00A45CDC" w:rsidP="00EB534F">
      <w:pPr>
        <w:pStyle w:val="3Bodytext"/>
        <w:keepNext/>
        <w:spacing w:before="60" w:after="60"/>
        <w:ind w:left="0" w:firstLine="0"/>
        <w:rPr>
          <w:rFonts w:ascii="Calibri" w:hAnsi="Calibri" w:cs="Calibri"/>
          <w:b/>
          <w:bCs/>
          <w:szCs w:val="24"/>
        </w:rPr>
      </w:pPr>
      <w:r>
        <w:rPr>
          <w:noProof/>
        </w:rPr>
        <w:lastRenderedPageBreak/>
        <w:drawing>
          <wp:inline distT="0" distB="0" distL="0" distR="0" wp14:anchorId="1A2E1C6D" wp14:editId="3F050C4D">
            <wp:extent cx="5731510" cy="4471035"/>
            <wp:effectExtent l="0" t="0" r="2540" b="5715"/>
            <wp:docPr id="167956932" name="Picture 2" descr="Figure 2: Number of prescriptions supplied for PBS-listed DMTs by drug (201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6932" name="Picture 2" descr="Figure 2: Number of prescriptions supplied for PBS-listed DMTs by drug (2019-20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471035"/>
                    </a:xfrm>
                    <a:prstGeom prst="rect">
                      <a:avLst/>
                    </a:prstGeom>
                    <a:noFill/>
                    <a:ln>
                      <a:noFill/>
                    </a:ln>
                  </pic:spPr>
                </pic:pic>
              </a:graphicData>
            </a:graphic>
          </wp:inline>
        </w:drawing>
      </w:r>
      <w:r w:rsidR="00EB534F" w:rsidRPr="000F04A0">
        <w:rPr>
          <w:rFonts w:ascii="Calibri" w:hAnsi="Calibri" w:cs="Calibri"/>
          <w:b/>
          <w:bCs/>
          <w:szCs w:val="24"/>
        </w:rPr>
        <w:t xml:space="preserve"> </w:t>
      </w:r>
      <w:r w:rsidR="00EB534F" w:rsidRPr="004A6F1F">
        <w:rPr>
          <w:rFonts w:ascii="Calibri" w:hAnsi="Calibri" w:cs="Calibri"/>
          <w:b/>
          <w:bCs/>
          <w:sz w:val="20"/>
          <w:szCs w:val="20"/>
        </w:rPr>
        <w:t>Figure 2: Number of prescriptions supplied for PBS-listed DMTs by drug (2019-2024)</w:t>
      </w:r>
    </w:p>
    <w:p w14:paraId="6234D893" w14:textId="77777777" w:rsidR="004A6F1F" w:rsidRDefault="004A6F1F" w:rsidP="001A369A">
      <w:pPr>
        <w:spacing w:before="120" w:after="120" w:line="240" w:lineRule="auto"/>
        <w:jc w:val="both"/>
        <w:rPr>
          <w:rFonts w:ascii="Calibri" w:eastAsia="Times New Roman" w:hAnsi="Calibri" w:cs="Calibri"/>
          <w:snapToGrid w:val="0"/>
          <w:sz w:val="24"/>
          <w:szCs w:val="24"/>
        </w:rPr>
      </w:pPr>
    </w:p>
    <w:p w14:paraId="1B006427" w14:textId="30D122E8" w:rsidR="00EB534F" w:rsidRPr="000F04A0" w:rsidRDefault="00EB534F" w:rsidP="001A369A">
      <w:pPr>
        <w:spacing w:before="120"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Figure 3 shows the number of prescriptions supplied for PBS-listed DMTs for RRMS in the high efficacy tier (see Table 3). The total number of prescriptions supplied for the high efficacy group increased from 98,470 prescriptions in 2019 to 133,862 prescriptions in 2024 (an increase of 35.9%). Natalizumab had the greatest number of prescriptions supplied in 2024 (38,271 prescriptions), followed by fingolimod (35,331 prescriptions) and ofatumumab (33,669 prescriptions). </w:t>
      </w:r>
    </w:p>
    <w:p w14:paraId="790EFD9D"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Figure 4 shows the number of prescriptions supplied for PBS-listed DMTs for RRMS in the moderate efficacy tier (see Table 3). The total number of prescriptions supplied for the moderate efficacy group decreased from 70,421 prescriptions in 2019 to 53,175 prescriptions in 2024 (a decrease of 24.4%). Dimethyl </w:t>
      </w:r>
      <w:proofErr w:type="spellStart"/>
      <w:r w:rsidRPr="000F04A0">
        <w:rPr>
          <w:rFonts w:ascii="Calibri" w:eastAsia="Times New Roman" w:hAnsi="Calibri" w:cs="Calibri"/>
          <w:snapToGrid w:val="0"/>
          <w:sz w:val="24"/>
          <w:szCs w:val="24"/>
        </w:rPr>
        <w:t>fumurate</w:t>
      </w:r>
      <w:proofErr w:type="spellEnd"/>
      <w:r w:rsidRPr="000F04A0">
        <w:rPr>
          <w:rFonts w:ascii="Calibri" w:eastAsia="Times New Roman" w:hAnsi="Calibri" w:cs="Calibri"/>
          <w:snapToGrid w:val="0"/>
          <w:sz w:val="24"/>
          <w:szCs w:val="24"/>
        </w:rPr>
        <w:t xml:space="preserve"> had the greatest number of prescriptions supplied in 2024 (17,204), followed by teriflunomide (15,116). </w:t>
      </w:r>
    </w:p>
    <w:p w14:paraId="4F245AE2" w14:textId="62A8793A" w:rsidR="00EB534F" w:rsidRPr="004A6F1F" w:rsidRDefault="008B3272" w:rsidP="00EB534F">
      <w:pPr>
        <w:rPr>
          <w:rFonts w:ascii="Calibri" w:hAnsi="Calibri" w:cs="Calibri"/>
          <w:b/>
          <w:bCs/>
          <w:sz w:val="20"/>
          <w:szCs w:val="20"/>
        </w:rPr>
      </w:pPr>
      <w:r>
        <w:rPr>
          <w:noProof/>
        </w:rPr>
        <w:lastRenderedPageBreak/>
        <w:drawing>
          <wp:inline distT="0" distB="0" distL="0" distR="0" wp14:anchorId="649F2989" wp14:editId="582FDB83">
            <wp:extent cx="5731510" cy="3313430"/>
            <wp:effectExtent l="0" t="0" r="2540" b="1270"/>
            <wp:docPr id="712713908" name="Picture 3" descr="Figure 3: Number of prescriptions supplied for PBS-listed DMTs for RRMS in the high efficacy tier by drug (201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713908" name="Picture 3" descr="Figure 3: Number of prescriptions supplied for PBS-listed DMTs for RRMS in the high efficacy tier by drug (2019-20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313430"/>
                    </a:xfrm>
                    <a:prstGeom prst="rect">
                      <a:avLst/>
                    </a:prstGeom>
                    <a:noFill/>
                    <a:ln>
                      <a:noFill/>
                    </a:ln>
                  </pic:spPr>
                </pic:pic>
              </a:graphicData>
            </a:graphic>
          </wp:inline>
        </w:drawing>
      </w:r>
      <w:r w:rsidR="00EB534F" w:rsidRPr="004A6F1F">
        <w:rPr>
          <w:rFonts w:ascii="Calibri" w:hAnsi="Calibri" w:cs="Calibri"/>
          <w:b/>
          <w:bCs/>
          <w:sz w:val="20"/>
          <w:szCs w:val="20"/>
        </w:rPr>
        <w:t>Figure 3: Number of prescriptions supplied for PBS-listed DMTs for RRMS in the high efficacy tier by drug (2019-2024)</w:t>
      </w:r>
    </w:p>
    <w:p w14:paraId="0A7292AD" w14:textId="4C30F03D" w:rsidR="00EB534F" w:rsidRPr="000F04A0" w:rsidRDefault="00AC1AC9" w:rsidP="00EB534F">
      <w:pPr>
        <w:pStyle w:val="3Bodytext"/>
        <w:keepNext/>
        <w:spacing w:after="60"/>
        <w:ind w:left="0" w:firstLine="0"/>
        <w:rPr>
          <w:rFonts w:ascii="Calibri" w:hAnsi="Calibri" w:cs="Calibri"/>
          <w:b/>
          <w:bCs/>
          <w:sz w:val="20"/>
          <w:szCs w:val="20"/>
        </w:rPr>
      </w:pPr>
      <w:r>
        <w:rPr>
          <w:noProof/>
        </w:rPr>
        <w:drawing>
          <wp:inline distT="0" distB="0" distL="0" distR="0" wp14:anchorId="36BCEFD4" wp14:editId="480C0744">
            <wp:extent cx="5731510" cy="4036695"/>
            <wp:effectExtent l="0" t="0" r="2540" b="1905"/>
            <wp:docPr id="1802992620" name="Picture 4" descr="Figure 4: Number of prescriptions supplied for PBS-listed DMTs for RRMS in the moderate efficacy tier by drug (201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92620" name="Picture 4" descr="Figure 4: Number of prescriptions supplied for PBS-listed DMTs for RRMS in the moderate efficacy tier by drug (2019-20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036695"/>
                    </a:xfrm>
                    <a:prstGeom prst="rect">
                      <a:avLst/>
                    </a:prstGeom>
                    <a:noFill/>
                    <a:ln>
                      <a:noFill/>
                    </a:ln>
                  </pic:spPr>
                </pic:pic>
              </a:graphicData>
            </a:graphic>
          </wp:inline>
        </w:drawing>
      </w:r>
      <w:r w:rsidR="00EB534F" w:rsidRPr="004A6F1F">
        <w:rPr>
          <w:rFonts w:ascii="Calibri" w:hAnsi="Calibri" w:cs="Calibri"/>
          <w:b/>
          <w:bCs/>
          <w:sz w:val="20"/>
          <w:szCs w:val="20"/>
        </w:rPr>
        <w:t>Figure 4: Number of prescriptions supplied for PBS-listed DMTs for RRMS in the moderate efficacy tier by drug (2019-2024)</w:t>
      </w:r>
    </w:p>
    <w:p w14:paraId="68719EC8" w14:textId="77777777" w:rsidR="00EB534F" w:rsidRPr="000F04A0" w:rsidRDefault="00EB534F" w:rsidP="00EB534F">
      <w:pPr>
        <w:pStyle w:val="3Bodytext"/>
        <w:keepNext/>
        <w:spacing w:after="60"/>
        <w:ind w:left="0" w:firstLine="0"/>
        <w:rPr>
          <w:rFonts w:ascii="Calibri" w:hAnsi="Calibri" w:cs="Calibri"/>
          <w:b/>
          <w:bCs/>
          <w:sz w:val="20"/>
          <w:szCs w:val="20"/>
        </w:rPr>
      </w:pPr>
    </w:p>
    <w:p w14:paraId="69E557BD" w14:textId="77777777" w:rsidR="00EB534F" w:rsidRPr="000F04A0" w:rsidRDefault="00EB534F" w:rsidP="00EB534F">
      <w:pPr>
        <w:pStyle w:val="3Bodytext"/>
        <w:rPr>
          <w:rFonts w:ascii="Calibri" w:eastAsia="Times New Roman" w:hAnsi="Calibri" w:cs="Calibri"/>
          <w:b/>
          <w:bCs/>
          <w:szCs w:val="24"/>
        </w:rPr>
      </w:pPr>
    </w:p>
    <w:p w14:paraId="1E63DBE2"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lastRenderedPageBreak/>
        <w:t xml:space="preserve">Figure 5 and Figure 6 shows the total benefits paid for PBS-listed DMTs for RRMS supplied from 2019 to 2024 based on published and effective prices respectively. </w:t>
      </w:r>
    </w:p>
    <w:p w14:paraId="77F727FE" w14:textId="77777777" w:rsidR="00EB534F" w:rsidRPr="000F04A0" w:rsidRDefault="00EB534F" w:rsidP="001A369A">
      <w:pPr>
        <w:spacing w:after="120" w:line="240" w:lineRule="auto"/>
        <w:jc w:val="both"/>
        <w:rPr>
          <w:rFonts w:ascii="Calibri" w:eastAsia="Times New Roman" w:hAnsi="Calibri" w:cs="Calibri"/>
          <w:snapToGrid w:val="0"/>
          <w:sz w:val="24"/>
          <w:szCs w:val="24"/>
          <w:highlight w:val="yellow"/>
        </w:rPr>
      </w:pPr>
      <w:r w:rsidRPr="000F04A0">
        <w:rPr>
          <w:rFonts w:ascii="Calibri" w:eastAsia="Times New Roman" w:hAnsi="Calibri" w:cs="Calibri"/>
          <w:snapToGrid w:val="0"/>
          <w:sz w:val="24"/>
          <w:szCs w:val="24"/>
        </w:rPr>
        <w:t xml:space="preserve">The benefits paid based on published prices increased from $448,814,609 in 2019 to $508,595,516 in 2024 (an increase of 13.3%). However, the benefits paid based on effective prices decreased </w:t>
      </w:r>
      <w:r w:rsidRPr="00A07536">
        <w:rPr>
          <w:rFonts w:ascii="Calibri" w:eastAsia="Times New Roman" w:hAnsi="Calibri" w:cs="Calibri"/>
          <w:snapToGrid w:val="0"/>
          <w:sz w:val="24"/>
          <w:szCs w:val="24"/>
        </w:rPr>
        <w:t>from $326,119,635 in 2019 to $279,256,048 in 2024 (a decrease of 14.4%).</w:t>
      </w:r>
    </w:p>
    <w:p w14:paraId="5FC632A2" w14:textId="13C73B64" w:rsidR="00EB534F" w:rsidRPr="000F04A0" w:rsidRDefault="00AC1AC9" w:rsidP="00EB534F">
      <w:pPr>
        <w:pStyle w:val="3Bodytext"/>
        <w:ind w:left="0" w:firstLine="0"/>
        <w:rPr>
          <w:rFonts w:ascii="Calibri" w:hAnsi="Calibri" w:cs="Calibri"/>
        </w:rPr>
      </w:pPr>
      <w:r>
        <w:rPr>
          <w:noProof/>
        </w:rPr>
        <w:drawing>
          <wp:inline distT="0" distB="0" distL="0" distR="0" wp14:anchorId="0E4BB292" wp14:editId="67B6CD9E">
            <wp:extent cx="5610225" cy="2933700"/>
            <wp:effectExtent l="0" t="0" r="9525" b="0"/>
            <wp:docPr id="946297339" name="Picture 5" descr="Figure 5: PBS benefits paid for PBS-listed DMTs for RRMS (2019-2024) [published 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97339" name="Picture 5" descr="Figure 5: PBS benefits paid for PBS-listed DMTs for RRMS (2019-2024) [published pric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0225" cy="2933700"/>
                    </a:xfrm>
                    <a:prstGeom prst="rect">
                      <a:avLst/>
                    </a:prstGeom>
                    <a:noFill/>
                    <a:ln>
                      <a:noFill/>
                    </a:ln>
                  </pic:spPr>
                </pic:pic>
              </a:graphicData>
            </a:graphic>
          </wp:inline>
        </w:drawing>
      </w:r>
    </w:p>
    <w:p w14:paraId="51915854" w14:textId="77777777" w:rsidR="00EB534F" w:rsidRPr="004A6F1F" w:rsidRDefault="00EB534F" w:rsidP="00EB534F">
      <w:pPr>
        <w:rPr>
          <w:rFonts w:ascii="Calibri" w:hAnsi="Calibri" w:cs="Calibri"/>
          <w:b/>
          <w:bCs/>
          <w:sz w:val="20"/>
          <w:szCs w:val="20"/>
        </w:rPr>
      </w:pPr>
      <w:r w:rsidRPr="004A6F1F">
        <w:rPr>
          <w:rFonts w:ascii="Calibri" w:hAnsi="Calibri" w:cs="Calibri"/>
          <w:b/>
          <w:bCs/>
          <w:sz w:val="20"/>
          <w:szCs w:val="20"/>
        </w:rPr>
        <w:t>Figure 5: PBS benefits paid for PBS-listed DMTs for RRMS (2019-2024) [published prices]</w:t>
      </w:r>
    </w:p>
    <w:p w14:paraId="4FF6626F" w14:textId="0DD26ED2" w:rsidR="00EB534F" w:rsidRPr="000F04A0" w:rsidRDefault="00AC1AC9" w:rsidP="00EB534F">
      <w:pPr>
        <w:rPr>
          <w:rFonts w:ascii="Calibri" w:hAnsi="Calibri" w:cs="Calibri"/>
          <w:b/>
          <w:bCs/>
          <w:highlight w:val="lightGray"/>
        </w:rPr>
      </w:pPr>
      <w:r>
        <w:rPr>
          <w:noProof/>
        </w:rPr>
        <w:drawing>
          <wp:inline distT="0" distB="0" distL="0" distR="0" wp14:anchorId="42EB7C09" wp14:editId="07749AE1">
            <wp:extent cx="5438775" cy="2752725"/>
            <wp:effectExtent l="0" t="0" r="9525" b="9525"/>
            <wp:docPr id="1836462113" name="Picture 6" descr="Figure 6: PBS benefits paid for PBS-listed DMTs for RRMS (2019-2024) [effective 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62113" name="Picture 6" descr="Figure 6: PBS benefits paid for PBS-listed DMTs for RRMS (2019-2024) [effective pric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8775" cy="2752725"/>
                    </a:xfrm>
                    <a:prstGeom prst="rect">
                      <a:avLst/>
                    </a:prstGeom>
                    <a:noFill/>
                    <a:ln>
                      <a:noFill/>
                    </a:ln>
                  </pic:spPr>
                </pic:pic>
              </a:graphicData>
            </a:graphic>
          </wp:inline>
        </w:drawing>
      </w:r>
    </w:p>
    <w:p w14:paraId="3A2B26F3" w14:textId="77777777" w:rsidR="00EB534F" w:rsidRPr="004A6F1F" w:rsidRDefault="00EB534F" w:rsidP="00EB534F">
      <w:pPr>
        <w:rPr>
          <w:rFonts w:ascii="Calibri" w:hAnsi="Calibri" w:cs="Calibri"/>
          <w:b/>
          <w:bCs/>
          <w:sz w:val="20"/>
          <w:szCs w:val="20"/>
        </w:rPr>
      </w:pPr>
      <w:r w:rsidRPr="004A6F1F">
        <w:rPr>
          <w:rFonts w:ascii="Calibri" w:hAnsi="Calibri" w:cs="Calibri"/>
          <w:b/>
          <w:bCs/>
          <w:sz w:val="20"/>
          <w:szCs w:val="20"/>
        </w:rPr>
        <w:t>Figure 6: PBS benefits paid for PBS-listed DMTs for RRMS (2019-2024) [effective prices]</w:t>
      </w:r>
    </w:p>
    <w:p w14:paraId="2481FDF6" w14:textId="3996404D" w:rsidR="00EB534F" w:rsidRPr="00DD47B1" w:rsidRDefault="00EB534F" w:rsidP="00DD47B1">
      <w:pPr>
        <w:spacing w:after="0" w:line="240" w:lineRule="auto"/>
        <w:jc w:val="both"/>
        <w:rPr>
          <w:rFonts w:ascii="Calibri" w:eastAsia="Times New Roman" w:hAnsi="Calibri" w:cs="Calibri"/>
          <w:color w:val="000000"/>
          <w:sz w:val="20"/>
          <w:szCs w:val="20"/>
          <w:lang w:eastAsia="en-AU"/>
        </w:rPr>
      </w:pPr>
      <w:r w:rsidRPr="000F04A0">
        <w:rPr>
          <w:rFonts w:ascii="Calibri" w:eastAsia="Times New Roman" w:hAnsi="Calibri" w:cs="Calibri"/>
          <w:snapToGrid w:val="0"/>
          <w:sz w:val="24"/>
          <w:szCs w:val="24"/>
        </w:rPr>
        <w:t xml:space="preserve">Figure 7 shows the PBS benefits paid (based on effective prices) for PBS-listed DMTs for RRMS by drug from 2019 to 2024. </w:t>
      </w:r>
      <w:r w:rsidR="00DD47B1" w:rsidRPr="00EA47E6">
        <w:rPr>
          <w:rFonts w:ascii="Calibri" w:eastAsia="Times New Roman" w:hAnsi="Calibri" w:cs="Calibri"/>
          <w:color w:val="000000"/>
          <w:sz w:val="24"/>
          <w:szCs w:val="24"/>
          <w:lang w:eastAsia="en-AU"/>
        </w:rPr>
        <w:t>[REDACTED TEXT]</w:t>
      </w:r>
      <w:r w:rsidR="00DD47B1">
        <w:rPr>
          <w:rFonts w:ascii="Calibri" w:eastAsia="Times New Roman" w:hAnsi="Calibri" w:cs="Calibri"/>
          <w:color w:val="000000"/>
          <w:sz w:val="20"/>
          <w:szCs w:val="20"/>
          <w:lang w:eastAsia="en-AU"/>
        </w:rPr>
        <w:t xml:space="preserve"> </w:t>
      </w:r>
      <w:r w:rsidRPr="00601C10">
        <w:rPr>
          <w:rFonts w:ascii="Calibri" w:eastAsia="Times New Roman" w:hAnsi="Calibri" w:cs="Calibri"/>
          <w:snapToGrid w:val="0"/>
          <w:sz w:val="24"/>
          <w:szCs w:val="24"/>
        </w:rPr>
        <w:t xml:space="preserve">were the PBS-listed DMTs for RRMS that incurred the highest cost to the PBS in 2024. </w:t>
      </w:r>
    </w:p>
    <w:p w14:paraId="29F89D5C" w14:textId="6EA20502" w:rsidR="00EB534F" w:rsidRPr="000F04A0" w:rsidRDefault="00EB534F" w:rsidP="00EB534F">
      <w:pPr>
        <w:pStyle w:val="3Bodytext"/>
        <w:ind w:left="0" w:firstLine="0"/>
        <w:rPr>
          <w:rFonts w:ascii="Calibri" w:hAnsi="Calibri" w:cs="Calibri"/>
          <w:noProof/>
          <w:highlight w:val="yellow"/>
        </w:rPr>
      </w:pPr>
    </w:p>
    <w:p w14:paraId="41B9A7D7" w14:textId="2137DE0B" w:rsidR="00EB534F" w:rsidRPr="004A6F1F" w:rsidRDefault="00EB534F" w:rsidP="00EB534F">
      <w:pPr>
        <w:rPr>
          <w:rFonts w:ascii="Calibri" w:hAnsi="Calibri" w:cs="Calibri"/>
          <w:b/>
          <w:bCs/>
          <w:sz w:val="20"/>
          <w:szCs w:val="20"/>
        </w:rPr>
      </w:pPr>
      <w:r w:rsidRPr="004A6F1F">
        <w:rPr>
          <w:rFonts w:ascii="Calibri" w:hAnsi="Calibri" w:cs="Calibri"/>
          <w:b/>
          <w:bCs/>
          <w:sz w:val="20"/>
          <w:szCs w:val="20"/>
        </w:rPr>
        <w:t xml:space="preserve">Figure 7: </w:t>
      </w:r>
      <w:r w:rsidR="00EA47E6" w:rsidRPr="004A6F1F">
        <w:rPr>
          <w:rFonts w:ascii="Calibri" w:hAnsi="Calibri" w:cs="Calibri"/>
          <w:b/>
          <w:bCs/>
          <w:sz w:val="20"/>
          <w:szCs w:val="20"/>
        </w:rPr>
        <w:t xml:space="preserve">[DIAGRAM REDACTED] </w:t>
      </w:r>
      <w:r w:rsidRPr="004A6F1F">
        <w:rPr>
          <w:rFonts w:ascii="Calibri" w:hAnsi="Calibri" w:cs="Calibri"/>
          <w:b/>
          <w:bCs/>
          <w:sz w:val="20"/>
          <w:szCs w:val="20"/>
        </w:rPr>
        <w:t>PBS benefits paid for PBS-listed DMTs for RRMS by drug (2019-2024) [effective prices]</w:t>
      </w:r>
    </w:p>
    <w:p w14:paraId="0A68BFA5" w14:textId="248DDF2A" w:rsidR="00EB534F" w:rsidRPr="007818A1"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lastRenderedPageBreak/>
        <w:t xml:space="preserve">Figure 8 shows the market share based on PBS benefits paid (effective prices) for PBS-listed DMTs for RRMS by drug in 2024. </w:t>
      </w:r>
      <w:r w:rsidR="00535F49" w:rsidRPr="00C91335">
        <w:rPr>
          <w:rFonts w:ascii="Calibri" w:eastAsia="Times New Roman" w:hAnsi="Calibri" w:cs="Calibri"/>
          <w:snapToGrid w:val="0"/>
          <w:sz w:val="24"/>
          <w:szCs w:val="24"/>
        </w:rPr>
        <w:t xml:space="preserve">Based on effective </w:t>
      </w:r>
      <w:r w:rsidR="00535F49" w:rsidRPr="00EA47E6">
        <w:rPr>
          <w:rFonts w:ascii="Calibri" w:eastAsia="Times New Roman" w:hAnsi="Calibri" w:cs="Calibri"/>
          <w:snapToGrid w:val="0"/>
          <w:sz w:val="24"/>
          <w:szCs w:val="24"/>
        </w:rPr>
        <w:t xml:space="preserve">prices, </w:t>
      </w:r>
      <w:r w:rsidR="00DD47B1" w:rsidRPr="00EA47E6">
        <w:rPr>
          <w:rFonts w:ascii="Calibri" w:eastAsia="Times New Roman" w:hAnsi="Calibri" w:cs="Calibri"/>
          <w:color w:val="000000"/>
          <w:sz w:val="24"/>
          <w:szCs w:val="24"/>
          <w:lang w:eastAsia="en-AU"/>
        </w:rPr>
        <w:t>[REDACTED TEXT]</w:t>
      </w:r>
      <w:r w:rsidR="00DD47B1" w:rsidRPr="00EA47E6">
        <w:rPr>
          <w:rFonts w:ascii="Calibri" w:eastAsia="Times New Roman" w:hAnsi="Calibri" w:cs="Calibri"/>
          <w:color w:val="000000"/>
          <w:sz w:val="20"/>
          <w:szCs w:val="20"/>
          <w:lang w:eastAsia="en-AU"/>
        </w:rPr>
        <w:t xml:space="preserve"> </w:t>
      </w:r>
      <w:r w:rsidR="00535F49" w:rsidRPr="00EA47E6">
        <w:rPr>
          <w:rFonts w:ascii="Calibri" w:eastAsia="Times New Roman" w:hAnsi="Calibri" w:cs="Calibri"/>
          <w:snapToGrid w:val="0"/>
          <w:sz w:val="24"/>
          <w:szCs w:val="24"/>
        </w:rPr>
        <w:t>had the greatest market share in 2024 (</w:t>
      </w:r>
      <w:r w:rsidR="00DD47B1" w:rsidRPr="00EA47E6">
        <w:rPr>
          <w:rFonts w:ascii="Calibri" w:eastAsia="Times New Roman" w:hAnsi="Calibri" w:cs="Calibri"/>
          <w:color w:val="000000"/>
          <w:sz w:val="24"/>
          <w:szCs w:val="24"/>
          <w:lang w:eastAsia="en-AU"/>
        </w:rPr>
        <w:t>[REDACTED TEXT]</w:t>
      </w:r>
      <w:r w:rsidR="00535F49" w:rsidRPr="00EA47E6">
        <w:rPr>
          <w:rFonts w:ascii="Calibri" w:eastAsia="Times New Roman" w:hAnsi="Calibri" w:cs="Calibri"/>
          <w:snapToGrid w:val="0"/>
          <w:sz w:val="24"/>
          <w:szCs w:val="24"/>
        </w:rPr>
        <w:t xml:space="preserve">), followed by </w:t>
      </w:r>
      <w:r w:rsidR="00DD47B1" w:rsidRPr="00EA47E6">
        <w:rPr>
          <w:rFonts w:ascii="Calibri" w:eastAsia="Times New Roman" w:hAnsi="Calibri" w:cs="Calibri"/>
          <w:color w:val="000000"/>
          <w:sz w:val="24"/>
          <w:szCs w:val="24"/>
          <w:lang w:eastAsia="en-AU"/>
        </w:rPr>
        <w:t>[REDACTED TEXT]</w:t>
      </w:r>
      <w:r w:rsidR="00535F49" w:rsidRPr="00EA47E6">
        <w:rPr>
          <w:rFonts w:ascii="Calibri" w:eastAsia="Times New Roman" w:hAnsi="Calibri" w:cs="Calibri"/>
          <w:snapToGrid w:val="0"/>
          <w:sz w:val="24"/>
          <w:szCs w:val="24"/>
        </w:rPr>
        <w:t>. Alemtuzumab ($</w:t>
      </w:r>
      <w:r w:rsidR="00DD47B1" w:rsidRPr="00EA47E6">
        <w:rPr>
          <w:rFonts w:ascii="Calibri" w:eastAsia="Times New Roman" w:hAnsi="Calibri" w:cs="Calibri"/>
          <w:color w:val="000000"/>
          <w:sz w:val="24"/>
          <w:szCs w:val="24"/>
          <w:lang w:eastAsia="en-AU"/>
        </w:rPr>
        <w:t>[REDACTED TEXT]</w:t>
      </w:r>
      <w:r w:rsidR="00B70E60" w:rsidRPr="00EA47E6">
        <w:rPr>
          <w:rFonts w:ascii="Calibri" w:eastAsia="Times New Roman" w:hAnsi="Calibri" w:cs="Calibri"/>
          <w:color w:val="000000"/>
          <w:sz w:val="24"/>
          <w:szCs w:val="24"/>
          <w:lang w:eastAsia="en-AU"/>
        </w:rPr>
        <w:t>)</w:t>
      </w:r>
      <w:r w:rsidR="00DD47B1" w:rsidRPr="00EA47E6">
        <w:rPr>
          <w:rFonts w:ascii="Calibri" w:eastAsia="Times New Roman" w:hAnsi="Calibri" w:cs="Calibri"/>
          <w:color w:val="000000"/>
          <w:sz w:val="20"/>
          <w:szCs w:val="20"/>
          <w:lang w:eastAsia="en-AU"/>
        </w:rPr>
        <w:t xml:space="preserve"> </w:t>
      </w:r>
      <w:r w:rsidR="00535F49" w:rsidRPr="00EA47E6">
        <w:rPr>
          <w:rFonts w:ascii="Calibri" w:eastAsia="Times New Roman" w:hAnsi="Calibri" w:cs="Calibri"/>
          <w:snapToGrid w:val="0"/>
          <w:sz w:val="24"/>
          <w:szCs w:val="24"/>
        </w:rPr>
        <w:t>benefits paid in 2024) and Interferon Beta-1B ($</w:t>
      </w:r>
      <w:r w:rsidR="00DD47B1" w:rsidRPr="00EA47E6">
        <w:rPr>
          <w:rFonts w:ascii="Calibri" w:eastAsia="Times New Roman" w:hAnsi="Calibri" w:cs="Calibri"/>
          <w:color w:val="000000"/>
          <w:sz w:val="24"/>
          <w:szCs w:val="24"/>
          <w:lang w:eastAsia="en-AU"/>
        </w:rPr>
        <w:t>[REDACTED TEXT]</w:t>
      </w:r>
      <w:r w:rsidR="00B70E60" w:rsidRPr="00EA47E6">
        <w:rPr>
          <w:rFonts w:ascii="Calibri" w:eastAsia="Times New Roman" w:hAnsi="Calibri" w:cs="Calibri"/>
          <w:color w:val="000000"/>
          <w:sz w:val="24"/>
          <w:szCs w:val="24"/>
          <w:lang w:eastAsia="en-AU"/>
        </w:rPr>
        <w:t>)</w:t>
      </w:r>
      <w:r w:rsidR="00DD47B1" w:rsidRPr="00EA47E6">
        <w:rPr>
          <w:rFonts w:ascii="Calibri" w:eastAsia="Times New Roman" w:hAnsi="Calibri" w:cs="Calibri"/>
          <w:color w:val="000000"/>
          <w:sz w:val="20"/>
          <w:szCs w:val="20"/>
          <w:lang w:eastAsia="en-AU"/>
        </w:rPr>
        <w:t xml:space="preserve"> </w:t>
      </w:r>
      <w:r w:rsidR="00535F49" w:rsidRPr="00EA47E6">
        <w:rPr>
          <w:rFonts w:ascii="Calibri" w:eastAsia="Times New Roman" w:hAnsi="Calibri" w:cs="Calibri"/>
          <w:snapToGrid w:val="0"/>
          <w:sz w:val="24"/>
          <w:szCs w:val="24"/>
        </w:rPr>
        <w:t xml:space="preserve">benefits paid in 2024) have a market share of </w:t>
      </w:r>
      <w:r w:rsidR="00DD47B1" w:rsidRPr="00EA47E6">
        <w:rPr>
          <w:rFonts w:ascii="Calibri" w:eastAsia="Times New Roman" w:hAnsi="Calibri" w:cs="Calibri"/>
          <w:color w:val="000000"/>
          <w:sz w:val="24"/>
          <w:szCs w:val="24"/>
          <w:lang w:eastAsia="en-AU"/>
        </w:rPr>
        <w:t>[REDACTED TEXT]</w:t>
      </w:r>
      <w:r w:rsidR="00535F49" w:rsidRPr="00EA47E6">
        <w:rPr>
          <w:rFonts w:ascii="Calibri" w:eastAsia="Times New Roman" w:hAnsi="Calibri" w:cs="Calibri"/>
          <w:snapToGrid w:val="0"/>
          <w:sz w:val="24"/>
          <w:szCs w:val="24"/>
        </w:rPr>
        <w:t xml:space="preserve">. The high efficacy DMTs accounted for </w:t>
      </w:r>
      <w:r w:rsidR="00D723BF" w:rsidRPr="00EA47E6">
        <w:rPr>
          <w:rFonts w:ascii="Calibri" w:eastAsia="Times New Roman" w:hAnsi="Calibri" w:cs="Calibri"/>
          <w:snapToGrid w:val="0"/>
          <w:sz w:val="24"/>
          <w:szCs w:val="24"/>
        </w:rPr>
        <w:t>91% of the market for RRMS ($253,223,411 benefits paid), while moderate efficacy DMTs represented 9% ($23,032,637 benefits paid).</w:t>
      </w:r>
    </w:p>
    <w:p w14:paraId="79BD176B" w14:textId="3868D1EF" w:rsidR="00EB534F" w:rsidRPr="000F04A0" w:rsidRDefault="00EB534F" w:rsidP="00EB534F">
      <w:pPr>
        <w:spacing w:after="0" w:line="240" w:lineRule="auto"/>
        <w:jc w:val="both"/>
        <w:rPr>
          <w:rFonts w:ascii="Calibri" w:eastAsia="Calibri" w:hAnsi="Calibri" w:cs="Calibri"/>
          <w:b/>
          <w:bCs/>
          <w:sz w:val="20"/>
          <w:szCs w:val="20"/>
        </w:rPr>
      </w:pPr>
    </w:p>
    <w:p w14:paraId="479A185A" w14:textId="25C619D2" w:rsidR="00953BE9" w:rsidRDefault="00953BE9" w:rsidP="00953BE9">
      <w:pPr>
        <w:rPr>
          <w:rFonts w:ascii="Calibri" w:hAnsi="Calibri" w:cs="Calibri"/>
          <w:b/>
          <w:bCs/>
          <w:sz w:val="20"/>
          <w:szCs w:val="20"/>
        </w:rPr>
      </w:pPr>
      <w:r w:rsidRPr="004A6F1F">
        <w:rPr>
          <w:rFonts w:ascii="Calibri" w:hAnsi="Calibri" w:cs="Calibri"/>
          <w:b/>
          <w:bCs/>
          <w:sz w:val="20"/>
          <w:szCs w:val="20"/>
        </w:rPr>
        <w:t xml:space="preserve">Figure 8: </w:t>
      </w:r>
      <w:r w:rsidR="00EA47E6" w:rsidRPr="004A6F1F">
        <w:rPr>
          <w:rFonts w:ascii="Calibri" w:hAnsi="Calibri" w:cs="Calibri"/>
          <w:b/>
          <w:bCs/>
          <w:sz w:val="20"/>
          <w:szCs w:val="20"/>
        </w:rPr>
        <w:t xml:space="preserve">[REDACTED DIAGRAM] </w:t>
      </w:r>
      <w:r w:rsidRPr="004A6F1F">
        <w:rPr>
          <w:rFonts w:ascii="Calibri" w:hAnsi="Calibri" w:cs="Calibri"/>
          <w:b/>
          <w:bCs/>
          <w:sz w:val="20"/>
          <w:szCs w:val="20"/>
        </w:rPr>
        <w:t>Market share based on PBS benefits paid for PBS-listed DMTs for RRMS by drug (2024) [effective prices]</w:t>
      </w:r>
    </w:p>
    <w:p w14:paraId="15BEB71D" w14:textId="77777777" w:rsidR="004A6F1F" w:rsidRPr="004A6F1F" w:rsidRDefault="004A6F1F" w:rsidP="00953BE9">
      <w:pPr>
        <w:rPr>
          <w:rFonts w:ascii="Calibri" w:hAnsi="Calibri" w:cs="Calibri"/>
          <w:noProof/>
          <w:sz w:val="20"/>
          <w:szCs w:val="20"/>
        </w:rPr>
      </w:pPr>
    </w:p>
    <w:p w14:paraId="7DA514C0" w14:textId="55F4F294" w:rsidR="00953BE9" w:rsidRPr="000F04A0" w:rsidRDefault="00953BE9" w:rsidP="00953BE9">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Figure 9 shows the PBS benefits paid (based on effective prices) for PBS-listed DMTs in the high efficacy tier by drug from 2019 to 2024. </w:t>
      </w:r>
    </w:p>
    <w:p w14:paraId="56AE63BA" w14:textId="1BEA6025" w:rsidR="00EB534F" w:rsidRPr="00EA47E6"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Based on effective prices, the PBS benefits paid for DMTs for RRMS in </w:t>
      </w:r>
      <w:r w:rsidRPr="00EA47E6">
        <w:rPr>
          <w:rFonts w:ascii="Calibri" w:eastAsia="Times New Roman" w:hAnsi="Calibri" w:cs="Calibri"/>
          <w:snapToGrid w:val="0"/>
          <w:sz w:val="24"/>
          <w:szCs w:val="24"/>
        </w:rPr>
        <w:t xml:space="preserve">the high efficacy tier has increased by 3.1%; from $245,479,012 in 2019 to $253,223,411 in 2024. </w:t>
      </w:r>
      <w:r w:rsidR="00B70E60" w:rsidRPr="00EA47E6">
        <w:rPr>
          <w:rFonts w:ascii="Calibri" w:eastAsia="Times New Roman" w:hAnsi="Calibri" w:cs="Calibri"/>
          <w:color w:val="000000"/>
          <w:sz w:val="24"/>
          <w:szCs w:val="24"/>
          <w:lang w:eastAsia="en-AU"/>
        </w:rPr>
        <w:t>[REDACTED TEXT]</w:t>
      </w:r>
      <w:r w:rsidR="00B70E60" w:rsidRPr="00EA47E6">
        <w:rPr>
          <w:rFonts w:ascii="Calibri" w:eastAsia="Times New Roman" w:hAnsi="Calibri" w:cs="Calibri"/>
          <w:color w:val="000000"/>
          <w:sz w:val="20"/>
          <w:szCs w:val="20"/>
          <w:lang w:eastAsia="en-AU"/>
        </w:rPr>
        <w:t xml:space="preserve"> </w:t>
      </w:r>
      <w:r w:rsidRPr="00EA47E6">
        <w:rPr>
          <w:rFonts w:ascii="Calibri" w:eastAsia="Times New Roman" w:hAnsi="Calibri" w:cs="Calibri"/>
          <w:snapToGrid w:val="0"/>
          <w:sz w:val="24"/>
          <w:szCs w:val="24"/>
        </w:rPr>
        <w:t xml:space="preserve">were the PBS-listed DMTs for RRMS that incurred the highest cost to the PBS in 2024. </w:t>
      </w:r>
      <w:r w:rsidR="005D1E90" w:rsidRPr="00EA47E6">
        <w:rPr>
          <w:rFonts w:ascii="Calibri" w:eastAsia="Times New Roman" w:hAnsi="Calibri" w:cs="Calibri"/>
          <w:snapToGrid w:val="0"/>
          <w:sz w:val="24"/>
          <w:szCs w:val="24"/>
        </w:rPr>
        <w:t>PBS benefits paid for fingolimod decreased from $129,002,015 in 2019 to 35,733,249 in 2024 (a decrease of 72.3%).</w:t>
      </w:r>
    </w:p>
    <w:p w14:paraId="7B34C623" w14:textId="3C7391D1" w:rsidR="00EB534F" w:rsidRPr="00EA47E6" w:rsidRDefault="00EB534F" w:rsidP="001A369A">
      <w:pPr>
        <w:spacing w:after="120" w:line="240" w:lineRule="auto"/>
        <w:jc w:val="both"/>
        <w:rPr>
          <w:rFonts w:ascii="Calibri" w:eastAsia="Times New Roman" w:hAnsi="Calibri" w:cs="Calibri"/>
          <w:snapToGrid w:val="0"/>
          <w:sz w:val="24"/>
          <w:szCs w:val="24"/>
        </w:rPr>
      </w:pPr>
      <w:r w:rsidRPr="00EA47E6">
        <w:rPr>
          <w:rFonts w:ascii="Calibri" w:eastAsia="Times New Roman" w:hAnsi="Calibri" w:cs="Calibri"/>
          <w:snapToGrid w:val="0"/>
          <w:sz w:val="24"/>
          <w:szCs w:val="24"/>
        </w:rPr>
        <w:t xml:space="preserve">Figure 10 shows the PBS benefits paid (based on effective prices) for PBS-listed DMTs for RRMS in the moderate efficacy tier by drug from 2019 to 2024. </w:t>
      </w:r>
      <w:r w:rsidR="00B70E60" w:rsidRPr="00EA47E6">
        <w:rPr>
          <w:rFonts w:ascii="Calibri" w:eastAsia="Times New Roman" w:hAnsi="Calibri" w:cs="Calibri"/>
          <w:color w:val="000000"/>
          <w:sz w:val="24"/>
          <w:szCs w:val="24"/>
          <w:lang w:eastAsia="en-AU"/>
        </w:rPr>
        <w:t>[REDACTED TEXT]</w:t>
      </w:r>
      <w:r w:rsidR="00B70E60" w:rsidRPr="00EA47E6">
        <w:rPr>
          <w:rFonts w:ascii="Calibri" w:eastAsia="Times New Roman" w:hAnsi="Calibri" w:cs="Calibri"/>
          <w:color w:val="000000"/>
          <w:sz w:val="20"/>
          <w:szCs w:val="20"/>
          <w:lang w:eastAsia="en-AU"/>
        </w:rPr>
        <w:t xml:space="preserve"> </w:t>
      </w:r>
      <w:r w:rsidRPr="00EA47E6">
        <w:rPr>
          <w:rFonts w:ascii="Calibri" w:eastAsia="Times New Roman" w:hAnsi="Calibri" w:cs="Calibri"/>
          <w:snapToGrid w:val="0"/>
          <w:sz w:val="24"/>
          <w:szCs w:val="24"/>
        </w:rPr>
        <w:t xml:space="preserve">were the PBS-listed DMTs for RRMS that incurred the highest cost to the PBS in 2024. </w:t>
      </w:r>
    </w:p>
    <w:p w14:paraId="5B5C566A" w14:textId="77777777" w:rsidR="00AC13F2" w:rsidRDefault="00EB534F" w:rsidP="00AC13F2">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Based on effective prices, the PBS benefits paid for DMTs for RRMS in the moderate efficacy tier has decreased by 67.7%; </w:t>
      </w:r>
      <w:r w:rsidRPr="00274985">
        <w:rPr>
          <w:rFonts w:ascii="Calibri" w:eastAsia="Times New Roman" w:hAnsi="Calibri" w:cs="Calibri"/>
          <w:snapToGrid w:val="0"/>
          <w:sz w:val="24"/>
          <w:szCs w:val="24"/>
        </w:rPr>
        <w:t xml:space="preserve">from $80,640,623 in 2019 to $26,032,637 in 2024. The PBS benefits paid for all DMTs in the </w:t>
      </w:r>
      <w:r w:rsidRPr="0048227E">
        <w:rPr>
          <w:rFonts w:ascii="Calibri" w:eastAsia="Times New Roman" w:hAnsi="Calibri" w:cs="Calibri"/>
          <w:snapToGrid w:val="0"/>
          <w:sz w:val="24"/>
          <w:szCs w:val="24"/>
        </w:rPr>
        <w:t xml:space="preserve">moderate efficacy tier have decreased over time except for diroximel fumarate which increased from </w:t>
      </w:r>
      <w:r w:rsidR="00AC13F2" w:rsidRPr="0048227E">
        <w:rPr>
          <w:rFonts w:ascii="Calibri" w:eastAsia="Times New Roman" w:hAnsi="Calibri" w:cs="Calibri"/>
          <w:snapToGrid w:val="0"/>
          <w:sz w:val="24"/>
          <w:szCs w:val="24"/>
        </w:rPr>
        <w:t xml:space="preserve">$382,213 in 2022 to $2,544,687 in 2024. </w:t>
      </w:r>
    </w:p>
    <w:p w14:paraId="347C017A" w14:textId="77777777" w:rsidR="004A6F1F" w:rsidRPr="00D812D8" w:rsidRDefault="004A6F1F" w:rsidP="00AC13F2">
      <w:pPr>
        <w:spacing w:after="120" w:line="240" w:lineRule="auto"/>
        <w:jc w:val="both"/>
        <w:rPr>
          <w:rFonts w:ascii="Calibri" w:eastAsia="Times New Roman" w:hAnsi="Calibri" w:cs="Calibri"/>
          <w:snapToGrid w:val="0"/>
          <w:sz w:val="24"/>
          <w:szCs w:val="24"/>
          <w:highlight w:val="yellow"/>
        </w:rPr>
      </w:pPr>
    </w:p>
    <w:p w14:paraId="77049073" w14:textId="6702D8F0" w:rsidR="00EB534F" w:rsidRPr="004A6F1F" w:rsidRDefault="00EB534F" w:rsidP="00EB534F">
      <w:pPr>
        <w:rPr>
          <w:rFonts w:ascii="Calibri" w:hAnsi="Calibri" w:cs="Calibri"/>
          <w:b/>
          <w:bCs/>
          <w:sz w:val="20"/>
          <w:szCs w:val="20"/>
        </w:rPr>
      </w:pPr>
      <w:r w:rsidRPr="004A6F1F">
        <w:rPr>
          <w:rFonts w:ascii="Calibri" w:hAnsi="Calibri" w:cs="Calibri"/>
          <w:b/>
          <w:bCs/>
          <w:sz w:val="20"/>
          <w:szCs w:val="20"/>
        </w:rPr>
        <w:t xml:space="preserve">Figure 9: </w:t>
      </w:r>
      <w:r w:rsidR="00EA47E6" w:rsidRPr="004A6F1F">
        <w:rPr>
          <w:rFonts w:ascii="Calibri" w:hAnsi="Calibri" w:cs="Calibri"/>
          <w:b/>
          <w:bCs/>
          <w:sz w:val="20"/>
          <w:szCs w:val="20"/>
        </w:rPr>
        <w:t xml:space="preserve">[REDACTED DIAGRAM] </w:t>
      </w:r>
      <w:r w:rsidRPr="004A6F1F">
        <w:rPr>
          <w:rFonts w:ascii="Calibri" w:hAnsi="Calibri" w:cs="Calibri"/>
          <w:b/>
          <w:bCs/>
          <w:sz w:val="20"/>
          <w:szCs w:val="20"/>
        </w:rPr>
        <w:t>PBS benefits paid for PBS-listed DMTs for RRMS in the high efficacy tier by drug (2019-2024) [effective prices]</w:t>
      </w:r>
    </w:p>
    <w:p w14:paraId="32E62D28" w14:textId="756027D7" w:rsidR="00EB534F" w:rsidRPr="004A6F1F" w:rsidRDefault="00EB534F" w:rsidP="00EB534F">
      <w:pPr>
        <w:rPr>
          <w:rFonts w:ascii="Calibri" w:hAnsi="Calibri" w:cs="Calibri"/>
          <w:b/>
          <w:bCs/>
          <w:sz w:val="20"/>
          <w:szCs w:val="20"/>
        </w:rPr>
      </w:pPr>
      <w:r w:rsidRPr="004A6F1F">
        <w:rPr>
          <w:rFonts w:ascii="Calibri" w:hAnsi="Calibri" w:cs="Calibri"/>
          <w:noProof/>
          <w:sz w:val="20"/>
          <w:szCs w:val="20"/>
        </w:rPr>
        <w:t xml:space="preserve"> </w:t>
      </w:r>
      <w:r w:rsidRPr="004A6F1F">
        <w:rPr>
          <w:rFonts w:ascii="Calibri" w:hAnsi="Calibri" w:cs="Calibri"/>
          <w:b/>
          <w:bCs/>
          <w:sz w:val="20"/>
          <w:szCs w:val="20"/>
        </w:rPr>
        <w:t xml:space="preserve">Figure 10: </w:t>
      </w:r>
      <w:r w:rsidR="00EA47E6" w:rsidRPr="004A6F1F">
        <w:rPr>
          <w:rFonts w:ascii="Calibri" w:hAnsi="Calibri" w:cs="Calibri"/>
          <w:b/>
          <w:bCs/>
          <w:sz w:val="20"/>
          <w:szCs w:val="20"/>
        </w:rPr>
        <w:t xml:space="preserve">[REDACTED DIAGRAM] </w:t>
      </w:r>
      <w:r w:rsidRPr="004A6F1F">
        <w:rPr>
          <w:rFonts w:ascii="Calibri" w:hAnsi="Calibri" w:cs="Calibri"/>
          <w:b/>
          <w:bCs/>
          <w:sz w:val="20"/>
          <w:szCs w:val="20"/>
        </w:rPr>
        <w:t>PBS benefits paid for PBS-listed DMTs for RRMS in the moderate efficacy tier by drug (2019-2024) [effective prices]</w:t>
      </w:r>
    </w:p>
    <w:p w14:paraId="07DCB7DF" w14:textId="77777777" w:rsidR="00EA47E6" w:rsidRPr="000F04A0" w:rsidRDefault="00EA47E6" w:rsidP="00EA47E6"/>
    <w:p w14:paraId="435F1F2A" w14:textId="77777777" w:rsidR="00EB534F" w:rsidRPr="000F04A0" w:rsidRDefault="00EB534F" w:rsidP="004A6F1F">
      <w:pPr>
        <w:pStyle w:val="Heading2"/>
        <w:rPr>
          <w:rFonts w:eastAsiaTheme="minorEastAsia"/>
          <w:lang w:eastAsia="en-AU"/>
        </w:rPr>
      </w:pPr>
      <w:r w:rsidRPr="000F04A0">
        <w:rPr>
          <w:rFonts w:eastAsiaTheme="minorEastAsia"/>
          <w:lang w:eastAsia="en-AU"/>
        </w:rPr>
        <w:t>Patient utilisation trends</w:t>
      </w:r>
    </w:p>
    <w:p w14:paraId="333B5A9C" w14:textId="77777777" w:rsidR="00EB534F" w:rsidRPr="000F04A0" w:rsidRDefault="00EB534F" w:rsidP="004A6F1F">
      <w:pPr>
        <w:pStyle w:val="Heading3"/>
      </w:pPr>
      <w:r w:rsidRPr="000F04A0">
        <w:t>Prevalence, incidence and patient demographics</w:t>
      </w:r>
    </w:p>
    <w:p w14:paraId="070FF009" w14:textId="61825B16" w:rsidR="00EB534F" w:rsidRPr="000F04A0" w:rsidRDefault="00EB534F" w:rsidP="001A369A">
      <w:pPr>
        <w:spacing w:after="120" w:line="240" w:lineRule="auto"/>
        <w:jc w:val="both"/>
        <w:rPr>
          <w:rFonts w:ascii="Calibri" w:eastAsia="Times New Roman" w:hAnsi="Calibri" w:cs="Calibri"/>
          <w:snapToGrid w:val="0"/>
          <w:sz w:val="24"/>
          <w:szCs w:val="24"/>
        </w:rPr>
      </w:pPr>
      <w:bookmarkStart w:id="5" w:name="_Hlk139397134"/>
      <w:r w:rsidRPr="000F04A0">
        <w:rPr>
          <w:rFonts w:ascii="Calibri" w:eastAsia="Times New Roman" w:hAnsi="Calibri" w:cs="Calibri"/>
          <w:snapToGrid w:val="0"/>
          <w:sz w:val="24"/>
          <w:szCs w:val="24"/>
        </w:rPr>
        <w:t>Figure 11 shows the number of prevalent and incident (initiating) patients to PBS-listed DMTs for RRMS by year of supply from 2019 to 2024. A three</w:t>
      </w:r>
      <w:r w:rsidR="00EA47E6">
        <w:rPr>
          <w:rFonts w:ascii="Calibri" w:eastAsia="Times New Roman" w:hAnsi="Calibri" w:cs="Calibri"/>
          <w:snapToGrid w:val="0"/>
          <w:sz w:val="24"/>
          <w:szCs w:val="24"/>
        </w:rPr>
        <w:t>-</w:t>
      </w:r>
      <w:r w:rsidRPr="000F04A0">
        <w:rPr>
          <w:rFonts w:ascii="Calibri" w:eastAsia="Times New Roman" w:hAnsi="Calibri" w:cs="Calibri"/>
          <w:snapToGrid w:val="0"/>
          <w:sz w:val="24"/>
          <w:szCs w:val="24"/>
        </w:rPr>
        <w:t>year lookback period to 1 January</w:t>
      </w:r>
      <w:r w:rsidR="00EA47E6">
        <w:rPr>
          <w:rFonts w:ascii="Calibri" w:eastAsia="Times New Roman" w:hAnsi="Calibri" w:cs="Calibri"/>
          <w:snapToGrid w:val="0"/>
          <w:sz w:val="24"/>
          <w:szCs w:val="24"/>
        </w:rPr>
        <w:t> </w:t>
      </w:r>
      <w:r w:rsidRPr="000F04A0">
        <w:rPr>
          <w:rFonts w:ascii="Calibri" w:eastAsia="Times New Roman" w:hAnsi="Calibri" w:cs="Calibri"/>
          <w:snapToGrid w:val="0"/>
          <w:sz w:val="24"/>
          <w:szCs w:val="24"/>
        </w:rPr>
        <w:t xml:space="preserve">2016 was used to identify first incident patients from 1 January 2019. </w:t>
      </w:r>
    </w:p>
    <w:p w14:paraId="09784930" w14:textId="6E1D0E3E" w:rsidR="00EB534F" w:rsidRPr="000F04A0" w:rsidRDefault="00642D6B" w:rsidP="00EB534F">
      <w:pPr>
        <w:spacing w:before="120" w:after="120" w:line="240" w:lineRule="auto"/>
        <w:jc w:val="both"/>
        <w:rPr>
          <w:rFonts w:ascii="Calibri" w:eastAsia="Times New Roman" w:hAnsi="Calibri" w:cs="Calibri"/>
          <w:snapToGrid w:val="0"/>
          <w:sz w:val="24"/>
          <w:szCs w:val="24"/>
        </w:rPr>
      </w:pPr>
      <w:r>
        <w:rPr>
          <w:noProof/>
        </w:rPr>
        <w:lastRenderedPageBreak/>
        <w:drawing>
          <wp:inline distT="0" distB="0" distL="0" distR="0" wp14:anchorId="145EC16C" wp14:editId="77D6D139">
            <wp:extent cx="5610225" cy="2752725"/>
            <wp:effectExtent l="0" t="0" r="9525" b="9525"/>
            <wp:docPr id="1810003260" name="Picture 7" descr="Figure 11: Prevalent and incident patients to PBS-listed DMTs for RRMS (201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03260" name="Picture 7" descr="Figure 11: Prevalent and incident patients to PBS-listed DMTs for RRMS (2019-20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0225" cy="2752725"/>
                    </a:xfrm>
                    <a:prstGeom prst="rect">
                      <a:avLst/>
                    </a:prstGeom>
                    <a:noFill/>
                    <a:ln>
                      <a:noFill/>
                    </a:ln>
                  </pic:spPr>
                </pic:pic>
              </a:graphicData>
            </a:graphic>
          </wp:inline>
        </w:drawing>
      </w:r>
    </w:p>
    <w:p w14:paraId="669C6797" w14:textId="77777777" w:rsidR="00EB534F" w:rsidRDefault="00EB534F" w:rsidP="00EB534F">
      <w:pPr>
        <w:rPr>
          <w:rFonts w:ascii="Calibri" w:hAnsi="Calibri" w:cs="Calibri"/>
          <w:b/>
          <w:bCs/>
          <w:sz w:val="20"/>
          <w:szCs w:val="20"/>
        </w:rPr>
      </w:pPr>
      <w:r w:rsidRPr="004A6F1F">
        <w:rPr>
          <w:rFonts w:ascii="Calibri" w:hAnsi="Calibri" w:cs="Calibri"/>
          <w:b/>
          <w:bCs/>
          <w:sz w:val="20"/>
          <w:szCs w:val="20"/>
        </w:rPr>
        <w:t>Figure 11: Prevalent and incident patients to PBS-listed DMTs for RRMS (2019-2024)</w:t>
      </w:r>
    </w:p>
    <w:p w14:paraId="2E90DB1D" w14:textId="77777777" w:rsidR="004A6F1F" w:rsidRPr="004A6F1F" w:rsidRDefault="004A6F1F" w:rsidP="00EB534F">
      <w:pPr>
        <w:rPr>
          <w:rFonts w:ascii="Calibri" w:hAnsi="Calibri" w:cs="Calibri"/>
          <w:b/>
          <w:bCs/>
          <w:sz w:val="20"/>
          <w:szCs w:val="20"/>
        </w:rPr>
      </w:pPr>
    </w:p>
    <w:p w14:paraId="193EEBB1"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As shown in Figure 11, the number of prevalent patients to a PBS-listed DMTs for RRMS increased from 19,612 in 2019 to 24,310 in 2024 (an increase of 23.9%) whilst the number of incident patients declined from 2,550 in 2019 to 1,862 in 2024 (a decrease of 26.9%).</w:t>
      </w:r>
    </w:p>
    <w:p w14:paraId="1DE4A4FE"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Figure 12 shows the number of prevalent patients to PBS-listed DMTs for RRMS by drug from 2019 to 2024. In 2024, ocrelizumab (7,753 prevalent patients), natalizumab (3,799 prevalent patients) and ofatumumab (3,549 prevalent patients) were the PBS-listed DMTs with the highest utilisation.</w:t>
      </w:r>
    </w:p>
    <w:p w14:paraId="679A66E2"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Figure 13 shows the number of incident (initiating) patients to PBS-listed DMTs for RRMS by drug from 2019 to 2024. Ocrelizumab (545 incident patients), ofatumumab (489 incident patients) and natalizumab (349 incident patients) were the PBS-listed DMTs with the highest utilisation in 2024. </w:t>
      </w:r>
    </w:p>
    <w:p w14:paraId="2969D84D"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Note: If the number of patients was below five in any given year for a medicine, this data was </w:t>
      </w:r>
      <w:proofErr w:type="spellStart"/>
      <w:r w:rsidRPr="000F04A0">
        <w:rPr>
          <w:rFonts w:ascii="Calibri" w:eastAsia="Times New Roman" w:hAnsi="Calibri" w:cs="Calibri"/>
          <w:snapToGrid w:val="0"/>
          <w:sz w:val="24"/>
          <w:szCs w:val="24"/>
        </w:rPr>
        <w:t>confidentialised</w:t>
      </w:r>
      <w:proofErr w:type="spellEnd"/>
      <w:r w:rsidRPr="000F04A0">
        <w:rPr>
          <w:rFonts w:ascii="Calibri" w:eastAsia="Times New Roman" w:hAnsi="Calibri" w:cs="Calibri"/>
          <w:snapToGrid w:val="0"/>
          <w:sz w:val="24"/>
          <w:szCs w:val="24"/>
        </w:rPr>
        <w:t xml:space="preserve"> to reduce the risk of patient re-identification, and the data point presented as zero. </w:t>
      </w:r>
    </w:p>
    <w:p w14:paraId="5C9BC089" w14:textId="77777777" w:rsidR="00EB534F" w:rsidRPr="000F04A0" w:rsidRDefault="00EB534F" w:rsidP="00EB534F">
      <w:pPr>
        <w:rPr>
          <w:rFonts w:ascii="Calibri" w:hAnsi="Calibri" w:cs="Calibri"/>
        </w:rPr>
      </w:pPr>
    </w:p>
    <w:p w14:paraId="5E363B4F" w14:textId="7F1A4E62" w:rsidR="00EB534F" w:rsidRPr="000F04A0" w:rsidRDefault="00642D6B" w:rsidP="00EB534F">
      <w:pPr>
        <w:spacing w:before="120" w:after="120" w:line="240" w:lineRule="auto"/>
        <w:jc w:val="both"/>
        <w:rPr>
          <w:rFonts w:ascii="Calibri" w:eastAsia="Calibri" w:hAnsi="Calibri" w:cs="Calibri"/>
          <w:b/>
          <w:bCs/>
          <w:sz w:val="20"/>
          <w:szCs w:val="20"/>
        </w:rPr>
      </w:pPr>
      <w:r>
        <w:rPr>
          <w:noProof/>
        </w:rPr>
        <w:lastRenderedPageBreak/>
        <w:drawing>
          <wp:inline distT="0" distB="0" distL="0" distR="0" wp14:anchorId="407A5649" wp14:editId="5F1232B3">
            <wp:extent cx="5731510" cy="3989070"/>
            <wp:effectExtent l="0" t="0" r="2540" b="0"/>
            <wp:docPr id="1412795003" name="Picture 8" descr="Figure 12: Prevalent patients to PBS-listed DMTs for RRMS by drug (201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95003" name="Picture 8" descr="Figure 12: Prevalent patients to PBS-listed DMTs for RRMS by drug (2019-20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3989070"/>
                    </a:xfrm>
                    <a:prstGeom prst="rect">
                      <a:avLst/>
                    </a:prstGeom>
                    <a:noFill/>
                    <a:ln>
                      <a:noFill/>
                    </a:ln>
                  </pic:spPr>
                </pic:pic>
              </a:graphicData>
            </a:graphic>
          </wp:inline>
        </w:drawing>
      </w:r>
    </w:p>
    <w:p w14:paraId="618E22FC" w14:textId="77777777" w:rsidR="00EB534F" w:rsidRPr="004A6F1F" w:rsidRDefault="00EB534F" w:rsidP="00EB534F">
      <w:pPr>
        <w:rPr>
          <w:rFonts w:ascii="Calibri" w:hAnsi="Calibri" w:cs="Calibri"/>
          <w:b/>
          <w:bCs/>
          <w:sz w:val="20"/>
          <w:szCs w:val="20"/>
        </w:rPr>
      </w:pPr>
      <w:r w:rsidRPr="004A6F1F">
        <w:rPr>
          <w:rFonts w:ascii="Calibri" w:hAnsi="Calibri" w:cs="Calibri"/>
          <w:b/>
          <w:bCs/>
          <w:sz w:val="20"/>
          <w:szCs w:val="20"/>
        </w:rPr>
        <w:t>Figure 12: Prevalent patients to PBS-listed DMTs for RRMS by drug (2019-2024)</w:t>
      </w:r>
    </w:p>
    <w:p w14:paraId="24E0FCDC" w14:textId="7C71FA13" w:rsidR="00EB534F" w:rsidRPr="000F04A0" w:rsidRDefault="00DF0029" w:rsidP="00EB534F">
      <w:pPr>
        <w:spacing w:before="120" w:after="120" w:line="240" w:lineRule="auto"/>
        <w:jc w:val="both"/>
        <w:rPr>
          <w:rFonts w:ascii="Calibri" w:eastAsia="Times New Roman" w:hAnsi="Calibri" w:cs="Calibri"/>
          <w:snapToGrid w:val="0"/>
          <w:sz w:val="24"/>
          <w:szCs w:val="24"/>
        </w:rPr>
      </w:pPr>
      <w:r>
        <w:rPr>
          <w:noProof/>
        </w:rPr>
        <w:drawing>
          <wp:inline distT="0" distB="0" distL="0" distR="0" wp14:anchorId="548B817B" wp14:editId="71937971">
            <wp:extent cx="5731510" cy="3979545"/>
            <wp:effectExtent l="0" t="0" r="2540" b="1905"/>
            <wp:docPr id="837943876" name="Picture 9" descr="Figure 13:  Incident patients to PBS-listed DMTs for RRMS by drug (201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43876" name="Picture 9" descr="Figure 13:  Incident patients to PBS-listed DMTs for RRMS by drug (2019-20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979545"/>
                    </a:xfrm>
                    <a:prstGeom prst="rect">
                      <a:avLst/>
                    </a:prstGeom>
                    <a:noFill/>
                    <a:ln>
                      <a:noFill/>
                    </a:ln>
                  </pic:spPr>
                </pic:pic>
              </a:graphicData>
            </a:graphic>
          </wp:inline>
        </w:drawing>
      </w:r>
    </w:p>
    <w:p w14:paraId="66513932" w14:textId="77777777" w:rsidR="00EB534F" w:rsidRPr="004A6F1F" w:rsidRDefault="00EB534F" w:rsidP="00EB534F">
      <w:pPr>
        <w:rPr>
          <w:rFonts w:ascii="Calibri" w:hAnsi="Calibri" w:cs="Calibri"/>
          <w:b/>
          <w:bCs/>
          <w:sz w:val="20"/>
          <w:szCs w:val="20"/>
        </w:rPr>
      </w:pPr>
      <w:r w:rsidRPr="004A6F1F">
        <w:rPr>
          <w:rFonts w:ascii="Calibri" w:hAnsi="Calibri" w:cs="Calibri"/>
          <w:b/>
          <w:bCs/>
          <w:sz w:val="20"/>
          <w:szCs w:val="20"/>
        </w:rPr>
        <w:t>Figure 13:  Incident patients to PBS-listed DMTs for RRMS by drug (2019-2024)</w:t>
      </w:r>
    </w:p>
    <w:p w14:paraId="550C129F"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lastRenderedPageBreak/>
        <w:t xml:space="preserve">Figure 14 shows the number of prevalent patients to PBS-listed DMTs for RRMS in the high efficacy tier by drug from 2019 to 2024. The number of prevalent patients increased from 13,842 in 2019 to 20,679 in 2024 (an increase of 49.3%) and ocrelizumab, natalizumab and ofatumumab were the PBS-listed DMTs for RRMS with the highest utilisation. </w:t>
      </w:r>
    </w:p>
    <w:p w14:paraId="4B334756" w14:textId="77777777" w:rsidR="00EB534F"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Figure 15 shows the number of incident patients to PBS-listed DMTs for RRMS in the high efficacy tier by drug from 2019 to 2024. The number of incident patients increased from 1,572 in 2019 to 1,715 in 2024 (an increase of 9%) and ocrelizumab, ofatumumab and natalizumab were the PBS-listed DMTs with the highest utilisation.</w:t>
      </w:r>
    </w:p>
    <w:p w14:paraId="293F8632" w14:textId="77777777" w:rsidR="004A6F1F" w:rsidRPr="000F04A0" w:rsidRDefault="004A6F1F" w:rsidP="001A369A">
      <w:pPr>
        <w:spacing w:after="120" w:line="240" w:lineRule="auto"/>
        <w:jc w:val="both"/>
        <w:rPr>
          <w:rFonts w:ascii="Calibri" w:eastAsia="Times New Roman" w:hAnsi="Calibri" w:cs="Calibri"/>
          <w:snapToGrid w:val="0"/>
          <w:sz w:val="24"/>
          <w:szCs w:val="24"/>
        </w:rPr>
      </w:pPr>
    </w:p>
    <w:bookmarkEnd w:id="5"/>
    <w:p w14:paraId="09448576" w14:textId="11CE0B33" w:rsidR="00EB534F" w:rsidRPr="000F04A0" w:rsidRDefault="00DF0029" w:rsidP="00EB534F">
      <w:pPr>
        <w:rPr>
          <w:rFonts w:ascii="Calibri" w:hAnsi="Calibri" w:cs="Calibri"/>
        </w:rPr>
      </w:pPr>
      <w:r>
        <w:rPr>
          <w:noProof/>
        </w:rPr>
        <w:drawing>
          <wp:inline distT="0" distB="0" distL="0" distR="0" wp14:anchorId="0054CAD7" wp14:editId="235B511C">
            <wp:extent cx="5695950" cy="4524375"/>
            <wp:effectExtent l="0" t="0" r="0" b="9525"/>
            <wp:docPr id="1758327295" name="Picture 10" descr="Figure 14: Prevalent patients to PBS-listed DMTs for RRMS in the high efficacy tier by drug (201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27295" name="Picture 10" descr="Figure 14: Prevalent patients to PBS-listed DMTs for RRMS in the high efficacy tier by drug (2019-20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95950" cy="4524375"/>
                    </a:xfrm>
                    <a:prstGeom prst="rect">
                      <a:avLst/>
                    </a:prstGeom>
                    <a:noFill/>
                    <a:ln>
                      <a:noFill/>
                    </a:ln>
                  </pic:spPr>
                </pic:pic>
              </a:graphicData>
            </a:graphic>
          </wp:inline>
        </w:drawing>
      </w:r>
    </w:p>
    <w:p w14:paraId="24C0C3D4" w14:textId="77777777" w:rsidR="00EB534F" w:rsidRPr="004A6F1F" w:rsidRDefault="00EB534F" w:rsidP="00EB534F">
      <w:pPr>
        <w:rPr>
          <w:rFonts w:ascii="Calibri" w:hAnsi="Calibri" w:cs="Calibri"/>
          <w:b/>
          <w:bCs/>
          <w:sz w:val="20"/>
          <w:szCs w:val="20"/>
        </w:rPr>
      </w:pPr>
      <w:r w:rsidRPr="004A6F1F">
        <w:rPr>
          <w:rFonts w:ascii="Calibri" w:hAnsi="Calibri" w:cs="Calibri"/>
          <w:b/>
          <w:bCs/>
          <w:sz w:val="20"/>
          <w:szCs w:val="20"/>
        </w:rPr>
        <w:t>Figure 14: Prevalent patients to PBS-listed DMTs for RRMS in the high efficacy tier by drug (2019-2024)</w:t>
      </w:r>
    </w:p>
    <w:p w14:paraId="12256C31" w14:textId="176FFADE" w:rsidR="00EB534F" w:rsidRPr="000F04A0" w:rsidRDefault="00C94ED8" w:rsidP="00EB534F">
      <w:pPr>
        <w:spacing w:before="120" w:after="120" w:line="240" w:lineRule="auto"/>
        <w:jc w:val="both"/>
        <w:rPr>
          <w:rFonts w:ascii="Calibri" w:eastAsia="Calibri" w:hAnsi="Calibri" w:cs="Calibri"/>
          <w:b/>
          <w:bCs/>
          <w:sz w:val="20"/>
          <w:szCs w:val="20"/>
        </w:rPr>
      </w:pPr>
      <w:r>
        <w:rPr>
          <w:noProof/>
        </w:rPr>
        <w:lastRenderedPageBreak/>
        <w:drawing>
          <wp:inline distT="0" distB="0" distL="0" distR="0" wp14:anchorId="79E29314" wp14:editId="7E09F53D">
            <wp:extent cx="5731510" cy="4379595"/>
            <wp:effectExtent l="0" t="0" r="2540" b="1905"/>
            <wp:docPr id="375735395" name="Picture 11" descr="Figure 15: Initiating (incident) patients to PBS-listed DMTs for RRMS in the high efficacy tier by drug (201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35395" name="Picture 11" descr="Figure 15: Initiating (incident) patients to PBS-listed DMTs for RRMS in the high efficacy tier by drug (2019-20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4379595"/>
                    </a:xfrm>
                    <a:prstGeom prst="rect">
                      <a:avLst/>
                    </a:prstGeom>
                    <a:noFill/>
                    <a:ln>
                      <a:noFill/>
                    </a:ln>
                  </pic:spPr>
                </pic:pic>
              </a:graphicData>
            </a:graphic>
          </wp:inline>
        </w:drawing>
      </w:r>
    </w:p>
    <w:p w14:paraId="40B454EA" w14:textId="77777777" w:rsidR="00EB534F" w:rsidRDefault="00EB534F" w:rsidP="00EB534F">
      <w:pPr>
        <w:rPr>
          <w:rFonts w:ascii="Calibri" w:hAnsi="Calibri" w:cs="Calibri"/>
          <w:b/>
          <w:bCs/>
          <w:sz w:val="20"/>
          <w:szCs w:val="20"/>
        </w:rPr>
      </w:pPr>
      <w:r w:rsidRPr="004A6F1F">
        <w:rPr>
          <w:rFonts w:ascii="Calibri" w:hAnsi="Calibri" w:cs="Calibri"/>
          <w:b/>
          <w:bCs/>
          <w:sz w:val="20"/>
          <w:szCs w:val="20"/>
        </w:rPr>
        <w:t>Figure 15: Initiating (incident) patients to PBS-listed DMTs for RRMS in the high efficacy tier by drug (2019-2024)</w:t>
      </w:r>
    </w:p>
    <w:p w14:paraId="05C33BE1" w14:textId="77777777" w:rsidR="004A6F1F" w:rsidRPr="004A6F1F" w:rsidRDefault="004A6F1F" w:rsidP="00EB534F">
      <w:pPr>
        <w:rPr>
          <w:rFonts w:ascii="Calibri" w:hAnsi="Calibri" w:cs="Calibri"/>
          <w:b/>
          <w:bCs/>
          <w:sz w:val="20"/>
          <w:szCs w:val="20"/>
        </w:rPr>
      </w:pPr>
    </w:p>
    <w:p w14:paraId="612A68ED"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Figure 16 shows the number of prevalent patients to PBS-listed DMTs for RRMS in the moderate efficacy tier by drug from 2019 to 2024.  The number of prevalent patients decreased from 7,388 in 2019 to 5,225 in 2024 (a decrease of 29.2%) and dimethyl </w:t>
      </w:r>
      <w:proofErr w:type="spellStart"/>
      <w:r w:rsidRPr="000F04A0">
        <w:rPr>
          <w:rFonts w:ascii="Calibri" w:eastAsia="Times New Roman" w:hAnsi="Calibri" w:cs="Calibri"/>
          <w:snapToGrid w:val="0"/>
          <w:sz w:val="24"/>
          <w:szCs w:val="24"/>
        </w:rPr>
        <w:t>fumurate</w:t>
      </w:r>
      <w:proofErr w:type="spellEnd"/>
      <w:r w:rsidRPr="000F04A0">
        <w:rPr>
          <w:rFonts w:ascii="Calibri" w:eastAsia="Times New Roman" w:hAnsi="Calibri" w:cs="Calibri"/>
          <w:snapToGrid w:val="0"/>
          <w:sz w:val="24"/>
          <w:szCs w:val="24"/>
        </w:rPr>
        <w:t xml:space="preserve"> (1,645 prevalent patients), teriflunomide (1,385 prevalent patients) and glatiramer acetate (543 prevalent patients) were the PBS-listed DMTs for RRMS with the highest utilisation in 2024. The number of prevalent patients to DMTs for RRMS in the moderate efficacy tier decreased for all medicines between 2019 and 2024 except for diroximel </w:t>
      </w:r>
      <w:proofErr w:type="spellStart"/>
      <w:r w:rsidRPr="000F04A0">
        <w:rPr>
          <w:rFonts w:ascii="Calibri" w:eastAsia="Times New Roman" w:hAnsi="Calibri" w:cs="Calibri"/>
          <w:snapToGrid w:val="0"/>
          <w:sz w:val="24"/>
          <w:szCs w:val="24"/>
        </w:rPr>
        <w:t>fumurate</w:t>
      </w:r>
      <w:proofErr w:type="spellEnd"/>
      <w:r w:rsidRPr="000F04A0">
        <w:rPr>
          <w:rFonts w:ascii="Calibri" w:eastAsia="Times New Roman" w:hAnsi="Calibri" w:cs="Calibri"/>
          <w:snapToGrid w:val="0"/>
          <w:sz w:val="24"/>
          <w:szCs w:val="24"/>
        </w:rPr>
        <w:t xml:space="preserve"> (increased from 219 in 2022 to 445 in 2024).</w:t>
      </w:r>
    </w:p>
    <w:p w14:paraId="330836B9"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Figure 17 shows the number of incident patients to PBS-listed DMTs for RRMS in the moderate efficacy tier by drug from 2019 to 2024. The number of incident patients decreased from 977 in 2019 to 144 in 2024 (a decrease of 85.2%). Dimethyl </w:t>
      </w:r>
      <w:proofErr w:type="spellStart"/>
      <w:r w:rsidRPr="000F04A0">
        <w:rPr>
          <w:rFonts w:ascii="Calibri" w:eastAsia="Times New Roman" w:hAnsi="Calibri" w:cs="Calibri"/>
          <w:snapToGrid w:val="0"/>
          <w:sz w:val="24"/>
          <w:szCs w:val="24"/>
        </w:rPr>
        <w:t>fumurate</w:t>
      </w:r>
      <w:proofErr w:type="spellEnd"/>
      <w:r w:rsidRPr="000F04A0">
        <w:rPr>
          <w:rFonts w:ascii="Calibri" w:eastAsia="Times New Roman" w:hAnsi="Calibri" w:cs="Calibri"/>
          <w:snapToGrid w:val="0"/>
          <w:sz w:val="24"/>
          <w:szCs w:val="24"/>
        </w:rPr>
        <w:t xml:space="preserve"> (49 incident patients), diroximel </w:t>
      </w:r>
      <w:proofErr w:type="spellStart"/>
      <w:r w:rsidRPr="000F04A0">
        <w:rPr>
          <w:rFonts w:ascii="Calibri" w:eastAsia="Times New Roman" w:hAnsi="Calibri" w:cs="Calibri"/>
          <w:snapToGrid w:val="0"/>
          <w:sz w:val="24"/>
          <w:szCs w:val="24"/>
        </w:rPr>
        <w:t>fumurate</w:t>
      </w:r>
      <w:proofErr w:type="spellEnd"/>
      <w:r w:rsidRPr="000F04A0">
        <w:rPr>
          <w:rFonts w:ascii="Calibri" w:eastAsia="Times New Roman" w:hAnsi="Calibri" w:cs="Calibri"/>
          <w:snapToGrid w:val="0"/>
          <w:sz w:val="24"/>
          <w:szCs w:val="24"/>
        </w:rPr>
        <w:t xml:space="preserve"> (41 incident patients) and teriflunomide (30 incident patients) were the PBS-listed DMTs for RRMS with the highest utilisation in 2024. The number of incident patients to DMTs in the moderate efficacy tier has been decreasing over time.</w:t>
      </w:r>
    </w:p>
    <w:p w14:paraId="5D281CE4" w14:textId="12B9F0C7" w:rsidR="00EB534F" w:rsidRPr="000F04A0" w:rsidRDefault="00C94ED8" w:rsidP="00EB534F">
      <w:pPr>
        <w:spacing w:before="120" w:after="120" w:line="240" w:lineRule="auto"/>
        <w:jc w:val="both"/>
        <w:rPr>
          <w:rFonts w:ascii="Calibri" w:eastAsia="Times New Roman" w:hAnsi="Calibri" w:cs="Calibri"/>
          <w:snapToGrid w:val="0"/>
          <w:sz w:val="24"/>
          <w:szCs w:val="24"/>
        </w:rPr>
      </w:pPr>
      <w:r>
        <w:rPr>
          <w:noProof/>
        </w:rPr>
        <w:lastRenderedPageBreak/>
        <w:drawing>
          <wp:inline distT="0" distB="0" distL="0" distR="0" wp14:anchorId="3DDA9800" wp14:editId="236F407E">
            <wp:extent cx="5724525" cy="3810000"/>
            <wp:effectExtent l="0" t="0" r="9525" b="0"/>
            <wp:docPr id="980742419" name="Picture 12" descr="Figure 16: Prevalent patients to PBS-listed DMTs for RRMS in the moderate efficacy tier by drug (201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742419" name="Picture 12" descr="Figure 16: Prevalent patients to PBS-listed DMTs for RRMS in the moderate efficacy tier by drug (2019-20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4525" cy="3810000"/>
                    </a:xfrm>
                    <a:prstGeom prst="rect">
                      <a:avLst/>
                    </a:prstGeom>
                    <a:noFill/>
                    <a:ln>
                      <a:noFill/>
                    </a:ln>
                  </pic:spPr>
                </pic:pic>
              </a:graphicData>
            </a:graphic>
          </wp:inline>
        </w:drawing>
      </w:r>
    </w:p>
    <w:p w14:paraId="66E92DD1" w14:textId="77777777" w:rsidR="00EB534F" w:rsidRDefault="00EB534F" w:rsidP="00EB534F">
      <w:pPr>
        <w:rPr>
          <w:rFonts w:ascii="Calibri" w:hAnsi="Calibri" w:cs="Calibri"/>
          <w:b/>
          <w:bCs/>
          <w:sz w:val="20"/>
          <w:szCs w:val="20"/>
        </w:rPr>
      </w:pPr>
      <w:r w:rsidRPr="004A6F1F">
        <w:rPr>
          <w:rFonts w:ascii="Calibri" w:hAnsi="Calibri" w:cs="Calibri"/>
          <w:b/>
          <w:bCs/>
          <w:sz w:val="20"/>
          <w:szCs w:val="20"/>
        </w:rPr>
        <w:t>Figure 16: Prevalent patients to PBS-listed DMTs for RRMS in the moderate efficacy tier by drug (2019-2024)</w:t>
      </w:r>
    </w:p>
    <w:p w14:paraId="015EFFF2" w14:textId="77777777" w:rsidR="004A6F1F" w:rsidRPr="004A6F1F" w:rsidRDefault="004A6F1F" w:rsidP="00EB534F">
      <w:pPr>
        <w:rPr>
          <w:rFonts w:ascii="Calibri" w:hAnsi="Calibri" w:cs="Calibri"/>
          <w:b/>
          <w:bCs/>
          <w:sz w:val="20"/>
          <w:szCs w:val="20"/>
        </w:rPr>
      </w:pPr>
    </w:p>
    <w:p w14:paraId="1A8FA6B6" w14:textId="189B1F1C" w:rsidR="00EB534F" w:rsidRPr="000F04A0" w:rsidRDefault="00C94ED8" w:rsidP="00EB534F">
      <w:pPr>
        <w:spacing w:before="120" w:after="120" w:line="240" w:lineRule="auto"/>
        <w:jc w:val="both"/>
        <w:rPr>
          <w:rFonts w:ascii="Calibri" w:eastAsia="Calibri" w:hAnsi="Calibri" w:cs="Calibri"/>
          <w:b/>
          <w:bCs/>
          <w:sz w:val="20"/>
          <w:szCs w:val="20"/>
        </w:rPr>
      </w:pPr>
      <w:r>
        <w:rPr>
          <w:noProof/>
        </w:rPr>
        <w:drawing>
          <wp:inline distT="0" distB="0" distL="0" distR="0" wp14:anchorId="233ACA7D" wp14:editId="75713739">
            <wp:extent cx="5731510" cy="3573780"/>
            <wp:effectExtent l="0" t="0" r="2540" b="7620"/>
            <wp:docPr id="1391152241" name="Picture 13" descr="Figure 17: Initiating (incident) patients to PBS-listed DMTs for RRMS in the moderate efficacy tier by drug (201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52241" name="Picture 13" descr="Figure 17: Initiating (incident) patients to PBS-listed DMTs for RRMS in the moderate efficacy tier by drug (2019-20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3573780"/>
                    </a:xfrm>
                    <a:prstGeom prst="rect">
                      <a:avLst/>
                    </a:prstGeom>
                    <a:noFill/>
                    <a:ln>
                      <a:noFill/>
                    </a:ln>
                  </pic:spPr>
                </pic:pic>
              </a:graphicData>
            </a:graphic>
          </wp:inline>
        </w:drawing>
      </w:r>
    </w:p>
    <w:p w14:paraId="13FB4A4B" w14:textId="77777777" w:rsidR="00EB534F" w:rsidRPr="004A6F1F" w:rsidRDefault="00EB534F" w:rsidP="00EB534F">
      <w:pPr>
        <w:rPr>
          <w:rFonts w:ascii="Calibri" w:hAnsi="Calibri" w:cs="Calibri"/>
          <w:b/>
          <w:bCs/>
          <w:sz w:val="20"/>
          <w:szCs w:val="20"/>
        </w:rPr>
      </w:pPr>
      <w:r w:rsidRPr="004A6F1F">
        <w:rPr>
          <w:rFonts w:ascii="Calibri" w:hAnsi="Calibri" w:cs="Calibri"/>
          <w:b/>
          <w:bCs/>
          <w:sz w:val="20"/>
          <w:szCs w:val="20"/>
        </w:rPr>
        <w:t>Figure 17: Initiating (incident) patients to PBS-listed DMTs for RRMS in the moderate efficacy tier by drug (2019-2024)</w:t>
      </w:r>
    </w:p>
    <w:p w14:paraId="2A5DDF3D" w14:textId="77777777" w:rsidR="00EB534F" w:rsidRPr="000F04A0" w:rsidRDefault="00EB534F" w:rsidP="004A6F1F">
      <w:pPr>
        <w:pStyle w:val="Heading3"/>
        <w:keepNext/>
        <w:keepLines/>
      </w:pPr>
      <w:r w:rsidRPr="000F04A0">
        <w:lastRenderedPageBreak/>
        <w:t xml:space="preserve">Patient demographics </w:t>
      </w:r>
    </w:p>
    <w:p w14:paraId="6E49DF47" w14:textId="77777777" w:rsidR="00EB534F" w:rsidRPr="000F04A0" w:rsidRDefault="00EB534F" w:rsidP="004A6F1F">
      <w:pPr>
        <w:keepNext/>
        <w:keepLines/>
        <w:spacing w:after="120" w:line="240" w:lineRule="auto"/>
        <w:jc w:val="both"/>
        <w:rPr>
          <w:rFonts w:ascii="Calibri" w:eastAsia="Times New Roman" w:hAnsi="Calibri" w:cs="Calibri"/>
          <w:snapToGrid w:val="0"/>
          <w:sz w:val="24"/>
          <w:szCs w:val="24"/>
        </w:rPr>
      </w:pPr>
      <w:bookmarkStart w:id="6" w:name="_Hlk139398686"/>
      <w:r w:rsidRPr="000F04A0">
        <w:rPr>
          <w:rFonts w:ascii="Calibri" w:eastAsia="Times New Roman" w:hAnsi="Calibri" w:cs="Calibri"/>
          <w:snapToGrid w:val="0"/>
          <w:sz w:val="24"/>
          <w:szCs w:val="24"/>
        </w:rPr>
        <w:t xml:space="preserve">Figure 18 shows the number of prevalent patients to PBS-listed DMTs for RRMS by age and gender in 2024. </w:t>
      </w:r>
    </w:p>
    <w:p w14:paraId="2307A8DF"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Note: Age and gender data was based on the patient details at the time of the R/PBS supply. Gender was unknown for patients in the </w:t>
      </w:r>
      <w:proofErr w:type="gramStart"/>
      <w:r w:rsidRPr="000F04A0">
        <w:rPr>
          <w:rFonts w:ascii="Calibri" w:eastAsia="Times New Roman" w:hAnsi="Calibri" w:cs="Calibri"/>
          <w:snapToGrid w:val="0"/>
          <w:sz w:val="24"/>
          <w:szCs w:val="24"/>
        </w:rPr>
        <w:t>0-4 year</w:t>
      </w:r>
      <w:proofErr w:type="gramEnd"/>
      <w:r w:rsidRPr="000F04A0">
        <w:rPr>
          <w:rFonts w:ascii="Calibri" w:eastAsia="Times New Roman" w:hAnsi="Calibri" w:cs="Calibri"/>
          <w:snapToGrid w:val="0"/>
          <w:sz w:val="24"/>
          <w:szCs w:val="24"/>
        </w:rPr>
        <w:t xml:space="preserve"> age group. If the number of patients was below five in any group, this data has been </w:t>
      </w:r>
      <w:proofErr w:type="spellStart"/>
      <w:r w:rsidRPr="000F04A0">
        <w:rPr>
          <w:rFonts w:ascii="Calibri" w:eastAsia="Times New Roman" w:hAnsi="Calibri" w:cs="Calibri"/>
          <w:snapToGrid w:val="0"/>
          <w:sz w:val="24"/>
          <w:szCs w:val="24"/>
        </w:rPr>
        <w:t>confidentialised</w:t>
      </w:r>
      <w:proofErr w:type="spellEnd"/>
      <w:r w:rsidRPr="000F04A0">
        <w:rPr>
          <w:rFonts w:ascii="Calibri" w:eastAsia="Times New Roman" w:hAnsi="Calibri" w:cs="Calibri"/>
          <w:snapToGrid w:val="0"/>
          <w:sz w:val="24"/>
          <w:szCs w:val="24"/>
        </w:rPr>
        <w:t xml:space="preserve"> to reduce the risk of patient re-identification, and the data point presented as zero.</w:t>
      </w:r>
    </w:p>
    <w:p w14:paraId="77E63313"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As shown in Figure 18, there were more females (20,355 patients) than males (7,172 patients) supplied PBS-listed DMTs for RRMS in 2024, and utilisation peaks at 50-54 years for both females and males.</w:t>
      </w:r>
      <w:bookmarkEnd w:id="6"/>
    </w:p>
    <w:p w14:paraId="5542455B" w14:textId="73E8AA40" w:rsidR="00EB534F" w:rsidRPr="000F04A0" w:rsidRDefault="005F328D" w:rsidP="00EB534F">
      <w:pPr>
        <w:pStyle w:val="3Bodytext"/>
        <w:ind w:left="0" w:firstLine="0"/>
        <w:rPr>
          <w:rFonts w:ascii="Calibri" w:hAnsi="Calibri" w:cs="Calibri"/>
        </w:rPr>
      </w:pPr>
      <w:r>
        <w:rPr>
          <w:noProof/>
        </w:rPr>
        <w:drawing>
          <wp:inline distT="0" distB="0" distL="0" distR="0" wp14:anchorId="0C2534A1" wp14:editId="21B4FD99">
            <wp:extent cx="5731510" cy="4017645"/>
            <wp:effectExtent l="0" t="0" r="2540" b="1905"/>
            <wp:docPr id="1105603164" name="Picture 14" descr="Figure 18: Prevalent patients to PBS-listed DMTs for RRMS by age and gender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03164" name="Picture 14" descr="Figure 18: Prevalent patients to PBS-listed DMTs for RRMS by age and gender (2024)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4017645"/>
                    </a:xfrm>
                    <a:prstGeom prst="rect">
                      <a:avLst/>
                    </a:prstGeom>
                    <a:noFill/>
                    <a:ln>
                      <a:noFill/>
                    </a:ln>
                  </pic:spPr>
                </pic:pic>
              </a:graphicData>
            </a:graphic>
          </wp:inline>
        </w:drawing>
      </w:r>
    </w:p>
    <w:p w14:paraId="2E8FA548" w14:textId="57C481AA" w:rsidR="004A6F1F" w:rsidRPr="004A6F1F" w:rsidRDefault="00EB534F" w:rsidP="00EB534F">
      <w:pPr>
        <w:rPr>
          <w:rFonts w:ascii="Calibri" w:hAnsi="Calibri" w:cs="Calibri"/>
          <w:b/>
          <w:bCs/>
          <w:sz w:val="20"/>
          <w:szCs w:val="20"/>
        </w:rPr>
      </w:pPr>
      <w:r w:rsidRPr="004A6F1F">
        <w:rPr>
          <w:rFonts w:ascii="Calibri" w:hAnsi="Calibri" w:cs="Calibri"/>
          <w:b/>
          <w:bCs/>
          <w:sz w:val="20"/>
          <w:szCs w:val="20"/>
        </w:rPr>
        <w:t xml:space="preserve">Figure 18: Prevalent patients to PBS-listed DMTs for RRMS by age and gender (2024)  </w:t>
      </w:r>
    </w:p>
    <w:p w14:paraId="3ADF05D9"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Figure 19 shows the number of prevalent patients to PBS-listed DMTs for RRMS by age, gender and drug in 2024. As noted above, gender was unknown for patients in the </w:t>
      </w:r>
      <w:proofErr w:type="gramStart"/>
      <w:r w:rsidRPr="000F04A0">
        <w:rPr>
          <w:rFonts w:ascii="Calibri" w:eastAsia="Times New Roman" w:hAnsi="Calibri" w:cs="Calibri"/>
          <w:snapToGrid w:val="0"/>
          <w:sz w:val="24"/>
          <w:szCs w:val="24"/>
        </w:rPr>
        <w:t>0-4 year</w:t>
      </w:r>
      <w:proofErr w:type="gramEnd"/>
      <w:r w:rsidRPr="000F04A0">
        <w:rPr>
          <w:rFonts w:ascii="Calibri" w:eastAsia="Times New Roman" w:hAnsi="Calibri" w:cs="Calibri"/>
          <w:snapToGrid w:val="0"/>
          <w:sz w:val="24"/>
          <w:szCs w:val="24"/>
        </w:rPr>
        <w:t xml:space="preserve"> age group. Data for patients with an unknown gender had five or less patients in each age category, and this data has been </w:t>
      </w:r>
      <w:proofErr w:type="spellStart"/>
      <w:r w:rsidRPr="000F04A0">
        <w:rPr>
          <w:rFonts w:ascii="Calibri" w:eastAsia="Times New Roman" w:hAnsi="Calibri" w:cs="Calibri"/>
          <w:snapToGrid w:val="0"/>
          <w:sz w:val="24"/>
          <w:szCs w:val="24"/>
        </w:rPr>
        <w:t>confidentialised</w:t>
      </w:r>
      <w:proofErr w:type="spellEnd"/>
      <w:r w:rsidRPr="000F04A0">
        <w:rPr>
          <w:rFonts w:ascii="Calibri" w:eastAsia="Times New Roman" w:hAnsi="Calibri" w:cs="Calibri"/>
          <w:snapToGrid w:val="0"/>
          <w:sz w:val="24"/>
          <w:szCs w:val="24"/>
        </w:rPr>
        <w:t xml:space="preserve"> to reduce the risk of patient re-identification, and the data point presented as zero.</w:t>
      </w:r>
    </w:p>
    <w:p w14:paraId="18F02F86"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Ocrelizumab was the most utilised PBS-listed DMT for RRMS for females, with utilisation peaking at 40-44 years of age. Natalizumab was the second most utilised PBS listed DMT for RRMS in females, with highest use at 35-39 years of age. Ocrelizumab was the most utilised PBS-listed DMT for RRMS for males, with utilisation peaking at 50-54 years of age. Fingolimod was the second most utilised PBS-listed DMT for RRMS for males, with highest use at 50-54 years of age.  </w:t>
      </w:r>
    </w:p>
    <w:p w14:paraId="515BEB6A" w14:textId="77777777" w:rsidR="00EB534F" w:rsidRPr="000F04A0" w:rsidRDefault="00EB534F" w:rsidP="00EB534F">
      <w:pPr>
        <w:rPr>
          <w:rFonts w:ascii="Calibri" w:eastAsia="Times New Roman" w:hAnsi="Calibri" w:cs="Calibri"/>
          <w:snapToGrid w:val="0"/>
          <w:sz w:val="24"/>
          <w:szCs w:val="24"/>
        </w:rPr>
        <w:sectPr w:rsidR="00EB534F" w:rsidRPr="000F04A0" w:rsidSect="00EB534F">
          <w:pgSz w:w="11906" w:h="16838"/>
          <w:pgMar w:top="1440" w:right="1440" w:bottom="1440" w:left="1440" w:header="709" w:footer="709" w:gutter="0"/>
          <w:cols w:space="708"/>
          <w:docGrid w:linePitch="360"/>
        </w:sectPr>
      </w:pPr>
    </w:p>
    <w:p w14:paraId="4E632324" w14:textId="3E99A2CC" w:rsidR="00EB534F" w:rsidRPr="000F04A0" w:rsidRDefault="005F328D" w:rsidP="00EB534F">
      <w:pPr>
        <w:rPr>
          <w:rFonts w:ascii="Calibri" w:eastAsia="Times New Roman" w:hAnsi="Calibri" w:cs="Calibri"/>
          <w:b/>
          <w:bCs/>
          <w:i/>
          <w:iCs/>
          <w:sz w:val="24"/>
          <w:szCs w:val="24"/>
        </w:rPr>
      </w:pPr>
      <w:r>
        <w:rPr>
          <w:noProof/>
        </w:rPr>
        <w:lastRenderedPageBreak/>
        <w:drawing>
          <wp:inline distT="0" distB="0" distL="0" distR="0" wp14:anchorId="4A3B6DD0" wp14:editId="4B9ED011">
            <wp:extent cx="8863330" cy="4939665"/>
            <wp:effectExtent l="0" t="0" r="0" b="0"/>
            <wp:docPr id="1594724670" name="Picture 15" descr="Figure 19: Prevalent patients to PBS-listed DMTs for RRMS by age, gender and drug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24670" name="Picture 15" descr="Figure 19: Prevalent patients to PBS-listed DMTs for RRMS by age, gender and drug (20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63330" cy="4939665"/>
                    </a:xfrm>
                    <a:prstGeom prst="rect">
                      <a:avLst/>
                    </a:prstGeom>
                    <a:noFill/>
                    <a:ln>
                      <a:noFill/>
                    </a:ln>
                  </pic:spPr>
                </pic:pic>
              </a:graphicData>
            </a:graphic>
          </wp:inline>
        </w:drawing>
      </w:r>
    </w:p>
    <w:p w14:paraId="4C47E98E" w14:textId="77777777" w:rsidR="00EB534F" w:rsidRPr="004A6F1F" w:rsidRDefault="00EB534F" w:rsidP="00EB534F">
      <w:pPr>
        <w:rPr>
          <w:rFonts w:ascii="Calibri" w:hAnsi="Calibri" w:cs="Calibri"/>
          <w:b/>
          <w:bCs/>
          <w:sz w:val="20"/>
          <w:szCs w:val="20"/>
        </w:rPr>
      </w:pPr>
      <w:r w:rsidRPr="004A6F1F">
        <w:rPr>
          <w:rFonts w:ascii="Calibri" w:hAnsi="Calibri" w:cs="Calibri"/>
          <w:b/>
          <w:bCs/>
          <w:sz w:val="20"/>
          <w:szCs w:val="20"/>
        </w:rPr>
        <w:t>Figure 19: Prevalent patients to PBS-listed DMTs for RRMS by age, gender and drug (2024)</w:t>
      </w:r>
    </w:p>
    <w:p w14:paraId="7DD7BF61" w14:textId="77777777" w:rsidR="00EB534F" w:rsidRPr="000F04A0" w:rsidRDefault="00EB534F" w:rsidP="00EB534F">
      <w:pPr>
        <w:pStyle w:val="Heading4"/>
        <w:spacing w:before="120" w:after="120" w:line="240" w:lineRule="auto"/>
        <w:rPr>
          <w:rFonts w:ascii="Calibri" w:eastAsia="Times New Roman" w:hAnsi="Calibri" w:cs="Calibri"/>
          <w:b/>
          <w:bCs/>
          <w:color w:val="auto"/>
          <w:sz w:val="24"/>
          <w:szCs w:val="24"/>
        </w:rPr>
        <w:sectPr w:rsidR="00EB534F" w:rsidRPr="000F04A0" w:rsidSect="00EB534F">
          <w:headerReference w:type="even" r:id="rId29"/>
          <w:headerReference w:type="default" r:id="rId30"/>
          <w:footerReference w:type="even" r:id="rId31"/>
          <w:footerReference w:type="default" r:id="rId32"/>
          <w:headerReference w:type="first" r:id="rId33"/>
          <w:footerReference w:type="first" r:id="rId34"/>
          <w:pgSz w:w="16838" w:h="11906" w:orient="landscape"/>
          <w:pgMar w:top="1440" w:right="1440" w:bottom="1440" w:left="1440" w:header="709" w:footer="709" w:gutter="0"/>
          <w:cols w:space="708"/>
          <w:docGrid w:linePitch="360"/>
        </w:sectPr>
      </w:pPr>
    </w:p>
    <w:p w14:paraId="58D5E16D" w14:textId="77777777" w:rsidR="00EB534F" w:rsidRPr="000F04A0" w:rsidRDefault="00EB534F" w:rsidP="004A6F1F">
      <w:pPr>
        <w:pStyle w:val="Heading3"/>
      </w:pPr>
      <w:r w:rsidRPr="000F04A0">
        <w:lastRenderedPageBreak/>
        <w:t>Drug sequence analysis</w:t>
      </w:r>
    </w:p>
    <w:p w14:paraId="2035EFBC"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Table 5 shows the drug sequences for PBS-listed DMTs for RRMS supplied to patients first initiating from 1 January 2021 with follow up to 31 December 2024. </w:t>
      </w:r>
    </w:p>
    <w:p w14:paraId="503AD0AB"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As shown in Table 5, monotherapy with ocrelizumab, ofatumumab and natalizumab were the three most common drug sequences. For drug initiation sequences consisting of two or more DMTs, ‘natalizumab to ocrelizumab,’ ‘natalizumab to ofatumumab’ and ‘ocrelizumab to ofatumumab’ were the three most common treatment initiation sequences.</w:t>
      </w:r>
    </w:p>
    <w:p w14:paraId="7B6413FF" w14:textId="77777777" w:rsidR="00EB534F" w:rsidRPr="004A6F1F" w:rsidRDefault="00EB534F" w:rsidP="00EB534F">
      <w:pPr>
        <w:spacing w:before="60" w:after="60" w:line="240" w:lineRule="auto"/>
        <w:rPr>
          <w:rFonts w:ascii="Calibri" w:hAnsi="Calibri" w:cs="Calibri"/>
          <w:b/>
          <w:bCs/>
          <w:sz w:val="20"/>
          <w:szCs w:val="20"/>
        </w:rPr>
      </w:pPr>
      <w:r w:rsidRPr="004A6F1F">
        <w:rPr>
          <w:rFonts w:ascii="Calibri" w:hAnsi="Calibri" w:cs="Calibri"/>
          <w:b/>
          <w:bCs/>
          <w:sz w:val="20"/>
          <w:szCs w:val="20"/>
        </w:rPr>
        <w:t xml:space="preserve">Table 5: Drug sequences for PBS-listed DMTs for RRMS </w:t>
      </w:r>
    </w:p>
    <w:tbl>
      <w:tblPr>
        <w:tblW w:w="8494" w:type="dxa"/>
        <w:tblLook w:val="04A0" w:firstRow="1" w:lastRow="0" w:firstColumn="1" w:lastColumn="0" w:noHBand="0" w:noVBand="1"/>
      </w:tblPr>
      <w:tblGrid>
        <w:gridCol w:w="6440"/>
        <w:gridCol w:w="1010"/>
        <w:gridCol w:w="1044"/>
      </w:tblGrid>
      <w:tr w:rsidR="00EB534F" w:rsidRPr="000F04A0" w14:paraId="5EF325FA" w14:textId="77777777" w:rsidTr="00323579">
        <w:trPr>
          <w:trHeight w:val="290"/>
        </w:trPr>
        <w:tc>
          <w:tcPr>
            <w:tcW w:w="6440" w:type="dxa"/>
            <w:tcBorders>
              <w:top w:val="single" w:sz="4" w:space="0" w:color="auto"/>
              <w:left w:val="single" w:sz="4" w:space="0" w:color="auto"/>
              <w:bottom w:val="single" w:sz="4" w:space="0" w:color="auto"/>
              <w:right w:val="single" w:sz="4" w:space="0" w:color="auto"/>
            </w:tcBorders>
            <w:noWrap/>
            <w:vAlign w:val="bottom"/>
            <w:hideMark/>
          </w:tcPr>
          <w:p w14:paraId="496022B6" w14:textId="77777777" w:rsidR="00EB534F" w:rsidRPr="000F04A0" w:rsidRDefault="00EB534F" w:rsidP="007E7B02">
            <w:pPr>
              <w:spacing w:after="0" w:line="240" w:lineRule="auto"/>
              <w:rPr>
                <w:rFonts w:ascii="Calibri" w:eastAsia="Times New Roman" w:hAnsi="Calibri" w:cs="Calibri"/>
                <w:b/>
                <w:bCs/>
                <w:color w:val="000000"/>
                <w:lang w:eastAsia="en-AU"/>
              </w:rPr>
            </w:pPr>
            <w:r w:rsidRPr="000F04A0">
              <w:rPr>
                <w:rFonts w:ascii="Calibri" w:eastAsia="Times New Roman" w:hAnsi="Calibri" w:cs="Calibri"/>
                <w:b/>
                <w:bCs/>
                <w:color w:val="000000"/>
                <w:lang w:eastAsia="en-AU"/>
              </w:rPr>
              <w:t>Drug sequences</w:t>
            </w:r>
          </w:p>
        </w:tc>
        <w:tc>
          <w:tcPr>
            <w:tcW w:w="1010" w:type="dxa"/>
            <w:tcBorders>
              <w:top w:val="single" w:sz="4" w:space="0" w:color="auto"/>
              <w:left w:val="nil"/>
              <w:bottom w:val="single" w:sz="4" w:space="0" w:color="auto"/>
              <w:right w:val="single" w:sz="4" w:space="0" w:color="auto"/>
            </w:tcBorders>
            <w:noWrap/>
            <w:vAlign w:val="bottom"/>
            <w:hideMark/>
          </w:tcPr>
          <w:p w14:paraId="08206A60" w14:textId="77777777" w:rsidR="00EB534F" w:rsidRPr="000F04A0" w:rsidRDefault="00EB534F" w:rsidP="007E7B02">
            <w:pPr>
              <w:spacing w:after="0" w:line="240" w:lineRule="auto"/>
              <w:rPr>
                <w:rFonts w:ascii="Calibri" w:eastAsia="Times New Roman" w:hAnsi="Calibri" w:cs="Calibri"/>
                <w:b/>
                <w:bCs/>
                <w:color w:val="000000"/>
                <w:lang w:eastAsia="en-AU"/>
              </w:rPr>
            </w:pPr>
            <w:r w:rsidRPr="000F04A0">
              <w:rPr>
                <w:rFonts w:ascii="Calibri" w:eastAsia="Times New Roman" w:hAnsi="Calibri" w:cs="Calibri"/>
                <w:b/>
                <w:bCs/>
                <w:color w:val="000000"/>
                <w:lang w:eastAsia="en-AU"/>
              </w:rPr>
              <w:t>Patients</w:t>
            </w:r>
          </w:p>
        </w:tc>
        <w:tc>
          <w:tcPr>
            <w:tcW w:w="1044" w:type="dxa"/>
            <w:tcBorders>
              <w:top w:val="single" w:sz="4" w:space="0" w:color="auto"/>
              <w:left w:val="nil"/>
              <w:bottom w:val="single" w:sz="4" w:space="0" w:color="auto"/>
              <w:right w:val="single" w:sz="4" w:space="0" w:color="auto"/>
            </w:tcBorders>
            <w:noWrap/>
            <w:vAlign w:val="bottom"/>
            <w:hideMark/>
          </w:tcPr>
          <w:p w14:paraId="5E9D9893" w14:textId="77777777" w:rsidR="00EB534F" w:rsidRPr="000F04A0" w:rsidRDefault="00EB534F" w:rsidP="007E7B02">
            <w:pPr>
              <w:spacing w:after="0" w:line="240" w:lineRule="auto"/>
              <w:rPr>
                <w:rFonts w:ascii="Calibri" w:eastAsia="Times New Roman" w:hAnsi="Calibri" w:cs="Calibri"/>
                <w:b/>
                <w:bCs/>
                <w:color w:val="000000"/>
                <w:lang w:eastAsia="en-AU"/>
              </w:rPr>
            </w:pPr>
            <w:r w:rsidRPr="000F04A0">
              <w:rPr>
                <w:rFonts w:ascii="Calibri" w:eastAsia="Times New Roman" w:hAnsi="Calibri" w:cs="Calibri"/>
                <w:b/>
                <w:bCs/>
                <w:color w:val="000000"/>
                <w:lang w:eastAsia="en-AU"/>
              </w:rPr>
              <w:t>Percent</w:t>
            </w:r>
          </w:p>
        </w:tc>
      </w:tr>
      <w:tr w:rsidR="00EB534F" w:rsidRPr="000F04A0" w14:paraId="7182E10B"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3104DB36"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OCRELIZUMAB</w:t>
            </w:r>
          </w:p>
        </w:tc>
        <w:tc>
          <w:tcPr>
            <w:tcW w:w="1010" w:type="dxa"/>
            <w:tcBorders>
              <w:top w:val="nil"/>
              <w:left w:val="nil"/>
              <w:bottom w:val="single" w:sz="4" w:space="0" w:color="auto"/>
              <w:right w:val="single" w:sz="4" w:space="0" w:color="auto"/>
            </w:tcBorders>
            <w:noWrap/>
            <w:vAlign w:val="bottom"/>
            <w:hideMark/>
          </w:tcPr>
          <w:p w14:paraId="225A75F8"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2019</w:t>
            </w:r>
          </w:p>
        </w:tc>
        <w:tc>
          <w:tcPr>
            <w:tcW w:w="1044" w:type="dxa"/>
            <w:tcBorders>
              <w:top w:val="nil"/>
              <w:left w:val="nil"/>
              <w:bottom w:val="single" w:sz="4" w:space="0" w:color="auto"/>
              <w:right w:val="single" w:sz="4" w:space="0" w:color="auto"/>
            </w:tcBorders>
            <w:noWrap/>
            <w:vAlign w:val="bottom"/>
            <w:hideMark/>
          </w:tcPr>
          <w:p w14:paraId="036C6C49"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24.6</w:t>
            </w:r>
          </w:p>
        </w:tc>
      </w:tr>
      <w:tr w:rsidR="00EB534F" w:rsidRPr="000F04A0" w14:paraId="38788E0C"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4500497F"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OFATUMUMAB</w:t>
            </w:r>
          </w:p>
        </w:tc>
        <w:tc>
          <w:tcPr>
            <w:tcW w:w="1010" w:type="dxa"/>
            <w:tcBorders>
              <w:top w:val="nil"/>
              <w:left w:val="nil"/>
              <w:bottom w:val="single" w:sz="4" w:space="0" w:color="auto"/>
              <w:right w:val="single" w:sz="4" w:space="0" w:color="auto"/>
            </w:tcBorders>
            <w:noWrap/>
            <w:vAlign w:val="bottom"/>
            <w:hideMark/>
          </w:tcPr>
          <w:p w14:paraId="3710798F"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1137</w:t>
            </w:r>
          </w:p>
        </w:tc>
        <w:tc>
          <w:tcPr>
            <w:tcW w:w="1044" w:type="dxa"/>
            <w:tcBorders>
              <w:top w:val="nil"/>
              <w:left w:val="nil"/>
              <w:bottom w:val="single" w:sz="4" w:space="0" w:color="auto"/>
              <w:right w:val="single" w:sz="4" w:space="0" w:color="auto"/>
            </w:tcBorders>
            <w:noWrap/>
            <w:vAlign w:val="bottom"/>
            <w:hideMark/>
          </w:tcPr>
          <w:p w14:paraId="0E14366C"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13.8</w:t>
            </w:r>
          </w:p>
        </w:tc>
      </w:tr>
      <w:tr w:rsidR="00EB534F" w:rsidRPr="000F04A0" w14:paraId="54145CF7"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03EE40C6"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NATALIZUMAB</w:t>
            </w:r>
          </w:p>
        </w:tc>
        <w:tc>
          <w:tcPr>
            <w:tcW w:w="1010" w:type="dxa"/>
            <w:tcBorders>
              <w:top w:val="nil"/>
              <w:left w:val="nil"/>
              <w:bottom w:val="single" w:sz="4" w:space="0" w:color="auto"/>
              <w:right w:val="single" w:sz="4" w:space="0" w:color="auto"/>
            </w:tcBorders>
            <w:noWrap/>
            <w:vAlign w:val="bottom"/>
            <w:hideMark/>
          </w:tcPr>
          <w:p w14:paraId="66379A4F"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1096</w:t>
            </w:r>
          </w:p>
        </w:tc>
        <w:tc>
          <w:tcPr>
            <w:tcW w:w="1044" w:type="dxa"/>
            <w:tcBorders>
              <w:top w:val="nil"/>
              <w:left w:val="nil"/>
              <w:bottom w:val="single" w:sz="4" w:space="0" w:color="auto"/>
              <w:right w:val="single" w:sz="4" w:space="0" w:color="auto"/>
            </w:tcBorders>
            <w:noWrap/>
            <w:vAlign w:val="bottom"/>
            <w:hideMark/>
          </w:tcPr>
          <w:p w14:paraId="7E27B33E"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13.3</w:t>
            </w:r>
          </w:p>
        </w:tc>
      </w:tr>
      <w:tr w:rsidR="00EB534F" w:rsidRPr="000F04A0" w14:paraId="5B975F1A"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2C3F4AEB"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CLADRIBINE</w:t>
            </w:r>
          </w:p>
        </w:tc>
        <w:tc>
          <w:tcPr>
            <w:tcW w:w="1010" w:type="dxa"/>
            <w:tcBorders>
              <w:top w:val="nil"/>
              <w:left w:val="nil"/>
              <w:bottom w:val="single" w:sz="4" w:space="0" w:color="auto"/>
              <w:right w:val="single" w:sz="4" w:space="0" w:color="auto"/>
            </w:tcBorders>
            <w:noWrap/>
            <w:vAlign w:val="bottom"/>
            <w:hideMark/>
          </w:tcPr>
          <w:p w14:paraId="1329F563"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1090</w:t>
            </w:r>
          </w:p>
        </w:tc>
        <w:tc>
          <w:tcPr>
            <w:tcW w:w="1044" w:type="dxa"/>
            <w:tcBorders>
              <w:top w:val="nil"/>
              <w:left w:val="nil"/>
              <w:bottom w:val="single" w:sz="4" w:space="0" w:color="auto"/>
              <w:right w:val="single" w:sz="4" w:space="0" w:color="auto"/>
            </w:tcBorders>
            <w:noWrap/>
            <w:vAlign w:val="bottom"/>
            <w:hideMark/>
          </w:tcPr>
          <w:p w14:paraId="4BB78C8A"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13.3</w:t>
            </w:r>
          </w:p>
        </w:tc>
      </w:tr>
      <w:tr w:rsidR="00EB534F" w:rsidRPr="000F04A0" w14:paraId="74EF6D12"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59284189"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DIMETHYL FUMARATE</w:t>
            </w:r>
          </w:p>
        </w:tc>
        <w:tc>
          <w:tcPr>
            <w:tcW w:w="1010" w:type="dxa"/>
            <w:tcBorders>
              <w:top w:val="nil"/>
              <w:left w:val="nil"/>
              <w:bottom w:val="single" w:sz="4" w:space="0" w:color="auto"/>
              <w:right w:val="single" w:sz="4" w:space="0" w:color="auto"/>
            </w:tcBorders>
            <w:noWrap/>
            <w:vAlign w:val="bottom"/>
            <w:hideMark/>
          </w:tcPr>
          <w:p w14:paraId="7866FD7B"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295</w:t>
            </w:r>
          </w:p>
        </w:tc>
        <w:tc>
          <w:tcPr>
            <w:tcW w:w="1044" w:type="dxa"/>
            <w:tcBorders>
              <w:top w:val="nil"/>
              <w:left w:val="nil"/>
              <w:bottom w:val="single" w:sz="4" w:space="0" w:color="auto"/>
              <w:right w:val="single" w:sz="4" w:space="0" w:color="auto"/>
            </w:tcBorders>
            <w:noWrap/>
            <w:vAlign w:val="bottom"/>
            <w:hideMark/>
          </w:tcPr>
          <w:p w14:paraId="22175A49"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3.6</w:t>
            </w:r>
          </w:p>
        </w:tc>
      </w:tr>
      <w:tr w:rsidR="00EB534F" w:rsidRPr="000F04A0" w14:paraId="60C30E50"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2038417A" w14:textId="1051A5BA"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NATALIZUMAB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OCRELIZUMAB</w:t>
            </w:r>
          </w:p>
        </w:tc>
        <w:tc>
          <w:tcPr>
            <w:tcW w:w="1010" w:type="dxa"/>
            <w:tcBorders>
              <w:top w:val="nil"/>
              <w:left w:val="nil"/>
              <w:bottom w:val="single" w:sz="4" w:space="0" w:color="auto"/>
              <w:right w:val="single" w:sz="4" w:space="0" w:color="auto"/>
            </w:tcBorders>
            <w:noWrap/>
            <w:vAlign w:val="bottom"/>
            <w:hideMark/>
          </w:tcPr>
          <w:p w14:paraId="2934BB91"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285</w:t>
            </w:r>
          </w:p>
        </w:tc>
        <w:tc>
          <w:tcPr>
            <w:tcW w:w="1044" w:type="dxa"/>
            <w:tcBorders>
              <w:top w:val="nil"/>
              <w:left w:val="nil"/>
              <w:bottom w:val="single" w:sz="4" w:space="0" w:color="auto"/>
              <w:right w:val="single" w:sz="4" w:space="0" w:color="auto"/>
            </w:tcBorders>
            <w:noWrap/>
            <w:vAlign w:val="bottom"/>
            <w:hideMark/>
          </w:tcPr>
          <w:p w14:paraId="670C5FC6"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3.5</w:t>
            </w:r>
          </w:p>
        </w:tc>
      </w:tr>
      <w:tr w:rsidR="00EB534F" w:rsidRPr="000F04A0" w14:paraId="75B3FBD5"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3608F5AB"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SIPONIMOD</w:t>
            </w:r>
          </w:p>
        </w:tc>
        <w:tc>
          <w:tcPr>
            <w:tcW w:w="1010" w:type="dxa"/>
            <w:tcBorders>
              <w:top w:val="nil"/>
              <w:left w:val="nil"/>
              <w:bottom w:val="single" w:sz="4" w:space="0" w:color="auto"/>
              <w:right w:val="single" w:sz="4" w:space="0" w:color="auto"/>
            </w:tcBorders>
            <w:noWrap/>
            <w:vAlign w:val="bottom"/>
            <w:hideMark/>
          </w:tcPr>
          <w:p w14:paraId="10C57C76"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251</w:t>
            </w:r>
          </w:p>
        </w:tc>
        <w:tc>
          <w:tcPr>
            <w:tcW w:w="1044" w:type="dxa"/>
            <w:tcBorders>
              <w:top w:val="nil"/>
              <w:left w:val="nil"/>
              <w:bottom w:val="single" w:sz="4" w:space="0" w:color="auto"/>
              <w:right w:val="single" w:sz="4" w:space="0" w:color="auto"/>
            </w:tcBorders>
            <w:noWrap/>
            <w:vAlign w:val="bottom"/>
            <w:hideMark/>
          </w:tcPr>
          <w:p w14:paraId="03447E75"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3.1</w:t>
            </w:r>
          </w:p>
        </w:tc>
      </w:tr>
      <w:tr w:rsidR="00EB534F" w:rsidRPr="000F04A0" w14:paraId="772853AE"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14D11677"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PEGINTERFERON BETA-1A</w:t>
            </w:r>
          </w:p>
        </w:tc>
        <w:tc>
          <w:tcPr>
            <w:tcW w:w="1010" w:type="dxa"/>
            <w:tcBorders>
              <w:top w:val="nil"/>
              <w:left w:val="nil"/>
              <w:bottom w:val="single" w:sz="4" w:space="0" w:color="auto"/>
              <w:right w:val="single" w:sz="4" w:space="0" w:color="auto"/>
            </w:tcBorders>
            <w:noWrap/>
            <w:vAlign w:val="bottom"/>
            <w:hideMark/>
          </w:tcPr>
          <w:p w14:paraId="345795FE"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205</w:t>
            </w:r>
          </w:p>
        </w:tc>
        <w:tc>
          <w:tcPr>
            <w:tcW w:w="1044" w:type="dxa"/>
            <w:tcBorders>
              <w:top w:val="nil"/>
              <w:left w:val="nil"/>
              <w:bottom w:val="single" w:sz="4" w:space="0" w:color="auto"/>
              <w:right w:val="single" w:sz="4" w:space="0" w:color="auto"/>
            </w:tcBorders>
            <w:noWrap/>
            <w:vAlign w:val="bottom"/>
            <w:hideMark/>
          </w:tcPr>
          <w:p w14:paraId="1F22050C"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2.5</w:t>
            </w:r>
          </w:p>
        </w:tc>
      </w:tr>
      <w:tr w:rsidR="00EB534F" w:rsidRPr="000F04A0" w14:paraId="32645F6F"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611F2E7F"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TERIFLUNOMIDE</w:t>
            </w:r>
          </w:p>
        </w:tc>
        <w:tc>
          <w:tcPr>
            <w:tcW w:w="1010" w:type="dxa"/>
            <w:tcBorders>
              <w:top w:val="nil"/>
              <w:left w:val="nil"/>
              <w:bottom w:val="single" w:sz="4" w:space="0" w:color="auto"/>
              <w:right w:val="single" w:sz="4" w:space="0" w:color="auto"/>
            </w:tcBorders>
            <w:noWrap/>
            <w:vAlign w:val="bottom"/>
            <w:hideMark/>
          </w:tcPr>
          <w:p w14:paraId="0447BABF"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162</w:t>
            </w:r>
          </w:p>
        </w:tc>
        <w:tc>
          <w:tcPr>
            <w:tcW w:w="1044" w:type="dxa"/>
            <w:tcBorders>
              <w:top w:val="nil"/>
              <w:left w:val="nil"/>
              <w:bottom w:val="single" w:sz="4" w:space="0" w:color="auto"/>
              <w:right w:val="single" w:sz="4" w:space="0" w:color="auto"/>
            </w:tcBorders>
            <w:noWrap/>
            <w:vAlign w:val="bottom"/>
            <w:hideMark/>
          </w:tcPr>
          <w:p w14:paraId="4ED3E77C"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2.0</w:t>
            </w:r>
          </w:p>
        </w:tc>
      </w:tr>
      <w:tr w:rsidR="00EB534F" w:rsidRPr="000F04A0" w14:paraId="04CA4755"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4FADE191"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FINGOLIMOD</w:t>
            </w:r>
          </w:p>
        </w:tc>
        <w:tc>
          <w:tcPr>
            <w:tcW w:w="1010" w:type="dxa"/>
            <w:tcBorders>
              <w:top w:val="nil"/>
              <w:left w:val="nil"/>
              <w:bottom w:val="single" w:sz="4" w:space="0" w:color="auto"/>
              <w:right w:val="single" w:sz="4" w:space="0" w:color="auto"/>
            </w:tcBorders>
            <w:noWrap/>
            <w:vAlign w:val="bottom"/>
            <w:hideMark/>
          </w:tcPr>
          <w:p w14:paraId="5CB35303"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159</w:t>
            </w:r>
          </w:p>
        </w:tc>
        <w:tc>
          <w:tcPr>
            <w:tcW w:w="1044" w:type="dxa"/>
            <w:tcBorders>
              <w:top w:val="nil"/>
              <w:left w:val="nil"/>
              <w:bottom w:val="single" w:sz="4" w:space="0" w:color="auto"/>
              <w:right w:val="single" w:sz="4" w:space="0" w:color="auto"/>
            </w:tcBorders>
            <w:noWrap/>
            <w:vAlign w:val="bottom"/>
            <w:hideMark/>
          </w:tcPr>
          <w:p w14:paraId="66848409"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1.9</w:t>
            </w:r>
          </w:p>
        </w:tc>
      </w:tr>
      <w:tr w:rsidR="00EB534F" w:rsidRPr="000F04A0" w14:paraId="12C4413A"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5F1F373B" w14:textId="6223ED7E"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NATALIZUMAB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OFATUMUMAB</w:t>
            </w:r>
          </w:p>
        </w:tc>
        <w:tc>
          <w:tcPr>
            <w:tcW w:w="1010" w:type="dxa"/>
            <w:tcBorders>
              <w:top w:val="nil"/>
              <w:left w:val="nil"/>
              <w:bottom w:val="single" w:sz="4" w:space="0" w:color="auto"/>
              <w:right w:val="single" w:sz="4" w:space="0" w:color="auto"/>
            </w:tcBorders>
            <w:noWrap/>
            <w:vAlign w:val="bottom"/>
            <w:hideMark/>
          </w:tcPr>
          <w:p w14:paraId="4B96CAD8"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146</w:t>
            </w:r>
          </w:p>
        </w:tc>
        <w:tc>
          <w:tcPr>
            <w:tcW w:w="1044" w:type="dxa"/>
            <w:tcBorders>
              <w:top w:val="nil"/>
              <w:left w:val="nil"/>
              <w:bottom w:val="single" w:sz="4" w:space="0" w:color="auto"/>
              <w:right w:val="single" w:sz="4" w:space="0" w:color="auto"/>
            </w:tcBorders>
            <w:noWrap/>
            <w:vAlign w:val="bottom"/>
            <w:hideMark/>
          </w:tcPr>
          <w:p w14:paraId="72F09655"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1.8</w:t>
            </w:r>
          </w:p>
        </w:tc>
      </w:tr>
      <w:tr w:rsidR="00EB534F" w:rsidRPr="000F04A0" w14:paraId="6E3F4A4D"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0E071BC6"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DIROXIMEL FUMARATE</w:t>
            </w:r>
          </w:p>
        </w:tc>
        <w:tc>
          <w:tcPr>
            <w:tcW w:w="1010" w:type="dxa"/>
            <w:tcBorders>
              <w:top w:val="nil"/>
              <w:left w:val="nil"/>
              <w:bottom w:val="single" w:sz="4" w:space="0" w:color="auto"/>
              <w:right w:val="single" w:sz="4" w:space="0" w:color="auto"/>
            </w:tcBorders>
            <w:noWrap/>
            <w:vAlign w:val="bottom"/>
            <w:hideMark/>
          </w:tcPr>
          <w:p w14:paraId="41C13C44"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138</w:t>
            </w:r>
          </w:p>
        </w:tc>
        <w:tc>
          <w:tcPr>
            <w:tcW w:w="1044" w:type="dxa"/>
            <w:tcBorders>
              <w:top w:val="nil"/>
              <w:left w:val="nil"/>
              <w:bottom w:val="single" w:sz="4" w:space="0" w:color="auto"/>
              <w:right w:val="single" w:sz="4" w:space="0" w:color="auto"/>
            </w:tcBorders>
            <w:noWrap/>
            <w:vAlign w:val="bottom"/>
            <w:hideMark/>
          </w:tcPr>
          <w:p w14:paraId="2D31E587"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1.7</w:t>
            </w:r>
          </w:p>
        </w:tc>
      </w:tr>
      <w:tr w:rsidR="00EB534F" w:rsidRPr="000F04A0" w14:paraId="69B256DD"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0D125926" w14:textId="04CDC48E"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OCRELIZUMAB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OFATUMUMAB</w:t>
            </w:r>
          </w:p>
        </w:tc>
        <w:tc>
          <w:tcPr>
            <w:tcW w:w="1010" w:type="dxa"/>
            <w:tcBorders>
              <w:top w:val="nil"/>
              <w:left w:val="nil"/>
              <w:bottom w:val="single" w:sz="4" w:space="0" w:color="auto"/>
              <w:right w:val="single" w:sz="4" w:space="0" w:color="auto"/>
            </w:tcBorders>
            <w:noWrap/>
            <w:vAlign w:val="bottom"/>
            <w:hideMark/>
          </w:tcPr>
          <w:p w14:paraId="13F2ACF2"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108</w:t>
            </w:r>
          </w:p>
        </w:tc>
        <w:tc>
          <w:tcPr>
            <w:tcW w:w="1044" w:type="dxa"/>
            <w:tcBorders>
              <w:top w:val="nil"/>
              <w:left w:val="nil"/>
              <w:bottom w:val="single" w:sz="4" w:space="0" w:color="auto"/>
              <w:right w:val="single" w:sz="4" w:space="0" w:color="auto"/>
            </w:tcBorders>
            <w:noWrap/>
            <w:vAlign w:val="bottom"/>
            <w:hideMark/>
          </w:tcPr>
          <w:p w14:paraId="5FE184D9"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1.3</w:t>
            </w:r>
          </w:p>
        </w:tc>
      </w:tr>
      <w:tr w:rsidR="00EB534F" w:rsidRPr="000F04A0" w14:paraId="68DEFDA7"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79BB5AE9"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GLATIRAMER ACETATE</w:t>
            </w:r>
          </w:p>
        </w:tc>
        <w:tc>
          <w:tcPr>
            <w:tcW w:w="1010" w:type="dxa"/>
            <w:tcBorders>
              <w:top w:val="nil"/>
              <w:left w:val="nil"/>
              <w:bottom w:val="single" w:sz="4" w:space="0" w:color="auto"/>
              <w:right w:val="single" w:sz="4" w:space="0" w:color="auto"/>
            </w:tcBorders>
            <w:noWrap/>
            <w:vAlign w:val="bottom"/>
            <w:hideMark/>
          </w:tcPr>
          <w:p w14:paraId="239B9BCD"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99</w:t>
            </w:r>
          </w:p>
        </w:tc>
        <w:tc>
          <w:tcPr>
            <w:tcW w:w="1044" w:type="dxa"/>
            <w:tcBorders>
              <w:top w:val="nil"/>
              <w:left w:val="nil"/>
              <w:bottom w:val="single" w:sz="4" w:space="0" w:color="auto"/>
              <w:right w:val="single" w:sz="4" w:space="0" w:color="auto"/>
            </w:tcBorders>
            <w:noWrap/>
            <w:vAlign w:val="bottom"/>
            <w:hideMark/>
          </w:tcPr>
          <w:p w14:paraId="23B4C464"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1.2</w:t>
            </w:r>
          </w:p>
        </w:tc>
      </w:tr>
      <w:tr w:rsidR="00EB534F" w:rsidRPr="000F04A0" w14:paraId="0B766A2F"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4DB5DAE4"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OZANIMOD</w:t>
            </w:r>
          </w:p>
        </w:tc>
        <w:tc>
          <w:tcPr>
            <w:tcW w:w="1010" w:type="dxa"/>
            <w:tcBorders>
              <w:top w:val="nil"/>
              <w:left w:val="nil"/>
              <w:bottom w:val="single" w:sz="4" w:space="0" w:color="auto"/>
              <w:right w:val="single" w:sz="4" w:space="0" w:color="auto"/>
            </w:tcBorders>
            <w:noWrap/>
            <w:vAlign w:val="bottom"/>
            <w:hideMark/>
          </w:tcPr>
          <w:p w14:paraId="549B33E5"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66</w:t>
            </w:r>
          </w:p>
        </w:tc>
        <w:tc>
          <w:tcPr>
            <w:tcW w:w="1044" w:type="dxa"/>
            <w:tcBorders>
              <w:top w:val="nil"/>
              <w:left w:val="nil"/>
              <w:bottom w:val="single" w:sz="4" w:space="0" w:color="auto"/>
              <w:right w:val="single" w:sz="4" w:space="0" w:color="auto"/>
            </w:tcBorders>
            <w:noWrap/>
            <w:vAlign w:val="bottom"/>
            <w:hideMark/>
          </w:tcPr>
          <w:p w14:paraId="6122B494"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0.8</w:t>
            </w:r>
          </w:p>
        </w:tc>
      </w:tr>
      <w:tr w:rsidR="00EB534F" w:rsidRPr="000F04A0" w14:paraId="6C3D893A"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58D44D70" w14:textId="7113106C"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DIMETHYL FUMARATE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OFATUMUMAB</w:t>
            </w:r>
          </w:p>
        </w:tc>
        <w:tc>
          <w:tcPr>
            <w:tcW w:w="1010" w:type="dxa"/>
            <w:tcBorders>
              <w:top w:val="nil"/>
              <w:left w:val="nil"/>
              <w:bottom w:val="single" w:sz="4" w:space="0" w:color="auto"/>
              <w:right w:val="single" w:sz="4" w:space="0" w:color="auto"/>
            </w:tcBorders>
            <w:noWrap/>
            <w:vAlign w:val="bottom"/>
            <w:hideMark/>
          </w:tcPr>
          <w:p w14:paraId="63AB9CA6"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49</w:t>
            </w:r>
          </w:p>
        </w:tc>
        <w:tc>
          <w:tcPr>
            <w:tcW w:w="1044" w:type="dxa"/>
            <w:tcBorders>
              <w:top w:val="nil"/>
              <w:left w:val="nil"/>
              <w:bottom w:val="single" w:sz="4" w:space="0" w:color="auto"/>
              <w:right w:val="single" w:sz="4" w:space="0" w:color="auto"/>
            </w:tcBorders>
            <w:noWrap/>
            <w:vAlign w:val="bottom"/>
            <w:hideMark/>
          </w:tcPr>
          <w:p w14:paraId="49A579C6"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0.6</w:t>
            </w:r>
          </w:p>
        </w:tc>
      </w:tr>
      <w:tr w:rsidR="00EB534F" w:rsidRPr="000F04A0" w14:paraId="5B9394A3"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0FC67048"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ALEMTUZUMAB</w:t>
            </w:r>
          </w:p>
        </w:tc>
        <w:tc>
          <w:tcPr>
            <w:tcW w:w="1010" w:type="dxa"/>
            <w:tcBorders>
              <w:top w:val="nil"/>
              <w:left w:val="nil"/>
              <w:bottom w:val="single" w:sz="4" w:space="0" w:color="auto"/>
              <w:right w:val="single" w:sz="4" w:space="0" w:color="auto"/>
            </w:tcBorders>
            <w:noWrap/>
            <w:vAlign w:val="bottom"/>
            <w:hideMark/>
          </w:tcPr>
          <w:p w14:paraId="4ACE3786"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47</w:t>
            </w:r>
          </w:p>
        </w:tc>
        <w:tc>
          <w:tcPr>
            <w:tcW w:w="1044" w:type="dxa"/>
            <w:tcBorders>
              <w:top w:val="nil"/>
              <w:left w:val="nil"/>
              <w:bottom w:val="single" w:sz="4" w:space="0" w:color="auto"/>
              <w:right w:val="single" w:sz="4" w:space="0" w:color="auto"/>
            </w:tcBorders>
            <w:noWrap/>
            <w:vAlign w:val="bottom"/>
            <w:hideMark/>
          </w:tcPr>
          <w:p w14:paraId="6434E073"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0.6</w:t>
            </w:r>
          </w:p>
        </w:tc>
      </w:tr>
      <w:tr w:rsidR="00EB534F" w:rsidRPr="000F04A0" w14:paraId="42E63174"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47BA0A87" w14:textId="2E64868B"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NATALIZUMAB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CLADRIBINE</w:t>
            </w:r>
          </w:p>
        </w:tc>
        <w:tc>
          <w:tcPr>
            <w:tcW w:w="1010" w:type="dxa"/>
            <w:tcBorders>
              <w:top w:val="nil"/>
              <w:left w:val="nil"/>
              <w:bottom w:val="single" w:sz="4" w:space="0" w:color="auto"/>
              <w:right w:val="single" w:sz="4" w:space="0" w:color="auto"/>
            </w:tcBorders>
            <w:noWrap/>
            <w:vAlign w:val="bottom"/>
            <w:hideMark/>
          </w:tcPr>
          <w:p w14:paraId="4732CAAA"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37</w:t>
            </w:r>
          </w:p>
        </w:tc>
        <w:tc>
          <w:tcPr>
            <w:tcW w:w="1044" w:type="dxa"/>
            <w:tcBorders>
              <w:top w:val="nil"/>
              <w:left w:val="nil"/>
              <w:bottom w:val="single" w:sz="4" w:space="0" w:color="auto"/>
              <w:right w:val="single" w:sz="4" w:space="0" w:color="auto"/>
            </w:tcBorders>
            <w:noWrap/>
            <w:vAlign w:val="bottom"/>
            <w:hideMark/>
          </w:tcPr>
          <w:p w14:paraId="0295ABA3"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0.5</w:t>
            </w:r>
          </w:p>
        </w:tc>
      </w:tr>
      <w:tr w:rsidR="00EB534F" w:rsidRPr="000F04A0" w14:paraId="1B9FA99B"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1404138D" w14:textId="6B97E353"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DIMETHYL FUMARATE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OCRELIZUMAB</w:t>
            </w:r>
          </w:p>
        </w:tc>
        <w:tc>
          <w:tcPr>
            <w:tcW w:w="1010" w:type="dxa"/>
            <w:tcBorders>
              <w:top w:val="nil"/>
              <w:left w:val="nil"/>
              <w:bottom w:val="single" w:sz="4" w:space="0" w:color="auto"/>
              <w:right w:val="single" w:sz="4" w:space="0" w:color="auto"/>
            </w:tcBorders>
            <w:noWrap/>
            <w:vAlign w:val="bottom"/>
            <w:hideMark/>
          </w:tcPr>
          <w:p w14:paraId="7B6EBB9F"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33</w:t>
            </w:r>
          </w:p>
        </w:tc>
        <w:tc>
          <w:tcPr>
            <w:tcW w:w="1044" w:type="dxa"/>
            <w:tcBorders>
              <w:top w:val="nil"/>
              <w:left w:val="nil"/>
              <w:bottom w:val="single" w:sz="4" w:space="0" w:color="auto"/>
              <w:right w:val="single" w:sz="4" w:space="0" w:color="auto"/>
            </w:tcBorders>
            <w:noWrap/>
            <w:vAlign w:val="bottom"/>
            <w:hideMark/>
          </w:tcPr>
          <w:p w14:paraId="6220B3D4"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0.4</w:t>
            </w:r>
          </w:p>
        </w:tc>
      </w:tr>
      <w:tr w:rsidR="00EB534F" w:rsidRPr="000F04A0" w14:paraId="65AFE417"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573A4DC3" w14:textId="163E13BD"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CLADRIBINE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OCRELIZUMAB</w:t>
            </w:r>
          </w:p>
        </w:tc>
        <w:tc>
          <w:tcPr>
            <w:tcW w:w="1010" w:type="dxa"/>
            <w:tcBorders>
              <w:top w:val="nil"/>
              <w:left w:val="nil"/>
              <w:bottom w:val="single" w:sz="4" w:space="0" w:color="auto"/>
              <w:right w:val="single" w:sz="4" w:space="0" w:color="auto"/>
            </w:tcBorders>
            <w:noWrap/>
            <w:vAlign w:val="bottom"/>
            <w:hideMark/>
          </w:tcPr>
          <w:p w14:paraId="72C6235A"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30</w:t>
            </w:r>
          </w:p>
        </w:tc>
        <w:tc>
          <w:tcPr>
            <w:tcW w:w="1044" w:type="dxa"/>
            <w:tcBorders>
              <w:top w:val="nil"/>
              <w:left w:val="nil"/>
              <w:bottom w:val="single" w:sz="4" w:space="0" w:color="auto"/>
              <w:right w:val="single" w:sz="4" w:space="0" w:color="auto"/>
            </w:tcBorders>
            <w:noWrap/>
            <w:vAlign w:val="bottom"/>
            <w:hideMark/>
          </w:tcPr>
          <w:p w14:paraId="36473B04"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0.4</w:t>
            </w:r>
          </w:p>
        </w:tc>
      </w:tr>
      <w:tr w:rsidR="00EB534F" w:rsidRPr="000F04A0" w14:paraId="7EEC6BC8"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27CE25D1" w14:textId="5DFAB609"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CLADRIBINE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OFATUMUMAB</w:t>
            </w:r>
          </w:p>
        </w:tc>
        <w:tc>
          <w:tcPr>
            <w:tcW w:w="1010" w:type="dxa"/>
            <w:tcBorders>
              <w:top w:val="nil"/>
              <w:left w:val="nil"/>
              <w:bottom w:val="single" w:sz="4" w:space="0" w:color="auto"/>
              <w:right w:val="single" w:sz="4" w:space="0" w:color="auto"/>
            </w:tcBorders>
            <w:noWrap/>
            <w:vAlign w:val="bottom"/>
            <w:hideMark/>
          </w:tcPr>
          <w:p w14:paraId="2A8D8623"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25</w:t>
            </w:r>
          </w:p>
        </w:tc>
        <w:tc>
          <w:tcPr>
            <w:tcW w:w="1044" w:type="dxa"/>
            <w:tcBorders>
              <w:top w:val="nil"/>
              <w:left w:val="nil"/>
              <w:bottom w:val="single" w:sz="4" w:space="0" w:color="auto"/>
              <w:right w:val="single" w:sz="4" w:space="0" w:color="auto"/>
            </w:tcBorders>
            <w:noWrap/>
            <w:vAlign w:val="bottom"/>
            <w:hideMark/>
          </w:tcPr>
          <w:p w14:paraId="125FC3EF"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0.3</w:t>
            </w:r>
          </w:p>
        </w:tc>
      </w:tr>
      <w:tr w:rsidR="00EB534F" w:rsidRPr="000F04A0" w14:paraId="2EECBC86"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4EEFCE31" w14:textId="74624D38"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DIMETHYL FUMARATE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DIROXIMEL FUMARATE</w:t>
            </w:r>
          </w:p>
        </w:tc>
        <w:tc>
          <w:tcPr>
            <w:tcW w:w="1010" w:type="dxa"/>
            <w:tcBorders>
              <w:top w:val="nil"/>
              <w:left w:val="nil"/>
              <w:bottom w:val="single" w:sz="4" w:space="0" w:color="auto"/>
              <w:right w:val="single" w:sz="4" w:space="0" w:color="auto"/>
            </w:tcBorders>
            <w:noWrap/>
            <w:vAlign w:val="bottom"/>
            <w:hideMark/>
          </w:tcPr>
          <w:p w14:paraId="60C6156D"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25</w:t>
            </w:r>
          </w:p>
        </w:tc>
        <w:tc>
          <w:tcPr>
            <w:tcW w:w="1044" w:type="dxa"/>
            <w:tcBorders>
              <w:top w:val="nil"/>
              <w:left w:val="nil"/>
              <w:bottom w:val="single" w:sz="4" w:space="0" w:color="auto"/>
              <w:right w:val="single" w:sz="4" w:space="0" w:color="auto"/>
            </w:tcBorders>
            <w:noWrap/>
            <w:vAlign w:val="bottom"/>
            <w:hideMark/>
          </w:tcPr>
          <w:p w14:paraId="2A30D875"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0.3</w:t>
            </w:r>
          </w:p>
        </w:tc>
      </w:tr>
      <w:tr w:rsidR="00EB534F" w:rsidRPr="000F04A0" w14:paraId="247D23AF"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4B09271D" w14:textId="34D59693"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OFATUMUMAB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OCRELIZUMAB</w:t>
            </w:r>
          </w:p>
        </w:tc>
        <w:tc>
          <w:tcPr>
            <w:tcW w:w="1010" w:type="dxa"/>
            <w:tcBorders>
              <w:top w:val="nil"/>
              <w:left w:val="nil"/>
              <w:bottom w:val="single" w:sz="4" w:space="0" w:color="auto"/>
              <w:right w:val="single" w:sz="4" w:space="0" w:color="auto"/>
            </w:tcBorders>
            <w:noWrap/>
            <w:vAlign w:val="bottom"/>
            <w:hideMark/>
          </w:tcPr>
          <w:p w14:paraId="392E537C"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25</w:t>
            </w:r>
          </w:p>
        </w:tc>
        <w:tc>
          <w:tcPr>
            <w:tcW w:w="1044" w:type="dxa"/>
            <w:tcBorders>
              <w:top w:val="nil"/>
              <w:left w:val="nil"/>
              <w:bottom w:val="single" w:sz="4" w:space="0" w:color="auto"/>
              <w:right w:val="single" w:sz="4" w:space="0" w:color="auto"/>
            </w:tcBorders>
            <w:noWrap/>
            <w:vAlign w:val="bottom"/>
            <w:hideMark/>
          </w:tcPr>
          <w:p w14:paraId="41458E9E"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0.3</w:t>
            </w:r>
          </w:p>
        </w:tc>
      </w:tr>
      <w:tr w:rsidR="00EB534F" w:rsidRPr="000F04A0" w14:paraId="7967F21A"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6FCEB3B5" w14:textId="130C4BDF"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OCRELIZUMAB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NATALIZUMAB</w:t>
            </w:r>
          </w:p>
        </w:tc>
        <w:tc>
          <w:tcPr>
            <w:tcW w:w="1010" w:type="dxa"/>
            <w:tcBorders>
              <w:top w:val="nil"/>
              <w:left w:val="nil"/>
              <w:bottom w:val="single" w:sz="4" w:space="0" w:color="auto"/>
              <w:right w:val="single" w:sz="4" w:space="0" w:color="auto"/>
            </w:tcBorders>
            <w:noWrap/>
            <w:vAlign w:val="bottom"/>
            <w:hideMark/>
          </w:tcPr>
          <w:p w14:paraId="67D11D5D"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24</w:t>
            </w:r>
          </w:p>
        </w:tc>
        <w:tc>
          <w:tcPr>
            <w:tcW w:w="1044" w:type="dxa"/>
            <w:tcBorders>
              <w:top w:val="nil"/>
              <w:left w:val="nil"/>
              <w:bottom w:val="single" w:sz="4" w:space="0" w:color="auto"/>
              <w:right w:val="single" w:sz="4" w:space="0" w:color="auto"/>
            </w:tcBorders>
            <w:noWrap/>
            <w:vAlign w:val="bottom"/>
            <w:hideMark/>
          </w:tcPr>
          <w:p w14:paraId="5C60674E"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0.3</w:t>
            </w:r>
          </w:p>
        </w:tc>
      </w:tr>
      <w:tr w:rsidR="00EB534F" w:rsidRPr="000F04A0" w14:paraId="647C7F32"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23BFB653" w14:textId="0E924ADF"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DIMETHYL FUMARATE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CLADRIBINE</w:t>
            </w:r>
          </w:p>
        </w:tc>
        <w:tc>
          <w:tcPr>
            <w:tcW w:w="1010" w:type="dxa"/>
            <w:tcBorders>
              <w:top w:val="nil"/>
              <w:left w:val="nil"/>
              <w:bottom w:val="single" w:sz="4" w:space="0" w:color="auto"/>
              <w:right w:val="single" w:sz="4" w:space="0" w:color="auto"/>
            </w:tcBorders>
            <w:noWrap/>
            <w:vAlign w:val="bottom"/>
            <w:hideMark/>
          </w:tcPr>
          <w:p w14:paraId="0CC250C4"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20</w:t>
            </w:r>
          </w:p>
        </w:tc>
        <w:tc>
          <w:tcPr>
            <w:tcW w:w="1044" w:type="dxa"/>
            <w:tcBorders>
              <w:top w:val="nil"/>
              <w:left w:val="nil"/>
              <w:bottom w:val="single" w:sz="4" w:space="0" w:color="auto"/>
              <w:right w:val="single" w:sz="4" w:space="0" w:color="auto"/>
            </w:tcBorders>
            <w:noWrap/>
            <w:vAlign w:val="bottom"/>
            <w:hideMark/>
          </w:tcPr>
          <w:p w14:paraId="15A1350A"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4322E02B"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172894B5" w14:textId="1D910CEB"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DIMETHYL FUMARATE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NATALIZUMAB</w:t>
            </w:r>
          </w:p>
        </w:tc>
        <w:tc>
          <w:tcPr>
            <w:tcW w:w="1010" w:type="dxa"/>
            <w:tcBorders>
              <w:top w:val="nil"/>
              <w:left w:val="nil"/>
              <w:bottom w:val="single" w:sz="4" w:space="0" w:color="auto"/>
              <w:right w:val="single" w:sz="4" w:space="0" w:color="auto"/>
            </w:tcBorders>
            <w:noWrap/>
            <w:vAlign w:val="bottom"/>
            <w:hideMark/>
          </w:tcPr>
          <w:p w14:paraId="0ADD9AAE"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20</w:t>
            </w:r>
          </w:p>
        </w:tc>
        <w:tc>
          <w:tcPr>
            <w:tcW w:w="1044" w:type="dxa"/>
            <w:tcBorders>
              <w:top w:val="nil"/>
              <w:left w:val="nil"/>
              <w:bottom w:val="single" w:sz="4" w:space="0" w:color="auto"/>
              <w:right w:val="single" w:sz="4" w:space="0" w:color="auto"/>
            </w:tcBorders>
            <w:noWrap/>
            <w:vAlign w:val="bottom"/>
            <w:hideMark/>
          </w:tcPr>
          <w:p w14:paraId="7283BE27"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7D049450"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2BFEB128" w14:textId="777F931C"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OCRELIZUMAB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CLADRIBINE</w:t>
            </w:r>
          </w:p>
        </w:tc>
        <w:tc>
          <w:tcPr>
            <w:tcW w:w="1010" w:type="dxa"/>
            <w:tcBorders>
              <w:top w:val="nil"/>
              <w:left w:val="nil"/>
              <w:bottom w:val="single" w:sz="4" w:space="0" w:color="auto"/>
              <w:right w:val="single" w:sz="4" w:space="0" w:color="auto"/>
            </w:tcBorders>
            <w:noWrap/>
            <w:vAlign w:val="bottom"/>
            <w:hideMark/>
          </w:tcPr>
          <w:p w14:paraId="64DF15B5"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20</w:t>
            </w:r>
          </w:p>
        </w:tc>
        <w:tc>
          <w:tcPr>
            <w:tcW w:w="1044" w:type="dxa"/>
            <w:tcBorders>
              <w:top w:val="nil"/>
              <w:left w:val="nil"/>
              <w:bottom w:val="single" w:sz="4" w:space="0" w:color="auto"/>
              <w:right w:val="single" w:sz="4" w:space="0" w:color="auto"/>
            </w:tcBorders>
            <w:noWrap/>
            <w:vAlign w:val="bottom"/>
            <w:hideMark/>
          </w:tcPr>
          <w:p w14:paraId="5D50BA36"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64AB6821"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33BAB414" w14:textId="7777777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INTERFERON BETA-1B</w:t>
            </w:r>
          </w:p>
        </w:tc>
        <w:tc>
          <w:tcPr>
            <w:tcW w:w="1010" w:type="dxa"/>
            <w:tcBorders>
              <w:top w:val="nil"/>
              <w:left w:val="nil"/>
              <w:bottom w:val="single" w:sz="4" w:space="0" w:color="auto"/>
              <w:right w:val="single" w:sz="4" w:space="0" w:color="auto"/>
            </w:tcBorders>
            <w:noWrap/>
            <w:vAlign w:val="bottom"/>
            <w:hideMark/>
          </w:tcPr>
          <w:p w14:paraId="1C9B3637"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19</w:t>
            </w:r>
          </w:p>
        </w:tc>
        <w:tc>
          <w:tcPr>
            <w:tcW w:w="1044" w:type="dxa"/>
            <w:tcBorders>
              <w:top w:val="nil"/>
              <w:left w:val="nil"/>
              <w:bottom w:val="single" w:sz="4" w:space="0" w:color="auto"/>
              <w:right w:val="single" w:sz="4" w:space="0" w:color="auto"/>
            </w:tcBorders>
            <w:noWrap/>
            <w:vAlign w:val="bottom"/>
            <w:hideMark/>
          </w:tcPr>
          <w:p w14:paraId="097B9262"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2033E1AD"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1EC6B27A" w14:textId="71232A7D"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OFATUMUMAB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NATALIZUMAB</w:t>
            </w:r>
          </w:p>
        </w:tc>
        <w:tc>
          <w:tcPr>
            <w:tcW w:w="1010" w:type="dxa"/>
            <w:tcBorders>
              <w:top w:val="nil"/>
              <w:left w:val="nil"/>
              <w:bottom w:val="single" w:sz="4" w:space="0" w:color="auto"/>
              <w:right w:val="single" w:sz="4" w:space="0" w:color="auto"/>
            </w:tcBorders>
            <w:noWrap/>
            <w:vAlign w:val="bottom"/>
            <w:hideMark/>
          </w:tcPr>
          <w:p w14:paraId="47B9A8CB"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19</w:t>
            </w:r>
          </w:p>
        </w:tc>
        <w:tc>
          <w:tcPr>
            <w:tcW w:w="1044" w:type="dxa"/>
            <w:tcBorders>
              <w:top w:val="nil"/>
              <w:left w:val="nil"/>
              <w:bottom w:val="single" w:sz="4" w:space="0" w:color="auto"/>
              <w:right w:val="single" w:sz="4" w:space="0" w:color="auto"/>
            </w:tcBorders>
            <w:noWrap/>
            <w:vAlign w:val="bottom"/>
            <w:hideMark/>
          </w:tcPr>
          <w:p w14:paraId="388D4F9C"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71E40AD8"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016560B3" w14:textId="72EF3FE0"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CLADRIBINE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NATALIZUMAB</w:t>
            </w:r>
          </w:p>
        </w:tc>
        <w:tc>
          <w:tcPr>
            <w:tcW w:w="1010" w:type="dxa"/>
            <w:tcBorders>
              <w:top w:val="nil"/>
              <w:left w:val="nil"/>
              <w:bottom w:val="single" w:sz="4" w:space="0" w:color="auto"/>
              <w:right w:val="single" w:sz="4" w:space="0" w:color="auto"/>
            </w:tcBorders>
            <w:noWrap/>
            <w:vAlign w:val="bottom"/>
            <w:hideMark/>
          </w:tcPr>
          <w:p w14:paraId="293B6502"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18</w:t>
            </w:r>
          </w:p>
        </w:tc>
        <w:tc>
          <w:tcPr>
            <w:tcW w:w="1044" w:type="dxa"/>
            <w:tcBorders>
              <w:top w:val="nil"/>
              <w:left w:val="nil"/>
              <w:bottom w:val="single" w:sz="4" w:space="0" w:color="auto"/>
              <w:right w:val="single" w:sz="4" w:space="0" w:color="auto"/>
            </w:tcBorders>
            <w:noWrap/>
            <w:vAlign w:val="bottom"/>
            <w:hideMark/>
          </w:tcPr>
          <w:p w14:paraId="669EB71F"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20662326"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5480FC40" w14:textId="2BE4ACF0"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FINGOLIMOD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OCRELIZUMAB</w:t>
            </w:r>
          </w:p>
        </w:tc>
        <w:tc>
          <w:tcPr>
            <w:tcW w:w="1010" w:type="dxa"/>
            <w:tcBorders>
              <w:top w:val="nil"/>
              <w:left w:val="nil"/>
              <w:bottom w:val="single" w:sz="4" w:space="0" w:color="auto"/>
              <w:right w:val="single" w:sz="4" w:space="0" w:color="auto"/>
            </w:tcBorders>
            <w:noWrap/>
            <w:vAlign w:val="bottom"/>
            <w:hideMark/>
          </w:tcPr>
          <w:p w14:paraId="7359FFC9"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18</w:t>
            </w:r>
          </w:p>
        </w:tc>
        <w:tc>
          <w:tcPr>
            <w:tcW w:w="1044" w:type="dxa"/>
            <w:tcBorders>
              <w:top w:val="nil"/>
              <w:left w:val="nil"/>
              <w:bottom w:val="single" w:sz="4" w:space="0" w:color="auto"/>
              <w:right w:val="single" w:sz="4" w:space="0" w:color="auto"/>
            </w:tcBorders>
            <w:noWrap/>
            <w:vAlign w:val="bottom"/>
            <w:hideMark/>
          </w:tcPr>
          <w:p w14:paraId="5EB6A85F"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3A5F23CA"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095F2C18" w14:textId="56D24D3B"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FINGOLIMOD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NATALIZUMAB</w:t>
            </w:r>
          </w:p>
        </w:tc>
        <w:tc>
          <w:tcPr>
            <w:tcW w:w="1010" w:type="dxa"/>
            <w:tcBorders>
              <w:top w:val="nil"/>
              <w:left w:val="nil"/>
              <w:bottom w:val="single" w:sz="4" w:space="0" w:color="auto"/>
              <w:right w:val="single" w:sz="4" w:space="0" w:color="auto"/>
            </w:tcBorders>
            <w:noWrap/>
            <w:vAlign w:val="bottom"/>
            <w:hideMark/>
          </w:tcPr>
          <w:p w14:paraId="232B4C8B"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17</w:t>
            </w:r>
          </w:p>
        </w:tc>
        <w:tc>
          <w:tcPr>
            <w:tcW w:w="1044" w:type="dxa"/>
            <w:tcBorders>
              <w:top w:val="nil"/>
              <w:left w:val="nil"/>
              <w:bottom w:val="single" w:sz="4" w:space="0" w:color="auto"/>
              <w:right w:val="single" w:sz="4" w:space="0" w:color="auto"/>
            </w:tcBorders>
            <w:noWrap/>
            <w:vAlign w:val="bottom"/>
            <w:hideMark/>
          </w:tcPr>
          <w:p w14:paraId="4F243056"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02661DF6"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6EECE056" w14:textId="07767975"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TERIFLUNOMIDE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CLADRIBINE</w:t>
            </w:r>
          </w:p>
        </w:tc>
        <w:tc>
          <w:tcPr>
            <w:tcW w:w="1010" w:type="dxa"/>
            <w:tcBorders>
              <w:top w:val="nil"/>
              <w:left w:val="nil"/>
              <w:bottom w:val="single" w:sz="4" w:space="0" w:color="auto"/>
              <w:right w:val="single" w:sz="4" w:space="0" w:color="auto"/>
            </w:tcBorders>
            <w:noWrap/>
            <w:vAlign w:val="bottom"/>
            <w:hideMark/>
          </w:tcPr>
          <w:p w14:paraId="106728EC"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17</w:t>
            </w:r>
          </w:p>
        </w:tc>
        <w:tc>
          <w:tcPr>
            <w:tcW w:w="1044" w:type="dxa"/>
            <w:tcBorders>
              <w:top w:val="nil"/>
              <w:left w:val="nil"/>
              <w:bottom w:val="single" w:sz="4" w:space="0" w:color="auto"/>
              <w:right w:val="single" w:sz="4" w:space="0" w:color="auto"/>
            </w:tcBorders>
            <w:noWrap/>
            <w:vAlign w:val="bottom"/>
            <w:hideMark/>
          </w:tcPr>
          <w:p w14:paraId="6099ABF1"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281642E8"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22981EF1" w14:textId="0195B640"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DIROXIMEL FUMARATE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OFATUMUMAB</w:t>
            </w:r>
          </w:p>
        </w:tc>
        <w:tc>
          <w:tcPr>
            <w:tcW w:w="1010" w:type="dxa"/>
            <w:tcBorders>
              <w:top w:val="nil"/>
              <w:left w:val="nil"/>
              <w:bottom w:val="single" w:sz="4" w:space="0" w:color="auto"/>
              <w:right w:val="single" w:sz="4" w:space="0" w:color="auto"/>
            </w:tcBorders>
            <w:noWrap/>
            <w:vAlign w:val="bottom"/>
            <w:hideMark/>
          </w:tcPr>
          <w:p w14:paraId="40E7BC59"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16</w:t>
            </w:r>
          </w:p>
        </w:tc>
        <w:tc>
          <w:tcPr>
            <w:tcW w:w="1044" w:type="dxa"/>
            <w:tcBorders>
              <w:top w:val="nil"/>
              <w:left w:val="nil"/>
              <w:bottom w:val="single" w:sz="4" w:space="0" w:color="auto"/>
              <w:right w:val="single" w:sz="4" w:space="0" w:color="auto"/>
            </w:tcBorders>
            <w:noWrap/>
            <w:vAlign w:val="bottom"/>
            <w:hideMark/>
          </w:tcPr>
          <w:p w14:paraId="1531870A"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6732FF0B"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79118190" w14:textId="426E4FD5"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FINGOLIMOD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OFATUMUMAB</w:t>
            </w:r>
          </w:p>
        </w:tc>
        <w:tc>
          <w:tcPr>
            <w:tcW w:w="1010" w:type="dxa"/>
            <w:tcBorders>
              <w:top w:val="nil"/>
              <w:left w:val="nil"/>
              <w:bottom w:val="single" w:sz="4" w:space="0" w:color="auto"/>
              <w:right w:val="single" w:sz="4" w:space="0" w:color="auto"/>
            </w:tcBorders>
            <w:noWrap/>
            <w:vAlign w:val="bottom"/>
            <w:hideMark/>
          </w:tcPr>
          <w:p w14:paraId="2FA475DD"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14</w:t>
            </w:r>
          </w:p>
        </w:tc>
        <w:tc>
          <w:tcPr>
            <w:tcW w:w="1044" w:type="dxa"/>
            <w:tcBorders>
              <w:top w:val="nil"/>
              <w:left w:val="nil"/>
              <w:bottom w:val="single" w:sz="4" w:space="0" w:color="auto"/>
              <w:right w:val="single" w:sz="4" w:space="0" w:color="auto"/>
            </w:tcBorders>
            <w:noWrap/>
            <w:vAlign w:val="bottom"/>
            <w:hideMark/>
          </w:tcPr>
          <w:p w14:paraId="534A5F33"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43CB2A00"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2A6F28D5" w14:textId="013D6A85"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NATALIZUMAB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OCRELIZUMAB </w:t>
            </w:r>
            <w:r w:rsidR="00EA47E6">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OFATUMUMAB</w:t>
            </w:r>
          </w:p>
        </w:tc>
        <w:tc>
          <w:tcPr>
            <w:tcW w:w="1010" w:type="dxa"/>
            <w:tcBorders>
              <w:top w:val="nil"/>
              <w:left w:val="nil"/>
              <w:bottom w:val="single" w:sz="4" w:space="0" w:color="auto"/>
              <w:right w:val="single" w:sz="4" w:space="0" w:color="auto"/>
            </w:tcBorders>
            <w:noWrap/>
            <w:vAlign w:val="bottom"/>
            <w:hideMark/>
          </w:tcPr>
          <w:p w14:paraId="057E3312"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14</w:t>
            </w:r>
          </w:p>
        </w:tc>
        <w:tc>
          <w:tcPr>
            <w:tcW w:w="1044" w:type="dxa"/>
            <w:tcBorders>
              <w:top w:val="nil"/>
              <w:left w:val="nil"/>
              <w:bottom w:val="single" w:sz="4" w:space="0" w:color="auto"/>
              <w:right w:val="single" w:sz="4" w:space="0" w:color="auto"/>
            </w:tcBorders>
            <w:noWrap/>
            <w:vAlign w:val="bottom"/>
            <w:hideMark/>
          </w:tcPr>
          <w:p w14:paraId="5579FC26"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46B41CCF"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641726ED" w14:textId="3C110389"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lastRenderedPageBreak/>
              <w:t xml:space="preserve">PEGINTERFERON BETA-1A </w:t>
            </w:r>
            <w:r w:rsidR="004A6F1F">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CLADRIBINE</w:t>
            </w:r>
          </w:p>
        </w:tc>
        <w:tc>
          <w:tcPr>
            <w:tcW w:w="1010" w:type="dxa"/>
            <w:tcBorders>
              <w:top w:val="nil"/>
              <w:left w:val="nil"/>
              <w:bottom w:val="single" w:sz="4" w:space="0" w:color="auto"/>
              <w:right w:val="single" w:sz="4" w:space="0" w:color="auto"/>
            </w:tcBorders>
            <w:noWrap/>
            <w:vAlign w:val="bottom"/>
            <w:hideMark/>
          </w:tcPr>
          <w:p w14:paraId="673D45A3"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14</w:t>
            </w:r>
          </w:p>
        </w:tc>
        <w:tc>
          <w:tcPr>
            <w:tcW w:w="1044" w:type="dxa"/>
            <w:tcBorders>
              <w:top w:val="nil"/>
              <w:left w:val="nil"/>
              <w:bottom w:val="single" w:sz="4" w:space="0" w:color="auto"/>
              <w:right w:val="single" w:sz="4" w:space="0" w:color="auto"/>
            </w:tcBorders>
            <w:noWrap/>
            <w:vAlign w:val="bottom"/>
            <w:hideMark/>
          </w:tcPr>
          <w:p w14:paraId="34A55B80"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70FCC7A9"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06C20CD7" w14:textId="61DF8C12"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DIROXIMEL FUMARATE </w:t>
            </w:r>
            <w:r w:rsidR="004A6F1F">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CLADRIBINE</w:t>
            </w:r>
          </w:p>
        </w:tc>
        <w:tc>
          <w:tcPr>
            <w:tcW w:w="1010" w:type="dxa"/>
            <w:tcBorders>
              <w:top w:val="nil"/>
              <w:left w:val="nil"/>
              <w:bottom w:val="single" w:sz="4" w:space="0" w:color="auto"/>
              <w:right w:val="single" w:sz="4" w:space="0" w:color="auto"/>
            </w:tcBorders>
            <w:noWrap/>
            <w:vAlign w:val="bottom"/>
            <w:hideMark/>
          </w:tcPr>
          <w:p w14:paraId="5D734D33"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13</w:t>
            </w:r>
          </w:p>
        </w:tc>
        <w:tc>
          <w:tcPr>
            <w:tcW w:w="1044" w:type="dxa"/>
            <w:tcBorders>
              <w:top w:val="nil"/>
              <w:left w:val="nil"/>
              <w:bottom w:val="single" w:sz="4" w:space="0" w:color="auto"/>
              <w:right w:val="single" w:sz="4" w:space="0" w:color="auto"/>
            </w:tcBorders>
            <w:noWrap/>
            <w:vAlign w:val="bottom"/>
            <w:hideMark/>
          </w:tcPr>
          <w:p w14:paraId="2B65871A"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0.2</w:t>
            </w:r>
          </w:p>
        </w:tc>
      </w:tr>
      <w:tr w:rsidR="00EB534F" w:rsidRPr="000F04A0" w14:paraId="6001CB6B"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2C8488B8" w14:textId="73D59378"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SIPONIMOD </w:t>
            </w:r>
            <w:r w:rsidR="004A6F1F">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OCRELIZUMAB</w:t>
            </w:r>
          </w:p>
        </w:tc>
        <w:tc>
          <w:tcPr>
            <w:tcW w:w="1010" w:type="dxa"/>
            <w:tcBorders>
              <w:top w:val="nil"/>
              <w:left w:val="nil"/>
              <w:bottom w:val="single" w:sz="4" w:space="0" w:color="auto"/>
              <w:right w:val="single" w:sz="4" w:space="0" w:color="auto"/>
            </w:tcBorders>
            <w:noWrap/>
            <w:vAlign w:val="bottom"/>
            <w:hideMark/>
          </w:tcPr>
          <w:p w14:paraId="737DCB17"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12</w:t>
            </w:r>
          </w:p>
        </w:tc>
        <w:tc>
          <w:tcPr>
            <w:tcW w:w="1044" w:type="dxa"/>
            <w:tcBorders>
              <w:top w:val="nil"/>
              <w:left w:val="nil"/>
              <w:bottom w:val="single" w:sz="4" w:space="0" w:color="auto"/>
              <w:right w:val="single" w:sz="4" w:space="0" w:color="auto"/>
            </w:tcBorders>
            <w:noWrap/>
            <w:vAlign w:val="bottom"/>
            <w:hideMark/>
          </w:tcPr>
          <w:p w14:paraId="3BE51FCD"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0.1</w:t>
            </w:r>
          </w:p>
        </w:tc>
      </w:tr>
      <w:tr w:rsidR="00EB534F" w:rsidRPr="000F04A0" w14:paraId="25B7984E"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3FE5C0CE" w14:textId="7B4511BD"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TERIFLUNOMIDE </w:t>
            </w:r>
            <w:r w:rsidR="004A6F1F">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OFATUMUMAB</w:t>
            </w:r>
          </w:p>
        </w:tc>
        <w:tc>
          <w:tcPr>
            <w:tcW w:w="1010" w:type="dxa"/>
            <w:tcBorders>
              <w:top w:val="nil"/>
              <w:left w:val="nil"/>
              <w:bottom w:val="single" w:sz="4" w:space="0" w:color="auto"/>
              <w:right w:val="single" w:sz="4" w:space="0" w:color="auto"/>
            </w:tcBorders>
            <w:noWrap/>
            <w:vAlign w:val="bottom"/>
            <w:hideMark/>
          </w:tcPr>
          <w:p w14:paraId="6C227F1E"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12</w:t>
            </w:r>
          </w:p>
        </w:tc>
        <w:tc>
          <w:tcPr>
            <w:tcW w:w="1044" w:type="dxa"/>
            <w:tcBorders>
              <w:top w:val="nil"/>
              <w:left w:val="nil"/>
              <w:bottom w:val="single" w:sz="4" w:space="0" w:color="auto"/>
              <w:right w:val="single" w:sz="4" w:space="0" w:color="auto"/>
            </w:tcBorders>
            <w:noWrap/>
            <w:vAlign w:val="bottom"/>
            <w:hideMark/>
          </w:tcPr>
          <w:p w14:paraId="02738B67"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0.1</w:t>
            </w:r>
          </w:p>
        </w:tc>
      </w:tr>
      <w:tr w:rsidR="00EB534F" w:rsidRPr="000F04A0" w14:paraId="6287EADB"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0F5AB06C" w14:textId="7C861FCA"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GLATIRAMER ACETATE </w:t>
            </w:r>
            <w:r w:rsidR="004A6F1F">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OFATUMUMAB</w:t>
            </w:r>
          </w:p>
        </w:tc>
        <w:tc>
          <w:tcPr>
            <w:tcW w:w="1010" w:type="dxa"/>
            <w:tcBorders>
              <w:top w:val="nil"/>
              <w:left w:val="nil"/>
              <w:bottom w:val="single" w:sz="4" w:space="0" w:color="auto"/>
              <w:right w:val="single" w:sz="4" w:space="0" w:color="auto"/>
            </w:tcBorders>
            <w:noWrap/>
            <w:vAlign w:val="bottom"/>
            <w:hideMark/>
          </w:tcPr>
          <w:p w14:paraId="252EDFAD"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11</w:t>
            </w:r>
          </w:p>
        </w:tc>
        <w:tc>
          <w:tcPr>
            <w:tcW w:w="1044" w:type="dxa"/>
            <w:tcBorders>
              <w:top w:val="nil"/>
              <w:left w:val="nil"/>
              <w:bottom w:val="single" w:sz="4" w:space="0" w:color="auto"/>
              <w:right w:val="single" w:sz="4" w:space="0" w:color="auto"/>
            </w:tcBorders>
            <w:noWrap/>
            <w:vAlign w:val="bottom"/>
            <w:hideMark/>
          </w:tcPr>
          <w:p w14:paraId="1247AB6B"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0.1</w:t>
            </w:r>
          </w:p>
        </w:tc>
      </w:tr>
      <w:tr w:rsidR="00EB534F" w:rsidRPr="000F04A0" w14:paraId="062D56BE"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1349BC3D" w14:textId="3990A8F7" w:rsidR="00EB534F" w:rsidRPr="000F04A0" w:rsidRDefault="00EB534F" w:rsidP="007E7B02">
            <w:pPr>
              <w:spacing w:after="0" w:line="240" w:lineRule="auto"/>
              <w:rPr>
                <w:rFonts w:ascii="Calibri" w:eastAsia="Times New Roman" w:hAnsi="Calibri" w:cs="Calibri"/>
                <w:color w:val="000000"/>
                <w:lang w:eastAsia="en-AU"/>
              </w:rPr>
            </w:pPr>
            <w:r w:rsidRPr="000F04A0">
              <w:rPr>
                <w:rFonts w:ascii="Calibri" w:eastAsia="Times New Roman" w:hAnsi="Calibri" w:cs="Calibri"/>
                <w:color w:val="000000"/>
                <w:lang w:eastAsia="en-AU"/>
              </w:rPr>
              <w:t xml:space="preserve">PEGINTERFERON BETA-1A </w:t>
            </w:r>
            <w:r w:rsidR="004A6F1F">
              <w:rPr>
                <w:rFonts w:ascii="Calibri" w:eastAsia="Times New Roman" w:hAnsi="Calibri" w:cs="Calibri"/>
                <w:color w:val="000000"/>
                <w:lang w:eastAsia="en-AU"/>
              </w:rPr>
              <w:t>to</w:t>
            </w:r>
            <w:r w:rsidRPr="000F04A0">
              <w:rPr>
                <w:rFonts w:ascii="Calibri" w:eastAsia="Times New Roman" w:hAnsi="Calibri" w:cs="Calibri"/>
                <w:color w:val="000000"/>
                <w:lang w:eastAsia="en-AU"/>
              </w:rPr>
              <w:t xml:space="preserve"> OFATUMUMAB</w:t>
            </w:r>
          </w:p>
        </w:tc>
        <w:tc>
          <w:tcPr>
            <w:tcW w:w="1010" w:type="dxa"/>
            <w:tcBorders>
              <w:top w:val="nil"/>
              <w:left w:val="nil"/>
              <w:bottom w:val="single" w:sz="4" w:space="0" w:color="auto"/>
              <w:right w:val="single" w:sz="4" w:space="0" w:color="auto"/>
            </w:tcBorders>
            <w:noWrap/>
            <w:vAlign w:val="bottom"/>
            <w:hideMark/>
          </w:tcPr>
          <w:p w14:paraId="0EC71A20"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11</w:t>
            </w:r>
          </w:p>
        </w:tc>
        <w:tc>
          <w:tcPr>
            <w:tcW w:w="1044" w:type="dxa"/>
            <w:tcBorders>
              <w:top w:val="nil"/>
              <w:left w:val="nil"/>
              <w:bottom w:val="single" w:sz="4" w:space="0" w:color="auto"/>
              <w:right w:val="single" w:sz="4" w:space="0" w:color="auto"/>
            </w:tcBorders>
            <w:noWrap/>
            <w:vAlign w:val="bottom"/>
            <w:hideMark/>
          </w:tcPr>
          <w:p w14:paraId="0741E651" w14:textId="77777777" w:rsidR="00EB534F" w:rsidRPr="000F04A0" w:rsidRDefault="00EB534F" w:rsidP="007E7B02">
            <w:pPr>
              <w:spacing w:after="0" w:line="240" w:lineRule="auto"/>
              <w:jc w:val="right"/>
              <w:rPr>
                <w:rFonts w:ascii="Calibri" w:eastAsia="Times New Roman" w:hAnsi="Calibri" w:cs="Calibri"/>
                <w:color w:val="000000"/>
                <w:lang w:eastAsia="en-AU"/>
              </w:rPr>
            </w:pPr>
            <w:r w:rsidRPr="000F04A0">
              <w:rPr>
                <w:rFonts w:ascii="Calibri" w:eastAsia="Times New Roman" w:hAnsi="Calibri" w:cs="Calibri"/>
                <w:color w:val="000000"/>
                <w:lang w:eastAsia="en-AU"/>
              </w:rPr>
              <w:t>0.1</w:t>
            </w:r>
          </w:p>
        </w:tc>
      </w:tr>
      <w:tr w:rsidR="00323579" w:rsidRPr="00E35327" w14:paraId="0657A83D"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55272BFD" w14:textId="48FD7484"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5ACF6512" w14:textId="7457375A" w:rsidR="00323579" w:rsidRPr="004A6F1F" w:rsidRDefault="00323579" w:rsidP="00323579">
            <w:pPr>
              <w:spacing w:after="0" w:line="240" w:lineRule="auto"/>
              <w:jc w:val="right"/>
              <w:rPr>
                <w:rFonts w:ascii="Calibri" w:eastAsia="Times New Roman" w:hAnsi="Calibri" w:cs="Calibri"/>
                <w:color w:val="000000"/>
                <w:sz w:val="16"/>
                <w:szCs w:val="16"/>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61654D69" w14:textId="74E41291"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3F98B187"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6BDDDFA2" w14:textId="49B7B596"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39D941E3" w14:textId="44CEB474" w:rsidR="00323579" w:rsidRPr="004A6F1F" w:rsidRDefault="00323579" w:rsidP="00323579">
            <w:pPr>
              <w:spacing w:after="0" w:line="240" w:lineRule="auto"/>
              <w:jc w:val="right"/>
              <w:rPr>
                <w:rFonts w:ascii="Calibri" w:eastAsia="Times New Roman" w:hAnsi="Calibri" w:cs="Calibri"/>
                <w:color w:val="000000"/>
                <w:sz w:val="16"/>
                <w:szCs w:val="16"/>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5EC17B01" w14:textId="41498E63"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28735897"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5FDF4B8D" w14:textId="445BD77F"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14625351" w14:textId="7314959C" w:rsidR="00323579" w:rsidRPr="004A6F1F" w:rsidRDefault="00323579" w:rsidP="00323579">
            <w:pPr>
              <w:spacing w:after="0" w:line="240" w:lineRule="auto"/>
              <w:jc w:val="right"/>
              <w:rPr>
                <w:rFonts w:ascii="Calibri" w:eastAsia="Times New Roman" w:hAnsi="Calibri" w:cs="Calibri"/>
                <w:color w:val="000000"/>
                <w:sz w:val="16"/>
                <w:szCs w:val="16"/>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1B22FDE7" w14:textId="19E53B98"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6938A7DC"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6C1A723E" w14:textId="140F53FA"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4D9DA91D" w14:textId="232A312E"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346D894A" w14:textId="3EC7EA85"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7A227677"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3D8C83CE" w14:textId="6F12BD4B"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52A94A5B" w14:textId="1C7BD462"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43965AB4" w14:textId="69AD1E2B"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5B7E7F10"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1727B396" w14:textId="1600CC27"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69213ACF" w14:textId="0DECEC84"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3ADA15AE" w14:textId="6738585C"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10454084"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1EDD7443" w14:textId="45F9317F"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30C1F3F3" w14:textId="1A449E7F"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1BB8814E" w14:textId="57193DD7"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2D6E8B09"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4BC8BDC0" w14:textId="2AEA5405"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6F24589F" w14:textId="0B13E001"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6068BEDA" w14:textId="57F415A0"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6F24700B"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04D8A9F2" w14:textId="4DB356E8"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06FC5BF2" w14:textId="0E1DC840"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1A5FFAC7" w14:textId="1011DD2C"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0F8DA0DE"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63EB4856" w14:textId="204395BF"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5442EC46" w14:textId="6DB926CF"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266F1BE3" w14:textId="47CE598F"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282D8647"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4761307A" w14:textId="009BB4E4"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768D8B43" w14:textId="1563DA18"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2F248C77" w14:textId="1BD71BAC"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33841EA6"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75850B7C" w14:textId="2BC42A2A"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0C168F02" w14:textId="46622522"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5878F60C" w14:textId="10C0F44E"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35327" w14:paraId="587AFA68"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6E989C8B" w14:textId="4B765F30" w:rsidR="00323579" w:rsidRPr="004A6F1F" w:rsidRDefault="00323579" w:rsidP="00323579">
            <w:pPr>
              <w:spacing w:after="0" w:line="240" w:lineRule="auto"/>
              <w:rPr>
                <w:rFonts w:ascii="Calibri" w:eastAsia="Times New Roman" w:hAnsi="Calibri" w:cs="Calibri"/>
                <w:color w:val="000000"/>
                <w:lang w:eastAsia="en-AU"/>
              </w:rPr>
            </w:pPr>
            <w:r w:rsidRPr="004A6F1F">
              <w:rPr>
                <w:rFonts w:ascii="Calibri" w:eastAsia="Times New Roman" w:hAnsi="Calibri" w:cs="Calibri"/>
                <w:color w:val="000000"/>
                <w:lang w:eastAsia="en-AU"/>
              </w:rPr>
              <w:t>[REDACTED TEXT]</w:t>
            </w:r>
          </w:p>
        </w:tc>
        <w:tc>
          <w:tcPr>
            <w:tcW w:w="1010" w:type="dxa"/>
            <w:tcBorders>
              <w:top w:val="nil"/>
              <w:left w:val="nil"/>
              <w:bottom w:val="single" w:sz="4" w:space="0" w:color="auto"/>
              <w:right w:val="single" w:sz="4" w:space="0" w:color="auto"/>
            </w:tcBorders>
            <w:noWrap/>
            <w:vAlign w:val="bottom"/>
            <w:hideMark/>
          </w:tcPr>
          <w:p w14:paraId="6FBA8351" w14:textId="5B4A127E"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c>
          <w:tcPr>
            <w:tcW w:w="1044" w:type="dxa"/>
            <w:tcBorders>
              <w:top w:val="nil"/>
              <w:left w:val="nil"/>
              <w:bottom w:val="single" w:sz="4" w:space="0" w:color="auto"/>
              <w:right w:val="single" w:sz="4" w:space="0" w:color="auto"/>
            </w:tcBorders>
            <w:noWrap/>
            <w:vAlign w:val="bottom"/>
            <w:hideMark/>
          </w:tcPr>
          <w:p w14:paraId="614CC052" w14:textId="19611FDD" w:rsidR="00323579" w:rsidRPr="004A6F1F" w:rsidRDefault="00323579" w:rsidP="00323579">
            <w:pPr>
              <w:spacing w:after="0" w:line="240" w:lineRule="auto"/>
              <w:jc w:val="right"/>
              <w:rPr>
                <w:rFonts w:ascii="Calibri" w:eastAsia="Times New Roman" w:hAnsi="Calibri" w:cs="Calibri"/>
                <w:color w:val="000000"/>
                <w:lang w:eastAsia="en-AU"/>
              </w:rPr>
            </w:pPr>
            <w:r w:rsidRPr="004A6F1F">
              <w:rPr>
                <w:rFonts w:ascii="Calibri" w:eastAsia="Times New Roman" w:hAnsi="Calibri" w:cs="Calibri"/>
                <w:color w:val="000000"/>
                <w:sz w:val="16"/>
                <w:szCs w:val="16"/>
                <w:lang w:eastAsia="en-AU"/>
              </w:rPr>
              <w:t>[REDACTED]</w:t>
            </w:r>
          </w:p>
        </w:tc>
      </w:tr>
      <w:tr w:rsidR="00323579" w:rsidRPr="00EC7231" w14:paraId="3B9A9FEE" w14:textId="77777777" w:rsidTr="00323579">
        <w:trPr>
          <w:trHeight w:val="290"/>
        </w:trPr>
        <w:tc>
          <w:tcPr>
            <w:tcW w:w="6440" w:type="dxa"/>
            <w:tcBorders>
              <w:top w:val="nil"/>
              <w:left w:val="single" w:sz="4" w:space="0" w:color="auto"/>
              <w:bottom w:val="single" w:sz="4" w:space="0" w:color="auto"/>
              <w:right w:val="single" w:sz="4" w:space="0" w:color="auto"/>
            </w:tcBorders>
            <w:noWrap/>
            <w:vAlign w:val="bottom"/>
            <w:hideMark/>
          </w:tcPr>
          <w:p w14:paraId="4F4AB84D" w14:textId="77777777" w:rsidR="00323579" w:rsidRPr="00EC7231" w:rsidRDefault="00323579" w:rsidP="00323579">
            <w:pPr>
              <w:spacing w:after="0" w:line="240" w:lineRule="auto"/>
              <w:rPr>
                <w:rFonts w:ascii="Calibri" w:eastAsia="Times New Roman" w:hAnsi="Calibri" w:cs="Calibri"/>
                <w:color w:val="000000"/>
                <w:lang w:eastAsia="en-AU"/>
              </w:rPr>
            </w:pPr>
            <w:r w:rsidRPr="00EC7231">
              <w:rPr>
                <w:rFonts w:ascii="Calibri" w:eastAsia="Times New Roman" w:hAnsi="Calibri" w:cs="Calibri"/>
                <w:color w:val="000000"/>
                <w:lang w:eastAsia="en-AU"/>
              </w:rPr>
              <w:t>Other (5 or less patients):</w:t>
            </w:r>
          </w:p>
        </w:tc>
        <w:tc>
          <w:tcPr>
            <w:tcW w:w="1010" w:type="dxa"/>
            <w:tcBorders>
              <w:top w:val="nil"/>
              <w:left w:val="nil"/>
              <w:bottom w:val="single" w:sz="4" w:space="0" w:color="auto"/>
              <w:right w:val="single" w:sz="4" w:space="0" w:color="auto"/>
            </w:tcBorders>
            <w:noWrap/>
            <w:vAlign w:val="bottom"/>
            <w:hideMark/>
          </w:tcPr>
          <w:p w14:paraId="008D4D20" w14:textId="77777777" w:rsidR="00323579" w:rsidRPr="00EC7231" w:rsidRDefault="00323579" w:rsidP="00323579">
            <w:pPr>
              <w:spacing w:after="0" w:line="240" w:lineRule="auto"/>
              <w:jc w:val="right"/>
              <w:rPr>
                <w:rFonts w:ascii="Calibri" w:eastAsia="Times New Roman" w:hAnsi="Calibri" w:cs="Calibri"/>
                <w:color w:val="000000"/>
                <w:lang w:eastAsia="en-AU"/>
              </w:rPr>
            </w:pPr>
            <w:r w:rsidRPr="00EC7231">
              <w:rPr>
                <w:rFonts w:ascii="Calibri" w:eastAsia="Times New Roman" w:hAnsi="Calibri" w:cs="Calibri"/>
                <w:color w:val="000000"/>
                <w:lang w:eastAsia="en-AU"/>
              </w:rPr>
              <w:t>286</w:t>
            </w:r>
          </w:p>
        </w:tc>
        <w:tc>
          <w:tcPr>
            <w:tcW w:w="1044" w:type="dxa"/>
            <w:tcBorders>
              <w:top w:val="nil"/>
              <w:left w:val="nil"/>
              <w:bottom w:val="single" w:sz="4" w:space="0" w:color="auto"/>
              <w:right w:val="single" w:sz="4" w:space="0" w:color="auto"/>
            </w:tcBorders>
            <w:noWrap/>
            <w:vAlign w:val="bottom"/>
            <w:hideMark/>
          </w:tcPr>
          <w:p w14:paraId="47D46E5C" w14:textId="77777777" w:rsidR="00323579" w:rsidRPr="00EC7231" w:rsidRDefault="00323579" w:rsidP="00323579">
            <w:pPr>
              <w:spacing w:after="0" w:line="240" w:lineRule="auto"/>
              <w:jc w:val="right"/>
              <w:rPr>
                <w:rFonts w:ascii="Calibri" w:eastAsia="Times New Roman" w:hAnsi="Calibri" w:cs="Calibri"/>
                <w:color w:val="000000"/>
                <w:lang w:eastAsia="en-AU"/>
              </w:rPr>
            </w:pPr>
            <w:r w:rsidRPr="00EC7231">
              <w:rPr>
                <w:rFonts w:ascii="Calibri" w:eastAsia="Times New Roman" w:hAnsi="Calibri" w:cs="Calibri"/>
                <w:color w:val="000000"/>
                <w:lang w:eastAsia="en-AU"/>
              </w:rPr>
              <w:t>3.5</w:t>
            </w:r>
          </w:p>
        </w:tc>
      </w:tr>
    </w:tbl>
    <w:p w14:paraId="5FE8C6F0" w14:textId="77777777" w:rsidR="00EB534F" w:rsidRPr="000F04A0" w:rsidRDefault="00EB534F" w:rsidP="00EB534F">
      <w:pPr>
        <w:spacing w:before="60" w:after="60" w:line="240" w:lineRule="auto"/>
        <w:rPr>
          <w:rFonts w:ascii="Calibri" w:eastAsia="Times New Roman" w:hAnsi="Calibri" w:cs="Calibri"/>
          <w:b/>
          <w:bCs/>
          <w:sz w:val="24"/>
          <w:szCs w:val="24"/>
        </w:rPr>
      </w:pPr>
    </w:p>
    <w:p w14:paraId="0024D210" w14:textId="77777777" w:rsidR="00EB534F" w:rsidRPr="000F04A0" w:rsidRDefault="00EB534F" w:rsidP="004A6F1F">
      <w:pPr>
        <w:pStyle w:val="Heading3"/>
      </w:pPr>
      <w:r w:rsidRPr="000F04A0">
        <w:t>Time on treatment</w:t>
      </w:r>
    </w:p>
    <w:p w14:paraId="1F9B605E" w14:textId="77777777"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Figure 20 shows the time on treatment for patients supplied any PBS-listed DMTs for RRMS (i.e. this allowed for switching between drugs). </w:t>
      </w:r>
      <w:r w:rsidRPr="000F04A0">
        <w:rPr>
          <w:rFonts w:ascii="Calibri" w:hAnsi="Calibri" w:cs="Calibri"/>
          <w:sz w:val="18"/>
          <w:szCs w:val="18"/>
        </w:rPr>
        <w:t xml:space="preserve"> </w:t>
      </w:r>
      <w:r w:rsidRPr="000F04A0">
        <w:rPr>
          <w:rFonts w:ascii="Calibri" w:eastAsia="Times New Roman" w:hAnsi="Calibri" w:cs="Calibri"/>
          <w:snapToGrid w:val="0"/>
          <w:sz w:val="24"/>
          <w:szCs w:val="24"/>
        </w:rPr>
        <w:t>The median time on treatment excluding breaks was 8,045 days (22 years) (95% CI 7,262 - 8610 days). The median time on treatment including breaks was 4,612 days (12.6 years) (95%ci 4,514-4743 days).</w:t>
      </w:r>
    </w:p>
    <w:p w14:paraId="26CCC49A" w14:textId="23C6766C" w:rsidR="00EB534F" w:rsidRPr="000F04A0" w:rsidRDefault="00EB534F" w:rsidP="001A369A">
      <w:pPr>
        <w:spacing w:after="120" w:line="240" w:lineRule="auto"/>
        <w:jc w:val="both"/>
        <w:rPr>
          <w:rFonts w:ascii="Calibri" w:eastAsia="Times New Roman" w:hAnsi="Calibri" w:cs="Calibri"/>
          <w:snapToGrid w:val="0"/>
          <w:sz w:val="24"/>
          <w:szCs w:val="24"/>
        </w:rPr>
      </w:pPr>
      <w:r w:rsidRPr="000F04A0">
        <w:rPr>
          <w:rFonts w:ascii="Calibri" w:eastAsia="Times New Roman" w:hAnsi="Calibri" w:cs="Calibri"/>
          <w:snapToGrid w:val="0"/>
          <w:sz w:val="24"/>
          <w:szCs w:val="24"/>
        </w:rPr>
        <w:t xml:space="preserve">Figure 21 shows the time of supply by the first episode of treatment with an individual PBS listed DMT for RRMS. The DMT with the longest median time on treatment was fingolimod (1744 days [95%CI 1700-1866 days]). Data were still immature to assess median time on treatment for diroximel </w:t>
      </w:r>
      <w:proofErr w:type="spellStart"/>
      <w:r w:rsidRPr="000F04A0">
        <w:rPr>
          <w:rFonts w:ascii="Calibri" w:eastAsia="Times New Roman" w:hAnsi="Calibri" w:cs="Calibri"/>
          <w:snapToGrid w:val="0"/>
          <w:sz w:val="24"/>
          <w:szCs w:val="24"/>
        </w:rPr>
        <w:t>fumerate</w:t>
      </w:r>
      <w:proofErr w:type="spellEnd"/>
      <w:r w:rsidRPr="000F04A0">
        <w:rPr>
          <w:rFonts w:ascii="Calibri" w:eastAsia="Times New Roman" w:hAnsi="Calibri" w:cs="Calibri"/>
          <w:snapToGrid w:val="0"/>
          <w:sz w:val="24"/>
          <w:szCs w:val="24"/>
        </w:rPr>
        <w:t>, ocrelizumab and ofatumumab</w:t>
      </w:r>
    </w:p>
    <w:p w14:paraId="189F10A1" w14:textId="77777777" w:rsidR="00EB534F" w:rsidRPr="000F04A0" w:rsidRDefault="00EB534F" w:rsidP="00EB534F">
      <w:pPr>
        <w:spacing w:after="120" w:line="240" w:lineRule="auto"/>
        <w:ind w:left="720"/>
        <w:jc w:val="both"/>
        <w:rPr>
          <w:rFonts w:ascii="Calibri" w:eastAsia="Times New Roman" w:hAnsi="Calibri" w:cs="Calibri"/>
          <w:snapToGrid w:val="0"/>
          <w:sz w:val="24"/>
          <w:szCs w:val="24"/>
        </w:rPr>
      </w:pPr>
    </w:p>
    <w:p w14:paraId="294DAB4F" w14:textId="77777777" w:rsidR="00EB534F" w:rsidRPr="000F04A0" w:rsidRDefault="00EB534F" w:rsidP="00EB534F">
      <w:pPr>
        <w:rPr>
          <w:rFonts w:ascii="Calibri" w:hAnsi="Calibri" w:cs="Calibri"/>
        </w:rPr>
      </w:pPr>
    </w:p>
    <w:p w14:paraId="23B1BFBB" w14:textId="77777777" w:rsidR="00EB534F" w:rsidRPr="000F04A0" w:rsidRDefault="00EB534F" w:rsidP="00EB534F">
      <w:pPr>
        <w:spacing w:before="120" w:after="120" w:line="240" w:lineRule="auto"/>
        <w:jc w:val="both"/>
        <w:rPr>
          <w:rFonts w:ascii="Calibri" w:hAnsi="Calibri" w:cs="Calibri"/>
          <w:sz w:val="24"/>
          <w:szCs w:val="24"/>
        </w:rPr>
      </w:pPr>
      <w:r w:rsidRPr="000F04A0">
        <w:rPr>
          <w:rFonts w:ascii="Calibri" w:hAnsi="Calibri" w:cs="Calibri"/>
          <w:noProof/>
        </w:rPr>
        <w:lastRenderedPageBreak/>
        <w:drawing>
          <wp:inline distT="0" distB="0" distL="0" distR="0" wp14:anchorId="3CE6BC30" wp14:editId="5B17A1A4">
            <wp:extent cx="5731510" cy="4307840"/>
            <wp:effectExtent l="0" t="0" r="2540" b="0"/>
            <wp:docPr id="1398805130" name="Picture 1" descr="Figure 20. Time on treatment (days) for patients supplied any PBS-listed DMT for  R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805130" name="Picture 1" descr="Figure 20. Time on treatment (days) for patients supplied any PBS-listed DMT for  RRMS "/>
                    <pic:cNvPicPr/>
                  </pic:nvPicPr>
                  <pic:blipFill>
                    <a:blip r:embed="rId35"/>
                    <a:stretch>
                      <a:fillRect/>
                    </a:stretch>
                  </pic:blipFill>
                  <pic:spPr>
                    <a:xfrm>
                      <a:off x="0" y="0"/>
                      <a:ext cx="5731510" cy="4307840"/>
                    </a:xfrm>
                    <a:prstGeom prst="rect">
                      <a:avLst/>
                    </a:prstGeom>
                  </pic:spPr>
                </pic:pic>
              </a:graphicData>
            </a:graphic>
          </wp:inline>
        </w:drawing>
      </w:r>
    </w:p>
    <w:p w14:paraId="75152E17" w14:textId="71B70EFE" w:rsidR="00EB534F" w:rsidRPr="000F04A0" w:rsidRDefault="00EB534F" w:rsidP="00EB534F">
      <w:pPr>
        <w:rPr>
          <w:rFonts w:ascii="Calibri" w:hAnsi="Calibri" w:cs="Calibri"/>
          <w:b/>
          <w:bCs/>
          <w:sz w:val="20"/>
          <w:szCs w:val="20"/>
        </w:rPr>
      </w:pPr>
      <w:r w:rsidRPr="000F04A0">
        <w:rPr>
          <w:rFonts w:ascii="Calibri" w:hAnsi="Calibri" w:cs="Calibri"/>
          <w:b/>
          <w:bCs/>
          <w:sz w:val="20"/>
          <w:szCs w:val="20"/>
        </w:rPr>
        <w:t xml:space="preserve">Figure 20. Time on treatment (days) for patients supplied any PBS-listed DMT for RRMS </w:t>
      </w:r>
    </w:p>
    <w:p w14:paraId="48961B4C" w14:textId="77777777" w:rsidR="00EB534F" w:rsidRPr="000F04A0" w:rsidRDefault="00EB534F" w:rsidP="00EB534F">
      <w:pPr>
        <w:rPr>
          <w:rFonts w:ascii="Calibri" w:hAnsi="Calibri" w:cs="Calibri"/>
          <w:sz w:val="24"/>
          <w:szCs w:val="24"/>
        </w:rPr>
      </w:pPr>
      <w:r w:rsidRPr="000F04A0">
        <w:rPr>
          <w:rFonts w:ascii="Calibri" w:hAnsi="Calibri" w:cs="Calibri"/>
          <w:noProof/>
          <w:sz w:val="20"/>
          <w:szCs w:val="20"/>
        </w:rPr>
        <w:lastRenderedPageBreak/>
        <w:drawing>
          <wp:inline distT="0" distB="0" distL="0" distR="0" wp14:anchorId="59AC2851" wp14:editId="43F60683">
            <wp:extent cx="5731510" cy="4303395"/>
            <wp:effectExtent l="0" t="0" r="2540" b="1905"/>
            <wp:docPr id="633614409" name="Picture 1" descr="Figure 21. Time on treatment (days) by the first episode of treatment with an individual PBS-listed DMT for R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14409" name="Picture 1" descr="Figure 21. Time on treatment (days) by the first episode of treatment with an individual PBS-listed DMT for RRMS."/>
                    <pic:cNvPicPr/>
                  </pic:nvPicPr>
                  <pic:blipFill>
                    <a:blip r:embed="rId36"/>
                    <a:stretch>
                      <a:fillRect/>
                    </a:stretch>
                  </pic:blipFill>
                  <pic:spPr>
                    <a:xfrm>
                      <a:off x="0" y="0"/>
                      <a:ext cx="5731510" cy="4303395"/>
                    </a:xfrm>
                    <a:prstGeom prst="rect">
                      <a:avLst/>
                    </a:prstGeom>
                  </pic:spPr>
                </pic:pic>
              </a:graphicData>
            </a:graphic>
          </wp:inline>
        </w:drawing>
      </w:r>
    </w:p>
    <w:p w14:paraId="41A1FEA9" w14:textId="77777777" w:rsidR="00EB534F" w:rsidRPr="004A6F1F" w:rsidRDefault="00EB534F" w:rsidP="00EB534F">
      <w:pPr>
        <w:rPr>
          <w:rFonts w:ascii="Calibri" w:hAnsi="Calibri" w:cs="Calibri"/>
          <w:b/>
          <w:bCs/>
          <w:sz w:val="20"/>
          <w:szCs w:val="20"/>
        </w:rPr>
      </w:pPr>
      <w:r w:rsidRPr="004A6F1F">
        <w:rPr>
          <w:rFonts w:ascii="Calibri" w:hAnsi="Calibri" w:cs="Calibri"/>
          <w:b/>
          <w:bCs/>
          <w:sz w:val="20"/>
          <w:szCs w:val="20"/>
        </w:rPr>
        <w:t>Figure 21. Time on treatment (days) by the first episode of treatment with an individual PBS-listed DMT for RRMS.</w:t>
      </w:r>
    </w:p>
    <w:p w14:paraId="5C2FB193" w14:textId="6ACB1068" w:rsidR="000B2483" w:rsidRPr="000F04A0" w:rsidRDefault="000B2483" w:rsidP="004A6F1F">
      <w:pPr>
        <w:pStyle w:val="Heading1"/>
        <w:rPr>
          <w:rFonts w:eastAsiaTheme="minorEastAsia"/>
          <w:snapToGrid/>
          <w:lang w:eastAsia="en-AU"/>
        </w:rPr>
      </w:pPr>
      <w:r w:rsidRPr="000F04A0">
        <w:rPr>
          <w:rFonts w:eastAsiaTheme="minorEastAsia"/>
          <w:snapToGrid/>
          <w:lang w:eastAsia="en-AU"/>
        </w:rPr>
        <w:t xml:space="preserve">DUSC </w:t>
      </w:r>
      <w:r w:rsidR="001A369A" w:rsidRPr="000F04A0">
        <w:rPr>
          <w:rFonts w:eastAsiaTheme="minorEastAsia"/>
          <w:snapToGrid/>
          <w:lang w:eastAsia="en-AU"/>
        </w:rPr>
        <w:t>consideration</w:t>
      </w:r>
    </w:p>
    <w:p w14:paraId="2CBC3177" w14:textId="793CDFB0" w:rsidR="000B2483" w:rsidRPr="000F04A0" w:rsidRDefault="000B2483" w:rsidP="000B2483">
      <w:pPr>
        <w:spacing w:after="120" w:line="240" w:lineRule="auto"/>
        <w:jc w:val="both"/>
        <w:rPr>
          <w:rFonts w:ascii="Calibri" w:eastAsia="Times New Roman" w:hAnsi="Calibri" w:cs="Calibri"/>
          <w:sz w:val="24"/>
          <w:szCs w:val="24"/>
        </w:rPr>
      </w:pPr>
      <w:r w:rsidRPr="000F04A0">
        <w:rPr>
          <w:rFonts w:ascii="Calibri" w:eastAsia="Times New Roman" w:hAnsi="Calibri" w:cs="Calibri"/>
          <w:sz w:val="24"/>
          <w:szCs w:val="24"/>
        </w:rPr>
        <w:t>DUSC noted the number of prescriptions dispensed for PBS-listed DMTs for RRMS increased from 168,891 in 2019 to 187,037 in 2024. However, DUSC noted that the differing dosage regimen and routes of administration for DMTs made it inappropriate to compare them through number of prescriptions.</w:t>
      </w:r>
    </w:p>
    <w:p w14:paraId="4AC26CA2" w14:textId="77777777" w:rsidR="000B2483" w:rsidRPr="000F04A0" w:rsidRDefault="000B2483" w:rsidP="000B2483">
      <w:pPr>
        <w:spacing w:after="120" w:line="240" w:lineRule="auto"/>
        <w:jc w:val="both"/>
        <w:rPr>
          <w:rFonts w:ascii="Calibri" w:eastAsia="Times New Roman" w:hAnsi="Calibri" w:cs="Calibri"/>
          <w:sz w:val="24"/>
          <w:szCs w:val="24"/>
        </w:rPr>
      </w:pPr>
      <w:r w:rsidRPr="000F04A0">
        <w:rPr>
          <w:rFonts w:ascii="Calibri" w:eastAsia="Times New Roman" w:hAnsi="Calibri" w:cs="Calibri"/>
          <w:sz w:val="24"/>
          <w:szCs w:val="24"/>
        </w:rPr>
        <w:t>DUSC noted that in December 2022, the PBS price of fingolimod was reduced by 25% following the listing of a first new brand and on 1 October 2024, fingolimod was reduced by a further 12.75% price disclosure price reduction. DUSC noted the benefits paid for fingolimod decreased from $129,002,015 in 2019 to $35,733,249 in 2024. The number of prescriptions for fingolimod had also decreased over time from 59,114 prescriptions in 2019 to 35,331 in 2024.</w:t>
      </w:r>
    </w:p>
    <w:p w14:paraId="1FCE6ADB" w14:textId="77777777" w:rsidR="000B2483" w:rsidRPr="000F04A0" w:rsidRDefault="000B2483" w:rsidP="000B2483">
      <w:pPr>
        <w:spacing w:after="120" w:line="240" w:lineRule="auto"/>
        <w:jc w:val="both"/>
        <w:rPr>
          <w:rFonts w:ascii="Calibri" w:eastAsia="Times New Roman" w:hAnsi="Calibri" w:cs="Calibri"/>
          <w:sz w:val="24"/>
          <w:szCs w:val="24"/>
        </w:rPr>
      </w:pPr>
      <w:r w:rsidRPr="000F04A0">
        <w:rPr>
          <w:rFonts w:ascii="Calibri" w:eastAsia="Times New Roman" w:hAnsi="Calibri" w:cs="Calibri"/>
          <w:sz w:val="24"/>
          <w:szCs w:val="24"/>
        </w:rPr>
        <w:t xml:space="preserve">DUSC noted the benefits paid for PBS-listed DMTs for RRMS based on published prices increased from $448,814,609 in 2019 to $508,595,516 in 2024 (an increase of 13.3%). However, the benefits paid based on effective prices decreased </w:t>
      </w:r>
      <w:r w:rsidRPr="00274985">
        <w:rPr>
          <w:rFonts w:ascii="Calibri" w:eastAsia="Times New Roman" w:hAnsi="Calibri" w:cs="Calibri"/>
          <w:sz w:val="24"/>
          <w:szCs w:val="24"/>
        </w:rPr>
        <w:t>from $326,119,635 in 2019 to $279,256,048 in 2024 (a decrease of 14.4%).</w:t>
      </w:r>
    </w:p>
    <w:p w14:paraId="4CE60B88" w14:textId="64500D5C" w:rsidR="000B2483" w:rsidRPr="004A6F1F" w:rsidRDefault="000B2483" w:rsidP="000B2483">
      <w:pPr>
        <w:spacing w:after="120" w:line="240" w:lineRule="auto"/>
        <w:jc w:val="both"/>
        <w:rPr>
          <w:rFonts w:ascii="Calibri" w:eastAsia="Times New Roman" w:hAnsi="Calibri" w:cs="Calibri"/>
          <w:sz w:val="24"/>
          <w:szCs w:val="24"/>
        </w:rPr>
      </w:pPr>
      <w:r w:rsidRPr="000F04A0">
        <w:rPr>
          <w:rFonts w:ascii="Calibri" w:eastAsia="Times New Roman" w:hAnsi="Calibri" w:cs="Calibri"/>
          <w:sz w:val="24"/>
          <w:szCs w:val="24"/>
        </w:rPr>
        <w:t xml:space="preserve">DUSC noted that </w:t>
      </w:r>
      <w:r w:rsidR="00A73923" w:rsidRPr="004A6F1F">
        <w:rPr>
          <w:rFonts w:ascii="Calibri" w:eastAsia="Times New Roman" w:hAnsi="Calibri" w:cs="Calibri"/>
          <w:color w:val="000000"/>
          <w:lang w:eastAsia="en-AU"/>
        </w:rPr>
        <w:t xml:space="preserve">[REDACTED TEXT] </w:t>
      </w:r>
      <w:r w:rsidRPr="004A6F1F">
        <w:rPr>
          <w:rFonts w:ascii="Calibri" w:eastAsia="Times New Roman" w:hAnsi="Calibri" w:cs="Calibri"/>
          <w:sz w:val="24"/>
          <w:szCs w:val="24"/>
        </w:rPr>
        <w:t xml:space="preserve">were the PBS-listed DMTs for RRMS that incurred the highest cost to the PBS in 2024, based on effective prices. </w:t>
      </w:r>
    </w:p>
    <w:p w14:paraId="30552E2F" w14:textId="710730E3" w:rsidR="000B2483" w:rsidRPr="000F04A0" w:rsidRDefault="000B2483" w:rsidP="000B2483">
      <w:pPr>
        <w:spacing w:after="120" w:line="240" w:lineRule="auto"/>
        <w:jc w:val="both"/>
        <w:rPr>
          <w:rFonts w:ascii="Calibri" w:eastAsia="Times New Roman" w:hAnsi="Calibri" w:cs="Calibri"/>
          <w:sz w:val="24"/>
          <w:szCs w:val="24"/>
        </w:rPr>
      </w:pPr>
      <w:r w:rsidRPr="004A6F1F">
        <w:rPr>
          <w:rFonts w:ascii="Calibri" w:eastAsia="Times New Roman" w:hAnsi="Calibri" w:cs="Calibri"/>
          <w:sz w:val="24"/>
          <w:szCs w:val="24"/>
        </w:rPr>
        <w:lastRenderedPageBreak/>
        <w:t xml:space="preserve">DUSC noted that </w:t>
      </w:r>
      <w:r w:rsidR="00C05BB8" w:rsidRPr="004A6F1F">
        <w:rPr>
          <w:rFonts w:ascii="Calibri" w:eastAsia="Times New Roman" w:hAnsi="Calibri" w:cs="Calibri"/>
          <w:snapToGrid w:val="0"/>
          <w:sz w:val="24"/>
          <w:szCs w:val="24"/>
        </w:rPr>
        <w:t xml:space="preserve">the high efficacy DMTs accounted for </w:t>
      </w:r>
      <w:r w:rsidR="00BD4D14" w:rsidRPr="004A6F1F">
        <w:rPr>
          <w:rFonts w:ascii="Calibri" w:eastAsia="Times New Roman" w:hAnsi="Calibri" w:cs="Calibri"/>
          <w:snapToGrid w:val="0"/>
          <w:sz w:val="24"/>
          <w:szCs w:val="24"/>
        </w:rPr>
        <w:t xml:space="preserve">91% of the market for RRMS ($253,223,411 benefits paid), while moderate efficacy DMTs represented 9% ($23,032,637 benefits paid). </w:t>
      </w:r>
      <w:r w:rsidRPr="004A6F1F">
        <w:rPr>
          <w:rFonts w:ascii="Calibri" w:eastAsia="Times New Roman" w:hAnsi="Calibri" w:cs="Calibri"/>
          <w:snapToGrid w:val="0"/>
          <w:sz w:val="24"/>
          <w:szCs w:val="24"/>
        </w:rPr>
        <w:t xml:space="preserve">DUSC noted that based </w:t>
      </w:r>
      <w:r w:rsidR="002C58DC" w:rsidRPr="004A6F1F">
        <w:rPr>
          <w:rFonts w:ascii="Calibri" w:eastAsia="Times New Roman" w:hAnsi="Calibri" w:cs="Calibri"/>
          <w:snapToGrid w:val="0"/>
          <w:sz w:val="24"/>
          <w:szCs w:val="24"/>
        </w:rPr>
        <w:t xml:space="preserve">on </w:t>
      </w:r>
      <w:r w:rsidR="00551329" w:rsidRPr="004A6F1F">
        <w:rPr>
          <w:rFonts w:ascii="Calibri" w:eastAsia="Times New Roman" w:hAnsi="Calibri" w:cs="Calibri"/>
          <w:snapToGrid w:val="0"/>
          <w:sz w:val="24"/>
          <w:szCs w:val="24"/>
        </w:rPr>
        <w:t>effective prices in 2024</w:t>
      </w:r>
      <w:r w:rsidR="002C58DC" w:rsidRPr="004A6F1F">
        <w:rPr>
          <w:rFonts w:ascii="Calibri" w:eastAsia="Times New Roman" w:hAnsi="Calibri" w:cs="Calibri"/>
          <w:snapToGrid w:val="0"/>
          <w:sz w:val="24"/>
          <w:szCs w:val="24"/>
        </w:rPr>
        <w:t xml:space="preserve"> </w:t>
      </w:r>
      <w:r w:rsidR="00A73923" w:rsidRPr="004A6F1F">
        <w:rPr>
          <w:rFonts w:ascii="Calibri" w:eastAsia="Times New Roman" w:hAnsi="Calibri" w:cs="Calibri"/>
          <w:color w:val="000000"/>
          <w:lang w:eastAsia="en-AU"/>
        </w:rPr>
        <w:t>[REDACTED TEXT]</w:t>
      </w:r>
      <w:r w:rsidR="002C58DC" w:rsidRPr="004A6F1F">
        <w:rPr>
          <w:rFonts w:ascii="Calibri" w:eastAsia="Times New Roman" w:hAnsi="Calibri" w:cs="Calibri"/>
          <w:snapToGrid w:val="0"/>
          <w:sz w:val="24"/>
          <w:szCs w:val="24"/>
        </w:rPr>
        <w:t xml:space="preserve"> had the greatest market share in 2024 (</w:t>
      </w:r>
      <w:r w:rsidR="00A73923" w:rsidRPr="004A6F1F">
        <w:rPr>
          <w:rFonts w:ascii="Calibri" w:eastAsia="Times New Roman" w:hAnsi="Calibri" w:cs="Calibri"/>
          <w:color w:val="000000"/>
          <w:lang w:eastAsia="en-AU"/>
        </w:rPr>
        <w:t>[REDACTED TEXT]</w:t>
      </w:r>
      <w:r w:rsidR="002C58DC" w:rsidRPr="004A6F1F">
        <w:rPr>
          <w:rFonts w:ascii="Calibri" w:eastAsia="Times New Roman" w:hAnsi="Calibri" w:cs="Calibri"/>
          <w:snapToGrid w:val="0"/>
          <w:sz w:val="24"/>
          <w:szCs w:val="24"/>
        </w:rPr>
        <w:t xml:space="preserve">), followed by </w:t>
      </w:r>
      <w:r w:rsidR="00A73923" w:rsidRPr="004A6F1F">
        <w:rPr>
          <w:rFonts w:ascii="Calibri" w:eastAsia="Times New Roman" w:hAnsi="Calibri" w:cs="Calibri"/>
          <w:color w:val="000000"/>
          <w:lang w:eastAsia="en-AU"/>
        </w:rPr>
        <w:t>[REDACTED TEXT]</w:t>
      </w:r>
      <w:r w:rsidR="002C58DC" w:rsidRPr="004A6F1F">
        <w:rPr>
          <w:rFonts w:ascii="Calibri" w:eastAsia="Times New Roman" w:hAnsi="Calibri" w:cs="Calibri"/>
          <w:snapToGrid w:val="0"/>
          <w:sz w:val="24"/>
          <w:szCs w:val="24"/>
        </w:rPr>
        <w:t>.</w:t>
      </w:r>
    </w:p>
    <w:p w14:paraId="4ED98961" w14:textId="77777777" w:rsidR="000B2483" w:rsidRPr="000F04A0" w:rsidRDefault="000B2483" w:rsidP="000B2483">
      <w:pPr>
        <w:spacing w:after="120" w:line="240" w:lineRule="auto"/>
        <w:jc w:val="both"/>
        <w:rPr>
          <w:rFonts w:ascii="Calibri" w:eastAsia="Times New Roman" w:hAnsi="Calibri" w:cs="Calibri"/>
          <w:sz w:val="24"/>
          <w:szCs w:val="24"/>
        </w:rPr>
      </w:pPr>
      <w:r w:rsidRPr="000F04A0">
        <w:rPr>
          <w:rFonts w:ascii="Calibri" w:eastAsia="Times New Roman" w:hAnsi="Calibri" w:cs="Calibri"/>
          <w:sz w:val="24"/>
          <w:szCs w:val="24"/>
        </w:rPr>
        <w:t>DUSC noted the number of prevalent patients to a PBS-listed DMT for RRMS increased from 19,612 in 2019 to 24,310 in 2024. DUSC considered prevalence to be increasing at a 4.4% annualised rate, which is higher than would be expected from population growth alone. The DMTs with the highest number of prevalent patients were ocrelizumab (7,753 prevalent patients), natalizumab (3,799 prevalent patients) and ofatumumab (3,549 prevalent patients) in 2024.</w:t>
      </w:r>
    </w:p>
    <w:p w14:paraId="0A7832F2" w14:textId="77777777" w:rsidR="000B2483" w:rsidRPr="000F04A0" w:rsidRDefault="000B2483" w:rsidP="000B2483">
      <w:pPr>
        <w:spacing w:after="120" w:line="240" w:lineRule="auto"/>
        <w:jc w:val="both"/>
        <w:rPr>
          <w:rFonts w:ascii="Calibri" w:eastAsia="Times New Roman" w:hAnsi="Calibri" w:cs="Calibri"/>
          <w:sz w:val="24"/>
          <w:szCs w:val="24"/>
        </w:rPr>
      </w:pPr>
      <w:r w:rsidRPr="000F04A0">
        <w:rPr>
          <w:rFonts w:ascii="Calibri" w:eastAsia="Times New Roman" w:hAnsi="Calibri" w:cs="Calibri"/>
          <w:sz w:val="24"/>
          <w:szCs w:val="24"/>
        </w:rPr>
        <w:t>DUSC noted that the number of patients initiating a PBS-listed DMT for RRMS declined from 2,550 in 2019 to 1,862 in 2024. DUSC considered a data linkage process may lead to useful insights on why incident patients were declining in this cohort.</w:t>
      </w:r>
    </w:p>
    <w:p w14:paraId="4047262F" w14:textId="77777777" w:rsidR="000B2483" w:rsidRPr="000F04A0" w:rsidRDefault="000B2483" w:rsidP="000B2483">
      <w:pPr>
        <w:spacing w:after="120" w:line="240" w:lineRule="auto"/>
        <w:jc w:val="both"/>
        <w:rPr>
          <w:rFonts w:ascii="Calibri" w:eastAsia="Times New Roman" w:hAnsi="Calibri" w:cs="Calibri"/>
          <w:sz w:val="24"/>
          <w:szCs w:val="24"/>
        </w:rPr>
      </w:pPr>
      <w:r w:rsidRPr="000F04A0">
        <w:rPr>
          <w:rFonts w:ascii="Calibri" w:eastAsia="Times New Roman" w:hAnsi="Calibri" w:cs="Calibri"/>
          <w:sz w:val="24"/>
          <w:szCs w:val="24"/>
        </w:rPr>
        <w:t>DUSC considered that the increasing use of newer generation DMTs such as ocrelizumab, ofatumumab and natalizumab were replacing older DMTs such as fingolimod and moderate efficacy DMTs. DUSC considered this use to be in line with current clinical practice.</w:t>
      </w:r>
    </w:p>
    <w:p w14:paraId="0490C2BA" w14:textId="2553424F" w:rsidR="009E5B05" w:rsidRDefault="000B2483" w:rsidP="000B2483">
      <w:pPr>
        <w:spacing w:after="120" w:line="240" w:lineRule="auto"/>
        <w:jc w:val="both"/>
        <w:rPr>
          <w:rFonts w:ascii="Calibri" w:eastAsia="Times New Roman" w:hAnsi="Calibri" w:cs="Calibri"/>
          <w:sz w:val="24"/>
          <w:szCs w:val="24"/>
        </w:rPr>
      </w:pPr>
      <w:r w:rsidRPr="000F04A0">
        <w:rPr>
          <w:rFonts w:ascii="Calibri" w:eastAsia="Times New Roman" w:hAnsi="Calibri" w:cs="Calibri"/>
          <w:sz w:val="24"/>
          <w:szCs w:val="24"/>
        </w:rPr>
        <w:t>DUSC noted that the increasing market share of newer generation DMTs had not increased the overall benefits paid (based on effective prices) for PBS-listed DMTs.</w:t>
      </w:r>
    </w:p>
    <w:p w14:paraId="384CCA61" w14:textId="77777777" w:rsidR="00502269" w:rsidRPr="000F04A0" w:rsidRDefault="00502269" w:rsidP="000B2483">
      <w:pPr>
        <w:spacing w:after="120" w:line="240" w:lineRule="auto"/>
        <w:jc w:val="both"/>
        <w:rPr>
          <w:rFonts w:ascii="Calibri" w:eastAsia="Times New Roman" w:hAnsi="Calibri" w:cs="Calibri"/>
          <w:sz w:val="24"/>
          <w:szCs w:val="24"/>
        </w:rPr>
      </w:pPr>
    </w:p>
    <w:p w14:paraId="5352C1D1" w14:textId="77777777" w:rsidR="001A369A" w:rsidRPr="000F04A0" w:rsidRDefault="001A369A" w:rsidP="00502269">
      <w:pPr>
        <w:pStyle w:val="Heading1"/>
        <w:rPr>
          <w:lang w:eastAsia="en-AU"/>
        </w:rPr>
      </w:pPr>
      <w:r w:rsidRPr="000F04A0">
        <w:rPr>
          <w:lang w:eastAsia="en-AU"/>
        </w:rPr>
        <w:t>DUSC Actions</w:t>
      </w:r>
    </w:p>
    <w:p w14:paraId="0E1C6136" w14:textId="2B8C2689" w:rsidR="001A369A" w:rsidRDefault="001A369A" w:rsidP="001A369A">
      <w:pPr>
        <w:rPr>
          <w:rFonts w:ascii="Calibri" w:hAnsi="Calibri" w:cs="Calibri"/>
          <w:sz w:val="24"/>
          <w:szCs w:val="24"/>
        </w:rPr>
      </w:pPr>
      <w:r w:rsidRPr="00502269">
        <w:rPr>
          <w:rFonts w:ascii="Calibri" w:hAnsi="Calibri" w:cs="Calibri"/>
          <w:sz w:val="24"/>
          <w:szCs w:val="24"/>
        </w:rPr>
        <w:t xml:space="preserve">DUSC requested that the </w:t>
      </w:r>
      <w:r w:rsidR="00DD14A0" w:rsidRPr="00502269">
        <w:rPr>
          <w:rFonts w:ascii="Calibri" w:hAnsi="Calibri" w:cs="Calibri"/>
          <w:sz w:val="24"/>
          <w:szCs w:val="24"/>
        </w:rPr>
        <w:t xml:space="preserve">findings </w:t>
      </w:r>
      <w:r w:rsidRPr="00502269">
        <w:rPr>
          <w:rFonts w:ascii="Calibri" w:hAnsi="Calibri" w:cs="Calibri"/>
          <w:sz w:val="24"/>
          <w:szCs w:val="24"/>
        </w:rPr>
        <w:t>be provided to the PBAC for consideration.</w:t>
      </w:r>
      <w:r w:rsidR="00DD14A0" w:rsidRPr="00502269">
        <w:rPr>
          <w:rFonts w:ascii="Calibri" w:hAnsi="Calibri" w:cs="Calibri"/>
          <w:sz w:val="24"/>
          <w:szCs w:val="24"/>
        </w:rPr>
        <w:t xml:space="preserve"> </w:t>
      </w:r>
      <w:bookmarkStart w:id="7" w:name="_Hlk212191603"/>
      <w:r w:rsidR="00DD14A0" w:rsidRPr="00502269">
        <w:rPr>
          <w:rFonts w:ascii="Calibri" w:hAnsi="Calibri" w:cs="Calibri"/>
          <w:sz w:val="24"/>
          <w:szCs w:val="24"/>
        </w:rPr>
        <w:t xml:space="preserve">The findings were presented to the PBAC at its July 2025 meeting and no further actions were requested by the PBAC. </w:t>
      </w:r>
      <w:bookmarkEnd w:id="7"/>
    </w:p>
    <w:p w14:paraId="213DF523" w14:textId="77777777" w:rsidR="00502269" w:rsidRPr="00502269" w:rsidRDefault="00502269" w:rsidP="001A369A">
      <w:pPr>
        <w:rPr>
          <w:rFonts w:ascii="Calibri" w:hAnsi="Calibri" w:cs="Calibri"/>
          <w:sz w:val="24"/>
          <w:szCs w:val="24"/>
        </w:rPr>
      </w:pPr>
    </w:p>
    <w:p w14:paraId="18CC4B3B" w14:textId="77777777" w:rsidR="001A369A" w:rsidRPr="000F04A0" w:rsidRDefault="001A369A" w:rsidP="00502269">
      <w:pPr>
        <w:pStyle w:val="Heading1"/>
        <w:rPr>
          <w:lang w:eastAsia="en-AU"/>
        </w:rPr>
      </w:pPr>
      <w:r w:rsidRPr="000F04A0">
        <w:rPr>
          <w:lang w:eastAsia="en-AU"/>
        </w:rPr>
        <w:t>Context for analysis</w:t>
      </w:r>
    </w:p>
    <w:p w14:paraId="706ED31F" w14:textId="77777777" w:rsidR="001A369A" w:rsidRPr="00502269" w:rsidRDefault="001A369A" w:rsidP="001A369A">
      <w:pPr>
        <w:rPr>
          <w:rFonts w:ascii="Calibri" w:hAnsi="Calibri" w:cs="Calibri"/>
          <w:sz w:val="24"/>
          <w:szCs w:val="24"/>
        </w:rPr>
      </w:pPr>
      <w:r w:rsidRPr="00502269">
        <w:rPr>
          <w:rFonts w:ascii="Calibri" w:hAnsi="Calibri" w:cs="Calibri"/>
          <w:sz w:val="24"/>
          <w:szCs w:val="24"/>
        </w:rPr>
        <w:t>The DUSC is a Sub Committee of the Pharmaceutical Benefits Advisory Committee (PBAC). The DUSC assesses estimates on projected usage and financial cost of medicines.</w:t>
      </w:r>
    </w:p>
    <w:p w14:paraId="66A65168" w14:textId="77777777" w:rsidR="001A369A" w:rsidRPr="00502269" w:rsidRDefault="001A369A" w:rsidP="001A369A">
      <w:pPr>
        <w:rPr>
          <w:rFonts w:ascii="Calibri" w:hAnsi="Calibri" w:cs="Calibri"/>
          <w:sz w:val="24"/>
          <w:szCs w:val="24"/>
        </w:rPr>
      </w:pPr>
      <w:r w:rsidRPr="00502269">
        <w:rPr>
          <w:rFonts w:ascii="Calibri" w:hAnsi="Calibri" w:cs="Calibri"/>
          <w:sz w:val="24"/>
          <w:szCs w:val="24"/>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58DFA72" w14:textId="77777777" w:rsidR="001A369A" w:rsidRPr="00502269" w:rsidRDefault="001A369A" w:rsidP="001A369A">
      <w:pPr>
        <w:rPr>
          <w:rFonts w:ascii="Calibri" w:hAnsi="Calibri" w:cs="Calibri"/>
          <w:sz w:val="24"/>
          <w:szCs w:val="24"/>
        </w:rPr>
      </w:pPr>
      <w:r w:rsidRPr="00502269">
        <w:rPr>
          <w:rFonts w:ascii="Calibri" w:hAnsi="Calibri" w:cs="Calibri"/>
          <w:sz w:val="24"/>
          <w:szCs w:val="24"/>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02CD9DF7" w14:textId="77777777" w:rsidR="001A369A" w:rsidRPr="00502269" w:rsidRDefault="001A369A" w:rsidP="001A369A">
      <w:pPr>
        <w:rPr>
          <w:rFonts w:ascii="Calibri" w:hAnsi="Calibri" w:cs="Calibri"/>
          <w:sz w:val="24"/>
          <w:szCs w:val="24"/>
        </w:rPr>
      </w:pPr>
      <w:r w:rsidRPr="00502269">
        <w:rPr>
          <w:rFonts w:ascii="Calibri" w:hAnsi="Calibri" w:cs="Calibri"/>
          <w:sz w:val="24"/>
          <w:szCs w:val="24"/>
        </w:rPr>
        <w:t>The utilisation analysis report was provided to the pharmaceutical sponsors of each drug and comments on the report were provided to DUSC prior to its consideration of the analysis.</w:t>
      </w:r>
    </w:p>
    <w:p w14:paraId="2531C933" w14:textId="77777777" w:rsidR="001A369A" w:rsidRPr="000F04A0" w:rsidRDefault="001A369A" w:rsidP="00502269">
      <w:pPr>
        <w:pStyle w:val="Heading1"/>
        <w:rPr>
          <w:lang w:eastAsia="en-AU"/>
        </w:rPr>
      </w:pPr>
      <w:r w:rsidRPr="000F04A0">
        <w:rPr>
          <w:lang w:eastAsia="en-AU"/>
        </w:rPr>
        <w:lastRenderedPageBreak/>
        <w:t>Sponsors’ comments</w:t>
      </w:r>
    </w:p>
    <w:p w14:paraId="54A79026" w14:textId="03B814A7" w:rsidR="00C945B3" w:rsidRPr="00502269" w:rsidRDefault="00C945B3" w:rsidP="00C945B3">
      <w:pPr>
        <w:rPr>
          <w:rFonts w:ascii="Calibri" w:hAnsi="Calibri" w:cs="Calibri"/>
          <w:sz w:val="24"/>
          <w:szCs w:val="24"/>
          <w:lang w:eastAsia="en-AU"/>
        </w:rPr>
      </w:pPr>
      <w:proofErr w:type="spellStart"/>
      <w:r w:rsidRPr="00502269">
        <w:rPr>
          <w:rFonts w:ascii="Calibri" w:hAnsi="Calibri" w:cs="Calibri"/>
          <w:sz w:val="24"/>
          <w:szCs w:val="24"/>
          <w:lang w:eastAsia="en-AU"/>
        </w:rPr>
        <w:t>Alphapharm</w:t>
      </w:r>
      <w:proofErr w:type="spellEnd"/>
      <w:r w:rsidRPr="00502269">
        <w:rPr>
          <w:rFonts w:ascii="Calibri" w:hAnsi="Calibri" w:cs="Calibri"/>
          <w:sz w:val="24"/>
          <w:szCs w:val="24"/>
          <w:lang w:eastAsia="en-AU"/>
        </w:rPr>
        <w:t xml:space="preserve"> Pty Ltd: The sponsor has no comment.</w:t>
      </w:r>
    </w:p>
    <w:p w14:paraId="4E475BE8" w14:textId="717B6D74" w:rsidR="00C945B3" w:rsidRPr="00502269" w:rsidRDefault="00C945B3" w:rsidP="00C945B3">
      <w:pPr>
        <w:rPr>
          <w:rFonts w:ascii="Calibri" w:hAnsi="Calibri" w:cs="Calibri"/>
          <w:sz w:val="24"/>
          <w:szCs w:val="24"/>
          <w:lang w:eastAsia="en-AU"/>
        </w:rPr>
      </w:pPr>
      <w:proofErr w:type="spellStart"/>
      <w:r w:rsidRPr="00502269">
        <w:rPr>
          <w:rFonts w:ascii="Calibri" w:hAnsi="Calibri" w:cs="Calibri"/>
          <w:sz w:val="24"/>
          <w:szCs w:val="24"/>
          <w:lang w:eastAsia="en-AU"/>
        </w:rPr>
        <w:t>Apotex</w:t>
      </w:r>
      <w:proofErr w:type="spellEnd"/>
      <w:r w:rsidRPr="00502269">
        <w:rPr>
          <w:rFonts w:ascii="Calibri" w:hAnsi="Calibri" w:cs="Calibri"/>
          <w:sz w:val="24"/>
          <w:szCs w:val="24"/>
          <w:lang w:eastAsia="en-AU"/>
        </w:rPr>
        <w:t xml:space="preserve"> Pty Ltd: The sponsor has no comment.</w:t>
      </w:r>
    </w:p>
    <w:p w14:paraId="16634BCC" w14:textId="5B4407B2" w:rsidR="00C945B3" w:rsidRPr="00502269" w:rsidRDefault="00C945B3" w:rsidP="00C945B3">
      <w:pPr>
        <w:rPr>
          <w:rFonts w:ascii="Calibri" w:hAnsi="Calibri" w:cs="Calibri"/>
          <w:sz w:val="24"/>
          <w:szCs w:val="24"/>
          <w:lang w:eastAsia="en-AU"/>
        </w:rPr>
      </w:pPr>
      <w:proofErr w:type="spellStart"/>
      <w:r w:rsidRPr="00502269">
        <w:rPr>
          <w:rFonts w:ascii="Calibri" w:hAnsi="Calibri" w:cs="Calibri"/>
          <w:sz w:val="24"/>
          <w:szCs w:val="24"/>
          <w:lang w:eastAsia="en-AU"/>
        </w:rPr>
        <w:t>Arrotex</w:t>
      </w:r>
      <w:proofErr w:type="spellEnd"/>
      <w:r w:rsidRPr="00502269">
        <w:rPr>
          <w:rFonts w:ascii="Calibri" w:hAnsi="Calibri" w:cs="Calibri"/>
          <w:sz w:val="24"/>
          <w:szCs w:val="24"/>
          <w:lang w:eastAsia="en-AU"/>
        </w:rPr>
        <w:t xml:space="preserve"> Pharmaceuticals Pty Ltd: The sponsor has no comment.</w:t>
      </w:r>
    </w:p>
    <w:p w14:paraId="1B7C52CB" w14:textId="4CCC448D"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Arrow Pharmaceuticals Pty Ltd: The sponsor has no comment.</w:t>
      </w:r>
    </w:p>
    <w:p w14:paraId="41C18F7D" w14:textId="7CB3A7A9"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Bayer Australia Pty Ltd: The sponsor has no comment.</w:t>
      </w:r>
    </w:p>
    <w:p w14:paraId="5DF4D406" w14:textId="2145D8D6"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Biogen Australia Pty Ltd: The sponsor has no comment.</w:t>
      </w:r>
    </w:p>
    <w:p w14:paraId="2E8C5FFC" w14:textId="4F2BEB10"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Bristol-Myers Squibb Australia Pty Ltd: The sponsor has no comment.</w:t>
      </w:r>
    </w:p>
    <w:p w14:paraId="5C199516" w14:textId="6F7F2CD1"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Dr Reddy's Laboratories (Australia) Pty Ltd: The sponsor has no comment.</w:t>
      </w:r>
    </w:p>
    <w:p w14:paraId="381A1773" w14:textId="49D74C15"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Generic Health Pty Ltd: The sponsor has no comment.</w:t>
      </w:r>
    </w:p>
    <w:p w14:paraId="656206AA" w14:textId="0E732786"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Juno Pharmaceuticals Pty Ltd: The sponsor has no comment.</w:t>
      </w:r>
    </w:p>
    <w:p w14:paraId="1ACF3BDE" w14:textId="6701604B"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Merck Healthcare Pty Ltd: The sponsor has no comment.</w:t>
      </w:r>
    </w:p>
    <w:p w14:paraId="61B01C11" w14:textId="5E3A18BE"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Novartis Pharmaceuticals Australia Pty Ltd: The sponsor has no comment.</w:t>
      </w:r>
    </w:p>
    <w:p w14:paraId="562B6492" w14:textId="044F80F4" w:rsidR="00C945B3" w:rsidRPr="00502269" w:rsidRDefault="00C945B3" w:rsidP="00C945B3">
      <w:pPr>
        <w:rPr>
          <w:rFonts w:ascii="Calibri" w:hAnsi="Calibri" w:cs="Calibri"/>
          <w:sz w:val="24"/>
          <w:szCs w:val="24"/>
          <w:lang w:eastAsia="en-AU"/>
        </w:rPr>
      </w:pPr>
      <w:proofErr w:type="spellStart"/>
      <w:r w:rsidRPr="00502269">
        <w:rPr>
          <w:rFonts w:ascii="Calibri" w:hAnsi="Calibri" w:cs="Calibri"/>
          <w:sz w:val="24"/>
          <w:szCs w:val="24"/>
          <w:lang w:eastAsia="en-AU"/>
        </w:rPr>
        <w:t>Pharmacor</w:t>
      </w:r>
      <w:proofErr w:type="spellEnd"/>
      <w:r w:rsidRPr="00502269">
        <w:rPr>
          <w:rFonts w:ascii="Calibri" w:hAnsi="Calibri" w:cs="Calibri"/>
          <w:sz w:val="24"/>
          <w:szCs w:val="24"/>
          <w:lang w:eastAsia="en-AU"/>
        </w:rPr>
        <w:t xml:space="preserve"> Pty Ltd: The sponsor has no comment.</w:t>
      </w:r>
    </w:p>
    <w:p w14:paraId="6CAC4FA1" w14:textId="29AE5EE6"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 xml:space="preserve">Roche Products Pty Ltd: Roche believes this report underscores the profound benefit of having a wide range of effective treatment options readily available on the PBS in the </w:t>
      </w:r>
      <w:proofErr w:type="gramStart"/>
      <w:r w:rsidRPr="00502269">
        <w:rPr>
          <w:rFonts w:ascii="Calibri" w:hAnsi="Calibri" w:cs="Calibri"/>
          <w:sz w:val="24"/>
          <w:szCs w:val="24"/>
          <w:lang w:eastAsia="en-AU"/>
        </w:rPr>
        <w:t>first-line</w:t>
      </w:r>
      <w:proofErr w:type="gramEnd"/>
      <w:r w:rsidRPr="00502269">
        <w:rPr>
          <w:rFonts w:ascii="Calibri" w:hAnsi="Calibri" w:cs="Calibri"/>
          <w:sz w:val="24"/>
          <w:szCs w:val="24"/>
          <w:lang w:eastAsia="en-AU"/>
        </w:rPr>
        <w:t>, rather than a limited few. This comprehensive access supports personalised treatment pathways, which are essential for optimising long-term patient outcomes in the Australian MS community.</w:t>
      </w:r>
    </w:p>
    <w:p w14:paraId="745486CE" w14:textId="77777777"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Sandoz Pty Ltd: The sponsor has no comment.</w:t>
      </w:r>
    </w:p>
    <w:p w14:paraId="7A71F020" w14:textId="3BAB938F" w:rsidR="00C945B3" w:rsidRPr="00502269" w:rsidRDefault="00C945B3" w:rsidP="001A369A">
      <w:pPr>
        <w:rPr>
          <w:rFonts w:ascii="Calibri" w:hAnsi="Calibri" w:cs="Calibri"/>
          <w:sz w:val="24"/>
          <w:szCs w:val="24"/>
          <w:lang w:eastAsia="en-AU"/>
        </w:rPr>
      </w:pPr>
      <w:r w:rsidRPr="00502269">
        <w:rPr>
          <w:rFonts w:ascii="Calibri" w:hAnsi="Calibri" w:cs="Calibri"/>
          <w:sz w:val="24"/>
          <w:szCs w:val="24"/>
          <w:lang w:eastAsia="en-AU"/>
        </w:rPr>
        <w:t>Sanofi-Aventis Australia Pty Ltd: The sponsor has no comment.</w:t>
      </w:r>
    </w:p>
    <w:p w14:paraId="4D27597B" w14:textId="3F498E59" w:rsidR="00C945B3" w:rsidRPr="00502269" w:rsidRDefault="00C945B3" w:rsidP="00C945B3">
      <w:pPr>
        <w:rPr>
          <w:rFonts w:ascii="Calibri" w:hAnsi="Calibri" w:cs="Calibri"/>
          <w:sz w:val="24"/>
          <w:szCs w:val="24"/>
          <w:lang w:eastAsia="en-AU"/>
        </w:rPr>
      </w:pPr>
      <w:r w:rsidRPr="00502269">
        <w:rPr>
          <w:rFonts w:ascii="Calibri" w:hAnsi="Calibri" w:cs="Calibri"/>
          <w:sz w:val="24"/>
          <w:szCs w:val="24"/>
          <w:lang w:eastAsia="en-AU"/>
        </w:rPr>
        <w:t>Sun Pharma ANZ Pty Ltd: The sponsor has no comment.</w:t>
      </w:r>
    </w:p>
    <w:p w14:paraId="7C14E4B0" w14:textId="47A95385" w:rsidR="00C945B3" w:rsidRDefault="00C945B3" w:rsidP="00C945B3">
      <w:pPr>
        <w:rPr>
          <w:rFonts w:ascii="Calibri" w:hAnsi="Calibri" w:cs="Calibri"/>
          <w:sz w:val="24"/>
          <w:szCs w:val="24"/>
          <w:lang w:eastAsia="en-AU"/>
        </w:rPr>
      </w:pPr>
      <w:r w:rsidRPr="00502269">
        <w:rPr>
          <w:rFonts w:ascii="Calibri" w:hAnsi="Calibri" w:cs="Calibri"/>
          <w:sz w:val="24"/>
          <w:szCs w:val="24"/>
          <w:lang w:eastAsia="en-AU"/>
        </w:rPr>
        <w:t>Teva Pharma Australia Pty Ltd: The sponsor has no comment.</w:t>
      </w:r>
    </w:p>
    <w:p w14:paraId="1C685949" w14:textId="77777777" w:rsidR="00502269" w:rsidRPr="00502269" w:rsidRDefault="00502269" w:rsidP="00C945B3">
      <w:pPr>
        <w:rPr>
          <w:rFonts w:ascii="Calibri" w:hAnsi="Calibri" w:cs="Calibri"/>
          <w:sz w:val="24"/>
          <w:szCs w:val="24"/>
          <w:lang w:eastAsia="en-AU"/>
        </w:rPr>
      </w:pPr>
    </w:p>
    <w:p w14:paraId="65367544" w14:textId="77777777" w:rsidR="001A369A" w:rsidRPr="000F04A0" w:rsidRDefault="001A369A" w:rsidP="00502269">
      <w:pPr>
        <w:pStyle w:val="Heading1"/>
        <w:rPr>
          <w:lang w:eastAsia="en-AU"/>
        </w:rPr>
      </w:pPr>
      <w:r w:rsidRPr="000F04A0">
        <w:rPr>
          <w:lang w:eastAsia="en-AU"/>
        </w:rPr>
        <w:t>Disclaimer</w:t>
      </w:r>
    </w:p>
    <w:p w14:paraId="753D94AE" w14:textId="77777777" w:rsidR="001A369A" w:rsidRPr="00502269" w:rsidRDefault="001A369A" w:rsidP="001A369A">
      <w:pPr>
        <w:rPr>
          <w:rFonts w:ascii="Calibri" w:hAnsi="Calibri" w:cs="Calibri"/>
          <w:sz w:val="24"/>
          <w:szCs w:val="24"/>
        </w:rPr>
      </w:pPr>
      <w:r w:rsidRPr="00502269">
        <w:rPr>
          <w:rFonts w:ascii="Calibri" w:hAnsi="Calibri" w:cs="Calibri"/>
          <w:sz w:val="24"/>
          <w:szCs w:val="24"/>
        </w:rP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567DD564" w14:textId="77777777" w:rsidR="001A369A" w:rsidRPr="00502269" w:rsidRDefault="001A369A" w:rsidP="001A369A">
      <w:pPr>
        <w:rPr>
          <w:rFonts w:ascii="Calibri" w:hAnsi="Calibri" w:cs="Calibri"/>
          <w:sz w:val="24"/>
          <w:szCs w:val="24"/>
        </w:rPr>
      </w:pPr>
      <w:r w:rsidRPr="00502269">
        <w:rPr>
          <w:rFonts w:ascii="Calibri" w:hAnsi="Calibri" w:cs="Calibri"/>
          <w:sz w:val="24"/>
          <w:szCs w:val="24"/>
        </w:rPr>
        <w:t xml:space="preserve">The Department of Health, Disability and Ageing has made all reasonable efforts to ensure that information provided in this report is accurate. The information provided in this report </w:t>
      </w:r>
      <w:r w:rsidRPr="00502269">
        <w:rPr>
          <w:rFonts w:ascii="Calibri" w:hAnsi="Calibri" w:cs="Calibri"/>
          <w:sz w:val="24"/>
          <w:szCs w:val="24"/>
        </w:rPr>
        <w:lastRenderedPageBreak/>
        <w:t xml:space="preserve">was </w:t>
      </w:r>
      <w:proofErr w:type="gramStart"/>
      <w:r w:rsidRPr="00502269">
        <w:rPr>
          <w:rFonts w:ascii="Calibri" w:hAnsi="Calibri" w:cs="Calibri"/>
          <w:sz w:val="24"/>
          <w:szCs w:val="24"/>
        </w:rPr>
        <w:t>up-to-date</w:t>
      </w:r>
      <w:proofErr w:type="gramEnd"/>
      <w:r w:rsidRPr="00502269">
        <w:rPr>
          <w:rFonts w:ascii="Calibri" w:hAnsi="Calibri" w:cs="Calibri"/>
          <w:sz w:val="24"/>
          <w:szCs w:val="24"/>
        </w:rPr>
        <w:t xml:space="preserve"> when it was considered by the Drug Utilisation Sub-committee of the Pharmaceutical Benefits Advisory Committee.  The context for that information may have changed since publication.</w:t>
      </w:r>
    </w:p>
    <w:p w14:paraId="347032AC" w14:textId="77777777" w:rsidR="001A369A" w:rsidRPr="00502269" w:rsidRDefault="001A369A" w:rsidP="001A369A">
      <w:pPr>
        <w:rPr>
          <w:rFonts w:ascii="Calibri" w:hAnsi="Calibri" w:cs="Calibri"/>
          <w:sz w:val="24"/>
          <w:szCs w:val="24"/>
        </w:rPr>
      </w:pPr>
      <w:r w:rsidRPr="00502269">
        <w:rPr>
          <w:rFonts w:ascii="Calibri" w:hAnsi="Calibri" w:cs="Calibri"/>
          <w:sz w:val="24"/>
          <w:szCs w:val="24"/>
        </w:rPr>
        <w:t xml:space="preserve">To the extent provided by law, the Department of Health, Disability and Ageing makes no warranties or representations as to accuracy or completeness of information contained in this report. </w:t>
      </w:r>
    </w:p>
    <w:p w14:paraId="4F54C60D" w14:textId="77777777" w:rsidR="001A369A" w:rsidRPr="00502269" w:rsidRDefault="001A369A" w:rsidP="001A369A">
      <w:pPr>
        <w:rPr>
          <w:rFonts w:ascii="Calibri" w:hAnsi="Calibri" w:cs="Calibri"/>
          <w:sz w:val="24"/>
          <w:szCs w:val="24"/>
        </w:rPr>
      </w:pPr>
      <w:r w:rsidRPr="00502269">
        <w:rPr>
          <w:rFonts w:ascii="Calibri" w:hAnsi="Calibri" w:cs="Calibri"/>
          <w:sz w:val="24"/>
          <w:szCs w:val="24"/>
        </w:rPr>
        <w:t>To the fullest extent permitted by law, neither the Department of Health, Disability and Ageing nor any Department of Health, Disability and Ageing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0623A5D2" w14:textId="77777777" w:rsidR="009E5B05" w:rsidRDefault="009E5B05">
      <w:pPr>
        <w:rPr>
          <w:rFonts w:ascii="Calibri" w:eastAsia="Times New Roman" w:hAnsi="Calibri" w:cs="Calibri"/>
          <w:i/>
          <w:iCs/>
        </w:rPr>
      </w:pPr>
      <w:r>
        <w:rPr>
          <w:rFonts w:ascii="Calibri" w:eastAsia="Times New Roman" w:hAnsi="Calibri" w:cs="Calibri"/>
          <w:i/>
          <w:iCs/>
        </w:rPr>
        <w:br w:type="page"/>
      </w:r>
    </w:p>
    <w:p w14:paraId="31588C4D" w14:textId="4D915F68" w:rsidR="009E5B05" w:rsidRPr="000F04A0" w:rsidRDefault="009E5B05" w:rsidP="00502269">
      <w:pPr>
        <w:pStyle w:val="Heading1"/>
      </w:pPr>
      <w:r w:rsidRPr="000F04A0">
        <w:lastRenderedPageBreak/>
        <w:t xml:space="preserve">Attachment 1: </w:t>
      </w:r>
      <w:r w:rsidR="00F24AF8">
        <w:t>PBS l</w:t>
      </w:r>
      <w:r w:rsidRPr="000F04A0">
        <w:t>istings included in the data extraction</w:t>
      </w:r>
    </w:p>
    <w:p w14:paraId="2D0B3BB1" w14:textId="7C005929" w:rsidR="009E5B05" w:rsidRPr="00F24AF8" w:rsidRDefault="00F24AF8" w:rsidP="001425A2">
      <w:pPr>
        <w:spacing w:after="120" w:line="240" w:lineRule="auto"/>
        <w:jc w:val="both"/>
        <w:rPr>
          <w:rFonts w:ascii="Calibri" w:hAnsi="Calibri" w:cs="Calibri"/>
          <w:sz w:val="24"/>
          <w:szCs w:val="24"/>
        </w:rPr>
      </w:pPr>
      <w:r w:rsidRPr="00F24AF8">
        <w:rPr>
          <w:rFonts w:ascii="Calibri" w:hAnsi="Calibri" w:cs="Calibri"/>
          <w:sz w:val="24"/>
          <w:szCs w:val="24"/>
        </w:rPr>
        <w:t>Note: All listings have a restriction level of Authority required (STREAMLINED).</w:t>
      </w:r>
    </w:p>
    <w:tbl>
      <w:tblPr>
        <w:tblStyle w:val="TableGrid"/>
        <w:tblW w:w="5000" w:type="pct"/>
        <w:tblLayout w:type="fixed"/>
        <w:tblLook w:val="04A0" w:firstRow="1" w:lastRow="0" w:firstColumn="1" w:lastColumn="0" w:noHBand="0" w:noVBand="1"/>
      </w:tblPr>
      <w:tblGrid>
        <w:gridCol w:w="1554"/>
        <w:gridCol w:w="2411"/>
        <w:gridCol w:w="1132"/>
        <w:gridCol w:w="994"/>
        <w:gridCol w:w="1841"/>
        <w:gridCol w:w="1084"/>
      </w:tblGrid>
      <w:tr w:rsidR="00DE2335" w:rsidRPr="000F04A0" w14:paraId="69F3BE98" w14:textId="77777777" w:rsidTr="00DE2335">
        <w:trPr>
          <w:tblHeader/>
        </w:trPr>
        <w:tc>
          <w:tcPr>
            <w:tcW w:w="862"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2FDC759" w14:textId="77777777" w:rsidR="00DE2335" w:rsidRPr="000F04A0" w:rsidRDefault="00DE2335" w:rsidP="007E7B02">
            <w:pPr>
              <w:spacing w:after="120"/>
              <w:rPr>
                <w:rFonts w:ascii="Calibri" w:hAnsi="Calibri" w:cs="Calibri"/>
                <w:b/>
                <w:bCs/>
              </w:rPr>
            </w:pPr>
            <w:r w:rsidRPr="000F04A0">
              <w:rPr>
                <w:rFonts w:ascii="Calibri" w:hAnsi="Calibri" w:cs="Calibri"/>
                <w:b/>
                <w:bCs/>
              </w:rPr>
              <w:t>Drug</w:t>
            </w:r>
          </w:p>
        </w:tc>
        <w:tc>
          <w:tcPr>
            <w:tcW w:w="1337"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CD57732" w14:textId="77777777" w:rsidR="00DE2335" w:rsidRPr="000F04A0" w:rsidRDefault="00DE2335" w:rsidP="007E7B02">
            <w:pPr>
              <w:spacing w:after="120"/>
              <w:rPr>
                <w:rFonts w:ascii="Calibri" w:hAnsi="Calibri" w:cs="Calibri"/>
                <w:b/>
                <w:bCs/>
              </w:rPr>
            </w:pPr>
            <w:r w:rsidRPr="000F04A0">
              <w:rPr>
                <w:rFonts w:ascii="Calibri" w:hAnsi="Calibri" w:cs="Calibri"/>
                <w:b/>
                <w:bCs/>
              </w:rPr>
              <w:t>Form, strength &amp; pack size</w:t>
            </w:r>
          </w:p>
        </w:tc>
        <w:tc>
          <w:tcPr>
            <w:tcW w:w="628"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44ABF83" w14:textId="4650FA76" w:rsidR="00DE2335" w:rsidRPr="000F04A0" w:rsidRDefault="00DE2335" w:rsidP="007E7B02">
            <w:pPr>
              <w:spacing w:after="120"/>
              <w:rPr>
                <w:rFonts w:ascii="Calibri" w:hAnsi="Calibri" w:cs="Calibri"/>
                <w:b/>
                <w:bCs/>
              </w:rPr>
            </w:pPr>
            <w:r w:rsidRPr="000F04A0">
              <w:rPr>
                <w:rFonts w:ascii="Calibri" w:hAnsi="Calibri" w:cs="Calibri"/>
                <w:b/>
                <w:bCs/>
              </w:rPr>
              <w:t>S</w:t>
            </w:r>
            <w:r>
              <w:rPr>
                <w:rFonts w:ascii="Calibri" w:hAnsi="Calibri" w:cs="Calibri"/>
                <w:b/>
                <w:bCs/>
              </w:rPr>
              <w:t>chedule</w:t>
            </w:r>
          </w:p>
        </w:tc>
        <w:tc>
          <w:tcPr>
            <w:tcW w:w="55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A1D24A" w14:textId="77777777" w:rsidR="00DE2335" w:rsidRPr="000F04A0" w:rsidRDefault="00DE2335" w:rsidP="007E7B02">
            <w:pPr>
              <w:spacing w:after="120"/>
              <w:rPr>
                <w:rFonts w:ascii="Calibri" w:hAnsi="Calibri" w:cs="Calibri"/>
                <w:b/>
                <w:bCs/>
              </w:rPr>
            </w:pPr>
            <w:r w:rsidRPr="000F04A0">
              <w:rPr>
                <w:rFonts w:ascii="Calibri" w:hAnsi="Calibri" w:cs="Calibri"/>
                <w:b/>
                <w:bCs/>
              </w:rPr>
              <w:t>PBS code</w:t>
            </w:r>
          </w:p>
        </w:tc>
        <w:tc>
          <w:tcPr>
            <w:tcW w:w="102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50D4895" w14:textId="5A23932E" w:rsidR="00DE2335" w:rsidRPr="000F04A0" w:rsidRDefault="00DE2335" w:rsidP="007E7B02">
            <w:pPr>
              <w:spacing w:after="120"/>
              <w:rPr>
                <w:rFonts w:ascii="Calibri" w:hAnsi="Calibri" w:cs="Calibri"/>
                <w:b/>
                <w:bCs/>
              </w:rPr>
            </w:pPr>
            <w:r w:rsidRPr="000F04A0">
              <w:rPr>
                <w:rFonts w:ascii="Calibri" w:hAnsi="Calibri" w:cs="Calibri"/>
                <w:b/>
                <w:bCs/>
              </w:rPr>
              <w:t xml:space="preserve">Treatment </w:t>
            </w:r>
            <w:r>
              <w:rPr>
                <w:rFonts w:ascii="Calibri" w:hAnsi="Calibri" w:cs="Calibri"/>
                <w:b/>
                <w:bCs/>
              </w:rPr>
              <w:t>p</w:t>
            </w:r>
            <w:r w:rsidRPr="000F04A0">
              <w:rPr>
                <w:rFonts w:ascii="Calibri" w:hAnsi="Calibri" w:cs="Calibri"/>
                <w:b/>
                <w:bCs/>
              </w:rPr>
              <w:t xml:space="preserve">hase </w:t>
            </w:r>
          </w:p>
        </w:tc>
        <w:tc>
          <w:tcPr>
            <w:tcW w:w="60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7BC2FA" w14:textId="77777777" w:rsidR="00DE2335" w:rsidRPr="000F04A0" w:rsidRDefault="00DE2335" w:rsidP="007E7B02">
            <w:pPr>
              <w:spacing w:after="120"/>
              <w:rPr>
                <w:rFonts w:ascii="Calibri" w:hAnsi="Calibri" w:cs="Calibri"/>
                <w:b/>
                <w:bCs/>
              </w:rPr>
            </w:pPr>
            <w:r w:rsidRPr="000F04A0">
              <w:rPr>
                <w:rFonts w:ascii="Calibri" w:hAnsi="Calibri" w:cs="Calibri"/>
                <w:b/>
                <w:bCs/>
              </w:rPr>
              <w:t>ATC code</w:t>
            </w:r>
          </w:p>
        </w:tc>
      </w:tr>
      <w:tr w:rsidR="00DE2335" w:rsidRPr="000F04A0" w14:paraId="37129AE8"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4090C841"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Alemtuzumab*</w:t>
            </w:r>
          </w:p>
        </w:tc>
        <w:tc>
          <w:tcPr>
            <w:tcW w:w="1337" w:type="pct"/>
            <w:tcBorders>
              <w:top w:val="single" w:sz="4" w:space="0" w:color="auto"/>
              <w:left w:val="single" w:sz="4" w:space="0" w:color="auto"/>
              <w:bottom w:val="single" w:sz="4" w:space="0" w:color="auto"/>
              <w:right w:val="single" w:sz="4" w:space="0" w:color="auto"/>
            </w:tcBorders>
            <w:hideMark/>
          </w:tcPr>
          <w:p w14:paraId="0D5F4F44" w14:textId="5DA658F2"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12 mg/1.2 mL injection, 1.2 mL vial</w:t>
            </w:r>
          </w:p>
        </w:tc>
        <w:tc>
          <w:tcPr>
            <w:tcW w:w="628" w:type="pct"/>
            <w:tcBorders>
              <w:top w:val="single" w:sz="4" w:space="0" w:color="auto"/>
              <w:left w:val="single" w:sz="4" w:space="0" w:color="auto"/>
              <w:bottom w:val="single" w:sz="4" w:space="0" w:color="auto"/>
              <w:right w:val="single" w:sz="4" w:space="0" w:color="auto"/>
            </w:tcBorders>
            <w:hideMark/>
          </w:tcPr>
          <w:p w14:paraId="1C709B87" w14:textId="7777777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S100 HSD Public</w:t>
            </w:r>
          </w:p>
        </w:tc>
        <w:tc>
          <w:tcPr>
            <w:tcW w:w="551" w:type="pct"/>
            <w:tcBorders>
              <w:top w:val="single" w:sz="4" w:space="0" w:color="auto"/>
              <w:left w:val="single" w:sz="4" w:space="0" w:color="auto"/>
              <w:bottom w:val="single" w:sz="4" w:space="0" w:color="auto"/>
              <w:right w:val="single" w:sz="4" w:space="0" w:color="auto"/>
            </w:tcBorders>
            <w:hideMark/>
          </w:tcPr>
          <w:p w14:paraId="270B49E2"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10228H</w:t>
            </w:r>
          </w:p>
        </w:tc>
        <w:tc>
          <w:tcPr>
            <w:tcW w:w="1021" w:type="pct"/>
            <w:tcBorders>
              <w:top w:val="single" w:sz="4" w:space="0" w:color="auto"/>
              <w:left w:val="single" w:sz="4" w:space="0" w:color="auto"/>
              <w:bottom w:val="single" w:sz="4" w:space="0" w:color="auto"/>
              <w:right w:val="single" w:sz="4" w:space="0" w:color="auto"/>
            </w:tcBorders>
            <w:hideMark/>
          </w:tcPr>
          <w:p w14:paraId="771E33A5" w14:textId="3DC06944"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p>
        </w:tc>
        <w:tc>
          <w:tcPr>
            <w:tcW w:w="601" w:type="pct"/>
            <w:tcBorders>
              <w:top w:val="single" w:sz="4" w:space="0" w:color="auto"/>
              <w:left w:val="single" w:sz="4" w:space="0" w:color="auto"/>
              <w:bottom w:val="single" w:sz="4" w:space="0" w:color="auto"/>
              <w:right w:val="single" w:sz="4" w:space="0" w:color="auto"/>
            </w:tcBorders>
            <w:hideMark/>
          </w:tcPr>
          <w:p w14:paraId="724408CD"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L04AG</w:t>
            </w:r>
          </w:p>
        </w:tc>
      </w:tr>
      <w:tr w:rsidR="00DE2335" w:rsidRPr="000F04A0" w14:paraId="604ABBF4"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5FCD88A0" w14:textId="23C66E82" w:rsidR="00DE2335" w:rsidRPr="000F04A0" w:rsidRDefault="00DE2335" w:rsidP="001F7015">
            <w:pPr>
              <w:spacing w:after="120"/>
              <w:jc w:val="both"/>
              <w:rPr>
                <w:rFonts w:ascii="Calibri" w:hAnsi="Calibri" w:cs="Calibri"/>
                <w:sz w:val="20"/>
                <w:szCs w:val="20"/>
              </w:rPr>
            </w:pPr>
            <w:r w:rsidRPr="00F63C90">
              <w:rPr>
                <w:rFonts w:ascii="Calibri" w:hAnsi="Calibri" w:cs="Calibri"/>
                <w:sz w:val="20"/>
                <w:szCs w:val="20"/>
              </w:rPr>
              <w:t>Alemtuzumab*</w:t>
            </w:r>
          </w:p>
        </w:tc>
        <w:tc>
          <w:tcPr>
            <w:tcW w:w="1337" w:type="pct"/>
            <w:tcBorders>
              <w:top w:val="single" w:sz="4" w:space="0" w:color="auto"/>
              <w:left w:val="single" w:sz="4" w:space="0" w:color="auto"/>
              <w:bottom w:val="single" w:sz="4" w:space="0" w:color="auto"/>
              <w:right w:val="single" w:sz="4" w:space="0" w:color="auto"/>
            </w:tcBorders>
            <w:hideMark/>
          </w:tcPr>
          <w:p w14:paraId="6AFF53DD" w14:textId="51AF135B" w:rsidR="00DE2335" w:rsidRPr="000F04A0" w:rsidRDefault="00DE2335" w:rsidP="00DE2335">
            <w:pPr>
              <w:spacing w:after="120"/>
              <w:rPr>
                <w:rFonts w:ascii="Calibri" w:hAnsi="Calibri" w:cs="Calibri"/>
                <w:sz w:val="20"/>
                <w:szCs w:val="20"/>
              </w:rPr>
            </w:pPr>
            <w:r w:rsidRPr="00C81F85">
              <w:rPr>
                <w:rFonts w:ascii="Calibri" w:hAnsi="Calibri" w:cs="Calibri"/>
                <w:sz w:val="20"/>
                <w:szCs w:val="20"/>
              </w:rPr>
              <w:t>12 mg/1.2 mL injection, 1.2 mL vial</w:t>
            </w:r>
          </w:p>
        </w:tc>
        <w:tc>
          <w:tcPr>
            <w:tcW w:w="628" w:type="pct"/>
            <w:tcBorders>
              <w:top w:val="single" w:sz="4" w:space="0" w:color="auto"/>
              <w:left w:val="single" w:sz="4" w:space="0" w:color="auto"/>
              <w:bottom w:val="single" w:sz="4" w:space="0" w:color="auto"/>
              <w:right w:val="single" w:sz="4" w:space="0" w:color="auto"/>
            </w:tcBorders>
            <w:hideMark/>
          </w:tcPr>
          <w:p w14:paraId="60413B25" w14:textId="7777777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S100 HSD Public</w:t>
            </w:r>
          </w:p>
        </w:tc>
        <w:tc>
          <w:tcPr>
            <w:tcW w:w="551" w:type="pct"/>
            <w:tcBorders>
              <w:top w:val="single" w:sz="4" w:space="0" w:color="auto"/>
              <w:left w:val="single" w:sz="4" w:space="0" w:color="auto"/>
              <w:bottom w:val="single" w:sz="4" w:space="0" w:color="auto"/>
              <w:right w:val="single" w:sz="4" w:space="0" w:color="auto"/>
            </w:tcBorders>
            <w:hideMark/>
          </w:tcPr>
          <w:p w14:paraId="4186F001" w14:textId="77777777"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10232M</w:t>
            </w:r>
          </w:p>
        </w:tc>
        <w:tc>
          <w:tcPr>
            <w:tcW w:w="1021" w:type="pct"/>
            <w:tcBorders>
              <w:top w:val="single" w:sz="4" w:space="0" w:color="auto"/>
              <w:left w:val="single" w:sz="4" w:space="0" w:color="auto"/>
              <w:bottom w:val="single" w:sz="4" w:space="0" w:color="auto"/>
              <w:right w:val="single" w:sz="4" w:space="0" w:color="auto"/>
            </w:tcBorders>
            <w:hideMark/>
          </w:tcPr>
          <w:p w14:paraId="70B22FFA" w14:textId="199318B1"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 xml:space="preserve">Continuing </w:t>
            </w:r>
          </w:p>
        </w:tc>
        <w:tc>
          <w:tcPr>
            <w:tcW w:w="601" w:type="pct"/>
            <w:tcBorders>
              <w:top w:val="single" w:sz="4" w:space="0" w:color="auto"/>
              <w:left w:val="single" w:sz="4" w:space="0" w:color="auto"/>
              <w:bottom w:val="single" w:sz="4" w:space="0" w:color="auto"/>
              <w:right w:val="single" w:sz="4" w:space="0" w:color="auto"/>
            </w:tcBorders>
            <w:hideMark/>
          </w:tcPr>
          <w:p w14:paraId="0F4B8C1C" w14:textId="6375B812" w:rsidR="00DE2335" w:rsidRPr="000F04A0" w:rsidRDefault="00DE2335" w:rsidP="001F7015">
            <w:pPr>
              <w:spacing w:after="120"/>
              <w:jc w:val="both"/>
              <w:rPr>
                <w:rFonts w:ascii="Calibri" w:hAnsi="Calibri" w:cs="Calibri"/>
                <w:sz w:val="20"/>
                <w:szCs w:val="20"/>
              </w:rPr>
            </w:pPr>
            <w:r w:rsidRPr="00371647">
              <w:rPr>
                <w:rFonts w:ascii="Calibri" w:hAnsi="Calibri" w:cs="Calibri"/>
                <w:sz w:val="20"/>
                <w:szCs w:val="20"/>
              </w:rPr>
              <w:t>L04AG</w:t>
            </w:r>
          </w:p>
        </w:tc>
      </w:tr>
      <w:tr w:rsidR="00DE2335" w:rsidRPr="000F04A0" w14:paraId="1E2138F9"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2E1958CF" w14:textId="0E8A399C" w:rsidR="00DE2335" w:rsidRPr="000F04A0" w:rsidRDefault="00DE2335" w:rsidP="001F7015">
            <w:pPr>
              <w:spacing w:after="120"/>
              <w:jc w:val="both"/>
              <w:rPr>
                <w:rFonts w:ascii="Calibri" w:hAnsi="Calibri" w:cs="Calibri"/>
                <w:sz w:val="20"/>
                <w:szCs w:val="20"/>
              </w:rPr>
            </w:pPr>
            <w:r w:rsidRPr="00F63C90">
              <w:rPr>
                <w:rFonts w:ascii="Calibri" w:hAnsi="Calibri" w:cs="Calibri"/>
                <w:sz w:val="20"/>
                <w:szCs w:val="20"/>
              </w:rPr>
              <w:t>Alemtuzumab*</w:t>
            </w:r>
          </w:p>
        </w:tc>
        <w:tc>
          <w:tcPr>
            <w:tcW w:w="1337" w:type="pct"/>
            <w:tcBorders>
              <w:top w:val="single" w:sz="4" w:space="0" w:color="auto"/>
              <w:left w:val="single" w:sz="4" w:space="0" w:color="auto"/>
              <w:bottom w:val="single" w:sz="4" w:space="0" w:color="auto"/>
              <w:right w:val="single" w:sz="4" w:space="0" w:color="auto"/>
            </w:tcBorders>
            <w:hideMark/>
          </w:tcPr>
          <w:p w14:paraId="1D70B686" w14:textId="448662EC" w:rsidR="00DE2335" w:rsidRPr="000F04A0" w:rsidRDefault="00DE2335" w:rsidP="00DE2335">
            <w:pPr>
              <w:spacing w:after="120"/>
              <w:rPr>
                <w:rFonts w:ascii="Calibri" w:hAnsi="Calibri" w:cs="Calibri"/>
                <w:sz w:val="20"/>
                <w:szCs w:val="20"/>
              </w:rPr>
            </w:pPr>
            <w:r w:rsidRPr="00C81F85">
              <w:rPr>
                <w:rFonts w:ascii="Calibri" w:hAnsi="Calibri" w:cs="Calibri"/>
                <w:sz w:val="20"/>
                <w:szCs w:val="20"/>
              </w:rPr>
              <w:t>12 mg/1.2 mL injection, 1.2 mL vial</w:t>
            </w:r>
          </w:p>
        </w:tc>
        <w:tc>
          <w:tcPr>
            <w:tcW w:w="628" w:type="pct"/>
            <w:tcBorders>
              <w:top w:val="single" w:sz="4" w:space="0" w:color="auto"/>
              <w:left w:val="single" w:sz="4" w:space="0" w:color="auto"/>
              <w:bottom w:val="single" w:sz="4" w:space="0" w:color="auto"/>
              <w:right w:val="single" w:sz="4" w:space="0" w:color="auto"/>
            </w:tcBorders>
            <w:hideMark/>
          </w:tcPr>
          <w:p w14:paraId="0816E470" w14:textId="7777777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S100 HSD Private</w:t>
            </w:r>
          </w:p>
        </w:tc>
        <w:tc>
          <w:tcPr>
            <w:tcW w:w="551" w:type="pct"/>
            <w:tcBorders>
              <w:top w:val="single" w:sz="4" w:space="0" w:color="auto"/>
              <w:left w:val="single" w:sz="4" w:space="0" w:color="auto"/>
              <w:bottom w:val="single" w:sz="4" w:space="0" w:color="auto"/>
              <w:right w:val="single" w:sz="4" w:space="0" w:color="auto"/>
            </w:tcBorders>
            <w:hideMark/>
          </w:tcPr>
          <w:p w14:paraId="7146412D" w14:textId="77777777"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10243D</w:t>
            </w:r>
          </w:p>
        </w:tc>
        <w:tc>
          <w:tcPr>
            <w:tcW w:w="1021" w:type="pct"/>
            <w:tcBorders>
              <w:top w:val="single" w:sz="4" w:space="0" w:color="auto"/>
              <w:left w:val="single" w:sz="4" w:space="0" w:color="auto"/>
              <w:bottom w:val="single" w:sz="4" w:space="0" w:color="auto"/>
              <w:right w:val="single" w:sz="4" w:space="0" w:color="auto"/>
            </w:tcBorders>
            <w:hideMark/>
          </w:tcPr>
          <w:p w14:paraId="2F3F46CC" w14:textId="3B27009D"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 xml:space="preserve">Initial </w:t>
            </w:r>
          </w:p>
        </w:tc>
        <w:tc>
          <w:tcPr>
            <w:tcW w:w="601" w:type="pct"/>
            <w:tcBorders>
              <w:top w:val="single" w:sz="4" w:space="0" w:color="auto"/>
              <w:left w:val="single" w:sz="4" w:space="0" w:color="auto"/>
              <w:bottom w:val="single" w:sz="4" w:space="0" w:color="auto"/>
              <w:right w:val="single" w:sz="4" w:space="0" w:color="auto"/>
            </w:tcBorders>
            <w:hideMark/>
          </w:tcPr>
          <w:p w14:paraId="7232B39B" w14:textId="36236A99" w:rsidR="00DE2335" w:rsidRPr="000F04A0" w:rsidRDefault="00DE2335" w:rsidP="001F7015">
            <w:pPr>
              <w:spacing w:after="120"/>
              <w:jc w:val="both"/>
              <w:rPr>
                <w:rFonts w:ascii="Calibri" w:hAnsi="Calibri" w:cs="Calibri"/>
                <w:sz w:val="20"/>
                <w:szCs w:val="20"/>
              </w:rPr>
            </w:pPr>
            <w:r w:rsidRPr="00371647">
              <w:rPr>
                <w:rFonts w:ascii="Calibri" w:hAnsi="Calibri" w:cs="Calibri"/>
                <w:sz w:val="20"/>
                <w:szCs w:val="20"/>
              </w:rPr>
              <w:t>L04AG</w:t>
            </w:r>
          </w:p>
        </w:tc>
      </w:tr>
      <w:tr w:rsidR="00DE2335" w:rsidRPr="000F04A0" w14:paraId="6D8D210D"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7B935F14" w14:textId="67D0DAFA" w:rsidR="00DE2335" w:rsidRPr="000F04A0" w:rsidRDefault="00DE2335" w:rsidP="001F7015">
            <w:pPr>
              <w:spacing w:after="120"/>
              <w:jc w:val="both"/>
              <w:rPr>
                <w:rFonts w:ascii="Calibri" w:hAnsi="Calibri" w:cs="Calibri"/>
                <w:sz w:val="20"/>
                <w:szCs w:val="20"/>
              </w:rPr>
            </w:pPr>
            <w:r w:rsidRPr="00F63C90">
              <w:rPr>
                <w:rFonts w:ascii="Calibri" w:hAnsi="Calibri" w:cs="Calibri"/>
                <w:sz w:val="20"/>
                <w:szCs w:val="20"/>
              </w:rPr>
              <w:t>Alemtuzumab*</w:t>
            </w:r>
          </w:p>
        </w:tc>
        <w:tc>
          <w:tcPr>
            <w:tcW w:w="1337" w:type="pct"/>
            <w:tcBorders>
              <w:top w:val="single" w:sz="4" w:space="0" w:color="auto"/>
              <w:left w:val="single" w:sz="4" w:space="0" w:color="auto"/>
              <w:bottom w:val="single" w:sz="4" w:space="0" w:color="auto"/>
              <w:right w:val="single" w:sz="4" w:space="0" w:color="auto"/>
            </w:tcBorders>
            <w:hideMark/>
          </w:tcPr>
          <w:p w14:paraId="5FB36C10" w14:textId="728DE1E8" w:rsidR="00DE2335" w:rsidRPr="000F04A0" w:rsidRDefault="00DE2335" w:rsidP="00DE2335">
            <w:pPr>
              <w:spacing w:after="120"/>
              <w:rPr>
                <w:rFonts w:ascii="Calibri" w:hAnsi="Calibri" w:cs="Calibri"/>
                <w:sz w:val="20"/>
                <w:szCs w:val="20"/>
              </w:rPr>
            </w:pPr>
            <w:r w:rsidRPr="00C81F85">
              <w:rPr>
                <w:rFonts w:ascii="Calibri" w:hAnsi="Calibri" w:cs="Calibri"/>
                <w:sz w:val="20"/>
                <w:szCs w:val="20"/>
              </w:rPr>
              <w:t>12 mg/1.2 mL injection, 1.2 mL vial</w:t>
            </w:r>
          </w:p>
        </w:tc>
        <w:tc>
          <w:tcPr>
            <w:tcW w:w="628" w:type="pct"/>
            <w:tcBorders>
              <w:top w:val="single" w:sz="4" w:space="0" w:color="auto"/>
              <w:left w:val="single" w:sz="4" w:space="0" w:color="auto"/>
              <w:bottom w:val="single" w:sz="4" w:space="0" w:color="auto"/>
              <w:right w:val="single" w:sz="4" w:space="0" w:color="auto"/>
            </w:tcBorders>
            <w:hideMark/>
          </w:tcPr>
          <w:p w14:paraId="01458DF0" w14:textId="7777777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S100 HSD Private</w:t>
            </w:r>
          </w:p>
        </w:tc>
        <w:tc>
          <w:tcPr>
            <w:tcW w:w="551" w:type="pct"/>
            <w:tcBorders>
              <w:top w:val="single" w:sz="4" w:space="0" w:color="auto"/>
              <w:left w:val="single" w:sz="4" w:space="0" w:color="auto"/>
              <w:bottom w:val="single" w:sz="4" w:space="0" w:color="auto"/>
              <w:right w:val="single" w:sz="4" w:space="0" w:color="auto"/>
            </w:tcBorders>
            <w:hideMark/>
          </w:tcPr>
          <w:p w14:paraId="6462E7C8" w14:textId="77777777"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10246G</w:t>
            </w:r>
          </w:p>
        </w:tc>
        <w:tc>
          <w:tcPr>
            <w:tcW w:w="1021" w:type="pct"/>
            <w:tcBorders>
              <w:top w:val="single" w:sz="4" w:space="0" w:color="auto"/>
              <w:left w:val="single" w:sz="4" w:space="0" w:color="auto"/>
              <w:bottom w:val="single" w:sz="4" w:space="0" w:color="auto"/>
              <w:right w:val="single" w:sz="4" w:space="0" w:color="auto"/>
            </w:tcBorders>
            <w:hideMark/>
          </w:tcPr>
          <w:p w14:paraId="4162DB51" w14:textId="624F575B"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 xml:space="preserve">Continuing </w:t>
            </w:r>
          </w:p>
        </w:tc>
        <w:tc>
          <w:tcPr>
            <w:tcW w:w="601" w:type="pct"/>
            <w:tcBorders>
              <w:top w:val="single" w:sz="4" w:space="0" w:color="auto"/>
              <w:left w:val="single" w:sz="4" w:space="0" w:color="auto"/>
              <w:bottom w:val="single" w:sz="4" w:space="0" w:color="auto"/>
              <w:right w:val="single" w:sz="4" w:space="0" w:color="auto"/>
            </w:tcBorders>
            <w:hideMark/>
          </w:tcPr>
          <w:p w14:paraId="62338549" w14:textId="07BD442E" w:rsidR="00DE2335" w:rsidRPr="000F04A0" w:rsidRDefault="00DE2335" w:rsidP="001F7015">
            <w:pPr>
              <w:spacing w:after="120"/>
              <w:jc w:val="both"/>
              <w:rPr>
                <w:rFonts w:ascii="Calibri" w:hAnsi="Calibri" w:cs="Calibri"/>
                <w:sz w:val="20"/>
                <w:szCs w:val="20"/>
              </w:rPr>
            </w:pPr>
            <w:r w:rsidRPr="00371647">
              <w:rPr>
                <w:rFonts w:ascii="Calibri" w:hAnsi="Calibri" w:cs="Calibri"/>
                <w:sz w:val="20"/>
                <w:szCs w:val="20"/>
              </w:rPr>
              <w:t>L04AG</w:t>
            </w:r>
          </w:p>
        </w:tc>
      </w:tr>
      <w:tr w:rsidR="00DE2335" w:rsidRPr="000F04A0" w14:paraId="48DA00F7"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5A39E044"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Natalizumab</w:t>
            </w:r>
          </w:p>
        </w:tc>
        <w:tc>
          <w:tcPr>
            <w:tcW w:w="1337" w:type="pct"/>
            <w:tcBorders>
              <w:top w:val="single" w:sz="4" w:space="0" w:color="auto"/>
              <w:left w:val="single" w:sz="4" w:space="0" w:color="auto"/>
              <w:bottom w:val="single" w:sz="4" w:space="0" w:color="auto"/>
              <w:right w:val="single" w:sz="4" w:space="0" w:color="auto"/>
            </w:tcBorders>
            <w:hideMark/>
          </w:tcPr>
          <w:p w14:paraId="795D63F2" w14:textId="482069E2"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300 mg/15 mL injection, 15 mL vial</w:t>
            </w:r>
          </w:p>
        </w:tc>
        <w:tc>
          <w:tcPr>
            <w:tcW w:w="628" w:type="pct"/>
            <w:tcBorders>
              <w:top w:val="single" w:sz="4" w:space="0" w:color="auto"/>
              <w:left w:val="single" w:sz="4" w:space="0" w:color="auto"/>
              <w:bottom w:val="single" w:sz="4" w:space="0" w:color="auto"/>
              <w:right w:val="single" w:sz="4" w:space="0" w:color="auto"/>
            </w:tcBorders>
            <w:hideMark/>
          </w:tcPr>
          <w:p w14:paraId="0ED0338D" w14:textId="7777777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S100 HSD Public</w:t>
            </w:r>
          </w:p>
        </w:tc>
        <w:tc>
          <w:tcPr>
            <w:tcW w:w="551" w:type="pct"/>
            <w:tcBorders>
              <w:top w:val="single" w:sz="4" w:space="0" w:color="auto"/>
              <w:left w:val="single" w:sz="4" w:space="0" w:color="auto"/>
              <w:bottom w:val="single" w:sz="4" w:space="0" w:color="auto"/>
              <w:right w:val="single" w:sz="4" w:space="0" w:color="auto"/>
            </w:tcBorders>
            <w:hideMark/>
          </w:tcPr>
          <w:p w14:paraId="64566CC8"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9505G</w:t>
            </w:r>
          </w:p>
        </w:tc>
        <w:tc>
          <w:tcPr>
            <w:tcW w:w="1021" w:type="pct"/>
            <w:tcBorders>
              <w:top w:val="single" w:sz="4" w:space="0" w:color="auto"/>
              <w:left w:val="single" w:sz="4" w:space="0" w:color="auto"/>
              <w:bottom w:val="single" w:sz="4" w:space="0" w:color="auto"/>
              <w:right w:val="single" w:sz="4" w:space="0" w:color="auto"/>
            </w:tcBorders>
            <w:hideMark/>
          </w:tcPr>
          <w:p w14:paraId="62981636"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N/A</w:t>
            </w:r>
          </w:p>
        </w:tc>
        <w:tc>
          <w:tcPr>
            <w:tcW w:w="601" w:type="pct"/>
            <w:tcBorders>
              <w:top w:val="single" w:sz="4" w:space="0" w:color="auto"/>
              <w:left w:val="single" w:sz="4" w:space="0" w:color="auto"/>
              <w:bottom w:val="single" w:sz="4" w:space="0" w:color="auto"/>
              <w:right w:val="single" w:sz="4" w:space="0" w:color="auto"/>
            </w:tcBorders>
            <w:hideMark/>
          </w:tcPr>
          <w:p w14:paraId="2C014C54"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L04AG</w:t>
            </w:r>
          </w:p>
        </w:tc>
      </w:tr>
      <w:tr w:rsidR="00DE2335" w:rsidRPr="000F04A0" w14:paraId="5B7A234A"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6E63E463" w14:textId="5F4C92A3" w:rsidR="00DE2335" w:rsidRPr="000F04A0" w:rsidRDefault="00DE2335" w:rsidP="001F7015">
            <w:pPr>
              <w:spacing w:after="120"/>
              <w:jc w:val="both"/>
              <w:rPr>
                <w:rFonts w:ascii="Calibri" w:hAnsi="Calibri" w:cs="Calibri"/>
                <w:sz w:val="20"/>
                <w:szCs w:val="20"/>
              </w:rPr>
            </w:pPr>
            <w:r w:rsidRPr="003A1908">
              <w:rPr>
                <w:rFonts w:ascii="Calibri" w:hAnsi="Calibri" w:cs="Calibri"/>
                <w:sz w:val="20"/>
                <w:szCs w:val="20"/>
              </w:rPr>
              <w:t>Natalizumab</w:t>
            </w:r>
          </w:p>
        </w:tc>
        <w:tc>
          <w:tcPr>
            <w:tcW w:w="1337" w:type="pct"/>
            <w:tcBorders>
              <w:top w:val="single" w:sz="4" w:space="0" w:color="auto"/>
              <w:left w:val="single" w:sz="4" w:space="0" w:color="auto"/>
              <w:bottom w:val="single" w:sz="4" w:space="0" w:color="auto"/>
              <w:right w:val="single" w:sz="4" w:space="0" w:color="auto"/>
            </w:tcBorders>
            <w:hideMark/>
          </w:tcPr>
          <w:p w14:paraId="093D8FF2" w14:textId="1E8ACC75"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300 mg/15 mL injection, 15 mL vial</w:t>
            </w:r>
          </w:p>
        </w:tc>
        <w:tc>
          <w:tcPr>
            <w:tcW w:w="628" w:type="pct"/>
            <w:tcBorders>
              <w:top w:val="single" w:sz="4" w:space="0" w:color="auto"/>
              <w:left w:val="single" w:sz="4" w:space="0" w:color="auto"/>
              <w:bottom w:val="single" w:sz="4" w:space="0" w:color="auto"/>
              <w:right w:val="single" w:sz="4" w:space="0" w:color="auto"/>
            </w:tcBorders>
            <w:hideMark/>
          </w:tcPr>
          <w:p w14:paraId="19C7F2A2" w14:textId="7777777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S100 HSD Private</w:t>
            </w:r>
          </w:p>
        </w:tc>
        <w:tc>
          <w:tcPr>
            <w:tcW w:w="551" w:type="pct"/>
            <w:tcBorders>
              <w:top w:val="single" w:sz="4" w:space="0" w:color="auto"/>
              <w:left w:val="single" w:sz="4" w:space="0" w:color="auto"/>
              <w:bottom w:val="single" w:sz="4" w:space="0" w:color="auto"/>
              <w:right w:val="single" w:sz="4" w:space="0" w:color="auto"/>
            </w:tcBorders>
            <w:hideMark/>
          </w:tcPr>
          <w:p w14:paraId="26B401C7" w14:textId="77777777"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9624M</w:t>
            </w:r>
          </w:p>
        </w:tc>
        <w:tc>
          <w:tcPr>
            <w:tcW w:w="1021" w:type="pct"/>
            <w:tcBorders>
              <w:top w:val="single" w:sz="4" w:space="0" w:color="auto"/>
              <w:left w:val="single" w:sz="4" w:space="0" w:color="auto"/>
              <w:bottom w:val="single" w:sz="4" w:space="0" w:color="auto"/>
              <w:right w:val="single" w:sz="4" w:space="0" w:color="auto"/>
            </w:tcBorders>
            <w:hideMark/>
          </w:tcPr>
          <w:p w14:paraId="62B4E95C" w14:textId="77777777"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N/A</w:t>
            </w:r>
          </w:p>
        </w:tc>
        <w:tc>
          <w:tcPr>
            <w:tcW w:w="601" w:type="pct"/>
            <w:tcBorders>
              <w:top w:val="single" w:sz="4" w:space="0" w:color="auto"/>
              <w:left w:val="single" w:sz="4" w:space="0" w:color="auto"/>
              <w:bottom w:val="single" w:sz="4" w:space="0" w:color="auto"/>
              <w:right w:val="single" w:sz="4" w:space="0" w:color="auto"/>
            </w:tcBorders>
            <w:hideMark/>
          </w:tcPr>
          <w:p w14:paraId="537570ED" w14:textId="37213622" w:rsidR="00DE2335" w:rsidRPr="000F04A0" w:rsidRDefault="00DE2335" w:rsidP="001F7015">
            <w:pPr>
              <w:spacing w:after="120"/>
              <w:jc w:val="both"/>
              <w:rPr>
                <w:rFonts w:ascii="Calibri" w:hAnsi="Calibri" w:cs="Calibri"/>
                <w:sz w:val="20"/>
                <w:szCs w:val="20"/>
              </w:rPr>
            </w:pPr>
            <w:r w:rsidRPr="00126DE8">
              <w:rPr>
                <w:rFonts w:ascii="Calibri" w:hAnsi="Calibri" w:cs="Calibri"/>
                <w:sz w:val="20"/>
                <w:szCs w:val="20"/>
              </w:rPr>
              <w:t>L04AG</w:t>
            </w:r>
          </w:p>
        </w:tc>
      </w:tr>
      <w:tr w:rsidR="00DE2335" w:rsidRPr="000F04A0" w14:paraId="0DAADADB"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77A8BD00" w14:textId="17A26EBA" w:rsidR="00DE2335" w:rsidRPr="000F04A0" w:rsidRDefault="00DE2335" w:rsidP="001F7015">
            <w:pPr>
              <w:spacing w:after="120"/>
              <w:jc w:val="both"/>
              <w:rPr>
                <w:rFonts w:ascii="Calibri" w:hAnsi="Calibri" w:cs="Calibri"/>
                <w:sz w:val="20"/>
                <w:szCs w:val="20"/>
              </w:rPr>
            </w:pPr>
            <w:r w:rsidRPr="003A1908">
              <w:rPr>
                <w:rFonts w:ascii="Calibri" w:hAnsi="Calibri" w:cs="Calibri"/>
                <w:sz w:val="20"/>
                <w:szCs w:val="20"/>
              </w:rPr>
              <w:t>Natalizumab</w:t>
            </w:r>
          </w:p>
        </w:tc>
        <w:tc>
          <w:tcPr>
            <w:tcW w:w="1337" w:type="pct"/>
            <w:tcBorders>
              <w:top w:val="single" w:sz="4" w:space="0" w:color="auto"/>
              <w:left w:val="single" w:sz="4" w:space="0" w:color="auto"/>
              <w:bottom w:val="single" w:sz="4" w:space="0" w:color="auto"/>
              <w:right w:val="single" w:sz="4" w:space="0" w:color="auto"/>
            </w:tcBorders>
            <w:hideMark/>
          </w:tcPr>
          <w:p w14:paraId="1F679127" w14:textId="4DD277AC"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150 mg/mL injection, 2 x 1 mL syringes</w:t>
            </w:r>
          </w:p>
        </w:tc>
        <w:tc>
          <w:tcPr>
            <w:tcW w:w="628" w:type="pct"/>
            <w:tcBorders>
              <w:top w:val="single" w:sz="4" w:space="0" w:color="auto"/>
              <w:left w:val="single" w:sz="4" w:space="0" w:color="auto"/>
              <w:bottom w:val="single" w:sz="4" w:space="0" w:color="auto"/>
              <w:right w:val="single" w:sz="4" w:space="0" w:color="auto"/>
            </w:tcBorders>
            <w:hideMark/>
          </w:tcPr>
          <w:p w14:paraId="63384B39" w14:textId="7777777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S100 HSD Private</w:t>
            </w:r>
          </w:p>
        </w:tc>
        <w:tc>
          <w:tcPr>
            <w:tcW w:w="551" w:type="pct"/>
            <w:tcBorders>
              <w:top w:val="single" w:sz="4" w:space="0" w:color="auto"/>
              <w:left w:val="single" w:sz="4" w:space="0" w:color="auto"/>
              <w:bottom w:val="single" w:sz="4" w:space="0" w:color="auto"/>
              <w:right w:val="single" w:sz="4" w:space="0" w:color="auto"/>
            </w:tcBorders>
            <w:hideMark/>
          </w:tcPr>
          <w:p w14:paraId="01AAC38B" w14:textId="77777777"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13820J</w:t>
            </w:r>
          </w:p>
        </w:tc>
        <w:tc>
          <w:tcPr>
            <w:tcW w:w="1021" w:type="pct"/>
            <w:tcBorders>
              <w:top w:val="single" w:sz="4" w:space="0" w:color="auto"/>
              <w:left w:val="single" w:sz="4" w:space="0" w:color="auto"/>
              <w:bottom w:val="single" w:sz="4" w:space="0" w:color="auto"/>
              <w:right w:val="single" w:sz="4" w:space="0" w:color="auto"/>
            </w:tcBorders>
            <w:hideMark/>
          </w:tcPr>
          <w:p w14:paraId="0F1C6C50" w14:textId="77777777"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N/A</w:t>
            </w:r>
          </w:p>
        </w:tc>
        <w:tc>
          <w:tcPr>
            <w:tcW w:w="601" w:type="pct"/>
            <w:tcBorders>
              <w:top w:val="single" w:sz="4" w:space="0" w:color="auto"/>
              <w:left w:val="single" w:sz="4" w:space="0" w:color="auto"/>
              <w:bottom w:val="single" w:sz="4" w:space="0" w:color="auto"/>
              <w:right w:val="single" w:sz="4" w:space="0" w:color="auto"/>
            </w:tcBorders>
            <w:hideMark/>
          </w:tcPr>
          <w:p w14:paraId="0AF5AAEC" w14:textId="10268781" w:rsidR="00DE2335" w:rsidRPr="000F04A0" w:rsidRDefault="00DE2335" w:rsidP="001F7015">
            <w:pPr>
              <w:spacing w:after="120"/>
              <w:jc w:val="both"/>
              <w:rPr>
                <w:rFonts w:ascii="Calibri" w:hAnsi="Calibri" w:cs="Calibri"/>
                <w:sz w:val="20"/>
                <w:szCs w:val="20"/>
              </w:rPr>
            </w:pPr>
            <w:r w:rsidRPr="00126DE8">
              <w:rPr>
                <w:rFonts w:ascii="Calibri" w:hAnsi="Calibri" w:cs="Calibri"/>
                <w:sz w:val="20"/>
                <w:szCs w:val="20"/>
              </w:rPr>
              <w:t>L04AG</w:t>
            </w:r>
          </w:p>
        </w:tc>
      </w:tr>
      <w:tr w:rsidR="00DE2335" w:rsidRPr="000F04A0" w14:paraId="24779C14"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6E9AC318" w14:textId="4D7EA48B" w:rsidR="00DE2335" w:rsidRPr="000F04A0" w:rsidRDefault="00DE2335" w:rsidP="001F7015">
            <w:pPr>
              <w:spacing w:after="120"/>
              <w:jc w:val="both"/>
              <w:rPr>
                <w:rFonts w:ascii="Calibri" w:hAnsi="Calibri" w:cs="Calibri"/>
                <w:sz w:val="20"/>
                <w:szCs w:val="20"/>
              </w:rPr>
            </w:pPr>
            <w:r w:rsidRPr="003A1908">
              <w:rPr>
                <w:rFonts w:ascii="Calibri" w:hAnsi="Calibri" w:cs="Calibri"/>
                <w:sz w:val="20"/>
                <w:szCs w:val="20"/>
              </w:rPr>
              <w:t>Natalizumab</w:t>
            </w:r>
          </w:p>
        </w:tc>
        <w:tc>
          <w:tcPr>
            <w:tcW w:w="1337" w:type="pct"/>
            <w:tcBorders>
              <w:top w:val="single" w:sz="4" w:space="0" w:color="auto"/>
              <w:left w:val="single" w:sz="4" w:space="0" w:color="auto"/>
              <w:bottom w:val="single" w:sz="4" w:space="0" w:color="auto"/>
              <w:right w:val="single" w:sz="4" w:space="0" w:color="auto"/>
            </w:tcBorders>
            <w:hideMark/>
          </w:tcPr>
          <w:p w14:paraId="423B711F" w14:textId="1E45F32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150 mg/mL injection, 2 x 1 mL syringes</w:t>
            </w:r>
          </w:p>
        </w:tc>
        <w:tc>
          <w:tcPr>
            <w:tcW w:w="628" w:type="pct"/>
            <w:tcBorders>
              <w:top w:val="single" w:sz="4" w:space="0" w:color="auto"/>
              <w:left w:val="single" w:sz="4" w:space="0" w:color="auto"/>
              <w:bottom w:val="single" w:sz="4" w:space="0" w:color="auto"/>
              <w:right w:val="single" w:sz="4" w:space="0" w:color="auto"/>
            </w:tcBorders>
            <w:hideMark/>
          </w:tcPr>
          <w:p w14:paraId="7D6F8069" w14:textId="7777777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S100 HSD Public</w:t>
            </w:r>
          </w:p>
        </w:tc>
        <w:tc>
          <w:tcPr>
            <w:tcW w:w="551" w:type="pct"/>
            <w:tcBorders>
              <w:top w:val="single" w:sz="4" w:space="0" w:color="auto"/>
              <w:left w:val="single" w:sz="4" w:space="0" w:color="auto"/>
              <w:bottom w:val="single" w:sz="4" w:space="0" w:color="auto"/>
              <w:right w:val="single" w:sz="4" w:space="0" w:color="auto"/>
            </w:tcBorders>
            <w:hideMark/>
          </w:tcPr>
          <w:p w14:paraId="399E274B" w14:textId="77777777"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13825P</w:t>
            </w:r>
          </w:p>
        </w:tc>
        <w:tc>
          <w:tcPr>
            <w:tcW w:w="1021" w:type="pct"/>
            <w:tcBorders>
              <w:top w:val="single" w:sz="4" w:space="0" w:color="auto"/>
              <w:left w:val="single" w:sz="4" w:space="0" w:color="auto"/>
              <w:bottom w:val="single" w:sz="4" w:space="0" w:color="auto"/>
              <w:right w:val="single" w:sz="4" w:space="0" w:color="auto"/>
            </w:tcBorders>
            <w:hideMark/>
          </w:tcPr>
          <w:p w14:paraId="03563880" w14:textId="77777777"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N/A</w:t>
            </w:r>
          </w:p>
        </w:tc>
        <w:tc>
          <w:tcPr>
            <w:tcW w:w="601" w:type="pct"/>
            <w:tcBorders>
              <w:top w:val="single" w:sz="4" w:space="0" w:color="auto"/>
              <w:left w:val="single" w:sz="4" w:space="0" w:color="auto"/>
              <w:bottom w:val="single" w:sz="4" w:space="0" w:color="auto"/>
              <w:right w:val="single" w:sz="4" w:space="0" w:color="auto"/>
            </w:tcBorders>
            <w:hideMark/>
          </w:tcPr>
          <w:p w14:paraId="3C8DBC25" w14:textId="3129087A" w:rsidR="00DE2335" w:rsidRPr="000F04A0" w:rsidRDefault="00DE2335" w:rsidP="001F7015">
            <w:pPr>
              <w:spacing w:after="120"/>
              <w:jc w:val="both"/>
              <w:rPr>
                <w:rFonts w:ascii="Calibri" w:hAnsi="Calibri" w:cs="Calibri"/>
                <w:sz w:val="20"/>
                <w:szCs w:val="20"/>
              </w:rPr>
            </w:pPr>
            <w:r w:rsidRPr="00126DE8">
              <w:rPr>
                <w:rFonts w:ascii="Calibri" w:hAnsi="Calibri" w:cs="Calibri"/>
                <w:sz w:val="20"/>
                <w:szCs w:val="20"/>
              </w:rPr>
              <w:t>L04AG</w:t>
            </w:r>
          </w:p>
        </w:tc>
      </w:tr>
      <w:tr w:rsidR="00DE2335" w:rsidRPr="000F04A0" w14:paraId="53FEF4A1"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1BAB6D6E"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Ocrelizumab*</w:t>
            </w:r>
          </w:p>
        </w:tc>
        <w:tc>
          <w:tcPr>
            <w:tcW w:w="1337" w:type="pct"/>
            <w:tcBorders>
              <w:top w:val="single" w:sz="4" w:space="0" w:color="auto"/>
              <w:left w:val="single" w:sz="4" w:space="0" w:color="auto"/>
              <w:bottom w:val="single" w:sz="4" w:space="0" w:color="auto"/>
              <w:right w:val="single" w:sz="4" w:space="0" w:color="auto"/>
            </w:tcBorders>
            <w:hideMark/>
          </w:tcPr>
          <w:p w14:paraId="1A91D75A" w14:textId="7C8DE7B2"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300 mg/10 mL injection, 10 mL vial</w:t>
            </w:r>
          </w:p>
        </w:tc>
        <w:tc>
          <w:tcPr>
            <w:tcW w:w="628" w:type="pct"/>
            <w:tcBorders>
              <w:top w:val="single" w:sz="4" w:space="0" w:color="auto"/>
              <w:left w:val="single" w:sz="4" w:space="0" w:color="auto"/>
              <w:bottom w:val="single" w:sz="4" w:space="0" w:color="auto"/>
              <w:right w:val="single" w:sz="4" w:space="0" w:color="auto"/>
            </w:tcBorders>
            <w:hideMark/>
          </w:tcPr>
          <w:p w14:paraId="67FF489F" w14:textId="7777777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S100 HSD Private</w:t>
            </w:r>
          </w:p>
        </w:tc>
        <w:tc>
          <w:tcPr>
            <w:tcW w:w="551" w:type="pct"/>
            <w:tcBorders>
              <w:top w:val="single" w:sz="4" w:space="0" w:color="auto"/>
              <w:left w:val="single" w:sz="4" w:space="0" w:color="auto"/>
              <w:bottom w:val="single" w:sz="4" w:space="0" w:color="auto"/>
              <w:right w:val="single" w:sz="4" w:space="0" w:color="auto"/>
            </w:tcBorders>
            <w:hideMark/>
          </w:tcPr>
          <w:p w14:paraId="4791ED0E"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11237K</w:t>
            </w:r>
          </w:p>
        </w:tc>
        <w:tc>
          <w:tcPr>
            <w:tcW w:w="1021" w:type="pct"/>
            <w:tcBorders>
              <w:top w:val="single" w:sz="4" w:space="0" w:color="auto"/>
              <w:left w:val="single" w:sz="4" w:space="0" w:color="auto"/>
              <w:bottom w:val="single" w:sz="4" w:space="0" w:color="auto"/>
              <w:right w:val="single" w:sz="4" w:space="0" w:color="auto"/>
            </w:tcBorders>
          </w:tcPr>
          <w:p w14:paraId="7922C712" w14:textId="617A77FC"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p>
        </w:tc>
        <w:tc>
          <w:tcPr>
            <w:tcW w:w="601" w:type="pct"/>
            <w:tcBorders>
              <w:top w:val="single" w:sz="4" w:space="0" w:color="auto"/>
              <w:left w:val="single" w:sz="4" w:space="0" w:color="auto"/>
              <w:bottom w:val="single" w:sz="4" w:space="0" w:color="auto"/>
              <w:right w:val="single" w:sz="4" w:space="0" w:color="auto"/>
            </w:tcBorders>
            <w:hideMark/>
          </w:tcPr>
          <w:p w14:paraId="05EF9A4B"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L04AG</w:t>
            </w:r>
          </w:p>
        </w:tc>
      </w:tr>
      <w:tr w:rsidR="00DE2335" w:rsidRPr="000F04A0" w14:paraId="411923C1"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76FBA5F8" w14:textId="742630BF" w:rsidR="00DE2335" w:rsidRPr="000F04A0" w:rsidRDefault="00DE2335" w:rsidP="001F7015">
            <w:pPr>
              <w:spacing w:after="120"/>
              <w:rPr>
                <w:rFonts w:ascii="Calibri" w:hAnsi="Calibri" w:cs="Calibri"/>
                <w:sz w:val="20"/>
                <w:szCs w:val="20"/>
              </w:rPr>
            </w:pPr>
            <w:r w:rsidRPr="000F04A0">
              <w:rPr>
                <w:rFonts w:ascii="Calibri" w:hAnsi="Calibri" w:cs="Calibri"/>
                <w:sz w:val="20"/>
                <w:szCs w:val="20"/>
              </w:rPr>
              <w:t>Ocrelizumab*</w:t>
            </w:r>
          </w:p>
        </w:tc>
        <w:tc>
          <w:tcPr>
            <w:tcW w:w="1337" w:type="pct"/>
            <w:tcBorders>
              <w:top w:val="single" w:sz="4" w:space="0" w:color="auto"/>
              <w:left w:val="single" w:sz="4" w:space="0" w:color="auto"/>
              <w:bottom w:val="single" w:sz="4" w:space="0" w:color="auto"/>
              <w:right w:val="single" w:sz="4" w:space="0" w:color="auto"/>
            </w:tcBorders>
            <w:hideMark/>
          </w:tcPr>
          <w:p w14:paraId="2F1B00FF" w14:textId="6AFE9145"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300 mg/10 mL injection, 10 mL vial</w:t>
            </w:r>
          </w:p>
        </w:tc>
        <w:tc>
          <w:tcPr>
            <w:tcW w:w="628" w:type="pct"/>
            <w:tcBorders>
              <w:top w:val="single" w:sz="4" w:space="0" w:color="auto"/>
              <w:left w:val="single" w:sz="4" w:space="0" w:color="auto"/>
              <w:bottom w:val="single" w:sz="4" w:space="0" w:color="auto"/>
              <w:right w:val="single" w:sz="4" w:space="0" w:color="auto"/>
            </w:tcBorders>
            <w:hideMark/>
          </w:tcPr>
          <w:p w14:paraId="3A0211AD" w14:textId="7777777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S100 HSD Public</w:t>
            </w:r>
          </w:p>
        </w:tc>
        <w:tc>
          <w:tcPr>
            <w:tcW w:w="551" w:type="pct"/>
            <w:tcBorders>
              <w:top w:val="single" w:sz="4" w:space="0" w:color="auto"/>
              <w:left w:val="single" w:sz="4" w:space="0" w:color="auto"/>
              <w:bottom w:val="single" w:sz="4" w:space="0" w:color="auto"/>
              <w:right w:val="single" w:sz="4" w:space="0" w:color="auto"/>
            </w:tcBorders>
            <w:hideMark/>
          </w:tcPr>
          <w:p w14:paraId="7C6CE7EB"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11242Q</w:t>
            </w:r>
          </w:p>
        </w:tc>
        <w:tc>
          <w:tcPr>
            <w:tcW w:w="1021" w:type="pct"/>
            <w:tcBorders>
              <w:top w:val="single" w:sz="4" w:space="0" w:color="auto"/>
              <w:left w:val="single" w:sz="4" w:space="0" w:color="auto"/>
              <w:bottom w:val="single" w:sz="4" w:space="0" w:color="auto"/>
              <w:right w:val="single" w:sz="4" w:space="0" w:color="auto"/>
            </w:tcBorders>
          </w:tcPr>
          <w:p w14:paraId="76F52E25" w14:textId="3259E55A"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hideMark/>
          </w:tcPr>
          <w:p w14:paraId="6DAA80B9" w14:textId="7402433F" w:rsidR="00DE2335" w:rsidRPr="000F04A0" w:rsidRDefault="00DE2335" w:rsidP="001F7015">
            <w:pPr>
              <w:spacing w:after="120"/>
              <w:rPr>
                <w:rFonts w:ascii="Calibri" w:hAnsi="Calibri" w:cs="Calibri"/>
                <w:sz w:val="20"/>
                <w:szCs w:val="20"/>
              </w:rPr>
            </w:pPr>
            <w:r w:rsidRPr="000F04A0">
              <w:rPr>
                <w:rFonts w:ascii="Calibri" w:hAnsi="Calibri" w:cs="Calibri"/>
                <w:sz w:val="20"/>
                <w:szCs w:val="20"/>
              </w:rPr>
              <w:t>L04AG</w:t>
            </w:r>
          </w:p>
        </w:tc>
      </w:tr>
      <w:tr w:rsidR="00DE2335" w:rsidRPr="000F04A0" w14:paraId="3EC6BA15"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7C7D8857"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Ozanimod*</w:t>
            </w:r>
          </w:p>
        </w:tc>
        <w:tc>
          <w:tcPr>
            <w:tcW w:w="1337" w:type="pct"/>
            <w:tcBorders>
              <w:top w:val="single" w:sz="4" w:space="0" w:color="auto"/>
              <w:left w:val="single" w:sz="4" w:space="0" w:color="auto"/>
              <w:bottom w:val="single" w:sz="4" w:space="0" w:color="auto"/>
              <w:right w:val="single" w:sz="4" w:space="0" w:color="auto"/>
            </w:tcBorders>
            <w:hideMark/>
          </w:tcPr>
          <w:p w14:paraId="76E45AA7" w14:textId="4317FCC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 xml:space="preserve">920 microgram </w:t>
            </w:r>
            <w:proofErr w:type="gramStart"/>
            <w:r w:rsidRPr="000F04A0">
              <w:rPr>
                <w:rFonts w:ascii="Calibri" w:hAnsi="Calibri" w:cs="Calibri"/>
                <w:sz w:val="20"/>
                <w:szCs w:val="20"/>
              </w:rPr>
              <w:t>capsule</w:t>
            </w:r>
            <w:proofErr w:type="gramEnd"/>
            <w:r w:rsidRPr="000F04A0">
              <w:rPr>
                <w:rFonts w:ascii="Calibri" w:hAnsi="Calibri" w:cs="Calibri"/>
                <w:sz w:val="20"/>
                <w:szCs w:val="20"/>
              </w:rPr>
              <w:t>, 28</w:t>
            </w:r>
          </w:p>
        </w:tc>
        <w:tc>
          <w:tcPr>
            <w:tcW w:w="628" w:type="pct"/>
            <w:tcBorders>
              <w:top w:val="single" w:sz="4" w:space="0" w:color="auto"/>
              <w:left w:val="single" w:sz="4" w:space="0" w:color="auto"/>
              <w:bottom w:val="single" w:sz="4" w:space="0" w:color="auto"/>
              <w:right w:val="single" w:sz="4" w:space="0" w:color="auto"/>
            </w:tcBorders>
            <w:hideMark/>
          </w:tcPr>
          <w:p w14:paraId="3176ABFC" w14:textId="428D8113"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30B0AB01"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12271W</w:t>
            </w:r>
          </w:p>
        </w:tc>
        <w:tc>
          <w:tcPr>
            <w:tcW w:w="1021" w:type="pct"/>
            <w:tcBorders>
              <w:top w:val="single" w:sz="4" w:space="0" w:color="auto"/>
              <w:left w:val="single" w:sz="4" w:space="0" w:color="auto"/>
              <w:bottom w:val="single" w:sz="4" w:space="0" w:color="auto"/>
              <w:right w:val="single" w:sz="4" w:space="0" w:color="auto"/>
            </w:tcBorders>
          </w:tcPr>
          <w:p w14:paraId="493E927E" w14:textId="12945F0C"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hideMark/>
          </w:tcPr>
          <w:p w14:paraId="4CF06E5D"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L04AE</w:t>
            </w:r>
          </w:p>
        </w:tc>
      </w:tr>
      <w:tr w:rsidR="00DE2335" w:rsidRPr="000F04A0" w14:paraId="04923DD3"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68DD83D4" w14:textId="1E10A9F8" w:rsidR="00DE2335" w:rsidRPr="000F04A0" w:rsidRDefault="00DE2335" w:rsidP="001F7015">
            <w:pPr>
              <w:spacing w:after="120"/>
              <w:rPr>
                <w:rFonts w:ascii="Calibri" w:hAnsi="Calibri" w:cs="Calibri"/>
                <w:sz w:val="20"/>
                <w:szCs w:val="20"/>
              </w:rPr>
            </w:pPr>
            <w:r w:rsidRPr="000F04A0">
              <w:rPr>
                <w:rFonts w:ascii="Calibri" w:hAnsi="Calibri" w:cs="Calibri"/>
                <w:sz w:val="20"/>
                <w:szCs w:val="20"/>
              </w:rPr>
              <w:t>Ozanimod*</w:t>
            </w:r>
          </w:p>
        </w:tc>
        <w:tc>
          <w:tcPr>
            <w:tcW w:w="1337" w:type="pct"/>
            <w:tcBorders>
              <w:top w:val="single" w:sz="4" w:space="0" w:color="auto"/>
              <w:left w:val="single" w:sz="4" w:space="0" w:color="auto"/>
              <w:bottom w:val="single" w:sz="4" w:space="0" w:color="auto"/>
              <w:right w:val="single" w:sz="4" w:space="0" w:color="auto"/>
            </w:tcBorders>
            <w:hideMark/>
          </w:tcPr>
          <w:p w14:paraId="151751CE" w14:textId="75C7CAE2"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 xml:space="preserve">230 microgram </w:t>
            </w:r>
            <w:proofErr w:type="gramStart"/>
            <w:r w:rsidRPr="000F04A0">
              <w:rPr>
                <w:rFonts w:ascii="Calibri" w:hAnsi="Calibri" w:cs="Calibri"/>
                <w:sz w:val="20"/>
                <w:szCs w:val="20"/>
              </w:rPr>
              <w:t>capsule</w:t>
            </w:r>
            <w:proofErr w:type="gramEnd"/>
            <w:r w:rsidRPr="000F04A0">
              <w:rPr>
                <w:rFonts w:ascii="Calibri" w:hAnsi="Calibri" w:cs="Calibri"/>
                <w:sz w:val="20"/>
                <w:szCs w:val="20"/>
              </w:rPr>
              <w:t xml:space="preserve"> [4] (&amp;)</w:t>
            </w:r>
            <w:r>
              <w:rPr>
                <w:rFonts w:ascii="Calibri" w:hAnsi="Calibri" w:cs="Calibri"/>
                <w:sz w:val="20"/>
                <w:szCs w:val="20"/>
              </w:rPr>
              <w:t xml:space="preserve"> </w:t>
            </w:r>
            <w:r w:rsidRPr="000F04A0">
              <w:rPr>
                <w:rFonts w:ascii="Calibri" w:hAnsi="Calibri" w:cs="Calibri"/>
                <w:sz w:val="20"/>
                <w:szCs w:val="20"/>
              </w:rPr>
              <w:t xml:space="preserve">460 microgram </w:t>
            </w:r>
            <w:proofErr w:type="gramStart"/>
            <w:r w:rsidRPr="000F04A0">
              <w:rPr>
                <w:rFonts w:ascii="Calibri" w:hAnsi="Calibri" w:cs="Calibri"/>
                <w:sz w:val="20"/>
                <w:szCs w:val="20"/>
              </w:rPr>
              <w:t>capsule</w:t>
            </w:r>
            <w:proofErr w:type="gramEnd"/>
            <w:r w:rsidRPr="000F04A0">
              <w:rPr>
                <w:rFonts w:ascii="Calibri" w:hAnsi="Calibri" w:cs="Calibri"/>
                <w:sz w:val="20"/>
                <w:szCs w:val="20"/>
              </w:rPr>
              <w:t xml:space="preserve"> [3], 7</w:t>
            </w:r>
          </w:p>
        </w:tc>
        <w:tc>
          <w:tcPr>
            <w:tcW w:w="628" w:type="pct"/>
            <w:tcBorders>
              <w:top w:val="single" w:sz="4" w:space="0" w:color="auto"/>
              <w:left w:val="single" w:sz="4" w:space="0" w:color="auto"/>
              <w:bottom w:val="single" w:sz="4" w:space="0" w:color="auto"/>
              <w:right w:val="single" w:sz="4" w:space="0" w:color="auto"/>
            </w:tcBorders>
            <w:hideMark/>
          </w:tcPr>
          <w:p w14:paraId="3AAA13FE" w14:textId="499D8ACC"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29CDCE0B"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12278F</w:t>
            </w:r>
          </w:p>
        </w:tc>
        <w:tc>
          <w:tcPr>
            <w:tcW w:w="1021" w:type="pct"/>
            <w:tcBorders>
              <w:top w:val="single" w:sz="4" w:space="0" w:color="auto"/>
              <w:left w:val="single" w:sz="4" w:space="0" w:color="auto"/>
              <w:bottom w:val="single" w:sz="4" w:space="0" w:color="auto"/>
              <w:right w:val="single" w:sz="4" w:space="0" w:color="auto"/>
            </w:tcBorders>
          </w:tcPr>
          <w:p w14:paraId="223F20DB" w14:textId="761BAC9B"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hideMark/>
          </w:tcPr>
          <w:p w14:paraId="1CCD21B1" w14:textId="60579E6F" w:rsidR="00DE2335" w:rsidRPr="000F04A0" w:rsidRDefault="00DE2335" w:rsidP="001F7015">
            <w:pPr>
              <w:spacing w:after="120"/>
              <w:rPr>
                <w:rFonts w:ascii="Calibri" w:hAnsi="Calibri" w:cs="Calibri"/>
                <w:sz w:val="20"/>
                <w:szCs w:val="20"/>
              </w:rPr>
            </w:pPr>
            <w:r w:rsidRPr="000F04A0">
              <w:rPr>
                <w:rFonts w:ascii="Calibri" w:hAnsi="Calibri" w:cs="Calibri"/>
                <w:sz w:val="20"/>
                <w:szCs w:val="20"/>
              </w:rPr>
              <w:t>L04AE</w:t>
            </w:r>
          </w:p>
        </w:tc>
      </w:tr>
      <w:tr w:rsidR="00DE2335" w:rsidRPr="000F04A0" w14:paraId="0E5B3BC7"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795A75CE"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Ofatumumab*</w:t>
            </w:r>
          </w:p>
        </w:tc>
        <w:tc>
          <w:tcPr>
            <w:tcW w:w="1337" w:type="pct"/>
            <w:tcBorders>
              <w:top w:val="single" w:sz="4" w:space="0" w:color="auto"/>
              <w:left w:val="single" w:sz="4" w:space="0" w:color="auto"/>
              <w:right w:val="single" w:sz="4" w:space="0" w:color="auto"/>
            </w:tcBorders>
            <w:hideMark/>
          </w:tcPr>
          <w:p w14:paraId="1E665BD8" w14:textId="33D35ADB"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20 mg/0.4 mL injection, 0.4 mL pen device</w:t>
            </w:r>
          </w:p>
        </w:tc>
        <w:tc>
          <w:tcPr>
            <w:tcW w:w="628" w:type="pct"/>
            <w:tcBorders>
              <w:top w:val="single" w:sz="4" w:space="0" w:color="auto"/>
              <w:left w:val="single" w:sz="4" w:space="0" w:color="auto"/>
              <w:bottom w:val="single" w:sz="4" w:space="0" w:color="auto"/>
              <w:right w:val="single" w:sz="4" w:space="0" w:color="auto"/>
            </w:tcBorders>
            <w:hideMark/>
          </w:tcPr>
          <w:p w14:paraId="57DE389F" w14:textId="3BE2863B"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032F0CB9"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12641H</w:t>
            </w:r>
          </w:p>
        </w:tc>
        <w:tc>
          <w:tcPr>
            <w:tcW w:w="1021" w:type="pct"/>
            <w:tcBorders>
              <w:top w:val="single" w:sz="4" w:space="0" w:color="auto"/>
              <w:left w:val="single" w:sz="4" w:space="0" w:color="auto"/>
              <w:bottom w:val="single" w:sz="4" w:space="0" w:color="auto"/>
              <w:right w:val="single" w:sz="4" w:space="0" w:color="auto"/>
            </w:tcBorders>
            <w:hideMark/>
          </w:tcPr>
          <w:p w14:paraId="3F07CA55" w14:textId="0E52EAB4"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Continuing </w:t>
            </w:r>
          </w:p>
        </w:tc>
        <w:tc>
          <w:tcPr>
            <w:tcW w:w="601" w:type="pct"/>
            <w:tcBorders>
              <w:top w:val="single" w:sz="4" w:space="0" w:color="auto"/>
              <w:left w:val="single" w:sz="4" w:space="0" w:color="auto"/>
              <w:bottom w:val="single" w:sz="4" w:space="0" w:color="auto"/>
              <w:right w:val="single" w:sz="4" w:space="0" w:color="auto"/>
            </w:tcBorders>
            <w:hideMark/>
          </w:tcPr>
          <w:p w14:paraId="31B881E0"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L04AG</w:t>
            </w:r>
          </w:p>
        </w:tc>
      </w:tr>
      <w:tr w:rsidR="00DE2335" w:rsidRPr="000F04A0" w14:paraId="7F85434F"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5D110D1E" w14:textId="73D425AD" w:rsidR="00DE2335" w:rsidRPr="000F04A0" w:rsidRDefault="00DE2335" w:rsidP="001F7015">
            <w:pPr>
              <w:spacing w:after="120"/>
              <w:rPr>
                <w:rFonts w:ascii="Calibri" w:hAnsi="Calibri" w:cs="Calibri"/>
                <w:sz w:val="20"/>
                <w:szCs w:val="20"/>
              </w:rPr>
            </w:pPr>
            <w:r w:rsidRPr="000F04A0">
              <w:rPr>
                <w:rFonts w:ascii="Calibri" w:hAnsi="Calibri" w:cs="Calibri"/>
                <w:sz w:val="20"/>
                <w:szCs w:val="20"/>
              </w:rPr>
              <w:t>Ofatumumab*</w:t>
            </w:r>
          </w:p>
        </w:tc>
        <w:tc>
          <w:tcPr>
            <w:tcW w:w="1337" w:type="pct"/>
            <w:tcBorders>
              <w:left w:val="single" w:sz="4" w:space="0" w:color="auto"/>
              <w:bottom w:val="single" w:sz="4" w:space="0" w:color="auto"/>
              <w:right w:val="single" w:sz="4" w:space="0" w:color="auto"/>
            </w:tcBorders>
          </w:tcPr>
          <w:p w14:paraId="72313134" w14:textId="4E514E90"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20 mg/0.4 mL injection, 0.4 mL pen device</w:t>
            </w:r>
          </w:p>
        </w:tc>
        <w:tc>
          <w:tcPr>
            <w:tcW w:w="628" w:type="pct"/>
            <w:tcBorders>
              <w:top w:val="single" w:sz="4" w:space="0" w:color="auto"/>
              <w:left w:val="single" w:sz="4" w:space="0" w:color="auto"/>
              <w:bottom w:val="single" w:sz="4" w:space="0" w:color="auto"/>
              <w:right w:val="single" w:sz="4" w:space="0" w:color="auto"/>
            </w:tcBorders>
            <w:hideMark/>
          </w:tcPr>
          <w:p w14:paraId="64399B03" w14:textId="7C446244"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10FCBD80"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12642J</w:t>
            </w:r>
          </w:p>
        </w:tc>
        <w:tc>
          <w:tcPr>
            <w:tcW w:w="1021" w:type="pct"/>
            <w:tcBorders>
              <w:top w:val="single" w:sz="4" w:space="0" w:color="auto"/>
              <w:left w:val="single" w:sz="4" w:space="0" w:color="auto"/>
              <w:bottom w:val="single" w:sz="4" w:space="0" w:color="auto"/>
              <w:right w:val="single" w:sz="4" w:space="0" w:color="auto"/>
            </w:tcBorders>
            <w:hideMark/>
          </w:tcPr>
          <w:p w14:paraId="4AFE9132" w14:textId="1B4A595C"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p>
        </w:tc>
        <w:tc>
          <w:tcPr>
            <w:tcW w:w="601" w:type="pct"/>
            <w:tcBorders>
              <w:top w:val="single" w:sz="4" w:space="0" w:color="auto"/>
              <w:left w:val="single" w:sz="4" w:space="0" w:color="auto"/>
              <w:bottom w:val="single" w:sz="4" w:space="0" w:color="auto"/>
              <w:right w:val="single" w:sz="4" w:space="0" w:color="auto"/>
            </w:tcBorders>
            <w:hideMark/>
          </w:tcPr>
          <w:p w14:paraId="77A49216" w14:textId="77F9336A" w:rsidR="00DE2335" w:rsidRPr="000F04A0" w:rsidRDefault="00DE2335" w:rsidP="001F7015">
            <w:pPr>
              <w:spacing w:after="120"/>
              <w:rPr>
                <w:rFonts w:ascii="Calibri" w:hAnsi="Calibri" w:cs="Calibri"/>
                <w:sz w:val="20"/>
                <w:szCs w:val="20"/>
              </w:rPr>
            </w:pPr>
            <w:r w:rsidRPr="000F04A0">
              <w:rPr>
                <w:rFonts w:ascii="Calibri" w:hAnsi="Calibri" w:cs="Calibri"/>
                <w:sz w:val="20"/>
                <w:szCs w:val="20"/>
              </w:rPr>
              <w:t>L04AG</w:t>
            </w:r>
          </w:p>
        </w:tc>
      </w:tr>
      <w:tr w:rsidR="00DE2335" w:rsidRPr="000F04A0" w14:paraId="4C851004"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36742E80"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Fingolimod</w:t>
            </w:r>
          </w:p>
        </w:tc>
        <w:tc>
          <w:tcPr>
            <w:tcW w:w="1337" w:type="pct"/>
            <w:tcBorders>
              <w:top w:val="single" w:sz="4" w:space="0" w:color="auto"/>
              <w:left w:val="single" w:sz="4" w:space="0" w:color="auto"/>
              <w:bottom w:val="single" w:sz="4" w:space="0" w:color="auto"/>
              <w:right w:val="single" w:sz="4" w:space="0" w:color="auto"/>
            </w:tcBorders>
            <w:hideMark/>
          </w:tcPr>
          <w:p w14:paraId="2228C7A2" w14:textId="484F499C"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 xml:space="preserve">500 microgram </w:t>
            </w:r>
            <w:proofErr w:type="gramStart"/>
            <w:r w:rsidRPr="000F04A0">
              <w:rPr>
                <w:rFonts w:ascii="Calibri" w:hAnsi="Calibri" w:cs="Calibri"/>
                <w:sz w:val="20"/>
                <w:szCs w:val="20"/>
              </w:rPr>
              <w:t>capsule</w:t>
            </w:r>
            <w:proofErr w:type="gramEnd"/>
            <w:r w:rsidRPr="000F04A0">
              <w:rPr>
                <w:rFonts w:ascii="Calibri" w:hAnsi="Calibri" w:cs="Calibri"/>
                <w:sz w:val="20"/>
                <w:szCs w:val="20"/>
              </w:rPr>
              <w:t>, 28</w:t>
            </w:r>
          </w:p>
        </w:tc>
        <w:tc>
          <w:tcPr>
            <w:tcW w:w="628" w:type="pct"/>
            <w:tcBorders>
              <w:top w:val="single" w:sz="4" w:space="0" w:color="auto"/>
              <w:left w:val="single" w:sz="4" w:space="0" w:color="auto"/>
              <w:bottom w:val="single" w:sz="4" w:space="0" w:color="auto"/>
              <w:right w:val="single" w:sz="4" w:space="0" w:color="auto"/>
            </w:tcBorders>
            <w:hideMark/>
          </w:tcPr>
          <w:p w14:paraId="117F513E" w14:textId="667ACCED"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5C5C84A0"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5262Y</w:t>
            </w:r>
          </w:p>
        </w:tc>
        <w:tc>
          <w:tcPr>
            <w:tcW w:w="1021" w:type="pct"/>
            <w:tcBorders>
              <w:top w:val="single" w:sz="4" w:space="0" w:color="auto"/>
              <w:left w:val="single" w:sz="4" w:space="0" w:color="auto"/>
              <w:bottom w:val="single" w:sz="4" w:space="0" w:color="auto"/>
              <w:right w:val="single" w:sz="4" w:space="0" w:color="auto"/>
            </w:tcBorders>
          </w:tcPr>
          <w:p w14:paraId="708677F2" w14:textId="210A1813"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hideMark/>
          </w:tcPr>
          <w:p w14:paraId="301C6615"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L04AE</w:t>
            </w:r>
          </w:p>
        </w:tc>
      </w:tr>
      <w:tr w:rsidR="00DE2335" w:rsidRPr="000F04A0" w14:paraId="4F76CE2C"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27C441DF" w14:textId="3604E861" w:rsidR="00DE2335" w:rsidRPr="000F04A0" w:rsidRDefault="00DE2335" w:rsidP="001F7015">
            <w:pPr>
              <w:spacing w:after="120"/>
              <w:rPr>
                <w:rFonts w:ascii="Calibri" w:hAnsi="Calibri" w:cs="Calibri"/>
                <w:sz w:val="20"/>
                <w:szCs w:val="20"/>
              </w:rPr>
            </w:pPr>
            <w:r w:rsidRPr="000F04A0">
              <w:rPr>
                <w:rFonts w:ascii="Calibri" w:hAnsi="Calibri" w:cs="Calibri"/>
                <w:sz w:val="20"/>
                <w:szCs w:val="20"/>
              </w:rPr>
              <w:t>Fingolimod</w:t>
            </w:r>
          </w:p>
        </w:tc>
        <w:tc>
          <w:tcPr>
            <w:tcW w:w="1337" w:type="pct"/>
            <w:tcBorders>
              <w:top w:val="single" w:sz="4" w:space="0" w:color="auto"/>
              <w:left w:val="single" w:sz="4" w:space="0" w:color="auto"/>
              <w:bottom w:val="single" w:sz="4" w:space="0" w:color="auto"/>
              <w:right w:val="single" w:sz="4" w:space="0" w:color="auto"/>
            </w:tcBorders>
            <w:hideMark/>
          </w:tcPr>
          <w:p w14:paraId="2F1FC860" w14:textId="24C7B672"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 xml:space="preserve">250 microgram </w:t>
            </w:r>
            <w:proofErr w:type="gramStart"/>
            <w:r w:rsidRPr="000F04A0">
              <w:rPr>
                <w:rFonts w:ascii="Calibri" w:hAnsi="Calibri" w:cs="Calibri"/>
                <w:sz w:val="20"/>
                <w:szCs w:val="20"/>
              </w:rPr>
              <w:t>capsule</w:t>
            </w:r>
            <w:proofErr w:type="gramEnd"/>
            <w:r w:rsidRPr="000F04A0">
              <w:rPr>
                <w:rFonts w:ascii="Calibri" w:hAnsi="Calibri" w:cs="Calibri"/>
                <w:sz w:val="20"/>
                <w:szCs w:val="20"/>
              </w:rPr>
              <w:t>, 28</w:t>
            </w:r>
          </w:p>
        </w:tc>
        <w:tc>
          <w:tcPr>
            <w:tcW w:w="628" w:type="pct"/>
            <w:tcBorders>
              <w:top w:val="single" w:sz="4" w:space="0" w:color="auto"/>
              <w:left w:val="single" w:sz="4" w:space="0" w:color="auto"/>
              <w:bottom w:val="single" w:sz="4" w:space="0" w:color="auto"/>
              <w:right w:val="single" w:sz="4" w:space="0" w:color="auto"/>
            </w:tcBorders>
            <w:hideMark/>
          </w:tcPr>
          <w:p w14:paraId="7156E5D6" w14:textId="1014949D"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2DBC3037"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11818B</w:t>
            </w:r>
          </w:p>
        </w:tc>
        <w:tc>
          <w:tcPr>
            <w:tcW w:w="1021" w:type="pct"/>
            <w:tcBorders>
              <w:top w:val="single" w:sz="4" w:space="0" w:color="auto"/>
              <w:left w:val="single" w:sz="4" w:space="0" w:color="auto"/>
              <w:bottom w:val="single" w:sz="4" w:space="0" w:color="auto"/>
              <w:right w:val="single" w:sz="4" w:space="0" w:color="auto"/>
            </w:tcBorders>
          </w:tcPr>
          <w:p w14:paraId="0A5DB188" w14:textId="0B8A9BC4"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hideMark/>
          </w:tcPr>
          <w:p w14:paraId="3B0F27CE" w14:textId="15BD4541" w:rsidR="00DE2335" w:rsidRPr="000F04A0" w:rsidRDefault="00DE2335" w:rsidP="001F7015">
            <w:pPr>
              <w:spacing w:after="120"/>
              <w:rPr>
                <w:rFonts w:ascii="Calibri" w:hAnsi="Calibri" w:cs="Calibri"/>
                <w:sz w:val="20"/>
                <w:szCs w:val="20"/>
              </w:rPr>
            </w:pPr>
            <w:r w:rsidRPr="000F04A0">
              <w:rPr>
                <w:rFonts w:ascii="Calibri" w:hAnsi="Calibri" w:cs="Calibri"/>
                <w:sz w:val="20"/>
                <w:szCs w:val="20"/>
              </w:rPr>
              <w:t>L04AE</w:t>
            </w:r>
          </w:p>
        </w:tc>
      </w:tr>
      <w:tr w:rsidR="00DE2335" w:rsidRPr="000F04A0" w14:paraId="3C4ED259"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1BD03AA3"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Cladribine*</w:t>
            </w:r>
          </w:p>
        </w:tc>
        <w:tc>
          <w:tcPr>
            <w:tcW w:w="1337" w:type="pct"/>
            <w:tcBorders>
              <w:top w:val="single" w:sz="4" w:space="0" w:color="auto"/>
              <w:left w:val="single" w:sz="4" w:space="0" w:color="auto"/>
              <w:bottom w:val="single" w:sz="4" w:space="0" w:color="auto"/>
              <w:right w:val="single" w:sz="4" w:space="0" w:color="auto"/>
            </w:tcBorders>
            <w:hideMark/>
          </w:tcPr>
          <w:p w14:paraId="1E665217" w14:textId="1CAF05EA"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10 mg tablet, 1</w:t>
            </w:r>
          </w:p>
        </w:tc>
        <w:tc>
          <w:tcPr>
            <w:tcW w:w="628" w:type="pct"/>
            <w:tcBorders>
              <w:top w:val="single" w:sz="4" w:space="0" w:color="auto"/>
              <w:left w:val="single" w:sz="4" w:space="0" w:color="auto"/>
              <w:bottom w:val="single" w:sz="4" w:space="0" w:color="auto"/>
              <w:right w:val="single" w:sz="4" w:space="0" w:color="auto"/>
            </w:tcBorders>
            <w:hideMark/>
          </w:tcPr>
          <w:p w14:paraId="5667EBC9" w14:textId="00960FD3"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6BCD5708"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11603Q</w:t>
            </w:r>
          </w:p>
        </w:tc>
        <w:tc>
          <w:tcPr>
            <w:tcW w:w="1021" w:type="pct"/>
            <w:tcBorders>
              <w:top w:val="single" w:sz="4" w:space="0" w:color="auto"/>
              <w:left w:val="single" w:sz="4" w:space="0" w:color="auto"/>
              <w:bottom w:val="single" w:sz="4" w:space="0" w:color="auto"/>
              <w:right w:val="single" w:sz="4" w:space="0" w:color="auto"/>
            </w:tcBorders>
          </w:tcPr>
          <w:p w14:paraId="73E34089" w14:textId="0986A71A"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hideMark/>
          </w:tcPr>
          <w:p w14:paraId="716B4BFB"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L01BB</w:t>
            </w:r>
          </w:p>
        </w:tc>
      </w:tr>
      <w:tr w:rsidR="00DE2335" w:rsidRPr="000F04A0" w14:paraId="32F0DE18"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36E8650B" w14:textId="4A9A315F" w:rsidR="00DE2335" w:rsidRPr="000F04A0" w:rsidRDefault="00DE2335" w:rsidP="001F7015">
            <w:pPr>
              <w:spacing w:after="120"/>
              <w:jc w:val="both"/>
              <w:rPr>
                <w:rFonts w:ascii="Calibri" w:hAnsi="Calibri" w:cs="Calibri"/>
                <w:sz w:val="20"/>
                <w:szCs w:val="20"/>
              </w:rPr>
            </w:pPr>
            <w:r w:rsidRPr="00CD7654">
              <w:rPr>
                <w:rFonts w:ascii="Calibri" w:hAnsi="Calibri" w:cs="Calibri"/>
                <w:sz w:val="20"/>
                <w:szCs w:val="20"/>
              </w:rPr>
              <w:t>Cladribine*</w:t>
            </w:r>
          </w:p>
        </w:tc>
        <w:tc>
          <w:tcPr>
            <w:tcW w:w="1337" w:type="pct"/>
            <w:tcBorders>
              <w:top w:val="single" w:sz="4" w:space="0" w:color="auto"/>
              <w:left w:val="single" w:sz="4" w:space="0" w:color="auto"/>
              <w:bottom w:val="single" w:sz="4" w:space="0" w:color="auto"/>
              <w:right w:val="single" w:sz="4" w:space="0" w:color="auto"/>
            </w:tcBorders>
            <w:hideMark/>
          </w:tcPr>
          <w:p w14:paraId="0C792021" w14:textId="018294F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10 mg tablet, 4</w:t>
            </w:r>
          </w:p>
        </w:tc>
        <w:tc>
          <w:tcPr>
            <w:tcW w:w="628" w:type="pct"/>
            <w:tcBorders>
              <w:top w:val="single" w:sz="4" w:space="0" w:color="auto"/>
              <w:left w:val="single" w:sz="4" w:space="0" w:color="auto"/>
              <w:bottom w:val="single" w:sz="4" w:space="0" w:color="auto"/>
              <w:right w:val="single" w:sz="4" w:space="0" w:color="auto"/>
            </w:tcBorders>
            <w:hideMark/>
          </w:tcPr>
          <w:p w14:paraId="1DD25042" w14:textId="17E9BB64"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285DA548" w14:textId="77777777"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11604R</w:t>
            </w:r>
          </w:p>
        </w:tc>
        <w:tc>
          <w:tcPr>
            <w:tcW w:w="1021" w:type="pct"/>
            <w:tcBorders>
              <w:top w:val="single" w:sz="4" w:space="0" w:color="auto"/>
              <w:left w:val="single" w:sz="4" w:space="0" w:color="auto"/>
              <w:bottom w:val="single" w:sz="4" w:space="0" w:color="auto"/>
              <w:right w:val="single" w:sz="4" w:space="0" w:color="auto"/>
            </w:tcBorders>
          </w:tcPr>
          <w:p w14:paraId="5FCB0AFC" w14:textId="3422482A"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hideMark/>
          </w:tcPr>
          <w:p w14:paraId="144B971D" w14:textId="52DF3365" w:rsidR="00DE2335" w:rsidRPr="000F04A0" w:rsidRDefault="00DE2335" w:rsidP="001F7015">
            <w:pPr>
              <w:spacing w:after="120"/>
              <w:jc w:val="both"/>
              <w:rPr>
                <w:rFonts w:ascii="Calibri" w:hAnsi="Calibri" w:cs="Calibri"/>
                <w:sz w:val="20"/>
                <w:szCs w:val="20"/>
              </w:rPr>
            </w:pPr>
            <w:r w:rsidRPr="003A5EAE">
              <w:rPr>
                <w:rFonts w:ascii="Calibri" w:hAnsi="Calibri" w:cs="Calibri"/>
                <w:sz w:val="20"/>
                <w:szCs w:val="20"/>
              </w:rPr>
              <w:t>L01BB</w:t>
            </w:r>
          </w:p>
        </w:tc>
      </w:tr>
      <w:tr w:rsidR="00DE2335" w:rsidRPr="000F04A0" w14:paraId="02A38457"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5D851F26" w14:textId="1864E11B" w:rsidR="00DE2335" w:rsidRPr="000F04A0" w:rsidRDefault="00DE2335" w:rsidP="001F7015">
            <w:pPr>
              <w:spacing w:after="120"/>
              <w:jc w:val="both"/>
              <w:rPr>
                <w:rFonts w:ascii="Calibri" w:hAnsi="Calibri" w:cs="Calibri"/>
                <w:sz w:val="20"/>
                <w:szCs w:val="20"/>
              </w:rPr>
            </w:pPr>
            <w:r w:rsidRPr="00CD7654">
              <w:rPr>
                <w:rFonts w:ascii="Calibri" w:hAnsi="Calibri" w:cs="Calibri"/>
                <w:sz w:val="20"/>
                <w:szCs w:val="20"/>
              </w:rPr>
              <w:t>Cladribine*</w:t>
            </w:r>
          </w:p>
        </w:tc>
        <w:tc>
          <w:tcPr>
            <w:tcW w:w="1337" w:type="pct"/>
            <w:tcBorders>
              <w:top w:val="single" w:sz="4" w:space="0" w:color="auto"/>
              <w:left w:val="single" w:sz="4" w:space="0" w:color="auto"/>
              <w:bottom w:val="single" w:sz="4" w:space="0" w:color="auto"/>
              <w:right w:val="single" w:sz="4" w:space="0" w:color="auto"/>
            </w:tcBorders>
            <w:hideMark/>
          </w:tcPr>
          <w:p w14:paraId="5708EC3D" w14:textId="099968A1"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10 mg tablet, 6</w:t>
            </w:r>
          </w:p>
        </w:tc>
        <w:tc>
          <w:tcPr>
            <w:tcW w:w="628" w:type="pct"/>
            <w:tcBorders>
              <w:top w:val="single" w:sz="4" w:space="0" w:color="auto"/>
              <w:left w:val="single" w:sz="4" w:space="0" w:color="auto"/>
              <w:bottom w:val="single" w:sz="4" w:space="0" w:color="auto"/>
              <w:right w:val="single" w:sz="4" w:space="0" w:color="auto"/>
            </w:tcBorders>
            <w:hideMark/>
          </w:tcPr>
          <w:p w14:paraId="0C5BCE88" w14:textId="7CC6A578"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390F003D" w14:textId="77777777"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11611D</w:t>
            </w:r>
          </w:p>
        </w:tc>
        <w:tc>
          <w:tcPr>
            <w:tcW w:w="1021" w:type="pct"/>
            <w:tcBorders>
              <w:top w:val="single" w:sz="4" w:space="0" w:color="auto"/>
              <w:left w:val="single" w:sz="4" w:space="0" w:color="auto"/>
              <w:bottom w:val="single" w:sz="4" w:space="0" w:color="auto"/>
              <w:right w:val="single" w:sz="4" w:space="0" w:color="auto"/>
            </w:tcBorders>
          </w:tcPr>
          <w:p w14:paraId="7733ABCD" w14:textId="03FB272D" w:rsidR="00DE2335" w:rsidRPr="000F04A0" w:rsidRDefault="00DE2335" w:rsidP="001F7015">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hideMark/>
          </w:tcPr>
          <w:p w14:paraId="461DDC91" w14:textId="57C39836" w:rsidR="00DE2335" w:rsidRPr="000F04A0" w:rsidRDefault="00DE2335" w:rsidP="001F7015">
            <w:pPr>
              <w:spacing w:after="120"/>
              <w:jc w:val="both"/>
              <w:rPr>
                <w:rFonts w:ascii="Calibri" w:hAnsi="Calibri" w:cs="Calibri"/>
                <w:sz w:val="20"/>
                <w:szCs w:val="20"/>
              </w:rPr>
            </w:pPr>
            <w:r w:rsidRPr="003A5EAE">
              <w:rPr>
                <w:rFonts w:ascii="Calibri" w:hAnsi="Calibri" w:cs="Calibri"/>
                <w:sz w:val="20"/>
                <w:szCs w:val="20"/>
              </w:rPr>
              <w:t>L01BB</w:t>
            </w:r>
          </w:p>
        </w:tc>
      </w:tr>
      <w:tr w:rsidR="00DE2335" w:rsidRPr="000F04A0" w14:paraId="221767AF"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5618B307"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Siponimod*</w:t>
            </w:r>
          </w:p>
        </w:tc>
        <w:tc>
          <w:tcPr>
            <w:tcW w:w="1337" w:type="pct"/>
            <w:tcBorders>
              <w:top w:val="single" w:sz="4" w:space="0" w:color="auto"/>
              <w:left w:val="single" w:sz="4" w:space="0" w:color="auto"/>
              <w:bottom w:val="single" w:sz="4" w:space="0" w:color="auto"/>
              <w:right w:val="single" w:sz="4" w:space="0" w:color="auto"/>
            </w:tcBorders>
            <w:hideMark/>
          </w:tcPr>
          <w:p w14:paraId="0C9900F2" w14:textId="5D4F9200"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 xml:space="preserve">250 microgram </w:t>
            </w:r>
            <w:proofErr w:type="gramStart"/>
            <w:r w:rsidRPr="000F04A0">
              <w:rPr>
                <w:rFonts w:ascii="Calibri" w:hAnsi="Calibri" w:cs="Calibri"/>
                <w:sz w:val="20"/>
                <w:szCs w:val="20"/>
              </w:rPr>
              <w:t>tablet</w:t>
            </w:r>
            <w:proofErr w:type="gramEnd"/>
            <w:r w:rsidRPr="000F04A0">
              <w:rPr>
                <w:rFonts w:ascii="Calibri" w:hAnsi="Calibri" w:cs="Calibri"/>
                <w:sz w:val="20"/>
                <w:szCs w:val="20"/>
              </w:rPr>
              <w:t>, 12</w:t>
            </w:r>
          </w:p>
        </w:tc>
        <w:tc>
          <w:tcPr>
            <w:tcW w:w="628" w:type="pct"/>
            <w:tcBorders>
              <w:top w:val="single" w:sz="4" w:space="0" w:color="auto"/>
              <w:left w:val="single" w:sz="4" w:space="0" w:color="auto"/>
              <w:bottom w:val="single" w:sz="4" w:space="0" w:color="auto"/>
              <w:right w:val="single" w:sz="4" w:space="0" w:color="auto"/>
            </w:tcBorders>
            <w:hideMark/>
          </w:tcPr>
          <w:p w14:paraId="64C5EF85" w14:textId="6BC6F67F"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1882B695"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12172P</w:t>
            </w:r>
          </w:p>
        </w:tc>
        <w:tc>
          <w:tcPr>
            <w:tcW w:w="1021" w:type="pct"/>
            <w:tcBorders>
              <w:top w:val="single" w:sz="4" w:space="0" w:color="auto"/>
              <w:left w:val="single" w:sz="4" w:space="0" w:color="auto"/>
              <w:bottom w:val="single" w:sz="4" w:space="0" w:color="auto"/>
              <w:right w:val="single" w:sz="4" w:space="0" w:color="auto"/>
            </w:tcBorders>
          </w:tcPr>
          <w:p w14:paraId="53042D98" w14:textId="20198C76"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r w:rsidRPr="000F04A0">
              <w:rPr>
                <w:rFonts w:ascii="Calibri" w:hAnsi="Calibri" w:cs="Calibri"/>
                <w:sz w:val="20"/>
                <w:szCs w:val="20"/>
              </w:rPr>
              <w:t>Continuing (including recommencement)</w:t>
            </w:r>
          </w:p>
        </w:tc>
        <w:tc>
          <w:tcPr>
            <w:tcW w:w="601" w:type="pct"/>
            <w:tcBorders>
              <w:top w:val="single" w:sz="4" w:space="0" w:color="auto"/>
              <w:left w:val="single" w:sz="4" w:space="0" w:color="auto"/>
              <w:bottom w:val="single" w:sz="4" w:space="0" w:color="auto"/>
              <w:right w:val="single" w:sz="4" w:space="0" w:color="auto"/>
            </w:tcBorders>
            <w:hideMark/>
          </w:tcPr>
          <w:p w14:paraId="179AA0CC"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L04AE</w:t>
            </w:r>
          </w:p>
        </w:tc>
      </w:tr>
      <w:tr w:rsidR="00DE2335" w:rsidRPr="000F04A0" w14:paraId="2D66C075"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76F1798A" w14:textId="2D8C8163" w:rsidR="00DE2335" w:rsidRPr="000F04A0" w:rsidRDefault="00DE2335" w:rsidP="00DE2335">
            <w:pPr>
              <w:spacing w:after="120"/>
              <w:jc w:val="both"/>
              <w:rPr>
                <w:rFonts w:ascii="Calibri" w:hAnsi="Calibri" w:cs="Calibri"/>
                <w:sz w:val="20"/>
                <w:szCs w:val="20"/>
              </w:rPr>
            </w:pPr>
            <w:r w:rsidRPr="00834303">
              <w:rPr>
                <w:rFonts w:ascii="Calibri" w:hAnsi="Calibri" w:cs="Calibri"/>
                <w:sz w:val="20"/>
                <w:szCs w:val="20"/>
              </w:rPr>
              <w:t>Siponimod*</w:t>
            </w:r>
          </w:p>
        </w:tc>
        <w:tc>
          <w:tcPr>
            <w:tcW w:w="1337" w:type="pct"/>
            <w:tcBorders>
              <w:top w:val="single" w:sz="4" w:space="0" w:color="auto"/>
              <w:left w:val="single" w:sz="4" w:space="0" w:color="auto"/>
              <w:bottom w:val="single" w:sz="4" w:space="0" w:color="auto"/>
              <w:right w:val="single" w:sz="4" w:space="0" w:color="auto"/>
            </w:tcBorders>
            <w:hideMark/>
          </w:tcPr>
          <w:p w14:paraId="28D0A296" w14:textId="50A0E11A"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 xml:space="preserve">250 microgram </w:t>
            </w:r>
            <w:proofErr w:type="gramStart"/>
            <w:r w:rsidRPr="000F04A0">
              <w:rPr>
                <w:rFonts w:ascii="Calibri" w:hAnsi="Calibri" w:cs="Calibri"/>
                <w:sz w:val="20"/>
                <w:szCs w:val="20"/>
              </w:rPr>
              <w:t>tablet</w:t>
            </w:r>
            <w:proofErr w:type="gramEnd"/>
            <w:r w:rsidRPr="000F04A0">
              <w:rPr>
                <w:rFonts w:ascii="Calibri" w:hAnsi="Calibri" w:cs="Calibri"/>
                <w:sz w:val="20"/>
                <w:szCs w:val="20"/>
              </w:rPr>
              <w:t>, 120</w:t>
            </w:r>
          </w:p>
        </w:tc>
        <w:tc>
          <w:tcPr>
            <w:tcW w:w="628" w:type="pct"/>
            <w:tcBorders>
              <w:top w:val="single" w:sz="4" w:space="0" w:color="auto"/>
              <w:left w:val="single" w:sz="4" w:space="0" w:color="auto"/>
              <w:bottom w:val="single" w:sz="4" w:space="0" w:color="auto"/>
              <w:right w:val="single" w:sz="4" w:space="0" w:color="auto"/>
            </w:tcBorders>
            <w:hideMark/>
          </w:tcPr>
          <w:p w14:paraId="66FA2D48" w14:textId="4AEB5F25"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26A8065D" w14:textId="77777777"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12160B</w:t>
            </w:r>
          </w:p>
        </w:tc>
        <w:tc>
          <w:tcPr>
            <w:tcW w:w="1021" w:type="pct"/>
            <w:tcBorders>
              <w:top w:val="single" w:sz="4" w:space="0" w:color="auto"/>
              <w:left w:val="single" w:sz="4" w:space="0" w:color="auto"/>
              <w:bottom w:val="single" w:sz="4" w:space="0" w:color="auto"/>
              <w:right w:val="single" w:sz="4" w:space="0" w:color="auto"/>
            </w:tcBorders>
          </w:tcPr>
          <w:p w14:paraId="6B8C8DED" w14:textId="7252F644"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r w:rsidRPr="000F04A0">
              <w:rPr>
                <w:rFonts w:ascii="Calibri" w:hAnsi="Calibri" w:cs="Calibri"/>
                <w:sz w:val="20"/>
                <w:szCs w:val="20"/>
              </w:rPr>
              <w:t>Continuing (including recommencement)</w:t>
            </w:r>
          </w:p>
        </w:tc>
        <w:tc>
          <w:tcPr>
            <w:tcW w:w="601" w:type="pct"/>
            <w:tcBorders>
              <w:top w:val="single" w:sz="4" w:space="0" w:color="auto"/>
              <w:left w:val="single" w:sz="4" w:space="0" w:color="auto"/>
              <w:bottom w:val="single" w:sz="4" w:space="0" w:color="auto"/>
              <w:right w:val="single" w:sz="4" w:space="0" w:color="auto"/>
            </w:tcBorders>
            <w:hideMark/>
          </w:tcPr>
          <w:p w14:paraId="12ED1C63" w14:textId="67EFA028"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L04AE</w:t>
            </w:r>
          </w:p>
        </w:tc>
      </w:tr>
      <w:tr w:rsidR="00DE2335" w:rsidRPr="000F04A0" w14:paraId="7E921515"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59F20EB6" w14:textId="024C6E16" w:rsidR="00DE2335" w:rsidRPr="000F04A0" w:rsidRDefault="00DE2335" w:rsidP="00DE2335">
            <w:pPr>
              <w:spacing w:after="120"/>
              <w:jc w:val="both"/>
              <w:rPr>
                <w:rFonts w:ascii="Calibri" w:hAnsi="Calibri" w:cs="Calibri"/>
                <w:sz w:val="20"/>
                <w:szCs w:val="20"/>
              </w:rPr>
            </w:pPr>
            <w:r w:rsidRPr="00834303">
              <w:rPr>
                <w:rFonts w:ascii="Calibri" w:hAnsi="Calibri" w:cs="Calibri"/>
                <w:sz w:val="20"/>
                <w:szCs w:val="20"/>
              </w:rPr>
              <w:lastRenderedPageBreak/>
              <w:t>Siponimod*</w:t>
            </w:r>
          </w:p>
        </w:tc>
        <w:tc>
          <w:tcPr>
            <w:tcW w:w="1337" w:type="pct"/>
            <w:tcBorders>
              <w:top w:val="single" w:sz="4" w:space="0" w:color="auto"/>
              <w:left w:val="single" w:sz="4" w:space="0" w:color="auto"/>
              <w:bottom w:val="single" w:sz="4" w:space="0" w:color="auto"/>
              <w:right w:val="single" w:sz="4" w:space="0" w:color="auto"/>
            </w:tcBorders>
            <w:hideMark/>
          </w:tcPr>
          <w:p w14:paraId="362B3D86" w14:textId="46E89589"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2 mg tablet, 28</w:t>
            </w:r>
          </w:p>
        </w:tc>
        <w:tc>
          <w:tcPr>
            <w:tcW w:w="628" w:type="pct"/>
            <w:tcBorders>
              <w:top w:val="single" w:sz="4" w:space="0" w:color="auto"/>
              <w:left w:val="single" w:sz="4" w:space="0" w:color="auto"/>
              <w:bottom w:val="single" w:sz="4" w:space="0" w:color="auto"/>
              <w:right w:val="single" w:sz="4" w:space="0" w:color="auto"/>
            </w:tcBorders>
            <w:hideMark/>
          </w:tcPr>
          <w:p w14:paraId="33E41C9D" w14:textId="42ADF5C5"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512A9232" w14:textId="77777777"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12158X</w:t>
            </w:r>
          </w:p>
        </w:tc>
        <w:tc>
          <w:tcPr>
            <w:tcW w:w="1021" w:type="pct"/>
            <w:tcBorders>
              <w:top w:val="single" w:sz="4" w:space="0" w:color="auto"/>
              <w:left w:val="single" w:sz="4" w:space="0" w:color="auto"/>
              <w:bottom w:val="single" w:sz="4" w:space="0" w:color="auto"/>
              <w:right w:val="single" w:sz="4" w:space="0" w:color="auto"/>
            </w:tcBorders>
          </w:tcPr>
          <w:p w14:paraId="30DB3A5F" w14:textId="022AE280"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r w:rsidRPr="000F04A0">
              <w:rPr>
                <w:rFonts w:ascii="Calibri" w:hAnsi="Calibri" w:cs="Calibri"/>
                <w:sz w:val="20"/>
                <w:szCs w:val="20"/>
              </w:rPr>
              <w:t>Continuing (including recommencement)</w:t>
            </w:r>
          </w:p>
        </w:tc>
        <w:tc>
          <w:tcPr>
            <w:tcW w:w="601" w:type="pct"/>
            <w:tcBorders>
              <w:top w:val="single" w:sz="4" w:space="0" w:color="auto"/>
              <w:left w:val="single" w:sz="4" w:space="0" w:color="auto"/>
              <w:bottom w:val="single" w:sz="4" w:space="0" w:color="auto"/>
              <w:right w:val="single" w:sz="4" w:space="0" w:color="auto"/>
            </w:tcBorders>
            <w:hideMark/>
          </w:tcPr>
          <w:p w14:paraId="75D16EBC" w14:textId="6EE0113E"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L04AE</w:t>
            </w:r>
          </w:p>
        </w:tc>
      </w:tr>
      <w:tr w:rsidR="00DE2335" w:rsidRPr="000F04A0" w14:paraId="28C89B09" w14:textId="77777777" w:rsidTr="00DE2335">
        <w:tc>
          <w:tcPr>
            <w:tcW w:w="862" w:type="pct"/>
            <w:tcBorders>
              <w:top w:val="single" w:sz="4" w:space="0" w:color="auto"/>
              <w:left w:val="single" w:sz="4" w:space="0" w:color="auto"/>
              <w:bottom w:val="single" w:sz="4" w:space="0" w:color="auto"/>
              <w:right w:val="single" w:sz="4" w:space="0" w:color="auto"/>
            </w:tcBorders>
          </w:tcPr>
          <w:p w14:paraId="453FD152" w14:textId="49280188" w:rsidR="00DE2335" w:rsidRPr="000F04A0" w:rsidRDefault="00DE2335" w:rsidP="00DE2335">
            <w:pPr>
              <w:spacing w:after="120"/>
              <w:jc w:val="both"/>
              <w:rPr>
                <w:rFonts w:ascii="Calibri" w:hAnsi="Calibri" w:cs="Calibri"/>
                <w:sz w:val="20"/>
                <w:szCs w:val="20"/>
              </w:rPr>
            </w:pPr>
            <w:r w:rsidRPr="00834303">
              <w:rPr>
                <w:rFonts w:ascii="Calibri" w:hAnsi="Calibri" w:cs="Calibri"/>
                <w:sz w:val="20"/>
                <w:szCs w:val="20"/>
              </w:rPr>
              <w:t>Siponimod*</w:t>
            </w:r>
          </w:p>
        </w:tc>
        <w:tc>
          <w:tcPr>
            <w:tcW w:w="1337" w:type="pct"/>
            <w:tcBorders>
              <w:top w:val="single" w:sz="4" w:space="0" w:color="auto"/>
              <w:left w:val="single" w:sz="4" w:space="0" w:color="auto"/>
              <w:bottom w:val="single" w:sz="4" w:space="0" w:color="auto"/>
              <w:right w:val="single" w:sz="4" w:space="0" w:color="auto"/>
            </w:tcBorders>
            <w:hideMark/>
          </w:tcPr>
          <w:p w14:paraId="3C4E1905" w14:textId="63BD829B"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 mg tablet, 28</w:t>
            </w:r>
          </w:p>
        </w:tc>
        <w:tc>
          <w:tcPr>
            <w:tcW w:w="628" w:type="pct"/>
            <w:tcBorders>
              <w:top w:val="single" w:sz="4" w:space="0" w:color="auto"/>
              <w:left w:val="single" w:sz="4" w:space="0" w:color="auto"/>
              <w:bottom w:val="single" w:sz="4" w:space="0" w:color="auto"/>
              <w:right w:val="single" w:sz="4" w:space="0" w:color="auto"/>
            </w:tcBorders>
            <w:hideMark/>
          </w:tcPr>
          <w:p w14:paraId="1B22B3AE" w14:textId="26BA4C8D"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1D53CC0A" w14:textId="77777777"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14607T</w:t>
            </w:r>
          </w:p>
        </w:tc>
        <w:tc>
          <w:tcPr>
            <w:tcW w:w="1021" w:type="pct"/>
            <w:tcBorders>
              <w:top w:val="single" w:sz="4" w:space="0" w:color="auto"/>
              <w:left w:val="single" w:sz="4" w:space="0" w:color="auto"/>
              <w:bottom w:val="single" w:sz="4" w:space="0" w:color="auto"/>
              <w:right w:val="single" w:sz="4" w:space="0" w:color="auto"/>
            </w:tcBorders>
          </w:tcPr>
          <w:p w14:paraId="6102DB93" w14:textId="32A73C4D"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r w:rsidRPr="000F04A0">
              <w:rPr>
                <w:rFonts w:ascii="Calibri" w:hAnsi="Calibri" w:cs="Calibri"/>
                <w:sz w:val="20"/>
                <w:szCs w:val="20"/>
              </w:rPr>
              <w:t>Continuing (including recommencement)</w:t>
            </w:r>
          </w:p>
        </w:tc>
        <w:tc>
          <w:tcPr>
            <w:tcW w:w="601" w:type="pct"/>
            <w:tcBorders>
              <w:top w:val="single" w:sz="4" w:space="0" w:color="auto"/>
              <w:left w:val="single" w:sz="4" w:space="0" w:color="auto"/>
              <w:bottom w:val="single" w:sz="4" w:space="0" w:color="auto"/>
              <w:right w:val="single" w:sz="4" w:space="0" w:color="auto"/>
            </w:tcBorders>
          </w:tcPr>
          <w:p w14:paraId="53D4E100" w14:textId="25027B40"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L04AE</w:t>
            </w:r>
          </w:p>
        </w:tc>
      </w:tr>
      <w:tr w:rsidR="00DE2335" w:rsidRPr="000F04A0" w14:paraId="4CC0F2EF"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77D6B127"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Teriflunomide</w:t>
            </w:r>
          </w:p>
        </w:tc>
        <w:tc>
          <w:tcPr>
            <w:tcW w:w="1337" w:type="pct"/>
            <w:tcBorders>
              <w:top w:val="single" w:sz="4" w:space="0" w:color="auto"/>
              <w:left w:val="single" w:sz="4" w:space="0" w:color="auto"/>
              <w:bottom w:val="single" w:sz="4" w:space="0" w:color="auto"/>
              <w:right w:val="single" w:sz="4" w:space="0" w:color="auto"/>
            </w:tcBorders>
            <w:hideMark/>
          </w:tcPr>
          <w:p w14:paraId="025711E5" w14:textId="78486C57"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14 mg tablet, 28</w:t>
            </w:r>
          </w:p>
        </w:tc>
        <w:tc>
          <w:tcPr>
            <w:tcW w:w="628" w:type="pct"/>
            <w:tcBorders>
              <w:top w:val="single" w:sz="4" w:space="0" w:color="auto"/>
              <w:left w:val="single" w:sz="4" w:space="0" w:color="auto"/>
              <w:bottom w:val="single" w:sz="4" w:space="0" w:color="auto"/>
              <w:right w:val="single" w:sz="4" w:space="0" w:color="auto"/>
            </w:tcBorders>
            <w:hideMark/>
          </w:tcPr>
          <w:p w14:paraId="615620E2" w14:textId="541789B9"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40385BC4"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2898M</w:t>
            </w:r>
          </w:p>
        </w:tc>
        <w:tc>
          <w:tcPr>
            <w:tcW w:w="1021" w:type="pct"/>
            <w:tcBorders>
              <w:top w:val="single" w:sz="4" w:space="0" w:color="auto"/>
              <w:left w:val="single" w:sz="4" w:space="0" w:color="auto"/>
              <w:bottom w:val="single" w:sz="4" w:space="0" w:color="auto"/>
              <w:right w:val="single" w:sz="4" w:space="0" w:color="auto"/>
            </w:tcBorders>
          </w:tcPr>
          <w:p w14:paraId="4A433215" w14:textId="23AC9BE4"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hideMark/>
          </w:tcPr>
          <w:p w14:paraId="0829F5A2"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L04AK</w:t>
            </w:r>
          </w:p>
        </w:tc>
      </w:tr>
      <w:tr w:rsidR="00DE2335" w:rsidRPr="000F04A0" w14:paraId="4793FEAD"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2134A5AD"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Peginterferon beta-1a</w:t>
            </w:r>
          </w:p>
        </w:tc>
        <w:tc>
          <w:tcPr>
            <w:tcW w:w="1337" w:type="pct"/>
            <w:tcBorders>
              <w:top w:val="single" w:sz="4" w:space="0" w:color="auto"/>
              <w:left w:val="single" w:sz="4" w:space="0" w:color="auto"/>
              <w:bottom w:val="single" w:sz="4" w:space="0" w:color="auto"/>
              <w:right w:val="single" w:sz="4" w:space="0" w:color="auto"/>
            </w:tcBorders>
            <w:hideMark/>
          </w:tcPr>
          <w:p w14:paraId="7BC49212" w14:textId="0D71455D"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125 microgram/0.5 mL injection, 2 x 0.5 mL pen devices</w:t>
            </w:r>
          </w:p>
        </w:tc>
        <w:tc>
          <w:tcPr>
            <w:tcW w:w="628" w:type="pct"/>
            <w:tcBorders>
              <w:top w:val="single" w:sz="4" w:space="0" w:color="auto"/>
              <w:left w:val="single" w:sz="4" w:space="0" w:color="auto"/>
              <w:bottom w:val="single" w:sz="4" w:space="0" w:color="auto"/>
              <w:right w:val="single" w:sz="4" w:space="0" w:color="auto"/>
            </w:tcBorders>
            <w:hideMark/>
          </w:tcPr>
          <w:p w14:paraId="3F24AD88" w14:textId="260B6982"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7D2210F2"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10212L</w:t>
            </w:r>
          </w:p>
        </w:tc>
        <w:tc>
          <w:tcPr>
            <w:tcW w:w="1021" w:type="pct"/>
            <w:tcBorders>
              <w:top w:val="single" w:sz="4" w:space="0" w:color="auto"/>
              <w:left w:val="single" w:sz="4" w:space="0" w:color="auto"/>
              <w:bottom w:val="single" w:sz="4" w:space="0" w:color="auto"/>
              <w:right w:val="single" w:sz="4" w:space="0" w:color="auto"/>
            </w:tcBorders>
            <w:hideMark/>
          </w:tcPr>
          <w:p w14:paraId="1EF10C40" w14:textId="485FD854"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p>
        </w:tc>
        <w:tc>
          <w:tcPr>
            <w:tcW w:w="601" w:type="pct"/>
            <w:tcBorders>
              <w:top w:val="single" w:sz="4" w:space="0" w:color="auto"/>
              <w:left w:val="single" w:sz="4" w:space="0" w:color="auto"/>
              <w:bottom w:val="single" w:sz="4" w:space="0" w:color="auto"/>
              <w:right w:val="single" w:sz="4" w:space="0" w:color="auto"/>
            </w:tcBorders>
            <w:hideMark/>
          </w:tcPr>
          <w:p w14:paraId="7A7DCFA6"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L03AB</w:t>
            </w:r>
          </w:p>
        </w:tc>
      </w:tr>
      <w:tr w:rsidR="00DE2335" w:rsidRPr="000F04A0" w14:paraId="45997AB7"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139E17EE" w14:textId="29A852CD" w:rsidR="00DE2335" w:rsidRPr="000F04A0" w:rsidRDefault="00DE2335" w:rsidP="00DE2335">
            <w:pPr>
              <w:spacing w:after="120"/>
              <w:jc w:val="both"/>
              <w:rPr>
                <w:rFonts w:ascii="Calibri" w:hAnsi="Calibri" w:cs="Calibri"/>
                <w:sz w:val="20"/>
                <w:szCs w:val="20"/>
              </w:rPr>
            </w:pPr>
            <w:r w:rsidRPr="00EF7FD1">
              <w:rPr>
                <w:rFonts w:ascii="Calibri" w:hAnsi="Calibri" w:cs="Calibri"/>
                <w:sz w:val="20"/>
                <w:szCs w:val="20"/>
              </w:rPr>
              <w:t>Peginterferon beta-1a</w:t>
            </w:r>
          </w:p>
        </w:tc>
        <w:tc>
          <w:tcPr>
            <w:tcW w:w="1337" w:type="pct"/>
            <w:tcBorders>
              <w:top w:val="single" w:sz="4" w:space="0" w:color="auto"/>
              <w:left w:val="single" w:sz="4" w:space="0" w:color="auto"/>
              <w:bottom w:val="single" w:sz="4" w:space="0" w:color="auto"/>
              <w:right w:val="single" w:sz="4" w:space="0" w:color="auto"/>
            </w:tcBorders>
            <w:hideMark/>
          </w:tcPr>
          <w:p w14:paraId="3308BA36" w14:textId="3006D952"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63 microgram/0.5 mL injection [0.5 mL pen device] (&amp;)</w:t>
            </w:r>
            <w:r>
              <w:rPr>
                <w:rFonts w:ascii="Calibri" w:hAnsi="Calibri" w:cs="Calibri"/>
                <w:sz w:val="20"/>
                <w:szCs w:val="20"/>
              </w:rPr>
              <w:t xml:space="preserve"> </w:t>
            </w:r>
            <w:r w:rsidRPr="000F04A0">
              <w:rPr>
                <w:rFonts w:ascii="Calibri" w:hAnsi="Calibri" w:cs="Calibri"/>
                <w:sz w:val="20"/>
                <w:szCs w:val="20"/>
              </w:rPr>
              <w:t>94 microgram/0.5 mL injection [0.5 mL pen device], 1 pack</w:t>
            </w:r>
          </w:p>
        </w:tc>
        <w:tc>
          <w:tcPr>
            <w:tcW w:w="628" w:type="pct"/>
            <w:tcBorders>
              <w:top w:val="single" w:sz="4" w:space="0" w:color="auto"/>
              <w:left w:val="single" w:sz="4" w:space="0" w:color="auto"/>
              <w:bottom w:val="single" w:sz="4" w:space="0" w:color="auto"/>
              <w:right w:val="single" w:sz="4" w:space="0" w:color="auto"/>
            </w:tcBorders>
            <w:hideMark/>
          </w:tcPr>
          <w:p w14:paraId="70DC7EA8" w14:textId="1EDB57E7"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55F3F974" w14:textId="77777777"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10218T</w:t>
            </w:r>
          </w:p>
        </w:tc>
        <w:tc>
          <w:tcPr>
            <w:tcW w:w="1021" w:type="pct"/>
            <w:tcBorders>
              <w:top w:val="single" w:sz="4" w:space="0" w:color="auto"/>
              <w:left w:val="single" w:sz="4" w:space="0" w:color="auto"/>
              <w:bottom w:val="single" w:sz="4" w:space="0" w:color="auto"/>
              <w:right w:val="single" w:sz="4" w:space="0" w:color="auto"/>
            </w:tcBorders>
            <w:hideMark/>
          </w:tcPr>
          <w:p w14:paraId="0BB5ABE3" w14:textId="3E972B2B"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Initial </w:t>
            </w:r>
          </w:p>
        </w:tc>
        <w:tc>
          <w:tcPr>
            <w:tcW w:w="601" w:type="pct"/>
            <w:tcBorders>
              <w:top w:val="single" w:sz="4" w:space="0" w:color="auto"/>
              <w:left w:val="single" w:sz="4" w:space="0" w:color="auto"/>
              <w:bottom w:val="single" w:sz="4" w:space="0" w:color="auto"/>
              <w:right w:val="single" w:sz="4" w:space="0" w:color="auto"/>
            </w:tcBorders>
            <w:hideMark/>
          </w:tcPr>
          <w:p w14:paraId="52B6B062" w14:textId="50A72BF8" w:rsidR="00DE2335" w:rsidRPr="000F04A0" w:rsidRDefault="00DE2335" w:rsidP="00DE2335">
            <w:pPr>
              <w:spacing w:after="120"/>
              <w:jc w:val="both"/>
              <w:rPr>
                <w:rFonts w:ascii="Calibri" w:hAnsi="Calibri" w:cs="Calibri"/>
                <w:sz w:val="20"/>
                <w:szCs w:val="20"/>
              </w:rPr>
            </w:pPr>
            <w:r w:rsidRPr="0014126F">
              <w:rPr>
                <w:rFonts w:ascii="Calibri" w:hAnsi="Calibri" w:cs="Calibri"/>
                <w:sz w:val="20"/>
                <w:szCs w:val="20"/>
              </w:rPr>
              <w:t>L03AB</w:t>
            </w:r>
          </w:p>
        </w:tc>
      </w:tr>
      <w:tr w:rsidR="00DE2335" w:rsidRPr="000F04A0" w14:paraId="3E1C966C"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2C059387" w14:textId="397D563E" w:rsidR="00DE2335" w:rsidRPr="000F04A0" w:rsidRDefault="00DE2335" w:rsidP="00DE2335">
            <w:pPr>
              <w:spacing w:after="120"/>
              <w:jc w:val="both"/>
              <w:rPr>
                <w:rFonts w:ascii="Calibri" w:hAnsi="Calibri" w:cs="Calibri"/>
                <w:sz w:val="20"/>
                <w:szCs w:val="20"/>
              </w:rPr>
            </w:pPr>
            <w:r w:rsidRPr="00EF7FD1">
              <w:rPr>
                <w:rFonts w:ascii="Calibri" w:hAnsi="Calibri" w:cs="Calibri"/>
                <w:sz w:val="20"/>
                <w:szCs w:val="20"/>
              </w:rPr>
              <w:t>Peginterferon beta-1a</w:t>
            </w:r>
          </w:p>
        </w:tc>
        <w:tc>
          <w:tcPr>
            <w:tcW w:w="1337" w:type="pct"/>
            <w:tcBorders>
              <w:top w:val="single" w:sz="4" w:space="0" w:color="auto"/>
              <w:left w:val="single" w:sz="4" w:space="0" w:color="auto"/>
              <w:bottom w:val="single" w:sz="4" w:space="0" w:color="auto"/>
              <w:right w:val="single" w:sz="4" w:space="0" w:color="auto"/>
            </w:tcBorders>
            <w:hideMark/>
          </w:tcPr>
          <w:p w14:paraId="6CF95BBC" w14:textId="11CBD9B0"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125 microgram/0.5 mL injection, 2 x 0.5 mL pen devices</w:t>
            </w:r>
          </w:p>
        </w:tc>
        <w:tc>
          <w:tcPr>
            <w:tcW w:w="628" w:type="pct"/>
            <w:tcBorders>
              <w:top w:val="single" w:sz="4" w:space="0" w:color="auto"/>
              <w:left w:val="single" w:sz="4" w:space="0" w:color="auto"/>
              <w:bottom w:val="single" w:sz="4" w:space="0" w:color="auto"/>
              <w:right w:val="single" w:sz="4" w:space="0" w:color="auto"/>
            </w:tcBorders>
            <w:hideMark/>
          </w:tcPr>
          <w:p w14:paraId="35413641" w14:textId="5FC7EAD2"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21CB384D" w14:textId="77777777"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10220X</w:t>
            </w:r>
          </w:p>
        </w:tc>
        <w:tc>
          <w:tcPr>
            <w:tcW w:w="1021" w:type="pct"/>
            <w:tcBorders>
              <w:top w:val="single" w:sz="4" w:space="0" w:color="auto"/>
              <w:left w:val="single" w:sz="4" w:space="0" w:color="auto"/>
              <w:bottom w:val="single" w:sz="4" w:space="0" w:color="auto"/>
              <w:right w:val="single" w:sz="4" w:space="0" w:color="auto"/>
            </w:tcBorders>
            <w:hideMark/>
          </w:tcPr>
          <w:p w14:paraId="0C3BAFE7" w14:textId="5D9F2D3B"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Continuing </w:t>
            </w:r>
          </w:p>
        </w:tc>
        <w:tc>
          <w:tcPr>
            <w:tcW w:w="601" w:type="pct"/>
            <w:tcBorders>
              <w:top w:val="single" w:sz="4" w:space="0" w:color="auto"/>
              <w:left w:val="single" w:sz="4" w:space="0" w:color="auto"/>
              <w:bottom w:val="single" w:sz="4" w:space="0" w:color="auto"/>
              <w:right w:val="single" w:sz="4" w:space="0" w:color="auto"/>
            </w:tcBorders>
            <w:hideMark/>
          </w:tcPr>
          <w:p w14:paraId="3CD7CE92" w14:textId="384EA6D4" w:rsidR="00DE2335" w:rsidRPr="000F04A0" w:rsidRDefault="00DE2335" w:rsidP="00DE2335">
            <w:pPr>
              <w:spacing w:after="120"/>
              <w:jc w:val="both"/>
              <w:rPr>
                <w:rFonts w:ascii="Calibri" w:hAnsi="Calibri" w:cs="Calibri"/>
                <w:sz w:val="20"/>
                <w:szCs w:val="20"/>
              </w:rPr>
            </w:pPr>
            <w:r w:rsidRPr="0014126F">
              <w:rPr>
                <w:rFonts w:ascii="Calibri" w:hAnsi="Calibri" w:cs="Calibri"/>
                <w:sz w:val="20"/>
                <w:szCs w:val="20"/>
              </w:rPr>
              <w:t>L03AB</w:t>
            </w:r>
          </w:p>
        </w:tc>
      </w:tr>
      <w:tr w:rsidR="00DE2335" w:rsidRPr="000F04A0" w14:paraId="2552E473"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69C38FD6"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Interferon beta-1b</w:t>
            </w:r>
          </w:p>
        </w:tc>
        <w:tc>
          <w:tcPr>
            <w:tcW w:w="1337" w:type="pct"/>
            <w:tcBorders>
              <w:top w:val="single" w:sz="4" w:space="0" w:color="auto"/>
              <w:left w:val="single" w:sz="4" w:space="0" w:color="auto"/>
              <w:bottom w:val="single" w:sz="4" w:space="0" w:color="auto"/>
              <w:right w:val="single" w:sz="4" w:space="0" w:color="auto"/>
            </w:tcBorders>
            <w:hideMark/>
          </w:tcPr>
          <w:p w14:paraId="0E720672" w14:textId="546ADF92"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8 million units (250 microgram) injection [15 vials] (&amp;) inert substance diluent [15 x 1.2 mL syringes], 1 pack</w:t>
            </w:r>
          </w:p>
        </w:tc>
        <w:tc>
          <w:tcPr>
            <w:tcW w:w="628" w:type="pct"/>
            <w:tcBorders>
              <w:top w:val="single" w:sz="4" w:space="0" w:color="auto"/>
              <w:left w:val="single" w:sz="4" w:space="0" w:color="auto"/>
              <w:bottom w:val="single" w:sz="4" w:space="0" w:color="auto"/>
              <w:right w:val="single" w:sz="4" w:space="0" w:color="auto"/>
            </w:tcBorders>
            <w:hideMark/>
          </w:tcPr>
          <w:p w14:paraId="476E0700" w14:textId="13885315"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630F5EB1"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8101J</w:t>
            </w:r>
          </w:p>
        </w:tc>
        <w:tc>
          <w:tcPr>
            <w:tcW w:w="1021" w:type="pct"/>
            <w:tcBorders>
              <w:top w:val="single" w:sz="4" w:space="0" w:color="auto"/>
              <w:left w:val="single" w:sz="4" w:space="0" w:color="auto"/>
              <w:bottom w:val="single" w:sz="4" w:space="0" w:color="auto"/>
              <w:right w:val="single" w:sz="4" w:space="0" w:color="auto"/>
            </w:tcBorders>
          </w:tcPr>
          <w:p w14:paraId="6F057B2C" w14:textId="04B2E245"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hideMark/>
          </w:tcPr>
          <w:p w14:paraId="510AC5CB"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L03AB</w:t>
            </w:r>
          </w:p>
        </w:tc>
      </w:tr>
      <w:tr w:rsidR="00DE2335" w:rsidRPr="000F04A0" w14:paraId="5A985C57"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7812D23C"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Glatiramer acetate</w:t>
            </w:r>
          </w:p>
        </w:tc>
        <w:tc>
          <w:tcPr>
            <w:tcW w:w="1337" w:type="pct"/>
            <w:tcBorders>
              <w:top w:val="single" w:sz="4" w:space="0" w:color="auto"/>
              <w:left w:val="single" w:sz="4" w:space="0" w:color="auto"/>
              <w:bottom w:val="single" w:sz="4" w:space="0" w:color="auto"/>
              <w:right w:val="single" w:sz="4" w:space="0" w:color="auto"/>
            </w:tcBorders>
            <w:hideMark/>
          </w:tcPr>
          <w:p w14:paraId="05184C6D" w14:textId="230FCB71"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40 mg/mL injection, 12 x 1 mL syringes</w:t>
            </w:r>
          </w:p>
        </w:tc>
        <w:tc>
          <w:tcPr>
            <w:tcW w:w="628" w:type="pct"/>
            <w:tcBorders>
              <w:top w:val="single" w:sz="4" w:space="0" w:color="auto"/>
              <w:left w:val="single" w:sz="4" w:space="0" w:color="auto"/>
              <w:bottom w:val="single" w:sz="4" w:space="0" w:color="auto"/>
              <w:right w:val="single" w:sz="4" w:space="0" w:color="auto"/>
            </w:tcBorders>
            <w:hideMark/>
          </w:tcPr>
          <w:p w14:paraId="10389232" w14:textId="6FE80978"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654D3C2A"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10416F</w:t>
            </w:r>
          </w:p>
        </w:tc>
        <w:tc>
          <w:tcPr>
            <w:tcW w:w="1021" w:type="pct"/>
            <w:tcBorders>
              <w:top w:val="single" w:sz="4" w:space="0" w:color="auto"/>
              <w:left w:val="single" w:sz="4" w:space="0" w:color="auto"/>
              <w:bottom w:val="single" w:sz="4" w:space="0" w:color="auto"/>
              <w:right w:val="single" w:sz="4" w:space="0" w:color="auto"/>
            </w:tcBorders>
          </w:tcPr>
          <w:p w14:paraId="1689B73A" w14:textId="760FDE9F"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hideMark/>
          </w:tcPr>
          <w:p w14:paraId="05EC702F"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L03AX</w:t>
            </w:r>
          </w:p>
        </w:tc>
      </w:tr>
      <w:tr w:rsidR="00DE2335" w:rsidRPr="000F04A0" w14:paraId="75B6B46A" w14:textId="77777777" w:rsidTr="00DE2335">
        <w:tc>
          <w:tcPr>
            <w:tcW w:w="862" w:type="pct"/>
            <w:tcBorders>
              <w:top w:val="single" w:sz="4" w:space="0" w:color="auto"/>
              <w:left w:val="single" w:sz="4" w:space="0" w:color="auto"/>
              <w:bottom w:val="single" w:sz="4" w:space="0" w:color="auto"/>
              <w:right w:val="single" w:sz="4" w:space="0" w:color="auto"/>
            </w:tcBorders>
            <w:vAlign w:val="center"/>
            <w:hideMark/>
          </w:tcPr>
          <w:p w14:paraId="221B6853" w14:textId="68113F8B"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Glatiramer acetate</w:t>
            </w:r>
          </w:p>
        </w:tc>
        <w:tc>
          <w:tcPr>
            <w:tcW w:w="1337" w:type="pct"/>
            <w:tcBorders>
              <w:top w:val="single" w:sz="4" w:space="0" w:color="auto"/>
              <w:left w:val="single" w:sz="4" w:space="0" w:color="auto"/>
              <w:bottom w:val="single" w:sz="4" w:space="0" w:color="auto"/>
              <w:right w:val="single" w:sz="4" w:space="0" w:color="auto"/>
            </w:tcBorders>
            <w:hideMark/>
          </w:tcPr>
          <w:p w14:paraId="107DEF27" w14:textId="2FFC7B01"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40 mg/mL injection, 12 x 1 mL pen devices</w:t>
            </w:r>
          </w:p>
        </w:tc>
        <w:tc>
          <w:tcPr>
            <w:tcW w:w="628" w:type="pct"/>
            <w:tcBorders>
              <w:top w:val="single" w:sz="4" w:space="0" w:color="auto"/>
              <w:left w:val="single" w:sz="4" w:space="0" w:color="auto"/>
              <w:bottom w:val="single" w:sz="4" w:space="0" w:color="auto"/>
              <w:right w:val="single" w:sz="4" w:space="0" w:color="auto"/>
            </w:tcBorders>
            <w:hideMark/>
          </w:tcPr>
          <w:p w14:paraId="4A4C6B15" w14:textId="33C02D51"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70B4DC24"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13110B</w:t>
            </w:r>
          </w:p>
        </w:tc>
        <w:tc>
          <w:tcPr>
            <w:tcW w:w="1021" w:type="pct"/>
            <w:tcBorders>
              <w:top w:val="single" w:sz="4" w:space="0" w:color="auto"/>
              <w:left w:val="single" w:sz="4" w:space="0" w:color="auto"/>
              <w:bottom w:val="single" w:sz="4" w:space="0" w:color="auto"/>
              <w:right w:val="single" w:sz="4" w:space="0" w:color="auto"/>
            </w:tcBorders>
          </w:tcPr>
          <w:p w14:paraId="6E307D87" w14:textId="65CB4A0C"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r w:rsidRPr="000F04A0">
              <w:rPr>
                <w:rFonts w:ascii="Calibri" w:hAnsi="Calibri" w:cs="Calibri"/>
                <w:sz w:val="20"/>
                <w:szCs w:val="20"/>
              </w:rPr>
              <w:t xml:space="preserve"> </w:t>
            </w:r>
          </w:p>
        </w:tc>
        <w:tc>
          <w:tcPr>
            <w:tcW w:w="601" w:type="pct"/>
            <w:tcBorders>
              <w:top w:val="single" w:sz="4" w:space="0" w:color="auto"/>
              <w:left w:val="single" w:sz="4" w:space="0" w:color="auto"/>
              <w:bottom w:val="single" w:sz="4" w:space="0" w:color="auto"/>
              <w:right w:val="single" w:sz="4" w:space="0" w:color="auto"/>
            </w:tcBorders>
            <w:vAlign w:val="center"/>
            <w:hideMark/>
          </w:tcPr>
          <w:p w14:paraId="74A84046" w14:textId="308928BD"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L03AX</w:t>
            </w:r>
          </w:p>
        </w:tc>
      </w:tr>
      <w:tr w:rsidR="00DE2335" w:rsidRPr="000F04A0" w14:paraId="4023513C"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7D34316D"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Dimethyl fumarate</w:t>
            </w:r>
          </w:p>
        </w:tc>
        <w:tc>
          <w:tcPr>
            <w:tcW w:w="1337" w:type="pct"/>
            <w:tcBorders>
              <w:top w:val="single" w:sz="4" w:space="0" w:color="auto"/>
              <w:left w:val="single" w:sz="4" w:space="0" w:color="auto"/>
              <w:bottom w:val="single" w:sz="4" w:space="0" w:color="auto"/>
              <w:right w:val="single" w:sz="4" w:space="0" w:color="auto"/>
            </w:tcBorders>
            <w:hideMark/>
          </w:tcPr>
          <w:p w14:paraId="56592A97" w14:textId="04079DBF"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120 mg enteric capsule, 14</w:t>
            </w:r>
          </w:p>
        </w:tc>
        <w:tc>
          <w:tcPr>
            <w:tcW w:w="628" w:type="pct"/>
            <w:tcBorders>
              <w:top w:val="single" w:sz="4" w:space="0" w:color="auto"/>
              <w:left w:val="single" w:sz="4" w:space="0" w:color="auto"/>
              <w:bottom w:val="single" w:sz="4" w:space="0" w:color="auto"/>
              <w:right w:val="single" w:sz="4" w:space="0" w:color="auto"/>
            </w:tcBorders>
            <w:hideMark/>
          </w:tcPr>
          <w:p w14:paraId="35C3D6C5" w14:textId="6E97457A"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35131D55"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2896K</w:t>
            </w:r>
          </w:p>
        </w:tc>
        <w:tc>
          <w:tcPr>
            <w:tcW w:w="1021" w:type="pct"/>
            <w:tcBorders>
              <w:top w:val="single" w:sz="4" w:space="0" w:color="auto"/>
              <w:left w:val="single" w:sz="4" w:space="0" w:color="auto"/>
              <w:bottom w:val="single" w:sz="4" w:space="0" w:color="auto"/>
              <w:right w:val="single" w:sz="4" w:space="0" w:color="auto"/>
            </w:tcBorders>
            <w:hideMark/>
          </w:tcPr>
          <w:p w14:paraId="39591095" w14:textId="623B0875"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p>
        </w:tc>
        <w:tc>
          <w:tcPr>
            <w:tcW w:w="601" w:type="pct"/>
            <w:tcBorders>
              <w:top w:val="single" w:sz="4" w:space="0" w:color="auto"/>
              <w:left w:val="single" w:sz="4" w:space="0" w:color="auto"/>
              <w:bottom w:val="single" w:sz="4" w:space="0" w:color="auto"/>
              <w:right w:val="single" w:sz="4" w:space="0" w:color="auto"/>
            </w:tcBorders>
            <w:hideMark/>
          </w:tcPr>
          <w:p w14:paraId="67F1BE6D"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L04AX</w:t>
            </w:r>
          </w:p>
        </w:tc>
      </w:tr>
      <w:tr w:rsidR="00DE2335" w:rsidRPr="000F04A0" w14:paraId="6BD6E6EE"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25F04B62" w14:textId="21DA9198" w:rsidR="00DE2335" w:rsidRPr="000F04A0" w:rsidRDefault="00DE2335" w:rsidP="00DE2335">
            <w:pPr>
              <w:spacing w:after="120"/>
              <w:jc w:val="both"/>
              <w:rPr>
                <w:rFonts w:ascii="Calibri" w:hAnsi="Calibri" w:cs="Calibri"/>
                <w:sz w:val="20"/>
                <w:szCs w:val="20"/>
              </w:rPr>
            </w:pPr>
            <w:r w:rsidRPr="00796EFD">
              <w:rPr>
                <w:rFonts w:ascii="Calibri" w:hAnsi="Calibri" w:cs="Calibri"/>
                <w:sz w:val="20"/>
                <w:szCs w:val="20"/>
              </w:rPr>
              <w:t>Dimethyl fumarate</w:t>
            </w:r>
          </w:p>
        </w:tc>
        <w:tc>
          <w:tcPr>
            <w:tcW w:w="1337" w:type="pct"/>
            <w:tcBorders>
              <w:top w:val="single" w:sz="4" w:space="0" w:color="auto"/>
              <w:left w:val="single" w:sz="4" w:space="0" w:color="auto"/>
              <w:bottom w:val="single" w:sz="4" w:space="0" w:color="auto"/>
              <w:right w:val="single" w:sz="4" w:space="0" w:color="auto"/>
            </w:tcBorders>
            <w:hideMark/>
          </w:tcPr>
          <w:p w14:paraId="0E88A740" w14:textId="5A083561"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120 mg enteric capsule, 14</w:t>
            </w:r>
          </w:p>
        </w:tc>
        <w:tc>
          <w:tcPr>
            <w:tcW w:w="628" w:type="pct"/>
            <w:tcBorders>
              <w:top w:val="single" w:sz="4" w:space="0" w:color="auto"/>
              <w:left w:val="single" w:sz="4" w:space="0" w:color="auto"/>
              <w:bottom w:val="single" w:sz="4" w:space="0" w:color="auto"/>
              <w:right w:val="single" w:sz="4" w:space="0" w:color="auto"/>
            </w:tcBorders>
            <w:hideMark/>
          </w:tcPr>
          <w:p w14:paraId="2B850204" w14:textId="3C515D58"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28AB1D09" w14:textId="77777777"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2943X</w:t>
            </w:r>
          </w:p>
        </w:tc>
        <w:tc>
          <w:tcPr>
            <w:tcW w:w="1021" w:type="pct"/>
            <w:tcBorders>
              <w:top w:val="single" w:sz="4" w:space="0" w:color="auto"/>
              <w:left w:val="single" w:sz="4" w:space="0" w:color="auto"/>
              <w:bottom w:val="single" w:sz="4" w:space="0" w:color="auto"/>
              <w:right w:val="single" w:sz="4" w:space="0" w:color="auto"/>
            </w:tcBorders>
            <w:hideMark/>
          </w:tcPr>
          <w:p w14:paraId="4785A3FB" w14:textId="6846808A"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Continuing </w:t>
            </w:r>
          </w:p>
        </w:tc>
        <w:tc>
          <w:tcPr>
            <w:tcW w:w="601" w:type="pct"/>
            <w:tcBorders>
              <w:top w:val="single" w:sz="4" w:space="0" w:color="auto"/>
              <w:left w:val="single" w:sz="4" w:space="0" w:color="auto"/>
              <w:bottom w:val="single" w:sz="4" w:space="0" w:color="auto"/>
              <w:right w:val="single" w:sz="4" w:space="0" w:color="auto"/>
            </w:tcBorders>
            <w:hideMark/>
          </w:tcPr>
          <w:p w14:paraId="6A08BA10" w14:textId="3815F727" w:rsidR="00DE2335" w:rsidRPr="000F04A0" w:rsidRDefault="00DE2335" w:rsidP="00DE2335">
            <w:pPr>
              <w:spacing w:after="120"/>
              <w:jc w:val="both"/>
              <w:rPr>
                <w:rFonts w:ascii="Calibri" w:hAnsi="Calibri" w:cs="Calibri"/>
                <w:sz w:val="20"/>
                <w:szCs w:val="20"/>
              </w:rPr>
            </w:pPr>
            <w:r w:rsidRPr="00794041">
              <w:rPr>
                <w:rFonts w:ascii="Calibri" w:hAnsi="Calibri" w:cs="Calibri"/>
                <w:sz w:val="20"/>
                <w:szCs w:val="20"/>
              </w:rPr>
              <w:t>L04AX</w:t>
            </w:r>
          </w:p>
        </w:tc>
      </w:tr>
      <w:tr w:rsidR="00DE2335" w:rsidRPr="000F04A0" w14:paraId="1C0A3175"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2E66209D" w14:textId="59102E23" w:rsidR="00DE2335" w:rsidRPr="000F04A0" w:rsidRDefault="00DE2335" w:rsidP="00DE2335">
            <w:pPr>
              <w:spacing w:after="120"/>
              <w:jc w:val="both"/>
              <w:rPr>
                <w:rFonts w:ascii="Calibri" w:hAnsi="Calibri" w:cs="Calibri"/>
                <w:sz w:val="20"/>
                <w:szCs w:val="20"/>
              </w:rPr>
            </w:pPr>
            <w:r w:rsidRPr="00796EFD">
              <w:rPr>
                <w:rFonts w:ascii="Calibri" w:hAnsi="Calibri" w:cs="Calibri"/>
                <w:sz w:val="20"/>
                <w:szCs w:val="20"/>
              </w:rPr>
              <w:t>Dimethyl fumarate</w:t>
            </w:r>
          </w:p>
        </w:tc>
        <w:tc>
          <w:tcPr>
            <w:tcW w:w="1337" w:type="pct"/>
            <w:tcBorders>
              <w:top w:val="single" w:sz="4" w:space="0" w:color="auto"/>
              <w:left w:val="single" w:sz="4" w:space="0" w:color="auto"/>
              <w:bottom w:val="single" w:sz="4" w:space="0" w:color="auto"/>
              <w:right w:val="single" w:sz="4" w:space="0" w:color="auto"/>
            </w:tcBorders>
            <w:hideMark/>
          </w:tcPr>
          <w:p w14:paraId="1EFDED18" w14:textId="333B6DB2"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240 mg enteric capsule, 56</w:t>
            </w:r>
          </w:p>
        </w:tc>
        <w:tc>
          <w:tcPr>
            <w:tcW w:w="628" w:type="pct"/>
            <w:tcBorders>
              <w:top w:val="single" w:sz="4" w:space="0" w:color="auto"/>
              <w:left w:val="single" w:sz="4" w:space="0" w:color="auto"/>
              <w:bottom w:val="single" w:sz="4" w:space="0" w:color="auto"/>
              <w:right w:val="single" w:sz="4" w:space="0" w:color="auto"/>
            </w:tcBorders>
            <w:hideMark/>
          </w:tcPr>
          <w:p w14:paraId="0E7D8531" w14:textId="1876D4E9"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006B699E" w14:textId="77777777"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2966D</w:t>
            </w:r>
          </w:p>
        </w:tc>
        <w:tc>
          <w:tcPr>
            <w:tcW w:w="1021" w:type="pct"/>
            <w:tcBorders>
              <w:top w:val="single" w:sz="4" w:space="0" w:color="auto"/>
              <w:left w:val="single" w:sz="4" w:space="0" w:color="auto"/>
              <w:bottom w:val="single" w:sz="4" w:space="0" w:color="auto"/>
              <w:right w:val="single" w:sz="4" w:space="0" w:color="auto"/>
            </w:tcBorders>
            <w:hideMark/>
          </w:tcPr>
          <w:p w14:paraId="33BF8A72" w14:textId="73BE2FC2" w:rsidR="00DE2335" w:rsidRPr="000F04A0" w:rsidRDefault="00DE2335" w:rsidP="00DE2335">
            <w:pPr>
              <w:spacing w:after="120"/>
              <w:jc w:val="both"/>
              <w:rPr>
                <w:rFonts w:ascii="Calibri" w:hAnsi="Calibri" w:cs="Calibri"/>
                <w:sz w:val="20"/>
                <w:szCs w:val="20"/>
              </w:rPr>
            </w:pPr>
            <w:r w:rsidRPr="000F04A0">
              <w:rPr>
                <w:rFonts w:ascii="Calibri" w:hAnsi="Calibri" w:cs="Calibri"/>
                <w:sz w:val="20"/>
                <w:szCs w:val="20"/>
              </w:rPr>
              <w:t xml:space="preserve">Continuing </w:t>
            </w:r>
          </w:p>
        </w:tc>
        <w:tc>
          <w:tcPr>
            <w:tcW w:w="601" w:type="pct"/>
            <w:tcBorders>
              <w:top w:val="single" w:sz="4" w:space="0" w:color="auto"/>
              <w:left w:val="single" w:sz="4" w:space="0" w:color="auto"/>
              <w:bottom w:val="single" w:sz="4" w:space="0" w:color="auto"/>
              <w:right w:val="single" w:sz="4" w:space="0" w:color="auto"/>
            </w:tcBorders>
            <w:hideMark/>
          </w:tcPr>
          <w:p w14:paraId="65F25094" w14:textId="3DB75A33" w:rsidR="00DE2335" w:rsidRPr="000F04A0" w:rsidRDefault="00DE2335" w:rsidP="00DE2335">
            <w:pPr>
              <w:spacing w:after="120"/>
              <w:jc w:val="both"/>
              <w:rPr>
                <w:rFonts w:ascii="Calibri" w:hAnsi="Calibri" w:cs="Calibri"/>
                <w:sz w:val="20"/>
                <w:szCs w:val="20"/>
              </w:rPr>
            </w:pPr>
            <w:r w:rsidRPr="00794041">
              <w:rPr>
                <w:rFonts w:ascii="Calibri" w:hAnsi="Calibri" w:cs="Calibri"/>
                <w:sz w:val="20"/>
                <w:szCs w:val="20"/>
              </w:rPr>
              <w:t>L04AX</w:t>
            </w:r>
          </w:p>
        </w:tc>
      </w:tr>
      <w:tr w:rsidR="00DE2335" w:rsidRPr="000F04A0" w14:paraId="166A0D88" w14:textId="77777777" w:rsidTr="00DE2335">
        <w:tc>
          <w:tcPr>
            <w:tcW w:w="862" w:type="pct"/>
            <w:tcBorders>
              <w:top w:val="single" w:sz="4" w:space="0" w:color="auto"/>
              <w:left w:val="single" w:sz="4" w:space="0" w:color="auto"/>
              <w:bottom w:val="single" w:sz="4" w:space="0" w:color="auto"/>
              <w:right w:val="single" w:sz="4" w:space="0" w:color="auto"/>
            </w:tcBorders>
            <w:hideMark/>
          </w:tcPr>
          <w:p w14:paraId="4E181A5D"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Diroximel fumarate</w:t>
            </w:r>
          </w:p>
        </w:tc>
        <w:tc>
          <w:tcPr>
            <w:tcW w:w="1337" w:type="pct"/>
            <w:tcBorders>
              <w:top w:val="single" w:sz="4" w:space="0" w:color="auto"/>
              <w:left w:val="single" w:sz="4" w:space="0" w:color="auto"/>
              <w:bottom w:val="single" w:sz="4" w:space="0" w:color="auto"/>
              <w:right w:val="single" w:sz="4" w:space="0" w:color="auto"/>
            </w:tcBorders>
            <w:hideMark/>
          </w:tcPr>
          <w:p w14:paraId="0DB838DB" w14:textId="09EC202E" w:rsidR="00DE2335" w:rsidRPr="000F04A0" w:rsidRDefault="00DE2335" w:rsidP="00DE2335">
            <w:pPr>
              <w:spacing w:after="120"/>
              <w:rPr>
                <w:rFonts w:ascii="Calibri" w:hAnsi="Calibri" w:cs="Calibri"/>
                <w:sz w:val="20"/>
                <w:szCs w:val="20"/>
              </w:rPr>
            </w:pPr>
            <w:r w:rsidRPr="000F04A0">
              <w:rPr>
                <w:rFonts w:ascii="Calibri" w:hAnsi="Calibri" w:cs="Calibri"/>
                <w:sz w:val="20"/>
                <w:szCs w:val="20"/>
              </w:rPr>
              <w:t>231 mg enteric capsule, 120</w:t>
            </w:r>
          </w:p>
        </w:tc>
        <w:tc>
          <w:tcPr>
            <w:tcW w:w="628" w:type="pct"/>
            <w:tcBorders>
              <w:top w:val="single" w:sz="4" w:space="0" w:color="auto"/>
              <w:left w:val="single" w:sz="4" w:space="0" w:color="auto"/>
              <w:bottom w:val="single" w:sz="4" w:space="0" w:color="auto"/>
              <w:right w:val="single" w:sz="4" w:space="0" w:color="auto"/>
            </w:tcBorders>
            <w:hideMark/>
          </w:tcPr>
          <w:p w14:paraId="6F69DF94" w14:textId="21D29D41"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General </w:t>
            </w:r>
          </w:p>
        </w:tc>
        <w:tc>
          <w:tcPr>
            <w:tcW w:w="551" w:type="pct"/>
            <w:tcBorders>
              <w:top w:val="single" w:sz="4" w:space="0" w:color="auto"/>
              <w:left w:val="single" w:sz="4" w:space="0" w:color="auto"/>
              <w:bottom w:val="single" w:sz="4" w:space="0" w:color="auto"/>
              <w:right w:val="single" w:sz="4" w:space="0" w:color="auto"/>
            </w:tcBorders>
            <w:hideMark/>
          </w:tcPr>
          <w:p w14:paraId="4BB32F8B"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13059H</w:t>
            </w:r>
          </w:p>
        </w:tc>
        <w:tc>
          <w:tcPr>
            <w:tcW w:w="1021" w:type="pct"/>
            <w:tcBorders>
              <w:top w:val="single" w:sz="4" w:space="0" w:color="auto"/>
              <w:left w:val="single" w:sz="4" w:space="0" w:color="auto"/>
              <w:bottom w:val="single" w:sz="4" w:space="0" w:color="auto"/>
              <w:right w:val="single" w:sz="4" w:space="0" w:color="auto"/>
            </w:tcBorders>
          </w:tcPr>
          <w:p w14:paraId="0CACFC98" w14:textId="224265C2"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 xml:space="preserve">Initial </w:t>
            </w:r>
            <w:r>
              <w:rPr>
                <w:rFonts w:ascii="Calibri" w:hAnsi="Calibri" w:cs="Calibri"/>
                <w:sz w:val="20"/>
                <w:szCs w:val="20"/>
              </w:rPr>
              <w:t xml:space="preserve">&amp; </w:t>
            </w:r>
            <w:proofErr w:type="gramStart"/>
            <w:r w:rsidRPr="000F04A0">
              <w:rPr>
                <w:rFonts w:ascii="Calibri" w:hAnsi="Calibri" w:cs="Calibri"/>
                <w:sz w:val="20"/>
                <w:szCs w:val="20"/>
              </w:rPr>
              <w:t>Continuing</w:t>
            </w:r>
            <w:proofErr w:type="gramEnd"/>
          </w:p>
        </w:tc>
        <w:tc>
          <w:tcPr>
            <w:tcW w:w="601" w:type="pct"/>
            <w:tcBorders>
              <w:top w:val="single" w:sz="4" w:space="0" w:color="auto"/>
              <w:left w:val="single" w:sz="4" w:space="0" w:color="auto"/>
              <w:bottom w:val="single" w:sz="4" w:space="0" w:color="auto"/>
              <w:right w:val="single" w:sz="4" w:space="0" w:color="auto"/>
            </w:tcBorders>
            <w:hideMark/>
          </w:tcPr>
          <w:p w14:paraId="6B2F7360" w14:textId="77777777" w:rsidR="00DE2335" w:rsidRPr="000F04A0" w:rsidRDefault="00DE2335" w:rsidP="007E7B02">
            <w:pPr>
              <w:spacing w:after="120"/>
              <w:jc w:val="both"/>
              <w:rPr>
                <w:rFonts w:ascii="Calibri" w:hAnsi="Calibri" w:cs="Calibri"/>
                <w:sz w:val="20"/>
                <w:szCs w:val="20"/>
              </w:rPr>
            </w:pPr>
            <w:r w:rsidRPr="000F04A0">
              <w:rPr>
                <w:rFonts w:ascii="Calibri" w:hAnsi="Calibri" w:cs="Calibri"/>
                <w:sz w:val="20"/>
                <w:szCs w:val="20"/>
              </w:rPr>
              <w:t>L04AX</w:t>
            </w:r>
          </w:p>
        </w:tc>
      </w:tr>
    </w:tbl>
    <w:p w14:paraId="7D95E45B" w14:textId="77777777" w:rsidR="009E5B05" w:rsidRPr="000F04A0" w:rsidRDefault="009E5B05" w:rsidP="009E5B05">
      <w:pPr>
        <w:spacing w:after="120" w:line="240" w:lineRule="auto"/>
        <w:jc w:val="both"/>
        <w:rPr>
          <w:rFonts w:ascii="Calibri" w:hAnsi="Calibri" w:cs="Calibri"/>
          <w:sz w:val="20"/>
          <w:szCs w:val="20"/>
        </w:rPr>
      </w:pPr>
      <w:r w:rsidRPr="000F04A0">
        <w:rPr>
          <w:rFonts w:ascii="Calibri" w:hAnsi="Calibri" w:cs="Calibri"/>
          <w:sz w:val="20"/>
          <w:szCs w:val="20"/>
        </w:rPr>
        <w:t>* A special pricing arrangement is in place for this medicine.</w:t>
      </w:r>
    </w:p>
    <w:p w14:paraId="7A6681F9" w14:textId="77777777" w:rsidR="009E5B05" w:rsidRPr="000F04A0" w:rsidRDefault="009E5B05" w:rsidP="009E5B05">
      <w:pPr>
        <w:spacing w:after="120" w:line="240" w:lineRule="auto"/>
        <w:jc w:val="both"/>
        <w:rPr>
          <w:rFonts w:ascii="Calibri" w:hAnsi="Calibri" w:cs="Calibri"/>
          <w:sz w:val="20"/>
          <w:szCs w:val="20"/>
        </w:rPr>
      </w:pPr>
    </w:p>
    <w:p w14:paraId="499524AB" w14:textId="77777777" w:rsidR="009E5B05" w:rsidRPr="000F04A0" w:rsidRDefault="009E5B05" w:rsidP="009E5B05">
      <w:pPr>
        <w:spacing w:after="120" w:line="240" w:lineRule="auto"/>
        <w:jc w:val="both"/>
        <w:rPr>
          <w:rFonts w:ascii="Calibri" w:eastAsia="Times New Roman" w:hAnsi="Calibri" w:cs="Calibri"/>
          <w:i/>
          <w:iCs/>
          <w:snapToGrid w:val="0"/>
          <w:sz w:val="20"/>
          <w:szCs w:val="20"/>
        </w:rPr>
      </w:pPr>
    </w:p>
    <w:p w14:paraId="4EA8B396" w14:textId="77777777" w:rsidR="00280050" w:rsidRPr="000F04A0" w:rsidRDefault="00280050">
      <w:pPr>
        <w:rPr>
          <w:rFonts w:ascii="Calibri" w:eastAsia="Times New Roman" w:hAnsi="Calibri" w:cs="Calibri"/>
        </w:rPr>
      </w:pPr>
    </w:p>
    <w:sectPr w:rsidR="00280050" w:rsidRPr="000F04A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48CAD" w14:textId="77777777" w:rsidR="008C4654" w:rsidRDefault="008C4654" w:rsidP="00EB534F">
      <w:pPr>
        <w:spacing w:after="0" w:line="240" w:lineRule="auto"/>
      </w:pPr>
      <w:r>
        <w:separator/>
      </w:r>
    </w:p>
  </w:endnote>
  <w:endnote w:type="continuationSeparator" w:id="0">
    <w:p w14:paraId="48713930" w14:textId="77777777" w:rsidR="008C4654" w:rsidRDefault="008C4654" w:rsidP="00EB5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w:altName w:val="Times New Roman"/>
    <w:charset w:val="00"/>
    <w:family w:val="auto"/>
    <w:pitch w:val="variable"/>
    <w:sig w:usb0="80000063" w:usb1="00000000" w:usb2="00000000" w:usb3="00000000" w:csb0="000001F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1B1F" w14:textId="1CB93C20" w:rsidR="00421984" w:rsidRDefault="00502269">
    <w:pPr>
      <w:pStyle w:val="Footer"/>
    </w:pPr>
    <w:r>
      <w:rPr>
        <w:noProof/>
        <w14:ligatures w14:val="standardContextual"/>
      </w:rPr>
      <mc:AlternateContent>
        <mc:Choice Requires="wps">
          <w:drawing>
            <wp:anchor distT="0" distB="0" distL="0" distR="0" simplePos="0" relativeHeight="251689984" behindDoc="0" locked="0" layoutInCell="1" allowOverlap="1" wp14:anchorId="0944573E" wp14:editId="49C3D563">
              <wp:simplePos x="635" y="635"/>
              <wp:positionH relativeFrom="page">
                <wp:align>center</wp:align>
              </wp:positionH>
              <wp:positionV relativeFrom="page">
                <wp:align>bottom</wp:align>
              </wp:positionV>
              <wp:extent cx="622300" cy="391160"/>
              <wp:effectExtent l="0" t="0" r="6350" b="0"/>
              <wp:wrapNone/>
              <wp:docPr id="5483009"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ADAB893" w14:textId="13E7C3F6"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44573E" id="_x0000_t202" coordsize="21600,21600" o:spt="202" path="m,l,21600r21600,l21600,xe">
              <v:stroke joinstyle="miter"/>
              <v:path gradientshapeok="t" o:connecttype="rect"/>
            </v:shapetype>
            <v:shape id="Text Box 24" o:spid="_x0000_s1028" type="#_x0000_t202" alt="OFFICIAL" style="position:absolute;margin-left:0;margin-top:0;width:49pt;height:30.8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5ADAB893" w14:textId="13E7C3F6"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4924" w14:textId="7B84F181" w:rsidR="00EB534F" w:rsidRPr="00441308" w:rsidRDefault="00502269">
    <w:pPr>
      <w:pStyle w:val="Footer"/>
      <w:jc w:val="center"/>
      <w:rPr>
        <w:rFonts w:cstheme="minorHAnsi"/>
      </w:rPr>
    </w:pPr>
    <w:r>
      <w:rPr>
        <w:noProof/>
        <w14:ligatures w14:val="standardContextual"/>
      </w:rPr>
      <mc:AlternateContent>
        <mc:Choice Requires="wps">
          <w:drawing>
            <wp:anchor distT="0" distB="0" distL="0" distR="0" simplePos="0" relativeHeight="251691008" behindDoc="0" locked="0" layoutInCell="1" allowOverlap="1" wp14:anchorId="3631D015" wp14:editId="497C02AD">
              <wp:simplePos x="635" y="635"/>
              <wp:positionH relativeFrom="page">
                <wp:align>center</wp:align>
              </wp:positionH>
              <wp:positionV relativeFrom="page">
                <wp:align>bottom</wp:align>
              </wp:positionV>
              <wp:extent cx="622300" cy="391160"/>
              <wp:effectExtent l="0" t="0" r="6350" b="0"/>
              <wp:wrapNone/>
              <wp:docPr id="12051428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4943355" w14:textId="54822728"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31D015" id="_x0000_t202" coordsize="21600,21600" o:spt="202" path="m,l,21600r21600,l21600,xe">
              <v:stroke joinstyle="miter"/>
              <v:path gradientshapeok="t" o:connecttype="rect"/>
            </v:shapetype>
            <v:shape id="Text Box 25" o:spid="_x0000_s1029" type="#_x0000_t202" alt="OFFICIAL" style="position:absolute;left:0;text-align:left;margin-left:0;margin-top:0;width:49pt;height:30.8pt;z-index:2516910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54943355" w14:textId="54822728"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sdt>
      <w:sdtPr>
        <w:id w:val="1598910951"/>
        <w:docPartObj>
          <w:docPartGallery w:val="Page Numbers (Bottom of Page)"/>
          <w:docPartUnique/>
        </w:docPartObj>
      </w:sdtPr>
      <w:sdtEndPr>
        <w:rPr>
          <w:rFonts w:cstheme="minorHAnsi"/>
          <w:noProof/>
        </w:rPr>
      </w:sdtEndPr>
      <w:sdtContent>
        <w:r w:rsidR="00EB534F" w:rsidRPr="00441308">
          <w:rPr>
            <w:rFonts w:cstheme="minorHAnsi"/>
          </w:rPr>
          <w:fldChar w:fldCharType="begin"/>
        </w:r>
        <w:r w:rsidR="00EB534F" w:rsidRPr="00441308">
          <w:rPr>
            <w:rFonts w:cstheme="minorHAnsi"/>
          </w:rPr>
          <w:instrText xml:space="preserve"> PAGE   \* MERGEFORMAT </w:instrText>
        </w:r>
        <w:r w:rsidR="00EB534F" w:rsidRPr="00441308">
          <w:rPr>
            <w:rFonts w:cstheme="minorHAnsi"/>
          </w:rPr>
          <w:fldChar w:fldCharType="separate"/>
        </w:r>
        <w:r w:rsidR="00EB534F" w:rsidRPr="00441308">
          <w:rPr>
            <w:rFonts w:cstheme="minorHAnsi"/>
            <w:noProof/>
          </w:rPr>
          <w:t>2</w:t>
        </w:r>
        <w:r w:rsidR="00EB534F" w:rsidRPr="00441308">
          <w:rPr>
            <w:rFonts w:cstheme="minorHAnsi"/>
            <w:noProof/>
          </w:rPr>
          <w:fldChar w:fldCharType="end"/>
        </w:r>
      </w:sdtContent>
    </w:sdt>
  </w:p>
  <w:p w14:paraId="2213D514" w14:textId="77777777" w:rsidR="00EB534F" w:rsidRDefault="00EB5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7EC8" w14:textId="429EFCAB" w:rsidR="00421984" w:rsidRDefault="00502269">
    <w:pPr>
      <w:pStyle w:val="Footer"/>
    </w:pPr>
    <w:r>
      <w:rPr>
        <w:noProof/>
        <w14:ligatures w14:val="standardContextual"/>
      </w:rPr>
      <mc:AlternateContent>
        <mc:Choice Requires="wps">
          <w:drawing>
            <wp:anchor distT="0" distB="0" distL="0" distR="0" simplePos="0" relativeHeight="251688960" behindDoc="0" locked="0" layoutInCell="1" allowOverlap="1" wp14:anchorId="684FFB9E" wp14:editId="4C511430">
              <wp:simplePos x="635" y="635"/>
              <wp:positionH relativeFrom="page">
                <wp:align>center</wp:align>
              </wp:positionH>
              <wp:positionV relativeFrom="page">
                <wp:align>bottom</wp:align>
              </wp:positionV>
              <wp:extent cx="622300" cy="391160"/>
              <wp:effectExtent l="0" t="0" r="6350" b="0"/>
              <wp:wrapNone/>
              <wp:docPr id="1406435010"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FA4C41D" w14:textId="0F044D6D"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4FFB9E" id="_x0000_t202" coordsize="21600,21600" o:spt="202" path="m,l,21600r21600,l21600,xe">
              <v:stroke joinstyle="miter"/>
              <v:path gradientshapeok="t" o:connecttype="rect"/>
            </v:shapetype>
            <v:shape id="Text Box 23" o:spid="_x0000_s1031" type="#_x0000_t202" alt="OFFICIAL" style="position:absolute;margin-left:0;margin-top:0;width:49pt;height:30.8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1FA4C41D" w14:textId="0F044D6D"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9DF9" w14:textId="176DB660" w:rsidR="00EB534F" w:rsidRDefault="00502269">
    <w:pPr>
      <w:pStyle w:val="Footer"/>
    </w:pPr>
    <w:r>
      <w:rPr>
        <w:noProof/>
        <w14:ligatures w14:val="standardContextual"/>
      </w:rPr>
      <mc:AlternateContent>
        <mc:Choice Requires="wps">
          <w:drawing>
            <wp:anchor distT="0" distB="0" distL="0" distR="0" simplePos="0" relativeHeight="251693056" behindDoc="0" locked="0" layoutInCell="1" allowOverlap="1" wp14:anchorId="66FA4D4D" wp14:editId="37A64EEF">
              <wp:simplePos x="635" y="635"/>
              <wp:positionH relativeFrom="page">
                <wp:align>center</wp:align>
              </wp:positionH>
              <wp:positionV relativeFrom="page">
                <wp:align>bottom</wp:align>
              </wp:positionV>
              <wp:extent cx="622300" cy="391160"/>
              <wp:effectExtent l="0" t="0" r="6350" b="0"/>
              <wp:wrapNone/>
              <wp:docPr id="1569614127"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BABD721" w14:textId="7A68E4E0"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FA4D4D" id="_x0000_t202" coordsize="21600,21600" o:spt="202" path="m,l,21600r21600,l21600,xe">
              <v:stroke joinstyle="miter"/>
              <v:path gradientshapeok="t" o:connecttype="rect"/>
            </v:shapetype>
            <v:shape id="Text Box 27" o:spid="_x0000_s1034" type="#_x0000_t202" alt="OFFICIAL" style="position:absolute;margin-left:0;margin-top:0;width:49pt;height:30.8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BJj3Ye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2BABD721" w14:textId="7A68E4E0"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58BB" w14:textId="5F0B7902" w:rsidR="00EB534F" w:rsidRPr="00447BDD" w:rsidRDefault="00502269" w:rsidP="00447BDD">
    <w:pPr>
      <w:pStyle w:val="Footer"/>
      <w:jc w:val="center"/>
      <w:rPr>
        <w:rFonts w:cstheme="minorHAnsi"/>
      </w:rPr>
    </w:pPr>
    <w:r>
      <w:rPr>
        <w:noProof/>
        <w14:ligatures w14:val="standardContextual"/>
      </w:rPr>
      <mc:AlternateContent>
        <mc:Choice Requires="wps">
          <w:drawing>
            <wp:anchor distT="0" distB="0" distL="0" distR="0" simplePos="0" relativeHeight="251694080" behindDoc="0" locked="0" layoutInCell="1" allowOverlap="1" wp14:anchorId="562E25D5" wp14:editId="3002E39E">
              <wp:simplePos x="914400" y="10071100"/>
              <wp:positionH relativeFrom="page">
                <wp:align>center</wp:align>
              </wp:positionH>
              <wp:positionV relativeFrom="page">
                <wp:align>bottom</wp:align>
              </wp:positionV>
              <wp:extent cx="622300" cy="391160"/>
              <wp:effectExtent l="0" t="0" r="6350" b="0"/>
              <wp:wrapNone/>
              <wp:docPr id="1310099892"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7B26209" w14:textId="1167F5A6"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2E25D5" id="_x0000_t202" coordsize="21600,21600" o:spt="202" path="m,l,21600r21600,l21600,xe">
              <v:stroke joinstyle="miter"/>
              <v:path gradientshapeok="t" o:connecttype="rect"/>
            </v:shapetype>
            <v:shape id="Text Box 28" o:spid="_x0000_s1035" type="#_x0000_t202" alt="OFFICIAL" style="position:absolute;left:0;text-align:left;margin-left:0;margin-top:0;width:49pt;height:30.8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MQjDg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fjtOv4X6SEshnPj2Tq5aar0WPjwLJIJpWhJt&#10;eKJDG+grDmeLswbw59/8MZ9wpyhnPQmm4pYUzZn5bomPqK3RwNHYJqO4zT9HeOy+uweSYUEvwslk&#10;kheDGU2N0L2SnJexEYWEldSu4tvRvA8n5dJzkGq5TEkkIyfC2m6cjKUjXBHLl+FVoDsDHoipRxjV&#10;JMp3uJ9y403vlvtA6CdSIrQnIM+IkwQTV+fnEjX+9j9lXR/14h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AkMMQj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77B26209" w14:textId="1167F5A6"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sdt>
      <w:sdtPr>
        <w:id w:val="-1715186928"/>
        <w:docPartObj>
          <w:docPartGallery w:val="Page Numbers (Bottom of Page)"/>
          <w:docPartUnique/>
        </w:docPartObj>
      </w:sdtPr>
      <w:sdtEndPr>
        <w:rPr>
          <w:rFonts w:cstheme="minorHAnsi"/>
          <w:noProof/>
        </w:rPr>
      </w:sdtEndPr>
      <w:sdtContent>
        <w:r w:rsidR="00EB534F" w:rsidRPr="00441308">
          <w:rPr>
            <w:rFonts w:cstheme="minorHAnsi"/>
          </w:rPr>
          <w:fldChar w:fldCharType="begin"/>
        </w:r>
        <w:r w:rsidR="00EB534F" w:rsidRPr="00441308">
          <w:rPr>
            <w:rFonts w:cstheme="minorHAnsi"/>
          </w:rPr>
          <w:instrText xml:space="preserve"> PAGE   \* MERGEFORMAT </w:instrText>
        </w:r>
        <w:r w:rsidR="00EB534F" w:rsidRPr="00441308">
          <w:rPr>
            <w:rFonts w:cstheme="minorHAnsi"/>
          </w:rPr>
          <w:fldChar w:fldCharType="separate"/>
        </w:r>
        <w:r w:rsidR="00EB534F">
          <w:rPr>
            <w:rFonts w:cstheme="minorHAnsi"/>
          </w:rPr>
          <w:t>24</w:t>
        </w:r>
        <w:r w:rsidR="00EB534F" w:rsidRPr="00441308">
          <w:rPr>
            <w:rFonts w:cstheme="minorHAnsi"/>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2CD6" w14:textId="77A3CFAB" w:rsidR="00EB534F" w:rsidRDefault="00502269">
    <w:pPr>
      <w:pStyle w:val="Footer"/>
    </w:pPr>
    <w:r>
      <w:rPr>
        <w:noProof/>
        <w14:ligatures w14:val="standardContextual"/>
      </w:rPr>
      <mc:AlternateContent>
        <mc:Choice Requires="wps">
          <w:drawing>
            <wp:anchor distT="0" distB="0" distL="0" distR="0" simplePos="0" relativeHeight="251692032" behindDoc="0" locked="0" layoutInCell="1" allowOverlap="1" wp14:anchorId="6262BB6B" wp14:editId="21515A6B">
              <wp:simplePos x="635" y="635"/>
              <wp:positionH relativeFrom="page">
                <wp:align>center</wp:align>
              </wp:positionH>
              <wp:positionV relativeFrom="page">
                <wp:align>bottom</wp:align>
              </wp:positionV>
              <wp:extent cx="622300" cy="391160"/>
              <wp:effectExtent l="0" t="0" r="6350" b="0"/>
              <wp:wrapNone/>
              <wp:docPr id="1556688687"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B9FCCEB" w14:textId="6C85438A"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62BB6B" id="_x0000_t202" coordsize="21600,21600" o:spt="202" path="m,l,21600r21600,l21600,xe">
              <v:stroke joinstyle="miter"/>
              <v:path gradientshapeok="t" o:connecttype="rect"/>
            </v:shapetype>
            <v:shape id="Text Box 26" o:spid="_x0000_s1037" type="#_x0000_t202" alt="OFFICIAL" style="position:absolute;margin-left:0;margin-top:0;width:49pt;height:30.8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4bcDQIAAB0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sv4W6iPtBXCiXDv5Kql3mvhw7NAYpjGJdWG&#10;Jzq0gb7icLY4awB//s0f8wl4inLWk2IqbknSnJnvlgiJ4hoNHI1tMorb/HPEx+67eyAdFvQknEwm&#10;eTGY0dQI3SvpeRkbUUhYSe0qvh3N+3CSLr0HqZbLlEQ6ciKs7cbJWDriFcF8GV4FujPigah6hFFO&#10;onwH/Ck33vRuuQ8Ef2IlYnsC8gw5aTCRdX4vUeRv/1PW9VUvfgE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C6HhtwNAgAAHQQA&#10;AA4AAAAAAAAAAAAAAAAALgIAAGRycy9lMm9Eb2MueG1sUEsBAi0AFAAGAAgAAAAhAIJRlNfaAAAA&#10;AwEAAA8AAAAAAAAAAAAAAAAAZwQAAGRycy9kb3ducmV2LnhtbFBLBQYAAAAABAAEAPMAAABuBQAA&#10;AAA=&#10;" filled="f" stroked="f">
              <v:fill o:detectmouseclick="t"/>
              <v:textbox style="mso-fit-shape-to-text:t" inset="0,0,0,15pt">
                <w:txbxContent>
                  <w:p w14:paraId="6B9FCCEB" w14:textId="6C85438A"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E7B8A" w14:textId="77777777" w:rsidR="008C4654" w:rsidRDefault="008C4654" w:rsidP="00EB534F">
      <w:pPr>
        <w:spacing w:after="0" w:line="240" w:lineRule="auto"/>
      </w:pPr>
      <w:r>
        <w:separator/>
      </w:r>
    </w:p>
  </w:footnote>
  <w:footnote w:type="continuationSeparator" w:id="0">
    <w:p w14:paraId="09D484FE" w14:textId="77777777" w:rsidR="008C4654" w:rsidRDefault="008C4654" w:rsidP="00EB534F">
      <w:pPr>
        <w:spacing w:after="0" w:line="240" w:lineRule="auto"/>
      </w:pPr>
      <w:r>
        <w:continuationSeparator/>
      </w:r>
    </w:p>
  </w:footnote>
  <w:footnote w:id="1">
    <w:p w14:paraId="03B404A3" w14:textId="77777777" w:rsidR="00EB534F" w:rsidRPr="00447BDD" w:rsidRDefault="00EB534F" w:rsidP="00EB534F">
      <w:pPr>
        <w:pStyle w:val="FootnoteText"/>
        <w:rPr>
          <w:rFonts w:asciiTheme="minorHAnsi" w:hAnsiTheme="minorHAnsi" w:cstheme="minorHAnsi"/>
        </w:rPr>
      </w:pPr>
      <w:r w:rsidRPr="00447BDD">
        <w:rPr>
          <w:rStyle w:val="FootnoteReference"/>
          <w:rFonts w:asciiTheme="minorHAnsi" w:hAnsiTheme="minorHAnsi" w:cstheme="minorHAnsi"/>
        </w:rPr>
        <w:footnoteRef/>
      </w:r>
      <w:r w:rsidRPr="00447BDD">
        <w:rPr>
          <w:rFonts w:asciiTheme="minorHAnsi" w:hAnsiTheme="minorHAnsi" w:cstheme="minorHAnsi"/>
        </w:rPr>
        <w:t xml:space="preserve"> </w:t>
      </w:r>
      <w:r w:rsidRPr="00447BDD">
        <w:rPr>
          <w:rFonts w:asciiTheme="minorHAnsi" w:hAnsiTheme="minorHAnsi" w:cstheme="minorHAnsi"/>
          <w:color w:val="222222"/>
          <w:shd w:val="clear" w:color="auto" w:fill="FFFFFF"/>
        </w:rPr>
        <w:t>Lane, J., Ng, H. S., Poyser, C., Lucas, R. M., &amp; Tremlett, H. (2022). Multiple sclerosis incidence: a systematic review of change over time by geographical region. </w:t>
      </w:r>
      <w:r w:rsidRPr="00447BDD">
        <w:rPr>
          <w:rFonts w:asciiTheme="minorHAnsi" w:hAnsiTheme="minorHAnsi" w:cstheme="minorHAnsi"/>
          <w:i/>
          <w:iCs/>
          <w:color w:val="222222"/>
          <w:shd w:val="clear" w:color="auto" w:fill="FFFFFF"/>
        </w:rPr>
        <w:t>Multiple Sclerosis and Related Disorders</w:t>
      </w:r>
      <w:r w:rsidRPr="00447BDD">
        <w:rPr>
          <w:rFonts w:asciiTheme="minorHAnsi" w:hAnsiTheme="minorHAnsi" w:cstheme="minorHAnsi"/>
          <w:color w:val="222222"/>
          <w:shd w:val="clear" w:color="auto" w:fill="FFFFFF"/>
        </w:rPr>
        <w:t>, </w:t>
      </w:r>
      <w:r w:rsidRPr="00447BDD">
        <w:rPr>
          <w:rFonts w:asciiTheme="minorHAnsi" w:hAnsiTheme="minorHAnsi" w:cstheme="minorHAnsi"/>
          <w:i/>
          <w:iCs/>
          <w:color w:val="222222"/>
          <w:shd w:val="clear" w:color="auto" w:fill="FFFFFF"/>
        </w:rPr>
        <w:t>63</w:t>
      </w:r>
      <w:r w:rsidRPr="00447BDD">
        <w:rPr>
          <w:rFonts w:asciiTheme="minorHAnsi" w:hAnsiTheme="minorHAnsi" w:cstheme="minorHAnsi"/>
          <w:color w:val="222222"/>
          <w:shd w:val="clear" w:color="auto" w:fill="FFFFFF"/>
        </w:rPr>
        <w:t>, 103932.</w:t>
      </w:r>
    </w:p>
  </w:footnote>
  <w:footnote w:id="2">
    <w:p w14:paraId="2C228ACD" w14:textId="77777777" w:rsidR="00EB534F" w:rsidRPr="00447BDD" w:rsidRDefault="00EB534F" w:rsidP="00EB534F">
      <w:pPr>
        <w:pStyle w:val="FootnoteText"/>
        <w:rPr>
          <w:rFonts w:asciiTheme="minorHAnsi" w:hAnsiTheme="minorHAnsi" w:cstheme="minorHAnsi"/>
        </w:rPr>
      </w:pPr>
      <w:r w:rsidRPr="00447BDD">
        <w:rPr>
          <w:rStyle w:val="FootnoteReference"/>
          <w:rFonts w:asciiTheme="minorHAnsi" w:hAnsiTheme="minorHAnsi" w:cstheme="minorHAnsi"/>
        </w:rPr>
        <w:footnoteRef/>
      </w:r>
      <w:r w:rsidRPr="00447BDD">
        <w:rPr>
          <w:rFonts w:asciiTheme="minorHAnsi" w:hAnsiTheme="minorHAnsi" w:cstheme="minorHAnsi"/>
        </w:rPr>
        <w:t xml:space="preserve"> </w:t>
      </w:r>
      <w:r w:rsidRPr="00447BDD">
        <w:rPr>
          <w:rFonts w:asciiTheme="minorHAnsi" w:hAnsiTheme="minorHAnsi" w:cstheme="minorHAnsi"/>
          <w:color w:val="222222"/>
          <w:shd w:val="clear" w:color="auto" w:fill="FFFFFF"/>
        </w:rPr>
        <w:t>Browne, P., Chandraratna, D., Angood, C., Tremlett, H., Baker, C., Taylor, B. V., &amp; Thompson, A. J. (2014). Atlas of multiple sclerosis 2013: a growing global problem with widespread inequity. </w:t>
      </w:r>
      <w:r w:rsidRPr="00447BDD">
        <w:rPr>
          <w:rFonts w:asciiTheme="minorHAnsi" w:hAnsiTheme="minorHAnsi" w:cstheme="minorHAnsi"/>
          <w:i/>
          <w:iCs/>
          <w:color w:val="222222"/>
          <w:shd w:val="clear" w:color="auto" w:fill="FFFFFF"/>
        </w:rPr>
        <w:t>Neurology</w:t>
      </w:r>
      <w:r w:rsidRPr="00447BDD">
        <w:rPr>
          <w:rFonts w:asciiTheme="minorHAnsi" w:hAnsiTheme="minorHAnsi" w:cstheme="minorHAnsi"/>
          <w:color w:val="222222"/>
          <w:shd w:val="clear" w:color="auto" w:fill="FFFFFF"/>
        </w:rPr>
        <w:t>, </w:t>
      </w:r>
      <w:r w:rsidRPr="00447BDD">
        <w:rPr>
          <w:rFonts w:asciiTheme="minorHAnsi" w:hAnsiTheme="minorHAnsi" w:cstheme="minorHAnsi"/>
          <w:i/>
          <w:iCs/>
          <w:color w:val="222222"/>
          <w:shd w:val="clear" w:color="auto" w:fill="FFFFFF"/>
        </w:rPr>
        <w:t>83</w:t>
      </w:r>
      <w:r w:rsidRPr="00447BDD">
        <w:rPr>
          <w:rFonts w:asciiTheme="minorHAnsi" w:hAnsiTheme="minorHAnsi" w:cstheme="minorHAnsi"/>
          <w:color w:val="222222"/>
          <w:shd w:val="clear" w:color="auto" w:fill="FFFFFF"/>
        </w:rPr>
        <w:t>(11), 1022-1024.</w:t>
      </w:r>
    </w:p>
  </w:footnote>
  <w:footnote w:id="3">
    <w:p w14:paraId="4433AD0B" w14:textId="77777777" w:rsidR="00EB534F" w:rsidRPr="00447BDD" w:rsidRDefault="00EB534F" w:rsidP="00EB534F">
      <w:pPr>
        <w:pStyle w:val="FootnoteText"/>
        <w:rPr>
          <w:rFonts w:asciiTheme="minorHAnsi" w:hAnsiTheme="minorHAnsi" w:cstheme="minorHAnsi"/>
        </w:rPr>
      </w:pPr>
      <w:r w:rsidRPr="00447BDD">
        <w:rPr>
          <w:rStyle w:val="FootnoteReference"/>
          <w:rFonts w:asciiTheme="minorHAnsi" w:hAnsiTheme="minorHAnsi" w:cstheme="minorHAnsi"/>
        </w:rPr>
        <w:footnoteRef/>
      </w:r>
      <w:r w:rsidRPr="00447BDD">
        <w:rPr>
          <w:rFonts w:asciiTheme="minorHAnsi" w:hAnsiTheme="minorHAnsi" w:cstheme="minorHAnsi"/>
        </w:rPr>
        <w:t xml:space="preserve"> </w:t>
      </w:r>
      <w:r w:rsidRPr="00447BDD">
        <w:rPr>
          <w:rFonts w:asciiTheme="minorHAnsi" w:hAnsiTheme="minorHAnsi" w:cstheme="minorHAnsi"/>
          <w:color w:val="222222"/>
          <w:shd w:val="clear" w:color="auto" w:fill="FFFFFF"/>
        </w:rPr>
        <w:t>Goudarzi, M. H., Eadie, M. J., &amp; Hollingworth, S. A. (2021). Disease modifying therapies for relapsing-remitting multiple sclerosis: use and costs in Australia (1996-2019). </w:t>
      </w:r>
      <w:r w:rsidRPr="00447BDD">
        <w:rPr>
          <w:rFonts w:asciiTheme="minorHAnsi" w:hAnsiTheme="minorHAnsi" w:cstheme="minorHAnsi"/>
          <w:i/>
          <w:iCs/>
          <w:color w:val="222222"/>
          <w:shd w:val="clear" w:color="auto" w:fill="FFFFFF"/>
        </w:rPr>
        <w:t>Multiple Sclerosis and Related Disorders</w:t>
      </w:r>
      <w:r w:rsidRPr="00447BDD">
        <w:rPr>
          <w:rFonts w:asciiTheme="minorHAnsi" w:hAnsiTheme="minorHAnsi" w:cstheme="minorHAnsi"/>
          <w:color w:val="222222"/>
          <w:shd w:val="clear" w:color="auto" w:fill="FFFFFF"/>
        </w:rPr>
        <w:t>, </w:t>
      </w:r>
      <w:r w:rsidRPr="00447BDD">
        <w:rPr>
          <w:rFonts w:asciiTheme="minorHAnsi" w:hAnsiTheme="minorHAnsi" w:cstheme="minorHAnsi"/>
          <w:i/>
          <w:iCs/>
          <w:color w:val="222222"/>
          <w:shd w:val="clear" w:color="auto" w:fill="FFFFFF"/>
        </w:rPr>
        <w:t>50</w:t>
      </w:r>
      <w:r w:rsidRPr="00447BDD">
        <w:rPr>
          <w:rFonts w:asciiTheme="minorHAnsi" w:hAnsiTheme="minorHAnsi" w:cstheme="minorHAnsi"/>
          <w:color w:val="222222"/>
          <w:shd w:val="clear" w:color="auto" w:fill="FFFFFF"/>
        </w:rPr>
        <w:t>, 102835.</w:t>
      </w:r>
    </w:p>
  </w:footnote>
  <w:footnote w:id="4">
    <w:p w14:paraId="0D825F48" w14:textId="77777777" w:rsidR="00EB534F" w:rsidRPr="00447BDD" w:rsidRDefault="00EB534F" w:rsidP="00EB534F">
      <w:pPr>
        <w:pStyle w:val="FootnoteText"/>
        <w:rPr>
          <w:rFonts w:asciiTheme="minorHAnsi" w:hAnsiTheme="minorHAnsi" w:cstheme="minorHAnsi"/>
        </w:rPr>
      </w:pPr>
      <w:r w:rsidRPr="00447BDD">
        <w:rPr>
          <w:rStyle w:val="FootnoteReference"/>
          <w:rFonts w:asciiTheme="minorHAnsi" w:hAnsiTheme="minorHAnsi" w:cstheme="minorHAnsi"/>
        </w:rPr>
        <w:footnoteRef/>
      </w:r>
      <w:r w:rsidRPr="00447BDD">
        <w:rPr>
          <w:rFonts w:asciiTheme="minorHAnsi" w:hAnsiTheme="minorHAnsi" w:cstheme="minorHAnsi"/>
        </w:rPr>
        <w:t xml:space="preserve"> Perrone, V., Veronesi, C., Giacomini, E., Citraro, R., Dell'Orco, S., Lena, F., Paciello, A., Resta, A. M., Nica, M., Ritrovato, D., &amp; Degli Esposti, L. (2022). The Epidemiology, Treatment Patterns and Economic Burden of Different Phenotypes of Multiple Sclerosis in Italy: Relapsing-Remitting Multiple Sclerosis and Secondary Progressive Multiple Sclerosis. Clinical epidemiology, 14, 1327–1337. https://doi.org/10.2147/CLEP.S376005</w:t>
      </w:r>
    </w:p>
  </w:footnote>
  <w:footnote w:id="5">
    <w:p w14:paraId="5D8E104A" w14:textId="77777777" w:rsidR="00EB534F" w:rsidRPr="00447BDD" w:rsidRDefault="00EB534F" w:rsidP="00EB534F">
      <w:pPr>
        <w:pStyle w:val="FootnoteText"/>
        <w:rPr>
          <w:rFonts w:asciiTheme="minorHAnsi" w:hAnsiTheme="minorHAnsi" w:cstheme="minorHAnsi"/>
        </w:rPr>
      </w:pPr>
      <w:r w:rsidRPr="00447BDD">
        <w:rPr>
          <w:rStyle w:val="FootnoteReference"/>
          <w:rFonts w:asciiTheme="minorHAnsi" w:hAnsiTheme="minorHAnsi" w:cstheme="minorHAnsi"/>
        </w:rPr>
        <w:footnoteRef/>
      </w:r>
      <w:r w:rsidRPr="00447BDD">
        <w:rPr>
          <w:rFonts w:asciiTheme="minorHAnsi" w:hAnsiTheme="minorHAnsi" w:cstheme="minorHAnsi"/>
        </w:rPr>
        <w:t xml:space="preserve"> Multiple Sclerosis [published 2023 August]. In: Therapeutic Guidelines. Melbourne: Therapeutic Guidelines Limited; accessed {5 August 2024}. https://www.tg.org.au</w:t>
      </w:r>
    </w:p>
  </w:footnote>
  <w:footnote w:id="6">
    <w:p w14:paraId="2E13DD7F" w14:textId="77777777" w:rsidR="00EB534F" w:rsidRPr="000F04A0" w:rsidRDefault="00EB534F" w:rsidP="00EB534F">
      <w:pPr>
        <w:pStyle w:val="FootnoteText"/>
        <w:rPr>
          <w:rFonts w:ascii="Calibri" w:hAnsi="Calibri" w:cs="Calibri"/>
        </w:rPr>
      </w:pPr>
      <w:r w:rsidRPr="000F04A0">
        <w:rPr>
          <w:rStyle w:val="FootnoteReference"/>
          <w:rFonts w:ascii="Calibri" w:hAnsi="Calibri" w:cs="Calibri"/>
        </w:rPr>
        <w:footnoteRef/>
      </w:r>
      <w:r w:rsidRPr="000F04A0">
        <w:rPr>
          <w:rFonts w:ascii="Calibri" w:hAnsi="Calibri" w:cs="Calibri"/>
        </w:rPr>
        <w:t xml:space="preserve"> Travers, B. S., Tsang, B. K., &amp; Barton, J. L. (2022). Multiple sclerosis: Diagnosis, disease-modifying therapy and prognosis. Australian journal of general practice, 51(4), 199-206.</w:t>
      </w:r>
    </w:p>
  </w:footnote>
  <w:footnote w:id="7">
    <w:p w14:paraId="4B251938" w14:textId="77777777" w:rsidR="00EB534F" w:rsidRPr="000F04A0" w:rsidRDefault="00EB534F" w:rsidP="00EB534F">
      <w:pPr>
        <w:pStyle w:val="FootnoteText"/>
        <w:rPr>
          <w:rFonts w:ascii="Calibri" w:hAnsi="Calibri" w:cs="Calibri"/>
        </w:rPr>
      </w:pPr>
      <w:r w:rsidRPr="000F04A0">
        <w:rPr>
          <w:rStyle w:val="FootnoteReference"/>
          <w:rFonts w:ascii="Calibri" w:hAnsi="Calibri" w:cs="Calibri"/>
        </w:rPr>
        <w:footnoteRef/>
      </w:r>
      <w:r w:rsidRPr="000F04A0">
        <w:rPr>
          <w:rFonts w:ascii="Calibri" w:hAnsi="Calibri" w:cs="Calibri"/>
        </w:rPr>
        <w:t xml:space="preserve"> Australian Medicines Handbook. (2024). Multiple sclerosis. In Australian Medicines Handbook. Retrieved August 5, 2024, from </w:t>
      </w:r>
      <w:hyperlink r:id="rId1" w:history="1">
        <w:r w:rsidRPr="000F04A0">
          <w:rPr>
            <w:rStyle w:val="Hyperlink"/>
            <w:rFonts w:ascii="Calibri" w:hAnsi="Calibri" w:cs="Calibri"/>
          </w:rPr>
          <w:t>Multiple sclerosis - Australian Medicines Handbook (amh.net.au)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394AB" w14:textId="7D1FF4F1" w:rsidR="00421984" w:rsidRDefault="00502269">
    <w:pPr>
      <w:pStyle w:val="Header"/>
    </w:pPr>
    <w:r>
      <w:rPr>
        <w:noProof/>
        <w14:ligatures w14:val="standardContextual"/>
      </w:rPr>
      <mc:AlternateContent>
        <mc:Choice Requires="wps">
          <w:drawing>
            <wp:anchor distT="0" distB="0" distL="0" distR="0" simplePos="0" relativeHeight="251683840" behindDoc="0" locked="0" layoutInCell="1" allowOverlap="1" wp14:anchorId="4E04B9F6" wp14:editId="3D985C45">
              <wp:simplePos x="635" y="635"/>
              <wp:positionH relativeFrom="page">
                <wp:align>center</wp:align>
              </wp:positionH>
              <wp:positionV relativeFrom="page">
                <wp:align>top</wp:align>
              </wp:positionV>
              <wp:extent cx="622300" cy="391160"/>
              <wp:effectExtent l="0" t="0" r="6350" b="8890"/>
              <wp:wrapNone/>
              <wp:docPr id="1782791244"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20305A7" w14:textId="68FCA12C"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04B9F6" id="_x0000_t202" coordsize="21600,21600" o:spt="202" path="m,l,21600r21600,l21600,xe">
              <v:stroke joinstyle="miter"/>
              <v:path gradientshapeok="t" o:connecttype="rect"/>
            </v:shapetype>
            <v:shape id="Text Box 18" o:spid="_x0000_s1026" type="#_x0000_t202" alt="OFFICIAL" style="position:absolute;margin-left:0;margin-top:0;width:49pt;height:30.8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fill o:detectmouseclick="t"/>
              <v:textbox style="mso-fit-shape-to-text:t" inset="0,15pt,0,0">
                <w:txbxContent>
                  <w:p w14:paraId="220305A7" w14:textId="68FCA12C"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6C45" w14:textId="5FD26741" w:rsidR="00421984" w:rsidRDefault="00502269">
    <w:pPr>
      <w:pStyle w:val="Header"/>
    </w:pPr>
    <w:r>
      <w:rPr>
        <w:noProof/>
        <w14:ligatures w14:val="standardContextual"/>
      </w:rPr>
      <mc:AlternateContent>
        <mc:Choice Requires="wps">
          <w:drawing>
            <wp:anchor distT="0" distB="0" distL="0" distR="0" simplePos="0" relativeHeight="251684864" behindDoc="0" locked="0" layoutInCell="1" allowOverlap="1" wp14:anchorId="25D01184" wp14:editId="13B3F2E1">
              <wp:simplePos x="635" y="635"/>
              <wp:positionH relativeFrom="page">
                <wp:align>center</wp:align>
              </wp:positionH>
              <wp:positionV relativeFrom="page">
                <wp:align>top</wp:align>
              </wp:positionV>
              <wp:extent cx="622300" cy="391160"/>
              <wp:effectExtent l="0" t="0" r="6350" b="8890"/>
              <wp:wrapNone/>
              <wp:docPr id="1623985924"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5CB41FA" w14:textId="21AEE0A0"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D01184" id="_x0000_t202" coordsize="21600,21600" o:spt="202" path="m,l,21600r21600,l21600,xe">
              <v:stroke joinstyle="miter"/>
              <v:path gradientshapeok="t" o:connecttype="rect"/>
            </v:shapetype>
            <v:shape id="Text Box 19" o:spid="_x0000_s1027" type="#_x0000_t202" alt="OFFICIAL" style="position:absolute;margin-left:0;margin-top:0;width:49pt;height:30.8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45CB41FA" w14:textId="21AEE0A0"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C290" w14:textId="0E8DCD64" w:rsidR="00421984" w:rsidRDefault="00502269">
    <w:pPr>
      <w:pStyle w:val="Header"/>
    </w:pPr>
    <w:r>
      <w:rPr>
        <w:noProof/>
        <w14:ligatures w14:val="standardContextual"/>
      </w:rPr>
      <mc:AlternateContent>
        <mc:Choice Requires="wps">
          <w:drawing>
            <wp:anchor distT="0" distB="0" distL="0" distR="0" simplePos="0" relativeHeight="251682816" behindDoc="0" locked="0" layoutInCell="1" allowOverlap="1" wp14:anchorId="710D1F96" wp14:editId="69DA6999">
              <wp:simplePos x="635" y="635"/>
              <wp:positionH relativeFrom="page">
                <wp:align>center</wp:align>
              </wp:positionH>
              <wp:positionV relativeFrom="page">
                <wp:align>top</wp:align>
              </wp:positionV>
              <wp:extent cx="622300" cy="391160"/>
              <wp:effectExtent l="0" t="0" r="6350" b="8890"/>
              <wp:wrapNone/>
              <wp:docPr id="285635414"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C26CC24" w14:textId="07724E8F"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0D1F96" id="_x0000_t202" coordsize="21600,21600" o:spt="202" path="m,l,21600r21600,l21600,xe">
              <v:stroke joinstyle="miter"/>
              <v:path gradientshapeok="t" o:connecttype="rect"/>
            </v:shapetype>
            <v:shape id="Text Box 17" o:spid="_x0000_s1030" type="#_x0000_t202" alt="OFFICIAL" style="position:absolute;margin-left:0;margin-top:0;width:49pt;height:30.8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4C26CC24" w14:textId="07724E8F"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985A" w14:textId="4B06DCD9" w:rsidR="00EB534F" w:rsidRDefault="00502269">
    <w:pPr>
      <w:pStyle w:val="Header"/>
    </w:pPr>
    <w:r>
      <w:rPr>
        <w:noProof/>
        <w14:ligatures w14:val="standardContextual"/>
      </w:rPr>
      <mc:AlternateContent>
        <mc:Choice Requires="wps">
          <w:drawing>
            <wp:anchor distT="0" distB="0" distL="0" distR="0" simplePos="0" relativeHeight="251686912" behindDoc="0" locked="0" layoutInCell="1" allowOverlap="1" wp14:anchorId="6153589B" wp14:editId="490300F9">
              <wp:simplePos x="635" y="635"/>
              <wp:positionH relativeFrom="page">
                <wp:align>center</wp:align>
              </wp:positionH>
              <wp:positionV relativeFrom="page">
                <wp:align>top</wp:align>
              </wp:positionV>
              <wp:extent cx="622300" cy="391160"/>
              <wp:effectExtent l="0" t="0" r="6350" b="8890"/>
              <wp:wrapNone/>
              <wp:docPr id="1372402406"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FD81995" w14:textId="505A56AC"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53589B" id="_x0000_t202" coordsize="21600,21600" o:spt="202" path="m,l,21600r21600,l21600,xe">
              <v:stroke joinstyle="miter"/>
              <v:path gradientshapeok="t" o:connecttype="rect"/>
            </v:shapetype>
            <v:shape id="Text Box 21" o:spid="_x0000_s1032" type="#_x0000_t202" alt="OFFICIAL" style="position:absolute;margin-left:0;margin-top:0;width:49pt;height:30.8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wRDA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vTIOP0W6iPtJSHE9/ByVVLrdci4LPwRDBNS6LF&#10;Jzq0gb7icLY4a8D//Js/5hPuFOWsJ8FU3JKiOTPfLfERtZWM4jb/HMHwo3s7Gnbf3QPJsKAX4WQy&#10;Yx6a0dQeuleS8zI2opCwktpVHEfzHk/Kpecg1XKZkkhGTuDabpyMpSNcEcuX4VV4dwYcialHGNUk&#10;yne4n3LjzeCWeyT0EykR2hOQZ8RJgomr83OJGn/7n7Kuj3rxCw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JA2bBEMAgAAHAQAAA4A&#10;AAAAAAAAAAAAAAAALgIAAGRycy9lMm9Eb2MueG1sUEsBAi0AFAAGAAgAAAAhAGGiSGjYAAAAAwEA&#10;AA8AAAAAAAAAAAAAAAAAZgQAAGRycy9kb3ducmV2LnhtbFBLBQYAAAAABAAEAPMAAABrBQAAAAA=&#10;" filled="f" stroked="f">
              <v:fill o:detectmouseclick="t"/>
              <v:textbox style="mso-fit-shape-to-text:t" inset="0,15pt,0,0">
                <w:txbxContent>
                  <w:p w14:paraId="6FD81995" w14:textId="505A56AC"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35CB" w14:textId="7B60DAD4" w:rsidR="00EB534F" w:rsidRPr="008266AD" w:rsidRDefault="00502269" w:rsidP="008266AD">
    <w:pPr>
      <w:tabs>
        <w:tab w:val="center" w:pos="4153"/>
        <w:tab w:val="right" w:pos="8306"/>
      </w:tabs>
      <w:overflowPunct w:val="0"/>
      <w:autoSpaceDE w:val="0"/>
      <w:autoSpaceDN w:val="0"/>
      <w:adjustRightInd w:val="0"/>
      <w:spacing w:after="0" w:line="240" w:lineRule="auto"/>
      <w:jc w:val="right"/>
      <w:textAlignment w:val="baseline"/>
      <w:rPr>
        <w:rFonts w:ascii="Calibri" w:eastAsia="Times New Roman" w:hAnsi="Calibri" w:cs="Arial"/>
        <w:noProof/>
        <w:sz w:val="24"/>
        <w:szCs w:val="24"/>
      </w:rPr>
    </w:pPr>
    <w:r>
      <w:rPr>
        <w:rFonts w:ascii="Calibri" w:eastAsia="Times New Roman" w:hAnsi="Calibri" w:cs="Arial"/>
        <w:noProof/>
        <w:sz w:val="24"/>
        <w:szCs w:val="24"/>
        <w14:ligatures w14:val="standardContextual"/>
      </w:rPr>
      <mc:AlternateContent>
        <mc:Choice Requires="wps">
          <w:drawing>
            <wp:anchor distT="0" distB="0" distL="0" distR="0" simplePos="0" relativeHeight="251687936" behindDoc="0" locked="0" layoutInCell="1" allowOverlap="1" wp14:anchorId="4DB7DE7E" wp14:editId="3C2D7BCE">
              <wp:simplePos x="914400" y="450850"/>
              <wp:positionH relativeFrom="page">
                <wp:align>center</wp:align>
              </wp:positionH>
              <wp:positionV relativeFrom="page">
                <wp:align>top</wp:align>
              </wp:positionV>
              <wp:extent cx="622300" cy="391160"/>
              <wp:effectExtent l="0" t="0" r="6350" b="8890"/>
              <wp:wrapNone/>
              <wp:docPr id="1961684243"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0D05FCC" w14:textId="24F7D6AC"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B7DE7E" id="_x0000_t202" coordsize="21600,21600" o:spt="202" path="m,l,21600r21600,l21600,xe">
              <v:stroke joinstyle="miter"/>
              <v:path gradientshapeok="t" o:connecttype="rect"/>
            </v:shapetype>
            <v:shape id="Text Box 22" o:spid="_x0000_s1033" type="#_x0000_t202" alt="OFFICIAL" style="position:absolute;left:0;text-align:left;margin-left:0;margin-top:0;width:49pt;height:30.8pt;z-index:2516879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4sDQIAABwEAAAOAAAAZHJzL2Uyb0RvYy54bWysU01v2zAMvQ/YfxB0X2ynWLY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mmcfgv1kZbycOI7OLlqqfVaBHwWngimaUm0&#10;+ESH7qCvOJwtzhrwP/7mj/mEO0U560kwFbekaM66b5b4iNpKRnGbf4x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D9id4s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10D05FCC" w14:textId="24F7D6AC"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AF8E" w14:textId="3D31A2E3" w:rsidR="00EB534F" w:rsidRDefault="00502269">
    <w:pPr>
      <w:pStyle w:val="Header"/>
    </w:pPr>
    <w:r>
      <w:rPr>
        <w:noProof/>
        <w14:ligatures w14:val="standardContextual"/>
      </w:rPr>
      <mc:AlternateContent>
        <mc:Choice Requires="wps">
          <w:drawing>
            <wp:anchor distT="0" distB="0" distL="0" distR="0" simplePos="0" relativeHeight="251685888" behindDoc="0" locked="0" layoutInCell="1" allowOverlap="1" wp14:anchorId="3442BD8D" wp14:editId="2DB74B23">
              <wp:simplePos x="635" y="635"/>
              <wp:positionH relativeFrom="page">
                <wp:align>center</wp:align>
              </wp:positionH>
              <wp:positionV relativeFrom="page">
                <wp:align>top</wp:align>
              </wp:positionV>
              <wp:extent cx="622300" cy="391160"/>
              <wp:effectExtent l="0" t="0" r="6350" b="8890"/>
              <wp:wrapNone/>
              <wp:docPr id="220000809"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FBBCC76" w14:textId="729FB364"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42BD8D" id="_x0000_t202" coordsize="21600,21600" o:spt="202" path="m,l,21600r21600,l21600,xe">
              <v:stroke joinstyle="miter"/>
              <v:path gradientshapeok="t" o:connecttype="rect"/>
            </v:shapetype>
            <v:shape id="Text Box 20" o:spid="_x0000_s1036" type="#_x0000_t202" alt="OFFICIAL" style="position:absolute;margin-left:0;margin-top:0;width:49pt;height:30.8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VVDAIAAB0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1p+tQ4urZQH2krDyfCg5OrlnqvRcBn4YlhGpdU&#10;i0906A76isPZ4qwB//Nv/phPwFOUs54UU3FLkuas+26JkCiuZBS3+eeIhh/d29Gwe3MPpMOCnoST&#10;yYx52I2m9mBeSc/L2IhCwkpqV3EczXs8SZfeg1TLZUoiHTmBa7txMpaOeEUwX4ZX4d0ZcSSqHmGU&#10;kyjfAX/KjTeDW+6R4E+sXIE8Q04aTGSd30sU+dv/lHV91YtfAA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N3/ZVUMAgAAHQQAAA4A&#10;AAAAAAAAAAAAAAAALgIAAGRycy9lMm9Eb2MueG1sUEsBAi0AFAAGAAgAAAAhAGGiSGjYAAAAAwEA&#10;AA8AAAAAAAAAAAAAAAAAZgQAAGRycy9kb3ducmV2LnhtbFBLBQYAAAAABAAEAPMAAABrBQAAAAA=&#10;" filled="f" stroked="f">
              <v:fill o:detectmouseclick="t"/>
              <v:textbox style="mso-fit-shape-to-text:t" inset="0,15pt,0,0">
                <w:txbxContent>
                  <w:p w14:paraId="4FBBCC76" w14:textId="729FB364" w:rsidR="00502269" w:rsidRPr="00502269" w:rsidRDefault="00502269" w:rsidP="00502269">
                    <w:pPr>
                      <w:spacing w:after="0"/>
                      <w:rPr>
                        <w:rFonts w:ascii="Aptos" w:eastAsia="Aptos" w:hAnsi="Aptos" w:cs="Aptos"/>
                        <w:noProof/>
                        <w:color w:val="FF0000"/>
                        <w:sz w:val="24"/>
                        <w:szCs w:val="24"/>
                      </w:rPr>
                    </w:pPr>
                    <w:r w:rsidRPr="00502269">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98E"/>
    <w:multiLevelType w:val="hybridMultilevel"/>
    <w:tmpl w:val="99F0FD92"/>
    <w:lvl w:ilvl="0" w:tplc="7A880F1A">
      <w:numFmt w:val="bullet"/>
      <w:lvlText w:val="-"/>
      <w:lvlJc w:val="left"/>
      <w:pPr>
        <w:ind w:left="1440" w:hanging="360"/>
      </w:pPr>
      <w:rPr>
        <w:rFonts w:ascii="Calibri" w:eastAsiaTheme="minorEastAsia" w:hAnsi="Calibri" w:cs="Baskerville"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C4606B7"/>
    <w:multiLevelType w:val="hybridMultilevel"/>
    <w:tmpl w:val="AD3C51F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451269"/>
    <w:multiLevelType w:val="hybridMultilevel"/>
    <w:tmpl w:val="FCB2D2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E492AE8"/>
    <w:multiLevelType w:val="hybridMultilevel"/>
    <w:tmpl w:val="764E038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300109"/>
    <w:multiLevelType w:val="hybridMultilevel"/>
    <w:tmpl w:val="D01C7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6F45E1"/>
    <w:multiLevelType w:val="hybridMultilevel"/>
    <w:tmpl w:val="30FC7E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DA123C9"/>
    <w:multiLevelType w:val="multilevel"/>
    <w:tmpl w:val="243A43C0"/>
    <w:lvl w:ilvl="0">
      <w:start w:val="1"/>
      <w:numFmt w:val="decimal"/>
      <w:lvlText w:val="%1"/>
      <w:lvlJc w:val="left"/>
      <w:pPr>
        <w:ind w:left="720" w:hanging="720"/>
      </w:pPr>
      <w:rPr>
        <w:rFonts w:hint="default"/>
        <w:b/>
        <w:strike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FC5769"/>
    <w:multiLevelType w:val="hybridMultilevel"/>
    <w:tmpl w:val="4896E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BB5C3A"/>
    <w:multiLevelType w:val="multilevel"/>
    <w:tmpl w:val="FF44A22A"/>
    <w:lvl w:ilvl="0">
      <w:start w:val="1"/>
      <w:numFmt w:val="decimal"/>
      <w:lvlText w:val="%1."/>
      <w:legacy w:legacy="1" w:legacySpace="0" w:legacyIndent="360"/>
      <w:lvlJc w:val="left"/>
      <w:pPr>
        <w:ind w:left="360" w:hanging="360"/>
      </w:pPr>
    </w:lvl>
    <w:lvl w:ilvl="1">
      <w:start w:val="1"/>
      <w:numFmt w:val="decimal"/>
      <w:isLgl/>
      <w:lvlText w:val="%1.%2"/>
      <w:lvlJc w:val="left"/>
      <w:pPr>
        <w:ind w:left="502" w:hanging="360"/>
      </w:pPr>
      <w:rPr>
        <w:rFonts w:hint="default"/>
        <w:b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9" w15:restartNumberingAfterBreak="0">
    <w:nsid w:val="43D34946"/>
    <w:multiLevelType w:val="hybridMultilevel"/>
    <w:tmpl w:val="555ABF4E"/>
    <w:lvl w:ilvl="0" w:tplc="E138A5E2">
      <w:start w:val="1"/>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6D1349"/>
    <w:multiLevelType w:val="hybridMultilevel"/>
    <w:tmpl w:val="639CD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755574"/>
    <w:multiLevelType w:val="multilevel"/>
    <w:tmpl w:val="F168C3FC"/>
    <w:lvl w:ilvl="0">
      <w:start w:val="3"/>
      <w:numFmt w:val="decimal"/>
      <w:lvlText w:val="%1."/>
      <w:lvlJc w:val="left"/>
      <w:pPr>
        <w:ind w:left="360" w:hanging="360"/>
      </w:pPr>
      <w:rPr>
        <w:rFonts w:hint="default"/>
      </w:rPr>
    </w:lvl>
    <w:lvl w:ilvl="1">
      <w:start w:val="27"/>
      <w:numFmt w:val="decimal"/>
      <w:isLgl/>
      <w:lvlText w:val="%1.%2"/>
      <w:lvlJc w:val="left"/>
      <w:pPr>
        <w:ind w:left="502" w:hanging="360"/>
      </w:pPr>
      <w:rPr>
        <w:rFonts w:hint="default"/>
        <w:b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2" w15:restartNumberingAfterBreak="0">
    <w:nsid w:val="64FC772B"/>
    <w:multiLevelType w:val="multilevel"/>
    <w:tmpl w:val="18944470"/>
    <w:lvl w:ilvl="0">
      <w:start w:val="1"/>
      <w:numFmt w:val="bullet"/>
      <w:pStyle w:val="2-SectionHeading"/>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6546750"/>
    <w:multiLevelType w:val="hybridMultilevel"/>
    <w:tmpl w:val="C96A6A7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B672ABB"/>
    <w:multiLevelType w:val="hybridMultilevel"/>
    <w:tmpl w:val="E4563C88"/>
    <w:lvl w:ilvl="0" w:tplc="F1004BCA">
      <w:start w:val="8"/>
      <w:numFmt w:val="bullet"/>
      <w:lvlText w:val=""/>
      <w:lvlJc w:val="left"/>
      <w:pPr>
        <w:ind w:left="360" w:hanging="360"/>
      </w:pPr>
      <w:rPr>
        <w:rFonts w:ascii="Symbol" w:eastAsiaTheme="minorHAnsi" w:hAnsi="Symbol"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FEC72FA"/>
    <w:multiLevelType w:val="multilevel"/>
    <w:tmpl w:val="243A43C0"/>
    <w:lvl w:ilvl="0">
      <w:start w:val="1"/>
      <w:numFmt w:val="decimal"/>
      <w:lvlText w:val="%1"/>
      <w:lvlJc w:val="left"/>
      <w:pPr>
        <w:ind w:left="720" w:hanging="720"/>
      </w:pPr>
      <w:rPr>
        <w:rFonts w:hint="default"/>
        <w:b/>
        <w:strike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DB5FDA"/>
    <w:multiLevelType w:val="hybridMultilevel"/>
    <w:tmpl w:val="F2D22D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4F700D1"/>
    <w:multiLevelType w:val="multilevel"/>
    <w:tmpl w:val="9EEA128C"/>
    <w:lvl w:ilvl="0">
      <w:start w:val="1"/>
      <w:numFmt w:val="decimal"/>
      <w:lvlText w:val="%1"/>
      <w:lvlJc w:val="left"/>
      <w:pPr>
        <w:ind w:left="720" w:hanging="720"/>
      </w:pPr>
      <w:rPr>
        <w:rFonts w:hint="default"/>
        <w:b/>
        <w:strike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4D033C"/>
    <w:multiLevelType w:val="multilevel"/>
    <w:tmpl w:val="95F8E3BA"/>
    <w:lvl w:ilvl="0">
      <w:start w:val="1"/>
      <w:numFmt w:val="decimal"/>
      <w:lvlText w:val="%1"/>
      <w:lvlJc w:val="left"/>
      <w:pPr>
        <w:ind w:left="720" w:hanging="720"/>
      </w:pPr>
      <w:rPr>
        <w:rFonts w:hint="default"/>
        <w:b/>
        <w:strike w:val="0"/>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8595099">
    <w:abstractNumId w:val="8"/>
  </w:num>
  <w:num w:numId="2" w16cid:durableId="2072387595">
    <w:abstractNumId w:val="18"/>
  </w:num>
  <w:num w:numId="3" w16cid:durableId="953705508">
    <w:abstractNumId w:val="14"/>
  </w:num>
  <w:num w:numId="4" w16cid:durableId="2122332821">
    <w:abstractNumId w:val="7"/>
  </w:num>
  <w:num w:numId="5" w16cid:durableId="345984103">
    <w:abstractNumId w:val="10"/>
  </w:num>
  <w:num w:numId="6" w16cid:durableId="1958639753">
    <w:abstractNumId w:val="2"/>
  </w:num>
  <w:num w:numId="7" w16cid:durableId="1258489918">
    <w:abstractNumId w:val="16"/>
  </w:num>
  <w:num w:numId="8" w16cid:durableId="1031958906">
    <w:abstractNumId w:val="5"/>
  </w:num>
  <w:num w:numId="9" w16cid:durableId="727143445">
    <w:abstractNumId w:val="11"/>
  </w:num>
  <w:num w:numId="10" w16cid:durableId="1558735876">
    <w:abstractNumId w:val="18"/>
    <w:lvlOverride w:ilvl="0">
      <w:startOverride w:val="3"/>
    </w:lvlOverride>
    <w:lvlOverride w:ilvl="1">
      <w:startOverride w:val="2"/>
    </w:lvlOverride>
  </w:num>
  <w:num w:numId="11" w16cid:durableId="104465754">
    <w:abstractNumId w:val="9"/>
  </w:num>
  <w:num w:numId="12" w16cid:durableId="664405924">
    <w:abstractNumId w:val="12"/>
  </w:num>
  <w:num w:numId="13" w16cid:durableId="1580671745">
    <w:abstractNumId w:val="4"/>
  </w:num>
  <w:num w:numId="14" w16cid:durableId="1023939715">
    <w:abstractNumId w:val="15"/>
  </w:num>
  <w:num w:numId="15" w16cid:durableId="1227034398">
    <w:abstractNumId w:val="6"/>
  </w:num>
  <w:num w:numId="16" w16cid:durableId="143396813">
    <w:abstractNumId w:val="17"/>
  </w:num>
  <w:num w:numId="17" w16cid:durableId="969089382">
    <w:abstractNumId w:val="0"/>
  </w:num>
  <w:num w:numId="18" w16cid:durableId="1217426552">
    <w:abstractNumId w:val="13"/>
  </w:num>
  <w:num w:numId="19" w16cid:durableId="412551014">
    <w:abstractNumId w:val="3"/>
  </w:num>
  <w:num w:numId="20" w16cid:durableId="997002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483"/>
    <w:rsid w:val="00023741"/>
    <w:rsid w:val="000249F1"/>
    <w:rsid w:val="00025FC7"/>
    <w:rsid w:val="00045619"/>
    <w:rsid w:val="000618A1"/>
    <w:rsid w:val="0006257F"/>
    <w:rsid w:val="00076874"/>
    <w:rsid w:val="00082F42"/>
    <w:rsid w:val="000A4701"/>
    <w:rsid w:val="000B2483"/>
    <w:rsid w:val="000C00A6"/>
    <w:rsid w:val="000F04A0"/>
    <w:rsid w:val="00117D1B"/>
    <w:rsid w:val="00122CD0"/>
    <w:rsid w:val="0013111E"/>
    <w:rsid w:val="00132055"/>
    <w:rsid w:val="001425A2"/>
    <w:rsid w:val="001A369A"/>
    <w:rsid w:val="001D4D41"/>
    <w:rsid w:val="001E38A2"/>
    <w:rsid w:val="001E5AD4"/>
    <w:rsid w:val="001F7015"/>
    <w:rsid w:val="0022060C"/>
    <w:rsid w:val="00225834"/>
    <w:rsid w:val="00236290"/>
    <w:rsid w:val="0027021D"/>
    <w:rsid w:val="00274985"/>
    <w:rsid w:val="00280050"/>
    <w:rsid w:val="0029790F"/>
    <w:rsid w:val="002C58DC"/>
    <w:rsid w:val="002E2226"/>
    <w:rsid w:val="002F3FDE"/>
    <w:rsid w:val="00316A6C"/>
    <w:rsid w:val="00323579"/>
    <w:rsid w:val="00326429"/>
    <w:rsid w:val="003457FD"/>
    <w:rsid w:val="00345E37"/>
    <w:rsid w:val="00362C5B"/>
    <w:rsid w:val="0039742E"/>
    <w:rsid w:val="003A10CE"/>
    <w:rsid w:val="003A42EA"/>
    <w:rsid w:val="003B1FD4"/>
    <w:rsid w:val="003D11F3"/>
    <w:rsid w:val="003F79BB"/>
    <w:rsid w:val="00421984"/>
    <w:rsid w:val="00436626"/>
    <w:rsid w:val="0044313B"/>
    <w:rsid w:val="004615B6"/>
    <w:rsid w:val="0048227E"/>
    <w:rsid w:val="00497156"/>
    <w:rsid w:val="004A6F1F"/>
    <w:rsid w:val="004C3B65"/>
    <w:rsid w:val="004D1BAD"/>
    <w:rsid w:val="004E6670"/>
    <w:rsid w:val="00502269"/>
    <w:rsid w:val="00510A06"/>
    <w:rsid w:val="00535F49"/>
    <w:rsid w:val="00551329"/>
    <w:rsid w:val="005712CE"/>
    <w:rsid w:val="005A1512"/>
    <w:rsid w:val="005A1D0B"/>
    <w:rsid w:val="005B73DB"/>
    <w:rsid w:val="005C75AF"/>
    <w:rsid w:val="005D1E90"/>
    <w:rsid w:val="005D2E2A"/>
    <w:rsid w:val="005D72DB"/>
    <w:rsid w:val="005E493D"/>
    <w:rsid w:val="005F328D"/>
    <w:rsid w:val="00601C10"/>
    <w:rsid w:val="006022DB"/>
    <w:rsid w:val="00611813"/>
    <w:rsid w:val="00611BCC"/>
    <w:rsid w:val="00616FD0"/>
    <w:rsid w:val="006421B2"/>
    <w:rsid w:val="00642D6B"/>
    <w:rsid w:val="00667D96"/>
    <w:rsid w:val="00672F91"/>
    <w:rsid w:val="00684823"/>
    <w:rsid w:val="006D27B9"/>
    <w:rsid w:val="006D3A0A"/>
    <w:rsid w:val="006E73F2"/>
    <w:rsid w:val="006F1460"/>
    <w:rsid w:val="0070479D"/>
    <w:rsid w:val="00736DEF"/>
    <w:rsid w:val="00737E41"/>
    <w:rsid w:val="00772CE0"/>
    <w:rsid w:val="007818A1"/>
    <w:rsid w:val="0078768D"/>
    <w:rsid w:val="007A305C"/>
    <w:rsid w:val="007E24E4"/>
    <w:rsid w:val="007F2934"/>
    <w:rsid w:val="007F3CC8"/>
    <w:rsid w:val="008334ED"/>
    <w:rsid w:val="00856A8B"/>
    <w:rsid w:val="00883F50"/>
    <w:rsid w:val="008A13AB"/>
    <w:rsid w:val="008B3272"/>
    <w:rsid w:val="008C4654"/>
    <w:rsid w:val="008D35FF"/>
    <w:rsid w:val="0090333C"/>
    <w:rsid w:val="0092360A"/>
    <w:rsid w:val="0094388C"/>
    <w:rsid w:val="00953BE9"/>
    <w:rsid w:val="00956BF1"/>
    <w:rsid w:val="009861A0"/>
    <w:rsid w:val="009B39B8"/>
    <w:rsid w:val="009D4D5C"/>
    <w:rsid w:val="009D758A"/>
    <w:rsid w:val="009E5B05"/>
    <w:rsid w:val="009F2668"/>
    <w:rsid w:val="00A07536"/>
    <w:rsid w:val="00A273A7"/>
    <w:rsid w:val="00A45CDC"/>
    <w:rsid w:val="00A474E9"/>
    <w:rsid w:val="00A53BA4"/>
    <w:rsid w:val="00A6000B"/>
    <w:rsid w:val="00A66A3C"/>
    <w:rsid w:val="00A73923"/>
    <w:rsid w:val="00A926A2"/>
    <w:rsid w:val="00A97C13"/>
    <w:rsid w:val="00AC13F2"/>
    <w:rsid w:val="00AC1AC9"/>
    <w:rsid w:val="00AC6D38"/>
    <w:rsid w:val="00AD5514"/>
    <w:rsid w:val="00AD7408"/>
    <w:rsid w:val="00AE6D30"/>
    <w:rsid w:val="00AF2134"/>
    <w:rsid w:val="00B02C42"/>
    <w:rsid w:val="00B06360"/>
    <w:rsid w:val="00B242E8"/>
    <w:rsid w:val="00B268FD"/>
    <w:rsid w:val="00B27D02"/>
    <w:rsid w:val="00B34892"/>
    <w:rsid w:val="00B35F03"/>
    <w:rsid w:val="00B42FAC"/>
    <w:rsid w:val="00B63D91"/>
    <w:rsid w:val="00B65481"/>
    <w:rsid w:val="00B70E60"/>
    <w:rsid w:val="00BB52AA"/>
    <w:rsid w:val="00BD4D14"/>
    <w:rsid w:val="00C043AF"/>
    <w:rsid w:val="00C05BB8"/>
    <w:rsid w:val="00C22769"/>
    <w:rsid w:val="00C25655"/>
    <w:rsid w:val="00C26498"/>
    <w:rsid w:val="00C42720"/>
    <w:rsid w:val="00C6161D"/>
    <w:rsid w:val="00C91335"/>
    <w:rsid w:val="00C929C0"/>
    <w:rsid w:val="00C945B3"/>
    <w:rsid w:val="00C94ED8"/>
    <w:rsid w:val="00CC325E"/>
    <w:rsid w:val="00CC6C89"/>
    <w:rsid w:val="00CD7681"/>
    <w:rsid w:val="00D054CC"/>
    <w:rsid w:val="00D07A4D"/>
    <w:rsid w:val="00D2778A"/>
    <w:rsid w:val="00D4549C"/>
    <w:rsid w:val="00D723BF"/>
    <w:rsid w:val="00D74F72"/>
    <w:rsid w:val="00D94E5D"/>
    <w:rsid w:val="00DA176D"/>
    <w:rsid w:val="00DB1AE1"/>
    <w:rsid w:val="00DB622F"/>
    <w:rsid w:val="00DD14A0"/>
    <w:rsid w:val="00DD47B1"/>
    <w:rsid w:val="00DE2335"/>
    <w:rsid w:val="00DF0029"/>
    <w:rsid w:val="00E35327"/>
    <w:rsid w:val="00E3713B"/>
    <w:rsid w:val="00E371E0"/>
    <w:rsid w:val="00E46173"/>
    <w:rsid w:val="00E567C4"/>
    <w:rsid w:val="00E62A6E"/>
    <w:rsid w:val="00E857EE"/>
    <w:rsid w:val="00E86675"/>
    <w:rsid w:val="00E954F3"/>
    <w:rsid w:val="00E96259"/>
    <w:rsid w:val="00EA47E6"/>
    <w:rsid w:val="00EB3BD6"/>
    <w:rsid w:val="00EB526B"/>
    <w:rsid w:val="00EB534F"/>
    <w:rsid w:val="00EC6600"/>
    <w:rsid w:val="00EC7231"/>
    <w:rsid w:val="00EC7D39"/>
    <w:rsid w:val="00EE35A0"/>
    <w:rsid w:val="00EE5F03"/>
    <w:rsid w:val="00EF214D"/>
    <w:rsid w:val="00EF53B8"/>
    <w:rsid w:val="00F01877"/>
    <w:rsid w:val="00F14D6C"/>
    <w:rsid w:val="00F24AF8"/>
    <w:rsid w:val="00F2664A"/>
    <w:rsid w:val="00F26ACF"/>
    <w:rsid w:val="00F43D02"/>
    <w:rsid w:val="00F539A1"/>
    <w:rsid w:val="00F65E8E"/>
    <w:rsid w:val="00F86ECD"/>
    <w:rsid w:val="00F93653"/>
    <w:rsid w:val="00FE3BA6"/>
    <w:rsid w:val="00FF63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A47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483"/>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4A6F1F"/>
    <w:pPr>
      <w:spacing w:before="240" w:after="120" w:line="240" w:lineRule="auto"/>
      <w:outlineLvl w:val="0"/>
    </w:pPr>
    <w:rPr>
      <w:rFonts w:ascii="Calibri" w:eastAsia="Times New Roman" w:hAnsi="Calibri" w:cs="Calibri"/>
      <w:b/>
      <w:snapToGrid w:val="0"/>
      <w:sz w:val="32"/>
      <w:szCs w:val="32"/>
    </w:rPr>
  </w:style>
  <w:style w:type="paragraph" w:styleId="Heading2">
    <w:name w:val="heading 2"/>
    <w:basedOn w:val="Normal"/>
    <w:next w:val="Normal"/>
    <w:link w:val="Heading2Char"/>
    <w:uiPriority w:val="9"/>
    <w:unhideWhenUsed/>
    <w:qFormat/>
    <w:rsid w:val="004A6F1F"/>
    <w:pPr>
      <w:keepNext/>
      <w:keepLines/>
      <w:spacing w:before="120" w:after="120" w:line="240" w:lineRule="auto"/>
      <w:outlineLvl w:val="1"/>
    </w:pPr>
    <w:rPr>
      <w:rFonts w:ascii="Calibri" w:eastAsia="Times New Roman" w:hAnsi="Calibri" w:cs="Calibri"/>
      <w:b/>
      <w:bCs/>
      <w:sz w:val="28"/>
      <w:szCs w:val="28"/>
    </w:rPr>
  </w:style>
  <w:style w:type="paragraph" w:styleId="Heading3">
    <w:name w:val="heading 3"/>
    <w:basedOn w:val="Normal"/>
    <w:next w:val="Normal"/>
    <w:link w:val="Heading3Char"/>
    <w:unhideWhenUsed/>
    <w:qFormat/>
    <w:rsid w:val="004A6F1F"/>
    <w:pPr>
      <w:spacing w:before="120" w:after="120" w:line="240" w:lineRule="auto"/>
      <w:jc w:val="both"/>
      <w:outlineLvl w:val="2"/>
    </w:pPr>
    <w:rPr>
      <w:rFonts w:ascii="Calibri" w:eastAsia="Times New Roman" w:hAnsi="Calibri" w:cs="Calibri"/>
      <w:b/>
      <w:bCs/>
      <w:i/>
      <w:iCs/>
      <w:sz w:val="24"/>
      <w:szCs w:val="24"/>
    </w:rPr>
  </w:style>
  <w:style w:type="paragraph" w:styleId="Heading4">
    <w:name w:val="heading 4"/>
    <w:basedOn w:val="Normal"/>
    <w:next w:val="Normal"/>
    <w:link w:val="Heading4Char"/>
    <w:uiPriority w:val="9"/>
    <w:unhideWhenUsed/>
    <w:qFormat/>
    <w:rsid w:val="000B248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0B248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0B24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4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4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4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F1F"/>
    <w:rPr>
      <w:rFonts w:ascii="Calibri" w:eastAsia="Times New Roman" w:hAnsi="Calibri" w:cs="Calibri"/>
      <w:b/>
      <w:snapToGrid w:val="0"/>
      <w:kern w:val="0"/>
      <w:sz w:val="32"/>
      <w:szCs w:val="32"/>
      <w14:ligatures w14:val="none"/>
    </w:rPr>
  </w:style>
  <w:style w:type="character" w:customStyle="1" w:styleId="Heading2Char">
    <w:name w:val="Heading 2 Char"/>
    <w:basedOn w:val="DefaultParagraphFont"/>
    <w:link w:val="Heading2"/>
    <w:uiPriority w:val="9"/>
    <w:rsid w:val="004A6F1F"/>
    <w:rPr>
      <w:rFonts w:ascii="Calibri" w:eastAsia="Times New Roman" w:hAnsi="Calibri" w:cs="Calibri"/>
      <w:b/>
      <w:bCs/>
      <w:kern w:val="0"/>
      <w:sz w:val="28"/>
      <w:szCs w:val="28"/>
      <w14:ligatures w14:val="none"/>
    </w:rPr>
  </w:style>
  <w:style w:type="character" w:customStyle="1" w:styleId="Heading3Char">
    <w:name w:val="Heading 3 Char"/>
    <w:basedOn w:val="DefaultParagraphFont"/>
    <w:link w:val="Heading3"/>
    <w:rsid w:val="004A6F1F"/>
    <w:rPr>
      <w:rFonts w:ascii="Calibri" w:eastAsia="Times New Roman" w:hAnsi="Calibri" w:cs="Calibri"/>
      <w:b/>
      <w:bCs/>
      <w:i/>
      <w:iCs/>
      <w:kern w:val="0"/>
      <w14:ligatures w14:val="none"/>
    </w:rPr>
  </w:style>
  <w:style w:type="character" w:customStyle="1" w:styleId="Heading4Char">
    <w:name w:val="Heading 4 Char"/>
    <w:basedOn w:val="DefaultParagraphFont"/>
    <w:link w:val="Heading4"/>
    <w:uiPriority w:val="9"/>
    <w:rsid w:val="000B2483"/>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rsid w:val="000B2483"/>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rsid w:val="000B248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B248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B248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B248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B24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4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4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48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B2483"/>
    <w:pPr>
      <w:spacing w:before="160"/>
      <w:jc w:val="center"/>
    </w:pPr>
    <w:rPr>
      <w:i/>
      <w:iCs/>
      <w:color w:val="404040" w:themeColor="text1" w:themeTint="BF"/>
    </w:rPr>
  </w:style>
  <w:style w:type="character" w:customStyle="1" w:styleId="QuoteChar">
    <w:name w:val="Quote Char"/>
    <w:basedOn w:val="DefaultParagraphFont"/>
    <w:link w:val="Quote"/>
    <w:uiPriority w:val="29"/>
    <w:rsid w:val="000B2483"/>
    <w:rPr>
      <w:i/>
      <w:iCs/>
      <w:color w:val="404040" w:themeColor="text1" w:themeTint="BF"/>
    </w:rPr>
  </w:style>
  <w:style w:type="paragraph" w:styleId="ListParagraph">
    <w:name w:val="List Paragraph"/>
    <w:basedOn w:val="Normal"/>
    <w:uiPriority w:val="34"/>
    <w:qFormat/>
    <w:rsid w:val="000B2483"/>
    <w:pPr>
      <w:ind w:left="720"/>
      <w:contextualSpacing/>
    </w:pPr>
  </w:style>
  <w:style w:type="character" w:styleId="IntenseEmphasis">
    <w:name w:val="Intense Emphasis"/>
    <w:basedOn w:val="DefaultParagraphFont"/>
    <w:uiPriority w:val="21"/>
    <w:qFormat/>
    <w:rsid w:val="000B2483"/>
    <w:rPr>
      <w:i/>
      <w:iCs/>
      <w:color w:val="2E74B5" w:themeColor="accent1" w:themeShade="BF"/>
    </w:rPr>
  </w:style>
  <w:style w:type="paragraph" w:styleId="IntenseQuote">
    <w:name w:val="Intense Quote"/>
    <w:basedOn w:val="Normal"/>
    <w:next w:val="Normal"/>
    <w:link w:val="IntenseQuoteChar"/>
    <w:uiPriority w:val="30"/>
    <w:qFormat/>
    <w:rsid w:val="000B248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B2483"/>
    <w:rPr>
      <w:i/>
      <w:iCs/>
      <w:color w:val="2E74B5" w:themeColor="accent1" w:themeShade="BF"/>
    </w:rPr>
  </w:style>
  <w:style w:type="character" w:styleId="IntenseReference">
    <w:name w:val="Intense Reference"/>
    <w:basedOn w:val="DefaultParagraphFont"/>
    <w:uiPriority w:val="32"/>
    <w:qFormat/>
    <w:rsid w:val="000B2483"/>
    <w:rPr>
      <w:b/>
      <w:bCs/>
      <w:smallCaps/>
      <w:color w:val="2E74B5" w:themeColor="accent1" w:themeShade="BF"/>
      <w:spacing w:val="5"/>
    </w:rPr>
  </w:style>
  <w:style w:type="paragraph" w:customStyle="1" w:styleId="3Bodytext">
    <w:name w:val="3. Body text"/>
    <w:basedOn w:val="ListParagraph"/>
    <w:link w:val="3BodytextChar"/>
    <w:qFormat/>
    <w:rsid w:val="000B2483"/>
    <w:pPr>
      <w:spacing w:after="120" w:line="240" w:lineRule="auto"/>
      <w:ind w:hanging="720"/>
      <w:contextualSpacing w:val="0"/>
      <w:jc w:val="both"/>
    </w:pPr>
    <w:rPr>
      <w:sz w:val="24"/>
    </w:rPr>
  </w:style>
  <w:style w:type="character" w:customStyle="1" w:styleId="3BodytextChar">
    <w:name w:val="3. Body text Char"/>
    <w:basedOn w:val="DefaultParagraphFont"/>
    <w:link w:val="3Bodytext"/>
    <w:rsid w:val="000B2483"/>
    <w:rPr>
      <w:rFonts w:asciiTheme="minorHAnsi" w:hAnsiTheme="minorHAnsi" w:cstheme="minorBidi"/>
      <w:kern w:val="0"/>
      <w:szCs w:val="22"/>
      <w14:ligatures w14:val="none"/>
    </w:rPr>
  </w:style>
  <w:style w:type="paragraph" w:styleId="Header">
    <w:name w:val="header"/>
    <w:basedOn w:val="Normal"/>
    <w:link w:val="HeaderChar"/>
    <w:uiPriority w:val="99"/>
    <w:unhideWhenUsed/>
    <w:rsid w:val="00EB53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34F"/>
    <w:rPr>
      <w:rFonts w:asciiTheme="minorHAnsi" w:hAnsiTheme="minorHAnsi" w:cstheme="minorBidi"/>
      <w:kern w:val="0"/>
      <w:sz w:val="22"/>
      <w:szCs w:val="22"/>
      <w14:ligatures w14:val="none"/>
    </w:rPr>
  </w:style>
  <w:style w:type="paragraph" w:styleId="Footer">
    <w:name w:val="footer"/>
    <w:basedOn w:val="Normal"/>
    <w:link w:val="FooterChar"/>
    <w:uiPriority w:val="99"/>
    <w:unhideWhenUsed/>
    <w:rsid w:val="00EB53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34F"/>
    <w:rPr>
      <w:rFonts w:asciiTheme="minorHAnsi" w:hAnsiTheme="minorHAnsi" w:cstheme="minorBidi"/>
      <w:kern w:val="0"/>
      <w:sz w:val="22"/>
      <w:szCs w:val="22"/>
      <w14:ligatures w14:val="none"/>
    </w:rPr>
  </w:style>
  <w:style w:type="table" w:styleId="TableGrid">
    <w:name w:val="Table Grid"/>
    <w:basedOn w:val="TableNormal"/>
    <w:uiPriority w:val="39"/>
    <w:rsid w:val="00EB53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B53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B534F"/>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B534F"/>
    <w:rPr>
      <w:kern w:val="0"/>
      <w:sz w:val="20"/>
      <w:szCs w:val="20"/>
      <w14:ligatures w14:val="none"/>
    </w:rPr>
  </w:style>
  <w:style w:type="character" w:styleId="FootnoteReference">
    <w:name w:val="footnote reference"/>
    <w:basedOn w:val="DefaultParagraphFont"/>
    <w:uiPriority w:val="99"/>
    <w:semiHidden/>
    <w:unhideWhenUsed/>
    <w:rsid w:val="00EB534F"/>
    <w:rPr>
      <w:vertAlign w:val="superscript"/>
    </w:rPr>
  </w:style>
  <w:style w:type="character" w:customStyle="1" w:styleId="Hyperlink1">
    <w:name w:val="Hyperlink1"/>
    <w:basedOn w:val="DefaultParagraphFont"/>
    <w:uiPriority w:val="99"/>
    <w:unhideWhenUsed/>
    <w:rsid w:val="00EB534F"/>
    <w:rPr>
      <w:color w:val="0563C1"/>
      <w:u w:val="single"/>
    </w:rPr>
  </w:style>
  <w:style w:type="character" w:styleId="Hyperlink">
    <w:name w:val="Hyperlink"/>
    <w:basedOn w:val="DefaultParagraphFont"/>
    <w:uiPriority w:val="99"/>
    <w:unhideWhenUsed/>
    <w:rsid w:val="00EB534F"/>
    <w:rPr>
      <w:color w:val="0563C1" w:themeColor="hyperlink"/>
      <w:u w:val="single"/>
    </w:rPr>
  </w:style>
  <w:style w:type="paragraph" w:customStyle="1" w:styleId="2Sections">
    <w:name w:val="2. Sections"/>
    <w:qFormat/>
    <w:rsid w:val="00EB534F"/>
    <w:pPr>
      <w:spacing w:before="240" w:after="120" w:line="240" w:lineRule="auto"/>
      <w:outlineLvl w:val="0"/>
    </w:pPr>
    <w:rPr>
      <w:rFonts w:asciiTheme="minorHAnsi" w:eastAsia="Times New Roman" w:hAnsiTheme="minorHAnsi" w:cs="Arial"/>
      <w:b/>
      <w:snapToGrid w:val="0"/>
      <w:kern w:val="0"/>
      <w:sz w:val="32"/>
      <w:szCs w:val="32"/>
      <w14:ligatures w14:val="none"/>
    </w:rPr>
  </w:style>
  <w:style w:type="paragraph" w:customStyle="1" w:styleId="PBACHeading1">
    <w:name w:val="PBAC Heading 1"/>
    <w:qFormat/>
    <w:rsid w:val="00EB534F"/>
    <w:pPr>
      <w:keepNext/>
      <w:keepLines/>
      <w:spacing w:after="120" w:line="240" w:lineRule="auto"/>
      <w:ind w:left="720" w:hanging="720"/>
      <w:outlineLvl w:val="0"/>
    </w:pPr>
    <w:rPr>
      <w:rFonts w:asciiTheme="minorHAnsi" w:eastAsia="Times New Roman" w:hAnsiTheme="minorHAnsi" w:cstheme="minorHAnsi"/>
      <w:b/>
      <w:snapToGrid w:val="0"/>
      <w:kern w:val="0"/>
      <w:sz w:val="32"/>
      <w:szCs w:val="28"/>
      <w14:ligatures w14:val="none"/>
    </w:rPr>
  </w:style>
  <w:style w:type="paragraph" w:customStyle="1" w:styleId="4Bodytextnumbered">
    <w:name w:val="4. Body text numbered"/>
    <w:basedOn w:val="ListParagraph"/>
    <w:qFormat/>
    <w:rsid w:val="00EB534F"/>
    <w:pPr>
      <w:spacing w:after="120" w:line="240" w:lineRule="auto"/>
      <w:ind w:hanging="720"/>
      <w:contextualSpacing w:val="0"/>
      <w:jc w:val="both"/>
    </w:pPr>
    <w:rPr>
      <w:sz w:val="24"/>
    </w:rPr>
  </w:style>
  <w:style w:type="character" w:styleId="UnresolvedMention">
    <w:name w:val="Unresolved Mention"/>
    <w:basedOn w:val="DefaultParagraphFont"/>
    <w:uiPriority w:val="99"/>
    <w:semiHidden/>
    <w:unhideWhenUsed/>
    <w:rsid w:val="00EB534F"/>
    <w:rPr>
      <w:color w:val="605E5C"/>
      <w:shd w:val="clear" w:color="auto" w:fill="E1DFDD"/>
    </w:rPr>
  </w:style>
  <w:style w:type="character" w:styleId="CommentReference">
    <w:name w:val="annotation reference"/>
    <w:basedOn w:val="DefaultParagraphFont"/>
    <w:uiPriority w:val="99"/>
    <w:semiHidden/>
    <w:unhideWhenUsed/>
    <w:rsid w:val="00EB534F"/>
    <w:rPr>
      <w:sz w:val="16"/>
      <w:szCs w:val="16"/>
    </w:rPr>
  </w:style>
  <w:style w:type="paragraph" w:styleId="CommentText">
    <w:name w:val="annotation text"/>
    <w:basedOn w:val="Normal"/>
    <w:link w:val="CommentTextChar"/>
    <w:uiPriority w:val="99"/>
    <w:unhideWhenUsed/>
    <w:rsid w:val="00EB534F"/>
    <w:pPr>
      <w:spacing w:line="240" w:lineRule="auto"/>
    </w:pPr>
    <w:rPr>
      <w:sz w:val="20"/>
      <w:szCs w:val="20"/>
    </w:rPr>
  </w:style>
  <w:style w:type="character" w:customStyle="1" w:styleId="CommentTextChar">
    <w:name w:val="Comment Text Char"/>
    <w:basedOn w:val="DefaultParagraphFont"/>
    <w:link w:val="CommentText"/>
    <w:uiPriority w:val="99"/>
    <w:rsid w:val="00EB534F"/>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B534F"/>
    <w:rPr>
      <w:b/>
      <w:bCs/>
    </w:rPr>
  </w:style>
  <w:style w:type="character" w:customStyle="1" w:styleId="CommentSubjectChar">
    <w:name w:val="Comment Subject Char"/>
    <w:basedOn w:val="CommentTextChar"/>
    <w:link w:val="CommentSubject"/>
    <w:uiPriority w:val="99"/>
    <w:semiHidden/>
    <w:rsid w:val="00EB534F"/>
    <w:rPr>
      <w:rFonts w:asciiTheme="minorHAnsi" w:hAnsiTheme="minorHAnsi" w:cstheme="minorBidi"/>
      <w:b/>
      <w:bCs/>
      <w:kern w:val="0"/>
      <w:sz w:val="20"/>
      <w:szCs w:val="20"/>
      <w14:ligatures w14:val="none"/>
    </w:rPr>
  </w:style>
  <w:style w:type="paragraph" w:styleId="Revision">
    <w:name w:val="Revision"/>
    <w:hidden/>
    <w:uiPriority w:val="99"/>
    <w:semiHidden/>
    <w:rsid w:val="00EB534F"/>
    <w:pPr>
      <w:spacing w:after="0" w:line="240" w:lineRule="auto"/>
    </w:pPr>
    <w:rPr>
      <w:rFonts w:asciiTheme="minorHAnsi" w:hAnsiTheme="minorHAnsi" w:cstheme="minorBidi"/>
      <w:kern w:val="0"/>
      <w:sz w:val="22"/>
      <w:szCs w:val="22"/>
      <w14:ligatures w14:val="none"/>
    </w:rPr>
  </w:style>
  <w:style w:type="character" w:styleId="FollowedHyperlink">
    <w:name w:val="FollowedHyperlink"/>
    <w:basedOn w:val="DefaultParagraphFont"/>
    <w:uiPriority w:val="99"/>
    <w:semiHidden/>
    <w:unhideWhenUsed/>
    <w:rsid w:val="00EB534F"/>
    <w:rPr>
      <w:color w:val="954F72" w:themeColor="followedHyperlink"/>
      <w:u w:val="single"/>
    </w:rPr>
  </w:style>
  <w:style w:type="character" w:customStyle="1" w:styleId="ui-provider">
    <w:name w:val="ui-provider"/>
    <w:basedOn w:val="DefaultParagraphFont"/>
    <w:rsid w:val="00EB534F"/>
  </w:style>
  <w:style w:type="paragraph" w:customStyle="1" w:styleId="3-BodyText">
    <w:name w:val="3-Body Text"/>
    <w:basedOn w:val="ListParagraph"/>
    <w:link w:val="3-BodyTextChar"/>
    <w:qFormat/>
    <w:rsid w:val="00EB534F"/>
    <w:pPr>
      <w:spacing w:after="120" w:line="240" w:lineRule="auto"/>
      <w:ind w:hanging="720"/>
      <w:contextualSpacing w:val="0"/>
      <w:jc w:val="both"/>
    </w:pPr>
    <w:rPr>
      <w:rFonts w:eastAsia="Times New Roman" w:cs="Arial"/>
      <w:snapToGrid w:val="0"/>
      <w:sz w:val="24"/>
      <w:szCs w:val="24"/>
      <w:lang w:eastAsia="en-AU"/>
    </w:rPr>
  </w:style>
  <w:style w:type="character" w:customStyle="1" w:styleId="3-BodyTextChar">
    <w:name w:val="3-Body Text Char"/>
    <w:basedOn w:val="DefaultParagraphFont"/>
    <w:link w:val="3-BodyText"/>
    <w:rsid w:val="00EB534F"/>
    <w:rPr>
      <w:rFonts w:asciiTheme="minorHAnsi" w:eastAsia="Times New Roman" w:hAnsiTheme="minorHAnsi" w:cs="Arial"/>
      <w:snapToGrid w:val="0"/>
      <w:kern w:val="0"/>
      <w:lang w:eastAsia="en-AU"/>
      <w14:ligatures w14:val="none"/>
    </w:rPr>
  </w:style>
  <w:style w:type="paragraph" w:customStyle="1" w:styleId="msonormal0">
    <w:name w:val="msonormal"/>
    <w:basedOn w:val="Normal"/>
    <w:rsid w:val="00EB534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5">
    <w:name w:val="xl65"/>
    <w:basedOn w:val="Normal"/>
    <w:rsid w:val="00E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6">
    <w:name w:val="xl66"/>
    <w:basedOn w:val="Normal"/>
    <w:rsid w:val="00E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E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68">
    <w:name w:val="xl68"/>
    <w:basedOn w:val="Normal"/>
    <w:rsid w:val="00E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69">
    <w:name w:val="xl69"/>
    <w:basedOn w:val="Normal"/>
    <w:rsid w:val="00E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70">
    <w:name w:val="xl70"/>
    <w:basedOn w:val="Normal"/>
    <w:rsid w:val="00E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en-AU"/>
    </w:rPr>
  </w:style>
  <w:style w:type="paragraph" w:customStyle="1" w:styleId="xl71">
    <w:name w:val="xl71"/>
    <w:basedOn w:val="Normal"/>
    <w:rsid w:val="00E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en-AU"/>
    </w:rPr>
  </w:style>
  <w:style w:type="paragraph" w:customStyle="1" w:styleId="xl72">
    <w:name w:val="xl72"/>
    <w:basedOn w:val="Normal"/>
    <w:rsid w:val="00E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73">
    <w:name w:val="xl73"/>
    <w:basedOn w:val="Normal"/>
    <w:rsid w:val="00EB534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74">
    <w:name w:val="xl74"/>
    <w:basedOn w:val="Normal"/>
    <w:rsid w:val="00EB534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75">
    <w:name w:val="xl75"/>
    <w:basedOn w:val="Normal"/>
    <w:rsid w:val="00EB534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2-SectionHeading">
    <w:name w:val="2-Section Heading"/>
    <w:next w:val="3-BodyText"/>
    <w:qFormat/>
    <w:rsid w:val="006022DB"/>
    <w:pPr>
      <w:keepNext/>
      <w:numPr>
        <w:numId w:val="12"/>
      </w:numPr>
      <w:tabs>
        <w:tab w:val="clear" w:pos="360"/>
      </w:tabs>
      <w:spacing w:before="240" w:after="120" w:line="240" w:lineRule="auto"/>
      <w:ind w:left="720" w:hanging="720"/>
      <w:outlineLvl w:val="0"/>
    </w:pPr>
    <w:rPr>
      <w:rFonts w:asciiTheme="minorHAnsi" w:eastAsia="Times New Roman" w:hAnsiTheme="minorHAnsi" w:cs="Arial"/>
      <w:b/>
      <w:snapToGrid w:val="0"/>
      <w:kern w:val="0"/>
      <w:sz w:val="32"/>
      <w:szCs w:val="32"/>
      <w14:ligatures w14:val="none"/>
    </w:rPr>
  </w:style>
  <w:style w:type="paragraph" w:customStyle="1" w:styleId="Title2">
    <w:name w:val="Title 2"/>
    <w:basedOn w:val="Heading1"/>
    <w:link w:val="Title2Char"/>
    <w:qFormat/>
    <w:rsid w:val="00B06360"/>
    <w:pPr>
      <w:spacing w:before="480" w:after="240"/>
    </w:pPr>
    <w:rPr>
      <w:rFonts w:asciiTheme="minorHAnsi" w:hAnsiTheme="minorHAnsi"/>
      <w:b w:val="0"/>
      <w:bCs/>
      <w:lang w:eastAsia="en-AU"/>
    </w:rPr>
  </w:style>
  <w:style w:type="paragraph" w:customStyle="1" w:styleId="Meetingdate">
    <w:name w:val="Meeting date"/>
    <w:basedOn w:val="Heading4"/>
    <w:link w:val="MeetingdateChar"/>
    <w:qFormat/>
    <w:rsid w:val="00B06360"/>
    <w:pPr>
      <w:keepNext w:val="0"/>
      <w:keepLines w:val="0"/>
      <w:spacing w:before="240" w:after="200" w:line="240" w:lineRule="auto"/>
    </w:pPr>
    <w:rPr>
      <w:rFonts w:eastAsiaTheme="minorEastAsia" w:cstheme="minorBidi"/>
      <w:b/>
      <w:iCs w:val="0"/>
      <w:sz w:val="24"/>
      <w:szCs w:val="32"/>
      <w:lang w:eastAsia="en-AU"/>
    </w:rPr>
  </w:style>
  <w:style w:type="character" w:customStyle="1" w:styleId="Title2Char">
    <w:name w:val="Title 2 Char"/>
    <w:basedOn w:val="Heading1Char"/>
    <w:link w:val="Title2"/>
    <w:rsid w:val="00B06360"/>
    <w:rPr>
      <w:rFonts w:asciiTheme="minorHAnsi" w:eastAsiaTheme="majorEastAsia" w:hAnsiTheme="minorHAnsi" w:cstheme="majorBidi"/>
      <w:b w:val="0"/>
      <w:bCs/>
      <w:snapToGrid w:val="0"/>
      <w:color w:val="2E74B5" w:themeColor="accent1" w:themeShade="BF"/>
      <w:kern w:val="0"/>
      <w:sz w:val="40"/>
      <w:szCs w:val="32"/>
      <w:lang w:eastAsia="en-AU"/>
      <w14:ligatures w14:val="none"/>
    </w:rPr>
  </w:style>
  <w:style w:type="character" w:customStyle="1" w:styleId="MeetingdateChar">
    <w:name w:val="Meeting date Char"/>
    <w:basedOn w:val="Heading4Char"/>
    <w:link w:val="Meetingdate"/>
    <w:rsid w:val="00B06360"/>
    <w:rPr>
      <w:rFonts w:asciiTheme="minorHAnsi" w:eastAsiaTheme="minorEastAsia" w:hAnsiTheme="minorHAnsi" w:cstheme="minorBidi"/>
      <w:b/>
      <w:i/>
      <w:iCs w:val="0"/>
      <w:color w:val="2E74B5" w:themeColor="accent1" w:themeShade="BF"/>
      <w:kern w:val="0"/>
      <w:szCs w:val="32"/>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eader" Target="header5.xml"/><Relationship Id="rId35" Type="http://schemas.openxmlformats.org/officeDocument/2006/relationships/image" Target="media/image16.png"/><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amhonline.amh.net.au/chapters/neurological-drugs/drugs-multiple-sclerosis/multiple-sclero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9EEF4-A915-44E9-985C-87CB52863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7163</Words>
  <Characters>39899</Characters>
  <Application>Microsoft Office Word</Application>
  <DocSecurity>0</DocSecurity>
  <Lines>782</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2026-08-05T01:27:00Z</dcterms:created>
  <dcterms:modified xsi:type="dcterms:W3CDTF">2026-08-05T02:40:00Z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11067356,6a433c4c,60cc0f04,d1cf229,51cd32e6,74eced13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53d47ec2,53aa01,72ee6ef,5cc92f2f,5d8e692f,4e1689b4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2026-08-05T01:51:31Z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5406cc65-2a96-4c5e-9581-8619c008b257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