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5300A" w14:textId="73CD73B5" w:rsidR="002E086E" w:rsidRDefault="002E086E" w:rsidP="0002690B">
      <w:pPr>
        <w:pStyle w:val="1-MainHeading"/>
        <w:ind w:left="0" w:firstLine="0"/>
        <w:rPr>
          <w:sz w:val="32"/>
          <w:szCs w:val="32"/>
        </w:rPr>
      </w:pPr>
      <w:r w:rsidRPr="00711849">
        <w:rPr>
          <w:sz w:val="32"/>
          <w:szCs w:val="32"/>
        </w:rPr>
        <w:t>Principles of broad (multi-cancer) listings for programmed cell death-1/programmed death ligand-1 (PD-(L)1) inhibitors</w:t>
      </w:r>
    </w:p>
    <w:p w14:paraId="57DF9E43" w14:textId="33C097AA" w:rsidR="00393940" w:rsidRPr="001D5FD9" w:rsidRDefault="002E086E" w:rsidP="04D92CDD">
      <w:pPr>
        <w:rPr>
          <w:rFonts w:asciiTheme="minorHAnsi" w:hAnsiTheme="minorHAnsi" w:cstheme="minorBidi"/>
          <w:sz w:val="24"/>
        </w:rPr>
      </w:pPr>
      <w:r w:rsidRPr="001D5FD9">
        <w:rPr>
          <w:rFonts w:asciiTheme="minorHAnsi" w:hAnsiTheme="minorHAnsi" w:cstheme="minorBidi"/>
          <w:kern w:val="0"/>
          <w:sz w:val="24"/>
          <w14:ligatures w14:val="none"/>
        </w:rPr>
        <w:t xml:space="preserve">This document is intended to outline the </w:t>
      </w:r>
      <w:r w:rsidR="00B90113">
        <w:rPr>
          <w:rFonts w:asciiTheme="minorHAnsi" w:hAnsiTheme="minorHAnsi" w:cstheme="minorBidi"/>
          <w:kern w:val="0"/>
          <w:sz w:val="24"/>
          <w14:ligatures w14:val="none"/>
        </w:rPr>
        <w:t>guiding</w:t>
      </w:r>
      <w:r w:rsidRPr="001D5FD9">
        <w:rPr>
          <w:rFonts w:asciiTheme="minorHAnsi" w:hAnsiTheme="minorHAnsi" w:cstheme="minorBidi"/>
          <w:kern w:val="0"/>
          <w:sz w:val="24"/>
          <w14:ligatures w14:val="none"/>
        </w:rPr>
        <w:t xml:space="preserve"> principles for sponsors who may be seeking a broad (multi-cancer) listing for PD-(L)1 inhibitors.</w:t>
      </w:r>
      <w:r w:rsidR="002D0B8C" w:rsidRPr="001D5FD9">
        <w:rPr>
          <w:rFonts w:asciiTheme="minorHAnsi" w:hAnsiTheme="minorHAnsi" w:cstheme="minorBidi"/>
          <w:kern w:val="0"/>
          <w:sz w:val="24"/>
          <w14:ligatures w14:val="none"/>
        </w:rPr>
        <w:t xml:space="preserve"> </w:t>
      </w:r>
    </w:p>
    <w:p w14:paraId="6C8F948B" w14:textId="77777777" w:rsidR="00C6602F" w:rsidRDefault="00C6602F" w:rsidP="00C6602F">
      <w:pPr>
        <w:rPr>
          <w:rFonts w:asciiTheme="minorHAnsi" w:hAnsiTheme="minorHAnsi" w:cstheme="minorBidi"/>
          <w:kern w:val="0"/>
          <w:sz w:val="24"/>
          <w14:ligatures w14:val="none"/>
        </w:rPr>
      </w:pPr>
      <w:r w:rsidRPr="00C6602F">
        <w:rPr>
          <w:rFonts w:asciiTheme="minorHAnsi" w:hAnsiTheme="minorHAnsi" w:cstheme="minorBidi"/>
          <w:kern w:val="0"/>
          <w:sz w:val="24"/>
          <w14:ligatures w14:val="none"/>
        </w:rPr>
        <w:t>Sponsors of PD-</w:t>
      </w:r>
      <w:proofErr w:type="gramStart"/>
      <w:r w:rsidRPr="00C6602F">
        <w:rPr>
          <w:rFonts w:asciiTheme="minorHAnsi" w:hAnsiTheme="minorHAnsi" w:cstheme="minorBidi"/>
          <w:kern w:val="0"/>
          <w:sz w:val="24"/>
          <w14:ligatures w14:val="none"/>
        </w:rPr>
        <w:t>L(</w:t>
      </w:r>
      <w:proofErr w:type="gramEnd"/>
      <w:r w:rsidRPr="00C6602F">
        <w:rPr>
          <w:rFonts w:asciiTheme="minorHAnsi" w:hAnsiTheme="minorHAnsi" w:cstheme="minorBidi"/>
          <w:kern w:val="0"/>
          <w:sz w:val="24"/>
          <w14:ligatures w14:val="none"/>
        </w:rPr>
        <w:t>1) medicines are not required to seek a broad listing. Sponsors retain the ability to lodge submissions seeking PBS listings for specific indications in accordance with the Procedure guidance</w:t>
      </w:r>
      <w:r w:rsidRPr="4B42A379">
        <w:rPr>
          <w:rStyle w:val="FootnoteReference"/>
          <w:rFonts w:asciiTheme="minorHAnsi" w:hAnsiTheme="minorHAnsi" w:cstheme="minorBidi"/>
          <w:sz w:val="24"/>
        </w:rPr>
        <w:footnoteReference w:id="1"/>
      </w:r>
      <w:r w:rsidRPr="00C6602F">
        <w:rPr>
          <w:rFonts w:asciiTheme="minorHAnsi" w:hAnsiTheme="minorHAnsi" w:cstheme="minorBidi"/>
          <w:kern w:val="0"/>
          <w:sz w:val="24"/>
          <w14:ligatures w14:val="none"/>
        </w:rPr>
        <w:t xml:space="preserve"> for listing medicines on the PBS and PBAC Guidelines</w:t>
      </w:r>
      <w:r w:rsidRPr="4B42A379">
        <w:rPr>
          <w:rStyle w:val="FootnoteReference"/>
          <w:rFonts w:asciiTheme="minorHAnsi" w:hAnsiTheme="minorHAnsi" w:cstheme="minorBidi"/>
          <w:sz w:val="24"/>
        </w:rPr>
        <w:footnoteReference w:id="2"/>
      </w:r>
      <w:r w:rsidRPr="00C6602F">
        <w:rPr>
          <w:rFonts w:asciiTheme="minorHAnsi" w:hAnsiTheme="minorHAnsi" w:cstheme="minorBidi"/>
          <w:kern w:val="0"/>
          <w:sz w:val="24"/>
          <w14:ligatures w14:val="none"/>
        </w:rPr>
        <w:t xml:space="preserve">. </w:t>
      </w:r>
    </w:p>
    <w:p w14:paraId="58712D37" w14:textId="2D5E2431" w:rsidR="00C6602F" w:rsidRDefault="00C6602F" w:rsidP="00C6602F">
      <w:pPr>
        <w:rPr>
          <w:rFonts w:asciiTheme="minorHAnsi" w:hAnsiTheme="minorHAnsi" w:cstheme="minorBidi"/>
          <w:kern w:val="0"/>
          <w:sz w:val="24"/>
          <w14:ligatures w14:val="none"/>
        </w:rPr>
      </w:pPr>
      <w:r w:rsidRPr="001D5FD9">
        <w:rPr>
          <w:rFonts w:asciiTheme="minorHAnsi" w:hAnsiTheme="minorHAnsi" w:cstheme="minorBidi"/>
          <w:kern w:val="0"/>
          <w:sz w:val="24"/>
          <w14:ligatures w14:val="none"/>
        </w:rPr>
        <w:t xml:space="preserve">Sponsors seeking a broad listing for their PD-(L)1 inhibitor would need to </w:t>
      </w:r>
      <w:r w:rsidR="00DA24F4">
        <w:rPr>
          <w:rFonts w:asciiTheme="minorHAnsi" w:hAnsiTheme="minorHAnsi" w:cstheme="minorBidi"/>
          <w:kern w:val="0"/>
          <w:sz w:val="24"/>
          <w14:ligatures w14:val="none"/>
        </w:rPr>
        <w:t>have</w:t>
      </w:r>
      <w:r w:rsidRPr="001D5FD9">
        <w:rPr>
          <w:rFonts w:asciiTheme="minorHAnsi" w:hAnsiTheme="minorHAnsi" w:cstheme="minorBidi"/>
          <w:kern w:val="0"/>
          <w:sz w:val="24"/>
          <w14:ligatures w14:val="none"/>
        </w:rPr>
        <w:t xml:space="preserve"> </w:t>
      </w:r>
      <w:r w:rsidR="000D0A11">
        <w:rPr>
          <w:rFonts w:asciiTheme="minorHAnsi" w:hAnsiTheme="minorHAnsi" w:cstheme="minorBidi"/>
          <w:kern w:val="0"/>
          <w:sz w:val="24"/>
          <w14:ligatures w14:val="none"/>
        </w:rPr>
        <w:t xml:space="preserve">previously </w:t>
      </w:r>
      <w:r w:rsidR="00DA24F4" w:rsidRPr="001D5FD9">
        <w:rPr>
          <w:rFonts w:asciiTheme="minorHAnsi" w:hAnsiTheme="minorHAnsi" w:cstheme="minorBidi"/>
          <w:kern w:val="0"/>
          <w:sz w:val="24"/>
          <w14:ligatures w14:val="none"/>
        </w:rPr>
        <w:t>demonstrat</w:t>
      </w:r>
      <w:r w:rsidR="00DA24F4">
        <w:rPr>
          <w:rFonts w:asciiTheme="minorHAnsi" w:hAnsiTheme="minorHAnsi" w:cstheme="minorBidi"/>
          <w:kern w:val="0"/>
          <w:sz w:val="24"/>
          <w14:ligatures w14:val="none"/>
        </w:rPr>
        <w:t xml:space="preserve">ed </w:t>
      </w:r>
      <w:r w:rsidRPr="001D5FD9">
        <w:rPr>
          <w:rFonts w:asciiTheme="minorHAnsi" w:hAnsiTheme="minorHAnsi" w:cstheme="minorBidi"/>
          <w:kern w:val="0"/>
          <w:sz w:val="24"/>
          <w14:ligatures w14:val="none"/>
        </w:rPr>
        <w:t>efficacy, safety and cost-effectiveness in the advanced and metastatic settings</w:t>
      </w:r>
      <w:r w:rsidR="00D0264C">
        <w:rPr>
          <w:rFonts w:asciiTheme="minorHAnsi" w:hAnsiTheme="minorHAnsi" w:cstheme="minorBidi"/>
          <w:kern w:val="0"/>
          <w:sz w:val="24"/>
          <w14:ligatures w14:val="none"/>
        </w:rPr>
        <w:t xml:space="preserve"> </w:t>
      </w:r>
      <w:r w:rsidR="00E82260">
        <w:rPr>
          <w:rFonts w:asciiTheme="minorHAnsi" w:hAnsiTheme="minorHAnsi" w:cstheme="minorBidi"/>
          <w:kern w:val="0"/>
          <w:sz w:val="24"/>
          <w14:ligatures w14:val="none"/>
        </w:rPr>
        <w:t xml:space="preserve">resulting in PBS listings </w:t>
      </w:r>
      <w:r w:rsidR="00D0264C">
        <w:rPr>
          <w:rFonts w:asciiTheme="minorHAnsi" w:hAnsiTheme="minorHAnsi" w:cstheme="minorBidi"/>
          <w:kern w:val="0"/>
          <w:sz w:val="24"/>
          <w14:ligatures w14:val="none"/>
        </w:rPr>
        <w:t xml:space="preserve">in </w:t>
      </w:r>
      <w:r w:rsidR="00322D68">
        <w:rPr>
          <w:rFonts w:asciiTheme="minorHAnsi" w:hAnsiTheme="minorHAnsi" w:cstheme="minorBidi"/>
          <w:kern w:val="0"/>
          <w:sz w:val="24"/>
          <w14:ligatures w14:val="none"/>
        </w:rPr>
        <w:t xml:space="preserve">a range of </w:t>
      </w:r>
      <w:r w:rsidR="00D0264C">
        <w:rPr>
          <w:rFonts w:asciiTheme="minorHAnsi" w:hAnsiTheme="minorHAnsi" w:cstheme="minorBidi"/>
          <w:kern w:val="0"/>
          <w:sz w:val="24"/>
          <w14:ligatures w14:val="none"/>
        </w:rPr>
        <w:t>indications</w:t>
      </w:r>
      <w:r w:rsidR="00E273E9">
        <w:rPr>
          <w:rFonts w:asciiTheme="minorHAnsi" w:hAnsiTheme="minorHAnsi" w:cstheme="minorBidi"/>
          <w:kern w:val="0"/>
          <w:sz w:val="24"/>
          <w14:ligatures w14:val="none"/>
        </w:rPr>
        <w:t xml:space="preserve"> across</w:t>
      </w:r>
      <w:r w:rsidR="00506CE2">
        <w:rPr>
          <w:rFonts w:asciiTheme="minorHAnsi" w:hAnsiTheme="minorHAnsi" w:cstheme="minorBidi"/>
          <w:kern w:val="0"/>
          <w:sz w:val="24"/>
          <w14:ligatures w14:val="none"/>
        </w:rPr>
        <w:t xml:space="preserve"> </w:t>
      </w:r>
      <w:r w:rsidR="00680FDA">
        <w:rPr>
          <w:rFonts w:asciiTheme="minorHAnsi" w:hAnsiTheme="minorHAnsi" w:cstheme="minorBidi"/>
          <w:kern w:val="0"/>
          <w:sz w:val="24"/>
          <w14:ligatures w14:val="none"/>
        </w:rPr>
        <w:t>different tumour types</w:t>
      </w:r>
      <w:r w:rsidRPr="001D5FD9">
        <w:rPr>
          <w:rFonts w:asciiTheme="minorHAnsi" w:hAnsiTheme="minorHAnsi" w:cstheme="minorBidi"/>
          <w:kern w:val="0"/>
          <w:sz w:val="24"/>
          <w14:ligatures w14:val="none"/>
        </w:rPr>
        <w:t xml:space="preserve">. </w:t>
      </w:r>
      <w:r w:rsidR="000D0A11">
        <w:rPr>
          <w:rFonts w:asciiTheme="minorHAnsi" w:hAnsiTheme="minorHAnsi" w:cstheme="minorBidi"/>
          <w:kern w:val="0"/>
          <w:sz w:val="24"/>
          <w14:ligatures w14:val="none"/>
        </w:rPr>
        <w:t xml:space="preserve">An application for a broad listing </w:t>
      </w:r>
      <w:r w:rsidR="00676091">
        <w:rPr>
          <w:rFonts w:asciiTheme="minorHAnsi" w:hAnsiTheme="minorHAnsi" w:cstheme="minorBidi"/>
          <w:kern w:val="0"/>
          <w:sz w:val="24"/>
          <w14:ligatures w14:val="none"/>
        </w:rPr>
        <w:t>would</w:t>
      </w:r>
      <w:r w:rsidR="0050444B">
        <w:rPr>
          <w:rFonts w:asciiTheme="minorHAnsi" w:hAnsiTheme="minorHAnsi" w:cstheme="minorBidi"/>
          <w:kern w:val="0"/>
          <w:sz w:val="24"/>
          <w14:ligatures w14:val="none"/>
        </w:rPr>
        <w:t xml:space="preserve"> then be </w:t>
      </w:r>
      <w:r w:rsidR="00A87564">
        <w:rPr>
          <w:rFonts w:asciiTheme="minorHAnsi" w:hAnsiTheme="minorHAnsi" w:cstheme="minorBidi"/>
          <w:kern w:val="0"/>
          <w:sz w:val="24"/>
          <w14:ligatures w14:val="none"/>
        </w:rPr>
        <w:t>suitable</w:t>
      </w:r>
      <w:r w:rsidR="00F149DB">
        <w:rPr>
          <w:rFonts w:asciiTheme="minorHAnsi" w:hAnsiTheme="minorHAnsi" w:cstheme="minorBidi"/>
          <w:kern w:val="0"/>
          <w:sz w:val="24"/>
          <w14:ligatures w14:val="none"/>
        </w:rPr>
        <w:t xml:space="preserve"> for PBAC consideration. </w:t>
      </w:r>
    </w:p>
    <w:p w14:paraId="5C8B2985" w14:textId="02921794" w:rsidR="00E157BA" w:rsidRPr="00C6602F" w:rsidRDefault="00E157BA" w:rsidP="00C6602F">
      <w:pPr>
        <w:rPr>
          <w:rFonts w:asciiTheme="minorHAnsi" w:hAnsiTheme="minorHAnsi" w:cstheme="minorBidi"/>
          <w:kern w:val="0"/>
          <w:sz w:val="24"/>
          <w14:ligatures w14:val="none"/>
        </w:rPr>
      </w:pPr>
      <w:r w:rsidRPr="00E157BA">
        <w:rPr>
          <w:rFonts w:asciiTheme="minorHAnsi" w:hAnsiTheme="minorHAnsi" w:cstheme="minorBidi"/>
          <w:kern w:val="0"/>
          <w:sz w:val="24"/>
          <w14:ligatures w14:val="none"/>
        </w:rPr>
        <w:t xml:space="preserve">Sponsors </w:t>
      </w:r>
      <w:r w:rsidR="00BB1945">
        <w:rPr>
          <w:rFonts w:asciiTheme="minorHAnsi" w:hAnsiTheme="minorHAnsi" w:cstheme="minorBidi"/>
          <w:kern w:val="0"/>
          <w:sz w:val="24"/>
          <w14:ligatures w14:val="none"/>
        </w:rPr>
        <w:t>are requested to</w:t>
      </w:r>
      <w:r w:rsidRPr="00E157BA">
        <w:rPr>
          <w:rFonts w:asciiTheme="minorHAnsi" w:hAnsiTheme="minorHAnsi" w:cstheme="minorBidi"/>
          <w:kern w:val="0"/>
          <w:sz w:val="24"/>
          <w14:ligatures w14:val="none"/>
        </w:rPr>
        <w:t xml:space="preserve"> provide their summarised clinical evidence to </w:t>
      </w:r>
      <w:hyperlink r:id="rId11" w:history="1">
        <w:r w:rsidRPr="00E157BA">
          <w:rPr>
            <w:rStyle w:val="Hyperlink"/>
            <w:rFonts w:asciiTheme="minorHAnsi" w:hAnsiTheme="minorHAnsi" w:cstheme="minorBidi"/>
            <w:kern w:val="0"/>
            <w:sz w:val="24"/>
            <w14:ligatures w14:val="none"/>
          </w:rPr>
          <w:t>PBAC@health.gov.au</w:t>
        </w:r>
      </w:hyperlink>
      <w:r w:rsidRPr="00E157BA">
        <w:rPr>
          <w:rFonts w:asciiTheme="minorHAnsi" w:hAnsiTheme="minorHAnsi" w:cstheme="minorBidi"/>
          <w:kern w:val="0"/>
          <w:sz w:val="24"/>
          <w14:ligatures w14:val="none"/>
        </w:rPr>
        <w:t xml:space="preserve"> prior to submitting a formal submission. The Department will progress the summarised clinical evidence to the PBAC to review at the next available meeting. If the PBAC determines it is confident there is sufficient clinical evidence to substantiate use in a broad listing setting, the Department will work with individual sponsors to</w:t>
      </w:r>
      <w:r w:rsidR="00C433A8">
        <w:rPr>
          <w:rFonts w:asciiTheme="minorHAnsi" w:hAnsiTheme="minorHAnsi" w:cstheme="minorBidi"/>
          <w:kern w:val="0"/>
          <w:sz w:val="24"/>
          <w14:ligatures w14:val="none"/>
        </w:rPr>
        <w:t xml:space="preserve"> facilitate submission of</w:t>
      </w:r>
      <w:r w:rsidRPr="00E157BA">
        <w:rPr>
          <w:rFonts w:asciiTheme="minorHAnsi" w:hAnsiTheme="minorHAnsi" w:cstheme="minorBidi"/>
          <w:kern w:val="0"/>
          <w:sz w:val="24"/>
          <w14:ligatures w14:val="none"/>
        </w:rPr>
        <w:t xml:space="preserve"> economic and financial evidence information via a formal submission.</w:t>
      </w:r>
    </w:p>
    <w:p w14:paraId="6E6BEADF" w14:textId="04C37CB6" w:rsidR="00CA105E" w:rsidRPr="001D5FD9" w:rsidRDefault="000B6F54" w:rsidP="04D92CDD">
      <w:pPr>
        <w:rPr>
          <w:rFonts w:asciiTheme="minorHAnsi" w:hAnsiTheme="minorHAnsi" w:cstheme="minorBidi"/>
          <w:b/>
          <w:bCs/>
          <w:kern w:val="0"/>
          <w:sz w:val="24"/>
          <w14:ligatures w14:val="none"/>
        </w:rPr>
      </w:pPr>
      <w:r w:rsidRPr="001D5FD9">
        <w:rPr>
          <w:rFonts w:asciiTheme="minorHAnsi" w:hAnsiTheme="minorHAnsi" w:cstheme="minorBidi"/>
          <w:b/>
          <w:bCs/>
          <w:kern w:val="0"/>
          <w:sz w:val="24"/>
          <w14:ligatures w14:val="none"/>
        </w:rPr>
        <w:t>General expectations</w:t>
      </w:r>
    </w:p>
    <w:p w14:paraId="16BF14E8" w14:textId="066B169F" w:rsidR="00280050" w:rsidRPr="001D5FD9" w:rsidRDefault="00A06A9B" w:rsidP="00393940">
      <w:pPr>
        <w:pStyle w:val="ListParagraph"/>
        <w:numPr>
          <w:ilvl w:val="0"/>
          <w:numId w:val="4"/>
        </w:numPr>
        <w:rPr>
          <w:rFonts w:asciiTheme="minorHAnsi" w:hAnsiTheme="minorHAnsi" w:cstheme="minorBidi"/>
          <w:kern w:val="0"/>
          <w:sz w:val="24"/>
          <w14:ligatures w14:val="none"/>
        </w:rPr>
      </w:pPr>
      <w:r w:rsidRPr="001D5FD9">
        <w:rPr>
          <w:rFonts w:asciiTheme="minorHAnsi" w:hAnsiTheme="minorHAnsi" w:cstheme="minorBidi"/>
          <w:kern w:val="0"/>
          <w:sz w:val="24"/>
          <w14:ligatures w14:val="none"/>
        </w:rPr>
        <w:t>Sponsors are encouraged to engage with consumers and relevant consumer organisations.</w:t>
      </w:r>
      <w:r w:rsidRPr="001D5FD9">
        <w:rPr>
          <w:rFonts w:ascii="Calibri" w:eastAsia="Times New Roman" w:hAnsi="Calibri"/>
          <w:kern w:val="0"/>
          <w:sz w:val="24"/>
          <w14:ligatures w14:val="none"/>
        </w:rPr>
        <w:t xml:space="preserve"> </w:t>
      </w:r>
      <w:r w:rsidRPr="001D5FD9">
        <w:rPr>
          <w:rFonts w:asciiTheme="minorHAnsi" w:hAnsiTheme="minorHAnsi" w:cstheme="minorBidi"/>
          <w:kern w:val="0"/>
          <w:sz w:val="24"/>
          <w14:ligatures w14:val="none"/>
        </w:rPr>
        <w:t>This approach is consistent with findings from the Health Technology Assessment (HTA) Policy and Methods Review</w:t>
      </w:r>
      <w:r w:rsidRPr="001D5FD9">
        <w:rPr>
          <w:sz w:val="24"/>
          <w:vertAlign w:val="superscript"/>
        </w:rPr>
        <w:footnoteReference w:id="3"/>
      </w:r>
      <w:r w:rsidRPr="001D5FD9">
        <w:rPr>
          <w:rFonts w:asciiTheme="minorHAnsi" w:hAnsiTheme="minorHAnsi" w:cstheme="minorBidi"/>
          <w:kern w:val="0"/>
          <w:sz w:val="24"/>
          <w14:ligatures w14:val="none"/>
        </w:rPr>
        <w:t xml:space="preserve"> and Enhance HTA</w:t>
      </w:r>
      <w:r w:rsidRPr="001D5FD9">
        <w:rPr>
          <w:sz w:val="24"/>
          <w:vertAlign w:val="superscript"/>
        </w:rPr>
        <w:footnoteReference w:id="4"/>
      </w:r>
      <w:r w:rsidRPr="001D5FD9">
        <w:rPr>
          <w:rFonts w:asciiTheme="minorHAnsi" w:hAnsiTheme="minorHAnsi" w:cstheme="minorBidi"/>
          <w:kern w:val="0"/>
          <w:sz w:val="24"/>
          <w14:ligatures w14:val="none"/>
        </w:rPr>
        <w:t xml:space="preserve"> reports, which emphasise the value of early and meaningful engagement with consumers and patient organisations to inform outcomes and access decisions.</w:t>
      </w:r>
    </w:p>
    <w:p w14:paraId="4D40516E" w14:textId="1A56E213" w:rsidR="00CF7956" w:rsidRPr="001D5FD9" w:rsidRDefault="00CF7956" w:rsidP="00CF7956">
      <w:pPr>
        <w:pStyle w:val="ListParagraph"/>
        <w:numPr>
          <w:ilvl w:val="0"/>
          <w:numId w:val="4"/>
        </w:numPr>
        <w:rPr>
          <w:rFonts w:asciiTheme="minorHAnsi" w:hAnsiTheme="minorHAnsi" w:cstheme="minorBidi"/>
          <w:kern w:val="0"/>
          <w:sz w:val="24"/>
          <w14:ligatures w14:val="none"/>
        </w:rPr>
      </w:pPr>
      <w:r w:rsidRPr="001D5FD9">
        <w:rPr>
          <w:rFonts w:asciiTheme="minorHAnsi" w:hAnsiTheme="minorHAnsi" w:cstheme="minorBidi"/>
          <w:kern w:val="0"/>
          <w:sz w:val="24"/>
          <w14:ligatures w14:val="none"/>
        </w:rPr>
        <w:t>The broad listing is intended to replace all existing and future advanced and metastatic PBS listings for the product</w:t>
      </w:r>
      <w:r w:rsidR="002D0B8C" w:rsidRPr="001D5FD9">
        <w:rPr>
          <w:rFonts w:asciiTheme="minorHAnsi" w:hAnsiTheme="minorHAnsi" w:cstheme="minorBidi"/>
          <w:kern w:val="0"/>
          <w:sz w:val="24"/>
          <w14:ligatures w14:val="none"/>
        </w:rPr>
        <w:t>.</w:t>
      </w:r>
    </w:p>
    <w:p w14:paraId="1E49E3C1" w14:textId="26F36A9B" w:rsidR="00D126E9" w:rsidRDefault="00D126E9" w:rsidP="00D126E9">
      <w:pPr>
        <w:pStyle w:val="ListParagraph"/>
        <w:widowControl w:val="0"/>
        <w:numPr>
          <w:ilvl w:val="0"/>
          <w:numId w:val="4"/>
        </w:numPr>
        <w:ind w:left="357" w:hanging="357"/>
        <w:rPr>
          <w:rFonts w:asciiTheme="minorHAnsi" w:hAnsiTheme="minorHAnsi" w:cstheme="minorBidi"/>
          <w:kern w:val="0"/>
          <w:sz w:val="24"/>
          <w14:ligatures w14:val="none"/>
        </w:rPr>
      </w:pPr>
      <w:r w:rsidRPr="001D5FD9">
        <w:rPr>
          <w:rFonts w:asciiTheme="minorHAnsi" w:hAnsiTheme="minorHAnsi" w:cstheme="minorBidi"/>
          <w:kern w:val="0"/>
          <w:sz w:val="24"/>
          <w14:ligatures w14:val="none"/>
        </w:rPr>
        <w:t>There is a reasonable expectation that a product seeking broad listing should be likely to replace existing treatments.</w:t>
      </w:r>
    </w:p>
    <w:p w14:paraId="4DCF3269" w14:textId="50CCA154" w:rsidR="00294BA5" w:rsidRDefault="00294BA5" w:rsidP="00D126E9">
      <w:pPr>
        <w:pStyle w:val="ListParagraph"/>
        <w:widowControl w:val="0"/>
        <w:numPr>
          <w:ilvl w:val="0"/>
          <w:numId w:val="4"/>
        </w:numPr>
        <w:ind w:left="357" w:hanging="357"/>
        <w:rPr>
          <w:rFonts w:asciiTheme="minorHAnsi" w:hAnsiTheme="minorHAnsi" w:cstheme="minorBidi"/>
          <w:kern w:val="0"/>
          <w:sz w:val="24"/>
          <w14:ligatures w14:val="none"/>
        </w:rPr>
      </w:pPr>
      <w:r>
        <w:rPr>
          <w:rFonts w:asciiTheme="minorHAnsi" w:hAnsiTheme="minorHAnsi" w:cstheme="minorBidi"/>
          <w:kern w:val="0"/>
          <w:sz w:val="24"/>
          <w14:ligatures w14:val="none"/>
        </w:rPr>
        <w:t xml:space="preserve">There is an expectation that sponsors will share published and unpublished trial data on </w:t>
      </w:r>
      <w:proofErr w:type="spellStart"/>
      <w:r>
        <w:rPr>
          <w:rFonts w:asciiTheme="minorHAnsi" w:hAnsiTheme="minorHAnsi" w:cstheme="minorBidi"/>
          <w:kern w:val="0"/>
          <w:sz w:val="24"/>
          <w14:ligatures w14:val="none"/>
        </w:rPr>
        <w:t>EviQ</w:t>
      </w:r>
      <w:proofErr w:type="spellEnd"/>
      <w:r>
        <w:rPr>
          <w:rFonts w:asciiTheme="minorHAnsi" w:hAnsiTheme="minorHAnsi" w:cstheme="minorBidi"/>
          <w:kern w:val="0"/>
          <w:sz w:val="24"/>
          <w14:ligatures w14:val="none"/>
        </w:rPr>
        <w:t xml:space="preserve"> (or alternative site)</w:t>
      </w:r>
      <w:r w:rsidR="00815ADB">
        <w:rPr>
          <w:rFonts w:asciiTheme="minorHAnsi" w:hAnsiTheme="minorHAnsi" w:cstheme="minorBidi"/>
          <w:kern w:val="0"/>
          <w:sz w:val="24"/>
          <w14:ligatures w14:val="none"/>
        </w:rPr>
        <w:t xml:space="preserve">, </w:t>
      </w:r>
      <w:r w:rsidR="00BE1868">
        <w:rPr>
          <w:rFonts w:asciiTheme="minorHAnsi" w:hAnsiTheme="minorHAnsi" w:cstheme="minorBidi"/>
          <w:kern w:val="0"/>
          <w:sz w:val="24"/>
          <w14:ligatures w14:val="none"/>
        </w:rPr>
        <w:t>using the format adopted by other sponsors</w:t>
      </w:r>
      <w:r w:rsidR="00FF43A7" w:rsidRPr="3884B210">
        <w:rPr>
          <w:rStyle w:val="FootnoteReference"/>
        </w:rPr>
        <w:footnoteReference w:id="5"/>
      </w:r>
      <w:r w:rsidR="006D3599">
        <w:rPr>
          <w:rFonts w:asciiTheme="minorHAnsi" w:hAnsiTheme="minorHAnsi" w:cstheme="minorBidi"/>
          <w:kern w:val="0"/>
          <w:sz w:val="24"/>
          <w14:ligatures w14:val="none"/>
        </w:rPr>
        <w:t xml:space="preserve">. </w:t>
      </w:r>
    </w:p>
    <w:p w14:paraId="27F43A73" w14:textId="783A0713" w:rsidR="006D3599" w:rsidRPr="001D5FD9" w:rsidRDefault="006D3599" w:rsidP="00D126E9">
      <w:pPr>
        <w:pStyle w:val="ListParagraph"/>
        <w:widowControl w:val="0"/>
        <w:numPr>
          <w:ilvl w:val="0"/>
          <w:numId w:val="4"/>
        </w:numPr>
        <w:ind w:left="357" w:hanging="357"/>
        <w:rPr>
          <w:rFonts w:asciiTheme="minorHAnsi" w:hAnsiTheme="minorHAnsi" w:cstheme="minorBidi"/>
          <w:kern w:val="0"/>
          <w:sz w:val="24"/>
          <w14:ligatures w14:val="none"/>
        </w:rPr>
      </w:pPr>
      <w:r>
        <w:rPr>
          <w:rFonts w:asciiTheme="minorHAnsi" w:hAnsiTheme="minorHAnsi" w:cstheme="minorBidi"/>
          <w:kern w:val="0"/>
          <w:sz w:val="24"/>
          <w14:ligatures w14:val="none"/>
        </w:rPr>
        <w:t>Sponsors are expected to participate in an</w:t>
      </w:r>
      <w:r w:rsidR="000A1AB7">
        <w:rPr>
          <w:rFonts w:asciiTheme="minorHAnsi" w:hAnsiTheme="minorHAnsi" w:cstheme="minorBidi"/>
          <w:kern w:val="0"/>
          <w:sz w:val="24"/>
          <w14:ligatures w14:val="none"/>
        </w:rPr>
        <w:t>y</w:t>
      </w:r>
      <w:r>
        <w:rPr>
          <w:rFonts w:asciiTheme="minorHAnsi" w:hAnsiTheme="minorHAnsi" w:cstheme="minorBidi"/>
          <w:kern w:val="0"/>
          <w:sz w:val="24"/>
          <w14:ligatures w14:val="none"/>
        </w:rPr>
        <w:t xml:space="preserve"> review of broad listings for PD-(L)1 inhibitors.</w:t>
      </w:r>
    </w:p>
    <w:p w14:paraId="4D7EE19A" w14:textId="13288724" w:rsidR="00FB651D" w:rsidRPr="001D5FD9" w:rsidRDefault="00393940" w:rsidP="00393940">
      <w:pPr>
        <w:rPr>
          <w:rFonts w:asciiTheme="minorHAnsi" w:hAnsiTheme="minorHAnsi" w:cstheme="minorBidi"/>
          <w:b/>
          <w:bCs/>
          <w:kern w:val="0"/>
          <w:sz w:val="24"/>
          <w14:ligatures w14:val="none"/>
        </w:rPr>
      </w:pPr>
      <w:r w:rsidRPr="001D5FD9">
        <w:rPr>
          <w:rFonts w:asciiTheme="minorHAnsi" w:hAnsiTheme="minorHAnsi" w:cstheme="minorBidi"/>
          <w:b/>
          <w:bCs/>
          <w:kern w:val="0"/>
          <w:sz w:val="24"/>
          <w14:ligatures w14:val="none"/>
        </w:rPr>
        <w:t xml:space="preserve">Clinical </w:t>
      </w:r>
      <w:r w:rsidR="000B6F54" w:rsidRPr="001D5FD9">
        <w:rPr>
          <w:rFonts w:asciiTheme="minorHAnsi" w:hAnsiTheme="minorHAnsi" w:cstheme="minorBidi"/>
          <w:b/>
          <w:bCs/>
          <w:kern w:val="0"/>
          <w:sz w:val="24"/>
          <w14:ligatures w14:val="none"/>
        </w:rPr>
        <w:t>expectations</w:t>
      </w:r>
    </w:p>
    <w:p w14:paraId="211A9F33" w14:textId="0439E379" w:rsidR="0015233A" w:rsidRDefault="00CF7956" w:rsidP="0015233A">
      <w:pPr>
        <w:pStyle w:val="ListParagraph"/>
        <w:numPr>
          <w:ilvl w:val="0"/>
          <w:numId w:val="4"/>
        </w:numPr>
        <w:rPr>
          <w:rFonts w:asciiTheme="minorHAnsi" w:hAnsiTheme="minorHAnsi" w:cstheme="minorBidi"/>
          <w:kern w:val="0"/>
          <w:sz w:val="24"/>
          <w14:ligatures w14:val="none"/>
        </w:rPr>
      </w:pPr>
      <w:r w:rsidRPr="001D5FD9">
        <w:rPr>
          <w:rFonts w:asciiTheme="minorHAnsi" w:hAnsiTheme="minorHAnsi" w:cstheme="minorBidi"/>
          <w:kern w:val="0"/>
          <w:sz w:val="24"/>
          <w14:ligatures w14:val="none"/>
        </w:rPr>
        <w:t xml:space="preserve">The PBAC does not consider class effect assumptions are appropriate to support a broad listing submission. </w:t>
      </w:r>
      <w:r w:rsidR="00006EE4">
        <w:rPr>
          <w:rFonts w:asciiTheme="minorHAnsi" w:hAnsiTheme="minorHAnsi" w:cstheme="minorBidi"/>
          <w:kern w:val="0"/>
          <w:sz w:val="24"/>
          <w14:ligatures w14:val="none"/>
        </w:rPr>
        <w:t>E</w:t>
      </w:r>
      <w:r w:rsidRPr="001D5FD9">
        <w:rPr>
          <w:rFonts w:asciiTheme="minorHAnsi" w:hAnsiTheme="minorHAnsi" w:cstheme="minorBidi"/>
          <w:kern w:val="0"/>
          <w:sz w:val="24"/>
          <w14:ligatures w14:val="none"/>
        </w:rPr>
        <w:t>vidence that directly supports their product</w:t>
      </w:r>
      <w:r w:rsidR="00006EE4">
        <w:rPr>
          <w:rFonts w:asciiTheme="minorHAnsi" w:hAnsiTheme="minorHAnsi" w:cstheme="minorBidi"/>
          <w:kern w:val="0"/>
          <w:sz w:val="24"/>
          <w14:ligatures w14:val="none"/>
        </w:rPr>
        <w:t xml:space="preserve"> should have previously been </w:t>
      </w:r>
      <w:r w:rsidR="00511D38">
        <w:rPr>
          <w:rFonts w:asciiTheme="minorHAnsi" w:hAnsiTheme="minorHAnsi" w:cstheme="minorBidi"/>
          <w:kern w:val="0"/>
          <w:sz w:val="24"/>
          <w14:ligatures w14:val="none"/>
        </w:rPr>
        <w:t>considered by the PBAC</w:t>
      </w:r>
      <w:r w:rsidRPr="001D5FD9">
        <w:rPr>
          <w:rFonts w:asciiTheme="minorHAnsi" w:hAnsiTheme="minorHAnsi" w:cstheme="minorBidi"/>
          <w:kern w:val="0"/>
          <w:sz w:val="24"/>
          <w14:ligatures w14:val="none"/>
        </w:rPr>
        <w:t>.</w:t>
      </w:r>
    </w:p>
    <w:p w14:paraId="41B58B4D" w14:textId="0A480F7E" w:rsidR="0015233A" w:rsidRPr="0015233A" w:rsidRDefault="0015233A" w:rsidP="0015233A">
      <w:pPr>
        <w:pStyle w:val="ListParagraph"/>
        <w:numPr>
          <w:ilvl w:val="0"/>
          <w:numId w:val="4"/>
        </w:numPr>
        <w:rPr>
          <w:rFonts w:asciiTheme="minorHAnsi" w:hAnsiTheme="minorHAnsi" w:cstheme="minorBidi"/>
          <w:kern w:val="0"/>
          <w:sz w:val="24"/>
          <w14:ligatures w14:val="none"/>
        </w:rPr>
      </w:pPr>
      <w:r>
        <w:rPr>
          <w:rFonts w:asciiTheme="minorHAnsi" w:hAnsiTheme="minorHAnsi" w:cstheme="minorBidi"/>
          <w:kern w:val="0"/>
          <w:sz w:val="24"/>
          <w14:ligatures w14:val="none"/>
        </w:rPr>
        <w:t>Sponsors are expected to provide</w:t>
      </w:r>
      <w:r w:rsidRPr="0015233A">
        <w:rPr>
          <w:rFonts w:asciiTheme="minorHAnsi" w:hAnsiTheme="minorHAnsi" w:cstheme="minorBidi"/>
          <w:kern w:val="0"/>
          <w:sz w:val="24"/>
          <w14:ligatures w14:val="none"/>
        </w:rPr>
        <w:t xml:space="preserve"> information on all current and anticipated future Therapeutic Goods Administration (TGA) indications for the product in the advanced/metastatic setting. This includes indications that are already TGA registered (with or without PBS subsidy), as well as indications where TGA registration is expected or may be sought in future. </w:t>
      </w:r>
    </w:p>
    <w:p w14:paraId="69CF9492" w14:textId="68A11EEE" w:rsidR="005D699D" w:rsidRPr="006D3599" w:rsidRDefault="005848E5" w:rsidP="006D3599">
      <w:pPr>
        <w:pStyle w:val="ListParagraph"/>
        <w:numPr>
          <w:ilvl w:val="0"/>
          <w:numId w:val="4"/>
        </w:numPr>
        <w:rPr>
          <w:rFonts w:asciiTheme="minorHAnsi" w:hAnsiTheme="minorHAnsi" w:cstheme="minorBidi"/>
          <w:kern w:val="0"/>
          <w:sz w:val="24"/>
          <w14:ligatures w14:val="none"/>
        </w:rPr>
      </w:pPr>
      <w:r w:rsidRPr="001D5FD9">
        <w:rPr>
          <w:rFonts w:asciiTheme="minorHAnsi" w:hAnsiTheme="minorHAnsi" w:cstheme="minorBidi"/>
          <w:kern w:val="0"/>
          <w:sz w:val="24"/>
          <w14:ligatures w14:val="none"/>
        </w:rPr>
        <w:t xml:space="preserve">Sponsors should provide </w:t>
      </w:r>
      <w:r>
        <w:rPr>
          <w:rFonts w:asciiTheme="minorHAnsi" w:hAnsiTheme="minorHAnsi" w:cstheme="minorBidi"/>
          <w:kern w:val="0"/>
          <w:sz w:val="24"/>
          <w14:ligatures w14:val="none"/>
        </w:rPr>
        <w:t>a summarised list of</w:t>
      </w:r>
      <w:r w:rsidRPr="001D5FD9">
        <w:rPr>
          <w:rFonts w:asciiTheme="minorHAnsi" w:hAnsiTheme="minorHAnsi" w:cstheme="minorBidi"/>
          <w:kern w:val="0"/>
          <w:sz w:val="24"/>
          <w14:ligatures w14:val="none"/>
        </w:rPr>
        <w:t xml:space="preserve"> clinical </w:t>
      </w:r>
      <w:r>
        <w:rPr>
          <w:rFonts w:asciiTheme="minorHAnsi" w:hAnsiTheme="minorHAnsi" w:cstheme="minorBidi"/>
          <w:kern w:val="0"/>
          <w:sz w:val="24"/>
          <w14:ligatures w14:val="none"/>
        </w:rPr>
        <w:t xml:space="preserve">trials </w:t>
      </w:r>
      <w:r w:rsidRPr="001D5FD9">
        <w:rPr>
          <w:rFonts w:asciiTheme="minorHAnsi" w:hAnsiTheme="minorHAnsi" w:cstheme="minorBidi"/>
          <w:kern w:val="0"/>
          <w:sz w:val="24"/>
          <w14:ligatures w14:val="none"/>
        </w:rPr>
        <w:t xml:space="preserve">demonstrating use in a broad setting. This should include positive studies, negative studies, and aborted trials. </w:t>
      </w:r>
      <w:r w:rsidR="005D699D" w:rsidRPr="006D3599">
        <w:rPr>
          <w:rFonts w:asciiTheme="minorHAnsi" w:hAnsiTheme="minorHAnsi" w:cstheme="minorBidi"/>
          <w:kern w:val="0"/>
          <w:sz w:val="24"/>
          <w14:ligatures w14:val="none"/>
        </w:rPr>
        <w:t xml:space="preserve">It is not expected that the individual clinical trial data </w:t>
      </w:r>
      <w:r w:rsidR="0019520D" w:rsidRPr="006D3599">
        <w:rPr>
          <w:rFonts w:asciiTheme="minorHAnsi" w:hAnsiTheme="minorHAnsi" w:cstheme="minorBidi"/>
          <w:kern w:val="0"/>
          <w:sz w:val="24"/>
          <w14:ligatures w14:val="none"/>
        </w:rPr>
        <w:t>is</w:t>
      </w:r>
      <w:r w:rsidR="005D699D" w:rsidRPr="006D3599">
        <w:rPr>
          <w:rFonts w:asciiTheme="minorHAnsi" w:hAnsiTheme="minorHAnsi" w:cstheme="minorBidi"/>
          <w:kern w:val="0"/>
          <w:sz w:val="24"/>
          <w14:ligatures w14:val="none"/>
        </w:rPr>
        <w:t xml:space="preserve"> provided for broad listing submissions.</w:t>
      </w:r>
    </w:p>
    <w:p w14:paraId="678CCD61" w14:textId="75BC1190" w:rsidR="00E157BA" w:rsidRDefault="003F302A" w:rsidP="008B3C08">
      <w:pPr>
        <w:pStyle w:val="ListParagraph"/>
        <w:numPr>
          <w:ilvl w:val="0"/>
          <w:numId w:val="4"/>
        </w:numPr>
        <w:rPr>
          <w:rFonts w:asciiTheme="minorHAnsi" w:hAnsiTheme="minorHAnsi" w:cstheme="minorBidi"/>
          <w:kern w:val="0"/>
          <w:sz w:val="24"/>
          <w14:ligatures w14:val="none"/>
        </w:rPr>
      </w:pPr>
      <w:r w:rsidRPr="001D5FD9">
        <w:rPr>
          <w:rFonts w:asciiTheme="minorHAnsi" w:hAnsiTheme="minorHAnsi" w:cstheme="minorBidi"/>
          <w:kern w:val="0"/>
          <w:sz w:val="24"/>
          <w14:ligatures w14:val="none"/>
        </w:rPr>
        <w:t xml:space="preserve">Sponsors may use </w:t>
      </w:r>
      <w:r w:rsidRPr="001D5FD9">
        <w:rPr>
          <w:rFonts w:asciiTheme="minorHAnsi" w:hAnsiTheme="minorHAnsi" w:cstheme="minorBidi"/>
          <w:i/>
          <w:iCs/>
          <w:kern w:val="0"/>
          <w:sz w:val="24"/>
          <w14:ligatures w14:val="none"/>
        </w:rPr>
        <w:fldChar w:fldCharType="begin"/>
      </w:r>
      <w:r w:rsidRPr="001D5FD9">
        <w:rPr>
          <w:rFonts w:asciiTheme="minorHAnsi" w:hAnsiTheme="minorHAnsi" w:cstheme="minorBidi"/>
          <w:i/>
          <w:iCs/>
          <w:kern w:val="0"/>
          <w:sz w:val="24"/>
          <w14:ligatures w14:val="none"/>
        </w:rPr>
        <w:instrText xml:space="preserve"> REF _Ref230857035 \h  \* MERGEFORMAT </w:instrText>
      </w:r>
      <w:r w:rsidRPr="001D5FD9">
        <w:rPr>
          <w:rFonts w:asciiTheme="minorHAnsi" w:hAnsiTheme="minorHAnsi" w:cstheme="minorBidi"/>
          <w:i/>
          <w:iCs/>
          <w:kern w:val="0"/>
          <w:sz w:val="24"/>
          <w14:ligatures w14:val="none"/>
        </w:rPr>
      </w:r>
      <w:r w:rsidRPr="001D5FD9">
        <w:rPr>
          <w:rFonts w:asciiTheme="minorHAnsi" w:hAnsiTheme="minorHAnsi" w:cstheme="minorBidi"/>
          <w:i/>
          <w:iCs/>
          <w:kern w:val="0"/>
          <w:sz w:val="24"/>
          <w14:ligatures w14:val="none"/>
        </w:rPr>
        <w:fldChar w:fldCharType="separate"/>
      </w:r>
      <w:r w:rsidR="00053229" w:rsidRPr="00053229">
        <w:rPr>
          <w:rFonts w:asciiTheme="minorHAnsi" w:eastAsiaTheme="minorEastAsia" w:hAnsiTheme="minorHAnsi" w:cstheme="minorBidi"/>
          <w:i/>
          <w:iCs/>
          <w:kern w:val="0"/>
          <w:sz w:val="24"/>
          <w14:ligatures w14:val="none"/>
        </w:rPr>
        <w:t>Table 2: Summarised clinical evidence</w:t>
      </w:r>
      <w:r w:rsidRPr="001D5FD9">
        <w:rPr>
          <w:rFonts w:asciiTheme="minorHAnsi" w:hAnsiTheme="minorHAnsi" w:cstheme="minorBidi"/>
          <w:i/>
          <w:iCs/>
          <w:kern w:val="0"/>
          <w:sz w:val="24"/>
          <w14:ligatures w14:val="none"/>
        </w:rPr>
        <w:fldChar w:fldCharType="end"/>
      </w:r>
      <w:r w:rsidRPr="001D5FD9">
        <w:rPr>
          <w:rFonts w:asciiTheme="minorHAnsi" w:hAnsiTheme="minorHAnsi" w:cstheme="minorBidi"/>
          <w:i/>
          <w:iCs/>
          <w:kern w:val="0"/>
          <w:sz w:val="24"/>
          <w14:ligatures w14:val="none"/>
        </w:rPr>
        <w:t xml:space="preserve"> </w:t>
      </w:r>
      <w:r w:rsidRPr="001D5FD9">
        <w:rPr>
          <w:rFonts w:asciiTheme="minorHAnsi" w:hAnsiTheme="minorHAnsi" w:cstheme="minorBidi"/>
          <w:kern w:val="0"/>
          <w:sz w:val="24"/>
          <w14:ligatures w14:val="none"/>
        </w:rPr>
        <w:t xml:space="preserve">to present this information. </w:t>
      </w:r>
    </w:p>
    <w:p w14:paraId="0FFC20EF" w14:textId="6AB72045" w:rsidR="000B6F54" w:rsidRPr="001D5FD9" w:rsidRDefault="00A13315" w:rsidP="04D92CDD">
      <w:pPr>
        <w:rPr>
          <w:rFonts w:asciiTheme="minorHAnsi" w:hAnsiTheme="minorHAnsi" w:cstheme="minorBidi"/>
          <w:b/>
          <w:bCs/>
          <w:kern w:val="0"/>
          <w:sz w:val="24"/>
          <w14:ligatures w14:val="none"/>
        </w:rPr>
      </w:pPr>
      <w:r w:rsidRPr="001D5FD9">
        <w:rPr>
          <w:rFonts w:asciiTheme="minorHAnsi" w:hAnsiTheme="minorHAnsi" w:cstheme="minorBidi"/>
          <w:b/>
          <w:bCs/>
          <w:kern w:val="0"/>
          <w:sz w:val="24"/>
          <w14:ligatures w14:val="none"/>
        </w:rPr>
        <w:t>Economic and f</w:t>
      </w:r>
      <w:r w:rsidR="002F3C7C" w:rsidRPr="001D5FD9">
        <w:rPr>
          <w:rFonts w:asciiTheme="minorHAnsi" w:hAnsiTheme="minorHAnsi" w:cstheme="minorBidi"/>
          <w:b/>
          <w:bCs/>
          <w:kern w:val="0"/>
          <w:sz w:val="24"/>
          <w14:ligatures w14:val="none"/>
        </w:rPr>
        <w:t>inancial expectation</w:t>
      </w:r>
      <w:r w:rsidR="000B6F54" w:rsidRPr="001D5FD9">
        <w:rPr>
          <w:rFonts w:asciiTheme="minorHAnsi" w:hAnsiTheme="minorHAnsi" w:cstheme="minorBidi"/>
          <w:b/>
          <w:bCs/>
          <w:kern w:val="0"/>
          <w:sz w:val="24"/>
          <w14:ligatures w14:val="none"/>
        </w:rPr>
        <w:t>s</w:t>
      </w:r>
    </w:p>
    <w:p w14:paraId="7D11E821" w14:textId="7FE4229D" w:rsidR="0008411A" w:rsidRPr="001D5FD9" w:rsidRDefault="0008411A" w:rsidP="00711849">
      <w:pPr>
        <w:pStyle w:val="ListParagraph"/>
        <w:widowControl w:val="0"/>
        <w:numPr>
          <w:ilvl w:val="0"/>
          <w:numId w:val="4"/>
        </w:numPr>
        <w:ind w:left="357" w:hanging="357"/>
        <w:rPr>
          <w:sz w:val="24"/>
        </w:rPr>
      </w:pPr>
      <w:r w:rsidRPr="001D5FD9">
        <w:rPr>
          <w:rFonts w:asciiTheme="minorHAnsi" w:hAnsiTheme="minorHAnsi" w:cstheme="minorBidi"/>
          <w:kern w:val="0"/>
          <w:sz w:val="24"/>
          <w14:ligatures w14:val="none"/>
        </w:rPr>
        <w:t xml:space="preserve">Sponsors should anticipate that a weighted price </w:t>
      </w:r>
      <w:r w:rsidR="00A10C8D">
        <w:rPr>
          <w:rFonts w:asciiTheme="minorHAnsi" w:hAnsiTheme="minorHAnsi" w:cstheme="minorBidi"/>
          <w:kern w:val="0"/>
          <w:sz w:val="24"/>
          <w14:ligatures w14:val="none"/>
        </w:rPr>
        <w:t>will be required</w:t>
      </w:r>
      <w:r w:rsidR="00CD5314">
        <w:rPr>
          <w:rFonts w:asciiTheme="minorHAnsi" w:hAnsiTheme="minorHAnsi" w:cstheme="minorBidi"/>
          <w:kern w:val="0"/>
          <w:sz w:val="24"/>
          <w14:ligatures w14:val="none"/>
        </w:rPr>
        <w:t xml:space="preserve"> to give effect to a broad listing</w:t>
      </w:r>
      <w:r w:rsidRPr="001D5FD9">
        <w:rPr>
          <w:rFonts w:asciiTheme="minorHAnsi" w:hAnsiTheme="minorHAnsi" w:cstheme="minorBidi"/>
          <w:kern w:val="0"/>
          <w:sz w:val="24"/>
          <w14:ligatures w14:val="none"/>
        </w:rPr>
        <w:t xml:space="preserve">. </w:t>
      </w:r>
    </w:p>
    <w:p w14:paraId="69D5C35E" w14:textId="627611D1" w:rsidR="00B8166D" w:rsidRPr="001D5FD9" w:rsidRDefault="00B8166D" w:rsidP="00711849">
      <w:pPr>
        <w:pStyle w:val="ListParagraph"/>
        <w:widowControl w:val="0"/>
        <w:numPr>
          <w:ilvl w:val="0"/>
          <w:numId w:val="4"/>
        </w:numPr>
        <w:ind w:left="357" w:hanging="357"/>
        <w:rPr>
          <w:rFonts w:asciiTheme="minorHAnsi" w:hAnsiTheme="minorHAnsi" w:cstheme="minorBidi"/>
          <w:kern w:val="0"/>
          <w:sz w:val="24"/>
          <w14:ligatures w14:val="none"/>
        </w:rPr>
      </w:pPr>
      <w:r w:rsidRPr="001D5FD9">
        <w:rPr>
          <w:rFonts w:asciiTheme="minorHAnsi" w:hAnsiTheme="minorHAnsi" w:cstheme="minorBidi"/>
          <w:kern w:val="0"/>
          <w:sz w:val="24"/>
          <w14:ligatures w14:val="none"/>
        </w:rPr>
        <w:t xml:space="preserve">Sponsors should not expect a pricing advantage above </w:t>
      </w:r>
      <w:r w:rsidR="002F0494">
        <w:rPr>
          <w:rFonts w:asciiTheme="minorHAnsi" w:hAnsiTheme="minorHAnsi" w:cstheme="minorBidi"/>
          <w:kern w:val="0"/>
          <w:sz w:val="24"/>
          <w14:ligatures w14:val="none"/>
        </w:rPr>
        <w:t>those</w:t>
      </w:r>
      <w:r w:rsidRPr="001D5FD9">
        <w:rPr>
          <w:rFonts w:asciiTheme="minorHAnsi" w:hAnsiTheme="minorHAnsi" w:cstheme="minorBidi"/>
          <w:kern w:val="0"/>
          <w:sz w:val="24"/>
          <w14:ligatures w14:val="none"/>
        </w:rPr>
        <w:t xml:space="preserve"> prices established for </w:t>
      </w:r>
      <w:r w:rsidR="002111EF">
        <w:rPr>
          <w:rFonts w:asciiTheme="minorHAnsi" w:hAnsiTheme="minorHAnsi" w:cstheme="minorBidi"/>
          <w:kern w:val="0"/>
          <w:sz w:val="24"/>
          <w14:ligatures w14:val="none"/>
        </w:rPr>
        <w:t>existing medicines with a broad listing</w:t>
      </w:r>
      <w:r w:rsidRPr="001D5FD9">
        <w:rPr>
          <w:rFonts w:asciiTheme="minorHAnsi" w:hAnsiTheme="minorHAnsi" w:cstheme="minorBidi"/>
          <w:kern w:val="0"/>
          <w:sz w:val="24"/>
          <w14:ligatures w14:val="none"/>
        </w:rPr>
        <w:t>.</w:t>
      </w:r>
    </w:p>
    <w:p w14:paraId="4FF5CD74" w14:textId="5A2CAB38" w:rsidR="003E20E7" w:rsidRPr="001D5FD9" w:rsidRDefault="00633F37" w:rsidP="00E35622">
      <w:pPr>
        <w:pStyle w:val="ListParagraph"/>
        <w:numPr>
          <w:ilvl w:val="0"/>
          <w:numId w:val="4"/>
        </w:numPr>
        <w:rPr>
          <w:rFonts w:asciiTheme="minorHAnsi" w:hAnsiTheme="minorHAnsi" w:cstheme="minorBidi"/>
          <w:kern w:val="0"/>
          <w:sz w:val="24"/>
          <w14:ligatures w14:val="none"/>
        </w:rPr>
      </w:pPr>
      <w:r>
        <w:rPr>
          <w:rFonts w:asciiTheme="minorHAnsi" w:hAnsiTheme="minorHAnsi" w:cstheme="minorBidi"/>
          <w:sz w:val="24"/>
        </w:rPr>
        <w:t>B</w:t>
      </w:r>
      <w:r w:rsidR="00832AAD">
        <w:rPr>
          <w:rFonts w:asciiTheme="minorHAnsi" w:hAnsiTheme="minorHAnsi" w:cstheme="minorBidi"/>
          <w:sz w:val="24"/>
        </w:rPr>
        <w:t>road listing</w:t>
      </w:r>
      <w:r w:rsidR="00832AAD" w:rsidRPr="00832AAD">
        <w:rPr>
          <w:rFonts w:asciiTheme="minorHAnsi" w:hAnsiTheme="minorHAnsi" w:cstheme="minorBidi"/>
          <w:sz w:val="24"/>
        </w:rPr>
        <w:t xml:space="preserve"> utilisation estimates </w:t>
      </w:r>
      <w:r>
        <w:rPr>
          <w:rFonts w:asciiTheme="minorHAnsi" w:hAnsiTheme="minorHAnsi" w:cstheme="minorBidi"/>
          <w:sz w:val="24"/>
        </w:rPr>
        <w:t xml:space="preserve">should </w:t>
      </w:r>
      <w:r w:rsidR="00832AAD">
        <w:rPr>
          <w:rFonts w:asciiTheme="minorHAnsi" w:hAnsiTheme="minorHAnsi" w:cstheme="minorBidi"/>
          <w:sz w:val="24"/>
        </w:rPr>
        <w:t>comprise</w:t>
      </w:r>
      <w:r w:rsidR="00832AAD" w:rsidRPr="00832AAD">
        <w:rPr>
          <w:rFonts w:asciiTheme="minorHAnsi" w:hAnsiTheme="minorHAnsi" w:cstheme="minorBidi"/>
          <w:sz w:val="24"/>
        </w:rPr>
        <w:t xml:space="preserve"> two components: utilisation under the existing PBS-listed market and utilisation associated with future indications. </w:t>
      </w:r>
    </w:p>
    <w:p w14:paraId="2476A05F" w14:textId="0AD17C01" w:rsidR="00CF7956" w:rsidRPr="001D5FD9" w:rsidRDefault="00CF7956" w:rsidP="00E35622">
      <w:pPr>
        <w:pStyle w:val="ListParagraph"/>
        <w:numPr>
          <w:ilvl w:val="0"/>
          <w:numId w:val="4"/>
        </w:numPr>
        <w:rPr>
          <w:rFonts w:asciiTheme="minorHAnsi" w:hAnsiTheme="minorHAnsi" w:cstheme="minorBidi"/>
          <w:kern w:val="0"/>
          <w:sz w:val="24"/>
          <w14:ligatures w14:val="none"/>
        </w:rPr>
      </w:pPr>
      <w:r w:rsidRPr="001D5FD9">
        <w:rPr>
          <w:rFonts w:asciiTheme="minorHAnsi" w:hAnsiTheme="minorHAnsi" w:cstheme="minorBidi"/>
          <w:kern w:val="0"/>
          <w:sz w:val="24"/>
          <w14:ligatures w14:val="none"/>
        </w:rPr>
        <w:t xml:space="preserve">Sponsors are encouraged to consider the risk-sharing arrangements (RSA) </w:t>
      </w:r>
      <w:r w:rsidR="00D858D0">
        <w:rPr>
          <w:rFonts w:asciiTheme="minorHAnsi" w:hAnsiTheme="minorHAnsi" w:cstheme="minorBidi"/>
          <w:kern w:val="0"/>
          <w:sz w:val="24"/>
          <w14:ligatures w14:val="none"/>
        </w:rPr>
        <w:t>considered by the PBAC</w:t>
      </w:r>
      <w:r w:rsidR="00D858D0" w:rsidRPr="001D5FD9">
        <w:rPr>
          <w:rFonts w:asciiTheme="minorHAnsi" w:hAnsiTheme="minorHAnsi" w:cstheme="minorBidi"/>
          <w:kern w:val="0"/>
          <w:sz w:val="24"/>
          <w14:ligatures w14:val="none"/>
        </w:rPr>
        <w:t xml:space="preserve"> </w:t>
      </w:r>
      <w:r w:rsidRPr="001D5FD9">
        <w:rPr>
          <w:rFonts w:asciiTheme="minorHAnsi" w:hAnsiTheme="minorHAnsi" w:cstheme="minorBidi"/>
          <w:kern w:val="0"/>
          <w:sz w:val="24"/>
          <w14:ligatures w14:val="none"/>
        </w:rPr>
        <w:t>in the PSD for nivolumab and ipilimumab</w:t>
      </w:r>
      <w:r w:rsidRPr="001D5FD9">
        <w:rPr>
          <w:sz w:val="24"/>
          <w:vertAlign w:val="superscript"/>
        </w:rPr>
        <w:footnoteReference w:id="6"/>
      </w:r>
      <w:r w:rsidR="00D24516">
        <w:rPr>
          <w:rFonts w:asciiTheme="minorHAnsi" w:hAnsiTheme="minorHAnsi" w:cstheme="minorBidi"/>
          <w:kern w:val="0"/>
          <w:sz w:val="24"/>
          <w14:ligatures w14:val="none"/>
        </w:rPr>
        <w:t>.</w:t>
      </w:r>
    </w:p>
    <w:p w14:paraId="6BF3A418" w14:textId="1442C1E2" w:rsidR="002D0B8C" w:rsidRPr="001D5FD9" w:rsidRDefault="00633F37" w:rsidP="00CF7956">
      <w:pPr>
        <w:pStyle w:val="ListParagraph"/>
        <w:numPr>
          <w:ilvl w:val="0"/>
          <w:numId w:val="4"/>
        </w:numPr>
        <w:rPr>
          <w:sz w:val="24"/>
        </w:rPr>
      </w:pPr>
      <w:r>
        <w:rPr>
          <w:rFonts w:asciiTheme="minorHAnsi" w:hAnsiTheme="minorHAnsi" w:cstheme="minorBidi"/>
          <w:kern w:val="0"/>
          <w:sz w:val="24"/>
          <w14:ligatures w14:val="none"/>
        </w:rPr>
        <w:t>M</w:t>
      </w:r>
      <w:r w:rsidR="00E35622" w:rsidRPr="001D5FD9">
        <w:rPr>
          <w:rFonts w:asciiTheme="minorHAnsi" w:hAnsiTheme="minorHAnsi" w:cstheme="minorBidi"/>
          <w:kern w:val="0"/>
          <w:sz w:val="24"/>
          <w14:ligatures w14:val="none"/>
        </w:rPr>
        <w:t xml:space="preserve">edicines </w:t>
      </w:r>
      <w:r w:rsidR="00087FE0">
        <w:rPr>
          <w:rFonts w:asciiTheme="minorHAnsi" w:hAnsiTheme="minorHAnsi" w:cstheme="minorBidi"/>
          <w:kern w:val="0"/>
          <w:sz w:val="24"/>
          <w14:ligatures w14:val="none"/>
        </w:rPr>
        <w:t>seeking broad listing should</w:t>
      </w:r>
      <w:r w:rsidR="00CF7956" w:rsidRPr="001D5FD9">
        <w:rPr>
          <w:rFonts w:asciiTheme="minorHAnsi" w:hAnsiTheme="minorHAnsi" w:cstheme="minorBidi"/>
          <w:kern w:val="0"/>
          <w:sz w:val="24"/>
          <w14:ligatures w14:val="none"/>
        </w:rPr>
        <w:t xml:space="preserve"> be added to the existing RSA for advanced and metastatic cancers and </w:t>
      </w:r>
      <w:r w:rsidR="002A5CE8">
        <w:rPr>
          <w:rFonts w:asciiTheme="minorHAnsi" w:hAnsiTheme="minorHAnsi" w:cstheme="minorBidi"/>
          <w:kern w:val="0"/>
          <w:sz w:val="24"/>
          <w14:ligatures w14:val="none"/>
        </w:rPr>
        <w:t xml:space="preserve">be </w:t>
      </w:r>
      <w:r w:rsidR="00CF7956" w:rsidRPr="001D5FD9">
        <w:rPr>
          <w:rFonts w:asciiTheme="minorHAnsi" w:hAnsiTheme="minorHAnsi" w:cstheme="minorBidi"/>
          <w:kern w:val="0"/>
          <w:sz w:val="24"/>
          <w14:ligatures w14:val="none"/>
        </w:rPr>
        <w:t xml:space="preserve">subject to the same pricing structure. </w:t>
      </w:r>
    </w:p>
    <w:p w14:paraId="790C3496" w14:textId="41974C44" w:rsidR="00E22462" w:rsidRDefault="003B3D19" w:rsidP="007B1F24">
      <w:pPr>
        <w:pStyle w:val="ListParagraph"/>
        <w:widowControl w:val="0"/>
        <w:numPr>
          <w:ilvl w:val="0"/>
          <w:numId w:val="4"/>
        </w:numPr>
        <w:ind w:left="357" w:hanging="357"/>
        <w:rPr>
          <w:rFonts w:asciiTheme="minorHAnsi" w:hAnsiTheme="minorHAnsi" w:cstheme="minorBidi"/>
          <w:kern w:val="0"/>
          <w:sz w:val="24"/>
          <w14:ligatures w14:val="none"/>
        </w:rPr>
      </w:pPr>
      <w:r>
        <w:rPr>
          <w:rFonts w:asciiTheme="minorHAnsi" w:hAnsiTheme="minorHAnsi" w:cstheme="minorBidi"/>
          <w:kern w:val="0"/>
          <w:sz w:val="24"/>
          <w14:ligatures w14:val="none"/>
        </w:rPr>
        <w:t xml:space="preserve">Following </w:t>
      </w:r>
      <w:r w:rsidR="00343919">
        <w:rPr>
          <w:rFonts w:asciiTheme="minorHAnsi" w:hAnsiTheme="minorHAnsi" w:cstheme="minorBidi"/>
          <w:kern w:val="0"/>
          <w:sz w:val="24"/>
          <w14:ligatures w14:val="none"/>
        </w:rPr>
        <w:t>receipt</w:t>
      </w:r>
      <w:r>
        <w:rPr>
          <w:rFonts w:asciiTheme="minorHAnsi" w:hAnsiTheme="minorHAnsi" w:cstheme="minorBidi"/>
          <w:kern w:val="0"/>
          <w:sz w:val="24"/>
          <w14:ligatures w14:val="none"/>
        </w:rPr>
        <w:t xml:space="preserve"> of the </w:t>
      </w:r>
      <w:r w:rsidR="00315ADD">
        <w:rPr>
          <w:rFonts w:asciiTheme="minorHAnsi" w:hAnsiTheme="minorHAnsi" w:cstheme="minorBidi"/>
          <w:kern w:val="0"/>
          <w:sz w:val="24"/>
          <w14:ligatures w14:val="none"/>
        </w:rPr>
        <w:t>table of clinical evidence</w:t>
      </w:r>
      <w:r w:rsidR="00343919">
        <w:rPr>
          <w:rFonts w:asciiTheme="minorHAnsi" w:hAnsiTheme="minorHAnsi" w:cstheme="minorBidi"/>
          <w:kern w:val="0"/>
          <w:sz w:val="24"/>
          <w14:ligatures w14:val="none"/>
        </w:rPr>
        <w:t xml:space="preserve"> and u</w:t>
      </w:r>
      <w:r>
        <w:rPr>
          <w:rFonts w:asciiTheme="minorHAnsi" w:hAnsiTheme="minorHAnsi" w:cstheme="minorBidi"/>
          <w:kern w:val="0"/>
          <w:sz w:val="24"/>
          <w14:ligatures w14:val="none"/>
        </w:rPr>
        <w:t>pon agreement fr</w:t>
      </w:r>
      <w:r w:rsidR="00343919">
        <w:rPr>
          <w:rFonts w:asciiTheme="minorHAnsi" w:hAnsiTheme="minorHAnsi" w:cstheme="minorBidi"/>
          <w:kern w:val="0"/>
          <w:sz w:val="24"/>
          <w14:ligatures w14:val="none"/>
        </w:rPr>
        <w:t>o</w:t>
      </w:r>
      <w:r>
        <w:rPr>
          <w:rFonts w:asciiTheme="minorHAnsi" w:hAnsiTheme="minorHAnsi" w:cstheme="minorBidi"/>
          <w:kern w:val="0"/>
          <w:sz w:val="24"/>
          <w14:ligatures w14:val="none"/>
        </w:rPr>
        <w:t xml:space="preserve">m PBAC that the drug is suitable for </w:t>
      </w:r>
      <w:r w:rsidR="00343919">
        <w:rPr>
          <w:rFonts w:asciiTheme="minorHAnsi" w:hAnsiTheme="minorHAnsi" w:cstheme="minorBidi"/>
          <w:kern w:val="0"/>
          <w:sz w:val="24"/>
          <w14:ligatures w14:val="none"/>
        </w:rPr>
        <w:t>consideration for a broad listing, s</w:t>
      </w:r>
      <w:r w:rsidR="00F35973" w:rsidRPr="001D5FD9">
        <w:rPr>
          <w:rFonts w:asciiTheme="minorHAnsi" w:hAnsiTheme="minorHAnsi" w:cstheme="minorBidi"/>
          <w:kern w:val="0"/>
          <w:sz w:val="24"/>
          <w14:ligatures w14:val="none"/>
        </w:rPr>
        <w:t xml:space="preserve">ponsors </w:t>
      </w:r>
      <w:r w:rsidR="0034019D">
        <w:rPr>
          <w:rFonts w:asciiTheme="minorHAnsi" w:hAnsiTheme="minorHAnsi" w:cstheme="minorBidi"/>
          <w:kern w:val="0"/>
          <w:sz w:val="24"/>
          <w14:ligatures w14:val="none"/>
        </w:rPr>
        <w:t>are encouraged to</w:t>
      </w:r>
      <w:r w:rsidR="000721FD">
        <w:rPr>
          <w:rFonts w:asciiTheme="minorHAnsi" w:hAnsiTheme="minorHAnsi" w:cstheme="minorBidi"/>
          <w:kern w:val="0"/>
          <w:sz w:val="24"/>
          <w14:ligatures w14:val="none"/>
        </w:rPr>
        <w:t xml:space="preserve"> </w:t>
      </w:r>
      <w:r w:rsidR="002462D1">
        <w:rPr>
          <w:rFonts w:asciiTheme="minorHAnsi" w:hAnsiTheme="minorHAnsi" w:cstheme="minorBidi"/>
          <w:kern w:val="0"/>
          <w:sz w:val="24"/>
          <w14:ligatures w14:val="none"/>
        </w:rPr>
        <w:t>use the following checklist when</w:t>
      </w:r>
      <w:r w:rsidR="008C585B">
        <w:rPr>
          <w:rFonts w:asciiTheme="minorHAnsi" w:hAnsiTheme="minorHAnsi" w:cstheme="minorBidi"/>
          <w:kern w:val="0"/>
          <w:sz w:val="24"/>
          <w14:ligatures w14:val="none"/>
        </w:rPr>
        <w:t xml:space="preserve"> </w:t>
      </w:r>
      <w:r w:rsidR="0035343A">
        <w:rPr>
          <w:rFonts w:asciiTheme="minorHAnsi" w:hAnsiTheme="minorHAnsi" w:cstheme="minorBidi"/>
          <w:kern w:val="0"/>
          <w:sz w:val="24"/>
          <w14:ligatures w14:val="none"/>
        </w:rPr>
        <w:t>generating a</w:t>
      </w:r>
      <w:r w:rsidR="00427536">
        <w:rPr>
          <w:rFonts w:asciiTheme="minorHAnsi" w:hAnsiTheme="minorHAnsi" w:cstheme="minorBidi"/>
          <w:kern w:val="0"/>
          <w:sz w:val="24"/>
          <w14:ligatures w14:val="none"/>
        </w:rPr>
        <w:t xml:space="preserve"> </w:t>
      </w:r>
      <w:r w:rsidR="00E22462">
        <w:rPr>
          <w:rFonts w:asciiTheme="minorHAnsi" w:hAnsiTheme="minorHAnsi" w:cstheme="minorBidi"/>
          <w:kern w:val="0"/>
          <w:sz w:val="24"/>
          <w14:ligatures w14:val="none"/>
        </w:rPr>
        <w:t xml:space="preserve">formal </w:t>
      </w:r>
      <w:r w:rsidR="00427536">
        <w:rPr>
          <w:rFonts w:asciiTheme="minorHAnsi" w:hAnsiTheme="minorHAnsi" w:cstheme="minorBidi"/>
          <w:kern w:val="0"/>
          <w:sz w:val="24"/>
          <w14:ligatures w14:val="none"/>
        </w:rPr>
        <w:t>submission</w:t>
      </w:r>
      <w:r w:rsidR="00343919">
        <w:rPr>
          <w:rFonts w:asciiTheme="minorHAnsi" w:hAnsiTheme="minorHAnsi" w:cstheme="minorBidi"/>
          <w:kern w:val="0"/>
          <w:sz w:val="24"/>
          <w14:ligatures w14:val="none"/>
        </w:rPr>
        <w:t xml:space="preserve"> </w:t>
      </w:r>
      <w:r w:rsidR="00940761">
        <w:rPr>
          <w:rFonts w:asciiTheme="minorHAnsi" w:hAnsiTheme="minorHAnsi" w:cstheme="minorBidi"/>
          <w:kern w:val="0"/>
          <w:sz w:val="24"/>
          <w14:ligatures w14:val="none"/>
        </w:rPr>
        <w:t>for</w:t>
      </w:r>
      <w:r w:rsidR="00215072">
        <w:rPr>
          <w:rFonts w:asciiTheme="minorHAnsi" w:hAnsiTheme="minorHAnsi" w:cstheme="minorBidi"/>
          <w:kern w:val="0"/>
          <w:sz w:val="24"/>
          <w14:ligatures w14:val="none"/>
        </w:rPr>
        <w:t xml:space="preserve"> </w:t>
      </w:r>
      <w:r w:rsidR="00940761">
        <w:rPr>
          <w:rFonts w:asciiTheme="minorHAnsi" w:hAnsiTheme="minorHAnsi" w:cstheme="minorBidi"/>
          <w:kern w:val="0"/>
          <w:sz w:val="24"/>
          <w14:ligatures w14:val="none"/>
        </w:rPr>
        <w:t xml:space="preserve">PBAC </w:t>
      </w:r>
      <w:r w:rsidR="00956BB4">
        <w:rPr>
          <w:rFonts w:asciiTheme="minorHAnsi" w:hAnsiTheme="minorHAnsi" w:cstheme="minorBidi"/>
          <w:kern w:val="0"/>
          <w:sz w:val="24"/>
          <w14:ligatures w14:val="none"/>
        </w:rPr>
        <w:t xml:space="preserve">consideration of the </w:t>
      </w:r>
      <w:r w:rsidR="00215072">
        <w:rPr>
          <w:rFonts w:asciiTheme="minorHAnsi" w:hAnsiTheme="minorHAnsi" w:cstheme="minorBidi"/>
          <w:kern w:val="0"/>
          <w:sz w:val="24"/>
          <w14:ligatures w14:val="none"/>
        </w:rPr>
        <w:t xml:space="preserve">economic and financial </w:t>
      </w:r>
      <w:r w:rsidR="00956BB4">
        <w:rPr>
          <w:rFonts w:asciiTheme="minorHAnsi" w:hAnsiTheme="minorHAnsi" w:cstheme="minorBidi"/>
          <w:kern w:val="0"/>
          <w:sz w:val="24"/>
          <w14:ligatures w14:val="none"/>
        </w:rPr>
        <w:t>implications</w:t>
      </w:r>
      <w:r w:rsidR="00A0352F">
        <w:rPr>
          <w:rFonts w:asciiTheme="minorHAnsi" w:hAnsiTheme="minorHAnsi" w:cstheme="minorBidi"/>
          <w:kern w:val="0"/>
          <w:sz w:val="24"/>
          <w14:ligatures w14:val="none"/>
        </w:rPr>
        <w:t>.</w:t>
      </w:r>
      <w:r w:rsidR="00E22462">
        <w:rPr>
          <w:rFonts w:asciiTheme="minorHAnsi" w:hAnsiTheme="minorHAnsi" w:cstheme="minorBidi"/>
          <w:kern w:val="0"/>
          <w:sz w:val="24"/>
          <w14:ligatures w14:val="none"/>
        </w:rPr>
        <w:t xml:space="preserve"> </w:t>
      </w:r>
    </w:p>
    <w:p w14:paraId="7A6C9B0E" w14:textId="3360BC39" w:rsidR="00053C6E" w:rsidRPr="00053C6E" w:rsidRDefault="00E22462" w:rsidP="00053C6E">
      <w:pPr>
        <w:pStyle w:val="ListParagraph"/>
        <w:widowControl w:val="0"/>
        <w:numPr>
          <w:ilvl w:val="0"/>
          <w:numId w:val="4"/>
        </w:numPr>
        <w:tabs>
          <w:tab w:val="left" w:pos="9214"/>
        </w:tabs>
        <w:ind w:left="357" w:hanging="357"/>
        <w:rPr>
          <w:rFonts w:asciiTheme="minorHAnsi" w:hAnsiTheme="minorHAnsi" w:cstheme="minorBidi"/>
          <w:kern w:val="0"/>
          <w:sz w:val="24"/>
          <w14:ligatures w14:val="none"/>
        </w:rPr>
      </w:pPr>
      <w:r>
        <w:rPr>
          <w:rFonts w:asciiTheme="minorHAnsi" w:hAnsiTheme="minorHAnsi" w:cstheme="minorBidi"/>
          <w:kern w:val="0"/>
          <w:sz w:val="24"/>
          <w14:ligatures w14:val="none"/>
        </w:rPr>
        <w:t>The Department will provide advice to individual sponsors regarding the appropriate submission category once the PBAC has reviewed the summarised clinical evidence and provided its advice on broad listing suitability.</w:t>
      </w:r>
    </w:p>
    <w:p w14:paraId="40BDC313" w14:textId="75F75CAB" w:rsidR="00157F39" w:rsidRPr="00A0267F" w:rsidRDefault="00157F39" w:rsidP="00A0267F">
      <w:pPr>
        <w:pStyle w:val="Caption"/>
        <w:keepNext/>
        <w:spacing w:after="0"/>
        <w:rPr>
          <w:sz w:val="20"/>
          <w:szCs w:val="20"/>
        </w:rPr>
      </w:pPr>
      <w:r w:rsidRPr="00A0267F">
        <w:rPr>
          <w:sz w:val="20"/>
          <w:szCs w:val="20"/>
        </w:rPr>
        <w:t xml:space="preserve">Table </w:t>
      </w:r>
      <w:r w:rsidRPr="00A0267F">
        <w:rPr>
          <w:sz w:val="20"/>
          <w:szCs w:val="20"/>
        </w:rPr>
        <w:fldChar w:fldCharType="begin"/>
      </w:r>
      <w:r w:rsidRPr="00A0267F">
        <w:rPr>
          <w:sz w:val="20"/>
          <w:szCs w:val="20"/>
        </w:rPr>
        <w:instrText xml:space="preserve"> SEQ Table \* ARABIC </w:instrText>
      </w:r>
      <w:r w:rsidRPr="00A0267F">
        <w:rPr>
          <w:sz w:val="20"/>
          <w:szCs w:val="20"/>
        </w:rPr>
        <w:fldChar w:fldCharType="separate"/>
      </w:r>
      <w:r w:rsidR="00053229">
        <w:rPr>
          <w:noProof/>
          <w:sz w:val="20"/>
          <w:szCs w:val="20"/>
        </w:rPr>
        <w:t>1</w:t>
      </w:r>
      <w:r w:rsidRPr="00A0267F">
        <w:rPr>
          <w:sz w:val="20"/>
          <w:szCs w:val="20"/>
        </w:rPr>
        <w:fldChar w:fldCharType="end"/>
      </w:r>
      <w:r w:rsidRPr="00A0267F">
        <w:rPr>
          <w:sz w:val="20"/>
          <w:szCs w:val="20"/>
        </w:rPr>
        <w:t>: Checklist table for economic and financial evidence required for PBAC broad listing submissions.</w:t>
      </w:r>
    </w:p>
    <w:tbl>
      <w:tblPr>
        <w:tblStyle w:val="TableGrid"/>
        <w:tblW w:w="9356" w:type="dxa"/>
        <w:tblInd w:w="-5" w:type="dxa"/>
        <w:tblLook w:val="06A0" w:firstRow="1" w:lastRow="0" w:firstColumn="1" w:lastColumn="0" w:noHBand="1" w:noVBand="1"/>
        <w:tblCaption w:val="Checklist table for economic and financial evidence required for PBAC broad listing submissions. "/>
        <w:tblDescription w:val="The table is divided into three sections: Pricing, Financial impact, and Utilisation. Under Pricing, criteria include sponsor agreement to join the existing RSA for advanced and metastatic cancers and use of a weighted price based on current PBS listings, with advice provided to ensure no price advantage. The Financial impact section requires demonstration of no net cost increase to Government. The Utilisation section includes criteria for clear description of intended product use, specification of all inputs and assumptions in a structured format, transparency and verifiability of outputs and formulas, and documentation of impacts on patient population, treatment pathway, dosing, treatment duration, and required services. Each criterion is accompanied by a tick box for completion.&quot;"/>
      </w:tblPr>
      <w:tblGrid>
        <w:gridCol w:w="709"/>
        <w:gridCol w:w="8647"/>
      </w:tblGrid>
      <w:tr w:rsidR="003E20E7" w:rsidRPr="002B7322" w14:paraId="541FF257" w14:textId="77777777" w:rsidTr="00053C6E">
        <w:trPr>
          <w:trHeight w:val="300"/>
        </w:trPr>
        <w:tc>
          <w:tcPr>
            <w:tcW w:w="9356" w:type="dxa"/>
            <w:gridSpan w:val="2"/>
            <w:shd w:val="clear" w:color="auto" w:fill="D1D1D1" w:themeFill="background2" w:themeFillShade="E6"/>
          </w:tcPr>
          <w:p w14:paraId="5C26B5F9" w14:textId="77777777" w:rsidR="003E20E7" w:rsidRPr="001D5FD9" w:rsidRDefault="003E20E7">
            <w:pPr>
              <w:rPr>
                <w:rFonts w:eastAsiaTheme="minorEastAsia"/>
                <w:szCs w:val="20"/>
              </w:rPr>
            </w:pPr>
            <w:r w:rsidRPr="001D5FD9">
              <w:rPr>
                <w:rFonts w:eastAsiaTheme="minorEastAsia"/>
                <w:b/>
                <w:bCs/>
                <w:szCs w:val="20"/>
              </w:rPr>
              <w:t>Pricing</w:t>
            </w:r>
          </w:p>
        </w:tc>
      </w:tr>
      <w:tr w:rsidR="003E20E7" w:rsidRPr="002B7322" w14:paraId="5EBAA394" w14:textId="77777777" w:rsidTr="00053C6E">
        <w:trPr>
          <w:trHeight w:val="300"/>
        </w:trPr>
        <w:sdt>
          <w:sdtPr>
            <w:rPr>
              <w:rFonts w:eastAsiaTheme="minorEastAsia"/>
            </w:rPr>
            <w:id w:val="-1137876557"/>
            <w14:checkbox>
              <w14:checked w14:val="0"/>
              <w14:checkedState w14:val="2612" w14:font="MS Gothic"/>
              <w14:uncheckedState w14:val="2610" w14:font="MS Gothic"/>
            </w14:checkbox>
          </w:sdtPr>
          <w:sdtEndPr/>
          <w:sdtContent>
            <w:tc>
              <w:tcPr>
                <w:tcW w:w="709" w:type="dxa"/>
                <w:vAlign w:val="center"/>
              </w:tcPr>
              <w:p w14:paraId="68A0DF20" w14:textId="77777777" w:rsidR="003E20E7" w:rsidRPr="001D5FD9" w:rsidRDefault="003E20E7" w:rsidP="001D5FD9">
                <w:pPr>
                  <w:jc w:val="center"/>
                  <w:rPr>
                    <w:rFonts w:eastAsiaTheme="minorEastAsia"/>
                    <w:szCs w:val="20"/>
                  </w:rPr>
                </w:pPr>
                <w:r w:rsidRPr="001D5FD9">
                  <w:rPr>
                    <w:rFonts w:ascii="MS Gothic" w:eastAsia="MS Gothic" w:hAnsi="MS Gothic"/>
                    <w:szCs w:val="20"/>
                  </w:rPr>
                  <w:t>☐</w:t>
                </w:r>
              </w:p>
            </w:tc>
          </w:sdtContent>
        </w:sdt>
        <w:tc>
          <w:tcPr>
            <w:tcW w:w="8647" w:type="dxa"/>
          </w:tcPr>
          <w:p w14:paraId="7E9CC190" w14:textId="4595DD30" w:rsidR="003E20E7" w:rsidRPr="001D5FD9" w:rsidRDefault="003E20E7" w:rsidP="209EC709">
            <w:pPr>
              <w:rPr>
                <w:rFonts w:eastAsiaTheme="minorEastAsia"/>
              </w:rPr>
            </w:pPr>
            <w:r w:rsidRPr="209EC709">
              <w:rPr>
                <w:rFonts w:eastAsiaTheme="minorEastAsia"/>
              </w:rPr>
              <w:t xml:space="preserve">Proposal </w:t>
            </w:r>
            <w:r w:rsidR="00F97B91" w:rsidRPr="209EC709">
              <w:rPr>
                <w:rFonts w:eastAsiaTheme="minorEastAsia"/>
              </w:rPr>
              <w:t xml:space="preserve">includes </w:t>
            </w:r>
            <w:r w:rsidR="009C1314" w:rsidRPr="209EC709">
              <w:rPr>
                <w:rFonts w:eastAsiaTheme="minorEastAsia"/>
              </w:rPr>
              <w:t xml:space="preserve">an acknowledgement </w:t>
            </w:r>
            <w:r w:rsidR="365DCD75" w:rsidRPr="209EC709">
              <w:rPr>
                <w:rFonts w:eastAsiaTheme="minorEastAsia"/>
              </w:rPr>
              <w:t xml:space="preserve">that the sponsor is willing to </w:t>
            </w:r>
            <w:r w:rsidR="009C1314" w:rsidRPr="209EC709">
              <w:rPr>
                <w:rFonts w:eastAsiaTheme="minorEastAsia"/>
              </w:rPr>
              <w:t>join the</w:t>
            </w:r>
            <w:r w:rsidRPr="209EC709">
              <w:rPr>
                <w:rFonts w:eastAsiaTheme="minorEastAsia"/>
              </w:rPr>
              <w:t xml:space="preserve"> existing RSA for advanced and metastatic cancers.</w:t>
            </w:r>
          </w:p>
        </w:tc>
      </w:tr>
      <w:tr w:rsidR="003E20E7" w:rsidRPr="002B7322" w14:paraId="1321F75C" w14:textId="77777777" w:rsidTr="00053C6E">
        <w:trPr>
          <w:trHeight w:val="300"/>
        </w:trPr>
        <w:sdt>
          <w:sdtPr>
            <w:rPr>
              <w:rFonts w:eastAsiaTheme="minorEastAsia"/>
            </w:rPr>
            <w:id w:val="1153023829"/>
            <w14:checkbox>
              <w14:checked w14:val="0"/>
              <w14:checkedState w14:val="2612" w14:font="MS Gothic"/>
              <w14:uncheckedState w14:val="2610" w14:font="MS Gothic"/>
            </w14:checkbox>
          </w:sdtPr>
          <w:sdtEndPr/>
          <w:sdtContent>
            <w:tc>
              <w:tcPr>
                <w:tcW w:w="709" w:type="dxa"/>
                <w:vAlign w:val="center"/>
              </w:tcPr>
              <w:p w14:paraId="39223EC1" w14:textId="77777777" w:rsidR="003E20E7" w:rsidRPr="001D5FD9" w:rsidRDefault="003E20E7">
                <w:pPr>
                  <w:jc w:val="center"/>
                  <w:rPr>
                    <w:rFonts w:ascii="MS Gothic" w:eastAsia="MS Gothic" w:hAnsi="MS Gothic"/>
                    <w:szCs w:val="20"/>
                  </w:rPr>
                </w:pPr>
                <w:r w:rsidRPr="001D5FD9">
                  <w:rPr>
                    <w:rFonts w:ascii="MS Gothic" w:eastAsia="MS Gothic" w:hAnsi="MS Gothic"/>
                    <w:szCs w:val="20"/>
                  </w:rPr>
                  <w:t>☐</w:t>
                </w:r>
              </w:p>
            </w:tc>
          </w:sdtContent>
        </w:sdt>
        <w:tc>
          <w:tcPr>
            <w:tcW w:w="8647" w:type="dxa"/>
          </w:tcPr>
          <w:p w14:paraId="71CE51B8" w14:textId="21534F69" w:rsidR="003E20E7" w:rsidRPr="001D5FD9" w:rsidRDefault="003E20E7" w:rsidP="209EC709">
            <w:pPr>
              <w:rPr>
                <w:rFonts w:eastAsiaTheme="minorEastAsia"/>
              </w:rPr>
            </w:pPr>
            <w:r w:rsidRPr="209EC709">
              <w:rPr>
                <w:rFonts w:eastAsiaTheme="minorEastAsia"/>
              </w:rPr>
              <w:t>Proposal uses a weighted price based on current PBS listings</w:t>
            </w:r>
            <w:r w:rsidR="73698C5C" w:rsidRPr="209EC709">
              <w:rPr>
                <w:rFonts w:eastAsiaTheme="minorEastAsia"/>
              </w:rPr>
              <w:t xml:space="preserve">. Advice will be provided by the PBAC and the pricing branch to sponsors regarding </w:t>
            </w:r>
            <w:r w:rsidR="6F9FE897" w:rsidRPr="209EC709">
              <w:rPr>
                <w:rFonts w:eastAsiaTheme="minorEastAsia"/>
              </w:rPr>
              <w:t>cost-effective pricing to ensure no price advantages over comparators</w:t>
            </w:r>
            <w:r w:rsidRPr="209EC709">
              <w:rPr>
                <w:rFonts w:eastAsiaTheme="minorEastAsia"/>
              </w:rPr>
              <w:t>).</w:t>
            </w:r>
          </w:p>
        </w:tc>
      </w:tr>
      <w:tr w:rsidR="003E20E7" w:rsidRPr="002B7322" w14:paraId="429E56DA" w14:textId="77777777" w:rsidTr="00053C6E">
        <w:trPr>
          <w:trHeight w:val="300"/>
        </w:trPr>
        <w:tc>
          <w:tcPr>
            <w:tcW w:w="9356" w:type="dxa"/>
            <w:gridSpan w:val="2"/>
            <w:shd w:val="clear" w:color="auto" w:fill="D1D1D1" w:themeFill="background2" w:themeFillShade="E6"/>
          </w:tcPr>
          <w:p w14:paraId="191B2D1C" w14:textId="77777777" w:rsidR="003E20E7" w:rsidRPr="001D5FD9" w:rsidRDefault="003E20E7">
            <w:pPr>
              <w:rPr>
                <w:rFonts w:eastAsiaTheme="minorEastAsia"/>
                <w:b/>
                <w:bCs/>
                <w:szCs w:val="20"/>
              </w:rPr>
            </w:pPr>
            <w:r w:rsidRPr="001D5FD9">
              <w:rPr>
                <w:rFonts w:eastAsiaTheme="minorEastAsia"/>
                <w:b/>
                <w:bCs/>
                <w:szCs w:val="20"/>
              </w:rPr>
              <w:t>Financial impact</w:t>
            </w:r>
          </w:p>
        </w:tc>
      </w:tr>
      <w:tr w:rsidR="003E20E7" w:rsidRPr="002B7322" w14:paraId="58515656" w14:textId="77777777" w:rsidTr="00053C6E">
        <w:trPr>
          <w:trHeight w:val="300"/>
        </w:trPr>
        <w:sdt>
          <w:sdtPr>
            <w:rPr>
              <w:rFonts w:eastAsiaTheme="minorEastAsia"/>
            </w:rPr>
            <w:id w:val="1503474263"/>
            <w14:checkbox>
              <w14:checked w14:val="0"/>
              <w14:checkedState w14:val="2612" w14:font="MS Gothic"/>
              <w14:uncheckedState w14:val="2610" w14:font="MS Gothic"/>
            </w14:checkbox>
          </w:sdtPr>
          <w:sdtEndPr/>
          <w:sdtContent>
            <w:tc>
              <w:tcPr>
                <w:tcW w:w="709" w:type="dxa"/>
                <w:vAlign w:val="center"/>
              </w:tcPr>
              <w:p w14:paraId="4F76AE34" w14:textId="77777777" w:rsidR="003E20E7" w:rsidRPr="001D5FD9" w:rsidRDefault="003E20E7">
                <w:pPr>
                  <w:jc w:val="center"/>
                  <w:rPr>
                    <w:rFonts w:ascii="MS Gothic" w:eastAsia="MS Gothic" w:hAnsi="MS Gothic"/>
                    <w:b/>
                    <w:bCs/>
                    <w:szCs w:val="20"/>
                  </w:rPr>
                </w:pPr>
                <w:r w:rsidRPr="001D5FD9">
                  <w:rPr>
                    <w:rFonts w:ascii="MS Gothic" w:eastAsia="MS Gothic" w:hAnsi="MS Gothic"/>
                    <w:szCs w:val="20"/>
                  </w:rPr>
                  <w:t>☐</w:t>
                </w:r>
              </w:p>
            </w:tc>
          </w:sdtContent>
        </w:sdt>
        <w:tc>
          <w:tcPr>
            <w:tcW w:w="8647" w:type="dxa"/>
          </w:tcPr>
          <w:p w14:paraId="1705E5E6" w14:textId="77777777" w:rsidR="003E20E7" w:rsidRPr="001D5FD9" w:rsidRDefault="003E20E7">
            <w:pPr>
              <w:rPr>
                <w:rFonts w:eastAsiaTheme="minorEastAsia"/>
                <w:szCs w:val="20"/>
              </w:rPr>
            </w:pPr>
            <w:r w:rsidRPr="001D5FD9">
              <w:rPr>
                <w:rFonts w:eastAsiaTheme="minorEastAsia"/>
                <w:szCs w:val="20"/>
              </w:rPr>
              <w:t>Demonstrates no net cost increase to Government.</w:t>
            </w:r>
          </w:p>
        </w:tc>
      </w:tr>
      <w:tr w:rsidR="003E20E7" w:rsidRPr="002B7322" w14:paraId="53B84777" w14:textId="77777777" w:rsidTr="00053C6E">
        <w:trPr>
          <w:trHeight w:val="300"/>
        </w:trPr>
        <w:tc>
          <w:tcPr>
            <w:tcW w:w="9356" w:type="dxa"/>
            <w:gridSpan w:val="2"/>
            <w:shd w:val="clear" w:color="auto" w:fill="D1D1D1" w:themeFill="background2" w:themeFillShade="E6"/>
          </w:tcPr>
          <w:p w14:paraId="4369FA68" w14:textId="77777777" w:rsidR="003E20E7" w:rsidRPr="001D5FD9" w:rsidRDefault="003E20E7">
            <w:pPr>
              <w:rPr>
                <w:rFonts w:eastAsiaTheme="minorEastAsia"/>
                <w:b/>
                <w:bCs/>
                <w:szCs w:val="20"/>
              </w:rPr>
            </w:pPr>
            <w:r w:rsidRPr="001D5FD9">
              <w:rPr>
                <w:rFonts w:eastAsiaTheme="minorEastAsia"/>
                <w:b/>
                <w:bCs/>
                <w:szCs w:val="20"/>
              </w:rPr>
              <w:t>Utilisation</w:t>
            </w:r>
          </w:p>
        </w:tc>
      </w:tr>
      <w:tr w:rsidR="003E20E7" w:rsidRPr="002B7322" w14:paraId="77582B85" w14:textId="77777777" w:rsidTr="00053C6E">
        <w:trPr>
          <w:trHeight w:val="300"/>
        </w:trPr>
        <w:sdt>
          <w:sdtPr>
            <w:rPr>
              <w:rFonts w:eastAsiaTheme="minorEastAsia"/>
            </w:rPr>
            <w:id w:val="1771424657"/>
            <w14:checkbox>
              <w14:checked w14:val="0"/>
              <w14:checkedState w14:val="2612" w14:font="MS Gothic"/>
              <w14:uncheckedState w14:val="2610" w14:font="MS Gothic"/>
            </w14:checkbox>
          </w:sdtPr>
          <w:sdtEndPr/>
          <w:sdtContent>
            <w:tc>
              <w:tcPr>
                <w:tcW w:w="709" w:type="dxa"/>
                <w:vAlign w:val="center"/>
              </w:tcPr>
              <w:p w14:paraId="5F9A7858" w14:textId="77777777" w:rsidR="003E20E7" w:rsidRPr="001D5FD9" w:rsidRDefault="003E20E7">
                <w:pPr>
                  <w:jc w:val="center"/>
                  <w:rPr>
                    <w:rFonts w:ascii="MS Gothic" w:eastAsia="MS Gothic" w:hAnsi="MS Gothic"/>
                    <w:szCs w:val="20"/>
                  </w:rPr>
                </w:pPr>
                <w:r w:rsidRPr="001D5FD9">
                  <w:rPr>
                    <w:rFonts w:ascii="MS Gothic" w:eastAsia="MS Gothic" w:hAnsi="MS Gothic"/>
                    <w:szCs w:val="20"/>
                  </w:rPr>
                  <w:t>☐</w:t>
                </w:r>
              </w:p>
            </w:tc>
          </w:sdtContent>
        </w:sdt>
        <w:tc>
          <w:tcPr>
            <w:tcW w:w="8647" w:type="dxa"/>
          </w:tcPr>
          <w:p w14:paraId="4407B92F" w14:textId="730D8FCA" w:rsidR="003E20E7" w:rsidRPr="001D5FD9" w:rsidRDefault="003E20E7">
            <w:pPr>
              <w:rPr>
                <w:rFonts w:eastAsiaTheme="minorEastAsia"/>
                <w:szCs w:val="20"/>
              </w:rPr>
            </w:pPr>
            <w:r w:rsidRPr="001D5FD9">
              <w:rPr>
                <w:rFonts w:eastAsiaTheme="minorEastAsia"/>
                <w:szCs w:val="20"/>
              </w:rPr>
              <w:t xml:space="preserve">Clearly describes </w:t>
            </w:r>
            <w:r w:rsidR="00896683">
              <w:rPr>
                <w:rFonts w:eastAsiaTheme="minorEastAsia"/>
                <w:szCs w:val="20"/>
              </w:rPr>
              <w:t>intended use of the product, including whether it is a substitution, sequencing option or add on therapy.</w:t>
            </w:r>
            <w:r w:rsidRPr="001D5FD9">
              <w:rPr>
                <w:rFonts w:eastAsiaTheme="minorEastAsia"/>
                <w:szCs w:val="20"/>
              </w:rPr>
              <w:t xml:space="preserve"> </w:t>
            </w:r>
          </w:p>
        </w:tc>
      </w:tr>
      <w:tr w:rsidR="006E16E8" w14:paraId="5F067ADD" w14:textId="77777777" w:rsidTr="00053C6E">
        <w:trPr>
          <w:trHeight w:val="300"/>
        </w:trPr>
        <w:sdt>
          <w:sdtPr>
            <w:rPr>
              <w:rFonts w:eastAsiaTheme="minorEastAsia"/>
            </w:rPr>
            <w:id w:val="-1835907434"/>
            <w14:checkbox>
              <w14:checked w14:val="0"/>
              <w14:checkedState w14:val="2612" w14:font="MS Gothic"/>
              <w14:uncheckedState w14:val="2610" w14:font="MS Gothic"/>
            </w14:checkbox>
          </w:sdtPr>
          <w:sdtEndPr/>
          <w:sdtContent>
            <w:tc>
              <w:tcPr>
                <w:tcW w:w="709" w:type="dxa"/>
                <w:vAlign w:val="center"/>
              </w:tcPr>
              <w:p w14:paraId="08E9B86F" w14:textId="491CA3DB" w:rsidR="006E16E8" w:rsidRDefault="006E16E8" w:rsidP="006E16E8">
                <w:pPr>
                  <w:jc w:val="center"/>
                  <w:rPr>
                    <w:rFonts w:ascii="MS Gothic" w:eastAsia="MS Gothic" w:hAnsi="MS Gothic"/>
                  </w:rPr>
                </w:pPr>
                <w:r w:rsidRPr="001D5FD9">
                  <w:rPr>
                    <w:rFonts w:ascii="MS Gothic" w:eastAsia="MS Gothic" w:hAnsi="MS Gothic"/>
                    <w:szCs w:val="20"/>
                  </w:rPr>
                  <w:t>☐</w:t>
                </w:r>
              </w:p>
            </w:tc>
          </w:sdtContent>
        </w:sdt>
        <w:tc>
          <w:tcPr>
            <w:tcW w:w="8647" w:type="dxa"/>
          </w:tcPr>
          <w:p w14:paraId="799AB094" w14:textId="21764A48" w:rsidR="006E16E8" w:rsidRDefault="006E16E8" w:rsidP="006E16E8">
            <w:pPr>
              <w:rPr>
                <w:rFonts w:eastAsiaTheme="minorEastAsia"/>
              </w:rPr>
            </w:pPr>
            <w:r w:rsidRPr="001D5FD9">
              <w:rPr>
                <w:rFonts w:eastAsiaTheme="minorEastAsia"/>
                <w:szCs w:val="20"/>
              </w:rPr>
              <w:t xml:space="preserve">Clearly </w:t>
            </w:r>
            <w:r w:rsidR="004E0593">
              <w:rPr>
                <w:rFonts w:eastAsiaTheme="minorEastAsia"/>
                <w:szCs w:val="20"/>
              </w:rPr>
              <w:t>specifies all inputs and assumptions used to generate utilisation and financial outputs, presented in a structured format (e.g. flowchart and/or table)</w:t>
            </w:r>
            <w:r w:rsidR="002D0F71">
              <w:rPr>
                <w:rFonts w:eastAsiaTheme="minorEastAsia"/>
                <w:szCs w:val="20"/>
              </w:rPr>
              <w:t>.</w:t>
            </w:r>
            <w:r w:rsidRPr="001D5FD9">
              <w:rPr>
                <w:rFonts w:eastAsiaTheme="minorEastAsia"/>
                <w:szCs w:val="20"/>
              </w:rPr>
              <w:t xml:space="preserve"> </w:t>
            </w:r>
          </w:p>
        </w:tc>
      </w:tr>
      <w:tr w:rsidR="00663A56" w14:paraId="6658E130" w14:textId="77777777" w:rsidTr="00053C6E">
        <w:trPr>
          <w:trHeight w:val="300"/>
        </w:trPr>
        <w:sdt>
          <w:sdtPr>
            <w:rPr>
              <w:rFonts w:eastAsiaTheme="minorEastAsia"/>
            </w:rPr>
            <w:id w:val="-7218899"/>
            <w14:checkbox>
              <w14:checked w14:val="0"/>
              <w14:checkedState w14:val="2612" w14:font="MS Gothic"/>
              <w14:uncheckedState w14:val="2610" w14:font="MS Gothic"/>
            </w14:checkbox>
          </w:sdtPr>
          <w:sdtEndPr/>
          <w:sdtContent>
            <w:tc>
              <w:tcPr>
                <w:tcW w:w="709" w:type="dxa"/>
                <w:vAlign w:val="center"/>
              </w:tcPr>
              <w:p w14:paraId="3B479386" w14:textId="7A47C9F4" w:rsidR="00663A56" w:rsidRDefault="00663A56" w:rsidP="00663A56">
                <w:pPr>
                  <w:jc w:val="center"/>
                  <w:rPr>
                    <w:rFonts w:eastAsiaTheme="minorEastAsia"/>
                  </w:rPr>
                </w:pPr>
                <w:r w:rsidRPr="001D5FD9">
                  <w:rPr>
                    <w:rFonts w:ascii="MS Gothic" w:eastAsia="MS Gothic" w:hAnsi="MS Gothic"/>
                    <w:szCs w:val="20"/>
                  </w:rPr>
                  <w:t>☐</w:t>
                </w:r>
              </w:p>
            </w:tc>
          </w:sdtContent>
        </w:sdt>
        <w:tc>
          <w:tcPr>
            <w:tcW w:w="8647" w:type="dxa"/>
          </w:tcPr>
          <w:p w14:paraId="43F342DD" w14:textId="19A3AF0E" w:rsidR="00663A56" w:rsidRPr="001D5FD9" w:rsidRDefault="004E0593" w:rsidP="00663A56">
            <w:pPr>
              <w:rPr>
                <w:rFonts w:eastAsiaTheme="minorEastAsia"/>
                <w:szCs w:val="20"/>
              </w:rPr>
            </w:pPr>
            <w:r>
              <w:rPr>
                <w:rFonts w:eastAsiaTheme="minorEastAsia"/>
                <w:szCs w:val="20"/>
              </w:rPr>
              <w:t xml:space="preserve">Outputs are transparent and verifiable; all formulas used are explicitly documented to allow replication and adjustment during PBAC consideration. </w:t>
            </w:r>
            <w:r w:rsidR="00663A56" w:rsidRPr="001D5FD9">
              <w:rPr>
                <w:rFonts w:eastAsiaTheme="minorEastAsia"/>
                <w:szCs w:val="20"/>
              </w:rPr>
              <w:t xml:space="preserve"> </w:t>
            </w:r>
          </w:p>
        </w:tc>
      </w:tr>
      <w:tr w:rsidR="00663A56" w:rsidRPr="002B7322" w14:paraId="5A130CB1" w14:textId="77777777" w:rsidTr="00053C6E">
        <w:trPr>
          <w:trHeight w:val="300"/>
        </w:trPr>
        <w:sdt>
          <w:sdtPr>
            <w:rPr>
              <w:rFonts w:eastAsiaTheme="minorEastAsia"/>
            </w:rPr>
            <w:id w:val="-1638028338"/>
            <w14:checkbox>
              <w14:checked w14:val="0"/>
              <w14:checkedState w14:val="2612" w14:font="MS Gothic"/>
              <w14:uncheckedState w14:val="2610" w14:font="MS Gothic"/>
            </w14:checkbox>
          </w:sdtPr>
          <w:sdtEndPr/>
          <w:sdtContent>
            <w:tc>
              <w:tcPr>
                <w:tcW w:w="709" w:type="dxa"/>
                <w:vAlign w:val="center"/>
              </w:tcPr>
              <w:p w14:paraId="0C8A794B" w14:textId="77777777" w:rsidR="00663A56" w:rsidRPr="001D5FD9" w:rsidRDefault="00663A56" w:rsidP="00663A56">
                <w:pPr>
                  <w:jc w:val="center"/>
                  <w:rPr>
                    <w:rFonts w:ascii="MS Gothic" w:eastAsia="MS Gothic" w:hAnsi="MS Gothic"/>
                    <w:szCs w:val="20"/>
                  </w:rPr>
                </w:pPr>
                <w:r w:rsidRPr="001D5FD9">
                  <w:rPr>
                    <w:rFonts w:ascii="MS Gothic" w:eastAsia="MS Gothic" w:hAnsi="MS Gothic"/>
                    <w:szCs w:val="20"/>
                  </w:rPr>
                  <w:t>☐</w:t>
                </w:r>
              </w:p>
            </w:tc>
          </w:sdtContent>
        </w:sdt>
        <w:tc>
          <w:tcPr>
            <w:tcW w:w="8647" w:type="dxa"/>
          </w:tcPr>
          <w:p w14:paraId="375BDBFB" w14:textId="77777777" w:rsidR="00663A56" w:rsidRPr="001D5FD9" w:rsidRDefault="00663A56" w:rsidP="00663A56">
            <w:pPr>
              <w:rPr>
                <w:rFonts w:eastAsiaTheme="minorEastAsia"/>
                <w:szCs w:val="20"/>
              </w:rPr>
            </w:pPr>
            <w:r w:rsidRPr="001D5FD9">
              <w:rPr>
                <w:rFonts w:eastAsiaTheme="minorEastAsia"/>
                <w:szCs w:val="20"/>
              </w:rPr>
              <w:t xml:space="preserve">Documents impact on (if any): patient population, treatment pathway, dosing, duration of treatment and services required. </w:t>
            </w:r>
          </w:p>
        </w:tc>
      </w:tr>
    </w:tbl>
    <w:p w14:paraId="1FA2ADD5" w14:textId="7A3C0225" w:rsidR="00711849" w:rsidRPr="00D126E9" w:rsidRDefault="00711849" w:rsidP="00C50DA2">
      <w:pPr>
        <w:spacing w:before="120" w:after="120"/>
        <w:jc w:val="both"/>
        <w:sectPr w:rsidR="00711849" w:rsidRPr="00D126E9" w:rsidSect="00FF43A7">
          <w:headerReference w:type="even" r:id="rId12"/>
          <w:footerReference w:type="even" r:id="rId13"/>
          <w:headerReference w:type="first" r:id="rId14"/>
          <w:footerReference w:type="first" r:id="rId15"/>
          <w:type w:val="continuous"/>
          <w:pgSz w:w="11906" w:h="16838"/>
          <w:pgMar w:top="851" w:right="1274" w:bottom="1134" w:left="1134" w:header="708" w:footer="708" w:gutter="0"/>
          <w:cols w:space="708"/>
          <w:docGrid w:linePitch="360"/>
        </w:sectPr>
      </w:pPr>
    </w:p>
    <w:p w14:paraId="7F44FAD0" w14:textId="499240BA" w:rsidR="00D7627F" w:rsidRPr="001D5FD9" w:rsidRDefault="00977A57" w:rsidP="00D7627F">
      <w:pPr>
        <w:pStyle w:val="3-BodyText"/>
        <w:numPr>
          <w:ilvl w:val="0"/>
          <w:numId w:val="0"/>
        </w:numPr>
        <w:rPr>
          <w:rFonts w:eastAsiaTheme="minorEastAsia"/>
          <w:szCs w:val="24"/>
        </w:rPr>
      </w:pPr>
      <w:r w:rsidRPr="001D5FD9">
        <w:rPr>
          <w:szCs w:val="24"/>
        </w:rPr>
        <w:t>Sponsors should provide their summarised clinical evidence</w:t>
      </w:r>
      <w:r w:rsidR="00522101" w:rsidRPr="001D5FD9">
        <w:rPr>
          <w:szCs w:val="24"/>
        </w:rPr>
        <w:t xml:space="preserve"> </w:t>
      </w:r>
      <w:r w:rsidRPr="001D5FD9">
        <w:rPr>
          <w:szCs w:val="24"/>
        </w:rPr>
        <w:t xml:space="preserve">to </w:t>
      </w:r>
      <w:hyperlink r:id="rId16" w:history="1">
        <w:r w:rsidRPr="001D5FD9">
          <w:rPr>
            <w:rStyle w:val="Hyperlink"/>
            <w:szCs w:val="24"/>
          </w:rPr>
          <w:t>PBAC@health.gov.au</w:t>
        </w:r>
      </w:hyperlink>
      <w:r w:rsidR="005118BD">
        <w:t xml:space="preserve"> prior to submitting a formal submission</w:t>
      </w:r>
      <w:r w:rsidRPr="001D5FD9">
        <w:rPr>
          <w:szCs w:val="24"/>
        </w:rPr>
        <w:t xml:space="preserve">. </w:t>
      </w:r>
      <w:r w:rsidR="009F1DD5" w:rsidRPr="001D5FD9">
        <w:rPr>
          <w:szCs w:val="24"/>
        </w:rPr>
        <w:t xml:space="preserve">The Department will </w:t>
      </w:r>
      <w:r w:rsidR="007B159F" w:rsidRPr="001D5FD9">
        <w:rPr>
          <w:szCs w:val="24"/>
        </w:rPr>
        <w:t xml:space="preserve">progress the summarised clinical evidence to the PBAC to review at the next available meeting. </w:t>
      </w:r>
      <w:r w:rsidR="00D7627F" w:rsidRPr="001D5FD9">
        <w:rPr>
          <w:rFonts w:eastAsiaTheme="minorEastAsia"/>
          <w:szCs w:val="24"/>
        </w:rPr>
        <w:t xml:space="preserve">If the PBAC determines it is confident there is sufficient clinical evidence to substantiate use in a broad listing setting, </w:t>
      </w:r>
      <w:r w:rsidR="001C67E9" w:rsidRPr="001D5FD9">
        <w:rPr>
          <w:rFonts w:eastAsiaTheme="minorEastAsia"/>
          <w:szCs w:val="24"/>
        </w:rPr>
        <w:t xml:space="preserve">the Department will work with </w:t>
      </w:r>
      <w:r w:rsidR="007B159F" w:rsidRPr="001D5FD9">
        <w:rPr>
          <w:rFonts w:eastAsiaTheme="minorEastAsia"/>
          <w:szCs w:val="24"/>
        </w:rPr>
        <w:t xml:space="preserve">individual </w:t>
      </w:r>
      <w:r w:rsidR="001C67E9" w:rsidRPr="001D5FD9">
        <w:rPr>
          <w:rFonts w:eastAsiaTheme="minorEastAsia"/>
          <w:szCs w:val="24"/>
        </w:rPr>
        <w:t xml:space="preserve">sponsors </w:t>
      </w:r>
      <w:r w:rsidR="00D7627F" w:rsidRPr="001D5FD9">
        <w:rPr>
          <w:rFonts w:eastAsiaTheme="minorEastAsia"/>
          <w:szCs w:val="24"/>
        </w:rPr>
        <w:t xml:space="preserve">to </w:t>
      </w:r>
      <w:r w:rsidR="00C05B99">
        <w:rPr>
          <w:rFonts w:eastAsiaTheme="minorEastAsia"/>
          <w:szCs w:val="24"/>
        </w:rPr>
        <w:t>facilitate submission of</w:t>
      </w:r>
      <w:r w:rsidR="00C05B99" w:rsidRPr="001D5FD9">
        <w:rPr>
          <w:rFonts w:eastAsiaTheme="minorEastAsia"/>
          <w:szCs w:val="24"/>
        </w:rPr>
        <w:t xml:space="preserve"> </w:t>
      </w:r>
      <w:r w:rsidR="009F1DD5" w:rsidRPr="001D5FD9">
        <w:rPr>
          <w:rFonts w:eastAsiaTheme="minorEastAsia"/>
          <w:szCs w:val="24"/>
        </w:rPr>
        <w:t xml:space="preserve">economic and financial evidence </w:t>
      </w:r>
      <w:r w:rsidR="00D7627F" w:rsidRPr="001D5FD9">
        <w:rPr>
          <w:rFonts w:eastAsiaTheme="minorEastAsia"/>
          <w:szCs w:val="24"/>
        </w:rPr>
        <w:t>information</w:t>
      </w:r>
      <w:r w:rsidR="001C67E9" w:rsidRPr="001D5FD9">
        <w:rPr>
          <w:rFonts w:eastAsiaTheme="minorEastAsia"/>
          <w:szCs w:val="24"/>
        </w:rPr>
        <w:t xml:space="preserve"> via </w:t>
      </w:r>
      <w:r w:rsidR="00ED4592">
        <w:rPr>
          <w:rFonts w:eastAsiaTheme="minorEastAsia"/>
          <w:szCs w:val="24"/>
        </w:rPr>
        <w:t xml:space="preserve">a </w:t>
      </w:r>
      <w:r w:rsidR="001C67E9" w:rsidRPr="001D5FD9">
        <w:rPr>
          <w:rFonts w:eastAsiaTheme="minorEastAsia"/>
          <w:szCs w:val="24"/>
        </w:rPr>
        <w:t>formal submission</w:t>
      </w:r>
      <w:r w:rsidR="00D7627F" w:rsidRPr="001D5FD9">
        <w:rPr>
          <w:rFonts w:eastAsiaTheme="minorEastAsia"/>
          <w:szCs w:val="24"/>
        </w:rPr>
        <w:t xml:space="preserve">. </w:t>
      </w:r>
    </w:p>
    <w:p w14:paraId="69CF5C9A" w14:textId="0267D808" w:rsidR="007B159F" w:rsidRPr="00324C09" w:rsidRDefault="005141AE" w:rsidP="00324C09">
      <w:pPr>
        <w:pStyle w:val="Caption"/>
        <w:spacing w:after="240"/>
        <w:rPr>
          <w:sz w:val="20"/>
          <w:szCs w:val="20"/>
        </w:rPr>
      </w:pPr>
      <w:bookmarkStart w:id="0" w:name="_Ref230857035"/>
      <w:r w:rsidRPr="00324C09">
        <w:rPr>
          <w:sz w:val="20"/>
          <w:szCs w:val="20"/>
        </w:rPr>
        <w:t xml:space="preserve">Table </w:t>
      </w:r>
      <w:r w:rsidRPr="00324C09">
        <w:rPr>
          <w:sz w:val="20"/>
          <w:szCs w:val="20"/>
        </w:rPr>
        <w:fldChar w:fldCharType="begin"/>
      </w:r>
      <w:r w:rsidRPr="00324C09">
        <w:rPr>
          <w:sz w:val="20"/>
          <w:szCs w:val="20"/>
        </w:rPr>
        <w:instrText xml:space="preserve"> SEQ Table \* ARABIC </w:instrText>
      </w:r>
      <w:r w:rsidRPr="00324C09">
        <w:rPr>
          <w:sz w:val="20"/>
          <w:szCs w:val="20"/>
        </w:rPr>
        <w:fldChar w:fldCharType="separate"/>
      </w:r>
      <w:r w:rsidR="00053229">
        <w:rPr>
          <w:noProof/>
          <w:sz w:val="20"/>
          <w:szCs w:val="20"/>
        </w:rPr>
        <w:t>2</w:t>
      </w:r>
      <w:r w:rsidRPr="00324C09">
        <w:rPr>
          <w:sz w:val="20"/>
          <w:szCs w:val="20"/>
        </w:rPr>
        <w:fldChar w:fldCharType="end"/>
      </w:r>
      <w:r w:rsidRPr="00324C09">
        <w:rPr>
          <w:sz w:val="20"/>
          <w:szCs w:val="20"/>
        </w:rPr>
        <w:t>: Summarised clinical evidence</w:t>
      </w:r>
      <w:bookmarkEnd w:id="0"/>
    </w:p>
    <w:tbl>
      <w:tblPr>
        <w:tblpPr w:leftFromText="180" w:rightFromText="180" w:vertAnchor="page" w:horzAnchor="margin" w:tblpY="2941"/>
        <w:tblW w:w="20833" w:type="dxa"/>
        <w:tblLook w:val="04A0" w:firstRow="1" w:lastRow="0" w:firstColumn="1" w:lastColumn="0" w:noHBand="0" w:noVBand="1"/>
        <w:tblCaption w:val="Table 2: Summarised clinical evidence."/>
        <w:tblDescription w:val="The table presents information for various patient populations and associated clinical trials, including details such as clinical trial outcomes, summary of results, comments on trial biases or limitations, TGA status, and previous PBAC consideration. Each row represents a population or clinical trial, with columns covering population, clinical trial details, outcomes, summary, comments, TGA status, and PBAC history. Some cells contain instructions for sponsors to include relevant information."/>
      </w:tblPr>
      <w:tblGrid>
        <w:gridCol w:w="1720"/>
        <w:gridCol w:w="2528"/>
        <w:gridCol w:w="2410"/>
        <w:gridCol w:w="2551"/>
        <w:gridCol w:w="2977"/>
        <w:gridCol w:w="4536"/>
        <w:gridCol w:w="4111"/>
      </w:tblGrid>
      <w:tr w:rsidR="007B159F" w:rsidRPr="00A06A9B" w14:paraId="648F6F80" w14:textId="77777777" w:rsidTr="00FB0063">
        <w:trPr>
          <w:trHeight w:val="520"/>
        </w:trPr>
        <w:tc>
          <w:tcPr>
            <w:tcW w:w="1720" w:type="dxa"/>
            <w:tcBorders>
              <w:top w:val="single" w:sz="4" w:space="0" w:color="000000"/>
              <w:left w:val="single" w:sz="4" w:space="0" w:color="000000"/>
              <w:bottom w:val="nil"/>
              <w:right w:val="single" w:sz="8" w:space="0" w:color="auto"/>
            </w:tcBorders>
            <w:shd w:val="clear" w:color="auto" w:fill="D9D9D9" w:themeFill="background1" w:themeFillShade="D9"/>
            <w:vAlign w:val="center"/>
            <w:hideMark/>
          </w:tcPr>
          <w:p w14:paraId="2D96F381" w14:textId="77777777" w:rsidR="007B159F" w:rsidRPr="00A06A9B" w:rsidRDefault="007B159F" w:rsidP="007B159F">
            <w:pPr>
              <w:spacing w:after="0" w:line="240" w:lineRule="auto"/>
              <w:jc w:val="center"/>
              <w:rPr>
                <w:rFonts w:eastAsia="Times New Roman" w:cs="Arial"/>
                <w:b/>
                <w:bCs/>
                <w:color w:val="000000"/>
                <w:kern w:val="0"/>
                <w:szCs w:val="20"/>
                <w:lang w:eastAsia="en-AU"/>
                <w14:ligatures w14:val="none"/>
              </w:rPr>
            </w:pPr>
            <w:r w:rsidRPr="00A06A9B">
              <w:rPr>
                <w:rFonts w:eastAsia="Times New Roman" w:cs="Arial"/>
                <w:b/>
                <w:bCs/>
                <w:kern w:val="0"/>
                <w:szCs w:val="20"/>
                <w:lang w:eastAsia="en-AU"/>
                <w14:ligatures w14:val="none"/>
              </w:rPr>
              <w:t>Population</w:t>
            </w:r>
          </w:p>
        </w:tc>
        <w:tc>
          <w:tcPr>
            <w:tcW w:w="2528" w:type="dxa"/>
            <w:tcBorders>
              <w:top w:val="single" w:sz="4" w:space="0" w:color="000000"/>
              <w:left w:val="nil"/>
              <w:bottom w:val="nil"/>
              <w:right w:val="single" w:sz="8" w:space="0" w:color="auto"/>
            </w:tcBorders>
            <w:shd w:val="clear" w:color="auto" w:fill="D9D9D9" w:themeFill="background1" w:themeFillShade="D9"/>
            <w:vAlign w:val="center"/>
            <w:hideMark/>
          </w:tcPr>
          <w:p w14:paraId="13086A64" w14:textId="3750F7BB" w:rsidR="007B159F" w:rsidRPr="00A06A9B" w:rsidRDefault="007B159F" w:rsidP="007B159F">
            <w:pPr>
              <w:spacing w:after="0" w:line="240" w:lineRule="auto"/>
              <w:jc w:val="center"/>
              <w:rPr>
                <w:rFonts w:eastAsia="Times New Roman" w:cs="Arial"/>
                <w:b/>
                <w:bCs/>
                <w:color w:val="000000"/>
                <w:kern w:val="0"/>
                <w:szCs w:val="20"/>
                <w:lang w:eastAsia="en-AU"/>
                <w14:ligatures w14:val="none"/>
              </w:rPr>
            </w:pPr>
            <w:r w:rsidRPr="00A06A9B">
              <w:rPr>
                <w:rFonts w:eastAsia="Times New Roman" w:cs="Arial"/>
                <w:b/>
                <w:bCs/>
                <w:kern w:val="0"/>
                <w:szCs w:val="20"/>
                <w:lang w:eastAsia="en-AU"/>
                <w14:ligatures w14:val="none"/>
              </w:rPr>
              <w:t xml:space="preserve">Clinical </w:t>
            </w:r>
            <w:r w:rsidR="0071708D">
              <w:rPr>
                <w:rFonts w:eastAsia="Times New Roman" w:cs="Arial"/>
                <w:b/>
                <w:bCs/>
                <w:kern w:val="0"/>
                <w:szCs w:val="20"/>
                <w:lang w:eastAsia="en-AU"/>
                <w14:ligatures w14:val="none"/>
              </w:rPr>
              <w:t>t</w:t>
            </w:r>
            <w:r w:rsidRPr="00A06A9B">
              <w:rPr>
                <w:rFonts w:eastAsia="Times New Roman" w:cs="Arial"/>
                <w:b/>
                <w:bCs/>
                <w:kern w:val="0"/>
                <w:szCs w:val="20"/>
                <w:lang w:eastAsia="en-AU"/>
                <w14:ligatures w14:val="none"/>
              </w:rPr>
              <w:t>rial details</w:t>
            </w:r>
          </w:p>
        </w:tc>
        <w:tc>
          <w:tcPr>
            <w:tcW w:w="2410" w:type="dxa"/>
            <w:tcBorders>
              <w:top w:val="single" w:sz="4" w:space="0" w:color="000000"/>
              <w:left w:val="nil"/>
              <w:bottom w:val="nil"/>
              <w:right w:val="single" w:sz="8" w:space="0" w:color="auto"/>
            </w:tcBorders>
            <w:shd w:val="clear" w:color="auto" w:fill="D9D9D9" w:themeFill="background1" w:themeFillShade="D9"/>
            <w:vAlign w:val="center"/>
            <w:hideMark/>
          </w:tcPr>
          <w:p w14:paraId="44E63F97" w14:textId="074F9803" w:rsidR="007B159F" w:rsidRPr="00A06A9B" w:rsidRDefault="007B159F" w:rsidP="007B159F">
            <w:pPr>
              <w:spacing w:after="0" w:line="240" w:lineRule="auto"/>
              <w:jc w:val="center"/>
              <w:rPr>
                <w:rFonts w:eastAsia="Times New Roman" w:cs="Arial"/>
                <w:b/>
                <w:bCs/>
                <w:color w:val="000000"/>
                <w:kern w:val="0"/>
                <w:szCs w:val="20"/>
                <w:lang w:eastAsia="en-AU"/>
                <w14:ligatures w14:val="none"/>
              </w:rPr>
            </w:pPr>
            <w:r w:rsidRPr="00A06A9B">
              <w:rPr>
                <w:rFonts w:eastAsia="Times New Roman" w:cs="Arial"/>
                <w:b/>
                <w:bCs/>
                <w:kern w:val="0"/>
                <w:szCs w:val="20"/>
                <w:lang w:eastAsia="en-AU"/>
                <w14:ligatures w14:val="none"/>
              </w:rPr>
              <w:t xml:space="preserve">Clinical </w:t>
            </w:r>
            <w:r w:rsidR="0071708D">
              <w:rPr>
                <w:rFonts w:eastAsia="Times New Roman" w:cs="Arial"/>
                <w:b/>
                <w:bCs/>
                <w:kern w:val="0"/>
                <w:szCs w:val="20"/>
                <w:lang w:eastAsia="en-AU"/>
                <w14:ligatures w14:val="none"/>
              </w:rPr>
              <w:t>t</w:t>
            </w:r>
            <w:r w:rsidRPr="00A06A9B">
              <w:rPr>
                <w:rFonts w:eastAsia="Times New Roman" w:cs="Arial"/>
                <w:b/>
                <w:bCs/>
                <w:kern w:val="0"/>
                <w:szCs w:val="20"/>
                <w:lang w:eastAsia="en-AU"/>
                <w14:ligatures w14:val="none"/>
              </w:rPr>
              <w:t>rial outcomes</w:t>
            </w:r>
          </w:p>
        </w:tc>
        <w:tc>
          <w:tcPr>
            <w:tcW w:w="2551" w:type="dxa"/>
            <w:tcBorders>
              <w:top w:val="single" w:sz="4" w:space="0" w:color="000000"/>
              <w:left w:val="nil"/>
              <w:bottom w:val="nil"/>
              <w:right w:val="single" w:sz="8" w:space="0" w:color="auto"/>
            </w:tcBorders>
            <w:shd w:val="clear" w:color="auto" w:fill="D9D9D9" w:themeFill="background1" w:themeFillShade="D9"/>
            <w:vAlign w:val="center"/>
            <w:hideMark/>
          </w:tcPr>
          <w:p w14:paraId="502265B6" w14:textId="77777777" w:rsidR="007B159F" w:rsidRPr="00A06A9B" w:rsidRDefault="007B159F" w:rsidP="007B159F">
            <w:pPr>
              <w:spacing w:after="0" w:line="240" w:lineRule="auto"/>
              <w:jc w:val="center"/>
              <w:rPr>
                <w:rFonts w:eastAsia="Times New Roman" w:cs="Arial"/>
                <w:b/>
                <w:bCs/>
                <w:color w:val="000000"/>
                <w:kern w:val="0"/>
                <w:szCs w:val="20"/>
                <w:lang w:eastAsia="en-AU"/>
                <w14:ligatures w14:val="none"/>
              </w:rPr>
            </w:pPr>
            <w:r w:rsidRPr="00A06A9B">
              <w:rPr>
                <w:rFonts w:eastAsia="Times New Roman" w:cs="Arial"/>
                <w:b/>
                <w:bCs/>
                <w:kern w:val="0"/>
                <w:szCs w:val="20"/>
                <w:lang w:eastAsia="en-AU"/>
                <w14:ligatures w14:val="none"/>
              </w:rPr>
              <w:t>Summary of results</w:t>
            </w:r>
          </w:p>
        </w:tc>
        <w:tc>
          <w:tcPr>
            <w:tcW w:w="2977" w:type="dxa"/>
            <w:tcBorders>
              <w:top w:val="single" w:sz="4" w:space="0" w:color="000000"/>
              <w:left w:val="nil"/>
              <w:bottom w:val="nil"/>
              <w:right w:val="single" w:sz="8" w:space="0" w:color="auto"/>
            </w:tcBorders>
            <w:shd w:val="clear" w:color="auto" w:fill="D9D9D9" w:themeFill="background1" w:themeFillShade="D9"/>
            <w:vAlign w:val="center"/>
            <w:hideMark/>
          </w:tcPr>
          <w:p w14:paraId="52A4D97F" w14:textId="0E3F70D9" w:rsidR="007B159F" w:rsidRPr="00A06A9B" w:rsidRDefault="004A38EB" w:rsidP="007B159F">
            <w:pPr>
              <w:spacing w:after="0" w:line="240" w:lineRule="auto"/>
              <w:jc w:val="center"/>
              <w:rPr>
                <w:rFonts w:eastAsia="Times New Roman" w:cs="Arial"/>
                <w:b/>
                <w:bCs/>
                <w:color w:val="000000"/>
                <w:kern w:val="0"/>
                <w:szCs w:val="20"/>
                <w:lang w:eastAsia="en-AU"/>
                <w14:ligatures w14:val="none"/>
              </w:rPr>
            </w:pPr>
            <w:r>
              <w:rPr>
                <w:rFonts w:eastAsia="Times New Roman" w:cs="Arial"/>
                <w:b/>
                <w:bCs/>
                <w:kern w:val="0"/>
                <w:szCs w:val="20"/>
                <w:lang w:eastAsia="en-AU"/>
                <w14:ligatures w14:val="none"/>
              </w:rPr>
              <w:t>Other c</w:t>
            </w:r>
            <w:r w:rsidR="007B159F" w:rsidRPr="00A06A9B">
              <w:rPr>
                <w:rFonts w:eastAsia="Times New Roman" w:cs="Arial"/>
                <w:b/>
                <w:bCs/>
                <w:kern w:val="0"/>
                <w:szCs w:val="20"/>
                <w:lang w:eastAsia="en-AU"/>
                <w14:ligatures w14:val="none"/>
              </w:rPr>
              <w:t>omments</w:t>
            </w:r>
          </w:p>
        </w:tc>
        <w:tc>
          <w:tcPr>
            <w:tcW w:w="4536" w:type="dxa"/>
            <w:tcBorders>
              <w:top w:val="single" w:sz="4" w:space="0" w:color="000000"/>
              <w:left w:val="nil"/>
              <w:bottom w:val="nil"/>
              <w:right w:val="single" w:sz="8" w:space="0" w:color="auto"/>
            </w:tcBorders>
            <w:shd w:val="clear" w:color="auto" w:fill="D9D9D9" w:themeFill="background1" w:themeFillShade="D9"/>
            <w:vAlign w:val="center"/>
            <w:hideMark/>
          </w:tcPr>
          <w:p w14:paraId="1938C9EF" w14:textId="47C90B05" w:rsidR="007B159F" w:rsidRPr="00A06A9B" w:rsidRDefault="007B159F" w:rsidP="007B159F">
            <w:pPr>
              <w:spacing w:after="0" w:line="240" w:lineRule="auto"/>
              <w:jc w:val="center"/>
              <w:rPr>
                <w:rFonts w:eastAsia="Times New Roman" w:cs="Arial"/>
                <w:b/>
                <w:bCs/>
                <w:color w:val="000000"/>
                <w:kern w:val="0"/>
                <w:szCs w:val="20"/>
                <w:lang w:eastAsia="en-AU"/>
                <w14:ligatures w14:val="none"/>
              </w:rPr>
            </w:pPr>
            <w:r w:rsidRPr="00A06A9B">
              <w:rPr>
                <w:rFonts w:eastAsia="Times New Roman" w:cs="Arial"/>
                <w:b/>
                <w:bCs/>
                <w:kern w:val="0"/>
                <w:szCs w:val="20"/>
                <w:lang w:eastAsia="en-AU"/>
                <w14:ligatures w14:val="none"/>
              </w:rPr>
              <w:t xml:space="preserve">TGA </w:t>
            </w:r>
            <w:r w:rsidR="00F60655">
              <w:rPr>
                <w:rFonts w:eastAsia="Times New Roman" w:cs="Arial"/>
                <w:b/>
                <w:bCs/>
                <w:kern w:val="0"/>
                <w:szCs w:val="20"/>
                <w:lang w:eastAsia="en-AU"/>
                <w14:ligatures w14:val="none"/>
              </w:rPr>
              <w:t>status</w:t>
            </w:r>
          </w:p>
        </w:tc>
        <w:tc>
          <w:tcPr>
            <w:tcW w:w="4111" w:type="dxa"/>
            <w:tcBorders>
              <w:top w:val="single" w:sz="4" w:space="0" w:color="000000"/>
              <w:left w:val="nil"/>
              <w:bottom w:val="nil"/>
              <w:right w:val="single" w:sz="4" w:space="0" w:color="000000"/>
            </w:tcBorders>
            <w:shd w:val="clear" w:color="auto" w:fill="D9D9D9" w:themeFill="background1" w:themeFillShade="D9"/>
            <w:vAlign w:val="center"/>
            <w:hideMark/>
          </w:tcPr>
          <w:p w14:paraId="32A7A5C6" w14:textId="39F262D3" w:rsidR="007B159F" w:rsidRPr="00A06A9B" w:rsidRDefault="000F4B71" w:rsidP="007B159F">
            <w:pPr>
              <w:spacing w:after="0" w:line="240" w:lineRule="auto"/>
              <w:jc w:val="center"/>
              <w:rPr>
                <w:rFonts w:eastAsia="Times New Roman" w:cs="Arial"/>
                <w:b/>
                <w:bCs/>
                <w:color w:val="000000"/>
                <w:kern w:val="0"/>
                <w:szCs w:val="20"/>
                <w:lang w:eastAsia="en-AU"/>
                <w14:ligatures w14:val="none"/>
              </w:rPr>
            </w:pPr>
            <w:r>
              <w:rPr>
                <w:rFonts w:eastAsia="Times New Roman" w:cs="Arial"/>
                <w:b/>
                <w:bCs/>
                <w:kern w:val="0"/>
                <w:szCs w:val="20"/>
                <w:lang w:eastAsia="en-AU"/>
                <w14:ligatures w14:val="none"/>
              </w:rPr>
              <w:t xml:space="preserve">Previous </w:t>
            </w:r>
            <w:r w:rsidR="007B159F" w:rsidRPr="00A06A9B">
              <w:rPr>
                <w:rFonts w:eastAsia="Times New Roman" w:cs="Arial"/>
                <w:b/>
                <w:bCs/>
                <w:kern w:val="0"/>
                <w:szCs w:val="20"/>
                <w:lang w:eastAsia="en-AU"/>
                <w14:ligatures w14:val="none"/>
              </w:rPr>
              <w:t>PBAC consideration</w:t>
            </w:r>
          </w:p>
        </w:tc>
      </w:tr>
      <w:tr w:rsidR="007B159F" w:rsidRPr="00A06A9B" w14:paraId="6B9ED0C0" w14:textId="77777777" w:rsidTr="007B159F">
        <w:trPr>
          <w:trHeight w:val="2862"/>
        </w:trPr>
        <w:tc>
          <w:tcPr>
            <w:tcW w:w="1720" w:type="dxa"/>
            <w:vMerge w:val="restart"/>
            <w:tcBorders>
              <w:top w:val="single" w:sz="4" w:space="0" w:color="auto"/>
              <w:left w:val="single" w:sz="4" w:space="0" w:color="auto"/>
              <w:bottom w:val="single" w:sz="8" w:space="0" w:color="000000"/>
              <w:right w:val="single" w:sz="4" w:space="0" w:color="auto"/>
            </w:tcBorders>
            <w:noWrap/>
            <w:vAlign w:val="center"/>
            <w:hideMark/>
          </w:tcPr>
          <w:p w14:paraId="6DB561C8" w14:textId="77777777" w:rsidR="007B159F" w:rsidRPr="00A06A9B" w:rsidRDefault="007B159F" w:rsidP="007B159F">
            <w:pPr>
              <w:spacing w:after="0" w:line="240" w:lineRule="auto"/>
              <w:jc w:val="center"/>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Population #1</w:t>
            </w:r>
          </w:p>
        </w:tc>
        <w:tc>
          <w:tcPr>
            <w:tcW w:w="2528" w:type="dxa"/>
            <w:tcBorders>
              <w:top w:val="single" w:sz="4" w:space="0" w:color="auto"/>
              <w:left w:val="nil"/>
              <w:bottom w:val="single" w:sz="4" w:space="0" w:color="auto"/>
              <w:right w:val="single" w:sz="4" w:space="0" w:color="auto"/>
            </w:tcBorders>
            <w:hideMark/>
          </w:tcPr>
          <w:p w14:paraId="62751F27" w14:textId="77777777" w:rsidR="007B159F"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This section should include:</w:t>
            </w:r>
          </w:p>
          <w:p w14:paraId="423911C8"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br/>
              <w:t>- Tumour type</w:t>
            </w:r>
            <w:r w:rsidRPr="00A06A9B">
              <w:rPr>
                <w:rFonts w:eastAsia="Times New Roman" w:cs="Arial"/>
                <w:color w:val="000000"/>
                <w:kern w:val="0"/>
                <w:szCs w:val="20"/>
                <w:lang w:eastAsia="en-AU"/>
                <w14:ligatures w14:val="none"/>
              </w:rPr>
              <w:br/>
              <w:t>- Trial name/ID</w:t>
            </w:r>
            <w:r w:rsidRPr="00A06A9B">
              <w:rPr>
                <w:rFonts w:eastAsia="Times New Roman" w:cs="Arial"/>
                <w:color w:val="000000"/>
                <w:kern w:val="0"/>
                <w:szCs w:val="20"/>
                <w:lang w:eastAsia="en-AU"/>
                <w14:ligatures w14:val="none"/>
              </w:rPr>
              <w:br/>
              <w:t>- Description of the study - Phase, design, number of patients etc</w:t>
            </w:r>
            <w:r w:rsidRPr="00A06A9B">
              <w:rPr>
                <w:rFonts w:eastAsia="Times New Roman" w:cs="Arial"/>
                <w:color w:val="000000"/>
                <w:kern w:val="0"/>
                <w:szCs w:val="20"/>
                <w:lang w:eastAsia="en-AU"/>
                <w14:ligatures w14:val="none"/>
              </w:rPr>
              <w:br/>
              <w:t>- Population, setting, including duration of study/follow up period</w:t>
            </w:r>
            <w:r w:rsidRPr="00A06A9B">
              <w:rPr>
                <w:rFonts w:eastAsia="Times New Roman" w:cs="Arial"/>
                <w:color w:val="000000"/>
                <w:kern w:val="0"/>
                <w:szCs w:val="20"/>
                <w:lang w:eastAsia="en-AU"/>
                <w14:ligatures w14:val="none"/>
              </w:rPr>
              <w:br/>
              <w:t>- Intervention</w:t>
            </w:r>
          </w:p>
        </w:tc>
        <w:tc>
          <w:tcPr>
            <w:tcW w:w="2410" w:type="dxa"/>
            <w:tcBorders>
              <w:top w:val="single" w:sz="4" w:space="0" w:color="auto"/>
              <w:left w:val="nil"/>
              <w:bottom w:val="single" w:sz="4" w:space="0" w:color="auto"/>
              <w:right w:val="single" w:sz="4" w:space="0" w:color="auto"/>
            </w:tcBorders>
            <w:hideMark/>
          </w:tcPr>
          <w:p w14:paraId="226BEDBD"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This section should include:</w:t>
            </w:r>
            <w:r w:rsidRPr="00A06A9B">
              <w:rPr>
                <w:rFonts w:eastAsia="Times New Roman" w:cs="Arial"/>
                <w:color w:val="000000"/>
                <w:kern w:val="0"/>
                <w:szCs w:val="20"/>
                <w:lang w:eastAsia="en-AU"/>
                <w14:ligatures w14:val="none"/>
              </w:rPr>
              <w:br/>
            </w:r>
            <w:r w:rsidRPr="00A06A9B">
              <w:rPr>
                <w:rFonts w:eastAsia="Times New Roman" w:cs="Arial"/>
                <w:color w:val="000000"/>
                <w:kern w:val="0"/>
                <w:szCs w:val="20"/>
                <w:lang w:eastAsia="en-AU"/>
                <w14:ligatures w14:val="none"/>
              </w:rPr>
              <w:br/>
              <w:t>- Endpoints for each trial - primary and secondary</w:t>
            </w:r>
            <w:r w:rsidRPr="00A06A9B">
              <w:rPr>
                <w:rFonts w:eastAsia="Times New Roman" w:cs="Arial"/>
                <w:color w:val="000000"/>
                <w:kern w:val="0"/>
                <w:szCs w:val="20"/>
                <w:lang w:eastAsia="en-AU"/>
                <w14:ligatures w14:val="none"/>
              </w:rPr>
              <w:br/>
              <w:t>- A link to published studies (or provide the document where the study is not freely available or not published)</w:t>
            </w:r>
          </w:p>
        </w:tc>
        <w:tc>
          <w:tcPr>
            <w:tcW w:w="2551" w:type="dxa"/>
            <w:tcBorders>
              <w:top w:val="single" w:sz="4" w:space="0" w:color="auto"/>
              <w:left w:val="nil"/>
              <w:bottom w:val="single" w:sz="4" w:space="0" w:color="auto"/>
              <w:right w:val="single" w:sz="4" w:space="0" w:color="auto"/>
            </w:tcBorders>
            <w:hideMark/>
          </w:tcPr>
          <w:p w14:paraId="218C3B76"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xml:space="preserve">Sponsors should include </w:t>
            </w:r>
            <w:proofErr w:type="gramStart"/>
            <w:r w:rsidRPr="00A06A9B">
              <w:rPr>
                <w:rFonts w:eastAsia="Times New Roman" w:cs="Arial"/>
                <w:color w:val="000000"/>
                <w:kern w:val="0"/>
                <w:szCs w:val="20"/>
                <w:lang w:eastAsia="en-AU"/>
                <w14:ligatures w14:val="none"/>
              </w:rPr>
              <w:t>a brief summary</w:t>
            </w:r>
            <w:proofErr w:type="gramEnd"/>
            <w:r w:rsidRPr="00A06A9B">
              <w:rPr>
                <w:rFonts w:eastAsia="Times New Roman" w:cs="Arial"/>
                <w:color w:val="000000"/>
                <w:kern w:val="0"/>
                <w:szCs w:val="20"/>
                <w:lang w:eastAsia="en-AU"/>
                <w14:ligatures w14:val="none"/>
              </w:rPr>
              <w:t xml:space="preserve"> of the clinical results and outcomes of the study</w:t>
            </w:r>
          </w:p>
        </w:tc>
        <w:tc>
          <w:tcPr>
            <w:tcW w:w="2977" w:type="dxa"/>
            <w:tcBorders>
              <w:top w:val="single" w:sz="4" w:space="0" w:color="auto"/>
              <w:left w:val="nil"/>
              <w:bottom w:val="single" w:sz="4" w:space="0" w:color="auto"/>
              <w:right w:val="single" w:sz="4" w:space="0" w:color="auto"/>
            </w:tcBorders>
            <w:hideMark/>
          </w:tcPr>
          <w:p w14:paraId="1BD1E281" w14:textId="16DA022C"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xml:space="preserve">This section should include the sponsors assessment of any biases/limitations of the trial, </w:t>
            </w:r>
            <w:r w:rsidR="000F20C5">
              <w:rPr>
                <w:rFonts w:eastAsia="Times New Roman" w:cs="Arial"/>
                <w:color w:val="000000"/>
                <w:kern w:val="0"/>
                <w:szCs w:val="20"/>
                <w:lang w:eastAsia="en-AU"/>
                <w14:ligatures w14:val="none"/>
              </w:rPr>
              <w:t xml:space="preserve">and the </w:t>
            </w:r>
            <w:r w:rsidRPr="00A06A9B">
              <w:rPr>
                <w:rFonts w:eastAsia="Times New Roman" w:cs="Arial"/>
                <w:color w:val="000000"/>
                <w:kern w:val="0"/>
                <w:szCs w:val="20"/>
                <w:lang w:eastAsia="en-AU"/>
                <w14:ligatures w14:val="none"/>
              </w:rPr>
              <w:t>anticipated place in clinical practice</w:t>
            </w:r>
          </w:p>
        </w:tc>
        <w:tc>
          <w:tcPr>
            <w:tcW w:w="4536" w:type="dxa"/>
            <w:vMerge w:val="restart"/>
            <w:tcBorders>
              <w:top w:val="single" w:sz="4" w:space="0" w:color="auto"/>
              <w:left w:val="single" w:sz="4" w:space="0" w:color="auto"/>
              <w:bottom w:val="single" w:sz="8" w:space="0" w:color="000000"/>
              <w:right w:val="single" w:sz="4" w:space="0" w:color="auto"/>
            </w:tcBorders>
            <w:hideMark/>
          </w:tcPr>
          <w:p w14:paraId="5DEB3106"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xml:space="preserve">This section should indicate: </w:t>
            </w:r>
            <w:r w:rsidRPr="00A06A9B">
              <w:rPr>
                <w:rFonts w:eastAsia="Times New Roman" w:cs="Arial"/>
                <w:color w:val="000000"/>
                <w:kern w:val="0"/>
                <w:szCs w:val="20"/>
                <w:lang w:eastAsia="en-AU"/>
                <w14:ligatures w14:val="none"/>
              </w:rPr>
              <w:br/>
            </w:r>
            <w:r w:rsidRPr="00A06A9B">
              <w:rPr>
                <w:rFonts w:eastAsia="Times New Roman" w:cs="Arial"/>
                <w:color w:val="000000"/>
                <w:kern w:val="0"/>
                <w:szCs w:val="20"/>
                <w:lang w:eastAsia="en-AU"/>
                <w14:ligatures w14:val="none"/>
              </w:rPr>
              <w:br/>
              <w:t>- If the indication has been approved by the TGA and the date of ARTG registration.</w:t>
            </w:r>
            <w:r w:rsidRPr="00A06A9B">
              <w:rPr>
                <w:rFonts w:eastAsia="Times New Roman" w:cs="Arial"/>
                <w:color w:val="000000"/>
                <w:kern w:val="0"/>
                <w:szCs w:val="20"/>
                <w:lang w:eastAsia="en-AU"/>
                <w14:ligatures w14:val="none"/>
              </w:rPr>
              <w:br/>
              <w:t>- If the indication is currently under consideration by the TGA or the sponsor is intending to seek TGA approval for the indication.</w:t>
            </w:r>
            <w:r w:rsidRPr="00A06A9B">
              <w:rPr>
                <w:rFonts w:eastAsia="Times New Roman" w:cs="Arial"/>
                <w:color w:val="000000"/>
                <w:kern w:val="0"/>
                <w:szCs w:val="20"/>
                <w:lang w:eastAsia="en-AU"/>
                <w14:ligatures w14:val="none"/>
              </w:rPr>
              <w:br/>
              <w:t>- If the indication has not been approved by the TGA.</w:t>
            </w:r>
          </w:p>
        </w:tc>
        <w:tc>
          <w:tcPr>
            <w:tcW w:w="4111" w:type="dxa"/>
            <w:vMerge w:val="restart"/>
            <w:tcBorders>
              <w:top w:val="single" w:sz="4" w:space="0" w:color="auto"/>
              <w:left w:val="single" w:sz="4" w:space="0" w:color="auto"/>
              <w:bottom w:val="single" w:sz="8" w:space="0" w:color="000000"/>
              <w:right w:val="single" w:sz="4" w:space="0" w:color="auto"/>
            </w:tcBorders>
            <w:hideMark/>
          </w:tcPr>
          <w:p w14:paraId="6502C1E6" w14:textId="77777777" w:rsidR="004A6CA0"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This section should indicate:</w:t>
            </w:r>
          </w:p>
          <w:p w14:paraId="22C49BEE" w14:textId="12723A7D"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br/>
              <w:t>- If the population has been recommended by PBAC, at which meeting, and date listed on the PBS.</w:t>
            </w:r>
            <w:r w:rsidRPr="00A06A9B">
              <w:rPr>
                <w:rFonts w:eastAsia="Times New Roman" w:cs="Arial"/>
                <w:color w:val="000000"/>
                <w:kern w:val="0"/>
                <w:szCs w:val="20"/>
                <w:lang w:eastAsia="en-AU"/>
                <w14:ligatures w14:val="none"/>
              </w:rPr>
              <w:br/>
              <w:t>- The circumstances and the comparator under which the PBAC recommendation was based (i.e. accepted under a cost-minimised basis, cost-effectiveness analysis etc.).</w:t>
            </w:r>
            <w:r w:rsidRPr="00A06A9B">
              <w:rPr>
                <w:rFonts w:eastAsia="Times New Roman" w:cs="Arial"/>
                <w:color w:val="000000"/>
                <w:kern w:val="0"/>
                <w:szCs w:val="20"/>
                <w:lang w:eastAsia="en-AU"/>
                <w14:ligatures w14:val="none"/>
              </w:rPr>
              <w:br/>
              <w:t>- If the indication has been previously considered by PBAC and not recommended for PBS listing</w:t>
            </w:r>
            <w:r w:rsidRPr="00A06A9B">
              <w:rPr>
                <w:rFonts w:eastAsia="Times New Roman" w:cs="Arial"/>
                <w:color w:val="000000"/>
                <w:kern w:val="0"/>
                <w:szCs w:val="20"/>
                <w:lang w:eastAsia="en-AU"/>
                <w14:ligatures w14:val="none"/>
              </w:rPr>
              <w:br/>
              <w:t xml:space="preserve">- If the indication has not been considered by PBAC </w:t>
            </w:r>
          </w:p>
        </w:tc>
      </w:tr>
      <w:tr w:rsidR="007B159F" w:rsidRPr="00A06A9B" w14:paraId="2BA51ABA" w14:textId="77777777" w:rsidTr="007B159F">
        <w:trPr>
          <w:trHeight w:val="250"/>
        </w:trPr>
        <w:tc>
          <w:tcPr>
            <w:tcW w:w="1720" w:type="dxa"/>
            <w:vMerge/>
            <w:tcBorders>
              <w:top w:val="single" w:sz="4" w:space="0" w:color="auto"/>
              <w:left w:val="single" w:sz="4" w:space="0" w:color="auto"/>
              <w:bottom w:val="single" w:sz="8" w:space="0" w:color="000000"/>
              <w:right w:val="single" w:sz="4" w:space="0" w:color="auto"/>
            </w:tcBorders>
            <w:vAlign w:val="center"/>
            <w:hideMark/>
          </w:tcPr>
          <w:p w14:paraId="46BB470B"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c>
          <w:tcPr>
            <w:tcW w:w="2528" w:type="dxa"/>
            <w:tcBorders>
              <w:top w:val="nil"/>
              <w:left w:val="nil"/>
              <w:bottom w:val="single" w:sz="4" w:space="0" w:color="auto"/>
              <w:right w:val="single" w:sz="4" w:space="0" w:color="auto"/>
            </w:tcBorders>
            <w:noWrap/>
            <w:vAlign w:val="center"/>
            <w:hideMark/>
          </w:tcPr>
          <w:p w14:paraId="19A13D0D"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Clinical trial #1</w:t>
            </w:r>
          </w:p>
        </w:tc>
        <w:tc>
          <w:tcPr>
            <w:tcW w:w="2410" w:type="dxa"/>
            <w:tcBorders>
              <w:top w:val="nil"/>
              <w:left w:val="nil"/>
              <w:bottom w:val="single" w:sz="4" w:space="0" w:color="auto"/>
              <w:right w:val="single" w:sz="4" w:space="0" w:color="auto"/>
            </w:tcBorders>
            <w:noWrap/>
            <w:vAlign w:val="bottom"/>
            <w:hideMark/>
          </w:tcPr>
          <w:p w14:paraId="59AFDD35"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551" w:type="dxa"/>
            <w:tcBorders>
              <w:top w:val="nil"/>
              <w:left w:val="nil"/>
              <w:bottom w:val="single" w:sz="4" w:space="0" w:color="auto"/>
              <w:right w:val="single" w:sz="4" w:space="0" w:color="auto"/>
            </w:tcBorders>
            <w:noWrap/>
            <w:vAlign w:val="bottom"/>
            <w:hideMark/>
          </w:tcPr>
          <w:p w14:paraId="4AC63104"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977" w:type="dxa"/>
            <w:tcBorders>
              <w:top w:val="nil"/>
              <w:left w:val="nil"/>
              <w:bottom w:val="single" w:sz="4" w:space="0" w:color="auto"/>
              <w:right w:val="single" w:sz="4" w:space="0" w:color="auto"/>
            </w:tcBorders>
            <w:noWrap/>
            <w:vAlign w:val="bottom"/>
            <w:hideMark/>
          </w:tcPr>
          <w:p w14:paraId="30533C79"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4536" w:type="dxa"/>
            <w:vMerge/>
            <w:tcBorders>
              <w:top w:val="single" w:sz="4" w:space="0" w:color="auto"/>
              <w:left w:val="single" w:sz="4" w:space="0" w:color="auto"/>
              <w:bottom w:val="single" w:sz="8" w:space="0" w:color="000000"/>
              <w:right w:val="single" w:sz="4" w:space="0" w:color="auto"/>
            </w:tcBorders>
            <w:vAlign w:val="center"/>
            <w:hideMark/>
          </w:tcPr>
          <w:p w14:paraId="0443B584"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c>
          <w:tcPr>
            <w:tcW w:w="4111" w:type="dxa"/>
            <w:vMerge/>
            <w:tcBorders>
              <w:top w:val="single" w:sz="4" w:space="0" w:color="auto"/>
              <w:left w:val="single" w:sz="4" w:space="0" w:color="auto"/>
              <w:bottom w:val="single" w:sz="8" w:space="0" w:color="000000"/>
              <w:right w:val="single" w:sz="4" w:space="0" w:color="auto"/>
            </w:tcBorders>
            <w:vAlign w:val="center"/>
            <w:hideMark/>
          </w:tcPr>
          <w:p w14:paraId="34974E56"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r>
      <w:tr w:rsidR="007B159F" w:rsidRPr="00A06A9B" w14:paraId="53AC4EEA" w14:textId="77777777" w:rsidTr="007B159F">
        <w:trPr>
          <w:trHeight w:val="250"/>
        </w:trPr>
        <w:tc>
          <w:tcPr>
            <w:tcW w:w="1720" w:type="dxa"/>
            <w:vMerge/>
            <w:tcBorders>
              <w:top w:val="single" w:sz="4" w:space="0" w:color="auto"/>
              <w:left w:val="single" w:sz="4" w:space="0" w:color="auto"/>
              <w:bottom w:val="single" w:sz="8" w:space="0" w:color="000000"/>
              <w:right w:val="single" w:sz="4" w:space="0" w:color="auto"/>
            </w:tcBorders>
            <w:vAlign w:val="center"/>
            <w:hideMark/>
          </w:tcPr>
          <w:p w14:paraId="77FF111B"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c>
          <w:tcPr>
            <w:tcW w:w="2528" w:type="dxa"/>
            <w:tcBorders>
              <w:top w:val="nil"/>
              <w:left w:val="nil"/>
              <w:bottom w:val="single" w:sz="4" w:space="0" w:color="auto"/>
              <w:right w:val="single" w:sz="4" w:space="0" w:color="auto"/>
            </w:tcBorders>
            <w:noWrap/>
            <w:vAlign w:val="center"/>
            <w:hideMark/>
          </w:tcPr>
          <w:p w14:paraId="0F403A37"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Clinical trial #2</w:t>
            </w:r>
          </w:p>
        </w:tc>
        <w:tc>
          <w:tcPr>
            <w:tcW w:w="2410" w:type="dxa"/>
            <w:tcBorders>
              <w:top w:val="nil"/>
              <w:left w:val="nil"/>
              <w:bottom w:val="single" w:sz="4" w:space="0" w:color="auto"/>
              <w:right w:val="single" w:sz="4" w:space="0" w:color="auto"/>
            </w:tcBorders>
            <w:noWrap/>
            <w:vAlign w:val="bottom"/>
            <w:hideMark/>
          </w:tcPr>
          <w:p w14:paraId="2E05F7C5"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551" w:type="dxa"/>
            <w:tcBorders>
              <w:top w:val="nil"/>
              <w:left w:val="nil"/>
              <w:bottom w:val="single" w:sz="4" w:space="0" w:color="auto"/>
              <w:right w:val="single" w:sz="4" w:space="0" w:color="auto"/>
            </w:tcBorders>
            <w:noWrap/>
            <w:vAlign w:val="bottom"/>
            <w:hideMark/>
          </w:tcPr>
          <w:p w14:paraId="35FF055A"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977" w:type="dxa"/>
            <w:tcBorders>
              <w:top w:val="nil"/>
              <w:left w:val="nil"/>
              <w:bottom w:val="single" w:sz="4" w:space="0" w:color="auto"/>
              <w:right w:val="single" w:sz="4" w:space="0" w:color="auto"/>
            </w:tcBorders>
            <w:noWrap/>
            <w:vAlign w:val="bottom"/>
            <w:hideMark/>
          </w:tcPr>
          <w:p w14:paraId="137D1DCC"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4536" w:type="dxa"/>
            <w:vMerge/>
            <w:tcBorders>
              <w:top w:val="single" w:sz="4" w:space="0" w:color="auto"/>
              <w:left w:val="single" w:sz="4" w:space="0" w:color="auto"/>
              <w:bottom w:val="single" w:sz="8" w:space="0" w:color="000000"/>
              <w:right w:val="single" w:sz="4" w:space="0" w:color="auto"/>
            </w:tcBorders>
            <w:vAlign w:val="center"/>
            <w:hideMark/>
          </w:tcPr>
          <w:p w14:paraId="41ECD541"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c>
          <w:tcPr>
            <w:tcW w:w="4111" w:type="dxa"/>
            <w:vMerge/>
            <w:tcBorders>
              <w:top w:val="single" w:sz="4" w:space="0" w:color="auto"/>
              <w:left w:val="single" w:sz="4" w:space="0" w:color="auto"/>
              <w:bottom w:val="single" w:sz="8" w:space="0" w:color="000000"/>
              <w:right w:val="single" w:sz="4" w:space="0" w:color="auto"/>
            </w:tcBorders>
            <w:vAlign w:val="center"/>
            <w:hideMark/>
          </w:tcPr>
          <w:p w14:paraId="35BDF6A8"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r>
      <w:tr w:rsidR="007B159F" w:rsidRPr="00A06A9B" w14:paraId="395EFA50" w14:textId="77777777" w:rsidTr="007B159F">
        <w:trPr>
          <w:trHeight w:val="250"/>
        </w:trPr>
        <w:tc>
          <w:tcPr>
            <w:tcW w:w="1720" w:type="dxa"/>
            <w:vMerge/>
            <w:tcBorders>
              <w:top w:val="single" w:sz="4" w:space="0" w:color="auto"/>
              <w:left w:val="single" w:sz="4" w:space="0" w:color="auto"/>
              <w:bottom w:val="single" w:sz="8" w:space="0" w:color="000000"/>
              <w:right w:val="single" w:sz="4" w:space="0" w:color="auto"/>
            </w:tcBorders>
            <w:vAlign w:val="center"/>
            <w:hideMark/>
          </w:tcPr>
          <w:p w14:paraId="145C5694"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c>
          <w:tcPr>
            <w:tcW w:w="2528" w:type="dxa"/>
            <w:tcBorders>
              <w:top w:val="nil"/>
              <w:left w:val="nil"/>
              <w:bottom w:val="single" w:sz="4" w:space="0" w:color="auto"/>
              <w:right w:val="single" w:sz="4" w:space="0" w:color="auto"/>
            </w:tcBorders>
            <w:noWrap/>
            <w:vAlign w:val="center"/>
            <w:hideMark/>
          </w:tcPr>
          <w:p w14:paraId="35723100"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Clinical trial #3</w:t>
            </w:r>
          </w:p>
        </w:tc>
        <w:tc>
          <w:tcPr>
            <w:tcW w:w="2410" w:type="dxa"/>
            <w:tcBorders>
              <w:top w:val="nil"/>
              <w:left w:val="nil"/>
              <w:bottom w:val="single" w:sz="4" w:space="0" w:color="auto"/>
              <w:right w:val="single" w:sz="4" w:space="0" w:color="auto"/>
            </w:tcBorders>
            <w:noWrap/>
            <w:vAlign w:val="bottom"/>
            <w:hideMark/>
          </w:tcPr>
          <w:p w14:paraId="78CEA08B"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551" w:type="dxa"/>
            <w:tcBorders>
              <w:top w:val="nil"/>
              <w:left w:val="nil"/>
              <w:bottom w:val="single" w:sz="4" w:space="0" w:color="auto"/>
              <w:right w:val="single" w:sz="4" w:space="0" w:color="auto"/>
            </w:tcBorders>
            <w:noWrap/>
            <w:vAlign w:val="bottom"/>
            <w:hideMark/>
          </w:tcPr>
          <w:p w14:paraId="29F1E2A4"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977" w:type="dxa"/>
            <w:tcBorders>
              <w:top w:val="nil"/>
              <w:left w:val="nil"/>
              <w:bottom w:val="single" w:sz="4" w:space="0" w:color="auto"/>
              <w:right w:val="single" w:sz="4" w:space="0" w:color="auto"/>
            </w:tcBorders>
            <w:noWrap/>
            <w:vAlign w:val="bottom"/>
            <w:hideMark/>
          </w:tcPr>
          <w:p w14:paraId="3F908804"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4536" w:type="dxa"/>
            <w:vMerge/>
            <w:tcBorders>
              <w:top w:val="single" w:sz="4" w:space="0" w:color="auto"/>
              <w:left w:val="single" w:sz="4" w:space="0" w:color="auto"/>
              <w:bottom w:val="single" w:sz="8" w:space="0" w:color="000000"/>
              <w:right w:val="single" w:sz="4" w:space="0" w:color="auto"/>
            </w:tcBorders>
            <w:vAlign w:val="center"/>
            <w:hideMark/>
          </w:tcPr>
          <w:p w14:paraId="26BEE483"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c>
          <w:tcPr>
            <w:tcW w:w="4111" w:type="dxa"/>
            <w:vMerge/>
            <w:tcBorders>
              <w:top w:val="single" w:sz="4" w:space="0" w:color="auto"/>
              <w:left w:val="single" w:sz="4" w:space="0" w:color="auto"/>
              <w:bottom w:val="single" w:sz="8" w:space="0" w:color="000000"/>
              <w:right w:val="single" w:sz="4" w:space="0" w:color="auto"/>
            </w:tcBorders>
            <w:vAlign w:val="center"/>
            <w:hideMark/>
          </w:tcPr>
          <w:p w14:paraId="04512E04"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r>
      <w:tr w:rsidR="007B159F" w:rsidRPr="00A06A9B" w14:paraId="1247315B" w14:textId="77777777" w:rsidTr="007B159F">
        <w:trPr>
          <w:trHeight w:val="260"/>
        </w:trPr>
        <w:tc>
          <w:tcPr>
            <w:tcW w:w="1720" w:type="dxa"/>
            <w:vMerge/>
            <w:tcBorders>
              <w:top w:val="single" w:sz="4" w:space="0" w:color="auto"/>
              <w:left w:val="single" w:sz="4" w:space="0" w:color="auto"/>
              <w:bottom w:val="single" w:sz="12" w:space="0" w:color="auto"/>
              <w:right w:val="single" w:sz="4" w:space="0" w:color="auto"/>
            </w:tcBorders>
            <w:vAlign w:val="center"/>
            <w:hideMark/>
          </w:tcPr>
          <w:p w14:paraId="0BB5A502"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c>
          <w:tcPr>
            <w:tcW w:w="2528" w:type="dxa"/>
            <w:tcBorders>
              <w:top w:val="nil"/>
              <w:left w:val="nil"/>
              <w:bottom w:val="single" w:sz="12" w:space="0" w:color="auto"/>
              <w:right w:val="single" w:sz="4" w:space="0" w:color="auto"/>
            </w:tcBorders>
            <w:noWrap/>
            <w:vAlign w:val="center"/>
            <w:hideMark/>
          </w:tcPr>
          <w:p w14:paraId="5287FE50"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Clinical trial #4</w:t>
            </w:r>
          </w:p>
        </w:tc>
        <w:tc>
          <w:tcPr>
            <w:tcW w:w="2410" w:type="dxa"/>
            <w:tcBorders>
              <w:top w:val="nil"/>
              <w:left w:val="nil"/>
              <w:bottom w:val="single" w:sz="12" w:space="0" w:color="auto"/>
              <w:right w:val="single" w:sz="4" w:space="0" w:color="auto"/>
            </w:tcBorders>
            <w:noWrap/>
            <w:vAlign w:val="bottom"/>
            <w:hideMark/>
          </w:tcPr>
          <w:p w14:paraId="463432EE"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551" w:type="dxa"/>
            <w:tcBorders>
              <w:top w:val="nil"/>
              <w:left w:val="nil"/>
              <w:bottom w:val="single" w:sz="12" w:space="0" w:color="auto"/>
              <w:right w:val="single" w:sz="4" w:space="0" w:color="auto"/>
            </w:tcBorders>
            <w:noWrap/>
            <w:vAlign w:val="bottom"/>
            <w:hideMark/>
          </w:tcPr>
          <w:p w14:paraId="5B92B591"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977" w:type="dxa"/>
            <w:tcBorders>
              <w:top w:val="nil"/>
              <w:left w:val="nil"/>
              <w:bottom w:val="single" w:sz="12" w:space="0" w:color="auto"/>
              <w:right w:val="single" w:sz="4" w:space="0" w:color="auto"/>
            </w:tcBorders>
            <w:noWrap/>
            <w:vAlign w:val="bottom"/>
            <w:hideMark/>
          </w:tcPr>
          <w:p w14:paraId="264C651A"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4536" w:type="dxa"/>
            <w:vMerge/>
            <w:tcBorders>
              <w:top w:val="single" w:sz="4" w:space="0" w:color="auto"/>
              <w:left w:val="single" w:sz="4" w:space="0" w:color="auto"/>
              <w:bottom w:val="single" w:sz="12" w:space="0" w:color="auto"/>
              <w:right w:val="single" w:sz="4" w:space="0" w:color="auto"/>
            </w:tcBorders>
            <w:vAlign w:val="center"/>
            <w:hideMark/>
          </w:tcPr>
          <w:p w14:paraId="5BCF5FB9"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c>
          <w:tcPr>
            <w:tcW w:w="4111" w:type="dxa"/>
            <w:vMerge/>
            <w:tcBorders>
              <w:top w:val="single" w:sz="4" w:space="0" w:color="auto"/>
              <w:left w:val="single" w:sz="4" w:space="0" w:color="auto"/>
              <w:bottom w:val="single" w:sz="12" w:space="0" w:color="auto"/>
              <w:right w:val="single" w:sz="4" w:space="0" w:color="auto"/>
            </w:tcBorders>
            <w:vAlign w:val="center"/>
            <w:hideMark/>
          </w:tcPr>
          <w:p w14:paraId="3D982EC6"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r>
      <w:tr w:rsidR="007B159F" w:rsidRPr="00A06A9B" w14:paraId="5D9B172E" w14:textId="77777777" w:rsidTr="007B159F">
        <w:trPr>
          <w:trHeight w:val="250"/>
        </w:trPr>
        <w:tc>
          <w:tcPr>
            <w:tcW w:w="1720" w:type="dxa"/>
            <w:vMerge w:val="restart"/>
            <w:tcBorders>
              <w:top w:val="single" w:sz="12" w:space="0" w:color="auto"/>
              <w:left w:val="single" w:sz="4" w:space="0" w:color="auto"/>
              <w:bottom w:val="single" w:sz="8" w:space="0" w:color="000000"/>
              <w:right w:val="single" w:sz="4" w:space="0" w:color="auto"/>
            </w:tcBorders>
            <w:noWrap/>
            <w:vAlign w:val="center"/>
            <w:hideMark/>
          </w:tcPr>
          <w:p w14:paraId="503D3837" w14:textId="77777777" w:rsidR="007B159F" w:rsidRPr="00A06A9B" w:rsidRDefault="007B159F" w:rsidP="007B159F">
            <w:pPr>
              <w:spacing w:after="0" w:line="240" w:lineRule="auto"/>
              <w:jc w:val="center"/>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Population #2</w:t>
            </w:r>
          </w:p>
        </w:tc>
        <w:tc>
          <w:tcPr>
            <w:tcW w:w="2528" w:type="dxa"/>
            <w:tcBorders>
              <w:top w:val="single" w:sz="12" w:space="0" w:color="auto"/>
              <w:left w:val="nil"/>
              <w:bottom w:val="single" w:sz="4" w:space="0" w:color="auto"/>
              <w:right w:val="single" w:sz="4" w:space="0" w:color="auto"/>
            </w:tcBorders>
            <w:noWrap/>
            <w:vAlign w:val="center"/>
            <w:hideMark/>
          </w:tcPr>
          <w:p w14:paraId="57A26CBF"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etc.</w:t>
            </w:r>
          </w:p>
        </w:tc>
        <w:tc>
          <w:tcPr>
            <w:tcW w:w="2410" w:type="dxa"/>
            <w:tcBorders>
              <w:top w:val="single" w:sz="12" w:space="0" w:color="auto"/>
              <w:left w:val="nil"/>
              <w:bottom w:val="single" w:sz="4" w:space="0" w:color="auto"/>
              <w:right w:val="single" w:sz="4" w:space="0" w:color="auto"/>
            </w:tcBorders>
            <w:hideMark/>
          </w:tcPr>
          <w:p w14:paraId="0D32C244"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551" w:type="dxa"/>
            <w:tcBorders>
              <w:top w:val="single" w:sz="12" w:space="0" w:color="auto"/>
              <w:left w:val="nil"/>
              <w:bottom w:val="single" w:sz="4" w:space="0" w:color="auto"/>
              <w:right w:val="single" w:sz="4" w:space="0" w:color="auto"/>
            </w:tcBorders>
            <w:hideMark/>
          </w:tcPr>
          <w:p w14:paraId="6F536D3D"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977" w:type="dxa"/>
            <w:tcBorders>
              <w:top w:val="single" w:sz="12" w:space="0" w:color="auto"/>
              <w:left w:val="nil"/>
              <w:bottom w:val="single" w:sz="4" w:space="0" w:color="auto"/>
              <w:right w:val="single" w:sz="4" w:space="0" w:color="auto"/>
            </w:tcBorders>
            <w:hideMark/>
          </w:tcPr>
          <w:p w14:paraId="6E92A263"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4536" w:type="dxa"/>
            <w:vMerge w:val="restart"/>
            <w:tcBorders>
              <w:top w:val="single" w:sz="12" w:space="0" w:color="auto"/>
              <w:left w:val="single" w:sz="4" w:space="0" w:color="auto"/>
              <w:bottom w:val="single" w:sz="8" w:space="0" w:color="000000"/>
              <w:right w:val="single" w:sz="4" w:space="0" w:color="auto"/>
            </w:tcBorders>
            <w:hideMark/>
          </w:tcPr>
          <w:p w14:paraId="0A6C9918" w14:textId="77777777" w:rsidR="007B159F" w:rsidRPr="00A06A9B" w:rsidRDefault="007B159F" w:rsidP="007B159F">
            <w:pPr>
              <w:spacing w:after="0" w:line="240" w:lineRule="auto"/>
              <w:jc w:val="center"/>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4111" w:type="dxa"/>
            <w:vMerge w:val="restart"/>
            <w:tcBorders>
              <w:top w:val="single" w:sz="12" w:space="0" w:color="auto"/>
              <w:left w:val="single" w:sz="4" w:space="0" w:color="auto"/>
              <w:bottom w:val="single" w:sz="8" w:space="0" w:color="000000"/>
              <w:right w:val="single" w:sz="4" w:space="0" w:color="auto"/>
            </w:tcBorders>
            <w:hideMark/>
          </w:tcPr>
          <w:p w14:paraId="0339DB34" w14:textId="77777777" w:rsidR="007B159F" w:rsidRPr="00A06A9B" w:rsidRDefault="007B159F" w:rsidP="007B159F">
            <w:pPr>
              <w:spacing w:after="0" w:line="240" w:lineRule="auto"/>
              <w:jc w:val="center"/>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r>
      <w:tr w:rsidR="007B159F" w:rsidRPr="00A06A9B" w14:paraId="3C3BD3AE" w14:textId="77777777" w:rsidTr="007B159F">
        <w:trPr>
          <w:trHeight w:val="250"/>
        </w:trPr>
        <w:tc>
          <w:tcPr>
            <w:tcW w:w="1720" w:type="dxa"/>
            <w:vMerge/>
            <w:tcBorders>
              <w:top w:val="nil"/>
              <w:left w:val="single" w:sz="4" w:space="0" w:color="auto"/>
              <w:bottom w:val="single" w:sz="8" w:space="0" w:color="000000"/>
              <w:right w:val="single" w:sz="4" w:space="0" w:color="auto"/>
            </w:tcBorders>
            <w:vAlign w:val="center"/>
            <w:hideMark/>
          </w:tcPr>
          <w:p w14:paraId="21D52FE2"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c>
          <w:tcPr>
            <w:tcW w:w="2528" w:type="dxa"/>
            <w:tcBorders>
              <w:top w:val="nil"/>
              <w:left w:val="nil"/>
              <w:bottom w:val="single" w:sz="4" w:space="0" w:color="auto"/>
              <w:right w:val="single" w:sz="4" w:space="0" w:color="auto"/>
            </w:tcBorders>
            <w:noWrap/>
            <w:vAlign w:val="center"/>
            <w:hideMark/>
          </w:tcPr>
          <w:p w14:paraId="0A9AB85D"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410" w:type="dxa"/>
            <w:tcBorders>
              <w:top w:val="nil"/>
              <w:left w:val="nil"/>
              <w:bottom w:val="single" w:sz="4" w:space="0" w:color="auto"/>
              <w:right w:val="single" w:sz="4" w:space="0" w:color="auto"/>
            </w:tcBorders>
            <w:noWrap/>
            <w:vAlign w:val="bottom"/>
            <w:hideMark/>
          </w:tcPr>
          <w:p w14:paraId="6C9F714B"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551" w:type="dxa"/>
            <w:tcBorders>
              <w:top w:val="nil"/>
              <w:left w:val="nil"/>
              <w:bottom w:val="single" w:sz="4" w:space="0" w:color="auto"/>
              <w:right w:val="single" w:sz="4" w:space="0" w:color="auto"/>
            </w:tcBorders>
            <w:noWrap/>
            <w:vAlign w:val="bottom"/>
            <w:hideMark/>
          </w:tcPr>
          <w:p w14:paraId="3BCA3C36"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977" w:type="dxa"/>
            <w:tcBorders>
              <w:top w:val="nil"/>
              <w:left w:val="nil"/>
              <w:bottom w:val="single" w:sz="4" w:space="0" w:color="auto"/>
              <w:right w:val="single" w:sz="4" w:space="0" w:color="auto"/>
            </w:tcBorders>
            <w:noWrap/>
            <w:vAlign w:val="bottom"/>
            <w:hideMark/>
          </w:tcPr>
          <w:p w14:paraId="5874C818"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4536" w:type="dxa"/>
            <w:vMerge/>
            <w:tcBorders>
              <w:top w:val="nil"/>
              <w:left w:val="single" w:sz="4" w:space="0" w:color="auto"/>
              <w:bottom w:val="single" w:sz="8" w:space="0" w:color="000000"/>
              <w:right w:val="single" w:sz="4" w:space="0" w:color="auto"/>
            </w:tcBorders>
            <w:vAlign w:val="center"/>
            <w:hideMark/>
          </w:tcPr>
          <w:p w14:paraId="132D30D1"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c>
          <w:tcPr>
            <w:tcW w:w="4111" w:type="dxa"/>
            <w:vMerge/>
            <w:tcBorders>
              <w:top w:val="nil"/>
              <w:left w:val="single" w:sz="4" w:space="0" w:color="auto"/>
              <w:bottom w:val="single" w:sz="8" w:space="0" w:color="000000"/>
              <w:right w:val="single" w:sz="4" w:space="0" w:color="auto"/>
            </w:tcBorders>
            <w:vAlign w:val="center"/>
            <w:hideMark/>
          </w:tcPr>
          <w:p w14:paraId="47B66B36"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r>
      <w:tr w:rsidR="007B159F" w:rsidRPr="00A06A9B" w14:paraId="02D32F51" w14:textId="77777777" w:rsidTr="007B159F">
        <w:trPr>
          <w:trHeight w:val="250"/>
        </w:trPr>
        <w:tc>
          <w:tcPr>
            <w:tcW w:w="1720" w:type="dxa"/>
            <w:vMerge/>
            <w:tcBorders>
              <w:top w:val="nil"/>
              <w:left w:val="single" w:sz="4" w:space="0" w:color="auto"/>
              <w:bottom w:val="single" w:sz="8" w:space="0" w:color="000000"/>
              <w:right w:val="single" w:sz="4" w:space="0" w:color="auto"/>
            </w:tcBorders>
            <w:vAlign w:val="center"/>
            <w:hideMark/>
          </w:tcPr>
          <w:p w14:paraId="5E34849D"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c>
          <w:tcPr>
            <w:tcW w:w="2528" w:type="dxa"/>
            <w:tcBorders>
              <w:top w:val="nil"/>
              <w:left w:val="nil"/>
              <w:bottom w:val="single" w:sz="4" w:space="0" w:color="auto"/>
              <w:right w:val="single" w:sz="4" w:space="0" w:color="auto"/>
            </w:tcBorders>
            <w:noWrap/>
            <w:vAlign w:val="center"/>
            <w:hideMark/>
          </w:tcPr>
          <w:p w14:paraId="1FD0630A"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410" w:type="dxa"/>
            <w:tcBorders>
              <w:top w:val="nil"/>
              <w:left w:val="nil"/>
              <w:bottom w:val="single" w:sz="4" w:space="0" w:color="auto"/>
              <w:right w:val="single" w:sz="4" w:space="0" w:color="auto"/>
            </w:tcBorders>
            <w:noWrap/>
            <w:vAlign w:val="bottom"/>
            <w:hideMark/>
          </w:tcPr>
          <w:p w14:paraId="18742E9B"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551" w:type="dxa"/>
            <w:tcBorders>
              <w:top w:val="nil"/>
              <w:left w:val="nil"/>
              <w:bottom w:val="single" w:sz="4" w:space="0" w:color="auto"/>
              <w:right w:val="single" w:sz="4" w:space="0" w:color="auto"/>
            </w:tcBorders>
            <w:noWrap/>
            <w:vAlign w:val="bottom"/>
            <w:hideMark/>
          </w:tcPr>
          <w:p w14:paraId="3C2CBE16"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977" w:type="dxa"/>
            <w:tcBorders>
              <w:top w:val="nil"/>
              <w:left w:val="nil"/>
              <w:bottom w:val="single" w:sz="4" w:space="0" w:color="auto"/>
              <w:right w:val="single" w:sz="4" w:space="0" w:color="auto"/>
            </w:tcBorders>
            <w:noWrap/>
            <w:vAlign w:val="bottom"/>
            <w:hideMark/>
          </w:tcPr>
          <w:p w14:paraId="1B851A4D"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4536" w:type="dxa"/>
            <w:vMerge/>
            <w:tcBorders>
              <w:top w:val="nil"/>
              <w:left w:val="single" w:sz="4" w:space="0" w:color="auto"/>
              <w:bottom w:val="single" w:sz="8" w:space="0" w:color="000000"/>
              <w:right w:val="single" w:sz="4" w:space="0" w:color="auto"/>
            </w:tcBorders>
            <w:vAlign w:val="center"/>
            <w:hideMark/>
          </w:tcPr>
          <w:p w14:paraId="5C4EBA50"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c>
          <w:tcPr>
            <w:tcW w:w="4111" w:type="dxa"/>
            <w:vMerge/>
            <w:tcBorders>
              <w:top w:val="nil"/>
              <w:left w:val="single" w:sz="4" w:space="0" w:color="auto"/>
              <w:bottom w:val="single" w:sz="8" w:space="0" w:color="000000"/>
              <w:right w:val="single" w:sz="4" w:space="0" w:color="auto"/>
            </w:tcBorders>
            <w:vAlign w:val="center"/>
            <w:hideMark/>
          </w:tcPr>
          <w:p w14:paraId="534E6DB2"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r>
      <w:tr w:rsidR="007B159F" w:rsidRPr="00A06A9B" w14:paraId="19D95315" w14:textId="77777777" w:rsidTr="007B159F">
        <w:trPr>
          <w:trHeight w:val="260"/>
        </w:trPr>
        <w:tc>
          <w:tcPr>
            <w:tcW w:w="1720" w:type="dxa"/>
            <w:vMerge/>
            <w:tcBorders>
              <w:top w:val="nil"/>
              <w:left w:val="single" w:sz="4" w:space="0" w:color="auto"/>
              <w:bottom w:val="single" w:sz="12" w:space="0" w:color="auto"/>
              <w:right w:val="single" w:sz="4" w:space="0" w:color="auto"/>
            </w:tcBorders>
            <w:vAlign w:val="center"/>
            <w:hideMark/>
          </w:tcPr>
          <w:p w14:paraId="7ACAEE3E"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c>
          <w:tcPr>
            <w:tcW w:w="2528" w:type="dxa"/>
            <w:tcBorders>
              <w:top w:val="nil"/>
              <w:left w:val="nil"/>
              <w:bottom w:val="single" w:sz="12" w:space="0" w:color="auto"/>
              <w:right w:val="single" w:sz="4" w:space="0" w:color="auto"/>
            </w:tcBorders>
            <w:noWrap/>
            <w:vAlign w:val="center"/>
            <w:hideMark/>
          </w:tcPr>
          <w:p w14:paraId="5622CD17"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410" w:type="dxa"/>
            <w:tcBorders>
              <w:top w:val="nil"/>
              <w:left w:val="nil"/>
              <w:bottom w:val="single" w:sz="12" w:space="0" w:color="auto"/>
              <w:right w:val="single" w:sz="4" w:space="0" w:color="auto"/>
            </w:tcBorders>
            <w:noWrap/>
            <w:vAlign w:val="bottom"/>
            <w:hideMark/>
          </w:tcPr>
          <w:p w14:paraId="1022D2FC"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551" w:type="dxa"/>
            <w:tcBorders>
              <w:top w:val="nil"/>
              <w:left w:val="nil"/>
              <w:bottom w:val="single" w:sz="12" w:space="0" w:color="auto"/>
              <w:right w:val="single" w:sz="4" w:space="0" w:color="auto"/>
            </w:tcBorders>
            <w:noWrap/>
            <w:vAlign w:val="bottom"/>
            <w:hideMark/>
          </w:tcPr>
          <w:p w14:paraId="2304C90B"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977" w:type="dxa"/>
            <w:tcBorders>
              <w:top w:val="nil"/>
              <w:left w:val="nil"/>
              <w:bottom w:val="single" w:sz="12" w:space="0" w:color="auto"/>
              <w:right w:val="single" w:sz="4" w:space="0" w:color="auto"/>
            </w:tcBorders>
            <w:noWrap/>
            <w:vAlign w:val="bottom"/>
            <w:hideMark/>
          </w:tcPr>
          <w:p w14:paraId="09A16704"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4536" w:type="dxa"/>
            <w:vMerge/>
            <w:tcBorders>
              <w:top w:val="nil"/>
              <w:left w:val="single" w:sz="4" w:space="0" w:color="auto"/>
              <w:bottom w:val="single" w:sz="12" w:space="0" w:color="auto"/>
              <w:right w:val="single" w:sz="4" w:space="0" w:color="auto"/>
            </w:tcBorders>
            <w:vAlign w:val="center"/>
            <w:hideMark/>
          </w:tcPr>
          <w:p w14:paraId="0FF9CAE4"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c>
          <w:tcPr>
            <w:tcW w:w="4111" w:type="dxa"/>
            <w:vMerge/>
            <w:tcBorders>
              <w:top w:val="nil"/>
              <w:left w:val="single" w:sz="4" w:space="0" w:color="auto"/>
              <w:bottom w:val="single" w:sz="12" w:space="0" w:color="auto"/>
              <w:right w:val="single" w:sz="4" w:space="0" w:color="auto"/>
            </w:tcBorders>
            <w:vAlign w:val="center"/>
            <w:hideMark/>
          </w:tcPr>
          <w:p w14:paraId="7CE93669"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r>
      <w:tr w:rsidR="007B159F" w:rsidRPr="00A06A9B" w14:paraId="272F0960" w14:textId="77777777" w:rsidTr="007B159F">
        <w:trPr>
          <w:trHeight w:val="250"/>
        </w:trPr>
        <w:tc>
          <w:tcPr>
            <w:tcW w:w="1720" w:type="dxa"/>
            <w:vMerge w:val="restart"/>
            <w:tcBorders>
              <w:top w:val="single" w:sz="12" w:space="0" w:color="auto"/>
              <w:left w:val="single" w:sz="4" w:space="0" w:color="auto"/>
              <w:bottom w:val="single" w:sz="8" w:space="0" w:color="000000"/>
              <w:right w:val="single" w:sz="4" w:space="0" w:color="auto"/>
            </w:tcBorders>
            <w:noWrap/>
            <w:vAlign w:val="center"/>
            <w:hideMark/>
          </w:tcPr>
          <w:p w14:paraId="415506B3" w14:textId="77777777" w:rsidR="007B159F" w:rsidRPr="00A06A9B" w:rsidRDefault="007B159F" w:rsidP="007B159F">
            <w:pPr>
              <w:spacing w:after="0" w:line="240" w:lineRule="auto"/>
              <w:jc w:val="center"/>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Population #3</w:t>
            </w:r>
          </w:p>
        </w:tc>
        <w:tc>
          <w:tcPr>
            <w:tcW w:w="2528" w:type="dxa"/>
            <w:tcBorders>
              <w:top w:val="single" w:sz="12" w:space="0" w:color="auto"/>
              <w:left w:val="nil"/>
              <w:bottom w:val="single" w:sz="4" w:space="0" w:color="auto"/>
              <w:right w:val="single" w:sz="4" w:space="0" w:color="auto"/>
            </w:tcBorders>
            <w:noWrap/>
            <w:vAlign w:val="center"/>
            <w:hideMark/>
          </w:tcPr>
          <w:p w14:paraId="75EED219"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etc.</w:t>
            </w:r>
          </w:p>
        </w:tc>
        <w:tc>
          <w:tcPr>
            <w:tcW w:w="2410" w:type="dxa"/>
            <w:tcBorders>
              <w:top w:val="single" w:sz="12" w:space="0" w:color="auto"/>
              <w:left w:val="nil"/>
              <w:bottom w:val="single" w:sz="4" w:space="0" w:color="auto"/>
              <w:right w:val="single" w:sz="4" w:space="0" w:color="auto"/>
            </w:tcBorders>
            <w:hideMark/>
          </w:tcPr>
          <w:p w14:paraId="65FEF773"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551" w:type="dxa"/>
            <w:tcBorders>
              <w:top w:val="single" w:sz="12" w:space="0" w:color="auto"/>
              <w:left w:val="nil"/>
              <w:bottom w:val="single" w:sz="4" w:space="0" w:color="auto"/>
              <w:right w:val="single" w:sz="4" w:space="0" w:color="auto"/>
            </w:tcBorders>
            <w:hideMark/>
          </w:tcPr>
          <w:p w14:paraId="0167E60D"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977" w:type="dxa"/>
            <w:tcBorders>
              <w:top w:val="single" w:sz="12" w:space="0" w:color="auto"/>
              <w:left w:val="nil"/>
              <w:bottom w:val="single" w:sz="4" w:space="0" w:color="auto"/>
              <w:right w:val="single" w:sz="4" w:space="0" w:color="auto"/>
            </w:tcBorders>
            <w:hideMark/>
          </w:tcPr>
          <w:p w14:paraId="09F12A16"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4536" w:type="dxa"/>
            <w:vMerge w:val="restart"/>
            <w:tcBorders>
              <w:top w:val="single" w:sz="12" w:space="0" w:color="auto"/>
              <w:left w:val="single" w:sz="4" w:space="0" w:color="auto"/>
              <w:bottom w:val="single" w:sz="8" w:space="0" w:color="000000"/>
              <w:right w:val="single" w:sz="4" w:space="0" w:color="auto"/>
            </w:tcBorders>
            <w:hideMark/>
          </w:tcPr>
          <w:p w14:paraId="03E84BAA" w14:textId="77777777" w:rsidR="007B159F" w:rsidRPr="00A06A9B" w:rsidRDefault="007B159F" w:rsidP="007B159F">
            <w:pPr>
              <w:spacing w:after="0" w:line="240" w:lineRule="auto"/>
              <w:jc w:val="center"/>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4111" w:type="dxa"/>
            <w:vMerge w:val="restart"/>
            <w:tcBorders>
              <w:top w:val="single" w:sz="12" w:space="0" w:color="auto"/>
              <w:left w:val="single" w:sz="4" w:space="0" w:color="auto"/>
              <w:bottom w:val="single" w:sz="8" w:space="0" w:color="000000"/>
              <w:right w:val="single" w:sz="4" w:space="0" w:color="auto"/>
            </w:tcBorders>
            <w:hideMark/>
          </w:tcPr>
          <w:p w14:paraId="01AB642F" w14:textId="77777777" w:rsidR="007B159F" w:rsidRPr="00A06A9B" w:rsidRDefault="007B159F" w:rsidP="007B159F">
            <w:pPr>
              <w:spacing w:after="0" w:line="240" w:lineRule="auto"/>
              <w:jc w:val="center"/>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r>
      <w:tr w:rsidR="007B159F" w:rsidRPr="00A06A9B" w14:paraId="0F1F78EE" w14:textId="77777777" w:rsidTr="007B159F">
        <w:trPr>
          <w:trHeight w:val="250"/>
        </w:trPr>
        <w:tc>
          <w:tcPr>
            <w:tcW w:w="1720" w:type="dxa"/>
            <w:vMerge/>
            <w:tcBorders>
              <w:top w:val="nil"/>
              <w:left w:val="single" w:sz="4" w:space="0" w:color="auto"/>
              <w:bottom w:val="single" w:sz="8" w:space="0" w:color="000000"/>
              <w:right w:val="single" w:sz="4" w:space="0" w:color="auto"/>
            </w:tcBorders>
            <w:vAlign w:val="center"/>
            <w:hideMark/>
          </w:tcPr>
          <w:p w14:paraId="52875CBD"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c>
          <w:tcPr>
            <w:tcW w:w="2528" w:type="dxa"/>
            <w:tcBorders>
              <w:top w:val="nil"/>
              <w:left w:val="nil"/>
              <w:bottom w:val="single" w:sz="4" w:space="0" w:color="auto"/>
              <w:right w:val="single" w:sz="4" w:space="0" w:color="auto"/>
            </w:tcBorders>
            <w:noWrap/>
            <w:vAlign w:val="center"/>
            <w:hideMark/>
          </w:tcPr>
          <w:p w14:paraId="2DFDA1FB"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410" w:type="dxa"/>
            <w:tcBorders>
              <w:top w:val="nil"/>
              <w:left w:val="nil"/>
              <w:bottom w:val="single" w:sz="4" w:space="0" w:color="auto"/>
              <w:right w:val="single" w:sz="4" w:space="0" w:color="auto"/>
            </w:tcBorders>
            <w:noWrap/>
            <w:vAlign w:val="bottom"/>
            <w:hideMark/>
          </w:tcPr>
          <w:p w14:paraId="763BD7C6"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551" w:type="dxa"/>
            <w:tcBorders>
              <w:top w:val="nil"/>
              <w:left w:val="nil"/>
              <w:bottom w:val="single" w:sz="4" w:space="0" w:color="auto"/>
              <w:right w:val="single" w:sz="4" w:space="0" w:color="auto"/>
            </w:tcBorders>
            <w:noWrap/>
            <w:vAlign w:val="bottom"/>
            <w:hideMark/>
          </w:tcPr>
          <w:p w14:paraId="70D1AC9B"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977" w:type="dxa"/>
            <w:tcBorders>
              <w:top w:val="nil"/>
              <w:left w:val="nil"/>
              <w:bottom w:val="single" w:sz="4" w:space="0" w:color="auto"/>
              <w:right w:val="single" w:sz="4" w:space="0" w:color="auto"/>
            </w:tcBorders>
            <w:noWrap/>
            <w:vAlign w:val="bottom"/>
            <w:hideMark/>
          </w:tcPr>
          <w:p w14:paraId="36D7A2E1"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4536" w:type="dxa"/>
            <w:vMerge/>
            <w:tcBorders>
              <w:top w:val="nil"/>
              <w:left w:val="single" w:sz="4" w:space="0" w:color="auto"/>
              <w:bottom w:val="single" w:sz="8" w:space="0" w:color="000000"/>
              <w:right w:val="single" w:sz="4" w:space="0" w:color="auto"/>
            </w:tcBorders>
            <w:vAlign w:val="center"/>
            <w:hideMark/>
          </w:tcPr>
          <w:p w14:paraId="09907339"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c>
          <w:tcPr>
            <w:tcW w:w="4111" w:type="dxa"/>
            <w:vMerge/>
            <w:tcBorders>
              <w:top w:val="nil"/>
              <w:left w:val="single" w:sz="4" w:space="0" w:color="auto"/>
              <w:bottom w:val="single" w:sz="8" w:space="0" w:color="000000"/>
              <w:right w:val="single" w:sz="4" w:space="0" w:color="auto"/>
            </w:tcBorders>
            <w:vAlign w:val="center"/>
            <w:hideMark/>
          </w:tcPr>
          <w:p w14:paraId="05A11140"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r>
      <w:tr w:rsidR="007B159F" w:rsidRPr="00A06A9B" w14:paraId="29525D2B" w14:textId="77777777" w:rsidTr="007B159F">
        <w:trPr>
          <w:trHeight w:val="250"/>
        </w:trPr>
        <w:tc>
          <w:tcPr>
            <w:tcW w:w="1720" w:type="dxa"/>
            <w:vMerge/>
            <w:tcBorders>
              <w:top w:val="nil"/>
              <w:left w:val="single" w:sz="4" w:space="0" w:color="auto"/>
              <w:bottom w:val="single" w:sz="8" w:space="0" w:color="000000"/>
              <w:right w:val="single" w:sz="4" w:space="0" w:color="auto"/>
            </w:tcBorders>
            <w:vAlign w:val="center"/>
            <w:hideMark/>
          </w:tcPr>
          <w:p w14:paraId="456EEA2C"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c>
          <w:tcPr>
            <w:tcW w:w="2528" w:type="dxa"/>
            <w:tcBorders>
              <w:top w:val="nil"/>
              <w:left w:val="nil"/>
              <w:bottom w:val="single" w:sz="4" w:space="0" w:color="auto"/>
              <w:right w:val="single" w:sz="4" w:space="0" w:color="auto"/>
            </w:tcBorders>
            <w:noWrap/>
            <w:vAlign w:val="center"/>
            <w:hideMark/>
          </w:tcPr>
          <w:p w14:paraId="4B1A7E2A"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410" w:type="dxa"/>
            <w:tcBorders>
              <w:top w:val="nil"/>
              <w:left w:val="nil"/>
              <w:bottom w:val="single" w:sz="4" w:space="0" w:color="auto"/>
              <w:right w:val="single" w:sz="4" w:space="0" w:color="auto"/>
            </w:tcBorders>
            <w:noWrap/>
            <w:vAlign w:val="bottom"/>
            <w:hideMark/>
          </w:tcPr>
          <w:p w14:paraId="5266E57A"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551" w:type="dxa"/>
            <w:tcBorders>
              <w:top w:val="nil"/>
              <w:left w:val="nil"/>
              <w:bottom w:val="single" w:sz="4" w:space="0" w:color="auto"/>
              <w:right w:val="single" w:sz="4" w:space="0" w:color="auto"/>
            </w:tcBorders>
            <w:noWrap/>
            <w:vAlign w:val="bottom"/>
            <w:hideMark/>
          </w:tcPr>
          <w:p w14:paraId="507E5974"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977" w:type="dxa"/>
            <w:tcBorders>
              <w:top w:val="nil"/>
              <w:left w:val="nil"/>
              <w:bottom w:val="single" w:sz="4" w:space="0" w:color="auto"/>
              <w:right w:val="single" w:sz="4" w:space="0" w:color="auto"/>
            </w:tcBorders>
            <w:noWrap/>
            <w:vAlign w:val="bottom"/>
            <w:hideMark/>
          </w:tcPr>
          <w:p w14:paraId="1A3A92B5"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4536" w:type="dxa"/>
            <w:vMerge/>
            <w:tcBorders>
              <w:top w:val="nil"/>
              <w:left w:val="single" w:sz="4" w:space="0" w:color="auto"/>
              <w:bottom w:val="single" w:sz="8" w:space="0" w:color="000000"/>
              <w:right w:val="single" w:sz="4" w:space="0" w:color="auto"/>
            </w:tcBorders>
            <w:vAlign w:val="center"/>
            <w:hideMark/>
          </w:tcPr>
          <w:p w14:paraId="541ADBE1"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c>
          <w:tcPr>
            <w:tcW w:w="4111" w:type="dxa"/>
            <w:vMerge/>
            <w:tcBorders>
              <w:top w:val="nil"/>
              <w:left w:val="single" w:sz="4" w:space="0" w:color="auto"/>
              <w:bottom w:val="single" w:sz="8" w:space="0" w:color="000000"/>
              <w:right w:val="single" w:sz="4" w:space="0" w:color="auto"/>
            </w:tcBorders>
            <w:vAlign w:val="center"/>
            <w:hideMark/>
          </w:tcPr>
          <w:p w14:paraId="2572346F"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r>
      <w:tr w:rsidR="007B159F" w:rsidRPr="00A06A9B" w14:paraId="25853F39" w14:textId="77777777" w:rsidTr="007B159F">
        <w:trPr>
          <w:trHeight w:val="260"/>
        </w:trPr>
        <w:tc>
          <w:tcPr>
            <w:tcW w:w="1720" w:type="dxa"/>
            <w:vMerge/>
            <w:tcBorders>
              <w:top w:val="nil"/>
              <w:left w:val="single" w:sz="4" w:space="0" w:color="auto"/>
              <w:bottom w:val="single" w:sz="12" w:space="0" w:color="auto"/>
              <w:right w:val="single" w:sz="4" w:space="0" w:color="auto"/>
            </w:tcBorders>
            <w:vAlign w:val="center"/>
            <w:hideMark/>
          </w:tcPr>
          <w:p w14:paraId="57CD021A"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c>
          <w:tcPr>
            <w:tcW w:w="2528" w:type="dxa"/>
            <w:tcBorders>
              <w:top w:val="nil"/>
              <w:left w:val="nil"/>
              <w:bottom w:val="single" w:sz="12" w:space="0" w:color="auto"/>
              <w:right w:val="single" w:sz="4" w:space="0" w:color="auto"/>
            </w:tcBorders>
            <w:noWrap/>
            <w:vAlign w:val="center"/>
            <w:hideMark/>
          </w:tcPr>
          <w:p w14:paraId="6ED68439"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410" w:type="dxa"/>
            <w:tcBorders>
              <w:top w:val="nil"/>
              <w:left w:val="nil"/>
              <w:bottom w:val="single" w:sz="12" w:space="0" w:color="auto"/>
              <w:right w:val="single" w:sz="4" w:space="0" w:color="auto"/>
            </w:tcBorders>
            <w:noWrap/>
            <w:vAlign w:val="bottom"/>
            <w:hideMark/>
          </w:tcPr>
          <w:p w14:paraId="369B6450"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551" w:type="dxa"/>
            <w:tcBorders>
              <w:top w:val="nil"/>
              <w:left w:val="nil"/>
              <w:bottom w:val="single" w:sz="12" w:space="0" w:color="auto"/>
              <w:right w:val="single" w:sz="4" w:space="0" w:color="auto"/>
            </w:tcBorders>
            <w:noWrap/>
            <w:vAlign w:val="bottom"/>
            <w:hideMark/>
          </w:tcPr>
          <w:p w14:paraId="0264103B"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977" w:type="dxa"/>
            <w:tcBorders>
              <w:top w:val="nil"/>
              <w:left w:val="nil"/>
              <w:bottom w:val="single" w:sz="12" w:space="0" w:color="auto"/>
              <w:right w:val="single" w:sz="4" w:space="0" w:color="auto"/>
            </w:tcBorders>
            <w:noWrap/>
            <w:vAlign w:val="bottom"/>
            <w:hideMark/>
          </w:tcPr>
          <w:p w14:paraId="53CF5FA1"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4536" w:type="dxa"/>
            <w:vMerge/>
            <w:tcBorders>
              <w:top w:val="nil"/>
              <w:left w:val="single" w:sz="4" w:space="0" w:color="auto"/>
              <w:bottom w:val="single" w:sz="12" w:space="0" w:color="auto"/>
              <w:right w:val="single" w:sz="4" w:space="0" w:color="auto"/>
            </w:tcBorders>
            <w:vAlign w:val="center"/>
            <w:hideMark/>
          </w:tcPr>
          <w:p w14:paraId="5594862C"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c>
          <w:tcPr>
            <w:tcW w:w="4111" w:type="dxa"/>
            <w:vMerge/>
            <w:tcBorders>
              <w:top w:val="nil"/>
              <w:left w:val="single" w:sz="4" w:space="0" w:color="auto"/>
              <w:bottom w:val="single" w:sz="12" w:space="0" w:color="auto"/>
              <w:right w:val="single" w:sz="4" w:space="0" w:color="auto"/>
            </w:tcBorders>
            <w:vAlign w:val="center"/>
            <w:hideMark/>
          </w:tcPr>
          <w:p w14:paraId="3DEC18EE"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r>
      <w:tr w:rsidR="007B159F" w:rsidRPr="00A06A9B" w14:paraId="7B8FE989" w14:textId="77777777" w:rsidTr="007B159F">
        <w:trPr>
          <w:trHeight w:val="250"/>
        </w:trPr>
        <w:tc>
          <w:tcPr>
            <w:tcW w:w="1720" w:type="dxa"/>
            <w:vMerge w:val="restart"/>
            <w:tcBorders>
              <w:top w:val="single" w:sz="12" w:space="0" w:color="auto"/>
              <w:left w:val="single" w:sz="4" w:space="0" w:color="auto"/>
              <w:bottom w:val="single" w:sz="8" w:space="0" w:color="000000"/>
              <w:right w:val="single" w:sz="4" w:space="0" w:color="auto"/>
            </w:tcBorders>
            <w:noWrap/>
            <w:vAlign w:val="center"/>
            <w:hideMark/>
          </w:tcPr>
          <w:p w14:paraId="03D7429B" w14:textId="77777777" w:rsidR="007B159F" w:rsidRPr="00A06A9B" w:rsidRDefault="007B159F" w:rsidP="007B159F">
            <w:pPr>
              <w:spacing w:after="0" w:line="240" w:lineRule="auto"/>
              <w:jc w:val="center"/>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Population #4</w:t>
            </w:r>
          </w:p>
        </w:tc>
        <w:tc>
          <w:tcPr>
            <w:tcW w:w="2528" w:type="dxa"/>
            <w:tcBorders>
              <w:top w:val="single" w:sz="12" w:space="0" w:color="auto"/>
              <w:left w:val="nil"/>
              <w:bottom w:val="single" w:sz="4" w:space="0" w:color="auto"/>
              <w:right w:val="single" w:sz="4" w:space="0" w:color="auto"/>
            </w:tcBorders>
            <w:noWrap/>
            <w:vAlign w:val="center"/>
            <w:hideMark/>
          </w:tcPr>
          <w:p w14:paraId="7422E010"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etc.</w:t>
            </w:r>
          </w:p>
        </w:tc>
        <w:tc>
          <w:tcPr>
            <w:tcW w:w="2410" w:type="dxa"/>
            <w:tcBorders>
              <w:top w:val="single" w:sz="12" w:space="0" w:color="auto"/>
              <w:left w:val="nil"/>
              <w:bottom w:val="single" w:sz="4" w:space="0" w:color="auto"/>
              <w:right w:val="single" w:sz="4" w:space="0" w:color="auto"/>
            </w:tcBorders>
            <w:hideMark/>
          </w:tcPr>
          <w:p w14:paraId="78FAC902"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551" w:type="dxa"/>
            <w:tcBorders>
              <w:top w:val="single" w:sz="12" w:space="0" w:color="auto"/>
              <w:left w:val="nil"/>
              <w:bottom w:val="single" w:sz="4" w:space="0" w:color="auto"/>
              <w:right w:val="single" w:sz="4" w:space="0" w:color="auto"/>
            </w:tcBorders>
            <w:hideMark/>
          </w:tcPr>
          <w:p w14:paraId="47FE5407"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977" w:type="dxa"/>
            <w:tcBorders>
              <w:top w:val="single" w:sz="12" w:space="0" w:color="auto"/>
              <w:left w:val="nil"/>
              <w:bottom w:val="single" w:sz="4" w:space="0" w:color="auto"/>
              <w:right w:val="single" w:sz="4" w:space="0" w:color="auto"/>
            </w:tcBorders>
            <w:hideMark/>
          </w:tcPr>
          <w:p w14:paraId="02EA6597"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4536" w:type="dxa"/>
            <w:vMerge w:val="restart"/>
            <w:tcBorders>
              <w:top w:val="single" w:sz="12" w:space="0" w:color="auto"/>
              <w:left w:val="single" w:sz="4" w:space="0" w:color="auto"/>
              <w:bottom w:val="single" w:sz="8" w:space="0" w:color="000000"/>
              <w:right w:val="single" w:sz="4" w:space="0" w:color="auto"/>
            </w:tcBorders>
            <w:hideMark/>
          </w:tcPr>
          <w:p w14:paraId="75480B8C" w14:textId="77777777" w:rsidR="007B159F" w:rsidRPr="00A06A9B" w:rsidRDefault="007B159F" w:rsidP="007B159F">
            <w:pPr>
              <w:spacing w:after="0" w:line="240" w:lineRule="auto"/>
              <w:jc w:val="center"/>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4111" w:type="dxa"/>
            <w:vMerge w:val="restart"/>
            <w:tcBorders>
              <w:top w:val="single" w:sz="12" w:space="0" w:color="auto"/>
              <w:left w:val="single" w:sz="4" w:space="0" w:color="auto"/>
              <w:bottom w:val="single" w:sz="8" w:space="0" w:color="000000"/>
              <w:right w:val="single" w:sz="4" w:space="0" w:color="auto"/>
            </w:tcBorders>
            <w:hideMark/>
          </w:tcPr>
          <w:p w14:paraId="67EFF4D1" w14:textId="77777777" w:rsidR="007B159F" w:rsidRPr="00A06A9B" w:rsidRDefault="007B159F" w:rsidP="007B159F">
            <w:pPr>
              <w:spacing w:after="0" w:line="240" w:lineRule="auto"/>
              <w:jc w:val="center"/>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r>
      <w:tr w:rsidR="007B159F" w:rsidRPr="00A06A9B" w14:paraId="283869A8" w14:textId="77777777" w:rsidTr="007B159F">
        <w:trPr>
          <w:trHeight w:val="250"/>
        </w:trPr>
        <w:tc>
          <w:tcPr>
            <w:tcW w:w="1720" w:type="dxa"/>
            <w:vMerge/>
            <w:tcBorders>
              <w:top w:val="nil"/>
              <w:left w:val="single" w:sz="4" w:space="0" w:color="auto"/>
              <w:bottom w:val="single" w:sz="8" w:space="0" w:color="000000"/>
              <w:right w:val="single" w:sz="4" w:space="0" w:color="auto"/>
            </w:tcBorders>
            <w:vAlign w:val="center"/>
            <w:hideMark/>
          </w:tcPr>
          <w:p w14:paraId="5AFF3763"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c>
          <w:tcPr>
            <w:tcW w:w="2528" w:type="dxa"/>
            <w:tcBorders>
              <w:top w:val="nil"/>
              <w:left w:val="nil"/>
              <w:bottom w:val="single" w:sz="4" w:space="0" w:color="auto"/>
              <w:right w:val="single" w:sz="4" w:space="0" w:color="auto"/>
            </w:tcBorders>
            <w:noWrap/>
            <w:vAlign w:val="center"/>
            <w:hideMark/>
          </w:tcPr>
          <w:p w14:paraId="0BFCAC4E"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410" w:type="dxa"/>
            <w:tcBorders>
              <w:top w:val="nil"/>
              <w:left w:val="nil"/>
              <w:bottom w:val="single" w:sz="4" w:space="0" w:color="auto"/>
              <w:right w:val="single" w:sz="4" w:space="0" w:color="auto"/>
            </w:tcBorders>
            <w:noWrap/>
            <w:vAlign w:val="bottom"/>
            <w:hideMark/>
          </w:tcPr>
          <w:p w14:paraId="776AEFEB"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551" w:type="dxa"/>
            <w:tcBorders>
              <w:top w:val="nil"/>
              <w:left w:val="nil"/>
              <w:bottom w:val="single" w:sz="4" w:space="0" w:color="auto"/>
              <w:right w:val="single" w:sz="4" w:space="0" w:color="auto"/>
            </w:tcBorders>
            <w:noWrap/>
            <w:vAlign w:val="bottom"/>
            <w:hideMark/>
          </w:tcPr>
          <w:p w14:paraId="5C83046E"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977" w:type="dxa"/>
            <w:tcBorders>
              <w:top w:val="nil"/>
              <w:left w:val="nil"/>
              <w:bottom w:val="single" w:sz="4" w:space="0" w:color="auto"/>
              <w:right w:val="single" w:sz="4" w:space="0" w:color="auto"/>
            </w:tcBorders>
            <w:noWrap/>
            <w:vAlign w:val="bottom"/>
            <w:hideMark/>
          </w:tcPr>
          <w:p w14:paraId="294DC5C1"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4536" w:type="dxa"/>
            <w:vMerge/>
            <w:tcBorders>
              <w:top w:val="nil"/>
              <w:left w:val="single" w:sz="4" w:space="0" w:color="auto"/>
              <w:bottom w:val="single" w:sz="8" w:space="0" w:color="000000"/>
              <w:right w:val="single" w:sz="4" w:space="0" w:color="auto"/>
            </w:tcBorders>
            <w:vAlign w:val="center"/>
            <w:hideMark/>
          </w:tcPr>
          <w:p w14:paraId="27A85621"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c>
          <w:tcPr>
            <w:tcW w:w="4111" w:type="dxa"/>
            <w:vMerge/>
            <w:tcBorders>
              <w:top w:val="nil"/>
              <w:left w:val="single" w:sz="4" w:space="0" w:color="auto"/>
              <w:bottom w:val="single" w:sz="8" w:space="0" w:color="000000"/>
              <w:right w:val="single" w:sz="4" w:space="0" w:color="auto"/>
            </w:tcBorders>
            <w:vAlign w:val="center"/>
            <w:hideMark/>
          </w:tcPr>
          <w:p w14:paraId="7FFD01BB"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r>
      <w:tr w:rsidR="007B159F" w:rsidRPr="00A06A9B" w14:paraId="1D76F400" w14:textId="77777777" w:rsidTr="007B159F">
        <w:trPr>
          <w:trHeight w:val="250"/>
        </w:trPr>
        <w:tc>
          <w:tcPr>
            <w:tcW w:w="1720" w:type="dxa"/>
            <w:vMerge/>
            <w:tcBorders>
              <w:top w:val="nil"/>
              <w:left w:val="single" w:sz="4" w:space="0" w:color="auto"/>
              <w:bottom w:val="single" w:sz="8" w:space="0" w:color="000000"/>
              <w:right w:val="single" w:sz="4" w:space="0" w:color="auto"/>
            </w:tcBorders>
            <w:vAlign w:val="center"/>
            <w:hideMark/>
          </w:tcPr>
          <w:p w14:paraId="173A1C4A"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c>
          <w:tcPr>
            <w:tcW w:w="2528" w:type="dxa"/>
            <w:tcBorders>
              <w:top w:val="nil"/>
              <w:left w:val="nil"/>
              <w:bottom w:val="single" w:sz="4" w:space="0" w:color="auto"/>
              <w:right w:val="single" w:sz="4" w:space="0" w:color="auto"/>
            </w:tcBorders>
            <w:noWrap/>
            <w:vAlign w:val="center"/>
            <w:hideMark/>
          </w:tcPr>
          <w:p w14:paraId="2B5BF696"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410" w:type="dxa"/>
            <w:tcBorders>
              <w:top w:val="nil"/>
              <w:left w:val="nil"/>
              <w:bottom w:val="single" w:sz="4" w:space="0" w:color="auto"/>
              <w:right w:val="single" w:sz="4" w:space="0" w:color="auto"/>
            </w:tcBorders>
            <w:noWrap/>
            <w:vAlign w:val="bottom"/>
            <w:hideMark/>
          </w:tcPr>
          <w:p w14:paraId="020F98B6"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551" w:type="dxa"/>
            <w:tcBorders>
              <w:top w:val="nil"/>
              <w:left w:val="nil"/>
              <w:bottom w:val="single" w:sz="4" w:space="0" w:color="auto"/>
              <w:right w:val="single" w:sz="4" w:space="0" w:color="auto"/>
            </w:tcBorders>
            <w:noWrap/>
            <w:vAlign w:val="bottom"/>
            <w:hideMark/>
          </w:tcPr>
          <w:p w14:paraId="2B6224C8"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977" w:type="dxa"/>
            <w:tcBorders>
              <w:top w:val="nil"/>
              <w:left w:val="nil"/>
              <w:bottom w:val="single" w:sz="4" w:space="0" w:color="auto"/>
              <w:right w:val="single" w:sz="4" w:space="0" w:color="auto"/>
            </w:tcBorders>
            <w:noWrap/>
            <w:vAlign w:val="bottom"/>
            <w:hideMark/>
          </w:tcPr>
          <w:p w14:paraId="6F29DC01"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4536" w:type="dxa"/>
            <w:vMerge/>
            <w:tcBorders>
              <w:top w:val="nil"/>
              <w:left w:val="single" w:sz="4" w:space="0" w:color="auto"/>
              <w:bottom w:val="single" w:sz="8" w:space="0" w:color="000000"/>
              <w:right w:val="single" w:sz="4" w:space="0" w:color="auto"/>
            </w:tcBorders>
            <w:vAlign w:val="center"/>
            <w:hideMark/>
          </w:tcPr>
          <w:p w14:paraId="33EA10EB"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c>
          <w:tcPr>
            <w:tcW w:w="4111" w:type="dxa"/>
            <w:vMerge/>
            <w:tcBorders>
              <w:top w:val="nil"/>
              <w:left w:val="single" w:sz="4" w:space="0" w:color="auto"/>
              <w:bottom w:val="single" w:sz="8" w:space="0" w:color="000000"/>
              <w:right w:val="single" w:sz="4" w:space="0" w:color="auto"/>
            </w:tcBorders>
            <w:vAlign w:val="center"/>
            <w:hideMark/>
          </w:tcPr>
          <w:p w14:paraId="3597D945"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r>
      <w:tr w:rsidR="007B159F" w:rsidRPr="00A06A9B" w14:paraId="5A9B3776" w14:textId="77777777" w:rsidTr="007B159F">
        <w:trPr>
          <w:trHeight w:val="260"/>
        </w:trPr>
        <w:tc>
          <w:tcPr>
            <w:tcW w:w="1720" w:type="dxa"/>
            <w:vMerge/>
            <w:tcBorders>
              <w:top w:val="nil"/>
              <w:left w:val="single" w:sz="4" w:space="0" w:color="auto"/>
              <w:bottom w:val="single" w:sz="12" w:space="0" w:color="auto"/>
              <w:right w:val="single" w:sz="4" w:space="0" w:color="auto"/>
            </w:tcBorders>
            <w:vAlign w:val="center"/>
            <w:hideMark/>
          </w:tcPr>
          <w:p w14:paraId="777B65DC"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c>
          <w:tcPr>
            <w:tcW w:w="2528" w:type="dxa"/>
            <w:tcBorders>
              <w:top w:val="nil"/>
              <w:left w:val="nil"/>
              <w:bottom w:val="single" w:sz="12" w:space="0" w:color="auto"/>
              <w:right w:val="single" w:sz="4" w:space="0" w:color="auto"/>
            </w:tcBorders>
            <w:noWrap/>
            <w:vAlign w:val="center"/>
            <w:hideMark/>
          </w:tcPr>
          <w:p w14:paraId="53FF9C29"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410" w:type="dxa"/>
            <w:tcBorders>
              <w:top w:val="nil"/>
              <w:left w:val="nil"/>
              <w:bottom w:val="single" w:sz="12" w:space="0" w:color="auto"/>
              <w:right w:val="single" w:sz="4" w:space="0" w:color="auto"/>
            </w:tcBorders>
            <w:noWrap/>
            <w:vAlign w:val="bottom"/>
            <w:hideMark/>
          </w:tcPr>
          <w:p w14:paraId="1016B8D3"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551" w:type="dxa"/>
            <w:tcBorders>
              <w:top w:val="nil"/>
              <w:left w:val="nil"/>
              <w:bottom w:val="single" w:sz="12" w:space="0" w:color="auto"/>
              <w:right w:val="single" w:sz="4" w:space="0" w:color="auto"/>
            </w:tcBorders>
            <w:noWrap/>
            <w:vAlign w:val="bottom"/>
            <w:hideMark/>
          </w:tcPr>
          <w:p w14:paraId="52BD27A8"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977" w:type="dxa"/>
            <w:tcBorders>
              <w:top w:val="nil"/>
              <w:left w:val="nil"/>
              <w:bottom w:val="single" w:sz="12" w:space="0" w:color="auto"/>
              <w:right w:val="single" w:sz="4" w:space="0" w:color="auto"/>
            </w:tcBorders>
            <w:noWrap/>
            <w:vAlign w:val="bottom"/>
            <w:hideMark/>
          </w:tcPr>
          <w:p w14:paraId="3DA729EE"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4536" w:type="dxa"/>
            <w:vMerge/>
            <w:tcBorders>
              <w:top w:val="nil"/>
              <w:left w:val="single" w:sz="4" w:space="0" w:color="auto"/>
              <w:bottom w:val="single" w:sz="12" w:space="0" w:color="auto"/>
              <w:right w:val="single" w:sz="4" w:space="0" w:color="auto"/>
            </w:tcBorders>
            <w:vAlign w:val="center"/>
            <w:hideMark/>
          </w:tcPr>
          <w:p w14:paraId="51005764"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c>
          <w:tcPr>
            <w:tcW w:w="4111" w:type="dxa"/>
            <w:vMerge/>
            <w:tcBorders>
              <w:top w:val="nil"/>
              <w:left w:val="single" w:sz="4" w:space="0" w:color="auto"/>
              <w:bottom w:val="single" w:sz="12" w:space="0" w:color="auto"/>
              <w:right w:val="single" w:sz="4" w:space="0" w:color="auto"/>
            </w:tcBorders>
            <w:vAlign w:val="center"/>
            <w:hideMark/>
          </w:tcPr>
          <w:p w14:paraId="15257F8E"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r>
      <w:tr w:rsidR="007B159F" w:rsidRPr="00A06A9B" w14:paraId="718A79F3" w14:textId="77777777" w:rsidTr="007B159F">
        <w:trPr>
          <w:trHeight w:val="250"/>
        </w:trPr>
        <w:tc>
          <w:tcPr>
            <w:tcW w:w="1720" w:type="dxa"/>
            <w:vMerge w:val="restart"/>
            <w:tcBorders>
              <w:top w:val="single" w:sz="12" w:space="0" w:color="auto"/>
              <w:left w:val="single" w:sz="4" w:space="0" w:color="auto"/>
              <w:bottom w:val="single" w:sz="8" w:space="0" w:color="000000"/>
              <w:right w:val="single" w:sz="4" w:space="0" w:color="auto"/>
            </w:tcBorders>
            <w:noWrap/>
            <w:vAlign w:val="center"/>
            <w:hideMark/>
          </w:tcPr>
          <w:p w14:paraId="0FAB91A5" w14:textId="77777777" w:rsidR="007B159F" w:rsidRPr="00A06A9B" w:rsidRDefault="007B159F" w:rsidP="007B159F">
            <w:pPr>
              <w:spacing w:after="0" w:line="240" w:lineRule="auto"/>
              <w:jc w:val="center"/>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Population #5</w:t>
            </w:r>
          </w:p>
        </w:tc>
        <w:tc>
          <w:tcPr>
            <w:tcW w:w="2528" w:type="dxa"/>
            <w:tcBorders>
              <w:top w:val="single" w:sz="12" w:space="0" w:color="auto"/>
              <w:left w:val="nil"/>
              <w:bottom w:val="single" w:sz="4" w:space="0" w:color="auto"/>
              <w:right w:val="single" w:sz="4" w:space="0" w:color="auto"/>
            </w:tcBorders>
            <w:noWrap/>
            <w:vAlign w:val="center"/>
            <w:hideMark/>
          </w:tcPr>
          <w:p w14:paraId="43FF305F"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etc.</w:t>
            </w:r>
          </w:p>
        </w:tc>
        <w:tc>
          <w:tcPr>
            <w:tcW w:w="2410" w:type="dxa"/>
            <w:tcBorders>
              <w:top w:val="single" w:sz="12" w:space="0" w:color="auto"/>
              <w:left w:val="nil"/>
              <w:bottom w:val="single" w:sz="4" w:space="0" w:color="auto"/>
              <w:right w:val="single" w:sz="4" w:space="0" w:color="auto"/>
            </w:tcBorders>
            <w:hideMark/>
          </w:tcPr>
          <w:p w14:paraId="2FEF86A7"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551" w:type="dxa"/>
            <w:tcBorders>
              <w:top w:val="single" w:sz="12" w:space="0" w:color="auto"/>
              <w:left w:val="nil"/>
              <w:bottom w:val="single" w:sz="4" w:space="0" w:color="auto"/>
              <w:right w:val="single" w:sz="4" w:space="0" w:color="auto"/>
            </w:tcBorders>
            <w:hideMark/>
          </w:tcPr>
          <w:p w14:paraId="130D7BDA"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977" w:type="dxa"/>
            <w:tcBorders>
              <w:top w:val="single" w:sz="12" w:space="0" w:color="auto"/>
              <w:left w:val="nil"/>
              <w:bottom w:val="single" w:sz="4" w:space="0" w:color="auto"/>
              <w:right w:val="single" w:sz="4" w:space="0" w:color="auto"/>
            </w:tcBorders>
            <w:hideMark/>
          </w:tcPr>
          <w:p w14:paraId="0755231B"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4536" w:type="dxa"/>
            <w:vMerge w:val="restart"/>
            <w:tcBorders>
              <w:top w:val="single" w:sz="12" w:space="0" w:color="auto"/>
              <w:left w:val="single" w:sz="4" w:space="0" w:color="auto"/>
              <w:bottom w:val="single" w:sz="8" w:space="0" w:color="000000"/>
              <w:right w:val="single" w:sz="4" w:space="0" w:color="auto"/>
            </w:tcBorders>
            <w:hideMark/>
          </w:tcPr>
          <w:p w14:paraId="68306C2B" w14:textId="77777777" w:rsidR="007B159F" w:rsidRPr="00A06A9B" w:rsidRDefault="007B159F" w:rsidP="007B159F">
            <w:pPr>
              <w:spacing w:after="0" w:line="240" w:lineRule="auto"/>
              <w:jc w:val="center"/>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4111" w:type="dxa"/>
            <w:vMerge w:val="restart"/>
            <w:tcBorders>
              <w:top w:val="single" w:sz="12" w:space="0" w:color="auto"/>
              <w:left w:val="single" w:sz="4" w:space="0" w:color="auto"/>
              <w:bottom w:val="single" w:sz="8" w:space="0" w:color="000000"/>
              <w:right w:val="single" w:sz="4" w:space="0" w:color="auto"/>
            </w:tcBorders>
            <w:hideMark/>
          </w:tcPr>
          <w:p w14:paraId="24B291A7" w14:textId="77777777" w:rsidR="007B159F" w:rsidRPr="00A06A9B" w:rsidRDefault="007B159F" w:rsidP="007B159F">
            <w:pPr>
              <w:spacing w:after="0" w:line="240" w:lineRule="auto"/>
              <w:jc w:val="center"/>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r>
      <w:tr w:rsidR="007B159F" w:rsidRPr="00A06A9B" w14:paraId="5223EA1A" w14:textId="77777777" w:rsidTr="007B159F">
        <w:trPr>
          <w:trHeight w:val="250"/>
        </w:trPr>
        <w:tc>
          <w:tcPr>
            <w:tcW w:w="1720" w:type="dxa"/>
            <w:vMerge/>
            <w:tcBorders>
              <w:top w:val="nil"/>
              <w:left w:val="single" w:sz="4" w:space="0" w:color="auto"/>
              <w:bottom w:val="single" w:sz="8" w:space="0" w:color="000000"/>
              <w:right w:val="single" w:sz="4" w:space="0" w:color="auto"/>
            </w:tcBorders>
            <w:vAlign w:val="center"/>
            <w:hideMark/>
          </w:tcPr>
          <w:p w14:paraId="687547A6"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c>
          <w:tcPr>
            <w:tcW w:w="2528" w:type="dxa"/>
            <w:tcBorders>
              <w:top w:val="nil"/>
              <w:left w:val="nil"/>
              <w:bottom w:val="single" w:sz="4" w:space="0" w:color="auto"/>
              <w:right w:val="single" w:sz="4" w:space="0" w:color="auto"/>
            </w:tcBorders>
            <w:noWrap/>
            <w:vAlign w:val="center"/>
            <w:hideMark/>
          </w:tcPr>
          <w:p w14:paraId="764AAC8E"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410" w:type="dxa"/>
            <w:tcBorders>
              <w:top w:val="nil"/>
              <w:left w:val="nil"/>
              <w:bottom w:val="single" w:sz="4" w:space="0" w:color="auto"/>
              <w:right w:val="single" w:sz="4" w:space="0" w:color="auto"/>
            </w:tcBorders>
            <w:noWrap/>
            <w:vAlign w:val="bottom"/>
            <w:hideMark/>
          </w:tcPr>
          <w:p w14:paraId="29CAAA17"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551" w:type="dxa"/>
            <w:tcBorders>
              <w:top w:val="nil"/>
              <w:left w:val="nil"/>
              <w:bottom w:val="single" w:sz="4" w:space="0" w:color="auto"/>
              <w:right w:val="single" w:sz="4" w:space="0" w:color="auto"/>
            </w:tcBorders>
            <w:noWrap/>
            <w:vAlign w:val="bottom"/>
            <w:hideMark/>
          </w:tcPr>
          <w:p w14:paraId="5EEBFA69"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977" w:type="dxa"/>
            <w:tcBorders>
              <w:top w:val="nil"/>
              <w:left w:val="nil"/>
              <w:bottom w:val="single" w:sz="4" w:space="0" w:color="auto"/>
              <w:right w:val="single" w:sz="4" w:space="0" w:color="auto"/>
            </w:tcBorders>
            <w:noWrap/>
            <w:vAlign w:val="bottom"/>
            <w:hideMark/>
          </w:tcPr>
          <w:p w14:paraId="1DF287FB"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4536" w:type="dxa"/>
            <w:vMerge/>
            <w:tcBorders>
              <w:top w:val="nil"/>
              <w:left w:val="single" w:sz="4" w:space="0" w:color="auto"/>
              <w:bottom w:val="single" w:sz="8" w:space="0" w:color="000000"/>
              <w:right w:val="single" w:sz="4" w:space="0" w:color="auto"/>
            </w:tcBorders>
            <w:vAlign w:val="center"/>
            <w:hideMark/>
          </w:tcPr>
          <w:p w14:paraId="7C5768FE"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c>
          <w:tcPr>
            <w:tcW w:w="4111" w:type="dxa"/>
            <w:vMerge/>
            <w:tcBorders>
              <w:top w:val="nil"/>
              <w:left w:val="single" w:sz="4" w:space="0" w:color="auto"/>
              <w:bottom w:val="single" w:sz="8" w:space="0" w:color="000000"/>
              <w:right w:val="single" w:sz="4" w:space="0" w:color="auto"/>
            </w:tcBorders>
            <w:vAlign w:val="center"/>
            <w:hideMark/>
          </w:tcPr>
          <w:p w14:paraId="4063DD0C"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r>
      <w:tr w:rsidR="007B159F" w:rsidRPr="00A06A9B" w14:paraId="4585313F" w14:textId="77777777" w:rsidTr="007B159F">
        <w:trPr>
          <w:trHeight w:val="250"/>
        </w:trPr>
        <w:tc>
          <w:tcPr>
            <w:tcW w:w="1720" w:type="dxa"/>
            <w:vMerge/>
            <w:tcBorders>
              <w:top w:val="nil"/>
              <w:left w:val="single" w:sz="4" w:space="0" w:color="auto"/>
              <w:bottom w:val="single" w:sz="8" w:space="0" w:color="000000"/>
              <w:right w:val="single" w:sz="4" w:space="0" w:color="auto"/>
            </w:tcBorders>
            <w:vAlign w:val="center"/>
            <w:hideMark/>
          </w:tcPr>
          <w:p w14:paraId="46D8D1FE"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c>
          <w:tcPr>
            <w:tcW w:w="2528" w:type="dxa"/>
            <w:tcBorders>
              <w:top w:val="nil"/>
              <w:left w:val="nil"/>
              <w:bottom w:val="single" w:sz="4" w:space="0" w:color="auto"/>
              <w:right w:val="single" w:sz="4" w:space="0" w:color="auto"/>
            </w:tcBorders>
            <w:noWrap/>
            <w:vAlign w:val="center"/>
            <w:hideMark/>
          </w:tcPr>
          <w:p w14:paraId="06FCE25B"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410" w:type="dxa"/>
            <w:tcBorders>
              <w:top w:val="nil"/>
              <w:left w:val="nil"/>
              <w:bottom w:val="single" w:sz="4" w:space="0" w:color="auto"/>
              <w:right w:val="single" w:sz="4" w:space="0" w:color="auto"/>
            </w:tcBorders>
            <w:noWrap/>
            <w:vAlign w:val="bottom"/>
            <w:hideMark/>
          </w:tcPr>
          <w:p w14:paraId="2E8471CF"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551" w:type="dxa"/>
            <w:tcBorders>
              <w:top w:val="nil"/>
              <w:left w:val="nil"/>
              <w:bottom w:val="single" w:sz="4" w:space="0" w:color="auto"/>
              <w:right w:val="single" w:sz="4" w:space="0" w:color="auto"/>
            </w:tcBorders>
            <w:noWrap/>
            <w:vAlign w:val="bottom"/>
            <w:hideMark/>
          </w:tcPr>
          <w:p w14:paraId="2A0EE73F"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977" w:type="dxa"/>
            <w:tcBorders>
              <w:top w:val="nil"/>
              <w:left w:val="nil"/>
              <w:bottom w:val="single" w:sz="4" w:space="0" w:color="auto"/>
              <w:right w:val="single" w:sz="4" w:space="0" w:color="auto"/>
            </w:tcBorders>
            <w:noWrap/>
            <w:vAlign w:val="bottom"/>
            <w:hideMark/>
          </w:tcPr>
          <w:p w14:paraId="18CA1596"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4536" w:type="dxa"/>
            <w:vMerge/>
            <w:tcBorders>
              <w:top w:val="nil"/>
              <w:left w:val="single" w:sz="4" w:space="0" w:color="auto"/>
              <w:bottom w:val="single" w:sz="8" w:space="0" w:color="000000"/>
              <w:right w:val="single" w:sz="4" w:space="0" w:color="auto"/>
            </w:tcBorders>
            <w:vAlign w:val="center"/>
            <w:hideMark/>
          </w:tcPr>
          <w:p w14:paraId="1BAAC9BA"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c>
          <w:tcPr>
            <w:tcW w:w="4111" w:type="dxa"/>
            <w:vMerge/>
            <w:tcBorders>
              <w:top w:val="nil"/>
              <w:left w:val="single" w:sz="4" w:space="0" w:color="auto"/>
              <w:bottom w:val="single" w:sz="8" w:space="0" w:color="000000"/>
              <w:right w:val="single" w:sz="4" w:space="0" w:color="auto"/>
            </w:tcBorders>
            <w:vAlign w:val="center"/>
            <w:hideMark/>
          </w:tcPr>
          <w:p w14:paraId="02099AD3"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r>
      <w:tr w:rsidR="007B159F" w:rsidRPr="00A06A9B" w14:paraId="653FAF8B" w14:textId="77777777" w:rsidTr="007B159F">
        <w:trPr>
          <w:trHeight w:val="260"/>
        </w:trPr>
        <w:tc>
          <w:tcPr>
            <w:tcW w:w="1720" w:type="dxa"/>
            <w:vMerge/>
            <w:tcBorders>
              <w:top w:val="nil"/>
              <w:left w:val="single" w:sz="4" w:space="0" w:color="auto"/>
              <w:bottom w:val="single" w:sz="12" w:space="0" w:color="auto"/>
              <w:right w:val="single" w:sz="4" w:space="0" w:color="auto"/>
            </w:tcBorders>
            <w:vAlign w:val="center"/>
            <w:hideMark/>
          </w:tcPr>
          <w:p w14:paraId="21BF1841"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c>
          <w:tcPr>
            <w:tcW w:w="2528" w:type="dxa"/>
            <w:tcBorders>
              <w:top w:val="nil"/>
              <w:left w:val="nil"/>
              <w:bottom w:val="single" w:sz="12" w:space="0" w:color="auto"/>
              <w:right w:val="single" w:sz="4" w:space="0" w:color="auto"/>
            </w:tcBorders>
            <w:noWrap/>
            <w:vAlign w:val="center"/>
            <w:hideMark/>
          </w:tcPr>
          <w:p w14:paraId="3B124257"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410" w:type="dxa"/>
            <w:tcBorders>
              <w:top w:val="nil"/>
              <w:left w:val="nil"/>
              <w:bottom w:val="single" w:sz="12" w:space="0" w:color="auto"/>
              <w:right w:val="single" w:sz="4" w:space="0" w:color="auto"/>
            </w:tcBorders>
            <w:noWrap/>
            <w:vAlign w:val="bottom"/>
            <w:hideMark/>
          </w:tcPr>
          <w:p w14:paraId="4687DD72"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551" w:type="dxa"/>
            <w:tcBorders>
              <w:top w:val="nil"/>
              <w:left w:val="nil"/>
              <w:bottom w:val="single" w:sz="12" w:space="0" w:color="auto"/>
              <w:right w:val="single" w:sz="4" w:space="0" w:color="auto"/>
            </w:tcBorders>
            <w:noWrap/>
            <w:vAlign w:val="bottom"/>
            <w:hideMark/>
          </w:tcPr>
          <w:p w14:paraId="65473015"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2977" w:type="dxa"/>
            <w:tcBorders>
              <w:top w:val="nil"/>
              <w:left w:val="nil"/>
              <w:bottom w:val="single" w:sz="12" w:space="0" w:color="auto"/>
              <w:right w:val="single" w:sz="4" w:space="0" w:color="auto"/>
            </w:tcBorders>
            <w:noWrap/>
            <w:vAlign w:val="bottom"/>
            <w:hideMark/>
          </w:tcPr>
          <w:p w14:paraId="770C9561" w14:textId="77777777" w:rsidR="007B159F" w:rsidRPr="00A06A9B" w:rsidRDefault="007B159F" w:rsidP="007B159F">
            <w:pPr>
              <w:spacing w:after="0" w:line="240" w:lineRule="auto"/>
              <w:rPr>
                <w:rFonts w:eastAsia="Times New Roman" w:cs="Arial"/>
                <w:color w:val="000000"/>
                <w:kern w:val="0"/>
                <w:szCs w:val="20"/>
                <w:lang w:eastAsia="en-AU"/>
                <w14:ligatures w14:val="none"/>
              </w:rPr>
            </w:pPr>
            <w:r w:rsidRPr="00A06A9B">
              <w:rPr>
                <w:rFonts w:eastAsia="Times New Roman" w:cs="Arial"/>
                <w:color w:val="000000"/>
                <w:kern w:val="0"/>
                <w:szCs w:val="20"/>
                <w:lang w:eastAsia="en-AU"/>
                <w14:ligatures w14:val="none"/>
              </w:rPr>
              <w:t> </w:t>
            </w:r>
          </w:p>
        </w:tc>
        <w:tc>
          <w:tcPr>
            <w:tcW w:w="4536" w:type="dxa"/>
            <w:vMerge/>
            <w:tcBorders>
              <w:top w:val="nil"/>
              <w:left w:val="single" w:sz="4" w:space="0" w:color="auto"/>
              <w:bottom w:val="single" w:sz="12" w:space="0" w:color="auto"/>
              <w:right w:val="single" w:sz="4" w:space="0" w:color="auto"/>
            </w:tcBorders>
            <w:vAlign w:val="center"/>
            <w:hideMark/>
          </w:tcPr>
          <w:p w14:paraId="38CB9ED4"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c>
          <w:tcPr>
            <w:tcW w:w="4111" w:type="dxa"/>
            <w:vMerge/>
            <w:tcBorders>
              <w:top w:val="nil"/>
              <w:left w:val="single" w:sz="4" w:space="0" w:color="auto"/>
              <w:bottom w:val="single" w:sz="12" w:space="0" w:color="auto"/>
              <w:right w:val="single" w:sz="4" w:space="0" w:color="auto"/>
            </w:tcBorders>
            <w:vAlign w:val="center"/>
            <w:hideMark/>
          </w:tcPr>
          <w:p w14:paraId="7698F6C4" w14:textId="77777777" w:rsidR="007B159F" w:rsidRPr="00A06A9B" w:rsidRDefault="007B159F" w:rsidP="007B159F">
            <w:pPr>
              <w:spacing w:after="0" w:line="240" w:lineRule="auto"/>
              <w:rPr>
                <w:rFonts w:eastAsia="Times New Roman" w:cs="Arial"/>
                <w:color w:val="000000"/>
                <w:kern w:val="0"/>
                <w:szCs w:val="20"/>
                <w:lang w:eastAsia="en-AU"/>
                <w14:ligatures w14:val="none"/>
              </w:rPr>
            </w:pPr>
          </w:p>
        </w:tc>
      </w:tr>
    </w:tbl>
    <w:p w14:paraId="5AE0037D" w14:textId="77777777" w:rsidR="00EB176E" w:rsidRDefault="00A0267F" w:rsidP="00E3284E">
      <w:r>
        <w:t xml:space="preserve"> </w:t>
      </w:r>
    </w:p>
    <w:p w14:paraId="33A2FDD8" w14:textId="04A3A502" w:rsidR="00B32AA4" w:rsidRPr="00E3284E" w:rsidRDefault="00B32AA4" w:rsidP="00E3284E"/>
    <w:p w14:paraId="54D819A0" w14:textId="5F009D6F" w:rsidR="00B32AA4" w:rsidRPr="00E3284E" w:rsidRDefault="00B32AA4" w:rsidP="00E3284E"/>
    <w:sectPr w:rsidR="00B32AA4" w:rsidRPr="00E3284E" w:rsidSect="00A06A9B">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5E955" w14:textId="77777777" w:rsidR="00152D79" w:rsidRDefault="00152D79" w:rsidP="00CF7956">
      <w:pPr>
        <w:spacing w:after="0" w:line="240" w:lineRule="auto"/>
      </w:pPr>
      <w:r>
        <w:separator/>
      </w:r>
    </w:p>
  </w:endnote>
  <w:endnote w:type="continuationSeparator" w:id="0">
    <w:p w14:paraId="0F9F2CB9" w14:textId="77777777" w:rsidR="00152D79" w:rsidRDefault="00152D79" w:rsidP="00CF7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825D" w14:textId="400DFD17" w:rsidR="009A081B" w:rsidRDefault="009A081B">
    <w:pPr>
      <w:pStyle w:val="Footer"/>
    </w:pPr>
    <w:r>
      <w:rPr>
        <w:noProof/>
      </w:rPr>
      <mc:AlternateContent>
        <mc:Choice Requires="wps">
          <w:drawing>
            <wp:anchor distT="0" distB="0" distL="0" distR="0" simplePos="0" relativeHeight="251658243" behindDoc="0" locked="0" layoutInCell="1" allowOverlap="1" wp14:anchorId="73B32AA0" wp14:editId="767BE359">
              <wp:simplePos x="635" y="635"/>
              <wp:positionH relativeFrom="page">
                <wp:align>center</wp:align>
              </wp:positionH>
              <wp:positionV relativeFrom="page">
                <wp:align>bottom</wp:align>
              </wp:positionV>
              <wp:extent cx="622300" cy="391160"/>
              <wp:effectExtent l="0" t="0" r="6350" b="0"/>
              <wp:wrapNone/>
              <wp:docPr id="94523121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954E89F" w14:textId="796D08DB" w:rsidR="009A081B" w:rsidRPr="009A081B" w:rsidRDefault="009A081B" w:rsidP="009A081B">
                          <w:pPr>
                            <w:spacing w:after="0"/>
                            <w:rPr>
                              <w:rFonts w:ascii="Aptos" w:eastAsia="Aptos" w:hAnsi="Aptos" w:cs="Aptos"/>
                              <w:noProof/>
                              <w:color w:val="FF0000"/>
                              <w:sz w:val="24"/>
                            </w:rPr>
                          </w:pPr>
                          <w:r w:rsidRPr="009A081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73B32AA0" id="_x0000_t202" coordsize="21600,21600" o:spt="202" path="m,l,21600r21600,l21600,xe">
              <v:stroke joinstyle="miter"/>
              <v:path gradientshapeok="t" o:connecttype="rect"/>
            </v:shapetype>
            <v:shape id="Text Box 5" o:spid="_x0000_s1027" type="#_x0000_t202" alt="OFFICIAL" style="position:absolute;margin-left:0;margin-top:0;width:49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filled="f" stroked="f">
              <v:textbox style="mso-fit-shape-to-text:t" inset="0,0,0,15pt">
                <w:txbxContent>
                  <w:p w14:paraId="6954E89F" w14:textId="796D08DB" w:rsidR="009A081B" w:rsidRPr="009A081B" w:rsidRDefault="009A081B" w:rsidP="009A081B">
                    <w:pPr>
                      <w:spacing w:after="0"/>
                      <w:rPr>
                        <w:rFonts w:ascii="Aptos" w:eastAsia="Aptos" w:hAnsi="Aptos" w:cs="Aptos"/>
                        <w:noProof/>
                        <w:color w:val="FF0000"/>
                        <w:sz w:val="24"/>
                      </w:rPr>
                    </w:pPr>
                    <w:r w:rsidRPr="009A081B">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A83EB" w14:textId="398FD76C" w:rsidR="009A081B" w:rsidRDefault="009A081B">
    <w:pPr>
      <w:pStyle w:val="Footer"/>
    </w:pPr>
    <w:r>
      <w:rPr>
        <w:noProof/>
      </w:rPr>
      <mc:AlternateContent>
        <mc:Choice Requires="wps">
          <w:drawing>
            <wp:anchor distT="0" distB="0" distL="0" distR="0" simplePos="0" relativeHeight="251658242" behindDoc="0" locked="0" layoutInCell="1" allowOverlap="1" wp14:anchorId="5E482100" wp14:editId="24A07A77">
              <wp:simplePos x="635" y="635"/>
              <wp:positionH relativeFrom="page">
                <wp:align>center</wp:align>
              </wp:positionH>
              <wp:positionV relativeFrom="page">
                <wp:align>bottom</wp:align>
              </wp:positionV>
              <wp:extent cx="622300" cy="391160"/>
              <wp:effectExtent l="0" t="0" r="6350" b="0"/>
              <wp:wrapNone/>
              <wp:docPr id="27601165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F00F146" w14:textId="2234EFA9" w:rsidR="009A081B" w:rsidRPr="009A081B" w:rsidRDefault="009A081B" w:rsidP="009A081B">
                          <w:pPr>
                            <w:spacing w:after="0"/>
                            <w:rPr>
                              <w:rFonts w:ascii="Aptos" w:eastAsia="Aptos" w:hAnsi="Aptos" w:cs="Aptos"/>
                              <w:noProof/>
                              <w:color w:val="FF0000"/>
                              <w:sz w:val="24"/>
                            </w:rPr>
                          </w:pPr>
                          <w:r w:rsidRPr="009A081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5E482100" id="_x0000_t202" coordsize="21600,21600" o:spt="202" path="m,l,21600r21600,l21600,xe">
              <v:stroke joinstyle="miter"/>
              <v:path gradientshapeok="t" o:connecttype="rect"/>
            </v:shapetype>
            <v:shape id="Text Box 4" o:spid="_x0000_s1029" type="#_x0000_t202" alt="OFFICIAL" style="position:absolute;margin-left:0;margin-top:0;width:49pt;height:30.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3F00F146" w14:textId="2234EFA9" w:rsidR="009A081B" w:rsidRPr="009A081B" w:rsidRDefault="009A081B" w:rsidP="009A081B">
                    <w:pPr>
                      <w:spacing w:after="0"/>
                      <w:rPr>
                        <w:rFonts w:ascii="Aptos" w:eastAsia="Aptos" w:hAnsi="Aptos" w:cs="Aptos"/>
                        <w:noProof/>
                        <w:color w:val="FF0000"/>
                        <w:sz w:val="24"/>
                      </w:rPr>
                    </w:pPr>
                    <w:r w:rsidRPr="009A081B">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77F6B" w14:textId="77777777" w:rsidR="00152D79" w:rsidRDefault="00152D79" w:rsidP="00CF7956">
      <w:pPr>
        <w:spacing w:after="0" w:line="240" w:lineRule="auto"/>
      </w:pPr>
      <w:r>
        <w:separator/>
      </w:r>
    </w:p>
  </w:footnote>
  <w:footnote w:type="continuationSeparator" w:id="0">
    <w:p w14:paraId="5042FC72" w14:textId="77777777" w:rsidR="00152D79" w:rsidRDefault="00152D79" w:rsidP="00CF7956">
      <w:pPr>
        <w:spacing w:after="0" w:line="240" w:lineRule="auto"/>
      </w:pPr>
      <w:r>
        <w:continuationSeparator/>
      </w:r>
    </w:p>
  </w:footnote>
  <w:footnote w:id="1">
    <w:p w14:paraId="25A85636" w14:textId="77777777" w:rsidR="00C6602F" w:rsidRPr="004C2F6A" w:rsidRDefault="00C6602F" w:rsidP="00C6602F">
      <w:pPr>
        <w:pStyle w:val="FootnoteText"/>
        <w:rPr>
          <w:sz w:val="18"/>
          <w:szCs w:val="18"/>
        </w:rPr>
      </w:pPr>
      <w:r w:rsidRPr="004C2F6A">
        <w:rPr>
          <w:rStyle w:val="FootnoteReference"/>
          <w:sz w:val="18"/>
          <w:szCs w:val="18"/>
        </w:rPr>
        <w:footnoteRef/>
      </w:r>
      <w:r w:rsidRPr="004C2F6A">
        <w:rPr>
          <w:sz w:val="18"/>
          <w:szCs w:val="18"/>
        </w:rPr>
        <w:t xml:space="preserve"> </w:t>
      </w:r>
      <w:hyperlink r:id="rId1">
        <w:r w:rsidRPr="004C2F6A">
          <w:rPr>
            <w:rStyle w:val="Hyperlink"/>
            <w:sz w:val="18"/>
            <w:szCs w:val="18"/>
          </w:rPr>
          <w:t>https://pbac.pbs.gov.au/</w:t>
        </w:r>
      </w:hyperlink>
      <w:r w:rsidRPr="004C2F6A">
        <w:rPr>
          <w:sz w:val="18"/>
          <w:szCs w:val="18"/>
        </w:rPr>
        <w:t xml:space="preserve"> </w:t>
      </w:r>
    </w:p>
  </w:footnote>
  <w:footnote w:id="2">
    <w:p w14:paraId="46002A96" w14:textId="77777777" w:rsidR="00C6602F" w:rsidRDefault="00C6602F" w:rsidP="00C6602F">
      <w:pPr>
        <w:pStyle w:val="FootnoteText"/>
      </w:pPr>
      <w:r w:rsidRPr="004C2F6A">
        <w:rPr>
          <w:rStyle w:val="FootnoteReference"/>
          <w:sz w:val="18"/>
          <w:szCs w:val="18"/>
        </w:rPr>
        <w:footnoteRef/>
      </w:r>
      <w:r w:rsidRPr="004C2F6A">
        <w:rPr>
          <w:sz w:val="18"/>
          <w:szCs w:val="18"/>
        </w:rPr>
        <w:t xml:space="preserve"> </w:t>
      </w:r>
      <w:hyperlink r:id="rId2">
        <w:r w:rsidRPr="004C2F6A">
          <w:rPr>
            <w:rStyle w:val="Hyperlink"/>
            <w:sz w:val="18"/>
            <w:szCs w:val="18"/>
          </w:rPr>
          <w:t>https://www.pbs.gov.au/pbs/industry/listing/listing-steps</w:t>
        </w:r>
      </w:hyperlink>
      <w:r>
        <w:t xml:space="preserve"> </w:t>
      </w:r>
    </w:p>
  </w:footnote>
  <w:footnote w:id="3">
    <w:p w14:paraId="3341FBEE" w14:textId="77777777" w:rsidR="00A06A9B" w:rsidRPr="00BB4874" w:rsidRDefault="00A06A9B" w:rsidP="00A06A9B">
      <w:pPr>
        <w:pStyle w:val="FootnoteText"/>
        <w:jc w:val="left"/>
        <w:rPr>
          <w:sz w:val="18"/>
          <w:szCs w:val="18"/>
        </w:rPr>
      </w:pPr>
      <w:r w:rsidRPr="00BB4874">
        <w:rPr>
          <w:rStyle w:val="FootnoteReference"/>
          <w:rFonts w:eastAsiaTheme="majorEastAsia"/>
          <w:sz w:val="18"/>
          <w:szCs w:val="18"/>
        </w:rPr>
        <w:footnoteRef/>
      </w:r>
      <w:r w:rsidRPr="00BB4874">
        <w:rPr>
          <w:sz w:val="18"/>
          <w:szCs w:val="18"/>
        </w:rPr>
        <w:t xml:space="preserve"> </w:t>
      </w:r>
      <w:hyperlink r:id="rId3" w:history="1">
        <w:r w:rsidRPr="00BB4874">
          <w:rPr>
            <w:rStyle w:val="Hyperlink"/>
            <w:rFonts w:eastAsiaTheme="majorEastAsia"/>
            <w:sz w:val="18"/>
            <w:szCs w:val="18"/>
          </w:rPr>
          <w:t>https://www.health.gov.au/resources/publications/health-technology-assessment-policy-and-methods-review-final-report</w:t>
        </w:r>
      </w:hyperlink>
      <w:r w:rsidRPr="00BB4874">
        <w:rPr>
          <w:sz w:val="18"/>
          <w:szCs w:val="18"/>
        </w:rPr>
        <w:t xml:space="preserve"> </w:t>
      </w:r>
    </w:p>
  </w:footnote>
  <w:footnote w:id="4">
    <w:p w14:paraId="056AA43E" w14:textId="77777777" w:rsidR="00A06A9B" w:rsidRPr="00711849" w:rsidRDefault="00A06A9B" w:rsidP="00A06A9B">
      <w:pPr>
        <w:pStyle w:val="FootnoteText"/>
        <w:jc w:val="left"/>
        <w:rPr>
          <w:sz w:val="14"/>
          <w:szCs w:val="14"/>
        </w:rPr>
      </w:pPr>
      <w:r w:rsidRPr="00BB4874">
        <w:rPr>
          <w:rStyle w:val="FootnoteReference"/>
          <w:rFonts w:eastAsiaTheme="majorEastAsia"/>
          <w:sz w:val="18"/>
          <w:szCs w:val="18"/>
        </w:rPr>
        <w:footnoteRef/>
      </w:r>
      <w:r w:rsidRPr="00BB4874">
        <w:rPr>
          <w:sz w:val="18"/>
          <w:szCs w:val="18"/>
        </w:rPr>
        <w:t xml:space="preserve"> </w:t>
      </w:r>
      <w:hyperlink r:id="rId4">
        <w:r w:rsidRPr="00BB4874">
          <w:rPr>
            <w:rStyle w:val="Hyperlink"/>
            <w:rFonts w:eastAsiaTheme="majorEastAsia"/>
            <w:sz w:val="18"/>
            <w:szCs w:val="18"/>
          </w:rPr>
          <w:t>https://www.health.gov.au/resources/publications/enhance-hta-an-enhanced-consumer-engagement-process-in-australian-health-technology-assessment-a-report-of-recommendations</w:t>
        </w:r>
      </w:hyperlink>
      <w:r w:rsidRPr="00BB4874">
        <w:rPr>
          <w:sz w:val="18"/>
          <w:szCs w:val="18"/>
        </w:rPr>
        <w:t xml:space="preserve"> </w:t>
      </w:r>
    </w:p>
  </w:footnote>
  <w:footnote w:id="5">
    <w:p w14:paraId="4B4BF067" w14:textId="75C700E3" w:rsidR="00FF43A7" w:rsidRDefault="00FF43A7" w:rsidP="00FF43A7">
      <w:pPr>
        <w:pStyle w:val="FootnoteText"/>
      </w:pPr>
      <w:r w:rsidRPr="004662C2">
        <w:rPr>
          <w:rStyle w:val="FootnoteReference"/>
          <w:rFonts w:eastAsiaTheme="majorEastAsia"/>
          <w:sz w:val="18"/>
          <w:szCs w:val="14"/>
        </w:rPr>
        <w:footnoteRef/>
      </w:r>
      <w:r w:rsidR="004662C2">
        <w:rPr>
          <w:sz w:val="18"/>
          <w:szCs w:val="14"/>
        </w:rPr>
        <w:t xml:space="preserve"> </w:t>
      </w:r>
      <w:hyperlink r:id="rId5" w:history="1">
        <w:r w:rsidR="004662C2" w:rsidRPr="00B82937">
          <w:rPr>
            <w:rStyle w:val="Hyperlink"/>
            <w:rFonts w:eastAsiaTheme="majorEastAsia"/>
            <w:sz w:val="18"/>
            <w:szCs w:val="14"/>
          </w:rPr>
          <w:t>https://www.eviq.org.au/medical-oncology/tumour-agnostic/4660-tumour-agnostic-advanced-or-metastatic-ipilim#evidence</w:t>
        </w:r>
      </w:hyperlink>
      <w:r w:rsidRPr="004662C2">
        <w:rPr>
          <w:sz w:val="18"/>
          <w:szCs w:val="14"/>
        </w:rPr>
        <w:t xml:space="preserve"> </w:t>
      </w:r>
    </w:p>
    <w:p w14:paraId="3B527549" w14:textId="77777777" w:rsidR="00FF43A7" w:rsidRDefault="00FF43A7" w:rsidP="00FF43A7">
      <w:pPr>
        <w:pStyle w:val="FootnoteText"/>
      </w:pPr>
    </w:p>
  </w:footnote>
  <w:footnote w:id="6">
    <w:p w14:paraId="6DEE48BF" w14:textId="77777777" w:rsidR="00CF7956" w:rsidRPr="00A13315" w:rsidRDefault="00CF7956" w:rsidP="00CF7956">
      <w:pPr>
        <w:pStyle w:val="FootnoteText"/>
        <w:rPr>
          <w:sz w:val="18"/>
          <w:szCs w:val="18"/>
        </w:rPr>
      </w:pPr>
      <w:r w:rsidRPr="00A13315">
        <w:rPr>
          <w:rStyle w:val="FootnoteReference"/>
          <w:sz w:val="18"/>
          <w:szCs w:val="18"/>
        </w:rPr>
        <w:footnoteRef/>
      </w:r>
      <w:r w:rsidRPr="00A13315">
        <w:rPr>
          <w:sz w:val="18"/>
          <w:szCs w:val="18"/>
        </w:rPr>
        <w:t xml:space="preserve"> </w:t>
      </w:r>
      <w:hyperlink r:id="rId6" w:history="1">
        <w:r w:rsidRPr="00A13315">
          <w:rPr>
            <w:rStyle w:val="Hyperlink"/>
            <w:sz w:val="18"/>
            <w:szCs w:val="18"/>
          </w:rPr>
          <w:t>nivolumab-plus-ipilimumab-psd-july-2025.pdf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7E3B" w14:textId="72817238" w:rsidR="009A081B" w:rsidRDefault="009A081B">
    <w:pPr>
      <w:pStyle w:val="Header"/>
    </w:pPr>
    <w:r>
      <w:rPr>
        <w:noProof/>
      </w:rPr>
      <mc:AlternateContent>
        <mc:Choice Requires="wps">
          <w:drawing>
            <wp:anchor distT="0" distB="0" distL="0" distR="0" simplePos="0" relativeHeight="251658241" behindDoc="0" locked="0" layoutInCell="1" allowOverlap="1" wp14:anchorId="6B07B9A4" wp14:editId="3F192352">
              <wp:simplePos x="635" y="635"/>
              <wp:positionH relativeFrom="page">
                <wp:align>center</wp:align>
              </wp:positionH>
              <wp:positionV relativeFrom="page">
                <wp:align>top</wp:align>
              </wp:positionV>
              <wp:extent cx="622300" cy="391160"/>
              <wp:effectExtent l="0" t="0" r="6350" b="8890"/>
              <wp:wrapNone/>
              <wp:docPr id="154101837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A29AD60" w14:textId="3BED1BA2" w:rsidR="009A081B" w:rsidRPr="009A081B" w:rsidRDefault="009A081B" w:rsidP="009A081B">
                          <w:pPr>
                            <w:spacing w:after="0"/>
                            <w:rPr>
                              <w:rFonts w:ascii="Aptos" w:eastAsia="Aptos" w:hAnsi="Aptos" w:cs="Aptos"/>
                              <w:noProof/>
                              <w:color w:val="FF0000"/>
                              <w:sz w:val="24"/>
                            </w:rPr>
                          </w:pPr>
                          <w:r w:rsidRPr="009A081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6B07B9A4"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4A29AD60" w14:textId="3BED1BA2" w:rsidR="009A081B" w:rsidRPr="009A081B" w:rsidRDefault="009A081B" w:rsidP="009A081B">
                    <w:pPr>
                      <w:spacing w:after="0"/>
                      <w:rPr>
                        <w:rFonts w:ascii="Aptos" w:eastAsia="Aptos" w:hAnsi="Aptos" w:cs="Aptos"/>
                        <w:noProof/>
                        <w:color w:val="FF0000"/>
                        <w:sz w:val="24"/>
                      </w:rPr>
                    </w:pPr>
                    <w:r w:rsidRPr="009A081B">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0965" w14:textId="04939114" w:rsidR="009A081B" w:rsidRDefault="009A081B">
    <w:pPr>
      <w:pStyle w:val="Header"/>
    </w:pPr>
    <w:r>
      <w:rPr>
        <w:noProof/>
      </w:rPr>
      <mc:AlternateContent>
        <mc:Choice Requires="wps">
          <w:drawing>
            <wp:anchor distT="0" distB="0" distL="0" distR="0" simplePos="0" relativeHeight="251658240" behindDoc="0" locked="0" layoutInCell="1" allowOverlap="1" wp14:anchorId="2C3163B7" wp14:editId="77CDFCDC">
              <wp:simplePos x="635" y="635"/>
              <wp:positionH relativeFrom="page">
                <wp:align>center</wp:align>
              </wp:positionH>
              <wp:positionV relativeFrom="page">
                <wp:align>top</wp:align>
              </wp:positionV>
              <wp:extent cx="622300" cy="391160"/>
              <wp:effectExtent l="0" t="0" r="6350" b="8890"/>
              <wp:wrapNone/>
              <wp:docPr id="3999898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59DEB41" w14:textId="46572535" w:rsidR="009A081B" w:rsidRPr="009A081B" w:rsidRDefault="009A081B" w:rsidP="009A081B">
                          <w:pPr>
                            <w:spacing w:after="0"/>
                            <w:rPr>
                              <w:rFonts w:ascii="Aptos" w:eastAsia="Aptos" w:hAnsi="Aptos" w:cs="Aptos"/>
                              <w:noProof/>
                              <w:color w:val="FF0000"/>
                              <w:sz w:val="24"/>
                            </w:rPr>
                          </w:pPr>
                          <w:r w:rsidRPr="009A081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C3163B7" id="_x0000_t202" coordsize="21600,21600" o:spt="202" path="m,l,21600r21600,l21600,xe">
              <v:stroke joinstyle="miter"/>
              <v:path gradientshapeok="t" o:connecttype="rect"/>
            </v:shapetype>
            <v:shape id="Text Box 1" o:spid="_x0000_s1028"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textbox style="mso-fit-shape-to-text:t" inset="0,15pt,0,0">
                <w:txbxContent>
                  <w:p w14:paraId="759DEB41" w14:textId="46572535" w:rsidR="009A081B" w:rsidRPr="009A081B" w:rsidRDefault="009A081B" w:rsidP="009A081B">
                    <w:pPr>
                      <w:spacing w:after="0"/>
                      <w:rPr>
                        <w:rFonts w:ascii="Aptos" w:eastAsia="Aptos" w:hAnsi="Aptos" w:cs="Aptos"/>
                        <w:noProof/>
                        <w:color w:val="FF0000"/>
                        <w:sz w:val="24"/>
                      </w:rPr>
                    </w:pPr>
                    <w:r w:rsidRPr="009A081B">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7A4A"/>
    <w:multiLevelType w:val="hybridMultilevel"/>
    <w:tmpl w:val="6C58C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AD4720"/>
    <w:multiLevelType w:val="hybridMultilevel"/>
    <w:tmpl w:val="A1CC7A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F802C2F"/>
    <w:multiLevelType w:val="hybridMultilevel"/>
    <w:tmpl w:val="A724ADD8"/>
    <w:lvl w:ilvl="0" w:tplc="BAD4E4CC">
      <w:start w:val="1"/>
      <w:numFmt w:val="bullet"/>
      <w:lvlText w:val=""/>
      <w:lvlJc w:val="left"/>
      <w:pPr>
        <w:ind w:left="720" w:hanging="360"/>
      </w:pPr>
      <w:rPr>
        <w:rFonts w:ascii="Symbol" w:hAnsi="Symbol"/>
      </w:rPr>
    </w:lvl>
    <w:lvl w:ilvl="1" w:tplc="0770B838">
      <w:start w:val="1"/>
      <w:numFmt w:val="bullet"/>
      <w:lvlText w:val=""/>
      <w:lvlJc w:val="left"/>
      <w:pPr>
        <w:ind w:left="720" w:hanging="360"/>
      </w:pPr>
      <w:rPr>
        <w:rFonts w:ascii="Symbol" w:hAnsi="Symbol"/>
      </w:rPr>
    </w:lvl>
    <w:lvl w:ilvl="2" w:tplc="CB40DAFA">
      <w:start w:val="1"/>
      <w:numFmt w:val="bullet"/>
      <w:lvlText w:val=""/>
      <w:lvlJc w:val="left"/>
      <w:pPr>
        <w:ind w:left="720" w:hanging="360"/>
      </w:pPr>
      <w:rPr>
        <w:rFonts w:ascii="Symbol" w:hAnsi="Symbol"/>
      </w:rPr>
    </w:lvl>
    <w:lvl w:ilvl="3" w:tplc="31CCE82E">
      <w:start w:val="1"/>
      <w:numFmt w:val="bullet"/>
      <w:lvlText w:val=""/>
      <w:lvlJc w:val="left"/>
      <w:pPr>
        <w:ind w:left="720" w:hanging="360"/>
      </w:pPr>
      <w:rPr>
        <w:rFonts w:ascii="Symbol" w:hAnsi="Symbol"/>
      </w:rPr>
    </w:lvl>
    <w:lvl w:ilvl="4" w:tplc="EA10EAA0">
      <w:start w:val="1"/>
      <w:numFmt w:val="bullet"/>
      <w:lvlText w:val=""/>
      <w:lvlJc w:val="left"/>
      <w:pPr>
        <w:ind w:left="720" w:hanging="360"/>
      </w:pPr>
      <w:rPr>
        <w:rFonts w:ascii="Symbol" w:hAnsi="Symbol"/>
      </w:rPr>
    </w:lvl>
    <w:lvl w:ilvl="5" w:tplc="AB929C96">
      <w:start w:val="1"/>
      <w:numFmt w:val="bullet"/>
      <w:lvlText w:val=""/>
      <w:lvlJc w:val="left"/>
      <w:pPr>
        <w:ind w:left="720" w:hanging="360"/>
      </w:pPr>
      <w:rPr>
        <w:rFonts w:ascii="Symbol" w:hAnsi="Symbol"/>
      </w:rPr>
    </w:lvl>
    <w:lvl w:ilvl="6" w:tplc="8E668970">
      <w:start w:val="1"/>
      <w:numFmt w:val="bullet"/>
      <w:lvlText w:val=""/>
      <w:lvlJc w:val="left"/>
      <w:pPr>
        <w:ind w:left="720" w:hanging="360"/>
      </w:pPr>
      <w:rPr>
        <w:rFonts w:ascii="Symbol" w:hAnsi="Symbol"/>
      </w:rPr>
    </w:lvl>
    <w:lvl w:ilvl="7" w:tplc="2F563DEE">
      <w:start w:val="1"/>
      <w:numFmt w:val="bullet"/>
      <w:lvlText w:val=""/>
      <w:lvlJc w:val="left"/>
      <w:pPr>
        <w:ind w:left="720" w:hanging="360"/>
      </w:pPr>
      <w:rPr>
        <w:rFonts w:ascii="Symbol" w:hAnsi="Symbol"/>
      </w:rPr>
    </w:lvl>
    <w:lvl w:ilvl="8" w:tplc="330A86B6">
      <w:start w:val="1"/>
      <w:numFmt w:val="bullet"/>
      <w:lvlText w:val=""/>
      <w:lvlJc w:val="left"/>
      <w:pPr>
        <w:ind w:left="720" w:hanging="360"/>
      </w:pPr>
      <w:rPr>
        <w:rFonts w:ascii="Symbol" w:hAnsi="Symbol"/>
      </w:rPr>
    </w:lvl>
  </w:abstractNum>
  <w:abstractNum w:abstractNumId="3" w15:restartNumberingAfterBreak="0">
    <w:nsid w:val="784D033C"/>
    <w:multiLevelType w:val="multilevel"/>
    <w:tmpl w:val="44EC990A"/>
    <w:lvl w:ilvl="0">
      <w:start w:val="1"/>
      <w:numFmt w:val="decimal"/>
      <w:pStyle w:val="2-SectionHeading"/>
      <w:lvlText w:val="%1"/>
      <w:lvlJc w:val="left"/>
      <w:pPr>
        <w:ind w:left="720" w:hanging="720"/>
      </w:pPr>
      <w:rPr>
        <w:rFonts w:hint="default"/>
        <w:b/>
        <w:sz w:val="24"/>
        <w:szCs w:val="24"/>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9B72893"/>
    <w:multiLevelType w:val="hybridMultilevel"/>
    <w:tmpl w:val="80B8AF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40086394">
    <w:abstractNumId w:val="3"/>
  </w:num>
  <w:num w:numId="2" w16cid:durableId="607198306">
    <w:abstractNumId w:val="1"/>
  </w:num>
  <w:num w:numId="3" w16cid:durableId="846139733">
    <w:abstractNumId w:val="2"/>
  </w:num>
  <w:num w:numId="4" w16cid:durableId="1337268611">
    <w:abstractNumId w:val="4"/>
  </w:num>
  <w:num w:numId="5" w16cid:durableId="1755517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86E"/>
    <w:rsid w:val="00006E27"/>
    <w:rsid w:val="00006EE4"/>
    <w:rsid w:val="00010466"/>
    <w:rsid w:val="00014649"/>
    <w:rsid w:val="000158A5"/>
    <w:rsid w:val="0002127F"/>
    <w:rsid w:val="0002690B"/>
    <w:rsid w:val="00027064"/>
    <w:rsid w:val="00027DB2"/>
    <w:rsid w:val="00030DCF"/>
    <w:rsid w:val="00031883"/>
    <w:rsid w:val="00031DB0"/>
    <w:rsid w:val="00034318"/>
    <w:rsid w:val="000439BF"/>
    <w:rsid w:val="000452A6"/>
    <w:rsid w:val="00047343"/>
    <w:rsid w:val="00053229"/>
    <w:rsid w:val="00053C6E"/>
    <w:rsid w:val="0006247D"/>
    <w:rsid w:val="000721FD"/>
    <w:rsid w:val="000753A1"/>
    <w:rsid w:val="0008411A"/>
    <w:rsid w:val="00085FAE"/>
    <w:rsid w:val="00087FE0"/>
    <w:rsid w:val="000955ED"/>
    <w:rsid w:val="000A1AB7"/>
    <w:rsid w:val="000A3BF5"/>
    <w:rsid w:val="000B0BC5"/>
    <w:rsid w:val="000B6F54"/>
    <w:rsid w:val="000C6CDD"/>
    <w:rsid w:val="000D0A11"/>
    <w:rsid w:val="000E5330"/>
    <w:rsid w:val="000F20C5"/>
    <w:rsid w:val="000F4848"/>
    <w:rsid w:val="000F4B71"/>
    <w:rsid w:val="000F6481"/>
    <w:rsid w:val="001050CC"/>
    <w:rsid w:val="00110107"/>
    <w:rsid w:val="00112D1B"/>
    <w:rsid w:val="00117A99"/>
    <w:rsid w:val="00131BCC"/>
    <w:rsid w:val="0013247E"/>
    <w:rsid w:val="0014495C"/>
    <w:rsid w:val="001450B5"/>
    <w:rsid w:val="0015233A"/>
    <w:rsid w:val="00152D79"/>
    <w:rsid w:val="00155FE6"/>
    <w:rsid w:val="00157F39"/>
    <w:rsid w:val="00163C44"/>
    <w:rsid w:val="0016485A"/>
    <w:rsid w:val="001662D3"/>
    <w:rsid w:val="0017316F"/>
    <w:rsid w:val="00182B4C"/>
    <w:rsid w:val="001832F6"/>
    <w:rsid w:val="00183740"/>
    <w:rsid w:val="00190FE4"/>
    <w:rsid w:val="00193794"/>
    <w:rsid w:val="0019520D"/>
    <w:rsid w:val="00196022"/>
    <w:rsid w:val="00197542"/>
    <w:rsid w:val="001A2DBB"/>
    <w:rsid w:val="001A369E"/>
    <w:rsid w:val="001A67A5"/>
    <w:rsid w:val="001A708B"/>
    <w:rsid w:val="001C3131"/>
    <w:rsid w:val="001C3B15"/>
    <w:rsid w:val="001C67E9"/>
    <w:rsid w:val="001D5A9B"/>
    <w:rsid w:val="001D5FD9"/>
    <w:rsid w:val="001E20E5"/>
    <w:rsid w:val="001E242D"/>
    <w:rsid w:val="001E3514"/>
    <w:rsid w:val="001E5C70"/>
    <w:rsid w:val="001E77A9"/>
    <w:rsid w:val="001F07B0"/>
    <w:rsid w:val="001F1727"/>
    <w:rsid w:val="001F470F"/>
    <w:rsid w:val="001F7F2B"/>
    <w:rsid w:val="00201084"/>
    <w:rsid w:val="0020499A"/>
    <w:rsid w:val="00207379"/>
    <w:rsid w:val="0020786C"/>
    <w:rsid w:val="002111EF"/>
    <w:rsid w:val="00211F5B"/>
    <w:rsid w:val="002121D1"/>
    <w:rsid w:val="00215072"/>
    <w:rsid w:val="0021569B"/>
    <w:rsid w:val="00217ACF"/>
    <w:rsid w:val="0022616F"/>
    <w:rsid w:val="00227175"/>
    <w:rsid w:val="002349A8"/>
    <w:rsid w:val="00237C4C"/>
    <w:rsid w:val="00243C0B"/>
    <w:rsid w:val="002454D7"/>
    <w:rsid w:val="002462D1"/>
    <w:rsid w:val="0025358C"/>
    <w:rsid w:val="00253B81"/>
    <w:rsid w:val="002544B6"/>
    <w:rsid w:val="002605A6"/>
    <w:rsid w:val="00265436"/>
    <w:rsid w:val="00270265"/>
    <w:rsid w:val="00272306"/>
    <w:rsid w:val="002753F2"/>
    <w:rsid w:val="00280050"/>
    <w:rsid w:val="00283DA2"/>
    <w:rsid w:val="002865AC"/>
    <w:rsid w:val="00287C2A"/>
    <w:rsid w:val="00293C5F"/>
    <w:rsid w:val="00294BA5"/>
    <w:rsid w:val="00297C91"/>
    <w:rsid w:val="002A5CE8"/>
    <w:rsid w:val="002B2ABB"/>
    <w:rsid w:val="002B367C"/>
    <w:rsid w:val="002B6306"/>
    <w:rsid w:val="002B7141"/>
    <w:rsid w:val="002B7322"/>
    <w:rsid w:val="002C0C9F"/>
    <w:rsid w:val="002C5772"/>
    <w:rsid w:val="002C72C9"/>
    <w:rsid w:val="002D00E1"/>
    <w:rsid w:val="002D0B8C"/>
    <w:rsid w:val="002D0F71"/>
    <w:rsid w:val="002E086E"/>
    <w:rsid w:val="002E2F98"/>
    <w:rsid w:val="002F0494"/>
    <w:rsid w:val="002F3C7C"/>
    <w:rsid w:val="00304874"/>
    <w:rsid w:val="00305D9A"/>
    <w:rsid w:val="003075A2"/>
    <w:rsid w:val="0031071D"/>
    <w:rsid w:val="00310D52"/>
    <w:rsid w:val="00315ADD"/>
    <w:rsid w:val="003165EC"/>
    <w:rsid w:val="0032176A"/>
    <w:rsid w:val="003222FF"/>
    <w:rsid w:val="00322D68"/>
    <w:rsid w:val="00324C09"/>
    <w:rsid w:val="0032512A"/>
    <w:rsid w:val="00326197"/>
    <w:rsid w:val="003335AC"/>
    <w:rsid w:val="0034019D"/>
    <w:rsid w:val="00341706"/>
    <w:rsid w:val="00343919"/>
    <w:rsid w:val="00351DED"/>
    <w:rsid w:val="0035343A"/>
    <w:rsid w:val="00357C5C"/>
    <w:rsid w:val="00370481"/>
    <w:rsid w:val="00371D88"/>
    <w:rsid w:val="00385CD3"/>
    <w:rsid w:val="0039254A"/>
    <w:rsid w:val="00393940"/>
    <w:rsid w:val="00393BEF"/>
    <w:rsid w:val="003A733B"/>
    <w:rsid w:val="003B2EDB"/>
    <w:rsid w:val="003B3D19"/>
    <w:rsid w:val="003B4123"/>
    <w:rsid w:val="003B6B4A"/>
    <w:rsid w:val="003C3421"/>
    <w:rsid w:val="003E1B98"/>
    <w:rsid w:val="003E20E7"/>
    <w:rsid w:val="003E3A80"/>
    <w:rsid w:val="003F0204"/>
    <w:rsid w:val="003F060B"/>
    <w:rsid w:val="003F302A"/>
    <w:rsid w:val="003F4F64"/>
    <w:rsid w:val="003F7F72"/>
    <w:rsid w:val="003F7FE9"/>
    <w:rsid w:val="00400F1E"/>
    <w:rsid w:val="00404F66"/>
    <w:rsid w:val="00407C5A"/>
    <w:rsid w:val="00412103"/>
    <w:rsid w:val="004122F7"/>
    <w:rsid w:val="00412983"/>
    <w:rsid w:val="0041561E"/>
    <w:rsid w:val="00417F8A"/>
    <w:rsid w:val="00420131"/>
    <w:rsid w:val="00422B7F"/>
    <w:rsid w:val="00423E65"/>
    <w:rsid w:val="0042748F"/>
    <w:rsid w:val="00427536"/>
    <w:rsid w:val="00430137"/>
    <w:rsid w:val="00430F48"/>
    <w:rsid w:val="004342C5"/>
    <w:rsid w:val="004344F2"/>
    <w:rsid w:val="0043764D"/>
    <w:rsid w:val="004407C8"/>
    <w:rsid w:val="00446495"/>
    <w:rsid w:val="00447093"/>
    <w:rsid w:val="004531A8"/>
    <w:rsid w:val="004534D6"/>
    <w:rsid w:val="00462AAD"/>
    <w:rsid w:val="004662C2"/>
    <w:rsid w:val="004705AF"/>
    <w:rsid w:val="00486530"/>
    <w:rsid w:val="00496138"/>
    <w:rsid w:val="00497128"/>
    <w:rsid w:val="004A27C5"/>
    <w:rsid w:val="004A3115"/>
    <w:rsid w:val="004A38EB"/>
    <w:rsid w:val="004A4AA2"/>
    <w:rsid w:val="004A4D99"/>
    <w:rsid w:val="004A6CA0"/>
    <w:rsid w:val="004C2F6A"/>
    <w:rsid w:val="004D3F5A"/>
    <w:rsid w:val="004D5A9A"/>
    <w:rsid w:val="004D7BD7"/>
    <w:rsid w:val="004E0593"/>
    <w:rsid w:val="004E54FF"/>
    <w:rsid w:val="004E7367"/>
    <w:rsid w:val="004F0BA6"/>
    <w:rsid w:val="0050229C"/>
    <w:rsid w:val="0050306F"/>
    <w:rsid w:val="0050444B"/>
    <w:rsid w:val="00505FF8"/>
    <w:rsid w:val="00506CE2"/>
    <w:rsid w:val="00510B5E"/>
    <w:rsid w:val="005118BD"/>
    <w:rsid w:val="00511D38"/>
    <w:rsid w:val="00512586"/>
    <w:rsid w:val="00513BCE"/>
    <w:rsid w:val="005141AE"/>
    <w:rsid w:val="00517222"/>
    <w:rsid w:val="005208A3"/>
    <w:rsid w:val="00522101"/>
    <w:rsid w:val="00522BFA"/>
    <w:rsid w:val="00523267"/>
    <w:rsid w:val="00524DCF"/>
    <w:rsid w:val="00525D36"/>
    <w:rsid w:val="005310E1"/>
    <w:rsid w:val="00537D87"/>
    <w:rsid w:val="00546670"/>
    <w:rsid w:val="0055056B"/>
    <w:rsid w:val="00553C94"/>
    <w:rsid w:val="005554C6"/>
    <w:rsid w:val="00562736"/>
    <w:rsid w:val="00563D7B"/>
    <w:rsid w:val="00563E61"/>
    <w:rsid w:val="00564932"/>
    <w:rsid w:val="00565538"/>
    <w:rsid w:val="00566E40"/>
    <w:rsid w:val="00573A23"/>
    <w:rsid w:val="00575DBB"/>
    <w:rsid w:val="00577C9C"/>
    <w:rsid w:val="00581910"/>
    <w:rsid w:val="005848E5"/>
    <w:rsid w:val="005A2642"/>
    <w:rsid w:val="005B44A3"/>
    <w:rsid w:val="005B51C9"/>
    <w:rsid w:val="005B61A1"/>
    <w:rsid w:val="005C0967"/>
    <w:rsid w:val="005C13F4"/>
    <w:rsid w:val="005C165A"/>
    <w:rsid w:val="005C1B2E"/>
    <w:rsid w:val="005C3B1A"/>
    <w:rsid w:val="005D55D0"/>
    <w:rsid w:val="005D699D"/>
    <w:rsid w:val="005E4480"/>
    <w:rsid w:val="005E710E"/>
    <w:rsid w:val="005F6243"/>
    <w:rsid w:val="00601D31"/>
    <w:rsid w:val="0060360B"/>
    <w:rsid w:val="00610622"/>
    <w:rsid w:val="00616854"/>
    <w:rsid w:val="00616C06"/>
    <w:rsid w:val="006225C1"/>
    <w:rsid w:val="006263D1"/>
    <w:rsid w:val="00633591"/>
    <w:rsid w:val="006338E6"/>
    <w:rsid w:val="00633B13"/>
    <w:rsid w:val="00633F37"/>
    <w:rsid w:val="006438CC"/>
    <w:rsid w:val="00647893"/>
    <w:rsid w:val="00653137"/>
    <w:rsid w:val="00656005"/>
    <w:rsid w:val="00663A56"/>
    <w:rsid w:val="00676091"/>
    <w:rsid w:val="00677FEA"/>
    <w:rsid w:val="00680FDA"/>
    <w:rsid w:val="00681D26"/>
    <w:rsid w:val="00692465"/>
    <w:rsid w:val="006A1F08"/>
    <w:rsid w:val="006A39F7"/>
    <w:rsid w:val="006A7465"/>
    <w:rsid w:val="006B3BED"/>
    <w:rsid w:val="006C2B63"/>
    <w:rsid w:val="006C2EC1"/>
    <w:rsid w:val="006D1962"/>
    <w:rsid w:val="006D3599"/>
    <w:rsid w:val="006E16E8"/>
    <w:rsid w:val="006E1D76"/>
    <w:rsid w:val="006E6223"/>
    <w:rsid w:val="006F6884"/>
    <w:rsid w:val="0070347A"/>
    <w:rsid w:val="00703EE0"/>
    <w:rsid w:val="007052F2"/>
    <w:rsid w:val="00711295"/>
    <w:rsid w:val="00711849"/>
    <w:rsid w:val="00712921"/>
    <w:rsid w:val="00712F1C"/>
    <w:rsid w:val="00713561"/>
    <w:rsid w:val="00716055"/>
    <w:rsid w:val="0071708D"/>
    <w:rsid w:val="00721067"/>
    <w:rsid w:val="00733025"/>
    <w:rsid w:val="00735F61"/>
    <w:rsid w:val="00736371"/>
    <w:rsid w:val="00745FAF"/>
    <w:rsid w:val="00756235"/>
    <w:rsid w:val="00761CAF"/>
    <w:rsid w:val="0077001A"/>
    <w:rsid w:val="00781F62"/>
    <w:rsid w:val="007942D7"/>
    <w:rsid w:val="007958CD"/>
    <w:rsid w:val="00796EE6"/>
    <w:rsid w:val="007975D9"/>
    <w:rsid w:val="007A2EC9"/>
    <w:rsid w:val="007B159F"/>
    <w:rsid w:val="007B1F24"/>
    <w:rsid w:val="007B4F3E"/>
    <w:rsid w:val="007C42C2"/>
    <w:rsid w:val="007C574B"/>
    <w:rsid w:val="007C5FCC"/>
    <w:rsid w:val="007D4572"/>
    <w:rsid w:val="007D6CCA"/>
    <w:rsid w:val="007E074F"/>
    <w:rsid w:val="007F62B0"/>
    <w:rsid w:val="0080465B"/>
    <w:rsid w:val="00805105"/>
    <w:rsid w:val="00815ADB"/>
    <w:rsid w:val="00822346"/>
    <w:rsid w:val="00826269"/>
    <w:rsid w:val="008277C1"/>
    <w:rsid w:val="00832AAD"/>
    <w:rsid w:val="00833941"/>
    <w:rsid w:val="00833D2A"/>
    <w:rsid w:val="00834ABC"/>
    <w:rsid w:val="0083741C"/>
    <w:rsid w:val="00844F53"/>
    <w:rsid w:val="008451FA"/>
    <w:rsid w:val="00857967"/>
    <w:rsid w:val="00863B17"/>
    <w:rsid w:val="00874D0C"/>
    <w:rsid w:val="00875FDF"/>
    <w:rsid w:val="00876C93"/>
    <w:rsid w:val="00880E52"/>
    <w:rsid w:val="00883FEF"/>
    <w:rsid w:val="008842FA"/>
    <w:rsid w:val="0088529E"/>
    <w:rsid w:val="0088704C"/>
    <w:rsid w:val="00892077"/>
    <w:rsid w:val="00892AF4"/>
    <w:rsid w:val="00896683"/>
    <w:rsid w:val="008A1C63"/>
    <w:rsid w:val="008A1FC7"/>
    <w:rsid w:val="008B232C"/>
    <w:rsid w:val="008B3C08"/>
    <w:rsid w:val="008B4522"/>
    <w:rsid w:val="008C0D89"/>
    <w:rsid w:val="008C35F8"/>
    <w:rsid w:val="008C378C"/>
    <w:rsid w:val="008C472F"/>
    <w:rsid w:val="008C4F56"/>
    <w:rsid w:val="008C585B"/>
    <w:rsid w:val="008D5553"/>
    <w:rsid w:val="008D75C3"/>
    <w:rsid w:val="008E1605"/>
    <w:rsid w:val="008E4C4E"/>
    <w:rsid w:val="008E5C0B"/>
    <w:rsid w:val="008E7DCB"/>
    <w:rsid w:val="008F0C26"/>
    <w:rsid w:val="008F46D8"/>
    <w:rsid w:val="008F5F47"/>
    <w:rsid w:val="008F72CF"/>
    <w:rsid w:val="00902F13"/>
    <w:rsid w:val="00905D03"/>
    <w:rsid w:val="00916D83"/>
    <w:rsid w:val="00917C22"/>
    <w:rsid w:val="00933565"/>
    <w:rsid w:val="00940761"/>
    <w:rsid w:val="00943462"/>
    <w:rsid w:val="00952388"/>
    <w:rsid w:val="00956BB4"/>
    <w:rsid w:val="00961340"/>
    <w:rsid w:val="00963F37"/>
    <w:rsid w:val="00970250"/>
    <w:rsid w:val="009740A0"/>
    <w:rsid w:val="00974D5B"/>
    <w:rsid w:val="00977A57"/>
    <w:rsid w:val="00982B07"/>
    <w:rsid w:val="00983063"/>
    <w:rsid w:val="00983204"/>
    <w:rsid w:val="00985808"/>
    <w:rsid w:val="00986B0D"/>
    <w:rsid w:val="00990C14"/>
    <w:rsid w:val="00993B75"/>
    <w:rsid w:val="00993C87"/>
    <w:rsid w:val="009968AE"/>
    <w:rsid w:val="009A081B"/>
    <w:rsid w:val="009A5433"/>
    <w:rsid w:val="009B5E90"/>
    <w:rsid w:val="009B60B6"/>
    <w:rsid w:val="009C1018"/>
    <w:rsid w:val="009C1314"/>
    <w:rsid w:val="009C3753"/>
    <w:rsid w:val="009C566A"/>
    <w:rsid w:val="009C5A19"/>
    <w:rsid w:val="009E324E"/>
    <w:rsid w:val="009E671D"/>
    <w:rsid w:val="009E6B0D"/>
    <w:rsid w:val="009F0F54"/>
    <w:rsid w:val="009F1DD5"/>
    <w:rsid w:val="009F266D"/>
    <w:rsid w:val="009F6EBB"/>
    <w:rsid w:val="00A0267F"/>
    <w:rsid w:val="00A0352F"/>
    <w:rsid w:val="00A06A9B"/>
    <w:rsid w:val="00A10C8D"/>
    <w:rsid w:val="00A13315"/>
    <w:rsid w:val="00A15F7E"/>
    <w:rsid w:val="00A25DB3"/>
    <w:rsid w:val="00A31746"/>
    <w:rsid w:val="00A358F2"/>
    <w:rsid w:val="00A402E1"/>
    <w:rsid w:val="00A46600"/>
    <w:rsid w:val="00A50D98"/>
    <w:rsid w:val="00A5701B"/>
    <w:rsid w:val="00A64558"/>
    <w:rsid w:val="00A64B18"/>
    <w:rsid w:val="00A738BB"/>
    <w:rsid w:val="00A74B30"/>
    <w:rsid w:val="00A87564"/>
    <w:rsid w:val="00A93B8D"/>
    <w:rsid w:val="00A972DC"/>
    <w:rsid w:val="00A97792"/>
    <w:rsid w:val="00AB1066"/>
    <w:rsid w:val="00AB27E4"/>
    <w:rsid w:val="00AC1475"/>
    <w:rsid w:val="00AC4ABA"/>
    <w:rsid w:val="00AC588E"/>
    <w:rsid w:val="00AD06C6"/>
    <w:rsid w:val="00AD0872"/>
    <w:rsid w:val="00AD2FA5"/>
    <w:rsid w:val="00AD679C"/>
    <w:rsid w:val="00AE0A11"/>
    <w:rsid w:val="00AE1CCD"/>
    <w:rsid w:val="00AE346B"/>
    <w:rsid w:val="00AF0021"/>
    <w:rsid w:val="00AF50BB"/>
    <w:rsid w:val="00B02054"/>
    <w:rsid w:val="00B07511"/>
    <w:rsid w:val="00B32AA4"/>
    <w:rsid w:val="00B338CA"/>
    <w:rsid w:val="00B347E1"/>
    <w:rsid w:val="00B36F90"/>
    <w:rsid w:val="00B4443E"/>
    <w:rsid w:val="00B4616A"/>
    <w:rsid w:val="00B55EB4"/>
    <w:rsid w:val="00B6214F"/>
    <w:rsid w:val="00B63EC7"/>
    <w:rsid w:val="00B66329"/>
    <w:rsid w:val="00B74082"/>
    <w:rsid w:val="00B8166D"/>
    <w:rsid w:val="00B823B2"/>
    <w:rsid w:val="00B83ED1"/>
    <w:rsid w:val="00B872A2"/>
    <w:rsid w:val="00B90113"/>
    <w:rsid w:val="00B9532E"/>
    <w:rsid w:val="00BA1000"/>
    <w:rsid w:val="00BA1546"/>
    <w:rsid w:val="00BB1635"/>
    <w:rsid w:val="00BB1945"/>
    <w:rsid w:val="00BB1A93"/>
    <w:rsid w:val="00BB1E08"/>
    <w:rsid w:val="00BB3165"/>
    <w:rsid w:val="00BB34CF"/>
    <w:rsid w:val="00BB3A63"/>
    <w:rsid w:val="00BB4874"/>
    <w:rsid w:val="00BB4A38"/>
    <w:rsid w:val="00BB76AC"/>
    <w:rsid w:val="00BC0C5F"/>
    <w:rsid w:val="00BC241B"/>
    <w:rsid w:val="00BC65A3"/>
    <w:rsid w:val="00BC6C47"/>
    <w:rsid w:val="00BC7B2D"/>
    <w:rsid w:val="00BD2A0A"/>
    <w:rsid w:val="00BD3E6B"/>
    <w:rsid w:val="00BD413C"/>
    <w:rsid w:val="00BE1868"/>
    <w:rsid w:val="00BE1E3B"/>
    <w:rsid w:val="00BE3728"/>
    <w:rsid w:val="00BE445E"/>
    <w:rsid w:val="00BE5C3D"/>
    <w:rsid w:val="00BF30E2"/>
    <w:rsid w:val="00BF44BC"/>
    <w:rsid w:val="00BF52BE"/>
    <w:rsid w:val="00C009AD"/>
    <w:rsid w:val="00C0349F"/>
    <w:rsid w:val="00C04FFF"/>
    <w:rsid w:val="00C05B99"/>
    <w:rsid w:val="00C22F0A"/>
    <w:rsid w:val="00C26467"/>
    <w:rsid w:val="00C41B34"/>
    <w:rsid w:val="00C41B3D"/>
    <w:rsid w:val="00C433A8"/>
    <w:rsid w:val="00C45ED0"/>
    <w:rsid w:val="00C50DA2"/>
    <w:rsid w:val="00C53494"/>
    <w:rsid w:val="00C542B5"/>
    <w:rsid w:val="00C61776"/>
    <w:rsid w:val="00C6602F"/>
    <w:rsid w:val="00C6700C"/>
    <w:rsid w:val="00C8002B"/>
    <w:rsid w:val="00C802B1"/>
    <w:rsid w:val="00C93ACE"/>
    <w:rsid w:val="00C94944"/>
    <w:rsid w:val="00CA105E"/>
    <w:rsid w:val="00CA256C"/>
    <w:rsid w:val="00CA34C8"/>
    <w:rsid w:val="00CB144D"/>
    <w:rsid w:val="00CB19D2"/>
    <w:rsid w:val="00CB27C0"/>
    <w:rsid w:val="00CD05E0"/>
    <w:rsid w:val="00CD5314"/>
    <w:rsid w:val="00CD6587"/>
    <w:rsid w:val="00CE4C00"/>
    <w:rsid w:val="00CF3CDA"/>
    <w:rsid w:val="00CF695A"/>
    <w:rsid w:val="00CF7956"/>
    <w:rsid w:val="00D0264C"/>
    <w:rsid w:val="00D0695E"/>
    <w:rsid w:val="00D126E9"/>
    <w:rsid w:val="00D12D8D"/>
    <w:rsid w:val="00D136EC"/>
    <w:rsid w:val="00D145A0"/>
    <w:rsid w:val="00D225FA"/>
    <w:rsid w:val="00D22652"/>
    <w:rsid w:val="00D243A1"/>
    <w:rsid w:val="00D24516"/>
    <w:rsid w:val="00D27206"/>
    <w:rsid w:val="00D335EB"/>
    <w:rsid w:val="00D33FCE"/>
    <w:rsid w:val="00D368DB"/>
    <w:rsid w:val="00D409A5"/>
    <w:rsid w:val="00D43890"/>
    <w:rsid w:val="00D45F43"/>
    <w:rsid w:val="00D47400"/>
    <w:rsid w:val="00D52981"/>
    <w:rsid w:val="00D52C57"/>
    <w:rsid w:val="00D571F7"/>
    <w:rsid w:val="00D573F1"/>
    <w:rsid w:val="00D60E9C"/>
    <w:rsid w:val="00D629AE"/>
    <w:rsid w:val="00D71EA1"/>
    <w:rsid w:val="00D73F5D"/>
    <w:rsid w:val="00D7627F"/>
    <w:rsid w:val="00D77965"/>
    <w:rsid w:val="00D858D0"/>
    <w:rsid w:val="00D8709E"/>
    <w:rsid w:val="00D900E5"/>
    <w:rsid w:val="00D94639"/>
    <w:rsid w:val="00D947A6"/>
    <w:rsid w:val="00D975C0"/>
    <w:rsid w:val="00DA12D1"/>
    <w:rsid w:val="00DA24F4"/>
    <w:rsid w:val="00DA72C4"/>
    <w:rsid w:val="00DA7642"/>
    <w:rsid w:val="00DB52C3"/>
    <w:rsid w:val="00DB5DDB"/>
    <w:rsid w:val="00DC1A5C"/>
    <w:rsid w:val="00DD0631"/>
    <w:rsid w:val="00DD1DB2"/>
    <w:rsid w:val="00DD232F"/>
    <w:rsid w:val="00DE1EF3"/>
    <w:rsid w:val="00DE385E"/>
    <w:rsid w:val="00DF221B"/>
    <w:rsid w:val="00DF22C5"/>
    <w:rsid w:val="00DF2AC1"/>
    <w:rsid w:val="00DF52EA"/>
    <w:rsid w:val="00DF7D49"/>
    <w:rsid w:val="00E06D7B"/>
    <w:rsid w:val="00E06F7A"/>
    <w:rsid w:val="00E14AB0"/>
    <w:rsid w:val="00E14FCD"/>
    <w:rsid w:val="00E157BA"/>
    <w:rsid w:val="00E16644"/>
    <w:rsid w:val="00E214F3"/>
    <w:rsid w:val="00E22462"/>
    <w:rsid w:val="00E227F6"/>
    <w:rsid w:val="00E26BB0"/>
    <w:rsid w:val="00E273E9"/>
    <w:rsid w:val="00E3284E"/>
    <w:rsid w:val="00E35622"/>
    <w:rsid w:val="00E40750"/>
    <w:rsid w:val="00E41B27"/>
    <w:rsid w:val="00E525D6"/>
    <w:rsid w:val="00E5274F"/>
    <w:rsid w:val="00E6060E"/>
    <w:rsid w:val="00E716B5"/>
    <w:rsid w:val="00E717AF"/>
    <w:rsid w:val="00E8190D"/>
    <w:rsid w:val="00E82260"/>
    <w:rsid w:val="00E8357F"/>
    <w:rsid w:val="00E9543F"/>
    <w:rsid w:val="00EA10E0"/>
    <w:rsid w:val="00EA13BF"/>
    <w:rsid w:val="00EA7551"/>
    <w:rsid w:val="00EB0CC2"/>
    <w:rsid w:val="00EB176E"/>
    <w:rsid w:val="00EB44BD"/>
    <w:rsid w:val="00EB6227"/>
    <w:rsid w:val="00EB7F3B"/>
    <w:rsid w:val="00EC065A"/>
    <w:rsid w:val="00EC1D7A"/>
    <w:rsid w:val="00EC76C5"/>
    <w:rsid w:val="00EC7BC4"/>
    <w:rsid w:val="00ED3B8F"/>
    <w:rsid w:val="00ED4592"/>
    <w:rsid w:val="00ED523F"/>
    <w:rsid w:val="00EE1E6C"/>
    <w:rsid w:val="00EE7184"/>
    <w:rsid w:val="00EF375B"/>
    <w:rsid w:val="00F044A6"/>
    <w:rsid w:val="00F05208"/>
    <w:rsid w:val="00F10EAB"/>
    <w:rsid w:val="00F142B8"/>
    <w:rsid w:val="00F149DB"/>
    <w:rsid w:val="00F14D6C"/>
    <w:rsid w:val="00F16A1E"/>
    <w:rsid w:val="00F16D97"/>
    <w:rsid w:val="00F24087"/>
    <w:rsid w:val="00F24E32"/>
    <w:rsid w:val="00F26EFC"/>
    <w:rsid w:val="00F35973"/>
    <w:rsid w:val="00F43C7E"/>
    <w:rsid w:val="00F56865"/>
    <w:rsid w:val="00F60655"/>
    <w:rsid w:val="00F64AA1"/>
    <w:rsid w:val="00F72692"/>
    <w:rsid w:val="00F746C0"/>
    <w:rsid w:val="00F75642"/>
    <w:rsid w:val="00F81C7E"/>
    <w:rsid w:val="00F82D9B"/>
    <w:rsid w:val="00F86E41"/>
    <w:rsid w:val="00F905EA"/>
    <w:rsid w:val="00F95CF5"/>
    <w:rsid w:val="00F9655B"/>
    <w:rsid w:val="00F97B91"/>
    <w:rsid w:val="00FA6DCC"/>
    <w:rsid w:val="00FB0063"/>
    <w:rsid w:val="00FB313C"/>
    <w:rsid w:val="00FB651D"/>
    <w:rsid w:val="00FC3231"/>
    <w:rsid w:val="00FE7456"/>
    <w:rsid w:val="00FF0B3B"/>
    <w:rsid w:val="00FF43A7"/>
    <w:rsid w:val="00FF5897"/>
    <w:rsid w:val="00FF5E0F"/>
    <w:rsid w:val="04D92CDD"/>
    <w:rsid w:val="1B01D14B"/>
    <w:rsid w:val="209EC709"/>
    <w:rsid w:val="246AB8BD"/>
    <w:rsid w:val="25F19386"/>
    <w:rsid w:val="2619C3DC"/>
    <w:rsid w:val="344965B2"/>
    <w:rsid w:val="365DCD75"/>
    <w:rsid w:val="388BE0A8"/>
    <w:rsid w:val="3B1CE9F9"/>
    <w:rsid w:val="3E20B35E"/>
    <w:rsid w:val="3F7FDFB8"/>
    <w:rsid w:val="44635DE2"/>
    <w:rsid w:val="4526EB32"/>
    <w:rsid w:val="487CA4A8"/>
    <w:rsid w:val="498B25B8"/>
    <w:rsid w:val="4A98031B"/>
    <w:rsid w:val="4B42A379"/>
    <w:rsid w:val="4D161FB2"/>
    <w:rsid w:val="4EAC047F"/>
    <w:rsid w:val="5382F94C"/>
    <w:rsid w:val="56D3CB21"/>
    <w:rsid w:val="57BBF9DA"/>
    <w:rsid w:val="6786BB4E"/>
    <w:rsid w:val="67D4F2CD"/>
    <w:rsid w:val="69A04E11"/>
    <w:rsid w:val="6DF1D4B4"/>
    <w:rsid w:val="6F0751FC"/>
    <w:rsid w:val="6F9FE897"/>
    <w:rsid w:val="7033EEB4"/>
    <w:rsid w:val="7186461E"/>
    <w:rsid w:val="73698C5C"/>
    <w:rsid w:val="76A81708"/>
    <w:rsid w:val="773787FE"/>
    <w:rsid w:val="77E1470E"/>
    <w:rsid w:val="7A154543"/>
    <w:rsid w:val="7BB3FE74"/>
    <w:rsid w:val="7CEA260B"/>
    <w:rsid w:val="7CF73902"/>
    <w:rsid w:val="7FD4CF8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0E5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8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8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86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86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E086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E086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E086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E086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E086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8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8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86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86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E086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E08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E08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E08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E08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E08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8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86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86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E086E"/>
    <w:pPr>
      <w:spacing w:before="160"/>
      <w:jc w:val="center"/>
    </w:pPr>
    <w:rPr>
      <w:i/>
      <w:iCs/>
      <w:color w:val="404040" w:themeColor="text1" w:themeTint="BF"/>
    </w:rPr>
  </w:style>
  <w:style w:type="character" w:customStyle="1" w:styleId="QuoteChar">
    <w:name w:val="Quote Char"/>
    <w:basedOn w:val="DefaultParagraphFont"/>
    <w:link w:val="Quote"/>
    <w:uiPriority w:val="29"/>
    <w:rsid w:val="002E086E"/>
    <w:rPr>
      <w:i/>
      <w:iCs/>
      <w:color w:val="404040" w:themeColor="text1" w:themeTint="BF"/>
    </w:rPr>
  </w:style>
  <w:style w:type="paragraph" w:styleId="ListParagraph">
    <w:name w:val="List Paragraph"/>
    <w:basedOn w:val="Normal"/>
    <w:uiPriority w:val="34"/>
    <w:qFormat/>
    <w:rsid w:val="002E086E"/>
    <w:pPr>
      <w:ind w:left="720"/>
      <w:contextualSpacing/>
    </w:pPr>
  </w:style>
  <w:style w:type="character" w:styleId="IntenseEmphasis">
    <w:name w:val="Intense Emphasis"/>
    <w:basedOn w:val="DefaultParagraphFont"/>
    <w:uiPriority w:val="21"/>
    <w:qFormat/>
    <w:rsid w:val="002E086E"/>
    <w:rPr>
      <w:i/>
      <w:iCs/>
      <w:color w:val="0F4761" w:themeColor="accent1" w:themeShade="BF"/>
    </w:rPr>
  </w:style>
  <w:style w:type="paragraph" w:styleId="IntenseQuote">
    <w:name w:val="Intense Quote"/>
    <w:basedOn w:val="Normal"/>
    <w:next w:val="Normal"/>
    <w:link w:val="IntenseQuoteChar"/>
    <w:uiPriority w:val="30"/>
    <w:qFormat/>
    <w:rsid w:val="002E08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86E"/>
    <w:rPr>
      <w:i/>
      <w:iCs/>
      <w:color w:val="0F4761" w:themeColor="accent1" w:themeShade="BF"/>
    </w:rPr>
  </w:style>
  <w:style w:type="character" w:styleId="IntenseReference">
    <w:name w:val="Intense Reference"/>
    <w:basedOn w:val="DefaultParagraphFont"/>
    <w:uiPriority w:val="32"/>
    <w:qFormat/>
    <w:rsid w:val="002E086E"/>
    <w:rPr>
      <w:b/>
      <w:bCs/>
      <w:smallCaps/>
      <w:color w:val="0F4761" w:themeColor="accent1" w:themeShade="BF"/>
      <w:spacing w:val="5"/>
    </w:rPr>
  </w:style>
  <w:style w:type="paragraph" w:customStyle="1" w:styleId="1-MainHeading">
    <w:name w:val="1-Main Heading"/>
    <w:next w:val="Normal"/>
    <w:link w:val="1-MainHeadingChar"/>
    <w:qFormat/>
    <w:rsid w:val="002E086E"/>
    <w:pPr>
      <w:keepNext/>
      <w:spacing w:before="120" w:line="240" w:lineRule="auto"/>
      <w:ind w:left="720" w:hanging="720"/>
      <w:outlineLvl w:val="0"/>
    </w:pPr>
    <w:rPr>
      <w:rFonts w:asciiTheme="minorHAnsi" w:eastAsiaTheme="majorEastAsia" w:hAnsiTheme="minorHAnsi" w:cstheme="majorBidi"/>
      <w:b/>
      <w:spacing w:val="5"/>
      <w:kern w:val="28"/>
      <w:sz w:val="36"/>
      <w:szCs w:val="36"/>
      <w14:ligatures w14:val="none"/>
    </w:rPr>
  </w:style>
  <w:style w:type="character" w:customStyle="1" w:styleId="1-MainHeadingChar">
    <w:name w:val="1-Main Heading Char"/>
    <w:basedOn w:val="DefaultParagraphFont"/>
    <w:link w:val="1-MainHeading"/>
    <w:rsid w:val="002E086E"/>
    <w:rPr>
      <w:rFonts w:asciiTheme="minorHAnsi" w:eastAsiaTheme="majorEastAsia" w:hAnsiTheme="minorHAnsi" w:cstheme="majorBidi"/>
      <w:b/>
      <w:spacing w:val="5"/>
      <w:kern w:val="28"/>
      <w:sz w:val="36"/>
      <w:szCs w:val="36"/>
      <w14:ligatures w14:val="none"/>
    </w:rPr>
  </w:style>
  <w:style w:type="character" w:styleId="CommentReference">
    <w:name w:val="annotation reference"/>
    <w:aliases w:val="Table Title"/>
    <w:basedOn w:val="DefaultParagraphFont"/>
    <w:uiPriority w:val="99"/>
    <w:rsid w:val="00CF7956"/>
    <w:rPr>
      <w:sz w:val="16"/>
      <w:szCs w:val="16"/>
    </w:rPr>
  </w:style>
  <w:style w:type="paragraph" w:styleId="CommentText">
    <w:name w:val="annotation text"/>
    <w:basedOn w:val="Normal"/>
    <w:link w:val="CommentTextChar"/>
    <w:uiPriority w:val="99"/>
    <w:rsid w:val="00CF7956"/>
    <w:pPr>
      <w:spacing w:after="0" w:line="240" w:lineRule="auto"/>
      <w:jc w:val="both"/>
    </w:pPr>
    <w:rPr>
      <w:rFonts w:ascii="Calibri" w:eastAsia="Times New Roman" w:hAnsi="Calibri"/>
      <w:kern w:val="0"/>
      <w:sz w:val="24"/>
      <w14:ligatures w14:val="none"/>
    </w:rPr>
  </w:style>
  <w:style w:type="character" w:customStyle="1" w:styleId="CommentTextChar">
    <w:name w:val="Comment Text Char"/>
    <w:basedOn w:val="DefaultParagraphFont"/>
    <w:link w:val="CommentText"/>
    <w:uiPriority w:val="99"/>
    <w:rsid w:val="00CF7956"/>
    <w:rPr>
      <w:rFonts w:ascii="Calibri" w:eastAsia="Times New Roman" w:hAnsi="Calibri"/>
      <w:kern w:val="0"/>
      <w:sz w:val="24"/>
      <w14:ligatures w14:val="none"/>
    </w:rPr>
  </w:style>
  <w:style w:type="paragraph" w:customStyle="1" w:styleId="3-BodyText">
    <w:name w:val="3-Body Text"/>
    <w:link w:val="3-BodyTextChar"/>
    <w:qFormat/>
    <w:rsid w:val="00CF7956"/>
    <w:pPr>
      <w:numPr>
        <w:ilvl w:val="1"/>
        <w:numId w:val="1"/>
      </w:numPr>
      <w:spacing w:before="120" w:after="120" w:line="240" w:lineRule="auto"/>
      <w:jc w:val="both"/>
    </w:pPr>
    <w:rPr>
      <w:rFonts w:asciiTheme="minorHAnsi" w:hAnsiTheme="minorHAnsi" w:cstheme="minorBidi"/>
      <w:kern w:val="0"/>
      <w:sz w:val="24"/>
      <w:szCs w:val="22"/>
      <w14:ligatures w14:val="none"/>
    </w:rPr>
  </w:style>
  <w:style w:type="paragraph" w:customStyle="1" w:styleId="2-SectionHeading">
    <w:name w:val="2-Section Heading"/>
    <w:next w:val="3-BodyText"/>
    <w:qFormat/>
    <w:rsid w:val="00CF7956"/>
    <w:pPr>
      <w:keepNext/>
      <w:numPr>
        <w:numId w:val="1"/>
      </w:numPr>
      <w:spacing w:before="240" w:after="120" w:line="240" w:lineRule="auto"/>
      <w:outlineLvl w:val="0"/>
    </w:pPr>
    <w:rPr>
      <w:rFonts w:asciiTheme="minorHAnsi" w:eastAsia="Times New Roman" w:hAnsiTheme="minorHAnsi" w:cs="Arial"/>
      <w:b/>
      <w:snapToGrid w:val="0"/>
      <w:kern w:val="0"/>
      <w:sz w:val="32"/>
      <w:szCs w:val="32"/>
      <w14:ligatures w14:val="none"/>
    </w:rPr>
  </w:style>
  <w:style w:type="character" w:customStyle="1" w:styleId="3-BodyTextChar">
    <w:name w:val="3-Body Text Char"/>
    <w:basedOn w:val="DefaultParagraphFont"/>
    <w:link w:val="3-BodyText"/>
    <w:rsid w:val="00CF7956"/>
    <w:rPr>
      <w:rFonts w:asciiTheme="minorHAnsi" w:hAnsiTheme="minorHAnsi" w:cstheme="minorBidi"/>
      <w:kern w:val="0"/>
      <w:sz w:val="24"/>
      <w:szCs w:val="22"/>
      <w14:ligatures w14:val="none"/>
    </w:rPr>
  </w:style>
  <w:style w:type="paragraph" w:styleId="FootnoteText">
    <w:name w:val="footnote text"/>
    <w:basedOn w:val="Normal"/>
    <w:link w:val="FootnoteTextChar"/>
    <w:uiPriority w:val="99"/>
    <w:semiHidden/>
    <w:unhideWhenUsed/>
    <w:rsid w:val="00CF7956"/>
    <w:pPr>
      <w:spacing w:after="0" w:line="240" w:lineRule="auto"/>
      <w:jc w:val="both"/>
    </w:pPr>
    <w:rPr>
      <w:rFonts w:ascii="Calibri" w:eastAsia="Times New Roman" w:hAnsi="Calibri"/>
      <w:kern w:val="0"/>
      <w:sz w:val="24"/>
      <w:szCs w:val="20"/>
      <w14:ligatures w14:val="none"/>
    </w:rPr>
  </w:style>
  <w:style w:type="character" w:customStyle="1" w:styleId="FootnoteTextChar">
    <w:name w:val="Footnote Text Char"/>
    <w:basedOn w:val="DefaultParagraphFont"/>
    <w:link w:val="FootnoteText"/>
    <w:uiPriority w:val="99"/>
    <w:semiHidden/>
    <w:rsid w:val="00CF7956"/>
    <w:rPr>
      <w:rFonts w:ascii="Calibri" w:eastAsia="Times New Roman" w:hAnsi="Calibri"/>
      <w:kern w:val="0"/>
      <w:sz w:val="24"/>
      <w:szCs w:val="20"/>
      <w14:ligatures w14:val="none"/>
    </w:rPr>
  </w:style>
  <w:style w:type="character" w:styleId="FootnoteReference">
    <w:name w:val="footnote reference"/>
    <w:basedOn w:val="DefaultParagraphFont"/>
    <w:uiPriority w:val="99"/>
    <w:semiHidden/>
    <w:unhideWhenUsed/>
    <w:rsid w:val="00CF7956"/>
    <w:rPr>
      <w:vertAlign w:val="superscript"/>
    </w:rPr>
  </w:style>
  <w:style w:type="character" w:styleId="Hyperlink">
    <w:name w:val="Hyperlink"/>
    <w:basedOn w:val="DefaultParagraphFont"/>
    <w:uiPriority w:val="99"/>
    <w:unhideWhenUsed/>
    <w:rsid w:val="00CF7956"/>
    <w:rPr>
      <w:color w:val="0000FF"/>
      <w:u w:val="single"/>
    </w:rPr>
  </w:style>
  <w:style w:type="paragraph" w:styleId="CommentSubject">
    <w:name w:val="annotation subject"/>
    <w:basedOn w:val="CommentText"/>
    <w:next w:val="CommentText"/>
    <w:link w:val="CommentSubjectChar"/>
    <w:uiPriority w:val="99"/>
    <w:semiHidden/>
    <w:unhideWhenUsed/>
    <w:rsid w:val="00A06A9B"/>
    <w:pPr>
      <w:spacing w:after="160"/>
      <w:jc w:val="left"/>
    </w:pPr>
    <w:rPr>
      <w:rFonts w:ascii="Arial" w:eastAsiaTheme="minorHAnsi" w:hAnsi="Arial"/>
      <w:b/>
      <w:bCs/>
      <w:kern w:val="2"/>
      <w:sz w:val="20"/>
      <w:szCs w:val="20"/>
      <w14:ligatures w14:val="standardContextual"/>
    </w:rPr>
  </w:style>
  <w:style w:type="character" w:customStyle="1" w:styleId="CommentSubjectChar">
    <w:name w:val="Comment Subject Char"/>
    <w:basedOn w:val="CommentTextChar"/>
    <w:link w:val="CommentSubject"/>
    <w:uiPriority w:val="99"/>
    <w:semiHidden/>
    <w:rsid w:val="00A06A9B"/>
    <w:rPr>
      <w:rFonts w:ascii="Calibri" w:eastAsia="Times New Roman" w:hAnsi="Calibri"/>
      <w:b/>
      <w:bCs/>
      <w:kern w:val="0"/>
      <w:sz w:val="24"/>
      <w:szCs w:val="20"/>
      <w14:ligatures w14:val="none"/>
    </w:rPr>
  </w:style>
  <w:style w:type="paragraph" w:styleId="Header">
    <w:name w:val="header"/>
    <w:basedOn w:val="Normal"/>
    <w:link w:val="HeaderChar"/>
    <w:uiPriority w:val="99"/>
    <w:unhideWhenUsed/>
    <w:rsid w:val="00A06A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A9B"/>
  </w:style>
  <w:style w:type="paragraph" w:styleId="Footer">
    <w:name w:val="footer"/>
    <w:basedOn w:val="Normal"/>
    <w:link w:val="FooterChar"/>
    <w:uiPriority w:val="99"/>
    <w:unhideWhenUsed/>
    <w:rsid w:val="00A06A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A9B"/>
  </w:style>
  <w:style w:type="character" w:styleId="UnresolvedMention">
    <w:name w:val="Unresolved Mention"/>
    <w:basedOn w:val="DefaultParagraphFont"/>
    <w:uiPriority w:val="99"/>
    <w:semiHidden/>
    <w:unhideWhenUsed/>
    <w:rsid w:val="003335AC"/>
    <w:rPr>
      <w:color w:val="605E5C"/>
      <w:shd w:val="clear" w:color="auto" w:fill="E1DFDD"/>
    </w:rPr>
  </w:style>
  <w:style w:type="paragraph" w:styleId="Caption">
    <w:name w:val="caption"/>
    <w:basedOn w:val="Normal"/>
    <w:next w:val="Normal"/>
    <w:uiPriority w:val="35"/>
    <w:unhideWhenUsed/>
    <w:qFormat/>
    <w:rsid w:val="005141AE"/>
    <w:pPr>
      <w:spacing w:after="200" w:line="240" w:lineRule="auto"/>
    </w:pPr>
    <w:rPr>
      <w:i/>
      <w:iCs/>
      <w:color w:val="0E2841" w:themeColor="text2"/>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01D31"/>
    <w:pPr>
      <w:spacing w:after="0" w:line="240" w:lineRule="auto"/>
    </w:pPr>
  </w:style>
  <w:style w:type="character" w:styleId="Mention">
    <w:name w:val="Mention"/>
    <w:basedOn w:val="DefaultParagraphFont"/>
    <w:uiPriority w:val="99"/>
    <w:unhideWhenUsed/>
    <w:rsid w:val="00DA72C4"/>
    <w:rPr>
      <w:color w:val="2B579A"/>
      <w:shd w:val="clear" w:color="auto" w:fill="E1DFDD"/>
    </w:rPr>
  </w:style>
  <w:style w:type="character" w:styleId="FollowedHyperlink">
    <w:name w:val="FollowedHyperlink"/>
    <w:basedOn w:val="DefaultParagraphFont"/>
    <w:uiPriority w:val="99"/>
    <w:semiHidden/>
    <w:unhideWhenUsed/>
    <w:rsid w:val="00573A2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BAC@health.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BAC@health.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health.gov.au/resources/publications/health-technology-assessment-policy-and-methods-review-final-report" TargetMode="External"/><Relationship Id="rId2" Type="http://schemas.openxmlformats.org/officeDocument/2006/relationships/hyperlink" Target="https://www.pbs.gov.au/pbs/industry/listing/listing-steps" TargetMode="External"/><Relationship Id="rId1" Type="http://schemas.openxmlformats.org/officeDocument/2006/relationships/hyperlink" Target="https://pbac.pbs.gov.au/" TargetMode="External"/><Relationship Id="rId6" Type="http://schemas.openxmlformats.org/officeDocument/2006/relationships/hyperlink" Target="https://www.pbs.gov.au/industry/listing/elements/pbac-meetings/psd/2025-07/files/nivolumab-plus-ipilimumab-psd-july-2025.pdf" TargetMode="External"/><Relationship Id="rId5" Type="http://schemas.openxmlformats.org/officeDocument/2006/relationships/hyperlink" Target="https://www.eviq.org.au/medical-oncology/tumour-agnostic/4660-tumour-agnostic-advanced-or-metastatic-ipilim#evidence" TargetMode="External"/><Relationship Id="rId4" Type="http://schemas.openxmlformats.org/officeDocument/2006/relationships/hyperlink" Target="https://www.health.gov.au/resources/publications/enhance-hta-an-enhanced-consumer-engagement-process-in-australian-health-technology-assessment-a-report-of-recommend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d0b66a-745c-439f-bf76-03889c346bed">
      <Terms xmlns="http://schemas.microsoft.com/office/infopath/2007/PartnerControls"/>
    </lcf76f155ced4ddcb4097134ff3c332f>
    <TaxCatchAll xmlns="719085c8-530d-4d40-b8b9-63d5f51fab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52C96BF79B263478F32DAA0597FB74D" ma:contentTypeVersion="17" ma:contentTypeDescription="Create a new document." ma:contentTypeScope="" ma:versionID="685bff16a16133c213a2bdfb9cf6be7e">
  <xsd:schema xmlns:xsd="http://www.w3.org/2001/XMLSchema" xmlns:xs="http://www.w3.org/2001/XMLSchema" xmlns:p="http://schemas.microsoft.com/office/2006/metadata/properties" xmlns:ns2="64d0b66a-745c-439f-bf76-03889c346bed" xmlns:ns3="719085c8-530d-4d40-b8b9-63d5f51fab06" targetNamespace="http://schemas.microsoft.com/office/2006/metadata/properties" ma:root="true" ma:fieldsID="e0656094f00ea808c463c5ad667c35ba" ns2:_="" ns3:_="">
    <xsd:import namespace="64d0b66a-745c-439f-bf76-03889c346bed"/>
    <xsd:import namespace="719085c8-530d-4d40-b8b9-63d5f51fab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0b66a-745c-439f-bf76-03889c346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9085c8-530d-4d40-b8b9-63d5f51fab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4a7178e-d3ee-40f2-8819-d57501b5b1a9}" ma:internalName="TaxCatchAll" ma:showField="CatchAllData" ma:web="719085c8-530d-4d40-b8b9-63d5f51fab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09696E-1408-4217-958A-FDEE716F8AE6}">
  <ds:schemaRefs>
    <ds:schemaRef ds:uri="http://schemas.microsoft.com/office/2006/metadata/properties"/>
    <ds:schemaRef ds:uri="http://schemas.microsoft.com/office/infopath/2007/PartnerControls"/>
    <ds:schemaRef ds:uri="64d0b66a-745c-439f-bf76-03889c346bed"/>
    <ds:schemaRef ds:uri="719085c8-530d-4d40-b8b9-63d5f51fab06"/>
  </ds:schemaRefs>
</ds:datastoreItem>
</file>

<file path=customXml/itemProps2.xml><?xml version="1.0" encoding="utf-8"?>
<ds:datastoreItem xmlns:ds="http://schemas.openxmlformats.org/officeDocument/2006/customXml" ds:itemID="{8D640D21-ACEC-4D92-A3BB-0B2D41850C97}">
  <ds:schemaRefs>
    <ds:schemaRef ds:uri="http://schemas.microsoft.com/sharepoint/v3/contenttype/forms"/>
  </ds:schemaRefs>
</ds:datastoreItem>
</file>

<file path=customXml/itemProps3.xml><?xml version="1.0" encoding="utf-8"?>
<ds:datastoreItem xmlns:ds="http://schemas.openxmlformats.org/officeDocument/2006/customXml" ds:itemID="{8A8D9C5F-268C-46A1-87C0-ADA1DE9E75B7}">
  <ds:schemaRefs>
    <ds:schemaRef ds:uri="http://schemas.openxmlformats.org/officeDocument/2006/bibliography"/>
  </ds:schemaRefs>
</ds:datastoreItem>
</file>

<file path=customXml/itemProps4.xml><?xml version="1.0" encoding="utf-8"?>
<ds:datastoreItem xmlns:ds="http://schemas.openxmlformats.org/officeDocument/2006/customXml" ds:itemID="{DC2920CF-AFB8-49B6-9055-67A55B483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0b66a-745c-439f-bf76-03889c346bed"/>
    <ds:schemaRef ds:uri="719085c8-530d-4d40-b8b9-63d5f51fa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1228</Words>
  <Characters>7006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8218</CharactersWithSpaces>
  <SharedDoc>false</SharedDoc>
  <HLinks>
    <vt:vector size="48" baseType="variant">
      <vt:variant>
        <vt:i4>2228313</vt:i4>
      </vt:variant>
      <vt:variant>
        <vt:i4>9</vt:i4>
      </vt:variant>
      <vt:variant>
        <vt:i4>0</vt:i4>
      </vt:variant>
      <vt:variant>
        <vt:i4>5</vt:i4>
      </vt:variant>
      <vt:variant>
        <vt:lpwstr>mailto:PBAC@health.gov.au</vt:lpwstr>
      </vt:variant>
      <vt:variant>
        <vt:lpwstr/>
      </vt:variant>
      <vt:variant>
        <vt:i4>2228313</vt:i4>
      </vt:variant>
      <vt:variant>
        <vt:i4>0</vt:i4>
      </vt:variant>
      <vt:variant>
        <vt:i4>0</vt:i4>
      </vt:variant>
      <vt:variant>
        <vt:i4>5</vt:i4>
      </vt:variant>
      <vt:variant>
        <vt:lpwstr>mailto:PBAC@health.gov.au</vt:lpwstr>
      </vt:variant>
      <vt:variant>
        <vt:lpwstr/>
      </vt:variant>
      <vt:variant>
        <vt:i4>1376256</vt:i4>
      </vt:variant>
      <vt:variant>
        <vt:i4>15</vt:i4>
      </vt:variant>
      <vt:variant>
        <vt:i4>0</vt:i4>
      </vt:variant>
      <vt:variant>
        <vt:i4>5</vt:i4>
      </vt:variant>
      <vt:variant>
        <vt:lpwstr>https://www.pbs.gov.au/industry/listing/elements/pbac-meetings/psd/2025-07/files/nivolumab-plus-ipilimumab-psd-july-2025.pdf</vt:lpwstr>
      </vt:variant>
      <vt:variant>
        <vt:lpwstr/>
      </vt:variant>
      <vt:variant>
        <vt:i4>2621557</vt:i4>
      </vt:variant>
      <vt:variant>
        <vt:i4>12</vt:i4>
      </vt:variant>
      <vt:variant>
        <vt:i4>0</vt:i4>
      </vt:variant>
      <vt:variant>
        <vt:i4>5</vt:i4>
      </vt:variant>
      <vt:variant>
        <vt:lpwstr>https://www.eviq.org.au/medical-oncology/tumour-agnostic/4660-tumour-agnostic-advanced-or-metastatic-ipilim</vt:lpwstr>
      </vt:variant>
      <vt:variant>
        <vt:lpwstr>evidence</vt:lpwstr>
      </vt:variant>
      <vt:variant>
        <vt:i4>6881395</vt:i4>
      </vt:variant>
      <vt:variant>
        <vt:i4>9</vt:i4>
      </vt:variant>
      <vt:variant>
        <vt:i4>0</vt:i4>
      </vt:variant>
      <vt:variant>
        <vt:i4>5</vt:i4>
      </vt:variant>
      <vt:variant>
        <vt:lpwstr>https://www.health.gov.au/resources/publications/enhance-hta-an-enhanced-consumer-engagement-process-in-australian-health-technology-assessment-a-report-of-recommendations</vt:lpwstr>
      </vt:variant>
      <vt:variant>
        <vt:lpwstr/>
      </vt:variant>
      <vt:variant>
        <vt:i4>5570561</vt:i4>
      </vt:variant>
      <vt:variant>
        <vt:i4>6</vt:i4>
      </vt:variant>
      <vt:variant>
        <vt:i4>0</vt:i4>
      </vt:variant>
      <vt:variant>
        <vt:i4>5</vt:i4>
      </vt:variant>
      <vt:variant>
        <vt:lpwstr>https://www.health.gov.au/resources/publications/health-technology-assessment-policy-and-methods-review-final-report</vt:lpwstr>
      </vt:variant>
      <vt:variant>
        <vt:lpwstr/>
      </vt:variant>
      <vt:variant>
        <vt:i4>1441873</vt:i4>
      </vt:variant>
      <vt:variant>
        <vt:i4>3</vt:i4>
      </vt:variant>
      <vt:variant>
        <vt:i4>0</vt:i4>
      </vt:variant>
      <vt:variant>
        <vt:i4>5</vt:i4>
      </vt:variant>
      <vt:variant>
        <vt:lpwstr>https://www.pbs.gov.au/pbs/industry/listing/listing-steps</vt:lpwstr>
      </vt:variant>
      <vt:variant>
        <vt:lpwstr/>
      </vt:variant>
      <vt:variant>
        <vt:i4>4980743</vt:i4>
      </vt:variant>
      <vt:variant>
        <vt:i4>0</vt:i4>
      </vt:variant>
      <vt:variant>
        <vt:i4>0</vt:i4>
      </vt:variant>
      <vt:variant>
        <vt:i4>5</vt:i4>
      </vt:variant>
      <vt:variant>
        <vt:lpwstr>https://pbac.pbs.gov.au/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2026-06-20T17:31:00Z</dcterms:created>
  <dcterms:modified xsi:type="dcterms:W3CDTF">2026-06-17T05:57:00Z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2625607,5bda1306,2568e23b</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10739a88,3857156f,1c1f29c5</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2026-06-17T04:28:11Z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5020feb7-4cf8-4a4a-9341-b52eaab8fcfc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0x010100652C96BF79B263478F32DAA0597FB74D</vt:lpwstr>
  </property>
  <property fmtid="{D5CDD505-2E9C-101B-9397-08002B2CF9AE}" pid="17" name="MediaServiceImageTags">
    <vt:lpwstr/>
  </property>
</Properties>
</file>