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EEC1" w14:textId="3245143F" w:rsidR="002C5318" w:rsidRPr="00497258" w:rsidRDefault="006673C0" w:rsidP="7B0F7123">
      <w:pPr>
        <w:pStyle w:val="Heading1"/>
        <w:jc w:val="left"/>
        <w:rPr>
          <w:b w:val="0"/>
          <w:bCs w:val="0"/>
        </w:rPr>
      </w:pPr>
      <w:bookmarkStart w:id="0" w:name="_Toc161391856"/>
      <w:bookmarkStart w:id="1" w:name="_Toc177547313"/>
      <w:r w:rsidRPr="7B0F7123">
        <w:rPr>
          <w:rFonts w:eastAsiaTheme="minorEastAsia"/>
        </w:rPr>
        <w:t xml:space="preserve">Fact Sheet – </w:t>
      </w:r>
      <w:r w:rsidR="002876B4" w:rsidRPr="7B0F7123">
        <w:rPr>
          <w:rFonts w:eastAsiaTheme="minorEastAsia"/>
        </w:rPr>
        <w:t>Quantity of stock to be held</w:t>
      </w:r>
    </w:p>
    <w:bookmarkEnd w:id="0"/>
    <w:bookmarkEnd w:id="1"/>
    <w:p w14:paraId="67F1EF06" w14:textId="6BD0BBB7" w:rsidR="001B1753" w:rsidRPr="00082C66" w:rsidRDefault="00355626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 xml:space="preserve">Last updated: </w:t>
      </w:r>
      <w:r w:rsidR="147AF4B5" w:rsidRPr="7B0F7123">
        <w:rPr>
          <w:rFonts w:asciiTheme="minorHAnsi" w:hAnsiTheme="minorHAnsi"/>
        </w:rPr>
        <w:t>4</w:t>
      </w:r>
      <w:r w:rsidRPr="7B0F7123">
        <w:rPr>
          <w:rFonts w:asciiTheme="minorHAnsi" w:hAnsiTheme="minorHAnsi"/>
        </w:rPr>
        <w:t xml:space="preserve"> </w:t>
      </w:r>
      <w:r w:rsidR="190A08D1" w:rsidRPr="7B0F7123">
        <w:rPr>
          <w:rFonts w:asciiTheme="minorHAnsi" w:hAnsiTheme="minorHAnsi"/>
        </w:rPr>
        <w:t xml:space="preserve">March </w:t>
      </w:r>
      <w:r w:rsidRPr="7B0F7123">
        <w:rPr>
          <w:rFonts w:asciiTheme="minorHAnsi" w:hAnsiTheme="minorHAnsi"/>
        </w:rPr>
        <w:t>2025</w:t>
      </w:r>
    </w:p>
    <w:p w14:paraId="2252DB1F" w14:textId="4B828B77" w:rsidR="009E751E" w:rsidRPr="008F623A" w:rsidRDefault="2C37FAFF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Purpose</w:t>
      </w:r>
    </w:p>
    <w:p w14:paraId="25F82FDF" w14:textId="2CD649E7" w:rsidR="00C44647" w:rsidRPr="00EA53BE" w:rsidRDefault="007C3FA7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>This Fact</w:t>
      </w:r>
      <w:r w:rsidR="00562BED" w:rsidRPr="7B0F7123">
        <w:rPr>
          <w:rFonts w:asciiTheme="minorHAnsi" w:hAnsiTheme="minorHAnsi" w:cstheme="minorBidi"/>
        </w:rPr>
        <w:t xml:space="preserve">sheet outlines </w:t>
      </w:r>
      <w:r w:rsidR="00554523" w:rsidRPr="7B0F7123">
        <w:rPr>
          <w:rFonts w:asciiTheme="minorHAnsi" w:hAnsiTheme="minorHAnsi" w:cstheme="minorBidi"/>
        </w:rPr>
        <w:t xml:space="preserve">how </w:t>
      </w:r>
      <w:r w:rsidR="001E01BC" w:rsidRPr="7B0F7123">
        <w:rPr>
          <w:rFonts w:asciiTheme="minorHAnsi" w:hAnsiTheme="minorHAnsi" w:cstheme="minorBidi"/>
        </w:rPr>
        <w:t xml:space="preserve">the </w:t>
      </w:r>
      <w:r w:rsidR="00173C52" w:rsidRPr="7B0F7123">
        <w:rPr>
          <w:rFonts w:asciiTheme="minorHAnsi" w:hAnsiTheme="minorHAnsi" w:cstheme="minorBidi"/>
        </w:rPr>
        <w:t>quantity</w:t>
      </w:r>
      <w:r w:rsidR="00F35BF5">
        <w:rPr>
          <w:rFonts w:asciiTheme="minorHAnsi" w:hAnsiTheme="minorHAnsi" w:cstheme="minorBidi"/>
        </w:rPr>
        <w:t xml:space="preserve"> </w:t>
      </w:r>
      <w:r w:rsidR="00173C52" w:rsidRPr="7B0F7123">
        <w:rPr>
          <w:rFonts w:asciiTheme="minorHAnsi" w:hAnsiTheme="minorHAnsi" w:cstheme="minorBidi"/>
        </w:rPr>
        <w:t>of stock to be held by Re</w:t>
      </w:r>
      <w:r w:rsidR="009070A9" w:rsidRPr="7B0F7123">
        <w:rPr>
          <w:rFonts w:asciiTheme="minorHAnsi" w:hAnsiTheme="minorHAnsi" w:cstheme="minorBidi"/>
        </w:rPr>
        <w:t>s</w:t>
      </w:r>
      <w:r w:rsidR="00173C52" w:rsidRPr="7B0F7123">
        <w:rPr>
          <w:rFonts w:asciiTheme="minorHAnsi" w:hAnsiTheme="minorHAnsi" w:cstheme="minorBidi"/>
        </w:rPr>
        <w:t>ponsible Persons</w:t>
      </w:r>
      <w:r w:rsidR="00F031B0" w:rsidRPr="7B0F7123">
        <w:rPr>
          <w:rFonts w:asciiTheme="minorHAnsi" w:hAnsiTheme="minorHAnsi" w:cstheme="minorBidi"/>
        </w:rPr>
        <w:t xml:space="preserve"> for the purposes of the minimum stockholding requirement (</w:t>
      </w:r>
      <w:r w:rsidR="00F031B0" w:rsidRPr="7B0F7123">
        <w:rPr>
          <w:rFonts w:asciiTheme="minorHAnsi" w:hAnsiTheme="minorHAnsi" w:cstheme="minorBidi"/>
          <w:b/>
          <w:bCs/>
        </w:rPr>
        <w:t>MSR</w:t>
      </w:r>
      <w:r w:rsidR="00F031B0" w:rsidRPr="7B0F7123">
        <w:rPr>
          <w:rFonts w:asciiTheme="minorHAnsi" w:hAnsiTheme="minorHAnsi" w:cstheme="minorBidi"/>
        </w:rPr>
        <w:t>)</w:t>
      </w:r>
      <w:r w:rsidR="00554523" w:rsidRPr="7B0F7123">
        <w:rPr>
          <w:rFonts w:asciiTheme="minorHAnsi" w:hAnsiTheme="minorHAnsi" w:cstheme="minorBidi"/>
        </w:rPr>
        <w:t xml:space="preserve"> is calculated</w:t>
      </w:r>
      <w:r w:rsidR="00F031B0" w:rsidRPr="7B0F7123">
        <w:rPr>
          <w:rFonts w:asciiTheme="minorHAnsi" w:hAnsiTheme="minorHAnsi" w:cstheme="minorBidi"/>
        </w:rPr>
        <w:t xml:space="preserve"> under Division 3CAA of Part VII of the </w:t>
      </w:r>
      <w:r w:rsidR="00F031B0" w:rsidRPr="7B0F7123">
        <w:rPr>
          <w:rFonts w:asciiTheme="minorHAnsi" w:hAnsiTheme="minorHAnsi" w:cstheme="minorBidi"/>
          <w:i/>
          <w:iCs/>
        </w:rPr>
        <w:t>National Health Act 1953</w:t>
      </w:r>
      <w:r w:rsidR="00F031B0" w:rsidRPr="7B0F7123">
        <w:rPr>
          <w:rFonts w:asciiTheme="minorHAnsi" w:hAnsiTheme="minorHAnsi" w:cstheme="minorBidi"/>
        </w:rPr>
        <w:t xml:space="preserve"> (</w:t>
      </w:r>
      <w:r w:rsidR="00F031B0" w:rsidRPr="7B0F7123">
        <w:rPr>
          <w:rFonts w:asciiTheme="minorHAnsi" w:hAnsiTheme="minorHAnsi" w:cstheme="minorBidi"/>
          <w:b/>
          <w:bCs/>
        </w:rPr>
        <w:t>the Act</w:t>
      </w:r>
      <w:r w:rsidR="00F031B0" w:rsidRPr="7B0F7123">
        <w:rPr>
          <w:rFonts w:asciiTheme="minorHAnsi" w:hAnsiTheme="minorHAnsi" w:cstheme="minorBidi"/>
        </w:rPr>
        <w:t xml:space="preserve">) </w:t>
      </w:r>
      <w:r w:rsidR="00554523" w:rsidRPr="7B0F7123">
        <w:rPr>
          <w:rFonts w:asciiTheme="minorHAnsi" w:hAnsiTheme="minorHAnsi" w:cstheme="minorBidi"/>
        </w:rPr>
        <w:t xml:space="preserve">and </w:t>
      </w:r>
      <w:r w:rsidR="000642DF" w:rsidRPr="7B0F7123">
        <w:rPr>
          <w:rFonts w:asciiTheme="minorHAnsi" w:hAnsiTheme="minorHAnsi" w:cstheme="minorBidi"/>
        </w:rPr>
        <w:t>s</w:t>
      </w:r>
      <w:r w:rsidR="00A607D2" w:rsidRPr="7B0F7123">
        <w:rPr>
          <w:rFonts w:asciiTheme="minorHAnsi" w:hAnsiTheme="minorHAnsi" w:cstheme="minorBidi"/>
        </w:rPr>
        <w:t xml:space="preserve">ection </w:t>
      </w:r>
      <w:r w:rsidR="00E34088" w:rsidRPr="7B0F7123">
        <w:rPr>
          <w:rFonts w:asciiTheme="minorHAnsi" w:hAnsiTheme="minorHAnsi" w:cstheme="minorBidi"/>
        </w:rPr>
        <w:t>85B</w:t>
      </w:r>
      <w:r w:rsidR="00EA53BE" w:rsidRPr="7B0F7123">
        <w:rPr>
          <w:rFonts w:asciiTheme="minorHAnsi" w:hAnsiTheme="minorHAnsi" w:cstheme="minorBidi"/>
        </w:rPr>
        <w:t xml:space="preserve"> of the </w:t>
      </w:r>
      <w:hyperlink r:id="rId12">
        <w:r w:rsidR="00EA53BE" w:rsidRPr="7B0F7123">
          <w:rPr>
            <w:rStyle w:val="Hyperlink"/>
            <w:rFonts w:asciiTheme="minorHAnsi" w:hAnsiTheme="minorHAnsi" w:cstheme="minorBidi"/>
            <w:i/>
            <w:iCs/>
          </w:rPr>
          <w:t>National Health (Pharmaceutical Benefits) Regulations 2017</w:t>
        </w:r>
      </w:hyperlink>
      <w:r w:rsidR="00EA53BE" w:rsidRPr="7B0F7123">
        <w:rPr>
          <w:rFonts w:asciiTheme="minorHAnsi" w:hAnsiTheme="minorHAnsi" w:cstheme="minorBidi"/>
          <w:i/>
          <w:iCs/>
        </w:rPr>
        <w:t xml:space="preserve"> </w:t>
      </w:r>
      <w:r w:rsidR="00EA53BE" w:rsidRPr="7B0F7123">
        <w:rPr>
          <w:rFonts w:asciiTheme="minorHAnsi" w:hAnsiTheme="minorHAnsi" w:cstheme="minorBidi"/>
        </w:rPr>
        <w:t>(</w:t>
      </w:r>
      <w:r w:rsidR="00EA53BE" w:rsidRPr="7B0F7123">
        <w:rPr>
          <w:rFonts w:asciiTheme="minorHAnsi" w:hAnsiTheme="minorHAnsi" w:cstheme="minorBidi"/>
          <w:b/>
          <w:bCs/>
        </w:rPr>
        <w:t>the Regulations</w:t>
      </w:r>
      <w:r w:rsidR="00EA53BE" w:rsidRPr="7B0F7123">
        <w:rPr>
          <w:rFonts w:asciiTheme="minorHAnsi" w:hAnsiTheme="minorHAnsi" w:cstheme="minorBidi"/>
        </w:rPr>
        <w:t>)</w:t>
      </w:r>
      <w:r w:rsidR="00554523" w:rsidRPr="7B0F7123">
        <w:rPr>
          <w:rFonts w:asciiTheme="minorHAnsi" w:hAnsiTheme="minorHAnsi" w:cstheme="minorBidi"/>
        </w:rPr>
        <w:t>.</w:t>
      </w:r>
    </w:p>
    <w:p w14:paraId="74A417DD" w14:textId="3717F583" w:rsidR="00C44647" w:rsidRPr="008F623A" w:rsidRDefault="00C44647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The Requirements</w:t>
      </w:r>
    </w:p>
    <w:p w14:paraId="6C6707EB" w14:textId="51B419B2" w:rsidR="00D60101" w:rsidRPr="00EA73A6" w:rsidRDefault="00C66354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 xml:space="preserve">Under </w:t>
      </w:r>
      <w:r w:rsidR="00A607D2" w:rsidRPr="7B0F7123">
        <w:rPr>
          <w:rFonts w:asciiTheme="minorHAnsi" w:hAnsiTheme="minorHAnsi" w:cstheme="minorBidi"/>
        </w:rPr>
        <w:t xml:space="preserve">section 99AEKB of </w:t>
      </w:r>
      <w:r w:rsidRPr="7B0F7123">
        <w:rPr>
          <w:rFonts w:asciiTheme="minorHAnsi" w:hAnsiTheme="minorHAnsi" w:cstheme="minorBidi"/>
        </w:rPr>
        <w:t>the Act, t</w:t>
      </w:r>
      <w:r w:rsidR="00237026" w:rsidRPr="7B0F7123">
        <w:rPr>
          <w:rFonts w:asciiTheme="minorHAnsi" w:hAnsiTheme="minorHAnsi" w:cstheme="minorBidi"/>
        </w:rPr>
        <w:t xml:space="preserve">he </w:t>
      </w:r>
      <w:r w:rsidR="00D60101" w:rsidRPr="7B0F7123">
        <w:rPr>
          <w:rFonts w:ascii="Calibri" w:eastAsia="Calibri" w:hAnsi="Calibri" w:cs="Calibri"/>
          <w:b/>
          <w:bCs/>
          <w:color w:val="2F5496" w:themeColor="accent1" w:themeShade="BF"/>
        </w:rPr>
        <w:t>Responsible Person</w:t>
      </w:r>
      <w:r w:rsidR="00237026" w:rsidRPr="7B0F7123">
        <w:rPr>
          <w:rFonts w:ascii="Calibri" w:eastAsia="Calibri" w:hAnsi="Calibri" w:cs="Calibri"/>
        </w:rPr>
        <w:t xml:space="preserve"> </w:t>
      </w:r>
      <w:r w:rsidR="0032051C" w:rsidRPr="7B0F7123">
        <w:rPr>
          <w:rFonts w:asciiTheme="minorHAnsi" w:hAnsiTheme="minorHAnsi" w:cstheme="minorBidi"/>
        </w:rPr>
        <w:t xml:space="preserve">for </w:t>
      </w:r>
      <w:r w:rsidR="00A607D2" w:rsidRPr="7B0F7123">
        <w:rPr>
          <w:rFonts w:asciiTheme="minorHAnsi" w:hAnsiTheme="minorHAnsi" w:cstheme="minorBidi"/>
        </w:rPr>
        <w:t xml:space="preserve">a </w:t>
      </w:r>
      <w:r w:rsidR="0032051C" w:rsidRPr="7B0F7123">
        <w:rPr>
          <w:rFonts w:asciiTheme="minorHAnsi" w:hAnsiTheme="minorHAnsi" w:cstheme="minorBidi"/>
        </w:rPr>
        <w:t xml:space="preserve">designated brand </w:t>
      </w:r>
      <w:r w:rsidR="00B51999" w:rsidRPr="7B0F7123">
        <w:rPr>
          <w:rFonts w:asciiTheme="minorHAnsi" w:hAnsiTheme="minorHAnsi" w:cstheme="minorBidi"/>
        </w:rPr>
        <w:t xml:space="preserve">must keep in stock </w:t>
      </w:r>
      <w:r w:rsidR="000E06B1" w:rsidRPr="7B0F7123">
        <w:rPr>
          <w:rFonts w:asciiTheme="minorHAnsi" w:hAnsiTheme="minorHAnsi" w:cstheme="minorBidi"/>
        </w:rPr>
        <w:t xml:space="preserve">in Australia </w:t>
      </w:r>
      <w:r w:rsidR="00B51999" w:rsidRPr="7B0F7123">
        <w:rPr>
          <w:rFonts w:asciiTheme="minorHAnsi" w:hAnsiTheme="minorHAnsi" w:cstheme="minorBidi"/>
        </w:rPr>
        <w:t xml:space="preserve">at least the </w:t>
      </w:r>
      <w:r w:rsidR="00B51999" w:rsidRPr="7B0F7123">
        <w:rPr>
          <w:rFonts w:ascii="Calibri" w:eastAsiaTheme="minorEastAsia" w:hAnsi="Calibri" w:cs="Calibri"/>
          <w:b/>
          <w:bCs/>
          <w:color w:val="2F5496" w:themeColor="accent1" w:themeShade="BF"/>
        </w:rPr>
        <w:t>applicable quantity</w:t>
      </w:r>
      <w:r w:rsidR="00B51999" w:rsidRPr="7B0F7123">
        <w:rPr>
          <w:rFonts w:asciiTheme="minorHAnsi" w:hAnsiTheme="minorHAnsi" w:cstheme="minorBidi"/>
        </w:rPr>
        <w:t xml:space="preserve"> of the designated brand</w:t>
      </w:r>
      <w:r w:rsidR="00AC5D1C" w:rsidRPr="7B0F7123">
        <w:rPr>
          <w:rFonts w:asciiTheme="minorHAnsi" w:hAnsiTheme="minorHAnsi" w:cstheme="minorBidi"/>
        </w:rPr>
        <w:t xml:space="preserve">. </w:t>
      </w:r>
    </w:p>
    <w:p w14:paraId="000677EB" w14:textId="3D5157DA" w:rsidR="00655667" w:rsidRPr="008F623A" w:rsidRDefault="00655667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Applicable quantity</w:t>
      </w:r>
    </w:p>
    <w:p w14:paraId="54F045B9" w14:textId="4EE3F727" w:rsidR="00655667" w:rsidRPr="00C611C6" w:rsidRDefault="00655667" w:rsidP="7B0F7123">
      <w:pPr>
        <w:jc w:val="left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7B0F7123">
        <w:rPr>
          <w:rStyle w:val="normaltextrun"/>
          <w:rFonts w:asciiTheme="minorHAnsi" w:eastAsiaTheme="majorEastAsia" w:hAnsiTheme="minorHAnsi" w:cstheme="minorBidi"/>
          <w:color w:val="000000"/>
          <w:shd w:val="clear" w:color="auto" w:fill="FFFFFF"/>
        </w:rPr>
        <w:t xml:space="preserve">The applicable quantity for a designated brand </w:t>
      </w:r>
      <w:r w:rsidR="00A607D2" w:rsidRPr="7B0F7123">
        <w:rPr>
          <w:rStyle w:val="normaltextrun"/>
          <w:rFonts w:asciiTheme="minorHAnsi" w:eastAsiaTheme="majorEastAsia" w:hAnsiTheme="minorHAnsi" w:cstheme="minorBidi"/>
          <w:color w:val="000000"/>
          <w:shd w:val="clear" w:color="auto" w:fill="FFFFFF"/>
        </w:rPr>
        <w:t>will be</w:t>
      </w:r>
      <w:r w:rsidR="003665B7" w:rsidRPr="7B0F7123">
        <w:rPr>
          <w:rStyle w:val="normaltextrun"/>
          <w:rFonts w:asciiTheme="minorHAnsi" w:hAnsiTheme="minorHAnsi" w:cstheme="minorBidi"/>
          <w:color w:val="000000" w:themeColor="text1"/>
        </w:rPr>
        <w:t>:</w:t>
      </w:r>
    </w:p>
    <w:p w14:paraId="7B1C8DAC" w14:textId="48AAD225" w:rsidR="00D204B4" w:rsidRPr="00C611C6" w:rsidRDefault="00D204B4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  <w:b/>
          <w:bCs/>
        </w:rPr>
        <w:t>6 months</w:t>
      </w:r>
      <w:r w:rsidRPr="7B0F7123">
        <w:rPr>
          <w:rFonts w:asciiTheme="minorHAnsi" w:hAnsiTheme="minorHAnsi" w:cstheme="minorBidi"/>
        </w:rPr>
        <w:t xml:space="preserve"> of ‘usual demand’</w:t>
      </w:r>
      <w:r w:rsidR="007D0C28" w:rsidRPr="7B0F7123">
        <w:rPr>
          <w:rFonts w:asciiTheme="minorHAnsi" w:hAnsiTheme="minorHAnsi" w:cstheme="minorBidi"/>
        </w:rPr>
        <w:t xml:space="preserve"> </w:t>
      </w:r>
      <w:r w:rsidRPr="7B0F7123">
        <w:rPr>
          <w:rFonts w:asciiTheme="minorHAnsi" w:hAnsiTheme="minorHAnsi" w:cstheme="minorBidi"/>
          <w:i/>
          <w:iCs/>
        </w:rPr>
        <w:t xml:space="preserve">- </w:t>
      </w:r>
      <w:r w:rsidRPr="7B0F7123">
        <w:rPr>
          <w:rFonts w:asciiTheme="minorHAnsi" w:hAnsiTheme="minorHAnsi" w:cstheme="minorBidi"/>
        </w:rPr>
        <w:t xml:space="preserve">if the </w:t>
      </w:r>
      <w:r w:rsidR="007D0C28" w:rsidRPr="7B0F7123">
        <w:rPr>
          <w:rFonts w:asciiTheme="minorHAnsi" w:hAnsiTheme="minorHAnsi" w:cstheme="minorBidi"/>
        </w:rPr>
        <w:t>approved ex-manufacturer price (AEMP)</w:t>
      </w:r>
      <w:r w:rsidR="005F1D95" w:rsidRPr="7B0F7123">
        <w:rPr>
          <w:rFonts w:asciiTheme="minorHAnsi" w:hAnsiTheme="minorHAnsi" w:cstheme="minorBidi"/>
        </w:rPr>
        <w:t xml:space="preserve"> of the designated brand</w:t>
      </w:r>
      <w:r w:rsidR="007D0C28" w:rsidRPr="7B0F7123">
        <w:rPr>
          <w:rFonts w:asciiTheme="minorHAnsi" w:hAnsiTheme="minorHAnsi" w:cstheme="minorBidi"/>
        </w:rPr>
        <w:t xml:space="preserve"> </w:t>
      </w:r>
      <w:r w:rsidRPr="7B0F7123">
        <w:rPr>
          <w:rFonts w:asciiTheme="minorHAnsi" w:hAnsiTheme="minorHAnsi" w:cstheme="minorBidi"/>
          <w:b/>
          <w:bCs/>
          <w:u w:val="single"/>
        </w:rPr>
        <w:t>has</w:t>
      </w:r>
      <w:r w:rsidRPr="7B0F7123">
        <w:rPr>
          <w:rFonts w:asciiTheme="minorHAnsi" w:hAnsiTheme="minorHAnsi" w:cstheme="minorBidi"/>
        </w:rPr>
        <w:t xml:space="preserve"> increased on or after 1 July </w:t>
      </w:r>
      <w:proofErr w:type="gramStart"/>
      <w:r w:rsidRPr="7B0F7123">
        <w:rPr>
          <w:rFonts w:asciiTheme="minorHAnsi" w:hAnsiTheme="minorHAnsi" w:cstheme="minorBidi"/>
        </w:rPr>
        <w:t>2022</w:t>
      </w:r>
      <w:r w:rsidR="00A607D2" w:rsidRPr="7B0F7123">
        <w:rPr>
          <w:rFonts w:asciiTheme="minorHAnsi" w:hAnsiTheme="minorHAnsi" w:cstheme="minorBidi"/>
        </w:rPr>
        <w:t>;</w:t>
      </w:r>
      <w:proofErr w:type="gramEnd"/>
    </w:p>
    <w:p w14:paraId="20AFB249" w14:textId="4BEB66D4" w:rsidR="00655667" w:rsidRPr="00C611C6" w:rsidRDefault="00655667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4 months</w:t>
      </w:r>
      <w:r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of ‘usual</w:t>
      </w:r>
      <w:r w:rsidRPr="7B0F7123">
        <w:rPr>
          <w:rFonts w:asciiTheme="minorHAnsi" w:hAnsiTheme="minorHAnsi" w:cstheme="minorBidi"/>
        </w:rPr>
        <w:t xml:space="preserve"> demand’</w:t>
      </w:r>
      <w:r w:rsidR="007D0C28" w:rsidRPr="7B0F7123">
        <w:rPr>
          <w:rFonts w:asciiTheme="minorHAnsi" w:hAnsiTheme="minorHAnsi" w:cstheme="minorBidi"/>
        </w:rPr>
        <w:t xml:space="preserve"> -</w:t>
      </w:r>
      <w:r w:rsidRPr="7B0F7123">
        <w:rPr>
          <w:rFonts w:asciiTheme="minorHAnsi" w:hAnsiTheme="minorHAnsi" w:cstheme="minorBidi"/>
        </w:rPr>
        <w:t xml:space="preserve"> if the </w:t>
      </w:r>
      <w:r w:rsidR="007D0C28" w:rsidRPr="7B0F7123">
        <w:rPr>
          <w:rFonts w:asciiTheme="minorHAnsi" w:hAnsiTheme="minorHAnsi" w:cstheme="minorBidi"/>
        </w:rPr>
        <w:t xml:space="preserve">AEMP </w:t>
      </w:r>
      <w:r w:rsidRPr="7B0F7123">
        <w:rPr>
          <w:rFonts w:asciiTheme="minorHAnsi" w:hAnsiTheme="minorHAnsi" w:cstheme="minorBidi"/>
        </w:rPr>
        <w:t xml:space="preserve">of </w:t>
      </w:r>
      <w:r w:rsidR="00C65F99" w:rsidRPr="7B0F7123">
        <w:rPr>
          <w:rFonts w:asciiTheme="minorHAnsi" w:hAnsiTheme="minorHAnsi" w:cstheme="minorBidi"/>
        </w:rPr>
        <w:t>the</w:t>
      </w:r>
      <w:r w:rsidRPr="7B0F7123">
        <w:rPr>
          <w:rFonts w:asciiTheme="minorHAnsi" w:hAnsiTheme="minorHAnsi" w:cstheme="minorBidi"/>
        </w:rPr>
        <w:t xml:space="preserve"> designated brand </w:t>
      </w:r>
      <w:r w:rsidRPr="7B0F7123">
        <w:rPr>
          <w:rFonts w:asciiTheme="minorHAnsi" w:hAnsiTheme="minorHAnsi" w:cstheme="minorBidi"/>
          <w:b/>
          <w:bCs/>
          <w:u w:val="single"/>
        </w:rPr>
        <w:t>has not</w:t>
      </w:r>
      <w:r w:rsidRPr="7B0F7123">
        <w:rPr>
          <w:rFonts w:asciiTheme="minorHAnsi" w:hAnsiTheme="minorHAnsi" w:cstheme="minorBidi"/>
        </w:rPr>
        <w:t xml:space="preserve"> increased on or after 1 July 2022</w:t>
      </w:r>
      <w:r w:rsidR="00A607D2" w:rsidRPr="7B0F7123">
        <w:rPr>
          <w:rFonts w:asciiTheme="minorHAnsi" w:hAnsiTheme="minorHAnsi" w:cstheme="minorBidi"/>
        </w:rPr>
        <w:t>; or</w:t>
      </w:r>
    </w:p>
    <w:p w14:paraId="250FCD86" w14:textId="26996DAF" w:rsidR="00655667" w:rsidRPr="00C611C6" w:rsidRDefault="00FD4419" w:rsidP="7B0F7123">
      <w:pPr>
        <w:pStyle w:val="ListParagraph"/>
        <w:numPr>
          <w:ilvl w:val="1"/>
          <w:numId w:val="19"/>
        </w:num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  <w:b/>
          <w:bCs/>
        </w:rPr>
        <w:t>a</w:t>
      </w:r>
      <w:r w:rsidR="007D0C28" w:rsidRPr="7B0F7123">
        <w:rPr>
          <w:rFonts w:asciiTheme="minorHAnsi" w:hAnsiTheme="minorHAnsi" w:cstheme="minorBidi"/>
          <w:b/>
          <w:bCs/>
        </w:rPr>
        <w:t>nother quantity</w:t>
      </w:r>
      <w:r w:rsidR="007D0C28" w:rsidRPr="7B0F7123">
        <w:rPr>
          <w:rFonts w:asciiTheme="minorHAnsi" w:hAnsiTheme="minorHAnsi" w:cstheme="minorBidi"/>
        </w:rPr>
        <w:t xml:space="preserve"> – </w:t>
      </w:r>
      <w:r w:rsidR="00655667" w:rsidRPr="7B0F7123">
        <w:rPr>
          <w:rFonts w:asciiTheme="minorHAnsi" w:hAnsiTheme="minorHAnsi" w:cstheme="minorBidi"/>
        </w:rPr>
        <w:t xml:space="preserve">another quantity </w:t>
      </w:r>
      <w:r w:rsidR="00EA74A6" w:rsidRPr="7B0F7123">
        <w:rPr>
          <w:rFonts w:asciiTheme="minorHAnsi" w:hAnsiTheme="minorHAnsi" w:cstheme="minorBidi"/>
        </w:rPr>
        <w:t xml:space="preserve">determined by the Minister </w:t>
      </w:r>
      <w:r w:rsidR="00655667" w:rsidRPr="7B0F7123">
        <w:rPr>
          <w:rFonts w:asciiTheme="minorHAnsi" w:hAnsiTheme="minorHAnsi" w:cstheme="minorBidi"/>
        </w:rPr>
        <w:t>under s</w:t>
      </w:r>
      <w:r w:rsidR="00A607D2" w:rsidRPr="7B0F7123">
        <w:rPr>
          <w:rFonts w:asciiTheme="minorHAnsi" w:hAnsiTheme="minorHAnsi" w:cstheme="minorBidi"/>
        </w:rPr>
        <w:t xml:space="preserve">ection </w:t>
      </w:r>
      <w:r w:rsidR="00655667" w:rsidRPr="7B0F7123">
        <w:rPr>
          <w:rFonts w:asciiTheme="minorHAnsi" w:hAnsiTheme="minorHAnsi" w:cstheme="minorBidi"/>
        </w:rPr>
        <w:t>99</w:t>
      </w:r>
      <w:proofErr w:type="gramStart"/>
      <w:r w:rsidR="00655667" w:rsidRPr="7B0F7123">
        <w:rPr>
          <w:rFonts w:asciiTheme="minorHAnsi" w:hAnsiTheme="minorHAnsi" w:cstheme="minorBidi"/>
        </w:rPr>
        <w:t>AEKC(</w:t>
      </w:r>
      <w:proofErr w:type="gramEnd"/>
      <w:r w:rsidR="00655667" w:rsidRPr="7B0F7123">
        <w:rPr>
          <w:rFonts w:asciiTheme="minorHAnsi" w:hAnsiTheme="minorHAnsi" w:cstheme="minorBidi"/>
        </w:rPr>
        <w:t>2)</w:t>
      </w:r>
      <w:r w:rsidR="00655667" w:rsidRPr="7B0F7123">
        <w:rPr>
          <w:rStyle w:val="FootnoteReference"/>
          <w:rFonts w:asciiTheme="minorHAnsi" w:hAnsiTheme="minorHAnsi" w:cstheme="minorBidi"/>
        </w:rPr>
        <w:footnoteReference w:id="2"/>
      </w:r>
      <w:r w:rsidR="00B53652" w:rsidRPr="7B0F7123">
        <w:rPr>
          <w:rFonts w:asciiTheme="minorHAnsi" w:hAnsiTheme="minorHAnsi" w:cstheme="minorBidi"/>
        </w:rPr>
        <w:t xml:space="preserve"> in relation to the designated brand (and whether or not the AEMP has increased </w:t>
      </w:r>
      <w:r w:rsidR="6BD3022C" w:rsidRPr="7B0F7123">
        <w:rPr>
          <w:rFonts w:asciiTheme="minorHAnsi" w:hAnsiTheme="minorHAnsi" w:cstheme="minorBidi"/>
        </w:rPr>
        <w:t xml:space="preserve">on or </w:t>
      </w:r>
      <w:r w:rsidR="00B53652" w:rsidRPr="7B0F7123">
        <w:rPr>
          <w:rFonts w:asciiTheme="minorHAnsi" w:hAnsiTheme="minorHAnsi" w:cstheme="minorBidi"/>
        </w:rPr>
        <w:t>after 1 July 2022)</w:t>
      </w:r>
      <w:r w:rsidR="00655667" w:rsidRPr="7B0F7123">
        <w:rPr>
          <w:rFonts w:asciiTheme="minorHAnsi" w:hAnsiTheme="minorHAnsi" w:cstheme="minorBidi"/>
        </w:rPr>
        <w:t xml:space="preserve">. </w:t>
      </w:r>
    </w:p>
    <w:p w14:paraId="58B03DF5" w14:textId="1ACF12E7" w:rsidR="00A20F61" w:rsidRPr="00C611C6" w:rsidRDefault="00A20F61" w:rsidP="7B0F7123">
      <w:pPr>
        <w:jc w:val="left"/>
        <w:rPr>
          <w:rFonts w:asciiTheme="minorHAnsi" w:hAnsiTheme="minorHAnsi" w:cstheme="minorBidi"/>
        </w:rPr>
      </w:pPr>
      <w:r w:rsidRPr="7B0F7123">
        <w:rPr>
          <w:rFonts w:asciiTheme="minorHAnsi" w:hAnsiTheme="minorHAnsi" w:cstheme="minorBidi"/>
        </w:rPr>
        <w:t xml:space="preserve">The </w:t>
      </w:r>
      <w:r w:rsidR="00A66867" w:rsidRPr="7B0F7123">
        <w:rPr>
          <w:rFonts w:asciiTheme="minorHAnsi" w:hAnsiTheme="minorHAnsi" w:cstheme="minorBidi"/>
        </w:rPr>
        <w:t>D</w:t>
      </w:r>
      <w:r w:rsidRPr="7B0F7123">
        <w:rPr>
          <w:rFonts w:asciiTheme="minorHAnsi" w:hAnsiTheme="minorHAnsi" w:cstheme="minorBidi"/>
        </w:rPr>
        <w:t>epartment publishes a</w:t>
      </w:r>
      <w:r w:rsidR="00A0456C" w:rsidRPr="7B0F7123">
        <w:rPr>
          <w:rFonts w:asciiTheme="minorHAnsi" w:hAnsiTheme="minorHAnsi" w:cstheme="minorBidi"/>
        </w:rPr>
        <w:t>n updated</w:t>
      </w:r>
      <w:r w:rsidRPr="7B0F7123">
        <w:rPr>
          <w:rFonts w:asciiTheme="minorHAnsi" w:hAnsiTheme="minorHAnsi" w:cstheme="minorBidi"/>
        </w:rPr>
        <w:t xml:space="preserve"> list of des</w:t>
      </w:r>
      <w:r w:rsidR="00CE6F69" w:rsidRPr="7B0F7123">
        <w:rPr>
          <w:rFonts w:asciiTheme="minorHAnsi" w:hAnsiTheme="minorHAnsi" w:cstheme="minorBidi"/>
        </w:rPr>
        <w:t>i</w:t>
      </w:r>
      <w:r w:rsidRPr="7B0F7123">
        <w:rPr>
          <w:rFonts w:asciiTheme="minorHAnsi" w:hAnsiTheme="minorHAnsi" w:cstheme="minorBidi"/>
        </w:rPr>
        <w:t>gn</w:t>
      </w:r>
      <w:r w:rsidR="001F5724" w:rsidRPr="7B0F7123">
        <w:rPr>
          <w:rFonts w:asciiTheme="minorHAnsi" w:hAnsiTheme="minorHAnsi" w:cstheme="minorBidi"/>
        </w:rPr>
        <w:t>a</w:t>
      </w:r>
      <w:r w:rsidRPr="7B0F7123">
        <w:rPr>
          <w:rFonts w:asciiTheme="minorHAnsi" w:hAnsiTheme="minorHAnsi" w:cstheme="minorBidi"/>
        </w:rPr>
        <w:t>ted brands and the applicable quantities on</w:t>
      </w:r>
      <w:r w:rsidR="00C90E2F" w:rsidRPr="7B0F7123">
        <w:rPr>
          <w:rFonts w:asciiTheme="minorHAnsi" w:hAnsiTheme="minorHAnsi" w:cstheme="minorBidi"/>
        </w:rPr>
        <w:t xml:space="preserve"> </w:t>
      </w:r>
      <w:r w:rsidR="00A0456C" w:rsidRPr="7B0F7123">
        <w:rPr>
          <w:rFonts w:asciiTheme="minorHAnsi" w:hAnsiTheme="minorHAnsi" w:cstheme="minorBidi"/>
        </w:rPr>
        <w:t>1</w:t>
      </w:r>
      <w:r w:rsidR="001F5724" w:rsidRPr="7B0F7123">
        <w:rPr>
          <w:rFonts w:asciiTheme="minorHAnsi" w:hAnsiTheme="minorHAnsi" w:cstheme="minorBidi"/>
        </w:rPr>
        <w:t> </w:t>
      </w:r>
      <w:r w:rsidR="00A0456C" w:rsidRPr="7B0F7123">
        <w:rPr>
          <w:rFonts w:asciiTheme="minorHAnsi" w:hAnsiTheme="minorHAnsi" w:cstheme="minorBidi"/>
        </w:rPr>
        <w:t xml:space="preserve">April and 1 October each year on the </w:t>
      </w:r>
      <w:hyperlink r:id="rId13">
        <w:r w:rsidR="00A0456C" w:rsidRPr="7B0F7123">
          <w:rPr>
            <w:rStyle w:val="Hyperlink"/>
            <w:rFonts w:asciiTheme="minorHAnsi" w:hAnsiTheme="minorHAnsi" w:cstheme="minorBidi"/>
          </w:rPr>
          <w:t xml:space="preserve">designated </w:t>
        </w:r>
        <w:r w:rsidR="001F5724" w:rsidRPr="7B0F7123">
          <w:rPr>
            <w:rStyle w:val="Hyperlink"/>
            <w:rFonts w:asciiTheme="minorHAnsi" w:hAnsiTheme="minorHAnsi" w:cstheme="minorBidi"/>
          </w:rPr>
          <w:t>brands</w:t>
        </w:r>
        <w:r w:rsidR="00A0456C" w:rsidRPr="7B0F7123">
          <w:rPr>
            <w:rStyle w:val="Hyperlink"/>
            <w:rFonts w:asciiTheme="minorHAnsi" w:hAnsiTheme="minorHAnsi" w:cstheme="minorBidi"/>
          </w:rPr>
          <w:t xml:space="preserve"> webpage</w:t>
        </w:r>
      </w:hyperlink>
      <w:r w:rsidR="00A0456C" w:rsidRPr="7B0F7123">
        <w:rPr>
          <w:rFonts w:asciiTheme="minorHAnsi" w:hAnsiTheme="minorHAnsi" w:cstheme="minorBidi"/>
        </w:rPr>
        <w:t>.</w:t>
      </w:r>
    </w:p>
    <w:p w14:paraId="79D2DF66" w14:textId="79A1E882" w:rsidR="00E66E53" w:rsidRPr="008F623A" w:rsidRDefault="00752A83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Usual Demand</w:t>
      </w:r>
    </w:p>
    <w:p w14:paraId="7E171A8E" w14:textId="738A37FF" w:rsidR="00D672B1" w:rsidRDefault="67D41B55" w:rsidP="7B0F7123">
      <w:pPr>
        <w:jc w:val="left"/>
        <w:rPr>
          <w:rFonts w:asciiTheme="minorHAnsi" w:hAnsiTheme="minorHAnsi"/>
        </w:rPr>
      </w:pPr>
      <w:r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‘</w:t>
      </w:r>
      <w:r w:rsidR="00254EB3" w:rsidRPr="7B0F7123">
        <w:rPr>
          <w:rFonts w:asciiTheme="minorHAnsi" w:hAnsiTheme="minorHAnsi" w:cstheme="minorBidi"/>
          <w:b/>
          <w:bCs/>
          <w:color w:val="2F5496" w:themeColor="accent1" w:themeShade="BF"/>
        </w:rPr>
        <w:t>U</w:t>
      </w:r>
      <w:r w:rsidR="2F3944DD" w:rsidRPr="7B0F7123">
        <w:rPr>
          <w:rFonts w:asciiTheme="minorHAnsi" w:hAnsiTheme="minorHAnsi" w:cstheme="minorBidi"/>
          <w:b/>
          <w:bCs/>
          <w:color w:val="2F5496" w:themeColor="accent1" w:themeShade="BF"/>
        </w:rPr>
        <w:t>sual demand</w:t>
      </w:r>
      <w:r w:rsidRPr="7B0F7123">
        <w:rPr>
          <w:rFonts w:asciiTheme="minorHAnsi" w:hAnsiTheme="minorHAnsi" w:cstheme="minorBidi"/>
          <w:b/>
          <w:bCs/>
          <w:color w:val="2F5496" w:themeColor="accent1" w:themeShade="BF"/>
        </w:rPr>
        <w:t>’</w:t>
      </w:r>
      <w:r w:rsidR="00254EB3" w:rsidRPr="7B0F712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CC0367" w:rsidRPr="7B0F7123">
        <w:rPr>
          <w:rFonts w:asciiTheme="minorHAnsi" w:hAnsiTheme="minorHAnsi" w:cstheme="minorBidi"/>
        </w:rPr>
        <w:t>is</w:t>
      </w:r>
      <w:r w:rsidR="00421F92" w:rsidRPr="7B0F7123">
        <w:rPr>
          <w:rFonts w:asciiTheme="minorHAnsi" w:hAnsiTheme="minorHAnsi" w:cstheme="minorBidi"/>
        </w:rPr>
        <w:t xml:space="preserve"> the</w:t>
      </w:r>
      <w:r w:rsidR="00254EB3" w:rsidRPr="7B0F7123">
        <w:rPr>
          <w:rFonts w:asciiTheme="minorHAnsi" w:hAnsiTheme="minorHAnsi" w:cstheme="minorBidi"/>
        </w:rPr>
        <w:t xml:space="preserve"> </w:t>
      </w:r>
      <w:r w:rsidR="00497B90" w:rsidRPr="7B0F7123">
        <w:rPr>
          <w:rFonts w:asciiTheme="minorHAnsi" w:hAnsiTheme="minorHAnsi" w:cstheme="minorBidi"/>
        </w:rPr>
        <w:t>average</w:t>
      </w:r>
      <w:r w:rsidR="00D34D39" w:rsidRPr="7B0F7123">
        <w:rPr>
          <w:rFonts w:asciiTheme="minorHAnsi" w:hAnsiTheme="minorHAnsi" w:cstheme="minorBidi"/>
        </w:rPr>
        <w:t xml:space="preserve"> number of packs of the brand supplied </w:t>
      </w:r>
      <w:r w:rsidR="00497B90" w:rsidRPr="7B0F7123">
        <w:rPr>
          <w:rFonts w:asciiTheme="minorHAnsi" w:hAnsiTheme="minorHAnsi" w:cstheme="minorBidi"/>
        </w:rPr>
        <w:t xml:space="preserve">during </w:t>
      </w:r>
      <w:r w:rsidR="00FF528B" w:rsidRPr="7B0F7123">
        <w:rPr>
          <w:rFonts w:asciiTheme="minorHAnsi" w:hAnsiTheme="minorHAnsi" w:cstheme="minorBidi"/>
        </w:rPr>
        <w:t>the</w:t>
      </w:r>
      <w:r w:rsidR="00B850FD" w:rsidRPr="7B0F7123">
        <w:rPr>
          <w:rFonts w:asciiTheme="minorHAnsi" w:hAnsiTheme="minorHAnsi" w:cstheme="minorBidi"/>
        </w:rPr>
        <w:t xml:space="preserve"> </w:t>
      </w:r>
      <w:r w:rsidR="00D72543" w:rsidRPr="7B0F7123">
        <w:rPr>
          <w:rFonts w:asciiTheme="minorHAnsi" w:hAnsiTheme="minorHAnsi" w:cstheme="minorBidi"/>
        </w:rPr>
        <w:t>price disclosure (</w:t>
      </w:r>
      <w:r w:rsidR="00D72543" w:rsidRPr="7B0F7123">
        <w:rPr>
          <w:rFonts w:asciiTheme="minorHAnsi" w:hAnsiTheme="minorHAnsi" w:cstheme="minorBidi"/>
          <w:b/>
          <w:bCs/>
        </w:rPr>
        <w:t>PD</w:t>
      </w:r>
      <w:r w:rsidR="00D72543" w:rsidRPr="7B0F7123">
        <w:rPr>
          <w:rFonts w:asciiTheme="minorHAnsi" w:hAnsiTheme="minorHAnsi" w:cstheme="minorBidi"/>
        </w:rPr>
        <w:t xml:space="preserve">) </w:t>
      </w:r>
      <w:r w:rsidR="00DD78F4" w:rsidRPr="7B0F7123">
        <w:rPr>
          <w:rFonts w:asciiTheme="minorHAnsi" w:hAnsiTheme="minorHAnsi" w:cstheme="minorBidi"/>
        </w:rPr>
        <w:t>‘</w:t>
      </w:r>
      <w:r w:rsidR="00B850FD" w:rsidRPr="7B0F7123">
        <w:rPr>
          <w:rFonts w:asciiTheme="minorHAnsi" w:hAnsiTheme="minorHAnsi" w:cstheme="minorBidi"/>
          <w:b/>
          <w:bCs/>
          <w:color w:val="2F5496" w:themeColor="accent1" w:themeShade="BF"/>
        </w:rPr>
        <w:t>reference period</w:t>
      </w:r>
      <w:r w:rsidR="00DD78F4" w:rsidRPr="7B0F7123">
        <w:rPr>
          <w:rFonts w:asciiTheme="minorHAnsi" w:hAnsiTheme="minorHAnsi" w:cstheme="minorBidi"/>
          <w:b/>
          <w:bCs/>
          <w:color w:val="2F5496" w:themeColor="accent1" w:themeShade="BF"/>
        </w:rPr>
        <w:t>’</w:t>
      </w:r>
      <w:r w:rsidR="001F68C4" w:rsidRPr="7B0F7123">
        <w:rPr>
          <w:rStyle w:val="FootnoteReference"/>
          <w:rFonts w:asciiTheme="minorHAnsi" w:hAnsiTheme="minorHAnsi" w:cstheme="minorBidi"/>
          <w:color w:val="000000"/>
          <w:shd w:val="clear" w:color="auto" w:fill="FFFFFF"/>
        </w:rPr>
        <w:footnoteReference w:id="3"/>
      </w:r>
      <w:r w:rsidR="00DD78F4" w:rsidRPr="7B0F7123">
        <w:rPr>
          <w:rFonts w:asciiTheme="minorHAnsi" w:hAnsiTheme="minorHAnsi" w:cstheme="minorBidi"/>
        </w:rPr>
        <w:t xml:space="preserve"> The reference period</w:t>
      </w:r>
      <w:r w:rsidR="00751AB6" w:rsidRPr="7B0F7123">
        <w:rPr>
          <w:rFonts w:asciiTheme="minorHAnsi" w:hAnsiTheme="minorHAnsi" w:cstheme="minorBidi"/>
        </w:rPr>
        <w:t xml:space="preserve"> is</w:t>
      </w:r>
      <w:r w:rsidR="00B850FD" w:rsidRPr="7B0F7123">
        <w:rPr>
          <w:rFonts w:asciiTheme="minorHAnsi" w:hAnsiTheme="minorHAnsi" w:cstheme="minorBidi"/>
        </w:rPr>
        <w:t xml:space="preserve"> </w:t>
      </w:r>
      <w:r w:rsidR="00326793" w:rsidRPr="7B0F7123">
        <w:rPr>
          <w:rFonts w:asciiTheme="minorHAnsi" w:hAnsiTheme="minorHAnsi" w:cstheme="minorBidi"/>
        </w:rPr>
        <w:t>the</w:t>
      </w:r>
      <w:r w:rsidR="00B850FD" w:rsidRPr="7B0F7123">
        <w:rPr>
          <w:rFonts w:asciiTheme="minorHAnsi" w:hAnsiTheme="minorHAnsi" w:cstheme="minorBidi"/>
        </w:rPr>
        <w:t xml:space="preserve"> </w:t>
      </w:r>
      <w:r w:rsidR="00836D97" w:rsidRPr="7B0F7123">
        <w:rPr>
          <w:rFonts w:asciiTheme="minorHAnsi" w:hAnsiTheme="minorHAnsi" w:cstheme="minorBidi"/>
        </w:rPr>
        <w:t xml:space="preserve">corresponding </w:t>
      </w:r>
      <w:r w:rsidR="00583844" w:rsidRPr="7B0F7123">
        <w:rPr>
          <w:rFonts w:asciiTheme="minorHAnsi" w:hAnsiTheme="minorHAnsi" w:cstheme="minorBidi"/>
        </w:rPr>
        <w:t>six-month</w:t>
      </w:r>
      <w:r w:rsidR="00326793" w:rsidRPr="7B0F7123">
        <w:rPr>
          <w:rFonts w:asciiTheme="minorHAnsi" w:hAnsiTheme="minorHAnsi" w:cstheme="minorBidi"/>
        </w:rPr>
        <w:t xml:space="preserve"> period in the </w:t>
      </w:r>
      <w:r w:rsidR="00735A43" w:rsidRPr="7B0F7123">
        <w:rPr>
          <w:rFonts w:asciiTheme="minorHAnsi" w:hAnsiTheme="minorHAnsi" w:cstheme="minorBidi"/>
        </w:rPr>
        <w:t xml:space="preserve">prior year </w:t>
      </w:r>
      <w:r w:rsidR="008831FA" w:rsidRPr="7B0F7123" w:rsidDel="00612FA0">
        <w:rPr>
          <w:rFonts w:asciiTheme="minorHAnsi" w:hAnsiTheme="minorHAnsi" w:cstheme="minorBidi"/>
        </w:rPr>
        <w:t>(refer to Figure 1)</w:t>
      </w:r>
      <w:r w:rsidR="008B7E8D" w:rsidRPr="7B0F7123" w:rsidDel="00612FA0">
        <w:rPr>
          <w:rFonts w:asciiTheme="minorHAnsi" w:hAnsiTheme="minorHAnsi" w:cstheme="minorBidi"/>
        </w:rPr>
        <w:t xml:space="preserve"> </w:t>
      </w:r>
      <w:r w:rsidR="00200560" w:rsidRPr="7B0F7123">
        <w:rPr>
          <w:rFonts w:asciiTheme="minorHAnsi" w:hAnsiTheme="minorHAnsi" w:cstheme="minorBidi"/>
        </w:rPr>
        <w:t>and</w:t>
      </w:r>
      <w:r w:rsidR="008B7E8D" w:rsidRPr="7B0F7123">
        <w:rPr>
          <w:rFonts w:asciiTheme="minorHAnsi" w:hAnsiTheme="minorHAnsi" w:cstheme="minorBidi"/>
        </w:rPr>
        <w:t xml:space="preserve"> accounts for seasonal variation</w:t>
      </w:r>
      <w:r w:rsidR="00B850FD" w:rsidRPr="7B0F7123">
        <w:rPr>
          <w:rFonts w:asciiTheme="minorHAnsi" w:hAnsiTheme="minorHAnsi"/>
        </w:rPr>
        <w:t>. Usual demand is</w:t>
      </w:r>
      <w:r w:rsidR="00421F92" w:rsidRPr="7B0F7123">
        <w:rPr>
          <w:rFonts w:asciiTheme="minorHAnsi" w:hAnsiTheme="minorHAnsi"/>
        </w:rPr>
        <w:t xml:space="preserve"> </w:t>
      </w:r>
      <w:r w:rsidR="00785EF3" w:rsidRPr="7B0F7123">
        <w:rPr>
          <w:rFonts w:asciiTheme="minorHAnsi" w:hAnsiTheme="minorHAnsi"/>
        </w:rPr>
        <w:t xml:space="preserve">based on </w:t>
      </w:r>
      <w:r w:rsidR="00DE104D" w:rsidRPr="7B0F7123">
        <w:rPr>
          <w:rFonts w:asciiTheme="minorHAnsi" w:hAnsiTheme="minorHAnsi"/>
        </w:rPr>
        <w:t xml:space="preserve">PD </w:t>
      </w:r>
      <w:r w:rsidR="0001132E" w:rsidRPr="7B0F7123">
        <w:rPr>
          <w:rFonts w:asciiTheme="minorHAnsi" w:hAnsiTheme="minorHAnsi"/>
        </w:rPr>
        <w:t>data</w:t>
      </w:r>
      <w:r w:rsidR="002E253D" w:rsidRPr="7B0F7123">
        <w:rPr>
          <w:rFonts w:asciiTheme="minorHAnsi" w:hAnsiTheme="minorHAnsi"/>
        </w:rPr>
        <w:t xml:space="preserve"> where available. </w:t>
      </w:r>
    </w:p>
    <w:p w14:paraId="7FD2CFF5" w14:textId="5541897E" w:rsidR="004767F7" w:rsidRDefault="00D672B1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demand is updated every six months in line with PD reference periods</w:t>
      </w:r>
      <w:r w:rsidR="001F68C4" w:rsidRPr="7B0F7123">
        <w:rPr>
          <w:rFonts w:asciiTheme="minorHAnsi" w:hAnsiTheme="minorHAnsi"/>
        </w:rPr>
        <w:t>, being the periods from</w:t>
      </w:r>
      <w:r w:rsidR="00DE104D" w:rsidRPr="7B0F7123">
        <w:rPr>
          <w:rFonts w:asciiTheme="minorHAnsi" w:hAnsiTheme="minorHAnsi"/>
        </w:rPr>
        <w:t xml:space="preserve"> 1</w:t>
      </w:r>
      <w:r w:rsidRPr="7B0F7123">
        <w:rPr>
          <w:rFonts w:asciiTheme="minorHAnsi" w:hAnsiTheme="minorHAnsi"/>
        </w:rPr>
        <w:t xml:space="preserve"> April to </w:t>
      </w:r>
      <w:r w:rsidR="00DE104D" w:rsidRPr="7B0F7123">
        <w:rPr>
          <w:rFonts w:asciiTheme="minorHAnsi" w:hAnsiTheme="minorHAnsi"/>
        </w:rPr>
        <w:t xml:space="preserve">30 </w:t>
      </w:r>
      <w:r w:rsidRPr="7B0F7123">
        <w:rPr>
          <w:rFonts w:asciiTheme="minorHAnsi" w:hAnsiTheme="minorHAnsi"/>
        </w:rPr>
        <w:t xml:space="preserve">September and </w:t>
      </w:r>
      <w:r w:rsidR="00DE104D" w:rsidRPr="7B0F7123">
        <w:rPr>
          <w:rFonts w:asciiTheme="minorHAnsi" w:hAnsiTheme="minorHAnsi"/>
        </w:rPr>
        <w:t xml:space="preserve">1 </w:t>
      </w:r>
      <w:r w:rsidRPr="7B0F7123">
        <w:rPr>
          <w:rFonts w:asciiTheme="minorHAnsi" w:hAnsiTheme="minorHAnsi"/>
        </w:rPr>
        <w:t xml:space="preserve">October to </w:t>
      </w:r>
      <w:r w:rsidR="00DE104D" w:rsidRPr="7B0F7123">
        <w:rPr>
          <w:rFonts w:asciiTheme="minorHAnsi" w:hAnsiTheme="minorHAnsi"/>
        </w:rPr>
        <w:t xml:space="preserve">31 </w:t>
      </w:r>
      <w:r w:rsidRPr="7B0F7123">
        <w:rPr>
          <w:rFonts w:asciiTheme="minorHAnsi" w:hAnsiTheme="minorHAnsi"/>
        </w:rPr>
        <w:t>March. Updated usual demand figures are provided to Responsible Persons by the Price Disclosure Data Administrator (</w:t>
      </w:r>
      <w:r w:rsidRPr="7B0F7123">
        <w:rPr>
          <w:rFonts w:asciiTheme="minorHAnsi" w:hAnsiTheme="minorHAnsi"/>
          <w:b/>
          <w:bCs/>
        </w:rPr>
        <w:t>PDDA</w:t>
      </w:r>
      <w:r w:rsidRPr="7B0F7123">
        <w:rPr>
          <w:rFonts w:asciiTheme="minorHAnsi" w:hAnsiTheme="minorHAnsi"/>
        </w:rPr>
        <w:t xml:space="preserve">) by 7 June and 7 December for the reference period </w:t>
      </w:r>
      <w:r w:rsidR="001F68C4" w:rsidRPr="7B0F7123">
        <w:rPr>
          <w:rFonts w:asciiTheme="minorHAnsi" w:hAnsiTheme="minorHAnsi"/>
        </w:rPr>
        <w:t xml:space="preserve">most recently </w:t>
      </w:r>
      <w:r w:rsidRPr="7B0F7123">
        <w:rPr>
          <w:rFonts w:asciiTheme="minorHAnsi" w:hAnsiTheme="minorHAnsi"/>
        </w:rPr>
        <w:t>ended.</w:t>
      </w:r>
    </w:p>
    <w:p w14:paraId="2CE32A23" w14:textId="161B1B49" w:rsidR="002C5318" w:rsidRPr="008F623A" w:rsidRDefault="002C5318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lastRenderedPageBreak/>
        <w:t>Usual PBS Demand</w:t>
      </w:r>
    </w:p>
    <w:p w14:paraId="2B40744D" w14:textId="15F53C0E" w:rsidR="00DB47C2" w:rsidRDefault="002E253D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W</w:t>
      </w:r>
      <w:r w:rsidR="00421F92" w:rsidRPr="7B0F7123">
        <w:rPr>
          <w:rFonts w:asciiTheme="minorHAnsi" w:hAnsiTheme="minorHAnsi"/>
        </w:rPr>
        <w:t xml:space="preserve">here </w:t>
      </w:r>
      <w:r w:rsidR="00412E73" w:rsidRPr="7B0F7123">
        <w:rPr>
          <w:rFonts w:asciiTheme="minorHAnsi" w:hAnsiTheme="minorHAnsi"/>
        </w:rPr>
        <w:t>PD data is un</w:t>
      </w:r>
      <w:r w:rsidR="00421F92" w:rsidRPr="7B0F7123">
        <w:rPr>
          <w:rFonts w:asciiTheme="minorHAnsi" w:hAnsiTheme="minorHAnsi"/>
        </w:rPr>
        <w:t>available</w:t>
      </w:r>
      <w:r w:rsidR="008F4DB6" w:rsidRPr="7B0F7123">
        <w:rPr>
          <w:rFonts w:asciiTheme="minorHAnsi" w:hAnsiTheme="minorHAnsi"/>
        </w:rPr>
        <w:t xml:space="preserve"> (</w:t>
      </w:r>
      <w:r w:rsidR="00A66867" w:rsidRPr="7B0F7123">
        <w:rPr>
          <w:rFonts w:asciiTheme="minorHAnsi" w:hAnsiTheme="minorHAnsi"/>
        </w:rPr>
        <w:t>e.g.</w:t>
      </w:r>
      <w:r w:rsidR="46E4A502" w:rsidRPr="7B0F7123">
        <w:rPr>
          <w:rFonts w:asciiTheme="minorHAnsi" w:hAnsiTheme="minorHAnsi"/>
        </w:rPr>
        <w:t>,</w:t>
      </w:r>
      <w:r w:rsidR="00A66867" w:rsidRPr="7B0F7123">
        <w:rPr>
          <w:rFonts w:asciiTheme="minorHAnsi" w:hAnsiTheme="minorHAnsi"/>
        </w:rPr>
        <w:t xml:space="preserve"> </w:t>
      </w:r>
      <w:r w:rsidR="004249B6" w:rsidRPr="7B0F7123">
        <w:rPr>
          <w:rFonts w:asciiTheme="minorHAnsi" w:hAnsiTheme="minorHAnsi"/>
        </w:rPr>
        <w:t>if the brand is not subject to PD)</w:t>
      </w:r>
      <w:r w:rsidR="00412E73" w:rsidRPr="7B0F7123">
        <w:rPr>
          <w:rFonts w:asciiTheme="minorHAnsi" w:hAnsiTheme="minorHAnsi"/>
        </w:rPr>
        <w:t>,</w:t>
      </w:r>
      <w:r w:rsidR="006A5358" w:rsidRPr="7B0F7123">
        <w:rPr>
          <w:rFonts w:asciiTheme="minorHAnsi" w:hAnsiTheme="minorHAnsi"/>
        </w:rPr>
        <w:t xml:space="preserve"> the Minister may </w:t>
      </w:r>
      <w:proofErr w:type="gramStart"/>
      <w:r w:rsidR="006A5358" w:rsidRPr="7B0F7123">
        <w:rPr>
          <w:rFonts w:asciiTheme="minorHAnsi" w:hAnsiTheme="minorHAnsi"/>
        </w:rPr>
        <w:t xml:space="preserve">make a </w:t>
      </w:r>
      <w:r w:rsidR="00C76D0B" w:rsidRPr="7B0F7123">
        <w:rPr>
          <w:rFonts w:asciiTheme="minorHAnsi" w:hAnsiTheme="minorHAnsi"/>
        </w:rPr>
        <w:t>determination</w:t>
      </w:r>
      <w:proofErr w:type="gramEnd"/>
      <w:r w:rsidR="00412E73" w:rsidRPr="7B0F7123">
        <w:rPr>
          <w:rFonts w:asciiTheme="minorHAnsi" w:hAnsiTheme="minorHAnsi"/>
        </w:rPr>
        <w:t xml:space="preserve"> </w:t>
      </w:r>
      <w:r w:rsidR="00A66867" w:rsidRPr="7B0F7123">
        <w:rPr>
          <w:rFonts w:asciiTheme="minorHAnsi" w:hAnsiTheme="minorHAnsi"/>
        </w:rPr>
        <w:t>ascertaining ‘another quantity’</w:t>
      </w:r>
      <w:r w:rsidR="0015548F" w:rsidRPr="7B0F7123">
        <w:rPr>
          <w:rFonts w:asciiTheme="minorHAnsi" w:hAnsiTheme="minorHAnsi"/>
        </w:rPr>
        <w:t>.  In doing so, the Minister will have regard</w:t>
      </w:r>
      <w:r w:rsidR="009B4CCB" w:rsidRPr="7B0F7123">
        <w:rPr>
          <w:rFonts w:asciiTheme="minorHAnsi" w:hAnsiTheme="minorHAnsi"/>
        </w:rPr>
        <w:t xml:space="preserve"> to </w:t>
      </w:r>
      <w:r w:rsidR="001A74C4" w:rsidRPr="7B0F7123">
        <w:rPr>
          <w:rFonts w:asciiTheme="minorHAnsi" w:hAnsiTheme="minorHAnsi" w:cstheme="minorBidi"/>
          <w:color w:val="2F5496" w:themeColor="accent1" w:themeShade="BF"/>
        </w:rPr>
        <w:t>‘</w:t>
      </w:r>
      <w:r w:rsidR="001A74C4" w:rsidRPr="7B0F7123">
        <w:rPr>
          <w:rFonts w:asciiTheme="minorHAnsi" w:hAnsiTheme="minorHAnsi" w:cstheme="minorBidi"/>
          <w:b/>
          <w:bCs/>
          <w:color w:val="2F5496" w:themeColor="accent1" w:themeShade="BF"/>
        </w:rPr>
        <w:t>usual PBS demand</w:t>
      </w:r>
      <w:r w:rsidR="001A74C4" w:rsidRPr="7B0F7123">
        <w:rPr>
          <w:rFonts w:asciiTheme="minorHAnsi" w:hAnsiTheme="minorHAnsi" w:cstheme="minorBidi"/>
          <w:color w:val="2F5496" w:themeColor="accent1" w:themeShade="BF"/>
        </w:rPr>
        <w:t>’</w:t>
      </w:r>
      <w:r w:rsidR="004511F7" w:rsidRPr="7B0F7123">
        <w:rPr>
          <w:rFonts w:asciiTheme="minorHAnsi" w:hAnsiTheme="minorHAnsi"/>
        </w:rPr>
        <w:t>. This is based on PBS prescription volume data for the reference period and calculated the same way as usual demand</w:t>
      </w:r>
      <w:r w:rsidR="00476F32" w:rsidRPr="7B0F7123">
        <w:rPr>
          <w:rFonts w:asciiTheme="minorHAnsi" w:hAnsiTheme="minorHAnsi"/>
        </w:rPr>
        <w:t>.</w:t>
      </w:r>
      <w:r w:rsidR="00474303" w:rsidRPr="7B0F7123">
        <w:rPr>
          <w:rFonts w:asciiTheme="minorHAnsi" w:hAnsiTheme="minorHAnsi"/>
        </w:rPr>
        <w:t xml:space="preserve"> </w:t>
      </w:r>
    </w:p>
    <w:p w14:paraId="7FA84DD5" w14:textId="42C5D193" w:rsidR="00BA2ED8" w:rsidRDefault="00474303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PBS demand is updated every six months in line with PD reference periods</w:t>
      </w:r>
      <w:r w:rsidR="00930FE4" w:rsidRPr="7B0F7123">
        <w:rPr>
          <w:rFonts w:asciiTheme="minorHAnsi" w:hAnsiTheme="minorHAnsi"/>
        </w:rPr>
        <w:t xml:space="preserve">. Updated usual PBS demand figures are provided to Responsible Persons by the Department by 7 June and 7 December for the reference period </w:t>
      </w:r>
      <w:r w:rsidR="001F68C4" w:rsidRPr="7B0F7123">
        <w:rPr>
          <w:rFonts w:asciiTheme="minorHAnsi" w:hAnsiTheme="minorHAnsi"/>
        </w:rPr>
        <w:t xml:space="preserve">most recently </w:t>
      </w:r>
      <w:r w:rsidR="00930FE4" w:rsidRPr="7B0F7123">
        <w:rPr>
          <w:rFonts w:asciiTheme="minorHAnsi" w:hAnsiTheme="minorHAnsi"/>
        </w:rPr>
        <w:t>ended</w:t>
      </w:r>
      <w:r w:rsidR="00DB47C2" w:rsidRPr="7B0F7123">
        <w:rPr>
          <w:rFonts w:asciiTheme="minorHAnsi" w:hAnsiTheme="minorHAnsi"/>
        </w:rPr>
        <w:t>.</w:t>
      </w:r>
    </w:p>
    <w:p w14:paraId="57DC2916" w14:textId="30E8C36B" w:rsidR="004973F3" w:rsidRDefault="00977F7B" w:rsidP="7B0F7123">
      <w:pPr>
        <w:jc w:val="left"/>
        <w:rPr>
          <w:rFonts w:asciiTheme="minorHAnsi" w:hAnsiTheme="minorHAnsi"/>
        </w:rPr>
      </w:pPr>
      <w:r w:rsidRPr="005303D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4235B3" wp14:editId="390DA9C1">
                <wp:simplePos x="0" y="0"/>
                <wp:positionH relativeFrom="margin">
                  <wp:align>left</wp:align>
                </wp:positionH>
                <wp:positionV relativeFrom="paragraph">
                  <wp:posOffset>2318385</wp:posOffset>
                </wp:positionV>
                <wp:extent cx="5663565" cy="612140"/>
                <wp:effectExtent l="0" t="0" r="13335" b="16510"/>
                <wp:wrapSquare wrapText="bothSides"/>
                <wp:docPr id="909305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C86B" w14:textId="3FC75EC6" w:rsidR="005303DF" w:rsidRPr="004767F7" w:rsidRDefault="007B34E1" w:rsidP="005303DF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Example: </w:t>
                            </w:r>
                            <w:r w:rsidR="005303D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I</w:t>
                            </w:r>
                            <w:r w:rsidR="005303DF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f the brand was subject to an applicable quantity of 4 months of usual demand, during the current period of April – September of Year 2, the </w:t>
                            </w:r>
                            <w:r w:rsidR="00304D00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R</w:t>
                            </w:r>
                            <w:r w:rsidR="00304D0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esponsible Person</w:t>
                            </w:r>
                            <w:r w:rsidR="005303DF" w:rsidRPr="004767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would be required to hold 80,000 packs of the brand (4 months x 20,000 packs).</w:t>
                            </w:r>
                          </w:p>
                          <w:p w14:paraId="16AC5CF8" w14:textId="087DFCCA" w:rsidR="005303DF" w:rsidRDefault="00530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3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2.55pt;width:445.95pt;height:48.2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" strokecolor="#0070c0" strokeweight="1pt">
                <v:textbox>
                  <w:txbxContent>
                    <w:p w14:paraId="5A14C86B" w14:textId="3FC75EC6" w:rsidR="005303DF" w:rsidRPr="004767F7" w:rsidRDefault="007B34E1" w:rsidP="005303DF">
                      <w:pPr>
                        <w:spacing w:after="0"/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Example: </w:t>
                      </w:r>
                      <w:r w:rsidR="005303D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I</w:t>
                      </w:r>
                      <w:r w:rsidR="005303DF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f the brand was subject to an applicable quantity of 4 months of usual demand, during the current period of April – September of Year 2, the </w:t>
                      </w:r>
                      <w:r w:rsidR="00304D00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R</w:t>
                      </w:r>
                      <w:r w:rsidR="00304D0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>esponsible Person</w:t>
                      </w:r>
                      <w:r w:rsidR="005303DF" w:rsidRPr="004767F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 would be required to hold 80,000 packs of the brand (4 months x 20,000 packs).</w:t>
                      </w:r>
                    </w:p>
                    <w:p w14:paraId="16AC5CF8" w14:textId="087DFCCA" w:rsidR="005303DF" w:rsidRDefault="005303DF"/>
                  </w:txbxContent>
                </v:textbox>
                <w10:wrap type="square" anchorx="margin"/>
              </v:shape>
            </w:pict>
          </mc:Fallback>
        </mc:AlternateContent>
      </w:r>
      <w:r w:rsidRPr="008F707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8CDEF9D" wp14:editId="153DA00B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5663565" cy="2000885"/>
            <wp:effectExtent l="0" t="0" r="0" b="0"/>
            <wp:wrapTight wrapText="bothSides">
              <wp:wrapPolygon edited="0">
                <wp:start x="0" y="0"/>
                <wp:lineTo x="0" y="21387"/>
                <wp:lineTo x="21506" y="21387"/>
                <wp:lineTo x="21506" y="0"/>
                <wp:lineTo x="0" y="0"/>
              </wp:wrapPolygon>
            </wp:wrapTight>
            <wp:docPr id="149465006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5006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" t="4750" r="8011" b="2418"/>
                    <a:stretch/>
                  </pic:blipFill>
                  <pic:spPr bwMode="auto">
                    <a:xfrm>
                      <a:off x="0" y="0"/>
                      <a:ext cx="566356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7F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F56463E" wp14:editId="0CDF1FD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81375" cy="318770"/>
                <wp:effectExtent l="0" t="0" r="9525" b="5080"/>
                <wp:wrapTight wrapText="bothSides">
                  <wp:wrapPolygon edited="0">
                    <wp:start x="0" y="0"/>
                    <wp:lineTo x="0" y="20653"/>
                    <wp:lineTo x="21539" y="20653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B600" w14:textId="1138A529" w:rsidR="005303DF" w:rsidRPr="007B04EA" w:rsidRDefault="005303DF" w:rsidP="005303DF">
                            <w:pPr>
                              <w:pStyle w:val="Caption"/>
                              <w:spacing w:after="0"/>
                              <w:rPr>
                                <w:b/>
                                <w:color w:val="000000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202A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A5CA8"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7B04EA">
                              <w:rPr>
                                <w:b/>
                                <w:sz w:val="22"/>
                                <w:szCs w:val="22"/>
                              </w:rPr>
                              <w:t>sual demand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463E" id="_x0000_s1027" type="#_x0000_t202" style="position:absolute;margin-left:0;margin-top:.7pt;width:266.25pt;height:25.1pt;z-index:-2516592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" stroked="f">
                <v:textbox>
                  <w:txbxContent>
                    <w:p w14:paraId="7509B600" w14:textId="1138A529" w:rsidR="005303DF" w:rsidRPr="007B04EA" w:rsidRDefault="005303DF" w:rsidP="005303DF">
                      <w:pPr>
                        <w:pStyle w:val="Caption"/>
                        <w:spacing w:after="0"/>
                        <w:rPr>
                          <w:b/>
                          <w:color w:val="000000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7B04EA">
                        <w:rPr>
                          <w:b/>
                          <w:sz w:val="22"/>
                          <w:szCs w:val="22"/>
                        </w:rPr>
                        <w:t xml:space="preserve">Figure 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202AB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DA5CA8"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7B04EA">
                        <w:rPr>
                          <w:b/>
                          <w:sz w:val="22"/>
                          <w:szCs w:val="22"/>
                        </w:rPr>
                        <w:t>sual demand calculation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3FD237" w14:textId="3A19ADD6" w:rsidR="003E20FE" w:rsidRPr="008F623A" w:rsidRDefault="003E20FE" w:rsidP="7B0F7123">
      <w:pPr>
        <w:pStyle w:val="Heading1"/>
        <w:keepLines/>
        <w:spacing w:after="0" w:line="259" w:lineRule="auto"/>
        <w:jc w:val="left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</w:pPr>
      <w:r w:rsidRPr="7B0F7123"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2"/>
          <w:sz w:val="32"/>
          <w:szCs w:val="32"/>
          <w14:ligatures w14:val="standardContextual"/>
        </w:rPr>
        <w:t>Demand Variation</w:t>
      </w:r>
    </w:p>
    <w:p w14:paraId="24707753" w14:textId="25E3FE98" w:rsidR="003E20FE" w:rsidRPr="002D5C1E" w:rsidRDefault="003E20FE" w:rsidP="7B0F7123">
      <w:pPr>
        <w:keepNext/>
        <w:keepLines/>
        <w:spacing w:after="120"/>
        <w:jc w:val="left"/>
        <w:outlineLvl w:val="1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Usual demand in the reference period</w:t>
      </w:r>
      <w:r w:rsidR="005C3357" w:rsidRPr="7B0F7123">
        <w:rPr>
          <w:rFonts w:asciiTheme="minorHAnsi" w:hAnsiTheme="minorHAnsi"/>
        </w:rPr>
        <w:t xml:space="preserve"> </w:t>
      </w:r>
      <w:r w:rsidR="005C4BBF" w:rsidRPr="7B0F7123">
        <w:rPr>
          <w:rFonts w:asciiTheme="minorHAnsi" w:hAnsiTheme="minorHAnsi"/>
        </w:rPr>
        <w:t xml:space="preserve">may </w:t>
      </w:r>
      <w:r w:rsidR="00734F9C" w:rsidRPr="7B0F7123">
        <w:rPr>
          <w:rFonts w:asciiTheme="minorHAnsi" w:hAnsiTheme="minorHAnsi"/>
        </w:rPr>
        <w:t>be different</w:t>
      </w:r>
      <w:r w:rsidR="005C3357" w:rsidRPr="7B0F7123">
        <w:rPr>
          <w:rFonts w:asciiTheme="minorHAnsi" w:hAnsiTheme="minorHAnsi"/>
        </w:rPr>
        <w:t xml:space="preserve"> to</w:t>
      </w:r>
      <w:r w:rsidRPr="7B0F7123">
        <w:rPr>
          <w:rFonts w:asciiTheme="minorHAnsi" w:hAnsiTheme="minorHAnsi"/>
        </w:rPr>
        <w:t xml:space="preserve"> </w:t>
      </w:r>
      <w:r w:rsidR="00E6033A" w:rsidRPr="7B0F7123">
        <w:rPr>
          <w:rFonts w:asciiTheme="minorHAnsi" w:hAnsiTheme="minorHAnsi"/>
        </w:rPr>
        <w:t>the</w:t>
      </w:r>
      <w:r w:rsidRPr="7B0F7123">
        <w:rPr>
          <w:rFonts w:asciiTheme="minorHAnsi" w:hAnsiTheme="minorHAnsi"/>
        </w:rPr>
        <w:t xml:space="preserve"> </w:t>
      </w:r>
      <w:r w:rsidR="00E6033A" w:rsidRPr="7B0F7123">
        <w:rPr>
          <w:rFonts w:asciiTheme="minorHAnsi" w:hAnsiTheme="minorHAnsi"/>
        </w:rPr>
        <w:t xml:space="preserve">Responsible Person’s forecasted sales for the </w:t>
      </w:r>
      <w:r w:rsidR="00A825B6" w:rsidRPr="7B0F7123">
        <w:rPr>
          <w:rFonts w:asciiTheme="minorHAnsi" w:hAnsiTheme="minorHAnsi"/>
        </w:rPr>
        <w:t xml:space="preserve">stockholding </w:t>
      </w:r>
      <w:r w:rsidR="00E6033A" w:rsidRPr="7B0F7123">
        <w:rPr>
          <w:rFonts w:asciiTheme="minorHAnsi" w:hAnsiTheme="minorHAnsi"/>
        </w:rPr>
        <w:t xml:space="preserve">period. </w:t>
      </w:r>
      <w:r w:rsidR="00772FF2" w:rsidRPr="7B0F7123">
        <w:rPr>
          <w:rFonts w:asciiTheme="minorHAnsi" w:hAnsiTheme="minorHAnsi"/>
        </w:rPr>
        <w:t xml:space="preserve">This may occur for </w:t>
      </w:r>
      <w:r w:rsidRPr="7B0F7123">
        <w:rPr>
          <w:rFonts w:asciiTheme="minorHAnsi" w:hAnsiTheme="minorHAnsi"/>
        </w:rPr>
        <w:t>a variety of reasons including:</w:t>
      </w:r>
    </w:p>
    <w:p w14:paraId="099E81D9" w14:textId="3EA04B44" w:rsidR="003E20FE" w:rsidRPr="008807F5" w:rsidRDefault="003E20FE" w:rsidP="7B0F7123">
      <w:pPr>
        <w:pStyle w:val="ListBullet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>Inflated demand in the reference period due to a competitor</w:t>
      </w:r>
      <w:r w:rsidR="00F50235" w:rsidRPr="7B0F7123">
        <w:rPr>
          <w:rFonts w:asciiTheme="minorHAnsi" w:eastAsia="Calibri" w:hAnsiTheme="minorHAnsi" w:cstheme="minorBidi"/>
          <w:color w:val="auto"/>
        </w:rPr>
        <w:t xml:space="preserve"> </w:t>
      </w:r>
      <w:r w:rsidR="00D9223D" w:rsidRPr="7B0F7123">
        <w:rPr>
          <w:rFonts w:asciiTheme="minorHAnsi" w:eastAsia="Calibri" w:hAnsiTheme="minorHAnsi" w:cstheme="minorBidi"/>
          <w:color w:val="auto"/>
        </w:rPr>
        <w:t xml:space="preserve">being </w:t>
      </w:r>
      <w:r w:rsidR="00F50235" w:rsidRPr="7B0F7123">
        <w:rPr>
          <w:rFonts w:asciiTheme="minorHAnsi" w:eastAsia="Calibri" w:hAnsiTheme="minorHAnsi" w:cstheme="minorBidi"/>
          <w:color w:val="auto"/>
        </w:rPr>
        <w:t xml:space="preserve">out-of-stock </w:t>
      </w:r>
    </w:p>
    <w:p w14:paraId="20E81B61" w14:textId="257C856F" w:rsidR="003E20FE" w:rsidRDefault="003E20FE" w:rsidP="7B0F7123">
      <w:pPr>
        <w:pStyle w:val="ListBullet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>Reduced demand in the stockholding period due to loss of a significant supply contract</w:t>
      </w:r>
    </w:p>
    <w:p w14:paraId="6AEE685E" w14:textId="38A708DC" w:rsidR="00887CE6" w:rsidRPr="008807F5" w:rsidRDefault="00887CE6" w:rsidP="00A77A61">
      <w:pPr>
        <w:pStyle w:val="ListBullet"/>
        <w:spacing w:after="120"/>
        <w:ind w:left="357" w:hanging="357"/>
        <w:rPr>
          <w:rFonts w:asciiTheme="minorHAnsi" w:eastAsia="Calibri" w:hAnsiTheme="minorHAnsi" w:cstheme="minorBidi"/>
          <w:color w:val="auto"/>
        </w:rPr>
      </w:pPr>
      <w:r w:rsidRPr="7B0F7123">
        <w:rPr>
          <w:rFonts w:asciiTheme="minorHAnsi" w:eastAsia="Calibri" w:hAnsiTheme="minorHAnsi" w:cstheme="minorBidi"/>
          <w:color w:val="auto"/>
        </w:rPr>
        <w:t xml:space="preserve">Reduced demand in the </w:t>
      </w:r>
      <w:r w:rsidR="009956C7" w:rsidRPr="7B0F7123">
        <w:rPr>
          <w:rFonts w:asciiTheme="minorHAnsi" w:eastAsia="Calibri" w:hAnsiTheme="minorHAnsi" w:cstheme="minorBidi"/>
          <w:color w:val="auto"/>
        </w:rPr>
        <w:t>reference</w:t>
      </w:r>
      <w:r w:rsidRPr="7B0F7123">
        <w:rPr>
          <w:rFonts w:asciiTheme="minorHAnsi" w:eastAsia="Calibri" w:hAnsiTheme="minorHAnsi" w:cstheme="minorBidi"/>
          <w:color w:val="auto"/>
        </w:rPr>
        <w:t xml:space="preserve"> period due to</w:t>
      </w:r>
      <w:r w:rsidR="004B6F6E" w:rsidRPr="7B0F7123">
        <w:rPr>
          <w:rFonts w:asciiTheme="minorHAnsi" w:eastAsia="Calibri" w:hAnsiTheme="minorHAnsi" w:cstheme="minorBidi"/>
          <w:color w:val="auto"/>
        </w:rPr>
        <w:t xml:space="preserve"> a </w:t>
      </w:r>
      <w:r w:rsidR="009956C7" w:rsidRPr="7B0F7123">
        <w:rPr>
          <w:rFonts w:asciiTheme="minorHAnsi" w:eastAsia="Calibri" w:hAnsiTheme="minorHAnsi" w:cstheme="minorBidi"/>
          <w:color w:val="auto"/>
        </w:rPr>
        <w:t xml:space="preserve">medicine </w:t>
      </w:r>
      <w:r w:rsidR="004B6F6E" w:rsidRPr="7B0F7123">
        <w:rPr>
          <w:rFonts w:asciiTheme="minorHAnsi" w:eastAsia="Calibri" w:hAnsiTheme="minorHAnsi" w:cstheme="minorBidi"/>
          <w:color w:val="auto"/>
        </w:rPr>
        <w:t>shortage</w:t>
      </w:r>
    </w:p>
    <w:p w14:paraId="0BD05A9E" w14:textId="708E09A2" w:rsidR="00A37D32" w:rsidRDefault="00D9223D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U</w:t>
      </w:r>
      <w:r w:rsidR="00FD4419" w:rsidRPr="7B0F7123">
        <w:rPr>
          <w:rFonts w:asciiTheme="minorHAnsi" w:hAnsiTheme="minorHAnsi"/>
        </w:rPr>
        <w:t>nder section 99AEKB of the Act</w:t>
      </w:r>
      <w:r w:rsidRPr="7B0F7123">
        <w:rPr>
          <w:rFonts w:asciiTheme="minorHAnsi" w:hAnsiTheme="minorHAnsi"/>
        </w:rPr>
        <w:t>,</w:t>
      </w:r>
      <w:r w:rsidR="00FD4419" w:rsidRPr="7B0F7123">
        <w:rPr>
          <w:rFonts w:asciiTheme="minorHAnsi" w:hAnsiTheme="minorHAnsi"/>
        </w:rPr>
        <w:t xml:space="preserve"> </w:t>
      </w:r>
      <w:r w:rsidR="004854EB" w:rsidRPr="7B0F7123">
        <w:rPr>
          <w:rFonts w:asciiTheme="minorHAnsi" w:hAnsiTheme="minorHAnsi"/>
        </w:rPr>
        <w:t xml:space="preserve">the Responsible Person </w:t>
      </w:r>
      <w:r w:rsidR="00DB6733" w:rsidRPr="7B0F7123">
        <w:rPr>
          <w:rFonts w:asciiTheme="minorHAnsi" w:hAnsiTheme="minorHAnsi"/>
        </w:rPr>
        <w:t xml:space="preserve">must </w:t>
      </w:r>
      <w:r w:rsidR="004854EB" w:rsidRPr="7B0F7123">
        <w:rPr>
          <w:rFonts w:asciiTheme="minorHAnsi" w:hAnsiTheme="minorHAnsi"/>
        </w:rPr>
        <w:t>compl</w:t>
      </w:r>
      <w:r w:rsidR="00DB6733" w:rsidRPr="7B0F7123">
        <w:rPr>
          <w:rFonts w:asciiTheme="minorHAnsi" w:hAnsiTheme="minorHAnsi"/>
        </w:rPr>
        <w:t>y</w:t>
      </w:r>
      <w:r w:rsidR="004854EB" w:rsidRPr="7B0F7123">
        <w:rPr>
          <w:rFonts w:asciiTheme="minorHAnsi" w:hAnsiTheme="minorHAnsi"/>
        </w:rPr>
        <w:t xml:space="preserve"> with the applicable quantity calculated under the Act and Regulations</w:t>
      </w:r>
      <w:r w:rsidR="002F1692" w:rsidRPr="7B0F7123">
        <w:rPr>
          <w:rFonts w:asciiTheme="minorHAnsi" w:hAnsiTheme="minorHAnsi"/>
        </w:rPr>
        <w:t xml:space="preserve"> despite this being different from forecasted sales</w:t>
      </w:r>
      <w:r w:rsidR="004854EB" w:rsidRPr="7B0F7123">
        <w:rPr>
          <w:rFonts w:asciiTheme="minorHAnsi" w:hAnsiTheme="minorHAnsi"/>
        </w:rPr>
        <w:t xml:space="preserve">. </w:t>
      </w:r>
    </w:p>
    <w:p w14:paraId="59011C0B" w14:textId="70EB9994" w:rsidR="003E20FE" w:rsidRPr="002D5C1E" w:rsidRDefault="00FF1C7A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I</w:t>
      </w:r>
      <w:r w:rsidR="00392165" w:rsidRPr="7B0F7123">
        <w:rPr>
          <w:rFonts w:asciiTheme="minorHAnsi" w:hAnsiTheme="minorHAnsi"/>
        </w:rPr>
        <w:t xml:space="preserve">f </w:t>
      </w:r>
      <w:r w:rsidRPr="7B0F7123">
        <w:rPr>
          <w:rFonts w:asciiTheme="minorHAnsi" w:hAnsiTheme="minorHAnsi"/>
        </w:rPr>
        <w:t>a medicine has short shelf-life or the magnitude of demand variation is large enough</w:t>
      </w:r>
      <w:r w:rsidR="00A37D32" w:rsidRPr="7B0F7123">
        <w:rPr>
          <w:rFonts w:asciiTheme="minorHAnsi" w:hAnsiTheme="minorHAnsi"/>
        </w:rPr>
        <w:t>,</w:t>
      </w:r>
      <w:r w:rsidR="000873E6" w:rsidRPr="7B0F7123">
        <w:rPr>
          <w:rFonts w:asciiTheme="minorHAnsi" w:hAnsiTheme="minorHAnsi"/>
        </w:rPr>
        <w:t xml:space="preserve"> the</w:t>
      </w:r>
      <w:r w:rsidRPr="7B0F7123">
        <w:rPr>
          <w:rFonts w:asciiTheme="minorHAnsi" w:hAnsiTheme="minorHAnsi"/>
        </w:rPr>
        <w:t xml:space="preserve"> Responsible Person might waste stock </w:t>
      </w:r>
      <w:r w:rsidR="00061C56" w:rsidRPr="7B0F7123">
        <w:rPr>
          <w:rFonts w:asciiTheme="minorHAnsi" w:hAnsiTheme="minorHAnsi"/>
        </w:rPr>
        <w:t xml:space="preserve">(that wouldn’t otherwise occur) </w:t>
      </w:r>
      <w:r w:rsidRPr="7B0F7123">
        <w:rPr>
          <w:rFonts w:asciiTheme="minorHAnsi" w:hAnsiTheme="minorHAnsi"/>
        </w:rPr>
        <w:t xml:space="preserve">if it complied with the </w:t>
      </w:r>
      <w:r w:rsidR="00866E42" w:rsidRPr="7B0F7123">
        <w:rPr>
          <w:rFonts w:asciiTheme="minorHAnsi" w:hAnsiTheme="minorHAnsi"/>
        </w:rPr>
        <w:t>MSR</w:t>
      </w:r>
      <w:r w:rsidR="00A37D32" w:rsidRPr="7B0F7123">
        <w:rPr>
          <w:rFonts w:asciiTheme="minorHAnsi" w:hAnsiTheme="minorHAnsi"/>
        </w:rPr>
        <w:t xml:space="preserve">. </w:t>
      </w:r>
      <w:r w:rsidR="003E20FE" w:rsidRPr="7B0F7123">
        <w:rPr>
          <w:rFonts w:asciiTheme="minorHAnsi" w:hAnsiTheme="minorHAnsi"/>
        </w:rPr>
        <w:t>If a</w:t>
      </w:r>
      <w:r w:rsidR="008C2B19" w:rsidRPr="7B0F7123">
        <w:rPr>
          <w:rFonts w:asciiTheme="minorHAnsi" w:hAnsiTheme="minorHAnsi"/>
        </w:rPr>
        <w:t xml:space="preserve"> Responsible Person</w:t>
      </w:r>
      <w:r w:rsidR="003E20FE" w:rsidRPr="7B0F7123">
        <w:rPr>
          <w:rFonts w:asciiTheme="minorHAnsi" w:hAnsiTheme="minorHAnsi"/>
        </w:rPr>
        <w:t xml:space="preserve"> </w:t>
      </w:r>
      <w:r w:rsidR="008C6424" w:rsidRPr="7B0F7123">
        <w:rPr>
          <w:rFonts w:asciiTheme="minorHAnsi" w:hAnsiTheme="minorHAnsi"/>
        </w:rPr>
        <w:t>anticipates</w:t>
      </w:r>
      <w:r w:rsidR="003E20FE" w:rsidRPr="7B0F7123">
        <w:rPr>
          <w:rFonts w:asciiTheme="minorHAnsi" w:hAnsiTheme="minorHAnsi"/>
        </w:rPr>
        <w:t xml:space="preserve"> the </w:t>
      </w:r>
      <w:r w:rsidR="009E70CB" w:rsidRPr="7B0F7123">
        <w:rPr>
          <w:rFonts w:asciiTheme="minorHAnsi" w:hAnsiTheme="minorHAnsi"/>
        </w:rPr>
        <w:t xml:space="preserve">MSR </w:t>
      </w:r>
      <w:r w:rsidR="008C6424" w:rsidRPr="7B0F7123">
        <w:rPr>
          <w:rFonts w:asciiTheme="minorHAnsi" w:hAnsiTheme="minorHAnsi"/>
        </w:rPr>
        <w:t>will result in</w:t>
      </w:r>
      <w:r w:rsidR="003E20FE" w:rsidRPr="7B0F7123">
        <w:rPr>
          <w:rFonts w:asciiTheme="minorHAnsi" w:hAnsiTheme="minorHAnsi"/>
        </w:rPr>
        <w:t xml:space="preserve"> wastage, it should notify the </w:t>
      </w:r>
      <w:r w:rsidR="00A66867" w:rsidRPr="7B0F7123">
        <w:rPr>
          <w:rFonts w:asciiTheme="minorHAnsi" w:hAnsiTheme="minorHAnsi"/>
        </w:rPr>
        <w:t>D</w:t>
      </w:r>
      <w:r w:rsidR="003E20FE" w:rsidRPr="7B0F7123">
        <w:rPr>
          <w:rFonts w:asciiTheme="minorHAnsi" w:hAnsiTheme="minorHAnsi"/>
        </w:rPr>
        <w:t xml:space="preserve">epartment, and include the following information to facilitate assessment by the Minister of whether the reasons for </w:t>
      </w:r>
      <w:r w:rsidR="0047042E" w:rsidRPr="7B0F7123">
        <w:rPr>
          <w:rFonts w:asciiTheme="minorHAnsi" w:hAnsiTheme="minorHAnsi"/>
        </w:rPr>
        <w:t xml:space="preserve">any likely </w:t>
      </w:r>
      <w:r w:rsidR="003E20FE" w:rsidRPr="7B0F7123">
        <w:rPr>
          <w:rFonts w:asciiTheme="minorHAnsi" w:hAnsiTheme="minorHAnsi"/>
        </w:rPr>
        <w:t>breach</w:t>
      </w:r>
      <w:r w:rsidR="0047042E" w:rsidRPr="7B0F7123">
        <w:rPr>
          <w:rFonts w:asciiTheme="minorHAnsi" w:hAnsiTheme="minorHAnsi"/>
        </w:rPr>
        <w:t xml:space="preserve"> of the MSR</w:t>
      </w:r>
      <w:r w:rsidR="003E20FE" w:rsidRPr="7B0F7123">
        <w:rPr>
          <w:rFonts w:asciiTheme="minorHAnsi" w:hAnsiTheme="minorHAnsi"/>
        </w:rPr>
        <w:t xml:space="preserve"> are reasonable:</w:t>
      </w:r>
    </w:p>
    <w:p w14:paraId="1A9DBE92" w14:textId="19F0D197" w:rsidR="003E20FE" w:rsidRPr="002D5C1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The cause for inflated demand in the reference period or for reduced demand in the stockholding period</w:t>
      </w:r>
    </w:p>
    <w:p w14:paraId="30A4A215" w14:textId="2FF32813" w:rsidR="003E20FE" w:rsidRPr="002D5C1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Shelf-life of the brand</w:t>
      </w:r>
    </w:p>
    <w:p w14:paraId="1AF8FC23" w14:textId="31E1383A" w:rsidR="00131242" w:rsidRPr="00131242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lastRenderedPageBreak/>
        <w:t>Forecast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ed</w:t>
      </w: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demand expressed as </w:t>
      </w:r>
      <w:proofErr w:type="gramStart"/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a number of</w:t>
      </w:r>
      <w:proofErr w:type="gramEnd"/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packs per month</w:t>
      </w:r>
    </w:p>
    <w:p w14:paraId="3A0304A9" w14:textId="119B5AC7" w:rsidR="003E20FE" w:rsidRPr="002D5C1E" w:rsidRDefault="00CE1B5B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T</w:t>
      </w:r>
      <w:r w:rsidR="00131242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he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forecasted 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quantity of wastage if the minimum stockholding requirement w</w:t>
      </w:r>
      <w:r w:rsidR="00FD4419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ere</w:t>
      </w:r>
      <w:r w:rsidR="003E20FE"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complied with</w:t>
      </w:r>
    </w:p>
    <w:p w14:paraId="20D688CF" w14:textId="51E59D52" w:rsidR="003E20FE" w:rsidRDefault="003E20FE" w:rsidP="7B0F7123">
      <w:pPr>
        <w:pStyle w:val="ListBullet"/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7B0F7123">
        <w:rPr>
          <w:rFonts w:asciiTheme="minorHAnsi" w:eastAsiaTheme="minorEastAsia" w:hAnsiTheme="minorHAnsi"/>
          <w:color w:val="auto"/>
          <w:kern w:val="2"/>
          <w14:ligatures w14:val="standardContextual"/>
        </w:rPr>
        <w:t>Details of the quantity of stock that can be held in the stockholding period without inducing wastage</w:t>
      </w:r>
    </w:p>
    <w:p w14:paraId="2AB8A9A2" w14:textId="448D2B7E" w:rsidR="00643480" w:rsidRPr="002D5C1E" w:rsidRDefault="00B87531" w:rsidP="7B0F7123">
      <w:pPr>
        <w:jc w:val="left"/>
        <w:rPr>
          <w:rFonts w:asciiTheme="minorHAnsi" w:hAnsiTheme="minorHAnsi"/>
        </w:rPr>
      </w:pPr>
      <w:r w:rsidRPr="7B0F7123">
        <w:rPr>
          <w:rFonts w:asciiTheme="minorHAnsi" w:hAnsiTheme="minorHAnsi"/>
        </w:rPr>
        <w:t>Responsible Persons are encouraged to contact the Department</w:t>
      </w:r>
      <w:r w:rsidR="00A34281" w:rsidRPr="7B0F7123">
        <w:rPr>
          <w:rFonts w:asciiTheme="minorHAnsi" w:hAnsiTheme="minorHAnsi"/>
        </w:rPr>
        <w:t xml:space="preserve"> (</w:t>
      </w:r>
      <w:hyperlink r:id="rId15" w:history="1">
        <w:r w:rsidR="003421B3" w:rsidRPr="4FB32044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pbsstockholding@health.gov.au</w:t>
        </w:r>
      </w:hyperlink>
      <w:r w:rsidR="00A34281" w:rsidRPr="4FB32044">
        <w:rPr>
          <w:rFonts w:ascii="Calibri" w:eastAsia="Times New Roman" w:hAnsi="Calibri" w:cs="Calibri"/>
          <w:kern w:val="0"/>
          <w:lang w:eastAsia="en-AU"/>
          <w14:ligatures w14:val="none"/>
        </w:rPr>
        <w:t>)</w:t>
      </w:r>
      <w:r w:rsidR="0089154C" w:rsidRPr="7B0F7123">
        <w:rPr>
          <w:rFonts w:asciiTheme="minorHAnsi" w:hAnsiTheme="minorHAnsi"/>
        </w:rPr>
        <w:t xml:space="preserve"> if</w:t>
      </w:r>
      <w:r w:rsidR="00DE104D" w:rsidRPr="7B0F7123">
        <w:rPr>
          <w:rFonts w:asciiTheme="minorHAnsi" w:hAnsiTheme="minorHAnsi"/>
        </w:rPr>
        <w:t xml:space="preserve"> </w:t>
      </w:r>
      <w:r w:rsidR="00FD4419" w:rsidRPr="7B0F7123">
        <w:rPr>
          <w:rFonts w:asciiTheme="minorHAnsi" w:hAnsiTheme="minorHAnsi"/>
        </w:rPr>
        <w:t>they</w:t>
      </w:r>
      <w:r w:rsidR="00DE104D" w:rsidRPr="7B0F7123">
        <w:rPr>
          <w:rFonts w:asciiTheme="minorHAnsi" w:hAnsiTheme="minorHAnsi"/>
        </w:rPr>
        <w:t xml:space="preserve"> are, or will be, impacted by major changes to </w:t>
      </w:r>
      <w:r w:rsidR="00EE0B5C" w:rsidRPr="7B0F7123">
        <w:rPr>
          <w:rFonts w:asciiTheme="minorHAnsi" w:hAnsiTheme="minorHAnsi"/>
        </w:rPr>
        <w:t>the R</w:t>
      </w:r>
      <w:r w:rsidR="006C60C1" w:rsidRPr="7B0F7123">
        <w:rPr>
          <w:rFonts w:asciiTheme="minorHAnsi" w:hAnsiTheme="minorHAnsi"/>
        </w:rPr>
        <w:t xml:space="preserve">esponsible </w:t>
      </w:r>
      <w:r w:rsidR="00EE0B5C" w:rsidRPr="7B0F7123">
        <w:rPr>
          <w:rFonts w:asciiTheme="minorHAnsi" w:hAnsiTheme="minorHAnsi"/>
        </w:rPr>
        <w:t>P</w:t>
      </w:r>
      <w:r w:rsidR="006C60C1" w:rsidRPr="7B0F7123">
        <w:rPr>
          <w:rFonts w:asciiTheme="minorHAnsi" w:hAnsiTheme="minorHAnsi"/>
        </w:rPr>
        <w:t>erson</w:t>
      </w:r>
      <w:r w:rsidR="00EE0B5C" w:rsidRPr="7B0F7123">
        <w:rPr>
          <w:rFonts w:asciiTheme="minorHAnsi" w:hAnsiTheme="minorHAnsi"/>
        </w:rPr>
        <w:t>’s</w:t>
      </w:r>
      <w:r w:rsidR="00DE104D" w:rsidRPr="7B0F7123">
        <w:rPr>
          <w:rFonts w:asciiTheme="minorHAnsi" w:hAnsiTheme="minorHAnsi"/>
        </w:rPr>
        <w:t xml:space="preserve"> forecast</w:t>
      </w:r>
      <w:r w:rsidR="00AA57D8" w:rsidRPr="7B0F7123">
        <w:rPr>
          <w:rFonts w:asciiTheme="minorHAnsi" w:hAnsiTheme="minorHAnsi"/>
        </w:rPr>
        <w:t>ed</w:t>
      </w:r>
      <w:r w:rsidR="00DE104D" w:rsidRPr="7B0F7123">
        <w:rPr>
          <w:rFonts w:asciiTheme="minorHAnsi" w:hAnsiTheme="minorHAnsi"/>
        </w:rPr>
        <w:t xml:space="preserve"> demand, such as a contract loss that impacts </w:t>
      </w:r>
      <w:r w:rsidR="00FD4419" w:rsidRPr="7B0F7123">
        <w:rPr>
          <w:rFonts w:asciiTheme="minorHAnsi" w:hAnsiTheme="minorHAnsi"/>
        </w:rPr>
        <w:t>their</w:t>
      </w:r>
      <w:r w:rsidR="00DE104D" w:rsidRPr="7B0F7123">
        <w:rPr>
          <w:rFonts w:asciiTheme="minorHAnsi" w:hAnsiTheme="minorHAnsi"/>
        </w:rPr>
        <w:t xml:space="preserve"> entire portfolio of brands. </w:t>
      </w:r>
    </w:p>
    <w:p w14:paraId="03933595" w14:textId="77777777" w:rsidR="000B5C35" w:rsidRPr="000B5C35" w:rsidRDefault="000B5C35" w:rsidP="7B0F7123">
      <w:pPr>
        <w:spacing w:after="0" w:line="240" w:lineRule="auto"/>
        <w:jc w:val="left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AU"/>
          <w14:ligatures w14:val="none"/>
        </w:rPr>
      </w:pPr>
      <w:r w:rsidRPr="000B5C35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AU"/>
          <w14:ligatures w14:val="none"/>
        </w:rPr>
        <w:t>Key Resources </w:t>
      </w:r>
    </w:p>
    <w:p w14:paraId="417B557E" w14:textId="77777777" w:rsidR="000B5C35" w:rsidRPr="000B5C35" w:rsidRDefault="000B5C35" w:rsidP="7B0F7123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6" w:tgtFrame="_blank" w:history="1">
        <w:r w:rsidRPr="7B0F7123">
          <w:rPr>
            <w:rFonts w:ascii="Calibri" w:eastAsia="Times New Roman" w:hAnsi="Calibri" w:cs="Calibri"/>
            <w:i/>
            <w:iCs/>
            <w:color w:val="0000FF"/>
            <w:kern w:val="0"/>
            <w:u w:val="single"/>
            <w:lang w:eastAsia="en-AU"/>
            <w14:ligatures w14:val="none"/>
          </w:rPr>
          <w:t>National Health Act 1953</w:t>
        </w:r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 xml:space="preserve"> (</w:t>
        </w:r>
        <w:proofErr w:type="spellStart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Cth</w:t>
        </w:r>
        <w:proofErr w:type="spellEnd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)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338B9DBD" w14:textId="77777777" w:rsidR="000B5C35" w:rsidRPr="000B5C35" w:rsidRDefault="000B5C35" w:rsidP="7B0F712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7" w:tgtFrame="_blank" w:history="1">
        <w:r w:rsidRPr="7B0F7123">
          <w:rPr>
            <w:rFonts w:ascii="Calibri" w:eastAsia="Times New Roman" w:hAnsi="Calibri" w:cs="Calibri"/>
            <w:i/>
            <w:iCs/>
            <w:color w:val="0000FF"/>
            <w:kern w:val="0"/>
            <w:u w:val="single"/>
            <w:lang w:eastAsia="en-AU"/>
            <w14:ligatures w14:val="none"/>
          </w:rPr>
          <w:t xml:space="preserve">National Health (Pharmaceutical Benefits) Regulations 2017 </w:t>
        </w:r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(</w:t>
        </w:r>
        <w:proofErr w:type="spellStart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Cth</w:t>
        </w:r>
        <w:proofErr w:type="spellEnd"/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)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0E2F22C5" w14:textId="77777777" w:rsidR="000B5C35" w:rsidRPr="000B5C35" w:rsidRDefault="000B5C35" w:rsidP="7B0F7123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8" w:tgtFrame="_blank" w:history="1"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PBS Stockholding Guidelines 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4155A181" w14:textId="77777777" w:rsidR="000B5C35" w:rsidRPr="000B5C35" w:rsidRDefault="000B5C35" w:rsidP="7B0F712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19" w:tgtFrame="_blank" w:history="1">
        <w:r w:rsidRPr="7B0F7123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Minimum Stockholding Requirement Webpage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135DA229" w14:textId="672898AE" w:rsidR="00F956BC" w:rsidRDefault="00810D49" w:rsidP="7B0F7123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0" w:history="1">
        <w:r w:rsidR="00F956BC"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Compliance with the Minimum Stockholding Requirements – Fact Sheet</w:t>
        </w:r>
      </w:hyperlink>
      <w:r w:rsidR="00F956BC"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5EDEF468" w14:textId="1B53DB5A" w:rsidR="000B5C35" w:rsidRPr="000B5C35" w:rsidRDefault="00810D49" w:rsidP="7B0F7123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1" w:history="1">
        <w:r w:rsidR="000B5C35"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Determinations of Another Quantity – Fact Sheet </w:t>
        </w:r>
      </w:hyperlink>
    </w:p>
    <w:p w14:paraId="2A5329F3" w14:textId="3683BCAC" w:rsidR="000B5C35" w:rsidRPr="000B5C35" w:rsidRDefault="00810D49" w:rsidP="7B0F7123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2" w:history="1">
        <w:r w:rsidR="000B5C35" w:rsidRPr="00810D49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Likely and Actual breach notifications – Fact Sheet </w:t>
        </w:r>
      </w:hyperlink>
    </w:p>
    <w:p w14:paraId="537D25E5" w14:textId="77777777" w:rsidR="000B5C35" w:rsidRPr="000B5C35" w:rsidRDefault="000B5C35" w:rsidP="7B0F71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3" w:tgtFrame="_blank" w:history="1">
        <w:r w:rsidRPr="7B0F7123">
          <w:rPr>
            <w:rFonts w:ascii="Calibri" w:eastAsia="Times New Roman" w:hAnsi="Calibri" w:cs="Calibri"/>
            <w:color w:val="0000FF"/>
            <w:kern w:val="0"/>
            <w:lang w:eastAsia="en-AU"/>
            <w14:ligatures w14:val="none"/>
          </w:rPr>
          <w:t>Executive Summary of the MSR Review</w:t>
        </w:r>
      </w:hyperlink>
      <w:r w:rsidRPr="7B0F7123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03239B23" w14:textId="44CC47F0" w:rsidR="000B5C35" w:rsidRPr="000B5C35" w:rsidRDefault="000B5C35" w:rsidP="7B0F7123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left"/>
        <w:textAlignment w:val="baseline"/>
        <w:rPr>
          <w:rFonts w:ascii="Calibri" w:eastAsia="Times New Roman" w:hAnsi="Calibri" w:cs="Calibri"/>
          <w:kern w:val="0"/>
          <w:lang w:eastAsia="en-AU"/>
          <w14:ligatures w14:val="none"/>
        </w:rPr>
      </w:pPr>
      <w:hyperlink r:id="rId24" w:tgtFrame="_blank" w:history="1">
        <w:r w:rsidRPr="4FB32044">
          <w:rPr>
            <w:rFonts w:ascii="Calibri" w:eastAsia="Times New Roman" w:hAnsi="Calibri" w:cs="Calibri"/>
            <w:color w:val="0000FF"/>
            <w:kern w:val="0"/>
            <w:u w:val="single"/>
            <w:lang w:eastAsia="en-AU"/>
            <w14:ligatures w14:val="none"/>
          </w:rPr>
          <w:t>pbsstockholding@health.gov.au</w:t>
        </w:r>
      </w:hyperlink>
      <w:r w:rsidRPr="4FB3204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questions regarding this Fact Sheet. </w:t>
      </w:r>
    </w:p>
    <w:p w14:paraId="309755C1" w14:textId="0B4741F5" w:rsidR="00FE6F7E" w:rsidRPr="00435D55" w:rsidRDefault="00FE6F7E" w:rsidP="7B0F7123">
      <w:pPr>
        <w:jc w:val="left"/>
        <w:rPr>
          <w:rFonts w:asciiTheme="minorHAnsi" w:hAnsiTheme="minorHAnsi"/>
        </w:rPr>
      </w:pPr>
    </w:p>
    <w:sectPr w:rsidR="00FE6F7E" w:rsidRPr="00435D55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FFFA" w14:textId="77777777" w:rsidR="00B0008A" w:rsidRDefault="00B0008A" w:rsidP="00CF5FF1">
      <w:pPr>
        <w:spacing w:after="0" w:line="240" w:lineRule="auto"/>
      </w:pPr>
      <w:r>
        <w:separator/>
      </w:r>
    </w:p>
  </w:endnote>
  <w:endnote w:type="continuationSeparator" w:id="0">
    <w:p w14:paraId="04C14276" w14:textId="77777777" w:rsidR="00B0008A" w:rsidRDefault="00B0008A" w:rsidP="00CF5FF1">
      <w:pPr>
        <w:spacing w:after="0" w:line="240" w:lineRule="auto"/>
      </w:pPr>
      <w:r>
        <w:continuationSeparator/>
      </w:r>
    </w:p>
  </w:endnote>
  <w:endnote w:type="continuationNotice" w:id="1">
    <w:p w14:paraId="1DB0BE75" w14:textId="77777777" w:rsidR="00B0008A" w:rsidRDefault="00B00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9988" w14:textId="1435B3CB" w:rsidR="002C5318" w:rsidRDefault="002C5318" w:rsidP="00F83789">
    <w:pPr>
      <w:pStyle w:val="Footer"/>
      <w:jc w:val="center"/>
    </w:pPr>
    <w:r>
      <w:t xml:space="preserve">Department of Health and Aged Care – </w:t>
    </w:r>
    <w:r w:rsidRPr="002A7DCB">
      <w:t>Quantity</w:t>
    </w:r>
    <w:r>
      <w:t xml:space="preserve"> of Stock to be Held– Fact Sheet</w:t>
    </w:r>
  </w:p>
  <w:p w14:paraId="15506128" w14:textId="4E3FC613" w:rsidR="002C5318" w:rsidRPr="00A607D2" w:rsidRDefault="002C5318" w:rsidP="00A607D2">
    <w:pPr>
      <w:pStyle w:val="Footer"/>
      <w:jc w:val="left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A08D" w14:textId="77777777" w:rsidR="00B0008A" w:rsidRDefault="00B0008A" w:rsidP="00CF5FF1">
      <w:pPr>
        <w:spacing w:after="0" w:line="240" w:lineRule="auto"/>
      </w:pPr>
      <w:r>
        <w:separator/>
      </w:r>
    </w:p>
  </w:footnote>
  <w:footnote w:type="continuationSeparator" w:id="0">
    <w:p w14:paraId="3E5642D7" w14:textId="77777777" w:rsidR="00B0008A" w:rsidRDefault="00B0008A" w:rsidP="00CF5FF1">
      <w:pPr>
        <w:spacing w:after="0" w:line="240" w:lineRule="auto"/>
      </w:pPr>
      <w:r>
        <w:continuationSeparator/>
      </w:r>
    </w:p>
  </w:footnote>
  <w:footnote w:type="continuationNotice" w:id="1">
    <w:p w14:paraId="067957E5" w14:textId="77777777" w:rsidR="00B0008A" w:rsidRDefault="00B0008A">
      <w:pPr>
        <w:spacing w:after="0" w:line="240" w:lineRule="auto"/>
      </w:pPr>
    </w:p>
  </w:footnote>
  <w:footnote w:id="2">
    <w:p w14:paraId="6A4C565C" w14:textId="50B058BE" w:rsidR="00655667" w:rsidRPr="00274E68" w:rsidRDefault="00655667" w:rsidP="00655667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 w:rsidR="001F68C4">
        <w:t xml:space="preserve"> </w:t>
      </w:r>
      <w:r w:rsidR="001F68C4" w:rsidRPr="00D026FC">
        <w:rPr>
          <w:rFonts w:asciiTheme="minorHAnsi" w:hAnsiTheme="minorHAnsi" w:cstheme="minorHAnsi"/>
          <w:sz w:val="18"/>
          <w:szCs w:val="18"/>
        </w:rPr>
        <w:t>See:</w:t>
      </w:r>
      <w:r w:rsidR="001F68C4">
        <w:t xml:space="preserve"> </w:t>
      </w:r>
      <w:hyperlink r:id="rId1" w:history="1">
        <w:r w:rsidRPr="00274E68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Section 6. Ministerial determination of ‘another quantity’ of the PBS Minimum </w:t>
        </w:r>
        <w:r w:rsidR="00C24DFE" w:rsidRPr="00274E68">
          <w:rPr>
            <w:rStyle w:val="Hyperlink"/>
            <w:rFonts w:asciiTheme="minorHAnsi" w:hAnsiTheme="minorHAnsi" w:cstheme="minorHAnsi"/>
            <w:sz w:val="18"/>
            <w:szCs w:val="18"/>
          </w:rPr>
          <w:t>Stockholding</w:t>
        </w:r>
        <w:r w:rsidRPr="00274E68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Guidelines</w:t>
        </w:r>
      </w:hyperlink>
      <w:r w:rsidRPr="00274E68">
        <w:rPr>
          <w:rFonts w:asciiTheme="minorHAnsi" w:hAnsiTheme="minorHAnsi" w:cstheme="minorHAnsi"/>
          <w:sz w:val="18"/>
          <w:szCs w:val="18"/>
        </w:rPr>
        <w:t xml:space="preserve"> </w:t>
      </w:r>
      <w:r w:rsidR="0095208E" w:rsidRPr="00274E68">
        <w:rPr>
          <w:rFonts w:asciiTheme="minorHAnsi" w:hAnsiTheme="minorHAnsi" w:cstheme="minorHAnsi"/>
          <w:sz w:val="18"/>
          <w:szCs w:val="18"/>
        </w:rPr>
        <w:t>(</w:t>
      </w:r>
      <w:r w:rsidR="0095208E" w:rsidRPr="00274E68">
        <w:rPr>
          <w:rFonts w:asciiTheme="minorHAnsi" w:hAnsiTheme="minorHAnsi" w:cstheme="minorHAnsi"/>
          <w:b/>
          <w:sz w:val="18"/>
          <w:szCs w:val="18"/>
        </w:rPr>
        <w:t>the Guidelines</w:t>
      </w:r>
      <w:r w:rsidR="0095208E" w:rsidRPr="00274E68">
        <w:rPr>
          <w:rFonts w:asciiTheme="minorHAnsi" w:hAnsiTheme="minorHAnsi" w:cstheme="minorHAnsi"/>
          <w:sz w:val="18"/>
          <w:szCs w:val="18"/>
        </w:rPr>
        <w:t>)</w:t>
      </w:r>
      <w:r w:rsidRPr="00274E68">
        <w:rPr>
          <w:rFonts w:asciiTheme="minorHAnsi" w:hAnsiTheme="minorHAnsi" w:cstheme="minorHAnsi"/>
          <w:sz w:val="18"/>
          <w:szCs w:val="18"/>
        </w:rPr>
        <w:t xml:space="preserve"> for more information about Ministerial determinations of another quantity – including how to apply.</w:t>
      </w:r>
    </w:p>
  </w:footnote>
  <w:footnote w:id="3">
    <w:p w14:paraId="7409F6E0" w14:textId="77777777" w:rsidR="001F68C4" w:rsidRDefault="001F68C4" w:rsidP="001F68C4">
      <w:pPr>
        <w:pStyle w:val="FootnoteText"/>
      </w:pPr>
      <w:r w:rsidRPr="00274E6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74E68">
        <w:rPr>
          <w:rFonts w:asciiTheme="minorHAnsi" w:hAnsiTheme="minorHAnsi" w:cstheme="minorHAnsi"/>
          <w:sz w:val="18"/>
          <w:szCs w:val="18"/>
        </w:rPr>
        <w:t xml:space="preserve"> s85B of the </w:t>
      </w:r>
      <w:hyperlink r:id="rId2" w:history="1">
        <w:r w:rsidRPr="00274E68">
          <w:rPr>
            <w:rStyle w:val="Hyperlink"/>
            <w:rFonts w:asciiTheme="minorHAnsi" w:hAnsiTheme="minorHAnsi" w:cstheme="minorHAnsi"/>
            <w:i/>
            <w:sz w:val="18"/>
            <w:szCs w:val="18"/>
          </w:rPr>
          <w:t>National Health (Pharmaceutical Benefits) Regulations 2017</w:t>
        </w:r>
      </w:hyperlink>
      <w:r w:rsidRPr="00274E6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74E68">
        <w:rPr>
          <w:rFonts w:asciiTheme="minorHAnsi" w:hAnsiTheme="minorHAnsi" w:cstheme="minorHAnsi"/>
          <w:sz w:val="18"/>
          <w:szCs w:val="18"/>
        </w:rPr>
        <w:t>(</w:t>
      </w:r>
      <w:r w:rsidRPr="00274E68">
        <w:rPr>
          <w:rFonts w:asciiTheme="minorHAnsi" w:hAnsiTheme="minorHAnsi" w:cstheme="minorHAnsi"/>
          <w:b/>
          <w:sz w:val="18"/>
          <w:szCs w:val="18"/>
        </w:rPr>
        <w:t>the Regulations</w:t>
      </w:r>
      <w:r w:rsidRPr="00274E68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AED9" w14:textId="35B5FB58" w:rsidR="00C6217B" w:rsidRDefault="00C62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863F" w14:textId="21781DFC" w:rsidR="008D6A0C" w:rsidRPr="002C5318" w:rsidRDefault="002C5318" w:rsidP="002C5318">
    <w:pPr>
      <w:pStyle w:val="Header"/>
    </w:pPr>
    <w:r>
      <w:rPr>
        <w:noProof/>
        <w:lang w:eastAsia="en-AU"/>
      </w:rPr>
      <w:drawing>
        <wp:inline distT="0" distB="0" distL="0" distR="0" wp14:anchorId="040BDE90" wp14:editId="7480DDA1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3439" w14:textId="175F1504" w:rsidR="00C6217B" w:rsidRDefault="00C62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FA677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B31DE"/>
    <w:multiLevelType w:val="hybridMultilevel"/>
    <w:tmpl w:val="C7C2E988"/>
    <w:lvl w:ilvl="0" w:tplc="30F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722D"/>
    <w:multiLevelType w:val="multilevel"/>
    <w:tmpl w:val="083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B36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818C7"/>
    <w:multiLevelType w:val="hybridMultilevel"/>
    <w:tmpl w:val="3C6EB292"/>
    <w:lvl w:ilvl="0" w:tplc="3B4C2B4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648DB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0C3C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075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3249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BEA1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AACF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78C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661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82283"/>
    <w:multiLevelType w:val="hybridMultilevel"/>
    <w:tmpl w:val="045EFE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2D9"/>
    <w:multiLevelType w:val="multilevel"/>
    <w:tmpl w:val="69C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647C51"/>
    <w:multiLevelType w:val="multilevel"/>
    <w:tmpl w:val="18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63558"/>
    <w:multiLevelType w:val="hybridMultilevel"/>
    <w:tmpl w:val="5B72C2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785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043"/>
    <w:multiLevelType w:val="multilevel"/>
    <w:tmpl w:val="D14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F93A9F"/>
    <w:multiLevelType w:val="multilevel"/>
    <w:tmpl w:val="4C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93B96"/>
    <w:multiLevelType w:val="hybridMultilevel"/>
    <w:tmpl w:val="4CDE3D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024B"/>
    <w:multiLevelType w:val="multilevel"/>
    <w:tmpl w:val="52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94E2B"/>
    <w:multiLevelType w:val="multilevel"/>
    <w:tmpl w:val="29F89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04967"/>
    <w:multiLevelType w:val="multilevel"/>
    <w:tmpl w:val="54F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98687E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E59B9"/>
    <w:multiLevelType w:val="hybridMultilevel"/>
    <w:tmpl w:val="7248A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40482"/>
    <w:multiLevelType w:val="hybridMultilevel"/>
    <w:tmpl w:val="29FE38F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63E"/>
    <w:multiLevelType w:val="multilevel"/>
    <w:tmpl w:val="926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50221"/>
    <w:multiLevelType w:val="multilevel"/>
    <w:tmpl w:val="D9DA36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80188"/>
    <w:multiLevelType w:val="multilevel"/>
    <w:tmpl w:val="BD9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890EB2"/>
    <w:multiLevelType w:val="multilevel"/>
    <w:tmpl w:val="D3F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77DF1"/>
    <w:multiLevelType w:val="hybridMultilevel"/>
    <w:tmpl w:val="4C1A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3570"/>
    <w:multiLevelType w:val="hybridMultilevel"/>
    <w:tmpl w:val="95DE0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407D4"/>
    <w:multiLevelType w:val="multilevel"/>
    <w:tmpl w:val="1BA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212CC5"/>
    <w:multiLevelType w:val="multilevel"/>
    <w:tmpl w:val="1D3E5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811463"/>
    <w:multiLevelType w:val="hybridMultilevel"/>
    <w:tmpl w:val="CF8255D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D68BF"/>
    <w:multiLevelType w:val="multilevel"/>
    <w:tmpl w:val="899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C3D2C"/>
    <w:multiLevelType w:val="multilevel"/>
    <w:tmpl w:val="F37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BB8B3"/>
    <w:multiLevelType w:val="hybridMultilevel"/>
    <w:tmpl w:val="DB6A00E6"/>
    <w:lvl w:ilvl="0" w:tplc="D772C8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BC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8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9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E5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5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0C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E7E93"/>
    <w:multiLevelType w:val="hybridMultilevel"/>
    <w:tmpl w:val="8886E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E6512"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136F"/>
    <w:multiLevelType w:val="hybridMultilevel"/>
    <w:tmpl w:val="245E9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356">
    <w:abstractNumId w:val="29"/>
  </w:num>
  <w:num w:numId="2" w16cid:durableId="1889683907">
    <w:abstractNumId w:val="31"/>
  </w:num>
  <w:num w:numId="3" w16cid:durableId="1224295408">
    <w:abstractNumId w:val="19"/>
  </w:num>
  <w:num w:numId="4" w16cid:durableId="864290982">
    <w:abstractNumId w:val="14"/>
  </w:num>
  <w:num w:numId="5" w16cid:durableId="2029790303">
    <w:abstractNumId w:val="7"/>
  </w:num>
  <w:num w:numId="6" w16cid:durableId="1977176862">
    <w:abstractNumId w:val="21"/>
  </w:num>
  <w:num w:numId="7" w16cid:durableId="913051158">
    <w:abstractNumId w:val="12"/>
  </w:num>
  <w:num w:numId="8" w16cid:durableId="728723014">
    <w:abstractNumId w:val="15"/>
  </w:num>
  <w:num w:numId="9" w16cid:durableId="1099834270">
    <w:abstractNumId w:val="13"/>
  </w:num>
  <w:num w:numId="10" w16cid:durableId="1269855551">
    <w:abstractNumId w:val="22"/>
  </w:num>
  <w:num w:numId="11" w16cid:durableId="544486983">
    <w:abstractNumId w:val="25"/>
  </w:num>
  <w:num w:numId="12" w16cid:durableId="78403790">
    <w:abstractNumId w:val="1"/>
  </w:num>
  <w:num w:numId="13" w16cid:durableId="2128816414">
    <w:abstractNumId w:val="4"/>
  </w:num>
  <w:num w:numId="14" w16cid:durableId="926423931">
    <w:abstractNumId w:val="5"/>
  </w:num>
  <w:num w:numId="15" w16cid:durableId="857040201">
    <w:abstractNumId w:val="30"/>
  </w:num>
  <w:num w:numId="16" w16cid:durableId="1428187210">
    <w:abstractNumId w:val="0"/>
  </w:num>
  <w:num w:numId="17" w16cid:durableId="137573253">
    <w:abstractNumId w:val="11"/>
  </w:num>
  <w:num w:numId="18" w16cid:durableId="206913271">
    <w:abstractNumId w:val="23"/>
  </w:num>
  <w:num w:numId="19" w16cid:durableId="617881065">
    <w:abstractNumId w:val="8"/>
  </w:num>
  <w:num w:numId="20" w16cid:durableId="1126697769">
    <w:abstractNumId w:val="26"/>
  </w:num>
  <w:num w:numId="21" w16cid:durableId="311177022">
    <w:abstractNumId w:val="17"/>
  </w:num>
  <w:num w:numId="22" w16cid:durableId="1647466574">
    <w:abstractNumId w:val="0"/>
  </w:num>
  <w:num w:numId="23" w16cid:durableId="611325857">
    <w:abstractNumId w:val="0"/>
  </w:num>
  <w:num w:numId="24" w16cid:durableId="1373310697">
    <w:abstractNumId w:val="0"/>
  </w:num>
  <w:num w:numId="25" w16cid:durableId="1055471788">
    <w:abstractNumId w:val="10"/>
  </w:num>
  <w:num w:numId="26" w16cid:durableId="892036412">
    <w:abstractNumId w:val="9"/>
  </w:num>
  <w:num w:numId="27" w16cid:durableId="1680085142">
    <w:abstractNumId w:val="2"/>
  </w:num>
  <w:num w:numId="28" w16cid:durableId="1867907713">
    <w:abstractNumId w:val="6"/>
  </w:num>
  <w:num w:numId="29" w16cid:durableId="1239289695">
    <w:abstractNumId w:val="20"/>
  </w:num>
  <w:num w:numId="30" w16cid:durableId="2044280605">
    <w:abstractNumId w:val="24"/>
  </w:num>
  <w:num w:numId="31" w16cid:durableId="1806465792">
    <w:abstractNumId w:val="28"/>
  </w:num>
  <w:num w:numId="32" w16cid:durableId="1173641466">
    <w:abstractNumId w:val="18"/>
  </w:num>
  <w:num w:numId="33" w16cid:durableId="223373829">
    <w:abstractNumId w:val="27"/>
  </w:num>
  <w:num w:numId="34" w16cid:durableId="1033000362">
    <w:abstractNumId w:val="3"/>
  </w:num>
  <w:num w:numId="35" w16cid:durableId="354622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86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4303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F77F74-9964-43D5-8A1B-97A9955FF99B}"/>
    <w:docVar w:name="dgnword-eventsink" w:val="573174840"/>
  </w:docVars>
  <w:rsids>
    <w:rsidRoot w:val="00D46536"/>
    <w:rsid w:val="000004CE"/>
    <w:rsid w:val="00002896"/>
    <w:rsid w:val="00004129"/>
    <w:rsid w:val="0001132E"/>
    <w:rsid w:val="00012745"/>
    <w:rsid w:val="00013B0E"/>
    <w:rsid w:val="00014165"/>
    <w:rsid w:val="000146BF"/>
    <w:rsid w:val="00014E77"/>
    <w:rsid w:val="00016E3E"/>
    <w:rsid w:val="000205C2"/>
    <w:rsid w:val="000220AF"/>
    <w:rsid w:val="000246FB"/>
    <w:rsid w:val="0002605F"/>
    <w:rsid w:val="00031174"/>
    <w:rsid w:val="0003170F"/>
    <w:rsid w:val="00033E0D"/>
    <w:rsid w:val="000418C8"/>
    <w:rsid w:val="00045CA0"/>
    <w:rsid w:val="00046DAB"/>
    <w:rsid w:val="00047C4F"/>
    <w:rsid w:val="00047D96"/>
    <w:rsid w:val="000502CF"/>
    <w:rsid w:val="0005311C"/>
    <w:rsid w:val="00057DBB"/>
    <w:rsid w:val="000615C8"/>
    <w:rsid w:val="00061C56"/>
    <w:rsid w:val="000628BE"/>
    <w:rsid w:val="000642DF"/>
    <w:rsid w:val="0006494E"/>
    <w:rsid w:val="0006544C"/>
    <w:rsid w:val="00067C30"/>
    <w:rsid w:val="00072723"/>
    <w:rsid w:val="000755F0"/>
    <w:rsid w:val="0008012F"/>
    <w:rsid w:val="0008140B"/>
    <w:rsid w:val="00082256"/>
    <w:rsid w:val="00082C66"/>
    <w:rsid w:val="00083090"/>
    <w:rsid w:val="00085077"/>
    <w:rsid w:val="000873E6"/>
    <w:rsid w:val="00087EAE"/>
    <w:rsid w:val="00090F0D"/>
    <w:rsid w:val="000918BB"/>
    <w:rsid w:val="000A29D4"/>
    <w:rsid w:val="000A31D2"/>
    <w:rsid w:val="000A64CE"/>
    <w:rsid w:val="000A66E4"/>
    <w:rsid w:val="000B1AA3"/>
    <w:rsid w:val="000B333F"/>
    <w:rsid w:val="000B396E"/>
    <w:rsid w:val="000B4536"/>
    <w:rsid w:val="000B4DF4"/>
    <w:rsid w:val="000B5B24"/>
    <w:rsid w:val="000B5C35"/>
    <w:rsid w:val="000C0ACF"/>
    <w:rsid w:val="000C16B4"/>
    <w:rsid w:val="000C1AF4"/>
    <w:rsid w:val="000C347C"/>
    <w:rsid w:val="000C4FCA"/>
    <w:rsid w:val="000C5D76"/>
    <w:rsid w:val="000C70CD"/>
    <w:rsid w:val="000D27DC"/>
    <w:rsid w:val="000D5E30"/>
    <w:rsid w:val="000D74D3"/>
    <w:rsid w:val="000D7F99"/>
    <w:rsid w:val="000E06B1"/>
    <w:rsid w:val="000E1717"/>
    <w:rsid w:val="000E4138"/>
    <w:rsid w:val="000E5012"/>
    <w:rsid w:val="000E5AB6"/>
    <w:rsid w:val="000F089B"/>
    <w:rsid w:val="00105463"/>
    <w:rsid w:val="00106BF8"/>
    <w:rsid w:val="00111198"/>
    <w:rsid w:val="00115923"/>
    <w:rsid w:val="001173AA"/>
    <w:rsid w:val="001205D6"/>
    <w:rsid w:val="0012410A"/>
    <w:rsid w:val="00125853"/>
    <w:rsid w:val="00125D67"/>
    <w:rsid w:val="0012609A"/>
    <w:rsid w:val="00130EC9"/>
    <w:rsid w:val="00131242"/>
    <w:rsid w:val="0013196B"/>
    <w:rsid w:val="00136155"/>
    <w:rsid w:val="0014005D"/>
    <w:rsid w:val="00140D75"/>
    <w:rsid w:val="001432A2"/>
    <w:rsid w:val="00144CD2"/>
    <w:rsid w:val="00145777"/>
    <w:rsid w:val="00146BA9"/>
    <w:rsid w:val="00152C07"/>
    <w:rsid w:val="00153918"/>
    <w:rsid w:val="00153E36"/>
    <w:rsid w:val="00154A18"/>
    <w:rsid w:val="00154F4A"/>
    <w:rsid w:val="0015548F"/>
    <w:rsid w:val="00157327"/>
    <w:rsid w:val="001649C7"/>
    <w:rsid w:val="00165BEA"/>
    <w:rsid w:val="00173C52"/>
    <w:rsid w:val="00175FF2"/>
    <w:rsid w:val="00180616"/>
    <w:rsid w:val="00180AA8"/>
    <w:rsid w:val="00183131"/>
    <w:rsid w:val="0019231C"/>
    <w:rsid w:val="0019302A"/>
    <w:rsid w:val="00196101"/>
    <w:rsid w:val="00196E5C"/>
    <w:rsid w:val="001A11A9"/>
    <w:rsid w:val="001A1E1F"/>
    <w:rsid w:val="001A310C"/>
    <w:rsid w:val="001A61D1"/>
    <w:rsid w:val="001A661B"/>
    <w:rsid w:val="001A74C4"/>
    <w:rsid w:val="001B025D"/>
    <w:rsid w:val="001B1753"/>
    <w:rsid w:val="001B22F0"/>
    <w:rsid w:val="001B4CE5"/>
    <w:rsid w:val="001C033F"/>
    <w:rsid w:val="001C102A"/>
    <w:rsid w:val="001C2CE9"/>
    <w:rsid w:val="001C3655"/>
    <w:rsid w:val="001C43A4"/>
    <w:rsid w:val="001C58EF"/>
    <w:rsid w:val="001C6178"/>
    <w:rsid w:val="001C61A7"/>
    <w:rsid w:val="001D188B"/>
    <w:rsid w:val="001D37B1"/>
    <w:rsid w:val="001D45B1"/>
    <w:rsid w:val="001E01BC"/>
    <w:rsid w:val="001E01F9"/>
    <w:rsid w:val="001E2BFB"/>
    <w:rsid w:val="001E3387"/>
    <w:rsid w:val="001E57BA"/>
    <w:rsid w:val="001E62A3"/>
    <w:rsid w:val="001F0A86"/>
    <w:rsid w:val="001F3119"/>
    <w:rsid w:val="001F5724"/>
    <w:rsid w:val="001F58D0"/>
    <w:rsid w:val="001F5ED7"/>
    <w:rsid w:val="001F685F"/>
    <w:rsid w:val="001F68C4"/>
    <w:rsid w:val="00200560"/>
    <w:rsid w:val="002005DD"/>
    <w:rsid w:val="0020471A"/>
    <w:rsid w:val="002061BF"/>
    <w:rsid w:val="00206F48"/>
    <w:rsid w:val="00210001"/>
    <w:rsid w:val="002116AB"/>
    <w:rsid w:val="00214043"/>
    <w:rsid w:val="002151BA"/>
    <w:rsid w:val="00215B8E"/>
    <w:rsid w:val="00215DC9"/>
    <w:rsid w:val="0021793D"/>
    <w:rsid w:val="00217EC5"/>
    <w:rsid w:val="00221BDA"/>
    <w:rsid w:val="002237E2"/>
    <w:rsid w:val="002311FF"/>
    <w:rsid w:val="002313F6"/>
    <w:rsid w:val="002336D3"/>
    <w:rsid w:val="00236D0C"/>
    <w:rsid w:val="00237026"/>
    <w:rsid w:val="002370E7"/>
    <w:rsid w:val="002374CE"/>
    <w:rsid w:val="0023753B"/>
    <w:rsid w:val="00242490"/>
    <w:rsid w:val="0024540C"/>
    <w:rsid w:val="00245B82"/>
    <w:rsid w:val="00246FED"/>
    <w:rsid w:val="0024775F"/>
    <w:rsid w:val="00251D84"/>
    <w:rsid w:val="00253DF6"/>
    <w:rsid w:val="00254EB3"/>
    <w:rsid w:val="002557F9"/>
    <w:rsid w:val="00255B0B"/>
    <w:rsid w:val="00255FCD"/>
    <w:rsid w:val="0026082F"/>
    <w:rsid w:val="00260CCC"/>
    <w:rsid w:val="002664B5"/>
    <w:rsid w:val="00270521"/>
    <w:rsid w:val="0027439B"/>
    <w:rsid w:val="0027464E"/>
    <w:rsid w:val="00274E68"/>
    <w:rsid w:val="00275712"/>
    <w:rsid w:val="00276ADA"/>
    <w:rsid w:val="00280050"/>
    <w:rsid w:val="00283742"/>
    <w:rsid w:val="002876B4"/>
    <w:rsid w:val="00293B43"/>
    <w:rsid w:val="00294A07"/>
    <w:rsid w:val="00297270"/>
    <w:rsid w:val="002A0DE4"/>
    <w:rsid w:val="002A191B"/>
    <w:rsid w:val="002A4708"/>
    <w:rsid w:val="002A543A"/>
    <w:rsid w:val="002B45BD"/>
    <w:rsid w:val="002B4C6F"/>
    <w:rsid w:val="002C2678"/>
    <w:rsid w:val="002C5318"/>
    <w:rsid w:val="002C68D8"/>
    <w:rsid w:val="002C6A62"/>
    <w:rsid w:val="002D0951"/>
    <w:rsid w:val="002D0AC1"/>
    <w:rsid w:val="002D2337"/>
    <w:rsid w:val="002D5BDA"/>
    <w:rsid w:val="002D5C1E"/>
    <w:rsid w:val="002D6917"/>
    <w:rsid w:val="002D6CEB"/>
    <w:rsid w:val="002E253D"/>
    <w:rsid w:val="002F0867"/>
    <w:rsid w:val="002F1692"/>
    <w:rsid w:val="002F58C5"/>
    <w:rsid w:val="002F7CA3"/>
    <w:rsid w:val="00303D68"/>
    <w:rsid w:val="003042C7"/>
    <w:rsid w:val="00304D00"/>
    <w:rsid w:val="003056AE"/>
    <w:rsid w:val="00306C70"/>
    <w:rsid w:val="0031177E"/>
    <w:rsid w:val="0031446E"/>
    <w:rsid w:val="00314AB6"/>
    <w:rsid w:val="00316357"/>
    <w:rsid w:val="00316766"/>
    <w:rsid w:val="0031A831"/>
    <w:rsid w:val="0032051C"/>
    <w:rsid w:val="0032326A"/>
    <w:rsid w:val="00325585"/>
    <w:rsid w:val="00326793"/>
    <w:rsid w:val="003315E1"/>
    <w:rsid w:val="0033166F"/>
    <w:rsid w:val="0033204D"/>
    <w:rsid w:val="00333778"/>
    <w:rsid w:val="003367F2"/>
    <w:rsid w:val="0033694E"/>
    <w:rsid w:val="00340912"/>
    <w:rsid w:val="003421B3"/>
    <w:rsid w:val="00344524"/>
    <w:rsid w:val="00353348"/>
    <w:rsid w:val="00355626"/>
    <w:rsid w:val="00362630"/>
    <w:rsid w:val="003643C5"/>
    <w:rsid w:val="003651F3"/>
    <w:rsid w:val="003665B7"/>
    <w:rsid w:val="003727F5"/>
    <w:rsid w:val="00375216"/>
    <w:rsid w:val="00376995"/>
    <w:rsid w:val="0038464B"/>
    <w:rsid w:val="00387760"/>
    <w:rsid w:val="00391229"/>
    <w:rsid w:val="00392165"/>
    <w:rsid w:val="00393047"/>
    <w:rsid w:val="00394E99"/>
    <w:rsid w:val="0039582C"/>
    <w:rsid w:val="003960BA"/>
    <w:rsid w:val="003A2126"/>
    <w:rsid w:val="003A6795"/>
    <w:rsid w:val="003A7BE4"/>
    <w:rsid w:val="003B1DF4"/>
    <w:rsid w:val="003B4FA1"/>
    <w:rsid w:val="003B71FC"/>
    <w:rsid w:val="003C39FC"/>
    <w:rsid w:val="003C3C51"/>
    <w:rsid w:val="003C6390"/>
    <w:rsid w:val="003C74E6"/>
    <w:rsid w:val="003D2F86"/>
    <w:rsid w:val="003E20FE"/>
    <w:rsid w:val="003E7F33"/>
    <w:rsid w:val="003F1114"/>
    <w:rsid w:val="003F18FD"/>
    <w:rsid w:val="003F1D60"/>
    <w:rsid w:val="003F5191"/>
    <w:rsid w:val="003F5489"/>
    <w:rsid w:val="003F7356"/>
    <w:rsid w:val="004003C7"/>
    <w:rsid w:val="00412E73"/>
    <w:rsid w:val="00414383"/>
    <w:rsid w:val="00421F92"/>
    <w:rsid w:val="0042220C"/>
    <w:rsid w:val="004238D2"/>
    <w:rsid w:val="004249B6"/>
    <w:rsid w:val="00426FC8"/>
    <w:rsid w:val="004319F4"/>
    <w:rsid w:val="00434782"/>
    <w:rsid w:val="00435730"/>
    <w:rsid w:val="004357A3"/>
    <w:rsid w:val="00435D55"/>
    <w:rsid w:val="00440C21"/>
    <w:rsid w:val="00440F9E"/>
    <w:rsid w:val="004418A3"/>
    <w:rsid w:val="00443D9C"/>
    <w:rsid w:val="004470CC"/>
    <w:rsid w:val="004511F7"/>
    <w:rsid w:val="00452CE4"/>
    <w:rsid w:val="00452E59"/>
    <w:rsid w:val="004564B7"/>
    <w:rsid w:val="004634A9"/>
    <w:rsid w:val="00463D8C"/>
    <w:rsid w:val="004643F2"/>
    <w:rsid w:val="00464984"/>
    <w:rsid w:val="0047042E"/>
    <w:rsid w:val="00474303"/>
    <w:rsid w:val="00474760"/>
    <w:rsid w:val="004767F7"/>
    <w:rsid w:val="00476F32"/>
    <w:rsid w:val="00482387"/>
    <w:rsid w:val="004854EB"/>
    <w:rsid w:val="00497258"/>
    <w:rsid w:val="004973F3"/>
    <w:rsid w:val="00497B90"/>
    <w:rsid w:val="004A44E7"/>
    <w:rsid w:val="004A67C2"/>
    <w:rsid w:val="004B6469"/>
    <w:rsid w:val="004B6F6E"/>
    <w:rsid w:val="004C52E7"/>
    <w:rsid w:val="004D0F50"/>
    <w:rsid w:val="004D40BA"/>
    <w:rsid w:val="004D6012"/>
    <w:rsid w:val="004D6849"/>
    <w:rsid w:val="004D6985"/>
    <w:rsid w:val="004D73CE"/>
    <w:rsid w:val="004E090C"/>
    <w:rsid w:val="004E0C35"/>
    <w:rsid w:val="004E1A5A"/>
    <w:rsid w:val="004E2ECD"/>
    <w:rsid w:val="004E325F"/>
    <w:rsid w:val="004E507F"/>
    <w:rsid w:val="004F1341"/>
    <w:rsid w:val="004F5626"/>
    <w:rsid w:val="004F7664"/>
    <w:rsid w:val="004F7721"/>
    <w:rsid w:val="005013A3"/>
    <w:rsid w:val="0050161B"/>
    <w:rsid w:val="005072C5"/>
    <w:rsid w:val="005101CA"/>
    <w:rsid w:val="00511980"/>
    <w:rsid w:val="00511F44"/>
    <w:rsid w:val="00512489"/>
    <w:rsid w:val="00512559"/>
    <w:rsid w:val="0051708A"/>
    <w:rsid w:val="00517E35"/>
    <w:rsid w:val="00522398"/>
    <w:rsid w:val="00525860"/>
    <w:rsid w:val="005266A7"/>
    <w:rsid w:val="005270E0"/>
    <w:rsid w:val="005303DF"/>
    <w:rsid w:val="00531DA2"/>
    <w:rsid w:val="00532044"/>
    <w:rsid w:val="005337F2"/>
    <w:rsid w:val="00533D0E"/>
    <w:rsid w:val="0053479A"/>
    <w:rsid w:val="00537623"/>
    <w:rsid w:val="00542EF8"/>
    <w:rsid w:val="005472F1"/>
    <w:rsid w:val="00550502"/>
    <w:rsid w:val="005520FE"/>
    <w:rsid w:val="00552BFF"/>
    <w:rsid w:val="00554523"/>
    <w:rsid w:val="00557D7E"/>
    <w:rsid w:val="00562BED"/>
    <w:rsid w:val="0056531D"/>
    <w:rsid w:val="00572F90"/>
    <w:rsid w:val="00574523"/>
    <w:rsid w:val="00574952"/>
    <w:rsid w:val="005750BE"/>
    <w:rsid w:val="00583844"/>
    <w:rsid w:val="00594797"/>
    <w:rsid w:val="005962A9"/>
    <w:rsid w:val="005A0316"/>
    <w:rsid w:val="005A0FF2"/>
    <w:rsid w:val="005A6B6E"/>
    <w:rsid w:val="005B5218"/>
    <w:rsid w:val="005B7BDE"/>
    <w:rsid w:val="005C3357"/>
    <w:rsid w:val="005C4BBF"/>
    <w:rsid w:val="005D08B7"/>
    <w:rsid w:val="005D0BE6"/>
    <w:rsid w:val="005D229C"/>
    <w:rsid w:val="005E3B96"/>
    <w:rsid w:val="005F1D95"/>
    <w:rsid w:val="005F25D3"/>
    <w:rsid w:val="005F4D0A"/>
    <w:rsid w:val="0060316F"/>
    <w:rsid w:val="006047E7"/>
    <w:rsid w:val="006129A7"/>
    <w:rsid w:val="00612FA0"/>
    <w:rsid w:val="00622FB1"/>
    <w:rsid w:val="0063147D"/>
    <w:rsid w:val="0063269A"/>
    <w:rsid w:val="00635E57"/>
    <w:rsid w:val="0063623B"/>
    <w:rsid w:val="0064040A"/>
    <w:rsid w:val="00640A75"/>
    <w:rsid w:val="00643480"/>
    <w:rsid w:val="00645EAD"/>
    <w:rsid w:val="00647884"/>
    <w:rsid w:val="00651EB9"/>
    <w:rsid w:val="0065216E"/>
    <w:rsid w:val="00653FAD"/>
    <w:rsid w:val="00655667"/>
    <w:rsid w:val="00660483"/>
    <w:rsid w:val="006606B7"/>
    <w:rsid w:val="006630EA"/>
    <w:rsid w:val="006673C0"/>
    <w:rsid w:val="00667A95"/>
    <w:rsid w:val="00674DF6"/>
    <w:rsid w:val="006755C6"/>
    <w:rsid w:val="00680651"/>
    <w:rsid w:val="00681126"/>
    <w:rsid w:val="00681DC6"/>
    <w:rsid w:val="00691EEC"/>
    <w:rsid w:val="00692631"/>
    <w:rsid w:val="00693484"/>
    <w:rsid w:val="00694516"/>
    <w:rsid w:val="006A0DF2"/>
    <w:rsid w:val="006A5358"/>
    <w:rsid w:val="006A5E61"/>
    <w:rsid w:val="006A5EB7"/>
    <w:rsid w:val="006B2B20"/>
    <w:rsid w:val="006C54A0"/>
    <w:rsid w:val="006C60C1"/>
    <w:rsid w:val="006C621C"/>
    <w:rsid w:val="006D096D"/>
    <w:rsid w:val="006D0DF3"/>
    <w:rsid w:val="006D19A1"/>
    <w:rsid w:val="006D1D4A"/>
    <w:rsid w:val="006D212A"/>
    <w:rsid w:val="006D2713"/>
    <w:rsid w:val="006D2BB3"/>
    <w:rsid w:val="006D6D3B"/>
    <w:rsid w:val="006F2EED"/>
    <w:rsid w:val="006F3505"/>
    <w:rsid w:val="006F79A7"/>
    <w:rsid w:val="00701C8C"/>
    <w:rsid w:val="007044D3"/>
    <w:rsid w:val="00710E65"/>
    <w:rsid w:val="00714F2D"/>
    <w:rsid w:val="00720DDE"/>
    <w:rsid w:val="00720FE1"/>
    <w:rsid w:val="007265FC"/>
    <w:rsid w:val="00727894"/>
    <w:rsid w:val="007307DF"/>
    <w:rsid w:val="00731CFB"/>
    <w:rsid w:val="00732105"/>
    <w:rsid w:val="00733279"/>
    <w:rsid w:val="007347A9"/>
    <w:rsid w:val="00734F9C"/>
    <w:rsid w:val="00735A43"/>
    <w:rsid w:val="00737E9E"/>
    <w:rsid w:val="007433DF"/>
    <w:rsid w:val="00746964"/>
    <w:rsid w:val="00747AD6"/>
    <w:rsid w:val="00751AB0"/>
    <w:rsid w:val="00751AB6"/>
    <w:rsid w:val="007521BF"/>
    <w:rsid w:val="0075242D"/>
    <w:rsid w:val="00752A83"/>
    <w:rsid w:val="00753E73"/>
    <w:rsid w:val="00754272"/>
    <w:rsid w:val="00754EEB"/>
    <w:rsid w:val="00757140"/>
    <w:rsid w:val="007604D1"/>
    <w:rsid w:val="00761D27"/>
    <w:rsid w:val="00763E6F"/>
    <w:rsid w:val="0076418C"/>
    <w:rsid w:val="00764A2A"/>
    <w:rsid w:val="00765E0C"/>
    <w:rsid w:val="007665AA"/>
    <w:rsid w:val="007700E7"/>
    <w:rsid w:val="00772FF2"/>
    <w:rsid w:val="00773EB6"/>
    <w:rsid w:val="00774F73"/>
    <w:rsid w:val="00781484"/>
    <w:rsid w:val="00783A56"/>
    <w:rsid w:val="00784195"/>
    <w:rsid w:val="00785EF3"/>
    <w:rsid w:val="0078603F"/>
    <w:rsid w:val="00787F71"/>
    <w:rsid w:val="007918F3"/>
    <w:rsid w:val="00797A27"/>
    <w:rsid w:val="007A01D7"/>
    <w:rsid w:val="007A3729"/>
    <w:rsid w:val="007A588F"/>
    <w:rsid w:val="007A6545"/>
    <w:rsid w:val="007A671B"/>
    <w:rsid w:val="007A6D13"/>
    <w:rsid w:val="007A73A3"/>
    <w:rsid w:val="007A7C5B"/>
    <w:rsid w:val="007B04EA"/>
    <w:rsid w:val="007B28C9"/>
    <w:rsid w:val="007B34E1"/>
    <w:rsid w:val="007B3929"/>
    <w:rsid w:val="007B5DF5"/>
    <w:rsid w:val="007B620D"/>
    <w:rsid w:val="007C3FA7"/>
    <w:rsid w:val="007C6E84"/>
    <w:rsid w:val="007C70AD"/>
    <w:rsid w:val="007D0C28"/>
    <w:rsid w:val="007D4E63"/>
    <w:rsid w:val="007E2B21"/>
    <w:rsid w:val="007E4157"/>
    <w:rsid w:val="007E4872"/>
    <w:rsid w:val="007F03A3"/>
    <w:rsid w:val="007F1D26"/>
    <w:rsid w:val="007F2D24"/>
    <w:rsid w:val="007F44BC"/>
    <w:rsid w:val="007F48D9"/>
    <w:rsid w:val="00800BDF"/>
    <w:rsid w:val="00801CD9"/>
    <w:rsid w:val="00803558"/>
    <w:rsid w:val="00805990"/>
    <w:rsid w:val="00810D49"/>
    <w:rsid w:val="00812441"/>
    <w:rsid w:val="00812A13"/>
    <w:rsid w:val="00812F91"/>
    <w:rsid w:val="00813277"/>
    <w:rsid w:val="00813880"/>
    <w:rsid w:val="00814563"/>
    <w:rsid w:val="008168BC"/>
    <w:rsid w:val="008204B0"/>
    <w:rsid w:val="00822E40"/>
    <w:rsid w:val="008253F7"/>
    <w:rsid w:val="00827657"/>
    <w:rsid w:val="0083152F"/>
    <w:rsid w:val="00834ABB"/>
    <w:rsid w:val="008363EB"/>
    <w:rsid w:val="00836D97"/>
    <w:rsid w:val="0083788D"/>
    <w:rsid w:val="008461A5"/>
    <w:rsid w:val="008464B0"/>
    <w:rsid w:val="00846602"/>
    <w:rsid w:val="00850940"/>
    <w:rsid w:val="00850EEB"/>
    <w:rsid w:val="00856D1C"/>
    <w:rsid w:val="00857D71"/>
    <w:rsid w:val="0086167A"/>
    <w:rsid w:val="00861D82"/>
    <w:rsid w:val="008625AF"/>
    <w:rsid w:val="008666A7"/>
    <w:rsid w:val="00866E42"/>
    <w:rsid w:val="00867810"/>
    <w:rsid w:val="00874C73"/>
    <w:rsid w:val="00875BB9"/>
    <w:rsid w:val="00876128"/>
    <w:rsid w:val="0087694C"/>
    <w:rsid w:val="008804C2"/>
    <w:rsid w:val="008807F5"/>
    <w:rsid w:val="008831FA"/>
    <w:rsid w:val="008838B4"/>
    <w:rsid w:val="0088603B"/>
    <w:rsid w:val="00887CE6"/>
    <w:rsid w:val="0089154C"/>
    <w:rsid w:val="00892302"/>
    <w:rsid w:val="00893EF3"/>
    <w:rsid w:val="00894D71"/>
    <w:rsid w:val="008956D5"/>
    <w:rsid w:val="00896892"/>
    <w:rsid w:val="00897C84"/>
    <w:rsid w:val="008A2233"/>
    <w:rsid w:val="008A6805"/>
    <w:rsid w:val="008B3A9D"/>
    <w:rsid w:val="008B47D1"/>
    <w:rsid w:val="008B4CA7"/>
    <w:rsid w:val="008B55E7"/>
    <w:rsid w:val="008B7E8D"/>
    <w:rsid w:val="008C14CE"/>
    <w:rsid w:val="008C2B19"/>
    <w:rsid w:val="008C2FFC"/>
    <w:rsid w:val="008C5917"/>
    <w:rsid w:val="008C5F76"/>
    <w:rsid w:val="008C6424"/>
    <w:rsid w:val="008C6759"/>
    <w:rsid w:val="008D0FD1"/>
    <w:rsid w:val="008D6A0C"/>
    <w:rsid w:val="008E28A2"/>
    <w:rsid w:val="008E390D"/>
    <w:rsid w:val="008E6AA4"/>
    <w:rsid w:val="008E6FAD"/>
    <w:rsid w:val="008F043A"/>
    <w:rsid w:val="008F0A88"/>
    <w:rsid w:val="008F23D0"/>
    <w:rsid w:val="008F4DB6"/>
    <w:rsid w:val="008F4E37"/>
    <w:rsid w:val="008F623A"/>
    <w:rsid w:val="008F7071"/>
    <w:rsid w:val="008F72AD"/>
    <w:rsid w:val="00900CE5"/>
    <w:rsid w:val="00906486"/>
    <w:rsid w:val="009066C9"/>
    <w:rsid w:val="009070A9"/>
    <w:rsid w:val="009109D0"/>
    <w:rsid w:val="00910FEB"/>
    <w:rsid w:val="00913983"/>
    <w:rsid w:val="00922307"/>
    <w:rsid w:val="00927110"/>
    <w:rsid w:val="00927843"/>
    <w:rsid w:val="00927A95"/>
    <w:rsid w:val="00930FE4"/>
    <w:rsid w:val="00933655"/>
    <w:rsid w:val="009343CC"/>
    <w:rsid w:val="00935E69"/>
    <w:rsid w:val="009400F9"/>
    <w:rsid w:val="00941F53"/>
    <w:rsid w:val="0094224F"/>
    <w:rsid w:val="009435C7"/>
    <w:rsid w:val="00946A66"/>
    <w:rsid w:val="0095038C"/>
    <w:rsid w:val="0095087D"/>
    <w:rsid w:val="0095208E"/>
    <w:rsid w:val="00952217"/>
    <w:rsid w:val="00953377"/>
    <w:rsid w:val="00955DDD"/>
    <w:rsid w:val="0096061C"/>
    <w:rsid w:val="0096540F"/>
    <w:rsid w:val="00965FDF"/>
    <w:rsid w:val="009669D1"/>
    <w:rsid w:val="009716B8"/>
    <w:rsid w:val="0097210E"/>
    <w:rsid w:val="0097610F"/>
    <w:rsid w:val="0097630B"/>
    <w:rsid w:val="00976443"/>
    <w:rsid w:val="00977EC8"/>
    <w:rsid w:val="00977F7B"/>
    <w:rsid w:val="0098207F"/>
    <w:rsid w:val="009823ED"/>
    <w:rsid w:val="009910C6"/>
    <w:rsid w:val="00992996"/>
    <w:rsid w:val="00994384"/>
    <w:rsid w:val="009956C7"/>
    <w:rsid w:val="00996702"/>
    <w:rsid w:val="00996DFE"/>
    <w:rsid w:val="00997BD4"/>
    <w:rsid w:val="009A0904"/>
    <w:rsid w:val="009A5029"/>
    <w:rsid w:val="009A5900"/>
    <w:rsid w:val="009A7151"/>
    <w:rsid w:val="009A7DA4"/>
    <w:rsid w:val="009B0C1E"/>
    <w:rsid w:val="009B4CCB"/>
    <w:rsid w:val="009C0488"/>
    <w:rsid w:val="009C07FF"/>
    <w:rsid w:val="009C2C12"/>
    <w:rsid w:val="009C328E"/>
    <w:rsid w:val="009D068B"/>
    <w:rsid w:val="009D3423"/>
    <w:rsid w:val="009D61D4"/>
    <w:rsid w:val="009D6F7E"/>
    <w:rsid w:val="009E07CA"/>
    <w:rsid w:val="009E26EC"/>
    <w:rsid w:val="009E4C9F"/>
    <w:rsid w:val="009E594D"/>
    <w:rsid w:val="009E70CB"/>
    <w:rsid w:val="009E751E"/>
    <w:rsid w:val="009E7FE3"/>
    <w:rsid w:val="009F2639"/>
    <w:rsid w:val="009F409A"/>
    <w:rsid w:val="00A0165D"/>
    <w:rsid w:val="00A03895"/>
    <w:rsid w:val="00A0456C"/>
    <w:rsid w:val="00A120B6"/>
    <w:rsid w:val="00A12401"/>
    <w:rsid w:val="00A20F61"/>
    <w:rsid w:val="00A2264A"/>
    <w:rsid w:val="00A23577"/>
    <w:rsid w:val="00A261EB"/>
    <w:rsid w:val="00A30205"/>
    <w:rsid w:val="00A30ECC"/>
    <w:rsid w:val="00A34281"/>
    <w:rsid w:val="00A3476E"/>
    <w:rsid w:val="00A353B6"/>
    <w:rsid w:val="00A35D53"/>
    <w:rsid w:val="00A37D32"/>
    <w:rsid w:val="00A408FD"/>
    <w:rsid w:val="00A411CC"/>
    <w:rsid w:val="00A45158"/>
    <w:rsid w:val="00A45D77"/>
    <w:rsid w:val="00A46295"/>
    <w:rsid w:val="00A46900"/>
    <w:rsid w:val="00A52317"/>
    <w:rsid w:val="00A607D2"/>
    <w:rsid w:val="00A62C6E"/>
    <w:rsid w:val="00A647A3"/>
    <w:rsid w:val="00A66867"/>
    <w:rsid w:val="00A66D11"/>
    <w:rsid w:val="00A677A3"/>
    <w:rsid w:val="00A70D84"/>
    <w:rsid w:val="00A721A6"/>
    <w:rsid w:val="00A721E6"/>
    <w:rsid w:val="00A730CF"/>
    <w:rsid w:val="00A73DC9"/>
    <w:rsid w:val="00A76C0F"/>
    <w:rsid w:val="00A77A61"/>
    <w:rsid w:val="00A80420"/>
    <w:rsid w:val="00A825B6"/>
    <w:rsid w:val="00A841E2"/>
    <w:rsid w:val="00A86671"/>
    <w:rsid w:val="00A910D2"/>
    <w:rsid w:val="00A913CA"/>
    <w:rsid w:val="00A93226"/>
    <w:rsid w:val="00A947E1"/>
    <w:rsid w:val="00AA3563"/>
    <w:rsid w:val="00AA4467"/>
    <w:rsid w:val="00AA4A03"/>
    <w:rsid w:val="00AA50D2"/>
    <w:rsid w:val="00AA53C4"/>
    <w:rsid w:val="00AA55C4"/>
    <w:rsid w:val="00AA57D8"/>
    <w:rsid w:val="00AA59AA"/>
    <w:rsid w:val="00AA7043"/>
    <w:rsid w:val="00AC3F6F"/>
    <w:rsid w:val="00AC5D1C"/>
    <w:rsid w:val="00AD06D8"/>
    <w:rsid w:val="00AD41E0"/>
    <w:rsid w:val="00AD6BD9"/>
    <w:rsid w:val="00AE08FD"/>
    <w:rsid w:val="00AF7292"/>
    <w:rsid w:val="00B0008A"/>
    <w:rsid w:val="00B04508"/>
    <w:rsid w:val="00B10A75"/>
    <w:rsid w:val="00B1188D"/>
    <w:rsid w:val="00B127C5"/>
    <w:rsid w:val="00B14491"/>
    <w:rsid w:val="00B16620"/>
    <w:rsid w:val="00B17A35"/>
    <w:rsid w:val="00B2189E"/>
    <w:rsid w:val="00B262D6"/>
    <w:rsid w:val="00B26CCE"/>
    <w:rsid w:val="00B353CD"/>
    <w:rsid w:val="00B36CC0"/>
    <w:rsid w:val="00B41AF7"/>
    <w:rsid w:val="00B43B08"/>
    <w:rsid w:val="00B44371"/>
    <w:rsid w:val="00B51999"/>
    <w:rsid w:val="00B53652"/>
    <w:rsid w:val="00B54E72"/>
    <w:rsid w:val="00B56C2D"/>
    <w:rsid w:val="00B618EF"/>
    <w:rsid w:val="00B622CB"/>
    <w:rsid w:val="00B65226"/>
    <w:rsid w:val="00B65F28"/>
    <w:rsid w:val="00B66B5F"/>
    <w:rsid w:val="00B67553"/>
    <w:rsid w:val="00B7278A"/>
    <w:rsid w:val="00B740D2"/>
    <w:rsid w:val="00B768B8"/>
    <w:rsid w:val="00B850FD"/>
    <w:rsid w:val="00B865F6"/>
    <w:rsid w:val="00B87531"/>
    <w:rsid w:val="00B92906"/>
    <w:rsid w:val="00B944CA"/>
    <w:rsid w:val="00B94E22"/>
    <w:rsid w:val="00B95289"/>
    <w:rsid w:val="00BA2ED8"/>
    <w:rsid w:val="00BA4FC3"/>
    <w:rsid w:val="00BB707F"/>
    <w:rsid w:val="00BD4858"/>
    <w:rsid w:val="00BE19D1"/>
    <w:rsid w:val="00BE1DD1"/>
    <w:rsid w:val="00BE28CA"/>
    <w:rsid w:val="00BE56C2"/>
    <w:rsid w:val="00BE5E84"/>
    <w:rsid w:val="00BE6DCB"/>
    <w:rsid w:val="00BF4467"/>
    <w:rsid w:val="00C003DA"/>
    <w:rsid w:val="00C00993"/>
    <w:rsid w:val="00C202AB"/>
    <w:rsid w:val="00C207BB"/>
    <w:rsid w:val="00C2101D"/>
    <w:rsid w:val="00C21111"/>
    <w:rsid w:val="00C236D0"/>
    <w:rsid w:val="00C24B02"/>
    <w:rsid w:val="00C24DFE"/>
    <w:rsid w:val="00C24F32"/>
    <w:rsid w:val="00C30635"/>
    <w:rsid w:val="00C316E9"/>
    <w:rsid w:val="00C35DF7"/>
    <w:rsid w:val="00C371B0"/>
    <w:rsid w:val="00C409C2"/>
    <w:rsid w:val="00C44647"/>
    <w:rsid w:val="00C4618E"/>
    <w:rsid w:val="00C465AE"/>
    <w:rsid w:val="00C46FCB"/>
    <w:rsid w:val="00C5463D"/>
    <w:rsid w:val="00C56F05"/>
    <w:rsid w:val="00C57083"/>
    <w:rsid w:val="00C611C6"/>
    <w:rsid w:val="00C6217B"/>
    <w:rsid w:val="00C62D4D"/>
    <w:rsid w:val="00C63913"/>
    <w:rsid w:val="00C6578A"/>
    <w:rsid w:val="00C65F99"/>
    <w:rsid w:val="00C66354"/>
    <w:rsid w:val="00C72B79"/>
    <w:rsid w:val="00C76D0B"/>
    <w:rsid w:val="00C80152"/>
    <w:rsid w:val="00C8328A"/>
    <w:rsid w:val="00C90E2F"/>
    <w:rsid w:val="00CA343D"/>
    <w:rsid w:val="00CA4837"/>
    <w:rsid w:val="00CA5307"/>
    <w:rsid w:val="00CA53FC"/>
    <w:rsid w:val="00CA6568"/>
    <w:rsid w:val="00CA759D"/>
    <w:rsid w:val="00CA7720"/>
    <w:rsid w:val="00CB0F1F"/>
    <w:rsid w:val="00CB1AC0"/>
    <w:rsid w:val="00CB3D8B"/>
    <w:rsid w:val="00CB512E"/>
    <w:rsid w:val="00CB688E"/>
    <w:rsid w:val="00CC0367"/>
    <w:rsid w:val="00CC14FE"/>
    <w:rsid w:val="00CC1D9E"/>
    <w:rsid w:val="00CC38E5"/>
    <w:rsid w:val="00CC4170"/>
    <w:rsid w:val="00CC43F4"/>
    <w:rsid w:val="00CC734A"/>
    <w:rsid w:val="00CD5165"/>
    <w:rsid w:val="00CD64B5"/>
    <w:rsid w:val="00CE1B5B"/>
    <w:rsid w:val="00CE4C44"/>
    <w:rsid w:val="00CE5992"/>
    <w:rsid w:val="00CE6F69"/>
    <w:rsid w:val="00CF1DD7"/>
    <w:rsid w:val="00CF4F8A"/>
    <w:rsid w:val="00CF5FF1"/>
    <w:rsid w:val="00D026FC"/>
    <w:rsid w:val="00D02B95"/>
    <w:rsid w:val="00D04569"/>
    <w:rsid w:val="00D045D1"/>
    <w:rsid w:val="00D119F0"/>
    <w:rsid w:val="00D12330"/>
    <w:rsid w:val="00D1295D"/>
    <w:rsid w:val="00D12BA1"/>
    <w:rsid w:val="00D12FEC"/>
    <w:rsid w:val="00D140B1"/>
    <w:rsid w:val="00D147A5"/>
    <w:rsid w:val="00D151A4"/>
    <w:rsid w:val="00D16D78"/>
    <w:rsid w:val="00D17851"/>
    <w:rsid w:val="00D2042D"/>
    <w:rsid w:val="00D204B4"/>
    <w:rsid w:val="00D2067C"/>
    <w:rsid w:val="00D20B22"/>
    <w:rsid w:val="00D20B5B"/>
    <w:rsid w:val="00D33F97"/>
    <w:rsid w:val="00D341D1"/>
    <w:rsid w:val="00D34D39"/>
    <w:rsid w:val="00D360D9"/>
    <w:rsid w:val="00D40D12"/>
    <w:rsid w:val="00D44E21"/>
    <w:rsid w:val="00D46536"/>
    <w:rsid w:val="00D5284A"/>
    <w:rsid w:val="00D534E9"/>
    <w:rsid w:val="00D5469C"/>
    <w:rsid w:val="00D57326"/>
    <w:rsid w:val="00D60101"/>
    <w:rsid w:val="00D60BBB"/>
    <w:rsid w:val="00D672B1"/>
    <w:rsid w:val="00D709EA"/>
    <w:rsid w:val="00D71163"/>
    <w:rsid w:val="00D72543"/>
    <w:rsid w:val="00D7707B"/>
    <w:rsid w:val="00D80BD3"/>
    <w:rsid w:val="00D8430A"/>
    <w:rsid w:val="00D901C0"/>
    <w:rsid w:val="00D910DF"/>
    <w:rsid w:val="00D9223D"/>
    <w:rsid w:val="00D9606A"/>
    <w:rsid w:val="00DA197F"/>
    <w:rsid w:val="00DA1AE2"/>
    <w:rsid w:val="00DA1EB9"/>
    <w:rsid w:val="00DA2E99"/>
    <w:rsid w:val="00DA5CA8"/>
    <w:rsid w:val="00DB0918"/>
    <w:rsid w:val="00DB47C2"/>
    <w:rsid w:val="00DB4959"/>
    <w:rsid w:val="00DB4E69"/>
    <w:rsid w:val="00DB6733"/>
    <w:rsid w:val="00DC33A7"/>
    <w:rsid w:val="00DC4033"/>
    <w:rsid w:val="00DC444C"/>
    <w:rsid w:val="00DC635C"/>
    <w:rsid w:val="00DD1EA8"/>
    <w:rsid w:val="00DD2800"/>
    <w:rsid w:val="00DD3125"/>
    <w:rsid w:val="00DD42FC"/>
    <w:rsid w:val="00DD4C4C"/>
    <w:rsid w:val="00DD55E3"/>
    <w:rsid w:val="00DD78F4"/>
    <w:rsid w:val="00DE0D23"/>
    <w:rsid w:val="00DE104D"/>
    <w:rsid w:val="00DE18BF"/>
    <w:rsid w:val="00DE1E10"/>
    <w:rsid w:val="00DE2E01"/>
    <w:rsid w:val="00DE2FDC"/>
    <w:rsid w:val="00DE7D2B"/>
    <w:rsid w:val="00DE7E2D"/>
    <w:rsid w:val="00DF0FDD"/>
    <w:rsid w:val="00DF2A6D"/>
    <w:rsid w:val="00DF3588"/>
    <w:rsid w:val="00E01612"/>
    <w:rsid w:val="00E021EF"/>
    <w:rsid w:val="00E0616C"/>
    <w:rsid w:val="00E15611"/>
    <w:rsid w:val="00E173F8"/>
    <w:rsid w:val="00E223D0"/>
    <w:rsid w:val="00E25A38"/>
    <w:rsid w:val="00E34088"/>
    <w:rsid w:val="00E4493F"/>
    <w:rsid w:val="00E46AB7"/>
    <w:rsid w:val="00E46D08"/>
    <w:rsid w:val="00E476E6"/>
    <w:rsid w:val="00E47834"/>
    <w:rsid w:val="00E54076"/>
    <w:rsid w:val="00E55094"/>
    <w:rsid w:val="00E559E8"/>
    <w:rsid w:val="00E5650F"/>
    <w:rsid w:val="00E6033A"/>
    <w:rsid w:val="00E61A72"/>
    <w:rsid w:val="00E66255"/>
    <w:rsid w:val="00E66E53"/>
    <w:rsid w:val="00E85E89"/>
    <w:rsid w:val="00E905A5"/>
    <w:rsid w:val="00E90A31"/>
    <w:rsid w:val="00E92A2B"/>
    <w:rsid w:val="00E9552F"/>
    <w:rsid w:val="00E95657"/>
    <w:rsid w:val="00EA1E43"/>
    <w:rsid w:val="00EA3DB3"/>
    <w:rsid w:val="00EA53BE"/>
    <w:rsid w:val="00EA73A6"/>
    <w:rsid w:val="00EA74A6"/>
    <w:rsid w:val="00EB1000"/>
    <w:rsid w:val="00EB1481"/>
    <w:rsid w:val="00EB16FB"/>
    <w:rsid w:val="00EB2883"/>
    <w:rsid w:val="00EB3144"/>
    <w:rsid w:val="00EC0B95"/>
    <w:rsid w:val="00EC339C"/>
    <w:rsid w:val="00EC7097"/>
    <w:rsid w:val="00ED761F"/>
    <w:rsid w:val="00EE0962"/>
    <w:rsid w:val="00EE0B5C"/>
    <w:rsid w:val="00EE31C3"/>
    <w:rsid w:val="00EE369B"/>
    <w:rsid w:val="00EE5211"/>
    <w:rsid w:val="00EF5FBC"/>
    <w:rsid w:val="00F031B0"/>
    <w:rsid w:val="00F06EA1"/>
    <w:rsid w:val="00F105D5"/>
    <w:rsid w:val="00F11D9A"/>
    <w:rsid w:val="00F14D6C"/>
    <w:rsid w:val="00F16BF1"/>
    <w:rsid w:val="00F22812"/>
    <w:rsid w:val="00F2328C"/>
    <w:rsid w:val="00F26F9F"/>
    <w:rsid w:val="00F27773"/>
    <w:rsid w:val="00F27C68"/>
    <w:rsid w:val="00F318CC"/>
    <w:rsid w:val="00F35BF5"/>
    <w:rsid w:val="00F402B3"/>
    <w:rsid w:val="00F43937"/>
    <w:rsid w:val="00F443F1"/>
    <w:rsid w:val="00F459F6"/>
    <w:rsid w:val="00F45BA0"/>
    <w:rsid w:val="00F46818"/>
    <w:rsid w:val="00F46E58"/>
    <w:rsid w:val="00F47BE1"/>
    <w:rsid w:val="00F50235"/>
    <w:rsid w:val="00F52ABD"/>
    <w:rsid w:val="00F52E05"/>
    <w:rsid w:val="00F535AF"/>
    <w:rsid w:val="00F569C3"/>
    <w:rsid w:val="00F64979"/>
    <w:rsid w:val="00F660AE"/>
    <w:rsid w:val="00F67851"/>
    <w:rsid w:val="00F70798"/>
    <w:rsid w:val="00F73827"/>
    <w:rsid w:val="00F77CB8"/>
    <w:rsid w:val="00F83789"/>
    <w:rsid w:val="00F84AC4"/>
    <w:rsid w:val="00F86578"/>
    <w:rsid w:val="00F86660"/>
    <w:rsid w:val="00F86BD4"/>
    <w:rsid w:val="00F878FC"/>
    <w:rsid w:val="00F91B35"/>
    <w:rsid w:val="00F92677"/>
    <w:rsid w:val="00F92DE2"/>
    <w:rsid w:val="00F93727"/>
    <w:rsid w:val="00F9519C"/>
    <w:rsid w:val="00F956BC"/>
    <w:rsid w:val="00FA309C"/>
    <w:rsid w:val="00FA3293"/>
    <w:rsid w:val="00FB04F3"/>
    <w:rsid w:val="00FB167B"/>
    <w:rsid w:val="00FB1BB2"/>
    <w:rsid w:val="00FB570A"/>
    <w:rsid w:val="00FC5FE7"/>
    <w:rsid w:val="00FD2224"/>
    <w:rsid w:val="00FD4419"/>
    <w:rsid w:val="00FD7749"/>
    <w:rsid w:val="00FE0A76"/>
    <w:rsid w:val="00FE12D4"/>
    <w:rsid w:val="00FE5CA0"/>
    <w:rsid w:val="00FE61AF"/>
    <w:rsid w:val="00FE6F7E"/>
    <w:rsid w:val="00FE7B62"/>
    <w:rsid w:val="00FF1C7A"/>
    <w:rsid w:val="00FF22A5"/>
    <w:rsid w:val="00FF2535"/>
    <w:rsid w:val="00FF528B"/>
    <w:rsid w:val="00FF6F10"/>
    <w:rsid w:val="02258A20"/>
    <w:rsid w:val="035AA989"/>
    <w:rsid w:val="037D228F"/>
    <w:rsid w:val="0543D7CA"/>
    <w:rsid w:val="05A8B418"/>
    <w:rsid w:val="06CEC0CE"/>
    <w:rsid w:val="0717BBE3"/>
    <w:rsid w:val="073399FE"/>
    <w:rsid w:val="07373ABB"/>
    <w:rsid w:val="08165E83"/>
    <w:rsid w:val="088B9632"/>
    <w:rsid w:val="09390EFF"/>
    <w:rsid w:val="0A85CFA0"/>
    <w:rsid w:val="0C2C0595"/>
    <w:rsid w:val="0F352BC3"/>
    <w:rsid w:val="0FA01BE6"/>
    <w:rsid w:val="102DC455"/>
    <w:rsid w:val="108337AF"/>
    <w:rsid w:val="114F1D5D"/>
    <w:rsid w:val="11C7B151"/>
    <w:rsid w:val="1255B529"/>
    <w:rsid w:val="12978494"/>
    <w:rsid w:val="13828018"/>
    <w:rsid w:val="13C8EA3C"/>
    <w:rsid w:val="13FB9B64"/>
    <w:rsid w:val="147AF4B5"/>
    <w:rsid w:val="16510A6F"/>
    <w:rsid w:val="17E26868"/>
    <w:rsid w:val="18272AE4"/>
    <w:rsid w:val="190A08D1"/>
    <w:rsid w:val="19F8C419"/>
    <w:rsid w:val="1A5B3899"/>
    <w:rsid w:val="1ABFC135"/>
    <w:rsid w:val="1ADD735A"/>
    <w:rsid w:val="1B506713"/>
    <w:rsid w:val="1C135F7A"/>
    <w:rsid w:val="1EA3BA00"/>
    <w:rsid w:val="1FA00051"/>
    <w:rsid w:val="1FC83075"/>
    <w:rsid w:val="22201D79"/>
    <w:rsid w:val="2240FD8B"/>
    <w:rsid w:val="24CC2650"/>
    <w:rsid w:val="2623798B"/>
    <w:rsid w:val="27878E67"/>
    <w:rsid w:val="282AE7B5"/>
    <w:rsid w:val="2B8E00DC"/>
    <w:rsid w:val="2BA99621"/>
    <w:rsid w:val="2BDD4DB3"/>
    <w:rsid w:val="2C37FAFF"/>
    <w:rsid w:val="2CA080ED"/>
    <w:rsid w:val="2CB79F8E"/>
    <w:rsid w:val="2CDA330A"/>
    <w:rsid w:val="2D5EB344"/>
    <w:rsid w:val="2F3944DD"/>
    <w:rsid w:val="3033890A"/>
    <w:rsid w:val="3436F333"/>
    <w:rsid w:val="344603C8"/>
    <w:rsid w:val="3607ACC6"/>
    <w:rsid w:val="361B7D34"/>
    <w:rsid w:val="363DD5A0"/>
    <w:rsid w:val="37F78DB3"/>
    <w:rsid w:val="38B9D9F3"/>
    <w:rsid w:val="38FFEB88"/>
    <w:rsid w:val="39EF392A"/>
    <w:rsid w:val="3D5EA3B3"/>
    <w:rsid w:val="3FF65AED"/>
    <w:rsid w:val="4053BC6E"/>
    <w:rsid w:val="42A29175"/>
    <w:rsid w:val="430C1F5D"/>
    <w:rsid w:val="43DD015E"/>
    <w:rsid w:val="44EF0521"/>
    <w:rsid w:val="4574A107"/>
    <w:rsid w:val="46E4A502"/>
    <w:rsid w:val="480E6F4A"/>
    <w:rsid w:val="4A43004D"/>
    <w:rsid w:val="4BFA6142"/>
    <w:rsid w:val="4CA7FE30"/>
    <w:rsid w:val="4D7C5ACB"/>
    <w:rsid w:val="4DD1BC95"/>
    <w:rsid w:val="4E7C6F1A"/>
    <w:rsid w:val="4ED238DB"/>
    <w:rsid w:val="4FB32044"/>
    <w:rsid w:val="500025DA"/>
    <w:rsid w:val="51ECDD8B"/>
    <w:rsid w:val="51F57824"/>
    <w:rsid w:val="5215F607"/>
    <w:rsid w:val="52DF19C0"/>
    <w:rsid w:val="55919224"/>
    <w:rsid w:val="55C73A29"/>
    <w:rsid w:val="5612DB78"/>
    <w:rsid w:val="576B0052"/>
    <w:rsid w:val="57C23A33"/>
    <w:rsid w:val="590AA297"/>
    <w:rsid w:val="5982C22A"/>
    <w:rsid w:val="5A497AF7"/>
    <w:rsid w:val="5BE5C704"/>
    <w:rsid w:val="5D68C233"/>
    <w:rsid w:val="5E176AA0"/>
    <w:rsid w:val="5F22EDBE"/>
    <w:rsid w:val="5FE2196E"/>
    <w:rsid w:val="60D5111E"/>
    <w:rsid w:val="6166167A"/>
    <w:rsid w:val="62E9CA24"/>
    <w:rsid w:val="632638BB"/>
    <w:rsid w:val="63326B0E"/>
    <w:rsid w:val="63F0BA9E"/>
    <w:rsid w:val="642C3ABB"/>
    <w:rsid w:val="65207D4C"/>
    <w:rsid w:val="6610581F"/>
    <w:rsid w:val="663262F9"/>
    <w:rsid w:val="6647B6FA"/>
    <w:rsid w:val="67D41B55"/>
    <w:rsid w:val="68627150"/>
    <w:rsid w:val="68DBDA7B"/>
    <w:rsid w:val="6930005B"/>
    <w:rsid w:val="69B542C2"/>
    <w:rsid w:val="6B64C5A6"/>
    <w:rsid w:val="6BC39523"/>
    <w:rsid w:val="6BD3022C"/>
    <w:rsid w:val="6C10F5BA"/>
    <w:rsid w:val="6D68DD68"/>
    <w:rsid w:val="6D82CF2C"/>
    <w:rsid w:val="6DABCD20"/>
    <w:rsid w:val="6F068C9A"/>
    <w:rsid w:val="6FB490B8"/>
    <w:rsid w:val="70861F19"/>
    <w:rsid w:val="715E484F"/>
    <w:rsid w:val="7341C99B"/>
    <w:rsid w:val="73FA6595"/>
    <w:rsid w:val="742A614E"/>
    <w:rsid w:val="7715623F"/>
    <w:rsid w:val="7B0F7123"/>
    <w:rsid w:val="7C7045F8"/>
    <w:rsid w:val="7D7108B5"/>
    <w:rsid w:val="7DAAD369"/>
    <w:rsid w:val="7F2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C3E32"/>
  <w15:chartTrackingRefBased/>
  <w15:docId w15:val="{9338378C-65CF-435E-8105-4A96D34A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D8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77"/>
    <w:pPr>
      <w:keepNext/>
      <w:spacing w:before="240" w:after="60" w:line="240" w:lineRule="auto"/>
      <w:outlineLvl w:val="0"/>
    </w:pPr>
    <w:rPr>
      <w:rFonts w:eastAsia="Times New Roman" w:cs="Arial"/>
      <w:b/>
      <w:bCs/>
      <w:color w:val="3F4A75"/>
      <w:kern w:val="28"/>
      <w:sz w:val="44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77"/>
    <w:rPr>
      <w:rFonts w:ascii="Arial" w:eastAsia="Times New Roman" w:hAnsi="Arial" w:cs="Arial"/>
      <w:b/>
      <w:bCs/>
      <w:color w:val="3F4A75"/>
      <w:kern w:val="28"/>
      <w:sz w:val="44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46536"/>
  </w:style>
  <w:style w:type="character" w:customStyle="1" w:styleId="eop">
    <w:name w:val="eop"/>
    <w:basedOn w:val="DefaultParagraphFont"/>
    <w:rsid w:val="00D46536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99"/>
    <w:qFormat/>
    <w:rsid w:val="00D46536"/>
    <w:pPr>
      <w:ind w:left="720"/>
      <w:contextualSpacing/>
    </w:pPr>
  </w:style>
  <w:style w:type="paragraph" w:customStyle="1" w:styleId="paragraph">
    <w:name w:val="paragraph"/>
    <w:basedOn w:val="Normal"/>
    <w:rsid w:val="00D46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AU"/>
      <w14:ligatures w14:val="none"/>
    </w:rPr>
  </w:style>
  <w:style w:type="character" w:customStyle="1" w:styleId="superscript">
    <w:name w:val="superscript"/>
    <w:basedOn w:val="DefaultParagraphFont"/>
    <w:rsid w:val="00D46536"/>
  </w:style>
  <w:style w:type="paragraph" w:styleId="FootnoteText">
    <w:name w:val="footnote text"/>
    <w:basedOn w:val="Normal"/>
    <w:link w:val="FootnoteTextChar"/>
    <w:uiPriority w:val="99"/>
    <w:semiHidden/>
    <w:unhideWhenUsed/>
    <w:rsid w:val="00CF5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FF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FF1"/>
    <w:rPr>
      <w:vertAlign w:val="superscript"/>
    </w:rPr>
  </w:style>
  <w:style w:type="character" w:styleId="Hyperlink">
    <w:name w:val="Hyperlink"/>
    <w:basedOn w:val="DefaultParagraphFont"/>
    <w:uiPriority w:val="99"/>
    <w:rsid w:val="00CF5FF1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99"/>
    <w:locked/>
    <w:rsid w:val="00CF5FF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0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0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19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01"/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E26EC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F"/>
    <w:rPr>
      <w:rFonts w:asciiTheme="minorHAnsi" w:hAnsiTheme="minorHAnsi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C4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45BD"/>
    <w:rPr>
      <w:color w:val="954F72" w:themeColor="followedHyperlink"/>
      <w:u w:val="single"/>
    </w:rPr>
  </w:style>
  <w:style w:type="paragraph" w:styleId="ListBullet">
    <w:name w:val="List Bullet"/>
    <w:basedOn w:val="Normal"/>
    <w:qFormat/>
    <w:rsid w:val="003E20FE"/>
    <w:pPr>
      <w:numPr>
        <w:numId w:val="16"/>
      </w:numPr>
      <w:tabs>
        <w:tab w:val="left" w:pos="680"/>
      </w:tabs>
      <w:spacing w:before="60" w:after="60" w:line="276" w:lineRule="auto"/>
      <w:jc w:val="left"/>
    </w:pPr>
    <w:rPr>
      <w:rFonts w:eastAsia="Times New Roman"/>
      <w:color w:val="000000" w:themeColor="text1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1A1E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bs.gov.au/info/industry/pricing/designated-brands" TargetMode="External"/><Relationship Id="rId18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bs.gov.au/info/industry/pricing/minimum-stockholding-requirement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F2017L00313/latest/text" TargetMode="External"/><Relationship Id="rId17" Type="http://schemas.openxmlformats.org/officeDocument/2006/relationships/hyperlink" Target="https://www.legislation.gov.au/F2017L00313/latest/tex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C1953A00095/latest/text" TargetMode="External"/><Relationship Id="rId20" Type="http://schemas.openxmlformats.org/officeDocument/2006/relationships/hyperlink" Target="https://www.pbs.gov.au/info/industry/pricing/minimum-stockholding-requiremen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pbsstockholding@health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pbsstockholding@health.gov.au" TargetMode="External"/><Relationship Id="rId23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pbs.gov.au/info/industry/pricing/medicines-supply-security-guarantee" TargetMode="External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yperlink" Target="https://www.pbs.gov.au/info/industry/pricing/minimum-stockholding-requirement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au/F2017L00313/latest/text" TargetMode="External"/><Relationship Id="rId1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1D6E9696-10CF-4E50-BDD1-2FD481E86C38}">
    <t:Anchor>
      <t:Comment id="1988165813"/>
    </t:Anchor>
    <t:History>
      <t:Event id="{1F0E0F7D-3825-45B3-857B-4F460836C829}" time="2025-02-27T04:01:57.205Z">
        <t:Attribution userId="S::lee.moskwa@health.gov.au::3e41a71e-0e3a-4636-aa4e-5efacbad559d" userProvider="AD" userName="MOSKWA, Lee"/>
        <t:Anchor>
          <t:Comment id="1244785972"/>
        </t:Anchor>
        <t:Create/>
      </t:Event>
      <t:Event id="{90853DC6-DBAF-4963-955C-92BD57F66D66}" time="2025-02-27T04:01:57.205Z">
        <t:Attribution userId="S::lee.moskwa@health.gov.au::3e41a71e-0e3a-4636-aa4e-5efacbad559d" userProvider="AD" userName="MOSKWA, Lee"/>
        <t:Anchor>
          <t:Comment id="1244785972"/>
        </t:Anchor>
        <t:Assign userId="S::Sarah.WISE@Health.gov.au::8e9541bf-c284-4656-95d0-dbbba27dea31" userProvider="AD" userName="WISE, Sarah"/>
      </t:Event>
      <t:Event id="{7776129D-22D0-42A6-8CBF-725FE9F5DFE0}" time="2025-02-27T04:01:57.205Z">
        <t:Attribution userId="S::lee.moskwa@health.gov.au::3e41a71e-0e3a-4636-aa4e-5efacbad559d" userProvider="AD" userName="MOSKWA, Lee"/>
        <t:Anchor>
          <t:Comment id="1244785972"/>
        </t:Anchor>
        <t:SetTitle title="@WISE, Sarah Maddocks review version of the Dept Approach to Compliance removed abbreviation of RP and spelt out in full - and they also included the bold/blue text formatting, so followed that here. I like it - but happy to remove it/revert back to …"/>
      </t:Event>
      <t:Event id="{82785CFB-FAD3-405D-8BF9-19CE649BBEC2}" time="2025-02-27T05:53:22.418Z">
        <t:Attribution userId="S::Lee.MOSKWA@Health.gov.au::3e41a71e-0e3a-4636-aa4e-5efacbad559d" userProvider="AD" userName="MOSKWA, Le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4" ma:contentTypeDescription="Create a new document." ma:contentTypeScope="" ma:versionID="dd88582205d504f6291f9905598c3fe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7f60dd3d4f7332c59bdb7b666707fc47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 M A T T E R S ! 4 7 3 1 7 2 7 6 . 3 < / d o c u m e n t i d >  
     < s e n d e r i d > G J H < / s e n d e r i d >  
     < s e n d e r e m a i l > G E O R G I A . H U N T @ M A D D O C K S . C O M . A U < / s e n d e r e m a i l >  
     < l a s t m o d i f i e d > 2 0 2 5 - 0 3 - 0 4 T 1 1 : 5 2 : 0 0 . 0 0 0 0 0 0 0 + 1 1 : 0 0 < / l a s t m o d i f i e d >  
     < d a t a b a s e >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0F98-D424-4394-AF20-78A887E1A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3409C-33C1-4F83-875B-CC2447C04C5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1C1DBB0-2D64-480B-8C49-94A7E4C48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FA1C4-6983-430E-B061-F587F1E704B3}">
  <ds:schemaRefs>
    <ds:schemaRef ds:uri="http://purl.org/dc/elements/1.1/"/>
    <ds:schemaRef ds:uri="http://schemas.microsoft.com/office/2006/metadata/properties"/>
    <ds:schemaRef ds:uri="9e5c1668-581f-4ee2-a7dd-1be719054f32"/>
    <ds:schemaRef ds:uri="http://purl.org/dc/terms/"/>
    <ds:schemaRef ds:uri="9d27081d-fada-4d52-881b-68f42bb9724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B420EFB-3B91-4A9C-B4B7-D302193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880</Words>
  <Characters>5018</Characters>
  <Application>Microsoft Office Word</Application>
  <DocSecurity>0</DocSecurity>
  <Lines>41</Lines>
  <Paragraphs>11</Paragraphs>
  <ScaleCrop>false</ScaleCrop>
  <Company>Department of Health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MOSKWA, Lee</dc:creator>
  <cp:keywords/>
  <dc:description/>
  <cp:lastModifiedBy>MOSKWA, Lee</cp:lastModifiedBy>
  <cp:revision>23</cp:revision>
  <cp:lastPrinted>2025-03-12T02:25:00Z</cp:lastPrinted>
  <dcterms:created xsi:type="dcterms:W3CDTF">2025-03-05T17:45:00Z</dcterms:created>
  <dcterms:modified xsi:type="dcterms:W3CDTF">2025-03-12T02:26:00Z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  <property fmtid="{D5CDD505-2E9C-101B-9397-08002B2CF9AE}" pid="4" name="IMANAGEFOOTER">
    <vt:lpwstr>[9238081:47317276_3]</vt:lpwstr>
  </property>
</Properties>
</file>