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B3E31" w14:textId="11EDF0C6" w:rsidR="00BA2732" w:rsidRPr="002A7DCB" w:rsidRDefault="00C67D3E" w:rsidP="000B37E4">
      <w:pPr>
        <w:pStyle w:val="Heading1"/>
      </w:pPr>
      <w:r>
        <w:t xml:space="preserve">Fact Sheet – </w:t>
      </w:r>
      <w:r w:rsidR="00356000" w:rsidRPr="002A7DCB">
        <w:t>Ministerial Determinations of Another Quantity</w:t>
      </w:r>
    </w:p>
    <w:p w14:paraId="2A3C35B4" w14:textId="0A71DD7B" w:rsidR="00F73AA7" w:rsidRPr="00A45A23" w:rsidRDefault="00F73AA7" w:rsidP="000B37E4">
      <w:pPr>
        <w:rPr>
          <w:rFonts w:asciiTheme="minorHAnsi" w:hAnsiTheme="minorHAnsi" w:cstheme="minorBidi"/>
        </w:rPr>
        <w:sectPr w:rsidR="00F73AA7" w:rsidRPr="00A45A23" w:rsidSect="00F73AA7">
          <w:headerReference w:type="default" r:id="rId12"/>
          <w:footerReference w:type="default" r:id="rId13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6E7811">
        <w:rPr>
          <w:rFonts w:asciiTheme="minorHAnsi" w:hAnsiTheme="minorHAnsi" w:cstheme="minorBidi"/>
        </w:rPr>
        <w:t xml:space="preserve">Last updated: </w:t>
      </w:r>
      <w:r w:rsidR="006E7811" w:rsidRPr="006E7811">
        <w:rPr>
          <w:rFonts w:asciiTheme="minorHAnsi" w:hAnsiTheme="minorHAnsi" w:cstheme="minorBidi"/>
        </w:rPr>
        <w:t>4</w:t>
      </w:r>
      <w:r w:rsidRPr="006E7811">
        <w:rPr>
          <w:rFonts w:asciiTheme="minorHAnsi" w:hAnsiTheme="minorHAnsi" w:cstheme="minorBidi"/>
        </w:rPr>
        <w:t xml:space="preserve"> </w:t>
      </w:r>
      <w:r w:rsidR="2139F5D6" w:rsidRPr="006E7811">
        <w:rPr>
          <w:rFonts w:asciiTheme="minorHAnsi" w:hAnsiTheme="minorHAnsi" w:cstheme="minorBidi"/>
        </w:rPr>
        <w:t xml:space="preserve">March </w:t>
      </w:r>
      <w:r w:rsidRPr="006E7811">
        <w:rPr>
          <w:rFonts w:asciiTheme="minorHAnsi" w:hAnsiTheme="minorHAnsi" w:cstheme="minorBidi"/>
        </w:rPr>
        <w:t>2025</w:t>
      </w:r>
    </w:p>
    <w:p w14:paraId="49C11CD3" w14:textId="0D632AF7" w:rsidR="00840522" w:rsidRPr="008C64C0" w:rsidRDefault="00840522" w:rsidP="00847CF9">
      <w:pPr>
        <w:spacing w:after="0" w:line="240" w:lineRule="auto"/>
        <w:textAlignment w:val="baseline"/>
        <w:rPr>
          <w:rFonts w:ascii="Calibri Light" w:eastAsia="Yu Gothic Light" w:hAnsi="Calibri Light" w:cs="Calibri Light"/>
          <w:b/>
          <w:color w:val="2F5496"/>
          <w:sz w:val="28"/>
          <w:szCs w:val="28"/>
        </w:rPr>
      </w:pPr>
      <w:r w:rsidRPr="00847CF9">
        <w:rPr>
          <w:rFonts w:ascii="Calibri Light" w:hAnsi="Calibri Light" w:cs="Calibri Light"/>
          <w:color w:val="2F5496"/>
          <w:sz w:val="32"/>
          <w:szCs w:val="32"/>
          <w:lang w:eastAsia="en-AU"/>
        </w:rPr>
        <w:t>Purpose</w:t>
      </w:r>
      <w:r w:rsidR="00431886">
        <w:rPr>
          <w:rFonts w:ascii="Calibri Light" w:eastAsia="Yu Gothic Light" w:hAnsi="Calibri Light" w:cs="Calibri Light"/>
          <w:b/>
          <w:color w:val="2F5496"/>
          <w:sz w:val="28"/>
          <w:szCs w:val="28"/>
        </w:rPr>
        <w:tab/>
      </w:r>
    </w:p>
    <w:p w14:paraId="013409E3" w14:textId="1F79A608" w:rsidR="00C06CB9" w:rsidRPr="00F7524B" w:rsidRDefault="00C06CB9" w:rsidP="000B37E4">
      <w:pPr>
        <w:pStyle w:val="FigureTitle"/>
        <w:spacing w:line="276" w:lineRule="auto"/>
        <w:rPr>
          <w:rFonts w:ascii="Calibri" w:eastAsia="Yu Gothic Light" w:hAnsi="Calibri" w:cs="Calibri"/>
          <w:b w:val="0"/>
          <w:bCs w:val="0"/>
        </w:rPr>
      </w:pPr>
      <w:r w:rsidRPr="614A0522">
        <w:rPr>
          <w:rFonts w:ascii="Calibri" w:eastAsia="Yu Gothic Light" w:hAnsi="Calibri" w:cs="Calibri"/>
          <w:b w:val="0"/>
          <w:bCs w:val="0"/>
        </w:rPr>
        <w:t>This Factsheet outlines the</w:t>
      </w:r>
      <w:r w:rsidR="00AA1162" w:rsidRPr="614A0522">
        <w:rPr>
          <w:rFonts w:ascii="Calibri" w:eastAsia="Yu Gothic Light" w:hAnsi="Calibri" w:cs="Calibri"/>
          <w:b w:val="0"/>
          <w:bCs w:val="0"/>
        </w:rPr>
        <w:t xml:space="preserve"> process and </w:t>
      </w:r>
      <w:r w:rsidR="005F3959" w:rsidRPr="614A0522">
        <w:rPr>
          <w:rFonts w:ascii="Calibri" w:eastAsia="Yu Gothic Light" w:hAnsi="Calibri" w:cs="Calibri"/>
          <w:b w:val="0"/>
          <w:bCs w:val="0"/>
        </w:rPr>
        <w:t xml:space="preserve">matters that may be </w:t>
      </w:r>
      <w:r w:rsidR="00430751" w:rsidRPr="614A0522">
        <w:rPr>
          <w:rFonts w:ascii="Calibri" w:eastAsia="Yu Gothic Light" w:hAnsi="Calibri" w:cs="Calibri"/>
          <w:b w:val="0"/>
          <w:bCs w:val="0"/>
        </w:rPr>
        <w:t>consider</w:t>
      </w:r>
      <w:r w:rsidR="005F3959" w:rsidRPr="614A0522">
        <w:rPr>
          <w:rFonts w:ascii="Calibri" w:eastAsia="Yu Gothic Light" w:hAnsi="Calibri" w:cs="Calibri"/>
          <w:b w:val="0"/>
          <w:bCs w:val="0"/>
        </w:rPr>
        <w:t>ed</w:t>
      </w:r>
      <w:r w:rsidR="006346F8" w:rsidRPr="614A0522">
        <w:rPr>
          <w:rFonts w:ascii="Calibri" w:eastAsia="Yu Gothic Light" w:hAnsi="Calibri" w:cs="Calibri"/>
          <w:b w:val="0"/>
          <w:bCs w:val="0"/>
        </w:rPr>
        <w:t xml:space="preserve"> by the Minister for Health and Aged Care when </w:t>
      </w:r>
      <w:proofErr w:type="gramStart"/>
      <w:r w:rsidR="006346F8" w:rsidRPr="614A0522">
        <w:rPr>
          <w:rFonts w:ascii="Calibri" w:eastAsia="Yu Gothic Light" w:hAnsi="Calibri" w:cs="Calibri"/>
          <w:b w:val="0"/>
          <w:bCs w:val="0"/>
        </w:rPr>
        <w:t>making a</w:t>
      </w:r>
      <w:r w:rsidR="00430751" w:rsidRPr="614A0522">
        <w:rPr>
          <w:rFonts w:ascii="Calibri" w:eastAsia="Yu Gothic Light" w:hAnsi="Calibri" w:cs="Calibri"/>
          <w:b w:val="0"/>
          <w:bCs w:val="0"/>
        </w:rPr>
        <w:t xml:space="preserve"> determination</w:t>
      </w:r>
      <w:proofErr w:type="gramEnd"/>
      <w:r w:rsidR="00430751" w:rsidRPr="614A0522">
        <w:rPr>
          <w:rFonts w:ascii="Calibri" w:eastAsia="Yu Gothic Light" w:hAnsi="Calibri" w:cs="Calibri"/>
          <w:b w:val="0"/>
          <w:bCs w:val="0"/>
        </w:rPr>
        <w:t xml:space="preserve"> </w:t>
      </w:r>
      <w:r w:rsidR="00ED13F5" w:rsidRPr="614A0522">
        <w:rPr>
          <w:rFonts w:asciiTheme="minorHAnsi" w:hAnsiTheme="minorHAnsi" w:cstheme="minorBidi"/>
          <w:b w:val="0"/>
          <w:bCs w:val="0"/>
        </w:rPr>
        <w:t xml:space="preserve">of ‘another quantity’ </w:t>
      </w:r>
      <w:r w:rsidR="00804595" w:rsidRPr="614A0522">
        <w:rPr>
          <w:rFonts w:ascii="Calibri" w:eastAsia="Yu Gothic Light" w:hAnsi="Calibri" w:cs="Calibri"/>
          <w:b w:val="0"/>
          <w:bCs w:val="0"/>
        </w:rPr>
        <w:t xml:space="preserve">for the purposes of the </w:t>
      </w:r>
      <w:r w:rsidRPr="614A0522">
        <w:rPr>
          <w:rFonts w:ascii="Calibri" w:eastAsia="Yu Gothic Light" w:hAnsi="Calibri" w:cs="Calibri"/>
          <w:b w:val="0"/>
          <w:bCs w:val="0"/>
        </w:rPr>
        <w:t>minimum stockholding requirement (</w:t>
      </w:r>
      <w:r w:rsidRPr="614A0522">
        <w:rPr>
          <w:rFonts w:ascii="Calibri" w:eastAsia="Yu Gothic Light" w:hAnsi="Calibri" w:cs="Calibri"/>
        </w:rPr>
        <w:t>MSR</w:t>
      </w:r>
      <w:r w:rsidRPr="614A0522">
        <w:rPr>
          <w:rFonts w:ascii="Calibri" w:eastAsia="Yu Gothic Light" w:hAnsi="Calibri" w:cs="Calibri"/>
          <w:b w:val="0"/>
          <w:bCs w:val="0"/>
        </w:rPr>
        <w:t xml:space="preserve">) under Division 3CAA of Part VII of the </w:t>
      </w:r>
      <w:r w:rsidRPr="614A0522">
        <w:rPr>
          <w:rFonts w:ascii="Calibri" w:eastAsia="Yu Gothic Light" w:hAnsi="Calibri" w:cs="Calibri"/>
          <w:b w:val="0"/>
          <w:bCs w:val="0"/>
          <w:i/>
        </w:rPr>
        <w:t>National Health Act 1953</w:t>
      </w:r>
      <w:r w:rsidRPr="614A0522">
        <w:rPr>
          <w:rFonts w:ascii="Calibri" w:eastAsia="Yu Gothic Light" w:hAnsi="Calibri" w:cs="Calibri"/>
          <w:b w:val="0"/>
          <w:bCs w:val="0"/>
        </w:rPr>
        <w:t xml:space="preserve"> (</w:t>
      </w:r>
      <w:r w:rsidRPr="00062E3E">
        <w:rPr>
          <w:rFonts w:ascii="Calibri" w:eastAsia="Yu Gothic Light" w:hAnsi="Calibri" w:cs="Calibri"/>
        </w:rPr>
        <w:t>the Act</w:t>
      </w:r>
      <w:r w:rsidRPr="614A0522">
        <w:rPr>
          <w:rFonts w:ascii="Calibri" w:eastAsia="Yu Gothic Light" w:hAnsi="Calibri" w:cs="Calibri"/>
          <w:b w:val="0"/>
          <w:bCs w:val="0"/>
        </w:rPr>
        <w:t>)</w:t>
      </w:r>
      <w:r w:rsidR="003E0566" w:rsidRPr="614A0522">
        <w:rPr>
          <w:rFonts w:ascii="Calibri" w:eastAsia="Yu Gothic Light" w:hAnsi="Calibri" w:cs="Calibri"/>
          <w:b w:val="0"/>
          <w:bCs w:val="0"/>
        </w:rPr>
        <w:t>.</w:t>
      </w:r>
    </w:p>
    <w:p w14:paraId="758CE2F9" w14:textId="0E339EF5" w:rsidR="00840522" w:rsidRPr="00847CF9" w:rsidRDefault="00840522" w:rsidP="00847CF9">
      <w:pPr>
        <w:spacing w:after="0" w:line="240" w:lineRule="auto"/>
        <w:textAlignment w:val="baseline"/>
        <w:rPr>
          <w:rFonts w:ascii="Calibri Light" w:hAnsi="Calibri Light" w:cs="Calibri Light"/>
          <w:color w:val="2F5496"/>
          <w:sz w:val="32"/>
          <w:szCs w:val="32"/>
          <w:lang w:eastAsia="en-AU"/>
        </w:rPr>
      </w:pPr>
      <w:r w:rsidRPr="00847CF9">
        <w:rPr>
          <w:rFonts w:ascii="Calibri Light" w:hAnsi="Calibri Light" w:cs="Calibri Light"/>
          <w:color w:val="2F5496"/>
          <w:sz w:val="32"/>
          <w:szCs w:val="32"/>
          <w:lang w:eastAsia="en-AU"/>
        </w:rPr>
        <w:t>The Requirements</w:t>
      </w:r>
    </w:p>
    <w:p w14:paraId="4821DD68" w14:textId="25E0C6BE" w:rsidR="00CE6502" w:rsidRPr="00A45A23" w:rsidRDefault="005661C1" w:rsidP="000B37E4">
      <w:pPr>
        <w:rPr>
          <w:rFonts w:asciiTheme="minorHAnsi" w:hAnsiTheme="minorHAnsi" w:cstheme="minorBidi"/>
        </w:rPr>
      </w:pPr>
      <w:r w:rsidRPr="5247C6C8">
        <w:rPr>
          <w:rFonts w:asciiTheme="minorHAnsi" w:hAnsiTheme="minorHAnsi" w:cstheme="minorBidi"/>
        </w:rPr>
        <w:t>The Act</w:t>
      </w:r>
      <w:r w:rsidR="005D40DF" w:rsidRPr="5247C6C8">
        <w:rPr>
          <w:rFonts w:asciiTheme="minorHAnsi" w:hAnsiTheme="minorHAnsi" w:cstheme="minorBidi"/>
        </w:rPr>
        <w:t xml:space="preserve"> imposes a requirement for </w:t>
      </w:r>
      <w:r w:rsidR="7BB507F8" w:rsidRPr="5247C6C8">
        <w:rPr>
          <w:rFonts w:ascii="Calibri" w:eastAsia="Calibri" w:hAnsi="Calibri" w:cs="Calibri"/>
          <w:b/>
          <w:bCs/>
          <w:color w:val="2F5496"/>
          <w:szCs w:val="22"/>
        </w:rPr>
        <w:t>Responsible Person</w:t>
      </w:r>
      <w:r w:rsidR="7BB507F8" w:rsidRPr="5247C6C8">
        <w:rPr>
          <w:rFonts w:ascii="Calibri" w:eastAsia="Calibri" w:hAnsi="Calibri" w:cs="Calibri"/>
          <w:szCs w:val="22"/>
        </w:rPr>
        <w:t xml:space="preserve"> </w:t>
      </w:r>
      <w:r w:rsidR="00BB1F88" w:rsidRPr="5247C6C8">
        <w:rPr>
          <w:rFonts w:asciiTheme="minorHAnsi" w:hAnsiTheme="minorHAnsi" w:cstheme="minorBidi"/>
        </w:rPr>
        <w:t xml:space="preserve">keep a minimum stockholding </w:t>
      </w:r>
      <w:r w:rsidR="00DE4C95" w:rsidRPr="5247C6C8">
        <w:rPr>
          <w:rFonts w:asciiTheme="minorHAnsi" w:hAnsiTheme="minorHAnsi" w:cstheme="minorBidi"/>
        </w:rPr>
        <w:t>of 4 or 6 months</w:t>
      </w:r>
      <w:r w:rsidR="00D55EFC" w:rsidRPr="5247C6C8">
        <w:rPr>
          <w:rFonts w:asciiTheme="minorHAnsi" w:hAnsiTheme="minorHAnsi" w:cstheme="minorBidi"/>
        </w:rPr>
        <w:t>’ stock</w:t>
      </w:r>
      <w:r w:rsidR="00194138" w:rsidRPr="5247C6C8">
        <w:rPr>
          <w:rFonts w:asciiTheme="minorHAnsi" w:hAnsiTheme="minorHAnsi" w:cstheme="minorBidi"/>
        </w:rPr>
        <w:t xml:space="preserve"> (by reference to usual demand)</w:t>
      </w:r>
      <w:r w:rsidR="001A4031" w:rsidRPr="5247C6C8">
        <w:rPr>
          <w:rFonts w:asciiTheme="minorHAnsi" w:hAnsiTheme="minorHAnsi" w:cstheme="minorBidi"/>
        </w:rPr>
        <w:t xml:space="preserve"> </w:t>
      </w:r>
      <w:r w:rsidR="00D55EFC" w:rsidRPr="5247C6C8">
        <w:rPr>
          <w:rFonts w:asciiTheme="minorHAnsi" w:hAnsiTheme="minorHAnsi" w:cstheme="minorBidi"/>
        </w:rPr>
        <w:t>f</w:t>
      </w:r>
      <w:r w:rsidR="001A4031" w:rsidRPr="5247C6C8">
        <w:rPr>
          <w:rFonts w:asciiTheme="minorHAnsi" w:hAnsiTheme="minorHAnsi" w:cstheme="minorBidi"/>
        </w:rPr>
        <w:t>or</w:t>
      </w:r>
      <w:r w:rsidR="005D40DF" w:rsidRPr="5247C6C8">
        <w:rPr>
          <w:rFonts w:asciiTheme="minorHAnsi" w:hAnsiTheme="minorHAnsi" w:cstheme="minorBidi"/>
        </w:rPr>
        <w:t xml:space="preserve"> </w:t>
      </w:r>
      <w:r w:rsidR="00C542C6">
        <w:rPr>
          <w:rFonts w:ascii="Calibri" w:eastAsia="Calibri" w:hAnsi="Calibri" w:cs="Calibri"/>
          <w:b/>
          <w:bCs/>
          <w:color w:val="2F5496"/>
          <w:szCs w:val="22"/>
        </w:rPr>
        <w:t>d</w:t>
      </w:r>
      <w:r w:rsidR="00415045" w:rsidRPr="5247C6C8">
        <w:rPr>
          <w:rFonts w:ascii="Calibri" w:eastAsia="Calibri" w:hAnsi="Calibri" w:cs="Calibri"/>
          <w:b/>
          <w:bCs/>
          <w:color w:val="2F5496"/>
          <w:szCs w:val="22"/>
        </w:rPr>
        <w:t xml:space="preserve">esignated </w:t>
      </w:r>
      <w:r w:rsidR="00C542C6">
        <w:rPr>
          <w:rFonts w:ascii="Calibri" w:eastAsia="Calibri" w:hAnsi="Calibri" w:cs="Calibri"/>
          <w:b/>
          <w:bCs/>
          <w:color w:val="2F5496"/>
          <w:szCs w:val="22"/>
        </w:rPr>
        <w:t>b</w:t>
      </w:r>
      <w:r w:rsidR="00415045" w:rsidRPr="5247C6C8">
        <w:rPr>
          <w:rFonts w:ascii="Calibri" w:eastAsia="Calibri" w:hAnsi="Calibri" w:cs="Calibri"/>
          <w:b/>
          <w:bCs/>
          <w:color w:val="2F5496"/>
          <w:szCs w:val="22"/>
        </w:rPr>
        <w:t>rands</w:t>
      </w:r>
      <w:r w:rsidR="00194138" w:rsidRPr="5247C6C8">
        <w:rPr>
          <w:rFonts w:ascii="Calibri" w:eastAsia="Calibri" w:hAnsi="Calibri" w:cs="Calibri"/>
          <w:b/>
          <w:bCs/>
          <w:color w:val="2F5496"/>
          <w:szCs w:val="22"/>
        </w:rPr>
        <w:t>,</w:t>
      </w:r>
      <w:r w:rsidR="003344D4" w:rsidRPr="5247C6C8">
        <w:rPr>
          <w:rFonts w:asciiTheme="minorHAnsi" w:hAnsiTheme="minorHAnsi" w:cstheme="minorBidi"/>
        </w:rPr>
        <w:t xml:space="preserve"> </w:t>
      </w:r>
      <w:r w:rsidR="00194138" w:rsidRPr="5247C6C8">
        <w:rPr>
          <w:rFonts w:asciiTheme="minorHAnsi" w:hAnsiTheme="minorHAnsi" w:cstheme="minorBidi"/>
        </w:rPr>
        <w:t>unless t</w:t>
      </w:r>
      <w:r w:rsidR="00267A95" w:rsidRPr="5247C6C8">
        <w:rPr>
          <w:rFonts w:asciiTheme="minorHAnsi" w:hAnsiTheme="minorHAnsi" w:cstheme="minorBidi"/>
        </w:rPr>
        <w:t>he Minister</w:t>
      </w:r>
      <w:r w:rsidR="00045DEA" w:rsidRPr="5247C6C8">
        <w:rPr>
          <w:rFonts w:asciiTheme="minorHAnsi" w:hAnsiTheme="minorHAnsi" w:cstheme="minorBidi"/>
        </w:rPr>
        <w:t xml:space="preserve"> </w:t>
      </w:r>
      <w:r w:rsidR="007E7B41" w:rsidRPr="5247C6C8">
        <w:rPr>
          <w:rFonts w:asciiTheme="minorHAnsi" w:hAnsiTheme="minorHAnsi" w:cstheme="minorBidi"/>
        </w:rPr>
        <w:t>make</w:t>
      </w:r>
      <w:r w:rsidR="00194138" w:rsidRPr="5247C6C8">
        <w:rPr>
          <w:rFonts w:asciiTheme="minorHAnsi" w:hAnsiTheme="minorHAnsi" w:cstheme="minorBidi"/>
        </w:rPr>
        <w:t>s</w:t>
      </w:r>
      <w:r w:rsidR="007E7B41" w:rsidRPr="5247C6C8">
        <w:rPr>
          <w:rFonts w:asciiTheme="minorHAnsi" w:hAnsiTheme="minorHAnsi" w:cstheme="minorBidi"/>
        </w:rPr>
        <w:t xml:space="preserve"> a</w:t>
      </w:r>
      <w:r w:rsidR="002760FF" w:rsidRPr="5247C6C8">
        <w:rPr>
          <w:rFonts w:asciiTheme="minorHAnsi" w:hAnsiTheme="minorHAnsi" w:cstheme="minorBidi"/>
        </w:rPr>
        <w:t xml:space="preserve"> </w:t>
      </w:r>
      <w:r w:rsidR="004A13E2" w:rsidRPr="5247C6C8">
        <w:rPr>
          <w:rFonts w:asciiTheme="minorHAnsi" w:hAnsiTheme="minorHAnsi" w:cstheme="minorBidi"/>
        </w:rPr>
        <w:t xml:space="preserve">determination </w:t>
      </w:r>
      <w:r w:rsidR="00330567" w:rsidRPr="5247C6C8">
        <w:rPr>
          <w:rFonts w:asciiTheme="minorHAnsi" w:hAnsiTheme="minorHAnsi" w:cstheme="minorBidi"/>
        </w:rPr>
        <w:t>ascertaining</w:t>
      </w:r>
      <w:r w:rsidR="004A13E2" w:rsidRPr="5247C6C8">
        <w:rPr>
          <w:rFonts w:asciiTheme="minorHAnsi" w:hAnsiTheme="minorHAnsi" w:cstheme="minorBidi"/>
        </w:rPr>
        <w:t xml:space="preserve"> ‘another quantity’</w:t>
      </w:r>
      <w:r w:rsidR="000863A2" w:rsidRPr="5247C6C8">
        <w:rPr>
          <w:rFonts w:asciiTheme="minorHAnsi" w:hAnsiTheme="minorHAnsi" w:cstheme="minorBidi"/>
        </w:rPr>
        <w:t xml:space="preserve"> (</w:t>
      </w:r>
      <w:r w:rsidR="000863A2" w:rsidRPr="5247C6C8">
        <w:rPr>
          <w:rFonts w:asciiTheme="minorHAnsi" w:hAnsiTheme="minorHAnsi" w:cstheme="minorBidi"/>
          <w:b/>
          <w:bCs/>
        </w:rPr>
        <w:t>a Ministerial determination</w:t>
      </w:r>
      <w:r w:rsidR="000863A2" w:rsidRPr="5247C6C8">
        <w:rPr>
          <w:rFonts w:asciiTheme="minorHAnsi" w:hAnsiTheme="minorHAnsi" w:cstheme="minorBidi"/>
        </w:rPr>
        <w:t>)</w:t>
      </w:r>
      <w:r w:rsidR="00194138" w:rsidRPr="5247C6C8">
        <w:rPr>
          <w:rFonts w:asciiTheme="minorHAnsi" w:hAnsiTheme="minorHAnsi" w:cstheme="minorBidi"/>
        </w:rPr>
        <w:t xml:space="preserve"> </w:t>
      </w:r>
      <w:r w:rsidR="00F85224" w:rsidRPr="5247C6C8">
        <w:rPr>
          <w:rFonts w:asciiTheme="minorHAnsi" w:hAnsiTheme="minorHAnsi" w:cstheme="minorBidi"/>
        </w:rPr>
        <w:t>which will</w:t>
      </w:r>
      <w:r w:rsidR="00194138" w:rsidRPr="5247C6C8">
        <w:rPr>
          <w:rFonts w:asciiTheme="minorHAnsi" w:hAnsiTheme="minorHAnsi" w:cstheme="minorBidi"/>
        </w:rPr>
        <w:t xml:space="preserve"> apply for the purposes of the MSR.</w:t>
      </w:r>
    </w:p>
    <w:p w14:paraId="1897D4DD" w14:textId="7633B922" w:rsidR="00074B86" w:rsidRPr="00847CF9" w:rsidRDefault="009E6782" w:rsidP="00847CF9">
      <w:pPr>
        <w:spacing w:after="0" w:line="240" w:lineRule="auto"/>
        <w:textAlignment w:val="baseline"/>
        <w:rPr>
          <w:rFonts w:ascii="Calibri Light" w:hAnsi="Calibri Light" w:cs="Calibri Light"/>
          <w:color w:val="2F5496"/>
          <w:sz w:val="32"/>
          <w:szCs w:val="32"/>
          <w:lang w:eastAsia="en-AU"/>
        </w:rPr>
      </w:pPr>
      <w:r w:rsidRPr="00847CF9">
        <w:rPr>
          <w:rFonts w:ascii="Calibri Light" w:hAnsi="Calibri Light" w:cs="Calibri Light"/>
          <w:color w:val="2F5496"/>
          <w:sz w:val="32"/>
          <w:szCs w:val="32"/>
          <w:lang w:eastAsia="en-AU"/>
        </w:rPr>
        <w:t>Mini</w:t>
      </w:r>
      <w:r w:rsidR="00582261" w:rsidRPr="00847CF9">
        <w:rPr>
          <w:rFonts w:ascii="Calibri Light" w:hAnsi="Calibri Light" w:cs="Calibri Light"/>
          <w:color w:val="2F5496"/>
          <w:sz w:val="32"/>
          <w:szCs w:val="32"/>
          <w:lang w:eastAsia="en-AU"/>
        </w:rPr>
        <w:t>sterial determination</w:t>
      </w:r>
      <w:r w:rsidR="004A7116" w:rsidRPr="00847CF9">
        <w:rPr>
          <w:rFonts w:ascii="Calibri Light" w:hAnsi="Calibri Light" w:cs="Calibri Light"/>
          <w:color w:val="2F5496"/>
          <w:sz w:val="32"/>
          <w:szCs w:val="32"/>
          <w:lang w:eastAsia="en-AU"/>
        </w:rPr>
        <w:t>s</w:t>
      </w:r>
      <w:r w:rsidR="00A80C9A" w:rsidRPr="00847CF9">
        <w:rPr>
          <w:rFonts w:ascii="Calibri Light" w:hAnsi="Calibri Light" w:cs="Calibri Light"/>
          <w:color w:val="2F5496"/>
          <w:sz w:val="32"/>
          <w:szCs w:val="32"/>
          <w:lang w:eastAsia="en-AU"/>
        </w:rPr>
        <w:t xml:space="preserve"> of another quantity</w:t>
      </w:r>
    </w:p>
    <w:p w14:paraId="3E743103" w14:textId="451D4726" w:rsidR="00FB0D08" w:rsidRPr="00054F90" w:rsidRDefault="00545146" w:rsidP="000B37E4">
      <w:pPr>
        <w:rPr>
          <w:rFonts w:asciiTheme="minorHAnsi" w:eastAsiaTheme="minorEastAsia" w:hAnsiTheme="minorHAnsi"/>
          <w:color w:val="auto"/>
          <w:kern w:val="2"/>
          <w14:ligatures w14:val="standardContextual"/>
        </w:rPr>
      </w:pPr>
      <w:r w:rsidRPr="614A0522">
        <w:rPr>
          <w:rFonts w:asciiTheme="minorHAnsi" w:eastAsiaTheme="minorEastAsia" w:hAnsiTheme="minorHAnsi"/>
          <w:color w:val="auto"/>
          <w:kern w:val="2"/>
          <w14:ligatures w14:val="standardContextual"/>
        </w:rPr>
        <w:t>Responsible Person</w:t>
      </w:r>
      <w:r w:rsidR="00F511EE" w:rsidRPr="614A0522">
        <w:rPr>
          <w:rFonts w:asciiTheme="minorHAnsi" w:eastAsiaTheme="minorEastAsia" w:hAnsiTheme="minorHAnsi"/>
          <w:color w:val="auto"/>
        </w:rPr>
        <w:t>s can apply for a Ministerial determination in relation to a designated brand</w:t>
      </w:r>
      <w:r w:rsidR="00FB0D08" w:rsidRPr="614A0522">
        <w:rPr>
          <w:rFonts w:asciiTheme="minorHAnsi" w:eastAsiaTheme="minorEastAsia" w:hAnsiTheme="minorHAnsi"/>
          <w:color w:val="auto"/>
          <w:kern w:val="2"/>
          <w14:ligatures w14:val="standardContextual"/>
        </w:rPr>
        <w:t>.</w:t>
      </w:r>
      <w:r w:rsidR="00AA09A3" w:rsidRPr="614A0522">
        <w:rPr>
          <w:rFonts w:asciiTheme="minorHAnsi" w:eastAsiaTheme="minorEastAsia" w:hAnsiTheme="minorHAnsi"/>
          <w:color w:val="auto"/>
          <w:kern w:val="2"/>
          <w14:ligatures w14:val="standardContextual"/>
        </w:rPr>
        <w:t xml:space="preserve"> </w:t>
      </w:r>
      <w:r w:rsidR="00330567" w:rsidRPr="614A0522">
        <w:rPr>
          <w:rFonts w:asciiTheme="minorHAnsi" w:eastAsiaTheme="minorEastAsia" w:hAnsiTheme="minorHAnsi"/>
          <w:color w:val="auto"/>
        </w:rPr>
        <w:t>On receipt of such an application, t</w:t>
      </w:r>
      <w:r w:rsidR="00FB0D08" w:rsidRPr="614A0522">
        <w:rPr>
          <w:rFonts w:asciiTheme="minorHAnsi" w:eastAsiaTheme="minorEastAsia" w:hAnsiTheme="minorHAnsi"/>
          <w:color w:val="auto"/>
          <w:kern w:val="2"/>
          <w14:ligatures w14:val="standardContextual"/>
        </w:rPr>
        <w:t xml:space="preserve">he Minister </w:t>
      </w:r>
      <w:r w:rsidR="00B043FD" w:rsidRPr="614A0522">
        <w:rPr>
          <w:rFonts w:asciiTheme="minorHAnsi" w:eastAsiaTheme="minorEastAsia" w:hAnsiTheme="minorHAnsi"/>
          <w:color w:val="auto"/>
        </w:rPr>
        <w:t>may</w:t>
      </w:r>
      <w:r w:rsidR="0052426F" w:rsidRPr="614A0522">
        <w:rPr>
          <w:rFonts w:asciiTheme="minorHAnsi" w:eastAsiaTheme="minorEastAsia" w:hAnsiTheme="minorHAnsi"/>
          <w:color w:val="auto"/>
        </w:rPr>
        <w:t xml:space="preserve"> </w:t>
      </w:r>
      <w:r w:rsidR="00D52091" w:rsidRPr="614A0522">
        <w:rPr>
          <w:rFonts w:asciiTheme="minorHAnsi" w:eastAsiaTheme="minorEastAsia" w:hAnsiTheme="minorHAnsi"/>
          <w:color w:val="auto"/>
        </w:rPr>
        <w:t xml:space="preserve">have regard to </w:t>
      </w:r>
      <w:r w:rsidR="00FB0D08" w:rsidRPr="614A0522">
        <w:rPr>
          <w:rFonts w:asciiTheme="minorHAnsi" w:eastAsiaTheme="minorEastAsia" w:hAnsiTheme="minorHAnsi"/>
          <w:color w:val="auto"/>
          <w:kern w:val="2"/>
          <w14:ligatures w14:val="standardContextual"/>
        </w:rPr>
        <w:t xml:space="preserve">any matters that they consider relevant </w:t>
      </w:r>
      <w:r w:rsidR="00963F9E" w:rsidRPr="614A0522">
        <w:rPr>
          <w:rFonts w:asciiTheme="minorHAnsi" w:eastAsiaTheme="minorEastAsia" w:hAnsiTheme="minorHAnsi"/>
          <w:color w:val="auto"/>
        </w:rPr>
        <w:t xml:space="preserve">when deciding </w:t>
      </w:r>
      <w:r w:rsidR="00FB0D08" w:rsidRPr="614A0522">
        <w:rPr>
          <w:rFonts w:asciiTheme="minorHAnsi" w:eastAsiaTheme="minorEastAsia" w:hAnsiTheme="minorHAnsi"/>
          <w:color w:val="auto"/>
          <w:kern w:val="2"/>
          <w14:ligatures w14:val="standardContextual"/>
        </w:rPr>
        <w:t>whether it is appropriate to make a Ministerial determination (and if relevant, what quantity is determined).</w:t>
      </w:r>
    </w:p>
    <w:p w14:paraId="27D16E4C" w14:textId="7C9B40C8" w:rsidR="00825AEB" w:rsidRPr="00A45A23" w:rsidRDefault="00E538FF" w:rsidP="000B37E4">
      <w:pPr>
        <w:pStyle w:val="ListBullet"/>
        <w:numPr>
          <w:ilvl w:val="0"/>
          <w:numId w:val="0"/>
        </w:numPr>
        <w:tabs>
          <w:tab w:val="left" w:pos="0"/>
        </w:tabs>
        <w:rPr>
          <w:rFonts w:asciiTheme="minorHAnsi" w:hAnsiTheme="minorHAnsi" w:cstheme="minorHAnsi"/>
        </w:rPr>
      </w:pPr>
      <w:r w:rsidRPr="00A45A23">
        <w:rPr>
          <w:rFonts w:asciiTheme="minorHAnsi" w:hAnsiTheme="minorHAnsi" w:cstheme="minorHAnsi"/>
        </w:rPr>
        <w:t xml:space="preserve">Ministerial determinations </w:t>
      </w:r>
      <w:r w:rsidR="001804E8" w:rsidRPr="00A45A23">
        <w:rPr>
          <w:rFonts w:asciiTheme="minorHAnsi" w:hAnsiTheme="minorHAnsi" w:cstheme="minorHAnsi"/>
        </w:rPr>
        <w:t xml:space="preserve">may be </w:t>
      </w:r>
      <w:r w:rsidRPr="00A45A23">
        <w:rPr>
          <w:rFonts w:asciiTheme="minorHAnsi" w:hAnsiTheme="minorHAnsi" w:cstheme="minorHAnsi"/>
        </w:rPr>
        <w:t>use</w:t>
      </w:r>
      <w:r w:rsidR="001E03A2" w:rsidRPr="00A45A23">
        <w:rPr>
          <w:rFonts w:asciiTheme="minorHAnsi" w:hAnsiTheme="minorHAnsi" w:cstheme="minorHAnsi"/>
        </w:rPr>
        <w:t>d</w:t>
      </w:r>
      <w:r w:rsidRPr="00A45A23">
        <w:rPr>
          <w:rFonts w:asciiTheme="minorHAnsi" w:hAnsiTheme="minorHAnsi" w:cstheme="minorHAnsi"/>
        </w:rPr>
        <w:t xml:space="preserve"> to address long</w:t>
      </w:r>
      <w:r w:rsidR="002201F3" w:rsidRPr="00A45A23">
        <w:rPr>
          <w:rFonts w:asciiTheme="minorHAnsi" w:hAnsiTheme="minorHAnsi" w:cstheme="minorHAnsi"/>
        </w:rPr>
        <w:t>-term, practical barriers to compliance that cannot be overcome.</w:t>
      </w:r>
      <w:r w:rsidR="000C5053" w:rsidRPr="00A45A23">
        <w:rPr>
          <w:rFonts w:asciiTheme="minorHAnsi" w:hAnsiTheme="minorHAnsi" w:cstheme="minorHAnsi"/>
        </w:rPr>
        <w:t xml:space="preserve"> </w:t>
      </w:r>
      <w:r w:rsidR="00291B58" w:rsidRPr="00A45A23">
        <w:rPr>
          <w:rFonts w:asciiTheme="minorHAnsi" w:hAnsiTheme="minorHAnsi" w:cstheme="minorHAnsi"/>
        </w:rPr>
        <w:t xml:space="preserve">For </w:t>
      </w:r>
      <w:r w:rsidR="00E07432" w:rsidRPr="00A45A23">
        <w:rPr>
          <w:rFonts w:asciiTheme="minorHAnsi" w:hAnsiTheme="minorHAnsi" w:cstheme="minorHAnsi"/>
        </w:rPr>
        <w:t>example</w:t>
      </w:r>
      <w:r w:rsidR="00291B58" w:rsidRPr="00A45A23">
        <w:rPr>
          <w:rFonts w:asciiTheme="minorHAnsi" w:hAnsiTheme="minorHAnsi" w:cstheme="minorHAnsi"/>
        </w:rPr>
        <w:t>,</w:t>
      </w:r>
      <w:r w:rsidR="00E07432" w:rsidRPr="00A45A23">
        <w:rPr>
          <w:rFonts w:asciiTheme="minorHAnsi" w:hAnsiTheme="minorHAnsi" w:cstheme="minorHAnsi"/>
        </w:rPr>
        <w:t xml:space="preserve"> </w:t>
      </w:r>
      <w:r w:rsidR="00742B0B">
        <w:rPr>
          <w:rFonts w:asciiTheme="minorHAnsi" w:hAnsiTheme="minorHAnsi" w:cstheme="minorHAnsi"/>
        </w:rPr>
        <w:t xml:space="preserve">for </w:t>
      </w:r>
      <w:r w:rsidR="00291B58" w:rsidRPr="00A45A23">
        <w:rPr>
          <w:rFonts w:asciiTheme="minorHAnsi" w:hAnsiTheme="minorHAnsi" w:cstheme="minorHAnsi"/>
        </w:rPr>
        <w:t>medicines with a</w:t>
      </w:r>
      <w:r w:rsidR="00E07432" w:rsidRPr="00A45A23">
        <w:rPr>
          <w:rFonts w:asciiTheme="minorHAnsi" w:hAnsiTheme="minorHAnsi" w:cstheme="minorHAnsi"/>
        </w:rPr>
        <w:t xml:space="preserve"> short</w:t>
      </w:r>
      <w:r w:rsidR="00333DCB" w:rsidRPr="00A45A23">
        <w:rPr>
          <w:rFonts w:asciiTheme="minorHAnsi" w:hAnsiTheme="minorHAnsi" w:cstheme="minorHAnsi"/>
        </w:rPr>
        <w:t>-shelf life</w:t>
      </w:r>
      <w:r w:rsidR="007A041B" w:rsidRPr="00A45A23">
        <w:rPr>
          <w:rFonts w:asciiTheme="minorHAnsi" w:hAnsiTheme="minorHAnsi" w:cstheme="minorHAnsi"/>
        </w:rPr>
        <w:t xml:space="preserve"> where </w:t>
      </w:r>
      <w:r w:rsidR="00D00C1B" w:rsidRPr="00A45A23">
        <w:rPr>
          <w:rFonts w:asciiTheme="minorHAnsi" w:hAnsiTheme="minorHAnsi" w:cstheme="minorHAnsi"/>
        </w:rPr>
        <w:t>it may not be feasible to comply with the 4 or 6</w:t>
      </w:r>
      <w:r w:rsidR="00811661" w:rsidRPr="00A45A23">
        <w:rPr>
          <w:rFonts w:asciiTheme="minorHAnsi" w:hAnsiTheme="minorHAnsi" w:cstheme="minorHAnsi"/>
        </w:rPr>
        <w:t>-</w:t>
      </w:r>
      <w:r w:rsidR="00D00C1B" w:rsidRPr="00A45A23">
        <w:rPr>
          <w:rFonts w:asciiTheme="minorHAnsi" w:hAnsiTheme="minorHAnsi" w:cstheme="minorHAnsi"/>
        </w:rPr>
        <w:t xml:space="preserve">month </w:t>
      </w:r>
      <w:r w:rsidR="00194138">
        <w:rPr>
          <w:rFonts w:asciiTheme="minorHAnsi" w:hAnsiTheme="minorHAnsi" w:cstheme="minorHAnsi"/>
        </w:rPr>
        <w:t>MSR</w:t>
      </w:r>
      <w:r w:rsidR="00D00C1B" w:rsidRPr="00A45A23">
        <w:rPr>
          <w:rFonts w:asciiTheme="minorHAnsi" w:hAnsiTheme="minorHAnsi" w:cstheme="minorHAnsi"/>
        </w:rPr>
        <w:t xml:space="preserve"> </w:t>
      </w:r>
      <w:r w:rsidR="00AA7E52" w:rsidRPr="00A45A23">
        <w:rPr>
          <w:rFonts w:asciiTheme="minorHAnsi" w:hAnsiTheme="minorHAnsi" w:cstheme="minorHAnsi"/>
        </w:rPr>
        <w:t xml:space="preserve">without </w:t>
      </w:r>
      <w:r w:rsidR="00261476">
        <w:rPr>
          <w:rFonts w:asciiTheme="minorHAnsi" w:hAnsiTheme="minorHAnsi" w:cstheme="minorHAnsi"/>
        </w:rPr>
        <w:t>giving rise to a</w:t>
      </w:r>
      <w:r w:rsidR="00D271E8" w:rsidRPr="00A45A23">
        <w:rPr>
          <w:rFonts w:asciiTheme="minorHAnsi" w:hAnsiTheme="minorHAnsi" w:cstheme="minorHAnsi"/>
        </w:rPr>
        <w:t xml:space="preserve"> risk of </w:t>
      </w:r>
      <w:r w:rsidR="00930B21" w:rsidRPr="00A45A23">
        <w:rPr>
          <w:rFonts w:asciiTheme="minorHAnsi" w:hAnsiTheme="minorHAnsi" w:cstheme="minorHAnsi"/>
        </w:rPr>
        <w:t xml:space="preserve">wastage of </w:t>
      </w:r>
      <w:r w:rsidR="00AA7E52" w:rsidRPr="00A45A23">
        <w:rPr>
          <w:rFonts w:asciiTheme="minorHAnsi" w:hAnsiTheme="minorHAnsi" w:cstheme="minorHAnsi"/>
        </w:rPr>
        <w:t>medicine.</w:t>
      </w:r>
      <w:r w:rsidR="00291B58" w:rsidRPr="00A45A23">
        <w:rPr>
          <w:rFonts w:asciiTheme="minorHAnsi" w:hAnsiTheme="minorHAnsi" w:cstheme="minorHAnsi"/>
        </w:rPr>
        <w:t xml:space="preserve"> </w:t>
      </w:r>
      <w:r w:rsidR="00825AEB" w:rsidRPr="00A45A23">
        <w:rPr>
          <w:rFonts w:asciiTheme="minorHAnsi" w:hAnsiTheme="minorHAnsi" w:cstheme="minorHAnsi"/>
        </w:rPr>
        <w:t xml:space="preserve">See </w:t>
      </w:r>
      <w:hyperlink w:anchor="_Short-_to_medium-term" w:history="1">
        <w:r w:rsidR="00825AEB" w:rsidRPr="00A45A23">
          <w:rPr>
            <w:rStyle w:val="Hyperlink"/>
            <w:rFonts w:asciiTheme="minorHAnsi" w:hAnsiTheme="minorHAnsi" w:cstheme="minorHAnsi"/>
          </w:rPr>
          <w:t>below</w:t>
        </w:r>
      </w:hyperlink>
      <w:r w:rsidR="00825AEB" w:rsidRPr="00A45A23">
        <w:rPr>
          <w:rFonts w:asciiTheme="minorHAnsi" w:hAnsiTheme="minorHAnsi" w:cstheme="minorHAnsi"/>
        </w:rPr>
        <w:t xml:space="preserve"> </w:t>
      </w:r>
      <w:r w:rsidR="006368D7" w:rsidRPr="00A45A23">
        <w:rPr>
          <w:rFonts w:asciiTheme="minorHAnsi" w:hAnsiTheme="minorHAnsi" w:cstheme="minorHAnsi"/>
        </w:rPr>
        <w:t xml:space="preserve">for further information regarding how an application based upon short shelf-life </w:t>
      </w:r>
      <w:r w:rsidR="00FD21FF">
        <w:rPr>
          <w:rFonts w:asciiTheme="minorHAnsi" w:hAnsiTheme="minorHAnsi" w:cstheme="minorHAnsi"/>
        </w:rPr>
        <w:t>might</w:t>
      </w:r>
      <w:r w:rsidR="00FD21FF" w:rsidRPr="00A45A23">
        <w:rPr>
          <w:rFonts w:asciiTheme="minorHAnsi" w:hAnsiTheme="minorHAnsi" w:cstheme="minorHAnsi"/>
        </w:rPr>
        <w:t xml:space="preserve"> </w:t>
      </w:r>
      <w:r w:rsidR="006368D7" w:rsidRPr="00A45A23">
        <w:rPr>
          <w:rFonts w:asciiTheme="minorHAnsi" w:hAnsiTheme="minorHAnsi" w:cstheme="minorHAnsi"/>
        </w:rPr>
        <w:t xml:space="preserve">be </w:t>
      </w:r>
      <w:r w:rsidR="00D4640B" w:rsidRPr="00A45A23">
        <w:rPr>
          <w:rFonts w:asciiTheme="minorHAnsi" w:hAnsiTheme="minorHAnsi" w:cstheme="minorHAnsi"/>
        </w:rPr>
        <w:t>considered</w:t>
      </w:r>
      <w:r w:rsidR="00825AEB" w:rsidRPr="00A45A23">
        <w:rPr>
          <w:rFonts w:asciiTheme="minorHAnsi" w:hAnsiTheme="minorHAnsi" w:cstheme="minorHAnsi"/>
        </w:rPr>
        <w:t>.</w:t>
      </w:r>
    </w:p>
    <w:p w14:paraId="770498A6" w14:textId="186081AB" w:rsidR="006F7800" w:rsidRPr="00A45A23" w:rsidRDefault="00F31B97" w:rsidP="000B37E4">
      <w:pPr>
        <w:pStyle w:val="ListBullet"/>
        <w:numPr>
          <w:ilvl w:val="0"/>
          <w:numId w:val="0"/>
        </w:numPr>
        <w:tabs>
          <w:tab w:val="left" w:pos="0"/>
        </w:tabs>
        <w:rPr>
          <w:rFonts w:asciiTheme="minorHAnsi" w:hAnsiTheme="minorHAnsi" w:cstheme="minorHAnsi"/>
        </w:rPr>
      </w:pPr>
      <w:r w:rsidRPr="00A45A23">
        <w:rPr>
          <w:rFonts w:asciiTheme="minorHAnsi" w:hAnsiTheme="minorHAnsi" w:cstheme="minorHAnsi"/>
        </w:rPr>
        <w:t>Each application is assessed</w:t>
      </w:r>
      <w:r w:rsidR="00CE265C">
        <w:rPr>
          <w:rFonts w:asciiTheme="minorHAnsi" w:hAnsiTheme="minorHAnsi" w:cstheme="minorHAnsi"/>
        </w:rPr>
        <w:t>,</w:t>
      </w:r>
      <w:r w:rsidRPr="00A45A23">
        <w:rPr>
          <w:rFonts w:asciiTheme="minorHAnsi" w:hAnsiTheme="minorHAnsi" w:cstheme="minorHAnsi"/>
        </w:rPr>
        <w:t xml:space="preserve"> </w:t>
      </w:r>
      <w:r w:rsidR="00E65497" w:rsidRPr="00A45A23">
        <w:rPr>
          <w:rFonts w:asciiTheme="minorHAnsi" w:hAnsiTheme="minorHAnsi" w:cstheme="minorHAnsi"/>
        </w:rPr>
        <w:t>and a decision made</w:t>
      </w:r>
      <w:r w:rsidR="004C5B14">
        <w:rPr>
          <w:rFonts w:asciiTheme="minorHAnsi" w:hAnsiTheme="minorHAnsi" w:cstheme="minorHAnsi"/>
        </w:rPr>
        <w:t>,</w:t>
      </w:r>
      <w:r w:rsidR="00E65497" w:rsidRPr="00A45A23">
        <w:rPr>
          <w:rFonts w:asciiTheme="minorHAnsi" w:hAnsiTheme="minorHAnsi" w:cstheme="minorHAnsi"/>
        </w:rPr>
        <w:t xml:space="preserve"> </w:t>
      </w:r>
      <w:r w:rsidRPr="00A45A23">
        <w:rPr>
          <w:rFonts w:asciiTheme="minorHAnsi" w:hAnsiTheme="minorHAnsi" w:cstheme="minorHAnsi"/>
        </w:rPr>
        <w:t>on a case-by-case basi</w:t>
      </w:r>
      <w:r w:rsidR="00E65497" w:rsidRPr="00A45A23">
        <w:rPr>
          <w:rFonts w:asciiTheme="minorHAnsi" w:hAnsiTheme="minorHAnsi" w:cstheme="minorHAnsi"/>
        </w:rPr>
        <w:t xml:space="preserve">s. </w:t>
      </w:r>
      <w:r w:rsidR="00674DC0" w:rsidRPr="00A45A23">
        <w:rPr>
          <w:rFonts w:asciiTheme="minorHAnsi" w:hAnsiTheme="minorHAnsi" w:cstheme="minorHAnsi"/>
        </w:rPr>
        <w:t xml:space="preserve">Consideration of the feasibility </w:t>
      </w:r>
      <w:r w:rsidR="00500BA5">
        <w:rPr>
          <w:rFonts w:asciiTheme="minorHAnsi" w:hAnsiTheme="minorHAnsi" w:cstheme="minorHAnsi"/>
        </w:rPr>
        <w:t>of compliance</w:t>
      </w:r>
      <w:r w:rsidR="00674DC0" w:rsidRPr="00A45A23">
        <w:rPr>
          <w:rFonts w:asciiTheme="minorHAnsi" w:hAnsiTheme="minorHAnsi" w:cstheme="minorHAnsi"/>
        </w:rPr>
        <w:t xml:space="preserve"> with the </w:t>
      </w:r>
      <w:r w:rsidR="00F511EE">
        <w:rPr>
          <w:rFonts w:asciiTheme="minorHAnsi" w:hAnsiTheme="minorHAnsi" w:cstheme="minorHAnsi"/>
        </w:rPr>
        <w:t>MSR</w:t>
      </w:r>
      <w:r w:rsidR="00674DC0" w:rsidRPr="00A45A23">
        <w:rPr>
          <w:rFonts w:asciiTheme="minorHAnsi" w:hAnsiTheme="minorHAnsi" w:cstheme="minorHAnsi"/>
        </w:rPr>
        <w:t xml:space="preserve"> may </w:t>
      </w:r>
      <w:r w:rsidR="00BD2AE5" w:rsidRPr="00A45A23">
        <w:rPr>
          <w:rFonts w:asciiTheme="minorHAnsi" w:hAnsiTheme="minorHAnsi" w:cstheme="minorHAnsi"/>
        </w:rPr>
        <w:t>consider</w:t>
      </w:r>
      <w:r w:rsidR="00674DC0" w:rsidRPr="00A45A23">
        <w:rPr>
          <w:rFonts w:asciiTheme="minorHAnsi" w:hAnsiTheme="minorHAnsi" w:cstheme="minorHAnsi"/>
        </w:rPr>
        <w:t xml:space="preserve"> actions that </w:t>
      </w:r>
      <w:r w:rsidR="003C337B" w:rsidRPr="00A45A23">
        <w:rPr>
          <w:rFonts w:asciiTheme="minorHAnsi" w:hAnsiTheme="minorHAnsi" w:cstheme="minorHAnsi"/>
        </w:rPr>
        <w:t>a</w:t>
      </w:r>
      <w:r w:rsidR="00DE3CFC">
        <w:rPr>
          <w:rFonts w:asciiTheme="minorHAnsi" w:hAnsiTheme="minorHAnsi" w:cstheme="minorHAnsi"/>
        </w:rPr>
        <w:t xml:space="preserve"> Responsible Person </w:t>
      </w:r>
      <w:r w:rsidR="003C337B" w:rsidRPr="00A45A23">
        <w:rPr>
          <w:rFonts w:asciiTheme="minorHAnsi" w:hAnsiTheme="minorHAnsi" w:cstheme="minorHAnsi"/>
        </w:rPr>
        <w:t xml:space="preserve">could take to improve their ability to </w:t>
      </w:r>
      <w:r w:rsidR="003149FC" w:rsidRPr="00A45A23">
        <w:rPr>
          <w:rFonts w:asciiTheme="minorHAnsi" w:hAnsiTheme="minorHAnsi" w:cstheme="minorHAnsi"/>
        </w:rPr>
        <w:t>hold a compliant stockholding.</w:t>
      </w:r>
    </w:p>
    <w:p w14:paraId="09DE06CB" w14:textId="1EC14475" w:rsidR="008701FA" w:rsidRDefault="00360405" w:rsidP="000B37E4">
      <w:pPr>
        <w:pStyle w:val="ListBullet"/>
        <w:numPr>
          <w:ilvl w:val="0"/>
          <w:numId w:val="0"/>
        </w:numPr>
        <w:tabs>
          <w:tab w:val="left" w:pos="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Responsible Persons</w:t>
      </w:r>
      <w:r w:rsidR="008701FA" w:rsidRPr="00A45A23">
        <w:rPr>
          <w:rFonts w:asciiTheme="minorHAnsi" w:hAnsiTheme="minorHAnsi" w:cstheme="minorHAnsi"/>
        </w:rPr>
        <w:t xml:space="preserve"> may make further applications at any time, </w:t>
      </w:r>
      <w:r w:rsidR="00BE091C" w:rsidRPr="00A45A23">
        <w:rPr>
          <w:rFonts w:asciiTheme="minorHAnsi" w:hAnsiTheme="minorHAnsi" w:cstheme="minorHAnsi"/>
        </w:rPr>
        <w:t>including if a</w:t>
      </w:r>
      <w:r w:rsidR="00475230" w:rsidRPr="00A45A23">
        <w:rPr>
          <w:rFonts w:asciiTheme="minorHAnsi" w:hAnsiTheme="minorHAnsi" w:cstheme="minorHAnsi"/>
        </w:rPr>
        <w:t xml:space="preserve"> final</w:t>
      </w:r>
      <w:r w:rsidR="00BE091C" w:rsidRPr="00A45A23">
        <w:rPr>
          <w:rFonts w:asciiTheme="minorHAnsi" w:hAnsiTheme="minorHAnsi" w:cstheme="minorHAnsi"/>
        </w:rPr>
        <w:t xml:space="preserve"> decision has previously been made, or if a brand has been subject to</w:t>
      </w:r>
      <w:r w:rsidR="00EF08F8">
        <w:rPr>
          <w:rFonts w:asciiTheme="minorHAnsi" w:hAnsiTheme="minorHAnsi" w:cstheme="minorHAnsi"/>
        </w:rPr>
        <w:t>,</w:t>
      </w:r>
      <w:r w:rsidR="00BE091C" w:rsidRPr="00A45A23">
        <w:rPr>
          <w:rFonts w:asciiTheme="minorHAnsi" w:hAnsiTheme="minorHAnsi" w:cstheme="minorHAnsi"/>
        </w:rPr>
        <w:t xml:space="preserve"> </w:t>
      </w:r>
      <w:r w:rsidR="00475230" w:rsidRPr="00A45A23">
        <w:rPr>
          <w:rFonts w:asciiTheme="minorHAnsi" w:hAnsiTheme="minorHAnsi" w:cstheme="minorHAnsi"/>
        </w:rPr>
        <w:t xml:space="preserve">and </w:t>
      </w:r>
      <w:r w:rsidR="004334BB">
        <w:rPr>
          <w:rFonts w:asciiTheme="minorHAnsi" w:hAnsiTheme="minorHAnsi" w:cstheme="minorHAnsi"/>
        </w:rPr>
        <w:t xml:space="preserve">previously </w:t>
      </w:r>
      <w:r w:rsidR="00475230" w:rsidRPr="00A45A23">
        <w:rPr>
          <w:rFonts w:asciiTheme="minorHAnsi" w:hAnsiTheme="minorHAnsi" w:cstheme="minorHAnsi"/>
        </w:rPr>
        <w:t>compl</w:t>
      </w:r>
      <w:r w:rsidR="004334BB">
        <w:rPr>
          <w:rFonts w:asciiTheme="minorHAnsi" w:hAnsiTheme="minorHAnsi" w:cstheme="minorHAnsi"/>
        </w:rPr>
        <w:t>ied</w:t>
      </w:r>
      <w:r w:rsidR="00475230" w:rsidRPr="00A45A23">
        <w:rPr>
          <w:rFonts w:asciiTheme="minorHAnsi" w:hAnsiTheme="minorHAnsi" w:cstheme="minorHAnsi"/>
        </w:rPr>
        <w:t xml:space="preserve"> with</w:t>
      </w:r>
      <w:r w:rsidR="00EF08F8">
        <w:rPr>
          <w:rFonts w:asciiTheme="minorHAnsi" w:hAnsiTheme="minorHAnsi" w:cstheme="minorHAnsi"/>
        </w:rPr>
        <w:t>,</w:t>
      </w:r>
      <w:r w:rsidR="00475230" w:rsidRPr="00A45A23">
        <w:rPr>
          <w:rFonts w:asciiTheme="minorHAnsi" w:hAnsiTheme="minorHAnsi" w:cstheme="minorHAnsi"/>
        </w:rPr>
        <w:t xml:space="preserve"> the </w:t>
      </w:r>
      <w:r w:rsidR="00F511EE">
        <w:rPr>
          <w:rFonts w:asciiTheme="minorHAnsi" w:hAnsiTheme="minorHAnsi" w:cstheme="minorHAnsi"/>
        </w:rPr>
        <w:t xml:space="preserve">MSR </w:t>
      </w:r>
      <w:r w:rsidR="00475230" w:rsidRPr="00A45A23">
        <w:rPr>
          <w:rFonts w:asciiTheme="minorHAnsi" w:hAnsiTheme="minorHAnsi" w:cstheme="minorHAnsi"/>
        </w:rPr>
        <w:t xml:space="preserve">but now </w:t>
      </w:r>
      <w:r w:rsidR="00035E4C" w:rsidRPr="00A45A23">
        <w:rPr>
          <w:rFonts w:asciiTheme="minorHAnsi" w:hAnsiTheme="minorHAnsi" w:cstheme="minorHAnsi"/>
        </w:rPr>
        <w:t>cannot</w:t>
      </w:r>
      <w:r w:rsidR="00475230" w:rsidRPr="00A45A23">
        <w:rPr>
          <w:rFonts w:asciiTheme="minorHAnsi" w:hAnsiTheme="minorHAnsi" w:cstheme="minorHAnsi"/>
        </w:rPr>
        <w:t>.</w:t>
      </w:r>
    </w:p>
    <w:p w14:paraId="4F4B1291" w14:textId="77777777" w:rsidR="001677F9" w:rsidRPr="00A45A23" w:rsidRDefault="001677F9" w:rsidP="000B37E4">
      <w:pPr>
        <w:pStyle w:val="ListBullet"/>
        <w:numPr>
          <w:ilvl w:val="0"/>
          <w:numId w:val="0"/>
        </w:numPr>
        <w:tabs>
          <w:tab w:val="left" w:pos="0"/>
        </w:tabs>
        <w:rPr>
          <w:rFonts w:asciiTheme="minorHAnsi" w:hAnsiTheme="minorHAnsi" w:cstheme="minorHAnsi"/>
        </w:rPr>
      </w:pPr>
    </w:p>
    <w:p w14:paraId="52DCA8AB" w14:textId="61A0E3BF" w:rsidR="006F7800" w:rsidRPr="00847CF9" w:rsidRDefault="006F7800" w:rsidP="003B2C11">
      <w:pPr>
        <w:keepNext/>
        <w:keepLines/>
        <w:spacing w:after="0" w:line="240" w:lineRule="auto"/>
        <w:textAlignment w:val="baseline"/>
        <w:rPr>
          <w:rFonts w:ascii="Calibri Light" w:hAnsi="Calibri Light" w:cs="Calibri Light"/>
          <w:color w:val="2F5496"/>
          <w:sz w:val="32"/>
          <w:szCs w:val="32"/>
          <w:lang w:eastAsia="en-AU"/>
        </w:rPr>
      </w:pPr>
      <w:r w:rsidRPr="00847CF9">
        <w:rPr>
          <w:rFonts w:ascii="Calibri Light" w:hAnsi="Calibri Light" w:cs="Calibri Light"/>
          <w:color w:val="2F5496"/>
          <w:sz w:val="32"/>
          <w:szCs w:val="32"/>
          <w:lang w:eastAsia="en-AU"/>
        </w:rPr>
        <w:lastRenderedPageBreak/>
        <w:t>How to apply for a Ministerial determination</w:t>
      </w:r>
    </w:p>
    <w:p w14:paraId="694727C1" w14:textId="23BD060F" w:rsidR="006F7800" w:rsidRPr="00D11816" w:rsidRDefault="006F7800" w:rsidP="000B37E4">
      <w:pPr>
        <w:pStyle w:val="ListBullet"/>
        <w:keepNext/>
        <w:keepLines/>
        <w:numPr>
          <w:ilvl w:val="0"/>
          <w:numId w:val="0"/>
        </w:numPr>
        <w:rPr>
          <w:rFonts w:asciiTheme="minorHAnsi" w:hAnsiTheme="minorHAnsi" w:cstheme="minorBidi"/>
        </w:rPr>
      </w:pPr>
      <w:r w:rsidRPr="614A0522">
        <w:rPr>
          <w:rFonts w:asciiTheme="minorHAnsi" w:hAnsiTheme="minorHAnsi" w:cstheme="minorBidi"/>
        </w:rPr>
        <w:t xml:space="preserve">The application form can be downloaded </w:t>
      </w:r>
      <w:hyperlink r:id="rId14" w:history="1">
        <w:r w:rsidRPr="614A0522">
          <w:rPr>
            <w:rStyle w:val="Hyperlink"/>
            <w:rFonts w:asciiTheme="minorHAnsi" w:hAnsiTheme="minorHAnsi" w:cstheme="minorBidi"/>
          </w:rPr>
          <w:t>here</w:t>
        </w:r>
      </w:hyperlink>
      <w:r w:rsidRPr="614A0522">
        <w:rPr>
          <w:rFonts w:asciiTheme="minorHAnsi" w:hAnsiTheme="minorHAnsi" w:cstheme="minorBidi"/>
        </w:rPr>
        <w:t>.</w:t>
      </w:r>
      <w:r w:rsidR="006A3C45" w:rsidRPr="614A0522">
        <w:rPr>
          <w:rFonts w:asciiTheme="minorHAnsi" w:hAnsiTheme="minorHAnsi" w:cstheme="minorBidi"/>
        </w:rPr>
        <w:t xml:space="preserve"> Once completed</w:t>
      </w:r>
      <w:r w:rsidR="00330567" w:rsidRPr="614A0522">
        <w:rPr>
          <w:rFonts w:asciiTheme="minorHAnsi" w:hAnsiTheme="minorHAnsi" w:cstheme="minorBidi"/>
        </w:rPr>
        <w:t>,</w:t>
      </w:r>
      <w:r w:rsidR="006A3C45" w:rsidRPr="614A0522">
        <w:rPr>
          <w:rFonts w:asciiTheme="minorHAnsi" w:hAnsiTheme="minorHAnsi" w:cstheme="minorBidi"/>
        </w:rPr>
        <w:t xml:space="preserve"> </w:t>
      </w:r>
      <w:r w:rsidR="009E274E" w:rsidRPr="614A0522">
        <w:rPr>
          <w:rFonts w:asciiTheme="minorHAnsi" w:hAnsiTheme="minorHAnsi" w:cstheme="minorBidi"/>
        </w:rPr>
        <w:t xml:space="preserve">the form </w:t>
      </w:r>
      <w:r w:rsidR="00EF08F8" w:rsidRPr="614A0522">
        <w:rPr>
          <w:rFonts w:asciiTheme="minorHAnsi" w:hAnsiTheme="minorHAnsi" w:cstheme="minorBidi"/>
        </w:rPr>
        <w:t>should</w:t>
      </w:r>
      <w:r w:rsidR="00330567" w:rsidRPr="614A0522">
        <w:rPr>
          <w:rFonts w:asciiTheme="minorHAnsi" w:hAnsiTheme="minorHAnsi" w:cstheme="minorBidi"/>
        </w:rPr>
        <w:t xml:space="preserve"> be</w:t>
      </w:r>
      <w:r w:rsidR="006A3C45" w:rsidRPr="614A0522">
        <w:rPr>
          <w:rFonts w:asciiTheme="minorHAnsi" w:hAnsiTheme="minorHAnsi" w:cstheme="minorBidi"/>
        </w:rPr>
        <w:t xml:space="preserve"> submitted </w:t>
      </w:r>
      <w:r w:rsidR="009E274E" w:rsidRPr="614A0522">
        <w:rPr>
          <w:rFonts w:asciiTheme="minorHAnsi" w:hAnsiTheme="minorHAnsi" w:cstheme="minorBidi"/>
        </w:rPr>
        <w:t xml:space="preserve">by email to </w:t>
      </w:r>
      <w:hyperlink r:id="rId15" w:history="1">
        <w:r w:rsidR="006A3C45" w:rsidRPr="614A0522">
          <w:rPr>
            <w:rStyle w:val="Hyperlink"/>
            <w:rFonts w:asciiTheme="minorHAnsi" w:hAnsiTheme="minorHAnsi" w:cstheme="minorBidi"/>
          </w:rPr>
          <w:t>pbsstockholding@health.gov.au</w:t>
        </w:r>
      </w:hyperlink>
      <w:r w:rsidR="0015035B" w:rsidRPr="614A0522">
        <w:rPr>
          <w:rFonts w:asciiTheme="minorHAnsi" w:hAnsiTheme="minorHAnsi" w:cstheme="minorBidi"/>
        </w:rPr>
        <w:t>, together with any supporting documents and/or further submissions</w:t>
      </w:r>
      <w:r w:rsidR="006A3C45" w:rsidRPr="614A0522">
        <w:rPr>
          <w:rFonts w:asciiTheme="minorHAnsi" w:hAnsiTheme="minorHAnsi" w:cstheme="minorBidi"/>
        </w:rPr>
        <w:t>.</w:t>
      </w:r>
    </w:p>
    <w:p w14:paraId="4CA2BA74" w14:textId="52944D0D" w:rsidR="00424D1C" w:rsidRPr="00D11816" w:rsidRDefault="005112C2" w:rsidP="000B37E4">
      <w:pPr>
        <w:pStyle w:val="ListBullet"/>
        <w:numPr>
          <w:ilvl w:val="0"/>
          <w:numId w:val="0"/>
        </w:numPr>
        <w:tabs>
          <w:tab w:val="left" w:pos="0"/>
        </w:tabs>
        <w:rPr>
          <w:rFonts w:asciiTheme="minorHAnsi" w:hAnsiTheme="minorHAnsi" w:cstheme="minorHAnsi"/>
        </w:rPr>
      </w:pPr>
      <w:r w:rsidRPr="00D11816">
        <w:rPr>
          <w:rFonts w:asciiTheme="minorHAnsi" w:hAnsiTheme="minorHAnsi" w:cstheme="minorHAnsi"/>
        </w:rPr>
        <w:t>R</w:t>
      </w:r>
      <w:r w:rsidR="00D06BF8">
        <w:rPr>
          <w:rFonts w:asciiTheme="minorHAnsi" w:hAnsiTheme="minorHAnsi" w:cstheme="minorHAnsi"/>
        </w:rPr>
        <w:t>esponsible Persons</w:t>
      </w:r>
      <w:r w:rsidRPr="00D11816">
        <w:rPr>
          <w:rFonts w:asciiTheme="minorHAnsi" w:hAnsiTheme="minorHAnsi" w:cstheme="minorHAnsi"/>
        </w:rPr>
        <w:t xml:space="preserve"> should ensure that they are familiar with and address (as relevant) the matters outlined in </w:t>
      </w:r>
      <w:r w:rsidR="006502D1" w:rsidRPr="00D11816">
        <w:rPr>
          <w:rFonts w:asciiTheme="minorHAnsi" w:hAnsiTheme="minorHAnsi" w:cstheme="minorHAnsi"/>
        </w:rPr>
        <w:t>Section</w:t>
      </w:r>
      <w:r w:rsidR="00120737">
        <w:rPr>
          <w:rFonts w:asciiTheme="minorHAnsi" w:hAnsiTheme="minorHAnsi" w:cstheme="minorHAnsi"/>
        </w:rPr>
        <w:t> </w:t>
      </w:r>
      <w:r w:rsidR="006502D1" w:rsidRPr="00D11816">
        <w:rPr>
          <w:rFonts w:asciiTheme="minorHAnsi" w:hAnsiTheme="minorHAnsi" w:cstheme="minorHAnsi"/>
        </w:rPr>
        <w:t xml:space="preserve">6 of the </w:t>
      </w:r>
      <w:hyperlink r:id="rId16" w:history="1">
        <w:r w:rsidR="006502D1" w:rsidRPr="00D11816">
          <w:rPr>
            <w:rStyle w:val="Hyperlink"/>
            <w:rFonts w:asciiTheme="minorHAnsi" w:hAnsiTheme="minorHAnsi" w:cstheme="minorHAnsi"/>
          </w:rPr>
          <w:t>PBS Minimum Stockholding Guidelines</w:t>
        </w:r>
      </w:hyperlink>
      <w:r w:rsidR="00BC46E8" w:rsidRPr="00D11816">
        <w:rPr>
          <w:rFonts w:asciiTheme="minorHAnsi" w:hAnsiTheme="minorHAnsi" w:cstheme="minorHAnsi"/>
        </w:rPr>
        <w:t xml:space="preserve"> (</w:t>
      </w:r>
      <w:r w:rsidR="00BC46E8" w:rsidRPr="00D11816">
        <w:rPr>
          <w:rFonts w:asciiTheme="minorHAnsi" w:hAnsiTheme="minorHAnsi" w:cstheme="minorHAnsi"/>
          <w:b/>
          <w:bCs/>
        </w:rPr>
        <w:t>the Guidelines</w:t>
      </w:r>
      <w:r w:rsidR="00BC46E8" w:rsidRPr="00D11816">
        <w:rPr>
          <w:rFonts w:asciiTheme="minorHAnsi" w:hAnsiTheme="minorHAnsi" w:cstheme="minorHAnsi"/>
        </w:rPr>
        <w:t>)</w:t>
      </w:r>
      <w:r w:rsidR="006502D1" w:rsidRPr="00D11816">
        <w:rPr>
          <w:rFonts w:asciiTheme="minorHAnsi" w:hAnsiTheme="minorHAnsi" w:cstheme="minorHAnsi"/>
        </w:rPr>
        <w:t>.</w:t>
      </w:r>
    </w:p>
    <w:p w14:paraId="27839876" w14:textId="77777777" w:rsidR="00BA4788" w:rsidRPr="00A429BA" w:rsidRDefault="00BA4788" w:rsidP="00A429BA">
      <w:pPr>
        <w:spacing w:after="0" w:line="240" w:lineRule="auto"/>
        <w:textAlignment w:val="baseline"/>
        <w:rPr>
          <w:rFonts w:ascii="Calibri Light" w:hAnsi="Calibri Light" w:cs="Calibri Light"/>
          <w:color w:val="2F5496"/>
          <w:sz w:val="32"/>
          <w:szCs w:val="32"/>
          <w:lang w:eastAsia="en-AU"/>
        </w:rPr>
      </w:pPr>
      <w:r w:rsidRPr="00A429BA">
        <w:rPr>
          <w:rFonts w:ascii="Calibri Light" w:hAnsi="Calibri Light" w:cs="Calibri Light"/>
          <w:color w:val="2F5496"/>
          <w:sz w:val="32"/>
          <w:szCs w:val="32"/>
          <w:lang w:eastAsia="en-AU"/>
        </w:rPr>
        <w:t>Ministerial determination outcomes</w:t>
      </w:r>
    </w:p>
    <w:p w14:paraId="7E7CBEE8" w14:textId="2E64F84C" w:rsidR="00BA4788" w:rsidRPr="00D11816" w:rsidRDefault="00BA4788" w:rsidP="000B37E4">
      <w:pPr>
        <w:pStyle w:val="ListBullet"/>
        <w:numPr>
          <w:ilvl w:val="0"/>
          <w:numId w:val="0"/>
        </w:numPr>
        <w:tabs>
          <w:tab w:val="left" w:pos="0"/>
        </w:tabs>
        <w:rPr>
          <w:rFonts w:asciiTheme="minorHAnsi" w:eastAsia="Calibri" w:hAnsiTheme="minorHAnsi" w:cstheme="minorHAnsi"/>
          <w:color w:val="auto"/>
          <w:szCs w:val="22"/>
        </w:rPr>
      </w:pPr>
      <w:r w:rsidRPr="00D11816">
        <w:rPr>
          <w:rFonts w:asciiTheme="minorHAnsi" w:eastAsia="Calibri" w:hAnsiTheme="minorHAnsi" w:cstheme="minorHAnsi"/>
          <w:color w:val="auto"/>
          <w:szCs w:val="22"/>
        </w:rPr>
        <w:t xml:space="preserve">The </w:t>
      </w:r>
      <w:r w:rsidR="00F511EE">
        <w:rPr>
          <w:rFonts w:asciiTheme="minorHAnsi" w:eastAsia="Calibri" w:hAnsiTheme="minorHAnsi" w:cstheme="minorHAnsi"/>
          <w:color w:val="auto"/>
          <w:szCs w:val="22"/>
        </w:rPr>
        <w:t>D</w:t>
      </w:r>
      <w:r w:rsidRPr="00D11816">
        <w:rPr>
          <w:rFonts w:asciiTheme="minorHAnsi" w:eastAsia="Calibri" w:hAnsiTheme="minorHAnsi" w:cstheme="minorHAnsi"/>
          <w:color w:val="auto"/>
          <w:szCs w:val="22"/>
        </w:rPr>
        <w:t xml:space="preserve">epartment works towards providing indicative and final outcomes for routine Ministerial determination applications </w:t>
      </w:r>
      <w:r w:rsidR="00B3707F">
        <w:rPr>
          <w:rFonts w:asciiTheme="minorHAnsi" w:eastAsia="Calibri" w:hAnsiTheme="minorHAnsi" w:cstheme="minorHAnsi"/>
          <w:color w:val="auto"/>
          <w:szCs w:val="22"/>
        </w:rPr>
        <w:t>in accordance with</w:t>
      </w:r>
      <w:r w:rsidR="00B3707F" w:rsidRPr="00D11816">
        <w:rPr>
          <w:rFonts w:asciiTheme="minorHAnsi" w:eastAsia="Calibri" w:hAnsiTheme="minorHAnsi" w:cstheme="minorHAnsi"/>
          <w:color w:val="auto"/>
          <w:szCs w:val="22"/>
        </w:rPr>
        <w:t xml:space="preserve"> </w:t>
      </w:r>
      <w:r w:rsidRPr="00D11816">
        <w:rPr>
          <w:rFonts w:asciiTheme="minorHAnsi" w:eastAsia="Calibri" w:hAnsiTheme="minorHAnsi" w:cstheme="minorHAnsi"/>
          <w:color w:val="auto"/>
          <w:szCs w:val="22"/>
        </w:rPr>
        <w:t>the timeframes below:</w:t>
      </w:r>
    </w:p>
    <w:tbl>
      <w:tblPr>
        <w:tblStyle w:val="DepartmentofHealthtable"/>
        <w:tblW w:w="0" w:type="auto"/>
        <w:tblLook w:val="04A0" w:firstRow="1" w:lastRow="0" w:firstColumn="1" w:lastColumn="0" w:noHBand="0" w:noVBand="1"/>
        <w:tblDescription w:val="Add Alt Text describing the content of the table"/>
      </w:tblPr>
      <w:tblGrid>
        <w:gridCol w:w="2977"/>
        <w:gridCol w:w="2977"/>
        <w:gridCol w:w="2977"/>
      </w:tblGrid>
      <w:tr w:rsidR="00BA4788" w:rsidRPr="004330F4" w14:paraId="3C4F1865" w14:textId="77777777" w:rsidTr="614A0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2B4B488" w14:textId="77777777" w:rsidR="00BA4788" w:rsidRPr="004330F4" w:rsidRDefault="00BA4788">
            <w:pPr>
              <w:pStyle w:val="Tableheader0"/>
              <w:rPr>
                <w:rFonts w:eastAsia="Cambria"/>
                <w:sz w:val="18"/>
                <w:szCs w:val="18"/>
                <w:lang w:val="en-US"/>
              </w:rPr>
            </w:pPr>
            <w:r w:rsidRPr="004330F4">
              <w:rPr>
                <w:rFonts w:eastAsia="Cambria"/>
                <w:sz w:val="18"/>
                <w:szCs w:val="18"/>
                <w:lang w:val="en-US"/>
              </w:rPr>
              <w:t xml:space="preserve">Indicative </w:t>
            </w:r>
            <w:r>
              <w:rPr>
                <w:rFonts w:eastAsia="Cambria"/>
                <w:sz w:val="18"/>
                <w:szCs w:val="18"/>
                <w:lang w:val="en-US"/>
              </w:rPr>
              <w:t>Ministerial determination outcome</w:t>
            </w:r>
          </w:p>
        </w:tc>
        <w:tc>
          <w:tcPr>
            <w:tcW w:w="2977" w:type="dxa"/>
          </w:tcPr>
          <w:p w14:paraId="397E8EC3" w14:textId="77777777" w:rsidR="00BA4788" w:rsidRPr="004330F4" w:rsidRDefault="00BA4788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18"/>
                <w:szCs w:val="18"/>
                <w:lang w:val="en-US"/>
              </w:rPr>
            </w:pPr>
            <w:r>
              <w:rPr>
                <w:rFonts w:eastAsia="Cambria"/>
                <w:sz w:val="18"/>
                <w:szCs w:val="18"/>
                <w:lang w:val="en-US"/>
              </w:rPr>
              <w:t>Closing date for RP to submit additional information</w:t>
            </w:r>
          </w:p>
        </w:tc>
        <w:tc>
          <w:tcPr>
            <w:tcW w:w="2977" w:type="dxa"/>
          </w:tcPr>
          <w:p w14:paraId="4737A203" w14:textId="77777777" w:rsidR="00BA4788" w:rsidRPr="004330F4" w:rsidRDefault="00BA4788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sz w:val="18"/>
                <w:szCs w:val="18"/>
                <w:lang w:val="en-US"/>
              </w:rPr>
            </w:pPr>
            <w:r>
              <w:rPr>
                <w:rFonts w:eastAsia="Cambria"/>
                <w:sz w:val="18"/>
                <w:szCs w:val="18"/>
                <w:lang w:val="en-US"/>
              </w:rPr>
              <w:t>RP notified of final Ministerial determination outcome</w:t>
            </w:r>
          </w:p>
        </w:tc>
      </w:tr>
      <w:tr w:rsidR="00BA4788" w:rsidRPr="004330F4" w14:paraId="5479A36B" w14:textId="77777777" w:rsidTr="614A05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167A339" w14:textId="77777777" w:rsidR="00BA4788" w:rsidRPr="004330F4" w:rsidRDefault="00BA4788" w:rsidP="000B37E4">
            <w:pPr>
              <w:pStyle w:val="Tabletext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business days from application submission</w:t>
            </w:r>
          </w:p>
        </w:tc>
        <w:tc>
          <w:tcPr>
            <w:tcW w:w="2977" w:type="dxa"/>
          </w:tcPr>
          <w:p w14:paraId="3FED94F4" w14:textId="77777777" w:rsidR="00BA4788" w:rsidRPr="004330F4" w:rsidRDefault="00BA4788" w:rsidP="000B37E4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business days after indicative outcome provided</w:t>
            </w:r>
          </w:p>
        </w:tc>
        <w:tc>
          <w:tcPr>
            <w:tcW w:w="2977" w:type="dxa"/>
          </w:tcPr>
          <w:p w14:paraId="187826EA" w14:textId="17C0A6DE" w:rsidR="00BA4788" w:rsidRPr="004330F4" w:rsidRDefault="00BA4788" w:rsidP="000B37E4">
            <w:pPr>
              <w:pStyle w:val="Tabletextright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614A0522">
              <w:rPr>
                <w:sz w:val="18"/>
                <w:szCs w:val="18"/>
              </w:rPr>
              <w:t>20 business days</w:t>
            </w:r>
            <w:r w:rsidR="00330567" w:rsidRPr="614A0522">
              <w:rPr>
                <w:sz w:val="18"/>
                <w:szCs w:val="18"/>
              </w:rPr>
              <w:t xml:space="preserve"> after closing date for RP to submit additional information</w:t>
            </w:r>
          </w:p>
        </w:tc>
      </w:tr>
    </w:tbl>
    <w:p w14:paraId="1F0BB65F" w14:textId="00F8B0AB" w:rsidR="005F4ED4" w:rsidRPr="00D11816" w:rsidRDefault="007F40C1" w:rsidP="000B37E4">
      <w:pPr>
        <w:pStyle w:val="ListBullet"/>
        <w:numPr>
          <w:ilvl w:val="0"/>
          <w:numId w:val="0"/>
        </w:numPr>
        <w:rPr>
          <w:rFonts w:asciiTheme="minorHAnsi" w:eastAsia="Calibri" w:hAnsiTheme="minorHAnsi" w:cstheme="minorBidi"/>
          <w:color w:val="auto"/>
        </w:rPr>
      </w:pPr>
      <w:r w:rsidRPr="614A0522">
        <w:rPr>
          <w:rFonts w:asciiTheme="minorHAnsi" w:eastAsia="Calibri" w:hAnsiTheme="minorHAnsi" w:cstheme="minorBidi"/>
          <w:color w:val="auto"/>
        </w:rPr>
        <w:t>Timeframes for</w:t>
      </w:r>
      <w:r w:rsidR="00C67B37" w:rsidRPr="614A0522">
        <w:rPr>
          <w:rFonts w:asciiTheme="minorHAnsi" w:eastAsia="Calibri" w:hAnsiTheme="minorHAnsi" w:cstheme="minorBidi"/>
          <w:color w:val="auto"/>
        </w:rPr>
        <w:t xml:space="preserve"> applications for</w:t>
      </w:r>
      <w:r w:rsidRPr="614A0522">
        <w:rPr>
          <w:rFonts w:asciiTheme="minorHAnsi" w:eastAsia="Calibri" w:hAnsiTheme="minorHAnsi" w:cstheme="minorBidi"/>
          <w:color w:val="auto"/>
        </w:rPr>
        <w:t xml:space="preserve"> other</w:t>
      </w:r>
      <w:r w:rsidR="00C67B37" w:rsidRPr="614A0522">
        <w:rPr>
          <w:rFonts w:asciiTheme="minorHAnsi" w:eastAsia="Calibri" w:hAnsiTheme="minorHAnsi" w:cstheme="minorBidi"/>
          <w:color w:val="auto"/>
        </w:rPr>
        <w:t xml:space="preserve"> types of</w:t>
      </w:r>
      <w:r w:rsidRPr="614A0522">
        <w:rPr>
          <w:rFonts w:asciiTheme="minorHAnsi" w:eastAsia="Calibri" w:hAnsiTheme="minorHAnsi" w:cstheme="minorBidi"/>
          <w:color w:val="auto"/>
        </w:rPr>
        <w:t xml:space="preserve"> Ministerial determination applications </w:t>
      </w:r>
      <w:r w:rsidR="00114A05">
        <w:rPr>
          <w:rFonts w:asciiTheme="minorHAnsi" w:eastAsia="Calibri" w:hAnsiTheme="minorHAnsi" w:cstheme="minorBidi"/>
          <w:color w:val="auto"/>
        </w:rPr>
        <w:t>i</w:t>
      </w:r>
      <w:r w:rsidR="00733203" w:rsidRPr="614A0522">
        <w:rPr>
          <w:rFonts w:asciiTheme="minorHAnsi" w:eastAsia="Calibri" w:hAnsiTheme="minorHAnsi" w:cstheme="minorBidi"/>
          <w:color w:val="auto"/>
        </w:rPr>
        <w:t>n connection with the MSR</w:t>
      </w:r>
      <w:r w:rsidR="00C67B37" w:rsidRPr="614A0522">
        <w:rPr>
          <w:rFonts w:asciiTheme="minorHAnsi" w:eastAsia="Calibri" w:hAnsiTheme="minorHAnsi" w:cstheme="minorBidi"/>
          <w:color w:val="auto"/>
        </w:rPr>
        <w:t xml:space="preserve"> </w:t>
      </w:r>
      <w:r w:rsidR="00F511EE" w:rsidRPr="614A0522">
        <w:rPr>
          <w:rFonts w:asciiTheme="minorHAnsi" w:eastAsia="Calibri" w:hAnsiTheme="minorHAnsi" w:cstheme="minorBidi"/>
          <w:color w:val="auto"/>
        </w:rPr>
        <w:t xml:space="preserve">(such as for new brands) </w:t>
      </w:r>
      <w:r w:rsidRPr="614A0522">
        <w:rPr>
          <w:rFonts w:asciiTheme="minorHAnsi" w:eastAsia="Calibri" w:hAnsiTheme="minorHAnsi" w:cstheme="minorBidi"/>
          <w:color w:val="auto"/>
        </w:rPr>
        <w:t>are provided in Section 6.1 of the Guidelines.</w:t>
      </w:r>
    </w:p>
    <w:p w14:paraId="597F137D" w14:textId="0FE588A2" w:rsidR="00BA4788" w:rsidRPr="00D11816" w:rsidRDefault="00360405" w:rsidP="000B37E4">
      <w:pPr>
        <w:pStyle w:val="ListBullet"/>
        <w:numPr>
          <w:ilvl w:val="0"/>
          <w:numId w:val="0"/>
        </w:numPr>
        <w:rPr>
          <w:rFonts w:asciiTheme="minorHAnsi" w:eastAsia="Calibri" w:hAnsiTheme="minorHAnsi" w:cstheme="minorBidi"/>
          <w:color w:val="auto"/>
        </w:rPr>
      </w:pPr>
      <w:r w:rsidRPr="614A0522">
        <w:rPr>
          <w:rFonts w:asciiTheme="minorHAnsi" w:eastAsia="Calibri" w:hAnsiTheme="minorHAnsi" w:cstheme="minorBidi"/>
          <w:color w:val="auto"/>
        </w:rPr>
        <w:t>Responsible Person</w:t>
      </w:r>
      <w:r w:rsidR="00BA4788" w:rsidRPr="614A0522">
        <w:rPr>
          <w:rFonts w:asciiTheme="minorHAnsi" w:eastAsia="Calibri" w:hAnsiTheme="minorHAnsi" w:cstheme="minorBidi"/>
          <w:color w:val="auto"/>
        </w:rPr>
        <w:t>s may provide additional information in response to an indicative outcome, for consideration by the Minister</w:t>
      </w:r>
      <w:r w:rsidR="00330567" w:rsidRPr="614A0522">
        <w:rPr>
          <w:rFonts w:asciiTheme="minorHAnsi" w:eastAsia="Calibri" w:hAnsiTheme="minorHAnsi" w:cstheme="minorBidi"/>
          <w:color w:val="auto"/>
        </w:rPr>
        <w:t xml:space="preserve"> (or </w:t>
      </w:r>
      <w:r w:rsidR="67E3F18D" w:rsidRPr="614A0522">
        <w:rPr>
          <w:rFonts w:asciiTheme="minorHAnsi" w:eastAsia="Calibri" w:hAnsiTheme="minorHAnsi" w:cstheme="minorBidi"/>
          <w:color w:val="auto"/>
        </w:rPr>
        <w:t xml:space="preserve">their </w:t>
      </w:r>
      <w:r w:rsidR="00330567" w:rsidRPr="614A0522">
        <w:rPr>
          <w:rFonts w:asciiTheme="minorHAnsi" w:eastAsia="Calibri" w:hAnsiTheme="minorHAnsi" w:cstheme="minorBidi"/>
          <w:color w:val="auto"/>
        </w:rPr>
        <w:t>delegate)</w:t>
      </w:r>
      <w:r w:rsidR="00BA4788" w:rsidRPr="614A0522">
        <w:rPr>
          <w:rFonts w:asciiTheme="minorHAnsi" w:eastAsia="Calibri" w:hAnsiTheme="minorHAnsi" w:cstheme="minorBidi"/>
          <w:color w:val="auto"/>
        </w:rPr>
        <w:t xml:space="preserve"> when a final decision is made. </w:t>
      </w:r>
      <w:r w:rsidRPr="614A0522">
        <w:rPr>
          <w:rFonts w:asciiTheme="minorHAnsi" w:eastAsia="Calibri" w:hAnsiTheme="minorHAnsi" w:cstheme="minorBidi"/>
          <w:color w:val="auto"/>
        </w:rPr>
        <w:t>Responsible Person</w:t>
      </w:r>
      <w:r w:rsidR="00BA4788" w:rsidRPr="614A0522">
        <w:rPr>
          <w:rFonts w:asciiTheme="minorHAnsi" w:eastAsia="Calibri" w:hAnsiTheme="minorHAnsi" w:cstheme="minorBidi"/>
          <w:color w:val="auto"/>
        </w:rPr>
        <w:t>s are encouraged to use this opportunity to respond to any matters</w:t>
      </w:r>
      <w:r w:rsidR="00716062" w:rsidRPr="614A0522">
        <w:rPr>
          <w:rFonts w:asciiTheme="minorHAnsi" w:eastAsia="Calibri" w:hAnsiTheme="minorHAnsi" w:cstheme="minorBidi"/>
          <w:color w:val="auto"/>
        </w:rPr>
        <w:t xml:space="preserve"> identified</w:t>
      </w:r>
      <w:r w:rsidR="00BA4788" w:rsidRPr="614A0522">
        <w:rPr>
          <w:rFonts w:asciiTheme="minorHAnsi" w:eastAsia="Calibri" w:hAnsiTheme="minorHAnsi" w:cstheme="minorBidi"/>
          <w:color w:val="auto"/>
        </w:rPr>
        <w:t xml:space="preserve"> in the indicative outcome, or to provide additional information in support of earlier submissions.</w:t>
      </w:r>
    </w:p>
    <w:p w14:paraId="70326346" w14:textId="3D3A5A7F" w:rsidR="00524541" w:rsidRPr="00A429BA" w:rsidRDefault="00524541" w:rsidP="00A429BA">
      <w:pPr>
        <w:spacing w:after="0" w:line="240" w:lineRule="auto"/>
        <w:textAlignment w:val="baseline"/>
        <w:rPr>
          <w:rFonts w:ascii="Calibri Light" w:hAnsi="Calibri Light" w:cs="Calibri Light"/>
          <w:color w:val="2F5496"/>
          <w:sz w:val="32"/>
          <w:szCs w:val="32"/>
          <w:lang w:eastAsia="en-AU"/>
        </w:rPr>
      </w:pPr>
      <w:r w:rsidRPr="00A429BA">
        <w:rPr>
          <w:rFonts w:ascii="Calibri Light" w:hAnsi="Calibri Light" w:cs="Calibri Light"/>
          <w:color w:val="2F5496"/>
          <w:sz w:val="32"/>
          <w:szCs w:val="32"/>
          <w:lang w:eastAsia="en-AU"/>
        </w:rPr>
        <w:t>Assessing a</w:t>
      </w:r>
      <w:r w:rsidR="00B43FF3" w:rsidRPr="00A429BA">
        <w:rPr>
          <w:rFonts w:ascii="Calibri Light" w:hAnsi="Calibri Light" w:cs="Calibri Light"/>
          <w:color w:val="2F5496"/>
          <w:sz w:val="32"/>
          <w:szCs w:val="32"/>
          <w:lang w:eastAsia="en-AU"/>
        </w:rPr>
        <w:t>n application based on short shelf-life</w:t>
      </w:r>
    </w:p>
    <w:p w14:paraId="6495852B" w14:textId="47D1F1AD" w:rsidR="00723076" w:rsidRPr="00D11816" w:rsidRDefault="00B11E93" w:rsidP="000B37E4">
      <w:pPr>
        <w:pStyle w:val="ListBullet"/>
        <w:numPr>
          <w:ilvl w:val="0"/>
          <w:numId w:val="0"/>
        </w:numPr>
        <w:tabs>
          <w:tab w:val="left" w:pos="0"/>
        </w:tabs>
        <w:rPr>
          <w:rFonts w:asciiTheme="minorHAnsi" w:hAnsiTheme="minorHAnsi" w:cstheme="minorHAnsi"/>
        </w:rPr>
      </w:pPr>
      <w:r w:rsidRPr="00D11816">
        <w:rPr>
          <w:rFonts w:asciiTheme="minorHAnsi" w:hAnsiTheme="minorHAnsi" w:cstheme="minorHAnsi"/>
        </w:rPr>
        <w:t xml:space="preserve">For applications </w:t>
      </w:r>
      <w:r w:rsidR="00674E3C" w:rsidRPr="00D11816">
        <w:rPr>
          <w:rFonts w:asciiTheme="minorHAnsi" w:hAnsiTheme="minorHAnsi" w:cstheme="minorHAnsi"/>
        </w:rPr>
        <w:t>based on</w:t>
      </w:r>
      <w:r w:rsidRPr="00D11816">
        <w:rPr>
          <w:rFonts w:asciiTheme="minorHAnsi" w:hAnsiTheme="minorHAnsi" w:cstheme="minorHAnsi"/>
        </w:rPr>
        <w:t xml:space="preserve"> short shelf-life, </w:t>
      </w:r>
      <w:r w:rsidR="00723076" w:rsidRPr="00D11816">
        <w:rPr>
          <w:rFonts w:asciiTheme="minorHAnsi" w:hAnsiTheme="minorHAnsi" w:cstheme="minorHAnsi"/>
        </w:rPr>
        <w:t xml:space="preserve">the Minister will generally </w:t>
      </w:r>
      <w:r w:rsidR="00A95453" w:rsidRPr="00D11816">
        <w:rPr>
          <w:rFonts w:asciiTheme="minorHAnsi" w:hAnsiTheme="minorHAnsi" w:cstheme="minorHAnsi"/>
        </w:rPr>
        <w:t xml:space="preserve">use the </w:t>
      </w:r>
      <w:r w:rsidR="00671763" w:rsidRPr="00D11816">
        <w:rPr>
          <w:rFonts w:asciiTheme="minorHAnsi" w:hAnsiTheme="minorHAnsi" w:cstheme="minorHAnsi"/>
        </w:rPr>
        <w:t xml:space="preserve">factors outlined in Figure 1 </w:t>
      </w:r>
      <w:r w:rsidR="00BD3BCF" w:rsidRPr="00D11816">
        <w:rPr>
          <w:rFonts w:asciiTheme="minorHAnsi" w:hAnsiTheme="minorHAnsi" w:cstheme="minorHAnsi"/>
        </w:rPr>
        <w:t xml:space="preserve">and Figure 2 </w:t>
      </w:r>
      <w:r w:rsidR="00D94522" w:rsidRPr="00D11816">
        <w:rPr>
          <w:rFonts w:asciiTheme="minorHAnsi" w:hAnsiTheme="minorHAnsi" w:cstheme="minorHAnsi"/>
        </w:rPr>
        <w:t>to consider whether</w:t>
      </w:r>
      <w:r w:rsidR="00572320" w:rsidRPr="00D11816">
        <w:rPr>
          <w:rFonts w:asciiTheme="minorHAnsi" w:hAnsiTheme="minorHAnsi" w:cstheme="minorHAnsi"/>
        </w:rPr>
        <w:t xml:space="preserve"> compliance with the </w:t>
      </w:r>
      <w:r w:rsidR="000E3038">
        <w:rPr>
          <w:rFonts w:asciiTheme="minorHAnsi" w:hAnsiTheme="minorHAnsi" w:cstheme="minorHAnsi"/>
        </w:rPr>
        <w:t>MSR</w:t>
      </w:r>
      <w:r w:rsidR="00572320" w:rsidRPr="00D11816">
        <w:rPr>
          <w:rFonts w:asciiTheme="minorHAnsi" w:hAnsiTheme="minorHAnsi" w:cstheme="minorHAnsi"/>
        </w:rPr>
        <w:t xml:space="preserve"> is likely to </w:t>
      </w:r>
      <w:r w:rsidR="00C52F2A">
        <w:rPr>
          <w:rFonts w:asciiTheme="minorHAnsi" w:hAnsiTheme="minorHAnsi" w:cstheme="minorHAnsi"/>
        </w:rPr>
        <w:t>result in</w:t>
      </w:r>
      <w:r w:rsidR="00C52F2A" w:rsidRPr="00D11816">
        <w:rPr>
          <w:rFonts w:asciiTheme="minorHAnsi" w:hAnsiTheme="minorHAnsi" w:cstheme="minorHAnsi"/>
        </w:rPr>
        <w:t xml:space="preserve"> </w:t>
      </w:r>
      <w:r w:rsidR="00572320" w:rsidRPr="00D11816">
        <w:rPr>
          <w:rFonts w:asciiTheme="minorHAnsi" w:hAnsiTheme="minorHAnsi" w:cstheme="minorHAnsi"/>
        </w:rPr>
        <w:t>wastage of stock.</w:t>
      </w:r>
    </w:p>
    <w:p w14:paraId="76620FDF" w14:textId="15FB994A" w:rsidR="006E3649" w:rsidRDefault="006E3649" w:rsidP="009E37E4">
      <w:pPr>
        <w:pStyle w:val="Caption"/>
        <w:keepNext/>
      </w:pPr>
      <w:r>
        <w:t xml:space="preserve">Figure </w:t>
      </w:r>
      <w:r w:rsidR="008A1B03">
        <w:fldChar w:fldCharType="begin"/>
      </w:r>
      <w:r w:rsidR="008A1B03">
        <w:instrText xml:space="preserve"> SEQ Figure \* ARABIC </w:instrText>
      </w:r>
      <w:r w:rsidR="008A1B03">
        <w:fldChar w:fldCharType="separate"/>
      </w:r>
      <w:r w:rsidR="00FC4FC2">
        <w:rPr>
          <w:noProof/>
        </w:rPr>
        <w:t>1</w:t>
      </w:r>
      <w:r w:rsidR="008A1B03">
        <w:rPr>
          <w:noProof/>
        </w:rPr>
        <w:fldChar w:fldCharType="end"/>
      </w:r>
      <w:r w:rsidR="00B52736">
        <w:t xml:space="preserve">: </w:t>
      </w:r>
      <w:r w:rsidR="007314DF">
        <w:t>S</w:t>
      </w:r>
      <w:r w:rsidR="00B52736">
        <w:t>tep 1</w:t>
      </w:r>
      <w:r w:rsidR="007314DF">
        <w:t xml:space="preserve"> - </w:t>
      </w:r>
      <w:r w:rsidR="007314DF" w:rsidRPr="00C44F18">
        <w:t>Maximum warehousing period before wastage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4890" w:rsidRPr="000111A3" w14:paraId="634D5699" w14:textId="77777777">
        <w:tc>
          <w:tcPr>
            <w:tcW w:w="9016" w:type="dxa"/>
            <w:shd w:val="clear" w:color="auto" w:fill="B3DEF2"/>
          </w:tcPr>
          <w:p w14:paraId="77250C14" w14:textId="190A55FD" w:rsidR="003C4890" w:rsidRPr="000111A3" w:rsidRDefault="00F77130" w:rsidP="000B37E4">
            <w:pPr>
              <w:rPr>
                <w:rFonts w:cs="Arial"/>
                <w:i/>
                <w:iCs/>
                <w:sz w:val="20"/>
                <w:szCs w:val="20"/>
              </w:rPr>
            </w:pPr>
            <w:bookmarkStart w:id="0" w:name="_Hlk180141282"/>
            <w:r w:rsidRPr="00C44F18">
              <w:rPr>
                <w:rFonts w:cs="Arial"/>
                <w:b/>
                <w:bCs/>
                <w:i/>
                <w:iCs/>
                <w:color w:val="2F3757" w:themeColor="text2" w:themeShade="BF"/>
                <w:sz w:val="20"/>
                <w:szCs w:val="20"/>
              </w:rPr>
              <w:t>Maximum warehousing period before wastage</w:t>
            </w:r>
            <w:r w:rsidRPr="00C44F18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 xml:space="preserve"> = </w:t>
            </w:r>
            <w:r w:rsidR="003C4890" w:rsidRPr="00C44F18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(Shelf</w:t>
            </w:r>
            <w:r w:rsidR="00E8109B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-l</w:t>
            </w:r>
            <w:r w:rsidR="003C4890" w:rsidRPr="00C44F18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ife) minus (Supply lead-time to RP</w:t>
            </w:r>
            <w:r w:rsidR="00015D5A">
              <w:rPr>
                <w:rStyle w:val="FootnoteReference"/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footnoteReference w:id="2"/>
            </w:r>
            <w:r w:rsidR="003C4890" w:rsidRPr="00C44F18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) minus (</w:t>
            </w:r>
            <w:r w:rsidR="00904E71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C</w:t>
            </w:r>
            <w:r w:rsidR="003C4890" w:rsidRPr="00C44F18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ommercial shelf-life requirement</w:t>
            </w:r>
            <w:r w:rsidR="00330567" w:rsidRPr="00D11816">
              <w:rPr>
                <w:rStyle w:val="FootnoteReference"/>
                <w:rFonts w:asciiTheme="minorHAnsi" w:hAnsiTheme="minorHAnsi" w:cstheme="minorHAnsi"/>
              </w:rPr>
              <w:footnoteReference w:id="3"/>
            </w:r>
            <w:r w:rsidR="003C4890" w:rsidRPr="00C44F18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)</w:t>
            </w:r>
          </w:p>
        </w:tc>
      </w:tr>
    </w:tbl>
    <w:bookmarkEnd w:id="0"/>
    <w:p w14:paraId="4C3702B8" w14:textId="6DECB918" w:rsidR="00BD3BCF" w:rsidRPr="00D11816" w:rsidRDefault="00BD3BCF" w:rsidP="000B37E4">
      <w:pPr>
        <w:pStyle w:val="ListBullet"/>
        <w:numPr>
          <w:ilvl w:val="0"/>
          <w:numId w:val="0"/>
        </w:numPr>
        <w:tabs>
          <w:tab w:val="left" w:pos="0"/>
        </w:tabs>
        <w:rPr>
          <w:rFonts w:asciiTheme="minorHAnsi" w:hAnsiTheme="minorHAnsi" w:cstheme="minorHAnsi"/>
        </w:rPr>
      </w:pPr>
      <w:r w:rsidRPr="00D11816">
        <w:rPr>
          <w:rFonts w:asciiTheme="minorHAnsi" w:hAnsiTheme="minorHAnsi" w:cstheme="minorHAnsi"/>
        </w:rPr>
        <w:lastRenderedPageBreak/>
        <w:t xml:space="preserve">Using information provided in the </w:t>
      </w:r>
      <w:r w:rsidR="00360405">
        <w:rPr>
          <w:rFonts w:asciiTheme="minorHAnsi" w:hAnsiTheme="minorHAnsi" w:cstheme="minorHAnsi"/>
        </w:rPr>
        <w:t>Responsible Person</w:t>
      </w:r>
      <w:r w:rsidR="005C69EA" w:rsidRPr="00D11816">
        <w:rPr>
          <w:rFonts w:asciiTheme="minorHAnsi" w:hAnsiTheme="minorHAnsi" w:cstheme="minorHAnsi"/>
        </w:rPr>
        <w:t>’</w:t>
      </w:r>
      <w:r w:rsidRPr="00D11816">
        <w:rPr>
          <w:rFonts w:asciiTheme="minorHAnsi" w:hAnsiTheme="minorHAnsi" w:cstheme="minorHAnsi"/>
        </w:rPr>
        <w:t>s application, the calculation outlined in Figure</w:t>
      </w:r>
      <w:r w:rsidR="0024014C">
        <w:rPr>
          <w:rFonts w:asciiTheme="minorHAnsi" w:hAnsiTheme="minorHAnsi" w:cstheme="minorHAnsi"/>
        </w:rPr>
        <w:t> </w:t>
      </w:r>
      <w:r w:rsidRPr="00D11816">
        <w:rPr>
          <w:rFonts w:asciiTheme="minorHAnsi" w:hAnsiTheme="minorHAnsi" w:cstheme="minorHAnsi"/>
        </w:rPr>
        <w:t xml:space="preserve">1 may be performed to determine the maximum period the </w:t>
      </w:r>
      <w:r w:rsidR="00360405">
        <w:rPr>
          <w:rFonts w:asciiTheme="minorHAnsi" w:hAnsiTheme="minorHAnsi" w:cstheme="minorHAnsi"/>
        </w:rPr>
        <w:t>Responsible Person</w:t>
      </w:r>
      <w:r w:rsidRPr="00D11816">
        <w:rPr>
          <w:rFonts w:asciiTheme="minorHAnsi" w:hAnsiTheme="minorHAnsi" w:cstheme="minorHAnsi"/>
        </w:rPr>
        <w:t xml:space="preserve"> can warehouse stock before it has passed its </w:t>
      </w:r>
      <w:bookmarkStart w:id="1" w:name="OLE_LINK1"/>
      <w:r w:rsidRPr="00D11816">
        <w:rPr>
          <w:rFonts w:asciiTheme="minorHAnsi" w:hAnsiTheme="minorHAnsi" w:cstheme="minorHAnsi"/>
        </w:rPr>
        <w:t>commercial shelf-life requirement</w:t>
      </w:r>
      <w:bookmarkEnd w:id="1"/>
      <w:r w:rsidRPr="00D11816">
        <w:rPr>
          <w:rFonts w:asciiTheme="minorHAnsi" w:hAnsiTheme="minorHAnsi" w:cstheme="minorHAnsi"/>
        </w:rPr>
        <w:t>.</w:t>
      </w:r>
    </w:p>
    <w:p w14:paraId="51479482" w14:textId="296A2FF3" w:rsidR="00E71E24" w:rsidRDefault="00E71E24" w:rsidP="009E37E4">
      <w:pPr>
        <w:pStyle w:val="Caption"/>
        <w:keepNext/>
      </w:pPr>
      <w:r>
        <w:t xml:space="preserve">Figure </w:t>
      </w:r>
      <w:r w:rsidR="008A1B03">
        <w:fldChar w:fldCharType="begin"/>
      </w:r>
      <w:r w:rsidR="008A1B03">
        <w:instrText xml:space="preserve"> SEQ Figure \* ARABIC </w:instrText>
      </w:r>
      <w:r w:rsidR="008A1B03">
        <w:fldChar w:fldCharType="separate"/>
      </w:r>
      <w:r w:rsidR="00FC4FC2">
        <w:rPr>
          <w:noProof/>
        </w:rPr>
        <w:t>2</w:t>
      </w:r>
      <w:r w:rsidR="008A1B03">
        <w:rPr>
          <w:noProof/>
        </w:rPr>
        <w:fldChar w:fldCharType="end"/>
      </w:r>
      <w:r w:rsidR="00B52736">
        <w:t xml:space="preserve">: </w:t>
      </w:r>
      <w:r w:rsidR="007314DF">
        <w:t>S</w:t>
      </w:r>
      <w:r w:rsidR="00B52736">
        <w:t>tep 2</w:t>
      </w:r>
      <w:r w:rsidR="007314DF">
        <w:t xml:space="preserve"> – Peak stock level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5882" w:rsidRPr="000111A3" w14:paraId="7CBF3418" w14:textId="77777777">
        <w:tc>
          <w:tcPr>
            <w:tcW w:w="9016" w:type="dxa"/>
            <w:shd w:val="clear" w:color="auto" w:fill="B3DEF2"/>
          </w:tcPr>
          <w:p w14:paraId="49632CEC" w14:textId="685B8DC3" w:rsidR="00BB5882" w:rsidRPr="000111A3" w:rsidRDefault="00694ED5" w:rsidP="000B37E4">
            <w:pPr>
              <w:keepNext/>
              <w:rPr>
                <w:rFonts w:cs="Arial"/>
                <w:i/>
                <w:iCs/>
                <w:sz w:val="20"/>
                <w:szCs w:val="20"/>
              </w:rPr>
            </w:pPr>
            <w:r w:rsidRPr="00053B87">
              <w:rPr>
                <w:rFonts w:cs="Arial"/>
                <w:b/>
                <w:bCs/>
                <w:i/>
                <w:iCs/>
                <w:color w:val="2F3757" w:themeColor="text2" w:themeShade="BF"/>
                <w:sz w:val="20"/>
                <w:szCs w:val="20"/>
              </w:rPr>
              <w:t>Peak stock level</w:t>
            </w:r>
            <w:r w:rsidRPr="00694ED5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053B87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= Minimum stockholding + safety stock</w:t>
            </w:r>
            <w:r w:rsidR="001A34E2">
              <w:rPr>
                <w:rStyle w:val="FootnoteReference"/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footnoteReference w:id="4"/>
            </w:r>
            <w:r w:rsidRPr="00053B87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 xml:space="preserve"> + </w:t>
            </w:r>
            <w:r w:rsidR="008A6F13" w:rsidRPr="00053B87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cycle stock</w:t>
            </w:r>
            <w:r w:rsidR="00607C4A">
              <w:rPr>
                <w:rStyle w:val="FootnoteReference"/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footnoteReference w:id="5"/>
            </w:r>
          </w:p>
        </w:tc>
      </w:tr>
    </w:tbl>
    <w:p w14:paraId="1BF4878F" w14:textId="20050313" w:rsidR="00BD3BCF" w:rsidRPr="008D7256" w:rsidRDefault="00BD3BCF" w:rsidP="000B37E4">
      <w:pPr>
        <w:pStyle w:val="ListBullet"/>
        <w:numPr>
          <w:ilvl w:val="0"/>
          <w:numId w:val="0"/>
        </w:numPr>
        <w:tabs>
          <w:tab w:val="left" w:pos="0"/>
        </w:tabs>
        <w:rPr>
          <w:rFonts w:asciiTheme="minorHAnsi" w:eastAsia="Calibri" w:hAnsiTheme="minorHAnsi" w:cstheme="minorHAnsi"/>
          <w:color w:val="auto"/>
          <w:szCs w:val="22"/>
        </w:rPr>
      </w:pP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Then, a peak stock level is calculated in accordance with Figure 2 using information provided by the </w:t>
      </w:r>
      <w:r w:rsidR="00360405">
        <w:rPr>
          <w:rFonts w:asciiTheme="minorHAnsi" w:eastAsia="Calibri" w:hAnsiTheme="minorHAnsi" w:cstheme="minorHAnsi"/>
          <w:color w:val="auto"/>
          <w:szCs w:val="22"/>
        </w:rPr>
        <w:t>Responsible Person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. If a </w:t>
      </w:r>
      <w:r w:rsidR="00360405">
        <w:rPr>
          <w:rFonts w:asciiTheme="minorHAnsi" w:eastAsia="Calibri" w:hAnsiTheme="minorHAnsi" w:cstheme="minorHAnsi"/>
          <w:color w:val="auto"/>
          <w:szCs w:val="22"/>
        </w:rPr>
        <w:t>Responsible Person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 does not specify their safety stock and cycle stock quantities, an allowance will generally be made for 1 month safety stock and 1 month cycle stock.</w:t>
      </w:r>
      <w:r w:rsidR="00EE1745" w:rsidRPr="008D7256">
        <w:rPr>
          <w:rFonts w:asciiTheme="minorHAnsi" w:eastAsia="Calibri" w:hAnsiTheme="minorHAnsi" w:cstheme="minorHAnsi"/>
          <w:color w:val="auto"/>
          <w:szCs w:val="22"/>
        </w:rPr>
        <w:t xml:space="preserve"> </w:t>
      </w:r>
    </w:p>
    <w:p w14:paraId="7475BB27" w14:textId="6C832E65" w:rsidR="00DA1277" w:rsidRDefault="00DA1277" w:rsidP="000B37E4">
      <w:pPr>
        <w:pStyle w:val="ListBullet"/>
        <w:keepNext/>
        <w:numPr>
          <w:ilvl w:val="0"/>
          <w:numId w:val="0"/>
        </w:numPr>
        <w:tabs>
          <w:tab w:val="left" w:pos="0"/>
        </w:tabs>
        <w:rPr>
          <w:rFonts w:eastAsia="Calibri" w:cs="Arial"/>
          <w:color w:val="auto"/>
          <w:szCs w:val="22"/>
        </w:rPr>
      </w:pPr>
      <w:r w:rsidRPr="00053B87">
        <w:rPr>
          <w:b/>
          <w:bCs/>
          <w:color w:val="3F4A75" w:themeColor="accent1"/>
          <w:sz w:val="18"/>
          <w:szCs w:val="18"/>
        </w:rPr>
        <w:t>Step 3</w:t>
      </w:r>
      <w:r w:rsidR="009C00F3">
        <w:rPr>
          <w:b/>
          <w:bCs/>
          <w:color w:val="3F4A75" w:themeColor="accent1"/>
          <w:sz w:val="18"/>
          <w:szCs w:val="18"/>
        </w:rPr>
        <w:t xml:space="preserve"> – Determining wastage</w:t>
      </w:r>
    </w:p>
    <w:p w14:paraId="3C7B2BF5" w14:textId="704913A4" w:rsidR="00AA5810" w:rsidRPr="008D7256" w:rsidRDefault="00214445" w:rsidP="000B37E4">
      <w:pPr>
        <w:pStyle w:val="ListBullet"/>
        <w:numPr>
          <w:ilvl w:val="0"/>
          <w:numId w:val="0"/>
        </w:numPr>
        <w:tabs>
          <w:tab w:val="left" w:pos="0"/>
        </w:tabs>
        <w:rPr>
          <w:rFonts w:asciiTheme="minorHAnsi" w:eastAsia="Calibri" w:hAnsiTheme="minorHAnsi" w:cstheme="minorHAnsi"/>
          <w:color w:val="auto"/>
          <w:szCs w:val="22"/>
        </w:rPr>
      </w:pP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If the peak stock level </w:t>
      </w:r>
      <w:r w:rsidR="009C00F3" w:rsidRPr="008D7256">
        <w:rPr>
          <w:rFonts w:asciiTheme="minorHAnsi" w:eastAsia="Calibri" w:hAnsiTheme="minorHAnsi" w:cstheme="minorHAnsi"/>
          <w:color w:val="auto"/>
          <w:szCs w:val="22"/>
        </w:rPr>
        <w:t xml:space="preserve">(step 2) 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is greater than </w:t>
      </w:r>
      <w:r w:rsidR="00AA5810" w:rsidRPr="008D7256">
        <w:rPr>
          <w:rFonts w:asciiTheme="minorHAnsi" w:eastAsia="Calibri" w:hAnsiTheme="minorHAnsi" w:cstheme="minorHAnsi"/>
          <w:color w:val="auto"/>
          <w:szCs w:val="22"/>
        </w:rPr>
        <w:t>the maximum warehousing period before wastage</w:t>
      </w:r>
      <w:r w:rsidR="009C00F3" w:rsidRPr="008D7256">
        <w:rPr>
          <w:rFonts w:asciiTheme="minorHAnsi" w:eastAsia="Calibri" w:hAnsiTheme="minorHAnsi" w:cstheme="minorHAnsi"/>
          <w:color w:val="auto"/>
          <w:szCs w:val="22"/>
        </w:rPr>
        <w:t xml:space="preserve"> (step 1)</w:t>
      </w:r>
      <w:r w:rsidR="00AA5810" w:rsidRPr="008D7256">
        <w:rPr>
          <w:rFonts w:asciiTheme="minorHAnsi" w:eastAsia="Calibri" w:hAnsiTheme="minorHAnsi" w:cstheme="minorHAnsi"/>
          <w:color w:val="auto"/>
          <w:szCs w:val="22"/>
        </w:rPr>
        <w:t xml:space="preserve">, the </w:t>
      </w:r>
      <w:r w:rsidR="00F511EE">
        <w:rPr>
          <w:rFonts w:asciiTheme="minorHAnsi" w:eastAsia="Calibri" w:hAnsiTheme="minorHAnsi" w:cstheme="minorHAnsi"/>
          <w:color w:val="auto"/>
          <w:szCs w:val="22"/>
        </w:rPr>
        <w:t>D</w:t>
      </w:r>
      <w:r w:rsidR="000B00EF" w:rsidRPr="008D7256">
        <w:rPr>
          <w:rFonts w:asciiTheme="minorHAnsi" w:eastAsia="Calibri" w:hAnsiTheme="minorHAnsi" w:cstheme="minorHAnsi"/>
          <w:color w:val="auto"/>
          <w:szCs w:val="22"/>
        </w:rPr>
        <w:t xml:space="preserve">epartment may recommend the Minister determine a reduced stockholding </w:t>
      </w:r>
      <w:r w:rsidR="002D6D12" w:rsidRPr="008D7256">
        <w:rPr>
          <w:rFonts w:asciiTheme="minorHAnsi" w:eastAsia="Calibri" w:hAnsiTheme="minorHAnsi" w:cstheme="minorHAnsi"/>
          <w:color w:val="auto"/>
          <w:szCs w:val="22"/>
        </w:rPr>
        <w:t>quantity</w:t>
      </w:r>
      <w:r w:rsidR="003D1DC4" w:rsidRPr="008D7256">
        <w:rPr>
          <w:rFonts w:asciiTheme="minorHAnsi" w:eastAsia="Calibri" w:hAnsiTheme="minorHAnsi" w:cstheme="minorHAnsi"/>
          <w:color w:val="auto"/>
          <w:szCs w:val="22"/>
        </w:rPr>
        <w:t>.</w:t>
      </w:r>
    </w:p>
    <w:p w14:paraId="63562507" w14:textId="1706ECD6" w:rsidR="009C00F3" w:rsidRPr="008D7256" w:rsidRDefault="009C00F3" w:rsidP="000B37E4">
      <w:pPr>
        <w:pStyle w:val="ListBullet"/>
        <w:numPr>
          <w:ilvl w:val="0"/>
          <w:numId w:val="0"/>
        </w:numPr>
        <w:tabs>
          <w:tab w:val="left" w:pos="0"/>
        </w:tabs>
        <w:rPr>
          <w:rFonts w:asciiTheme="minorHAnsi" w:eastAsia="Calibri" w:hAnsiTheme="minorHAnsi" w:cstheme="minorHAnsi"/>
          <w:b/>
          <w:bCs/>
          <w:i/>
          <w:iCs/>
          <w:color w:val="2F3757" w:themeColor="text2" w:themeShade="BF"/>
          <w:szCs w:val="22"/>
        </w:rPr>
      </w:pPr>
      <w:r w:rsidRPr="008D7256">
        <w:rPr>
          <w:rFonts w:asciiTheme="minorHAnsi" w:eastAsia="Calibri" w:hAnsiTheme="minorHAnsi" w:cstheme="minorHAnsi"/>
          <w:b/>
          <w:bCs/>
          <w:i/>
          <w:iCs/>
          <w:color w:val="2F3757" w:themeColor="text2" w:themeShade="BF"/>
          <w:szCs w:val="22"/>
        </w:rPr>
        <w:t>Worked Example</w:t>
      </w:r>
    </w:p>
    <w:p w14:paraId="5D301A37" w14:textId="58581F43" w:rsidR="009C00F3" w:rsidRPr="008D7256" w:rsidRDefault="007F67D4" w:rsidP="000B37E4">
      <w:pPr>
        <w:pStyle w:val="ListBullet"/>
        <w:numPr>
          <w:ilvl w:val="0"/>
          <w:numId w:val="0"/>
        </w:numPr>
        <w:tabs>
          <w:tab w:val="left" w:pos="0"/>
        </w:tabs>
        <w:rPr>
          <w:rFonts w:asciiTheme="minorHAnsi" w:eastAsia="Calibri" w:hAnsiTheme="minorHAnsi" w:cstheme="minorHAnsi"/>
          <w:color w:val="auto"/>
          <w:szCs w:val="22"/>
        </w:rPr>
      </w:pPr>
      <w:r w:rsidRPr="008D7256">
        <w:rPr>
          <w:rFonts w:asciiTheme="minorHAnsi" w:eastAsia="Calibri" w:hAnsiTheme="minorHAnsi" w:cstheme="minorHAnsi"/>
          <w:color w:val="auto"/>
          <w:szCs w:val="22"/>
        </w:rPr>
        <w:t>A</w:t>
      </w:r>
      <w:r w:rsidR="003A05C4" w:rsidRPr="008D7256">
        <w:rPr>
          <w:rFonts w:asciiTheme="minorHAnsi" w:eastAsia="Calibri" w:hAnsiTheme="minorHAnsi" w:cstheme="minorHAnsi"/>
          <w:color w:val="auto"/>
          <w:szCs w:val="22"/>
        </w:rPr>
        <w:t>pplying the above steps</w:t>
      </w:r>
      <w:r w:rsidR="006970C4" w:rsidRPr="008D7256">
        <w:rPr>
          <w:rFonts w:asciiTheme="minorHAnsi" w:eastAsia="Calibri" w:hAnsiTheme="minorHAnsi" w:cstheme="minorHAnsi"/>
          <w:color w:val="auto"/>
          <w:szCs w:val="22"/>
        </w:rPr>
        <w:t xml:space="preserve"> to a worked example:</w:t>
      </w:r>
    </w:p>
    <w:p w14:paraId="04DCA2E5" w14:textId="2A21AED3" w:rsidR="00EE6BA4" w:rsidRDefault="00EE6BA4" w:rsidP="00EE6BA4">
      <w:pPr>
        <w:pStyle w:val="Caption"/>
        <w:keepNext/>
      </w:pPr>
      <w:r>
        <w:t xml:space="preserve">Step 1 - </w:t>
      </w:r>
      <w:r w:rsidRPr="007C3181">
        <w:t>Maximum warehousing period before wastage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6BA4" w:rsidRPr="000111A3" w14:paraId="09321197" w14:textId="77777777">
        <w:tc>
          <w:tcPr>
            <w:tcW w:w="9016" w:type="dxa"/>
            <w:shd w:val="clear" w:color="auto" w:fill="B3DEF2"/>
          </w:tcPr>
          <w:p w14:paraId="55B366B3" w14:textId="315B8E94" w:rsidR="00EE6BA4" w:rsidRDefault="00EE6BA4" w:rsidP="000B37E4">
            <w:pPr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</w:pPr>
            <w:r w:rsidRPr="007C3181">
              <w:rPr>
                <w:rFonts w:cs="Arial"/>
                <w:b/>
                <w:bCs/>
                <w:i/>
                <w:iCs/>
                <w:color w:val="2F3757" w:themeColor="text2" w:themeShade="BF"/>
                <w:sz w:val="20"/>
                <w:szCs w:val="20"/>
              </w:rPr>
              <w:t>Maximum warehousing period before wastage</w:t>
            </w:r>
            <w:r w:rsidRPr="007C3181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 xml:space="preserve"> = (Shelf</w:t>
            </w:r>
            <w:r w:rsidR="00E8109B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-l</w:t>
            </w:r>
            <w:r w:rsidRPr="007C3181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ife) minus (Supply lead-time to RP) minus (</w:t>
            </w:r>
            <w:r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C</w:t>
            </w:r>
            <w:r w:rsidRPr="007C3181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ommercial shelf-life requirement)</w:t>
            </w:r>
          </w:p>
          <w:p w14:paraId="77AC7CC9" w14:textId="5DD6DA82" w:rsidR="00D62DDE" w:rsidRDefault="005C4AF6" w:rsidP="000B37E4">
            <w:pPr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 xml:space="preserve">Where </w:t>
            </w:r>
            <w:r w:rsidR="00897EB7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the</w:t>
            </w:r>
            <w:r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 xml:space="preserve"> shelf</w:t>
            </w:r>
            <w:r w:rsidR="00F73BAC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 xml:space="preserve">-life = 18 months; supply lead time </w:t>
            </w:r>
            <w:r w:rsidR="005C1D73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 xml:space="preserve">= 3 months; and </w:t>
            </w:r>
            <w:r w:rsidR="00F66213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 xml:space="preserve">commercial shelf-life </w:t>
            </w:r>
            <w:r w:rsidR="003D1530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 xml:space="preserve">= </w:t>
            </w:r>
            <w:r w:rsidR="00417584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9 months:</w:t>
            </w:r>
          </w:p>
          <w:p w14:paraId="1F61E244" w14:textId="418AA406" w:rsidR="006970C4" w:rsidRPr="0002418C" w:rsidRDefault="00F021E2" w:rsidP="000B37E4">
            <w:pPr>
              <w:rPr>
                <w:rFonts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 xml:space="preserve">Maximum warehousing period before wastage = 18 </w:t>
            </w:r>
            <w:r w:rsidR="00844CCE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–</w:t>
            </w:r>
            <w:r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 xml:space="preserve"> </w:t>
            </w:r>
            <w:r w:rsidR="00844CCE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 xml:space="preserve">3 – 9 = </w:t>
            </w:r>
            <w:r w:rsidR="00B42934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6 months</w:t>
            </w:r>
            <w:r w:rsidR="00571C61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.</w:t>
            </w:r>
          </w:p>
        </w:tc>
      </w:tr>
    </w:tbl>
    <w:p w14:paraId="124C36AD" w14:textId="4990674C" w:rsidR="00EE6BA4" w:rsidRDefault="00EE6BA4" w:rsidP="00EE6BA4">
      <w:pPr>
        <w:pStyle w:val="Caption"/>
        <w:keepNext/>
      </w:pPr>
      <w:r>
        <w:t>Step 2 – Peak stock level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6BA4" w:rsidRPr="000111A3" w14:paraId="20E338D3" w14:textId="77777777">
        <w:tc>
          <w:tcPr>
            <w:tcW w:w="9016" w:type="dxa"/>
            <w:shd w:val="clear" w:color="auto" w:fill="B3DEF2"/>
          </w:tcPr>
          <w:p w14:paraId="0384599B" w14:textId="77777777" w:rsidR="00EE6BA4" w:rsidRPr="0002418C" w:rsidRDefault="00EE6BA4" w:rsidP="000B37E4">
            <w:pPr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</w:pPr>
            <w:r w:rsidRPr="0002418C">
              <w:rPr>
                <w:rFonts w:cs="Arial"/>
                <w:b/>
                <w:bCs/>
                <w:i/>
                <w:iCs/>
                <w:color w:val="2F3757" w:themeColor="text2" w:themeShade="BF"/>
                <w:sz w:val="20"/>
                <w:szCs w:val="20"/>
              </w:rPr>
              <w:t xml:space="preserve">Peak stock level </w:t>
            </w:r>
            <w:r w:rsidRPr="0002418C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= Minimum stockholding + safety stock + cycle stock</w:t>
            </w:r>
          </w:p>
          <w:p w14:paraId="44DB3401" w14:textId="0391883C" w:rsidR="00C63DCB" w:rsidRPr="0002418C" w:rsidRDefault="00C63DCB" w:rsidP="000B37E4">
            <w:pPr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</w:pPr>
            <w:r w:rsidRPr="0002418C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 xml:space="preserve">Where </w:t>
            </w:r>
            <w:r w:rsidR="00FB2B1A" w:rsidRPr="0002418C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the</w:t>
            </w:r>
            <w:r w:rsidRPr="0002418C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 xml:space="preserve"> </w:t>
            </w:r>
            <w:r w:rsidR="00417554" w:rsidRPr="0002418C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minimum stockholding requirement = 6 months; safety stock = 1 month; and cycle stock = 1 month:</w:t>
            </w:r>
          </w:p>
          <w:p w14:paraId="10DA4705" w14:textId="6620F65E" w:rsidR="008C32C8" w:rsidRPr="000111A3" w:rsidRDefault="00FB7C96" w:rsidP="000B37E4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02418C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 xml:space="preserve">Peak stock level = </w:t>
            </w:r>
            <w:r w:rsidR="0077782D" w:rsidRPr="0002418C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 xml:space="preserve">6 + </w:t>
            </w:r>
            <w:r w:rsidR="00897EB7" w:rsidRPr="0002418C">
              <w:rPr>
                <w:rFonts w:cs="Arial"/>
                <w:i/>
                <w:iCs/>
                <w:color w:val="2F3757" w:themeColor="text2" w:themeShade="BF"/>
                <w:sz w:val="20"/>
                <w:szCs w:val="20"/>
              </w:rPr>
              <w:t>1 + 1 = 8 months.</w:t>
            </w:r>
          </w:p>
        </w:tc>
      </w:tr>
    </w:tbl>
    <w:p w14:paraId="7DA857F6" w14:textId="77777777" w:rsidR="00E6753A" w:rsidRDefault="00E6753A" w:rsidP="000B37E4">
      <w:pPr>
        <w:pStyle w:val="ListBullet"/>
        <w:numPr>
          <w:ilvl w:val="0"/>
          <w:numId w:val="0"/>
        </w:numPr>
        <w:tabs>
          <w:tab w:val="left" w:pos="0"/>
        </w:tabs>
        <w:spacing w:before="120"/>
        <w:rPr>
          <w:b/>
          <w:bCs/>
          <w:color w:val="3F4A75" w:themeColor="accent1"/>
          <w:sz w:val="18"/>
          <w:szCs w:val="18"/>
        </w:rPr>
      </w:pPr>
      <w:r w:rsidRPr="007C3181">
        <w:rPr>
          <w:b/>
          <w:bCs/>
          <w:color w:val="3F4A75" w:themeColor="accent1"/>
          <w:sz w:val="18"/>
          <w:szCs w:val="18"/>
        </w:rPr>
        <w:t>Step 3</w:t>
      </w:r>
      <w:r>
        <w:rPr>
          <w:b/>
          <w:bCs/>
          <w:color w:val="3F4A75" w:themeColor="accent1"/>
          <w:sz w:val="18"/>
          <w:szCs w:val="18"/>
        </w:rPr>
        <w:t xml:space="preserve"> – Determining wastage</w:t>
      </w:r>
    </w:p>
    <w:p w14:paraId="5376C543" w14:textId="3AE88FF9" w:rsidR="009E68B1" w:rsidRPr="008D7256" w:rsidRDefault="00612D04" w:rsidP="000B37E4">
      <w:pPr>
        <w:pStyle w:val="ListBullet"/>
        <w:numPr>
          <w:ilvl w:val="0"/>
          <w:numId w:val="0"/>
        </w:numPr>
        <w:rPr>
          <w:rFonts w:asciiTheme="minorHAnsi" w:eastAsia="Calibri" w:hAnsiTheme="minorHAnsi" w:cstheme="minorBidi"/>
          <w:color w:val="auto"/>
        </w:rPr>
      </w:pPr>
      <w:r w:rsidRPr="614A0522">
        <w:rPr>
          <w:rFonts w:asciiTheme="minorHAnsi" w:eastAsia="Calibri" w:hAnsiTheme="minorHAnsi" w:cstheme="minorBidi"/>
          <w:color w:val="auto"/>
        </w:rPr>
        <w:t xml:space="preserve">As the peak stock level </w:t>
      </w:r>
      <w:r w:rsidR="00DD3DB5" w:rsidRPr="614A0522">
        <w:rPr>
          <w:rFonts w:asciiTheme="minorHAnsi" w:eastAsia="Calibri" w:hAnsiTheme="minorHAnsi" w:cstheme="minorBidi"/>
          <w:color w:val="auto"/>
        </w:rPr>
        <w:t xml:space="preserve">(8 months) </w:t>
      </w:r>
      <w:r w:rsidRPr="614A0522">
        <w:rPr>
          <w:rFonts w:asciiTheme="minorHAnsi" w:eastAsia="Calibri" w:hAnsiTheme="minorHAnsi" w:cstheme="minorBidi"/>
          <w:color w:val="auto"/>
        </w:rPr>
        <w:t>is greater than the maximum warehousing period before wastage</w:t>
      </w:r>
      <w:r w:rsidR="00DD3DB5" w:rsidRPr="614A0522">
        <w:rPr>
          <w:rFonts w:asciiTheme="minorHAnsi" w:eastAsia="Calibri" w:hAnsiTheme="minorHAnsi" w:cstheme="minorBidi"/>
          <w:color w:val="auto"/>
        </w:rPr>
        <w:t xml:space="preserve"> (6 months)</w:t>
      </w:r>
      <w:r w:rsidRPr="614A0522">
        <w:rPr>
          <w:rFonts w:asciiTheme="minorHAnsi" w:eastAsia="Calibri" w:hAnsiTheme="minorHAnsi" w:cstheme="minorBidi"/>
          <w:color w:val="auto"/>
        </w:rPr>
        <w:t xml:space="preserve">, it is expected that wastage would be induced to meet the </w:t>
      </w:r>
      <w:r w:rsidR="00284AAA">
        <w:rPr>
          <w:rFonts w:asciiTheme="minorHAnsi" w:eastAsia="Calibri" w:hAnsiTheme="minorHAnsi" w:cstheme="minorBidi"/>
          <w:color w:val="auto"/>
        </w:rPr>
        <w:t>MSR</w:t>
      </w:r>
      <w:r w:rsidRPr="614A0522">
        <w:rPr>
          <w:rFonts w:asciiTheme="minorHAnsi" w:eastAsia="Calibri" w:hAnsiTheme="minorHAnsi" w:cstheme="minorBidi"/>
          <w:color w:val="auto"/>
        </w:rPr>
        <w:t>.</w:t>
      </w:r>
    </w:p>
    <w:p w14:paraId="4807BE5C" w14:textId="09D3E9A2" w:rsidR="00EE6BA4" w:rsidRPr="008D7256" w:rsidRDefault="00931320" w:rsidP="000B37E4">
      <w:pPr>
        <w:pStyle w:val="ListBullet"/>
        <w:numPr>
          <w:ilvl w:val="0"/>
          <w:numId w:val="0"/>
        </w:numPr>
        <w:rPr>
          <w:rFonts w:asciiTheme="minorHAnsi" w:eastAsia="Calibri" w:hAnsiTheme="minorHAnsi" w:cstheme="minorBidi"/>
          <w:color w:val="auto"/>
        </w:rPr>
      </w:pPr>
      <w:r w:rsidRPr="614A0522">
        <w:rPr>
          <w:rFonts w:asciiTheme="minorHAnsi" w:eastAsia="Calibri" w:hAnsiTheme="minorHAnsi" w:cstheme="minorBidi"/>
          <w:color w:val="auto"/>
        </w:rPr>
        <w:t>In this example,</w:t>
      </w:r>
      <w:r w:rsidR="00612D04" w:rsidRPr="614A0522">
        <w:rPr>
          <w:rFonts w:asciiTheme="minorHAnsi" w:eastAsia="Calibri" w:hAnsiTheme="minorHAnsi" w:cstheme="minorBidi"/>
          <w:color w:val="auto"/>
        </w:rPr>
        <w:t xml:space="preserve"> the </w:t>
      </w:r>
      <w:r w:rsidR="00F511EE" w:rsidRPr="614A0522">
        <w:rPr>
          <w:rFonts w:asciiTheme="minorHAnsi" w:eastAsia="Calibri" w:hAnsiTheme="minorHAnsi" w:cstheme="minorBidi"/>
          <w:color w:val="auto"/>
        </w:rPr>
        <w:t>D</w:t>
      </w:r>
      <w:r w:rsidR="00612D04" w:rsidRPr="614A0522">
        <w:rPr>
          <w:rFonts w:asciiTheme="minorHAnsi" w:eastAsia="Calibri" w:hAnsiTheme="minorHAnsi" w:cstheme="minorBidi"/>
          <w:color w:val="auto"/>
        </w:rPr>
        <w:t>epartment may recommend that the Minister determine 'another quantity' of 4</w:t>
      </w:r>
      <w:r w:rsidR="00790199" w:rsidRPr="614A0522">
        <w:rPr>
          <w:rFonts w:asciiTheme="minorHAnsi" w:eastAsia="Calibri" w:hAnsiTheme="minorHAnsi" w:cstheme="minorBidi"/>
          <w:color w:val="auto"/>
        </w:rPr>
        <w:t> </w:t>
      </w:r>
      <w:r w:rsidR="00612D04" w:rsidRPr="614A0522">
        <w:rPr>
          <w:rFonts w:asciiTheme="minorHAnsi" w:eastAsia="Calibri" w:hAnsiTheme="minorHAnsi" w:cstheme="minorBidi"/>
          <w:color w:val="auto"/>
        </w:rPr>
        <w:t xml:space="preserve">months </w:t>
      </w:r>
      <w:r w:rsidR="00C15D34" w:rsidRPr="614A0522">
        <w:rPr>
          <w:rFonts w:asciiTheme="minorHAnsi" w:eastAsia="Calibri" w:hAnsiTheme="minorHAnsi" w:cstheme="minorBidi"/>
          <w:color w:val="auto"/>
        </w:rPr>
        <w:t>as the minimum stockholding requirement for the brand</w:t>
      </w:r>
      <w:r w:rsidR="00612D04" w:rsidRPr="614A0522">
        <w:rPr>
          <w:rFonts w:asciiTheme="minorHAnsi" w:eastAsia="Calibri" w:hAnsiTheme="minorHAnsi" w:cstheme="minorBidi"/>
          <w:color w:val="auto"/>
        </w:rPr>
        <w:t>.</w:t>
      </w:r>
      <w:r w:rsidR="009E68B1" w:rsidRPr="614A0522">
        <w:rPr>
          <w:rFonts w:asciiTheme="minorHAnsi" w:eastAsia="Calibri" w:hAnsiTheme="minorHAnsi" w:cstheme="minorBidi"/>
          <w:color w:val="auto"/>
        </w:rPr>
        <w:t xml:space="preserve"> </w:t>
      </w:r>
      <w:r w:rsidR="00612D04" w:rsidRPr="614A0522">
        <w:rPr>
          <w:rFonts w:asciiTheme="minorHAnsi" w:eastAsia="Calibri" w:hAnsiTheme="minorHAnsi" w:cstheme="minorBidi"/>
          <w:color w:val="auto"/>
        </w:rPr>
        <w:t>This would result in a lower peak stock level of 6 months, which is equal to the maximum warehousing period before wastage.</w:t>
      </w:r>
    </w:p>
    <w:p w14:paraId="3791B324" w14:textId="77777777" w:rsidR="00DA1277" w:rsidRPr="005658A9" w:rsidRDefault="00DA1277" w:rsidP="000B37E4">
      <w:pPr>
        <w:pStyle w:val="ListBullet"/>
        <w:numPr>
          <w:ilvl w:val="0"/>
          <w:numId w:val="0"/>
        </w:numPr>
        <w:rPr>
          <w:rFonts w:asciiTheme="minorHAnsi" w:eastAsia="Calibri" w:hAnsiTheme="minorHAnsi" w:cstheme="minorBidi"/>
          <w:color w:val="auto"/>
        </w:rPr>
      </w:pPr>
      <w:r w:rsidRPr="008D7256">
        <w:rPr>
          <w:rFonts w:asciiTheme="minorHAnsi" w:eastAsia="Calibri" w:hAnsiTheme="minorHAnsi" w:cstheme="minorHAnsi"/>
          <w:b/>
          <w:bCs/>
          <w:i/>
          <w:iCs/>
          <w:color w:val="2F3757" w:themeColor="text2" w:themeShade="BF"/>
          <w:szCs w:val="22"/>
        </w:rPr>
        <w:lastRenderedPageBreak/>
        <w:t>Other factors</w:t>
      </w:r>
    </w:p>
    <w:p w14:paraId="7B04D2D9" w14:textId="5C6FF24C" w:rsidR="00DA1277" w:rsidRPr="008D7256" w:rsidRDefault="00DA1277" w:rsidP="000B37E4">
      <w:pPr>
        <w:pStyle w:val="ListBullet"/>
        <w:numPr>
          <w:ilvl w:val="0"/>
          <w:numId w:val="8"/>
        </w:numPr>
        <w:tabs>
          <w:tab w:val="left" w:pos="0"/>
        </w:tabs>
        <w:rPr>
          <w:rFonts w:asciiTheme="minorHAnsi" w:eastAsia="Calibri" w:hAnsiTheme="minorHAnsi" w:cstheme="minorHAnsi"/>
          <w:color w:val="auto"/>
          <w:szCs w:val="22"/>
        </w:rPr>
      </w:pP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If a </w:t>
      </w:r>
      <w:r w:rsidR="00653FD9">
        <w:rPr>
          <w:rFonts w:asciiTheme="minorHAnsi" w:eastAsia="Calibri" w:hAnsiTheme="minorHAnsi" w:cstheme="minorHAnsi"/>
          <w:color w:val="auto"/>
          <w:szCs w:val="22"/>
        </w:rPr>
        <w:t>Responsible Person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 has minimum order quantities (</w:t>
      </w:r>
      <w:r w:rsidRPr="008D7256">
        <w:rPr>
          <w:rFonts w:asciiTheme="minorHAnsi" w:eastAsia="Calibri" w:hAnsiTheme="minorHAnsi" w:cstheme="minorHAnsi"/>
          <w:b/>
          <w:bCs/>
          <w:color w:val="auto"/>
          <w:szCs w:val="22"/>
        </w:rPr>
        <w:t>MOQ</w:t>
      </w:r>
      <w:r w:rsidR="00965939" w:rsidRPr="008D7256">
        <w:rPr>
          <w:rFonts w:asciiTheme="minorHAnsi" w:eastAsia="Calibri" w:hAnsiTheme="minorHAnsi" w:cstheme="minorHAnsi"/>
          <w:b/>
          <w:bCs/>
          <w:color w:val="auto"/>
          <w:szCs w:val="22"/>
        </w:rPr>
        <w:t>s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) </w:t>
      </w:r>
      <w:r w:rsidR="007D3003" w:rsidRPr="008D7256">
        <w:rPr>
          <w:rFonts w:asciiTheme="minorHAnsi" w:eastAsia="Calibri" w:hAnsiTheme="minorHAnsi" w:cstheme="minorHAnsi"/>
          <w:color w:val="auto"/>
          <w:szCs w:val="22"/>
        </w:rPr>
        <w:t>resulting in higher levels of cycle stock</w:t>
      </w:r>
      <w:r w:rsidR="00FD18FA" w:rsidRPr="008D7256">
        <w:rPr>
          <w:rFonts w:asciiTheme="minorHAnsi" w:eastAsia="Calibri" w:hAnsiTheme="minorHAnsi" w:cstheme="minorHAnsi"/>
          <w:color w:val="auto"/>
          <w:szCs w:val="22"/>
        </w:rPr>
        <w:t xml:space="preserve"> 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>for a brand, the Minister may consider what attempts a R</w:t>
      </w:r>
      <w:r w:rsidR="00DB32C2">
        <w:rPr>
          <w:rFonts w:asciiTheme="minorHAnsi" w:eastAsia="Calibri" w:hAnsiTheme="minorHAnsi" w:cstheme="minorHAnsi"/>
          <w:color w:val="auto"/>
          <w:szCs w:val="22"/>
        </w:rPr>
        <w:t xml:space="preserve">esponsible 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>P</w:t>
      </w:r>
      <w:r w:rsidR="00DB32C2">
        <w:rPr>
          <w:rFonts w:asciiTheme="minorHAnsi" w:eastAsia="Calibri" w:hAnsiTheme="minorHAnsi" w:cstheme="minorHAnsi"/>
          <w:color w:val="auto"/>
          <w:szCs w:val="22"/>
        </w:rPr>
        <w:t>erson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 has made to reduce </w:t>
      </w:r>
      <w:r w:rsidR="005E3B17" w:rsidRPr="008D7256">
        <w:rPr>
          <w:rFonts w:asciiTheme="minorHAnsi" w:eastAsia="Calibri" w:hAnsiTheme="minorHAnsi" w:cstheme="minorHAnsi"/>
          <w:color w:val="auto"/>
          <w:szCs w:val="22"/>
        </w:rPr>
        <w:t>the MOQ</w:t>
      </w:r>
      <w:r w:rsidR="00965939" w:rsidRPr="008D7256">
        <w:rPr>
          <w:rFonts w:asciiTheme="minorHAnsi" w:eastAsia="Calibri" w:hAnsiTheme="minorHAnsi" w:cstheme="minorHAnsi"/>
          <w:color w:val="auto"/>
          <w:szCs w:val="22"/>
        </w:rPr>
        <w:t>s</w:t>
      </w:r>
      <w:r w:rsidR="005E3B17" w:rsidRPr="008D7256">
        <w:rPr>
          <w:rFonts w:asciiTheme="minorHAnsi" w:eastAsia="Calibri" w:hAnsiTheme="minorHAnsi" w:cstheme="minorHAnsi"/>
          <w:color w:val="auto"/>
          <w:szCs w:val="22"/>
        </w:rPr>
        <w:t xml:space="preserve"> 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>to facilitate compliance.</w:t>
      </w:r>
    </w:p>
    <w:p w14:paraId="0319C466" w14:textId="48C703E6" w:rsidR="00DA1277" w:rsidRPr="008D7256" w:rsidRDefault="00DA1277" w:rsidP="000B37E4">
      <w:pPr>
        <w:pStyle w:val="ListBullet"/>
        <w:numPr>
          <w:ilvl w:val="0"/>
          <w:numId w:val="8"/>
        </w:numPr>
        <w:tabs>
          <w:tab w:val="left" w:pos="0"/>
        </w:tabs>
        <w:rPr>
          <w:rFonts w:asciiTheme="minorHAnsi" w:eastAsia="Calibri" w:hAnsiTheme="minorHAnsi" w:cstheme="minorHAnsi"/>
          <w:color w:val="auto"/>
          <w:szCs w:val="22"/>
        </w:rPr>
      </w:pP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Where there is pre-existing obsolescence </w:t>
      </w:r>
      <w:r w:rsidR="00D503E1" w:rsidRPr="008D7256">
        <w:rPr>
          <w:rFonts w:asciiTheme="minorHAnsi" w:eastAsia="Calibri" w:hAnsiTheme="minorHAnsi" w:cstheme="minorHAnsi"/>
          <w:color w:val="auto"/>
          <w:szCs w:val="22"/>
        </w:rPr>
        <w:t>because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 of short shelf-life and </w:t>
      </w:r>
      <w:r w:rsidR="00965939" w:rsidRPr="008D7256">
        <w:rPr>
          <w:rFonts w:asciiTheme="minorHAnsi" w:eastAsia="Calibri" w:hAnsiTheme="minorHAnsi" w:cstheme="minorHAnsi"/>
          <w:color w:val="auto"/>
          <w:szCs w:val="22"/>
        </w:rPr>
        <w:t>MOQs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, the risk of </w:t>
      </w:r>
      <w:r w:rsidRPr="008D7256">
        <w:rPr>
          <w:rFonts w:asciiTheme="minorHAnsi" w:eastAsia="Calibri" w:hAnsiTheme="minorHAnsi" w:cstheme="minorHAnsi"/>
          <w:color w:val="auto"/>
          <w:szCs w:val="22"/>
          <w:u w:val="single"/>
        </w:rPr>
        <w:t>additional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 wastage</w:t>
      </w:r>
      <w:r w:rsidR="00330567">
        <w:rPr>
          <w:rFonts w:asciiTheme="minorHAnsi" w:eastAsia="Calibri" w:hAnsiTheme="minorHAnsi" w:cstheme="minorHAnsi"/>
          <w:color w:val="auto"/>
          <w:szCs w:val="22"/>
        </w:rPr>
        <w:t xml:space="preserve"> (rather than total wastage)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 that might </w:t>
      </w:r>
      <w:r w:rsidR="0021255B">
        <w:rPr>
          <w:rFonts w:asciiTheme="minorHAnsi" w:eastAsia="Calibri" w:hAnsiTheme="minorHAnsi" w:cstheme="minorHAnsi"/>
          <w:color w:val="auto"/>
          <w:szCs w:val="22"/>
        </w:rPr>
        <w:t>result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 will generally be considered.</w:t>
      </w:r>
    </w:p>
    <w:p w14:paraId="7CC866B7" w14:textId="13A2B9B9" w:rsidR="006C60AB" w:rsidRPr="008D7256" w:rsidRDefault="006A687E" w:rsidP="000B37E4">
      <w:pPr>
        <w:pStyle w:val="ListBullet"/>
        <w:numPr>
          <w:ilvl w:val="0"/>
          <w:numId w:val="8"/>
        </w:numPr>
        <w:tabs>
          <w:tab w:val="left" w:pos="0"/>
        </w:tabs>
        <w:rPr>
          <w:rFonts w:asciiTheme="minorHAnsi" w:eastAsia="Calibri" w:hAnsiTheme="minorHAnsi" w:cstheme="minorHAnsi"/>
          <w:color w:val="auto"/>
          <w:szCs w:val="22"/>
        </w:rPr>
      </w:pPr>
      <w:r w:rsidRPr="008D7256">
        <w:rPr>
          <w:rFonts w:asciiTheme="minorHAnsi" w:eastAsia="Calibri" w:hAnsiTheme="minorHAnsi" w:cstheme="minorHAnsi"/>
          <w:color w:val="auto"/>
          <w:szCs w:val="22"/>
        </w:rPr>
        <w:t>R</w:t>
      </w:r>
      <w:r w:rsidR="00C12603">
        <w:rPr>
          <w:rFonts w:asciiTheme="minorHAnsi" w:eastAsia="Calibri" w:hAnsiTheme="minorHAnsi" w:cstheme="minorHAnsi"/>
          <w:color w:val="auto"/>
          <w:szCs w:val="22"/>
        </w:rPr>
        <w:t>esponsible Persons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 are expected to </w:t>
      </w:r>
      <w:r w:rsidR="003E70C6" w:rsidRPr="008D7256">
        <w:rPr>
          <w:rFonts w:asciiTheme="minorHAnsi" w:eastAsia="Calibri" w:hAnsiTheme="minorHAnsi" w:cstheme="minorHAnsi"/>
          <w:color w:val="auto"/>
          <w:szCs w:val="22"/>
        </w:rPr>
        <w:t xml:space="preserve">improve supply chains </w:t>
      </w:r>
      <w:r w:rsidR="00A57375" w:rsidRPr="008D7256">
        <w:rPr>
          <w:rFonts w:asciiTheme="minorHAnsi" w:eastAsia="Calibri" w:hAnsiTheme="minorHAnsi" w:cstheme="minorHAnsi"/>
          <w:color w:val="auto"/>
          <w:szCs w:val="22"/>
        </w:rPr>
        <w:t xml:space="preserve">and business practices </w:t>
      </w:r>
      <w:r w:rsidR="003E70C6" w:rsidRPr="008D7256">
        <w:rPr>
          <w:rFonts w:asciiTheme="minorHAnsi" w:eastAsia="Calibri" w:hAnsiTheme="minorHAnsi" w:cstheme="minorHAnsi"/>
          <w:color w:val="auto"/>
          <w:szCs w:val="22"/>
        </w:rPr>
        <w:t>where necessary to facilitate compliance</w:t>
      </w:r>
      <w:r w:rsidR="00A57375" w:rsidRPr="008D7256">
        <w:rPr>
          <w:rFonts w:asciiTheme="minorHAnsi" w:eastAsia="Calibri" w:hAnsiTheme="minorHAnsi" w:cstheme="minorHAnsi"/>
          <w:color w:val="auto"/>
          <w:szCs w:val="22"/>
        </w:rPr>
        <w:t>. De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terminations may </w:t>
      </w:r>
      <w:r w:rsidR="000B24CB" w:rsidRPr="008D7256">
        <w:rPr>
          <w:rFonts w:asciiTheme="minorHAnsi" w:eastAsia="Calibri" w:hAnsiTheme="minorHAnsi" w:cstheme="minorHAnsi"/>
          <w:color w:val="auto"/>
          <w:szCs w:val="22"/>
        </w:rPr>
        <w:t xml:space="preserve">not be recommended </w:t>
      </w:r>
      <w:r w:rsidR="00D55B47" w:rsidRPr="008D7256">
        <w:rPr>
          <w:rFonts w:asciiTheme="minorHAnsi" w:eastAsia="Calibri" w:hAnsiTheme="minorHAnsi" w:cstheme="minorHAnsi"/>
          <w:color w:val="auto"/>
          <w:szCs w:val="22"/>
        </w:rPr>
        <w:t xml:space="preserve">if </w:t>
      </w:r>
      <w:r w:rsidR="0021255B">
        <w:rPr>
          <w:rFonts w:asciiTheme="minorHAnsi" w:eastAsia="Calibri" w:hAnsiTheme="minorHAnsi" w:cstheme="minorHAnsi"/>
          <w:color w:val="auto"/>
          <w:szCs w:val="22"/>
        </w:rPr>
        <w:t xml:space="preserve">supply chain or business </w:t>
      </w:r>
      <w:r w:rsidR="008A1B03">
        <w:rPr>
          <w:rFonts w:asciiTheme="minorHAnsi" w:eastAsia="Calibri" w:hAnsiTheme="minorHAnsi" w:cstheme="minorHAnsi"/>
          <w:color w:val="auto"/>
          <w:szCs w:val="22"/>
        </w:rPr>
        <w:t>practices</w:t>
      </w:r>
      <w:r w:rsidR="0021255B" w:rsidRPr="008D7256">
        <w:rPr>
          <w:rFonts w:asciiTheme="minorHAnsi" w:eastAsia="Calibri" w:hAnsiTheme="minorHAnsi" w:cstheme="minorHAnsi"/>
          <w:color w:val="auto"/>
          <w:szCs w:val="22"/>
        </w:rPr>
        <w:t xml:space="preserve"> </w:t>
      </w:r>
      <w:r w:rsidR="00D55B47" w:rsidRPr="008D7256">
        <w:rPr>
          <w:rFonts w:asciiTheme="minorHAnsi" w:eastAsia="Calibri" w:hAnsiTheme="minorHAnsi" w:cstheme="minorHAnsi"/>
          <w:color w:val="auto"/>
          <w:szCs w:val="22"/>
        </w:rPr>
        <w:t xml:space="preserve">can be </w:t>
      </w:r>
      <w:r w:rsidR="002E63AA" w:rsidRPr="008D7256">
        <w:rPr>
          <w:rFonts w:asciiTheme="minorHAnsi" w:eastAsia="Calibri" w:hAnsiTheme="minorHAnsi" w:cstheme="minorHAnsi"/>
          <w:color w:val="auto"/>
          <w:szCs w:val="22"/>
        </w:rPr>
        <w:t xml:space="preserve">improved </w:t>
      </w:r>
      <w:r w:rsidR="00AD79A5" w:rsidRPr="008D7256">
        <w:rPr>
          <w:rFonts w:asciiTheme="minorHAnsi" w:eastAsia="Calibri" w:hAnsiTheme="minorHAnsi" w:cstheme="minorHAnsi"/>
          <w:color w:val="auto"/>
          <w:szCs w:val="22"/>
        </w:rPr>
        <w:t>(</w:t>
      </w:r>
      <w:r w:rsidR="00B43FF3" w:rsidRPr="008D7256">
        <w:rPr>
          <w:rFonts w:asciiTheme="minorHAnsi" w:eastAsia="Calibri" w:hAnsiTheme="minorHAnsi" w:cstheme="minorHAnsi"/>
          <w:color w:val="auto"/>
          <w:szCs w:val="22"/>
        </w:rPr>
        <w:t xml:space="preserve">e.g., </w:t>
      </w:r>
      <w:r w:rsidR="002E63AA" w:rsidRPr="008D7256">
        <w:rPr>
          <w:rFonts w:asciiTheme="minorHAnsi" w:eastAsia="Calibri" w:hAnsiTheme="minorHAnsi" w:cstheme="minorHAnsi"/>
          <w:color w:val="auto"/>
          <w:szCs w:val="22"/>
        </w:rPr>
        <w:t xml:space="preserve">by </w:t>
      </w:r>
      <w:r w:rsidR="00AD79A5" w:rsidRPr="008D7256">
        <w:rPr>
          <w:rFonts w:asciiTheme="minorHAnsi" w:eastAsia="Calibri" w:hAnsiTheme="minorHAnsi" w:cstheme="minorHAnsi"/>
          <w:color w:val="auto"/>
          <w:szCs w:val="22"/>
        </w:rPr>
        <w:t>reducing supply lead times</w:t>
      </w:r>
      <w:r w:rsidR="00B43FF3" w:rsidRPr="008D7256">
        <w:rPr>
          <w:rFonts w:asciiTheme="minorHAnsi" w:eastAsia="Calibri" w:hAnsiTheme="minorHAnsi" w:cstheme="minorHAnsi"/>
          <w:color w:val="auto"/>
          <w:szCs w:val="22"/>
        </w:rPr>
        <w:t xml:space="preserve"> or </w:t>
      </w:r>
      <w:r w:rsidR="00D0166F" w:rsidRPr="008D7256">
        <w:rPr>
          <w:rFonts w:asciiTheme="minorHAnsi" w:eastAsia="Calibri" w:hAnsiTheme="minorHAnsi" w:cstheme="minorHAnsi"/>
          <w:color w:val="auto"/>
          <w:szCs w:val="22"/>
        </w:rPr>
        <w:t>increasing shipment frequency)</w:t>
      </w:r>
      <w:r w:rsidR="002E63AA" w:rsidRPr="008D7256">
        <w:rPr>
          <w:rFonts w:asciiTheme="minorHAnsi" w:eastAsia="Calibri" w:hAnsiTheme="minorHAnsi" w:cstheme="minorHAnsi"/>
          <w:color w:val="auto"/>
          <w:szCs w:val="22"/>
        </w:rPr>
        <w:t>.</w:t>
      </w:r>
    </w:p>
    <w:p w14:paraId="38021DE0" w14:textId="4E1B2A93" w:rsidR="00E74DEB" w:rsidRPr="008D7256" w:rsidRDefault="00E74DEB" w:rsidP="000B37E4">
      <w:pPr>
        <w:pStyle w:val="ListBullet"/>
        <w:numPr>
          <w:ilvl w:val="0"/>
          <w:numId w:val="8"/>
        </w:numPr>
        <w:tabs>
          <w:tab w:val="left" w:pos="0"/>
        </w:tabs>
        <w:rPr>
          <w:rFonts w:asciiTheme="minorHAnsi" w:eastAsia="Calibri" w:hAnsiTheme="minorHAnsi" w:cstheme="minorHAnsi"/>
          <w:color w:val="auto"/>
          <w:szCs w:val="22"/>
        </w:rPr>
      </w:pP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Ministerial determinations are made </w:t>
      </w:r>
      <w:r w:rsidR="00EE745E" w:rsidRPr="008D7256">
        <w:rPr>
          <w:rFonts w:asciiTheme="minorHAnsi" w:eastAsia="Calibri" w:hAnsiTheme="minorHAnsi" w:cstheme="minorHAnsi"/>
          <w:color w:val="auto"/>
          <w:szCs w:val="22"/>
        </w:rPr>
        <w:t xml:space="preserve">in a quantity and for the </w:t>
      </w:r>
      <w:r w:rsidR="00461A0F">
        <w:rPr>
          <w:rFonts w:asciiTheme="minorHAnsi" w:eastAsia="Calibri" w:hAnsiTheme="minorHAnsi" w:cstheme="minorHAnsi"/>
          <w:color w:val="auto"/>
          <w:szCs w:val="22"/>
        </w:rPr>
        <w:t>period</w:t>
      </w:r>
      <w:r w:rsidR="00461A0F" w:rsidRPr="008D7256">
        <w:rPr>
          <w:rFonts w:asciiTheme="minorHAnsi" w:eastAsia="Calibri" w:hAnsiTheme="minorHAnsi" w:cstheme="minorHAnsi"/>
          <w:color w:val="auto"/>
          <w:szCs w:val="22"/>
        </w:rPr>
        <w:t xml:space="preserve"> </w:t>
      </w:r>
      <w:r w:rsidR="00EE745E" w:rsidRPr="008D7256">
        <w:rPr>
          <w:rFonts w:asciiTheme="minorHAnsi" w:eastAsia="Calibri" w:hAnsiTheme="minorHAnsi" w:cstheme="minorHAnsi"/>
          <w:color w:val="auto"/>
          <w:szCs w:val="22"/>
        </w:rPr>
        <w:t xml:space="preserve">that </w:t>
      </w:r>
      <w:r w:rsidR="00454244" w:rsidRPr="008D7256">
        <w:rPr>
          <w:rFonts w:asciiTheme="minorHAnsi" w:eastAsia="Calibri" w:hAnsiTheme="minorHAnsi" w:cstheme="minorHAnsi"/>
          <w:color w:val="auto"/>
          <w:szCs w:val="22"/>
        </w:rPr>
        <w:t>the Minister</w:t>
      </w:r>
      <w:r w:rsidR="00EE745E" w:rsidRPr="008D7256">
        <w:rPr>
          <w:rFonts w:asciiTheme="minorHAnsi" w:eastAsia="Calibri" w:hAnsiTheme="minorHAnsi" w:cstheme="minorHAnsi"/>
          <w:color w:val="auto"/>
          <w:szCs w:val="22"/>
        </w:rPr>
        <w:t xml:space="preserve"> </w:t>
      </w:r>
      <w:r w:rsidR="00454244" w:rsidRPr="008D7256">
        <w:rPr>
          <w:rFonts w:asciiTheme="minorHAnsi" w:eastAsia="Calibri" w:hAnsiTheme="minorHAnsi" w:cstheme="minorHAnsi"/>
          <w:color w:val="auto"/>
          <w:szCs w:val="22"/>
        </w:rPr>
        <w:t xml:space="preserve">considers 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appropriate. </w:t>
      </w:r>
      <w:r w:rsidR="00D02398" w:rsidRPr="008D7256">
        <w:rPr>
          <w:rFonts w:asciiTheme="minorHAnsi" w:eastAsia="Calibri" w:hAnsiTheme="minorHAnsi" w:cstheme="minorHAnsi"/>
          <w:color w:val="auto"/>
          <w:szCs w:val="22"/>
        </w:rPr>
        <w:t xml:space="preserve">A determination may be made for a limited period </w:t>
      </w:r>
      <w:r w:rsidR="00FE43F7" w:rsidRPr="008D7256">
        <w:rPr>
          <w:rFonts w:asciiTheme="minorHAnsi" w:eastAsia="Calibri" w:hAnsiTheme="minorHAnsi" w:cstheme="minorHAnsi"/>
          <w:color w:val="auto"/>
          <w:szCs w:val="22"/>
        </w:rPr>
        <w:t xml:space="preserve">which </w:t>
      </w:r>
      <w:r w:rsidR="00D02398" w:rsidRPr="008D7256">
        <w:rPr>
          <w:rFonts w:asciiTheme="minorHAnsi" w:eastAsia="Calibri" w:hAnsiTheme="minorHAnsi" w:cstheme="minorHAnsi"/>
          <w:color w:val="auto"/>
          <w:szCs w:val="22"/>
        </w:rPr>
        <w:t>allow</w:t>
      </w:r>
      <w:r w:rsidR="00FE43F7" w:rsidRPr="008D7256">
        <w:rPr>
          <w:rFonts w:asciiTheme="minorHAnsi" w:eastAsia="Calibri" w:hAnsiTheme="minorHAnsi" w:cstheme="minorHAnsi"/>
          <w:color w:val="auto"/>
          <w:szCs w:val="22"/>
        </w:rPr>
        <w:t>s</w:t>
      </w:r>
      <w:r w:rsidR="00D02398" w:rsidRPr="008D7256">
        <w:rPr>
          <w:rFonts w:asciiTheme="minorHAnsi" w:eastAsia="Calibri" w:hAnsiTheme="minorHAnsi" w:cstheme="minorHAnsi"/>
          <w:color w:val="auto"/>
          <w:szCs w:val="22"/>
        </w:rPr>
        <w:t xml:space="preserve"> time for </w:t>
      </w:r>
      <w:r w:rsidR="00DF446A" w:rsidRPr="008D7256">
        <w:rPr>
          <w:rFonts w:asciiTheme="minorHAnsi" w:eastAsia="Calibri" w:hAnsiTheme="minorHAnsi" w:cstheme="minorHAnsi"/>
          <w:color w:val="auto"/>
          <w:szCs w:val="22"/>
        </w:rPr>
        <w:t>a</w:t>
      </w:r>
      <w:r w:rsidR="00D02398" w:rsidRPr="008D7256">
        <w:rPr>
          <w:rFonts w:asciiTheme="minorHAnsi" w:eastAsia="Calibri" w:hAnsiTheme="minorHAnsi" w:cstheme="minorHAnsi"/>
          <w:color w:val="auto"/>
          <w:szCs w:val="22"/>
        </w:rPr>
        <w:t xml:space="preserve"> R</w:t>
      </w:r>
      <w:r w:rsidR="00DB32C2">
        <w:rPr>
          <w:rFonts w:asciiTheme="minorHAnsi" w:eastAsia="Calibri" w:hAnsiTheme="minorHAnsi" w:cstheme="minorHAnsi"/>
          <w:color w:val="auto"/>
          <w:szCs w:val="22"/>
        </w:rPr>
        <w:t>esponsible Person</w:t>
      </w:r>
      <w:r w:rsidR="00D02398" w:rsidRPr="008D7256">
        <w:rPr>
          <w:rFonts w:asciiTheme="minorHAnsi" w:eastAsia="Calibri" w:hAnsiTheme="minorHAnsi" w:cstheme="minorHAnsi"/>
          <w:color w:val="auto"/>
          <w:szCs w:val="22"/>
        </w:rPr>
        <w:t xml:space="preserve"> to improve their supply chain timing</w:t>
      </w:r>
      <w:r w:rsidR="00DF446A" w:rsidRPr="008D7256">
        <w:rPr>
          <w:rFonts w:asciiTheme="minorHAnsi" w:eastAsia="Calibri" w:hAnsiTheme="minorHAnsi" w:cstheme="minorHAnsi"/>
          <w:color w:val="auto"/>
          <w:szCs w:val="22"/>
        </w:rPr>
        <w:t xml:space="preserve">, and 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the determination </w:t>
      </w:r>
      <w:r w:rsidR="000F573A">
        <w:rPr>
          <w:rFonts w:asciiTheme="minorHAnsi" w:eastAsia="Calibri" w:hAnsiTheme="minorHAnsi" w:cstheme="minorHAnsi"/>
          <w:color w:val="auto"/>
          <w:szCs w:val="22"/>
        </w:rPr>
        <w:t xml:space="preserve">may then 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>either</w:t>
      </w:r>
      <w:r w:rsidR="005B6057">
        <w:rPr>
          <w:rFonts w:asciiTheme="minorHAnsi" w:eastAsia="Calibri" w:hAnsiTheme="minorHAnsi" w:cstheme="minorHAnsi"/>
          <w:color w:val="auto"/>
          <w:szCs w:val="22"/>
        </w:rPr>
        <w:t xml:space="preserve"> be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 revoked or replaced with a higher (but still reduced) ongoing stockholding requirement</w:t>
      </w:r>
      <w:r w:rsidR="00FE43F7" w:rsidRPr="008D7256">
        <w:rPr>
          <w:rFonts w:asciiTheme="minorHAnsi" w:eastAsia="Calibri" w:hAnsiTheme="minorHAnsi" w:cstheme="minorHAnsi"/>
          <w:color w:val="auto"/>
          <w:szCs w:val="22"/>
        </w:rPr>
        <w:t xml:space="preserve"> </w:t>
      </w:r>
      <w:r w:rsidR="00227400" w:rsidRPr="008D7256">
        <w:rPr>
          <w:rFonts w:asciiTheme="minorHAnsi" w:eastAsia="Calibri" w:hAnsiTheme="minorHAnsi" w:cstheme="minorHAnsi"/>
          <w:color w:val="auto"/>
          <w:szCs w:val="22"/>
        </w:rPr>
        <w:t xml:space="preserve">that accounts for those expected </w:t>
      </w:r>
      <w:r w:rsidR="00FE43F7" w:rsidRPr="008D7256">
        <w:rPr>
          <w:rFonts w:asciiTheme="minorHAnsi" w:eastAsia="Calibri" w:hAnsiTheme="minorHAnsi" w:cstheme="minorHAnsi"/>
          <w:color w:val="auto"/>
          <w:szCs w:val="22"/>
        </w:rPr>
        <w:t>improvements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>.</w:t>
      </w:r>
      <w:r w:rsidR="00F65CF5" w:rsidRPr="004755D7">
        <w:rPr>
          <w:rFonts w:asciiTheme="minorHAnsi" w:eastAsia="Calibri" w:hAnsiTheme="minorHAnsi" w:cstheme="minorHAnsi"/>
          <w:color w:val="auto"/>
          <w:szCs w:val="22"/>
        </w:rPr>
        <w:t xml:space="preserve"> </w:t>
      </w:r>
      <w:r w:rsidR="00B74D0B" w:rsidRPr="004755D7">
        <w:rPr>
          <w:rFonts w:asciiTheme="minorHAnsi" w:eastAsia="Calibri" w:hAnsiTheme="minorHAnsi" w:cstheme="minorHAnsi"/>
          <w:color w:val="auto"/>
          <w:szCs w:val="22"/>
        </w:rPr>
        <w:t xml:space="preserve">Responsible Persons </w:t>
      </w:r>
      <w:r w:rsidR="007849E4" w:rsidRPr="004755D7">
        <w:rPr>
          <w:rFonts w:asciiTheme="minorHAnsi" w:eastAsia="Calibri" w:hAnsiTheme="minorHAnsi" w:cstheme="minorHAnsi"/>
          <w:color w:val="auto"/>
          <w:szCs w:val="22"/>
        </w:rPr>
        <w:t>may provide additional information regarding their capacity to improve supply chain timing</w:t>
      </w:r>
      <w:r w:rsidR="0075726F" w:rsidRPr="004755D7">
        <w:rPr>
          <w:rFonts w:asciiTheme="minorHAnsi" w:eastAsia="Calibri" w:hAnsiTheme="minorHAnsi" w:cstheme="minorHAnsi"/>
          <w:color w:val="auto"/>
          <w:szCs w:val="22"/>
        </w:rPr>
        <w:t xml:space="preserve">, when responding to an indicative outcome. </w:t>
      </w:r>
      <w:r w:rsidR="004755D7" w:rsidRPr="004755D7">
        <w:rPr>
          <w:rFonts w:asciiTheme="minorHAnsi" w:eastAsia="Calibri" w:hAnsiTheme="minorHAnsi" w:cstheme="minorHAnsi"/>
          <w:color w:val="auto"/>
          <w:szCs w:val="22"/>
        </w:rPr>
        <w:t xml:space="preserve">Responsible Persons may also </w:t>
      </w:r>
      <w:r w:rsidR="00F4319F" w:rsidRPr="004755D7">
        <w:rPr>
          <w:rFonts w:asciiTheme="minorHAnsi" w:eastAsia="Calibri" w:hAnsiTheme="minorHAnsi" w:cstheme="minorHAnsi"/>
          <w:color w:val="auto"/>
          <w:szCs w:val="22"/>
        </w:rPr>
        <w:t xml:space="preserve">submit </w:t>
      </w:r>
      <w:r w:rsidR="005402F5" w:rsidRPr="004755D7">
        <w:rPr>
          <w:rFonts w:asciiTheme="minorHAnsi" w:eastAsia="Calibri" w:hAnsiTheme="minorHAnsi" w:cstheme="minorHAnsi"/>
          <w:color w:val="auto"/>
          <w:szCs w:val="22"/>
        </w:rPr>
        <w:t xml:space="preserve">a </w:t>
      </w:r>
      <w:r w:rsidR="0044231E" w:rsidRPr="004755D7">
        <w:rPr>
          <w:rFonts w:asciiTheme="minorHAnsi" w:eastAsia="Calibri" w:hAnsiTheme="minorHAnsi" w:cstheme="minorHAnsi"/>
          <w:color w:val="auto"/>
          <w:szCs w:val="22"/>
        </w:rPr>
        <w:t xml:space="preserve">further application for </w:t>
      </w:r>
      <w:r w:rsidR="005402F5" w:rsidRPr="004755D7">
        <w:rPr>
          <w:rFonts w:asciiTheme="minorHAnsi" w:eastAsia="Calibri" w:hAnsiTheme="minorHAnsi" w:cstheme="minorHAnsi"/>
          <w:color w:val="auto"/>
          <w:szCs w:val="22"/>
        </w:rPr>
        <w:t xml:space="preserve">a Ministerial determination </w:t>
      </w:r>
      <w:r w:rsidR="00E84671" w:rsidRPr="004755D7">
        <w:rPr>
          <w:rFonts w:asciiTheme="minorHAnsi" w:eastAsia="Calibri" w:hAnsiTheme="minorHAnsi" w:cstheme="minorHAnsi"/>
          <w:color w:val="auto"/>
          <w:szCs w:val="22"/>
        </w:rPr>
        <w:t xml:space="preserve">if </w:t>
      </w:r>
      <w:r w:rsidR="008E7398" w:rsidRPr="004755D7">
        <w:rPr>
          <w:rFonts w:asciiTheme="minorHAnsi" w:eastAsia="Calibri" w:hAnsiTheme="minorHAnsi" w:cstheme="minorHAnsi"/>
          <w:color w:val="auto"/>
          <w:szCs w:val="22"/>
        </w:rPr>
        <w:t xml:space="preserve">they have </w:t>
      </w:r>
      <w:r w:rsidR="00F65CF5" w:rsidRPr="004755D7">
        <w:rPr>
          <w:rFonts w:asciiTheme="minorHAnsi" w:eastAsia="Calibri" w:hAnsiTheme="minorHAnsi" w:cstheme="minorHAnsi"/>
          <w:color w:val="auto"/>
          <w:szCs w:val="22"/>
        </w:rPr>
        <w:t xml:space="preserve">not been able to make improvements to facilitate compliance to the extent expected when </w:t>
      </w:r>
      <w:proofErr w:type="gramStart"/>
      <w:r w:rsidR="00F65CF5" w:rsidRPr="004755D7">
        <w:rPr>
          <w:rFonts w:asciiTheme="minorHAnsi" w:eastAsia="Calibri" w:hAnsiTheme="minorHAnsi" w:cstheme="minorHAnsi"/>
          <w:color w:val="auto"/>
          <w:szCs w:val="22"/>
        </w:rPr>
        <w:t>a final outcome</w:t>
      </w:r>
      <w:proofErr w:type="gramEnd"/>
      <w:r w:rsidR="00F65CF5" w:rsidRPr="004755D7">
        <w:rPr>
          <w:rFonts w:asciiTheme="minorHAnsi" w:eastAsia="Calibri" w:hAnsiTheme="minorHAnsi" w:cstheme="minorHAnsi"/>
          <w:color w:val="auto"/>
          <w:szCs w:val="22"/>
        </w:rPr>
        <w:t xml:space="preserve"> was previously provided</w:t>
      </w:r>
      <w:r w:rsidR="008E7398" w:rsidRPr="004755D7">
        <w:rPr>
          <w:rFonts w:asciiTheme="minorHAnsi" w:eastAsia="Calibri" w:hAnsiTheme="minorHAnsi" w:cstheme="minorHAnsi"/>
          <w:color w:val="auto"/>
          <w:szCs w:val="22"/>
        </w:rPr>
        <w:t>.</w:t>
      </w:r>
    </w:p>
    <w:p w14:paraId="0387FCC0" w14:textId="2041A9DE" w:rsidR="0035224D" w:rsidRPr="00A429BA" w:rsidRDefault="00C73387" w:rsidP="00A429BA">
      <w:pPr>
        <w:spacing w:after="0" w:line="240" w:lineRule="auto"/>
        <w:textAlignment w:val="baseline"/>
        <w:rPr>
          <w:rFonts w:ascii="Calibri Light" w:hAnsi="Calibri Light" w:cs="Calibri Light"/>
          <w:color w:val="2F5496"/>
          <w:sz w:val="32"/>
          <w:szCs w:val="32"/>
          <w:lang w:eastAsia="en-AU"/>
        </w:rPr>
      </w:pPr>
      <w:r w:rsidRPr="00A429BA">
        <w:rPr>
          <w:rFonts w:ascii="Calibri Light" w:hAnsi="Calibri Light" w:cs="Calibri Light"/>
          <w:color w:val="2F5496"/>
          <w:sz w:val="32"/>
          <w:szCs w:val="32"/>
          <w:lang w:eastAsia="en-AU"/>
        </w:rPr>
        <w:t>Barriers to compliance other than short shelf-life</w:t>
      </w:r>
      <w:bookmarkStart w:id="2" w:name="_Short-_to_medium-term"/>
      <w:bookmarkEnd w:id="2"/>
    </w:p>
    <w:p w14:paraId="657DC3E0" w14:textId="2DBE5EEA" w:rsidR="00D22B3F" w:rsidRPr="008D7256" w:rsidRDefault="00CE464B" w:rsidP="000B37E4">
      <w:pPr>
        <w:pStyle w:val="ListBullet"/>
        <w:numPr>
          <w:ilvl w:val="0"/>
          <w:numId w:val="0"/>
        </w:numPr>
        <w:tabs>
          <w:tab w:val="left" w:pos="0"/>
        </w:tabs>
        <w:rPr>
          <w:rFonts w:asciiTheme="minorHAnsi" w:hAnsiTheme="minorHAnsi" w:cstheme="minorHAnsi"/>
          <w:szCs w:val="22"/>
          <w:lang w:val="en-US"/>
        </w:rPr>
      </w:pPr>
      <w:r w:rsidRPr="008D7256">
        <w:rPr>
          <w:rFonts w:asciiTheme="minorHAnsi" w:eastAsia="Calibri" w:hAnsiTheme="minorHAnsi" w:cstheme="minorHAnsi"/>
          <w:color w:val="auto"/>
          <w:szCs w:val="22"/>
        </w:rPr>
        <w:t>S</w:t>
      </w:r>
      <w:r w:rsidR="008D62F7" w:rsidRPr="008D7256">
        <w:rPr>
          <w:rFonts w:asciiTheme="minorHAnsi" w:eastAsia="Calibri" w:hAnsiTheme="minorHAnsi" w:cstheme="minorHAnsi"/>
          <w:color w:val="auto"/>
          <w:szCs w:val="22"/>
        </w:rPr>
        <w:t xml:space="preserve">hort or medium-term </w:t>
      </w:r>
      <w:r w:rsidR="0064487B" w:rsidRPr="008D7256">
        <w:rPr>
          <w:rFonts w:asciiTheme="minorHAnsi" w:eastAsia="Calibri" w:hAnsiTheme="minorHAnsi" w:cstheme="minorHAnsi"/>
          <w:color w:val="auto"/>
          <w:szCs w:val="22"/>
        </w:rPr>
        <w:t xml:space="preserve">difficulty meeting the </w:t>
      </w:r>
      <w:r w:rsidR="0024611E">
        <w:rPr>
          <w:rFonts w:asciiTheme="minorHAnsi" w:eastAsia="Calibri" w:hAnsiTheme="minorHAnsi" w:cstheme="minorHAnsi"/>
          <w:color w:val="auto"/>
          <w:szCs w:val="22"/>
        </w:rPr>
        <w:t>MSR</w:t>
      </w:r>
      <w:r w:rsidR="0064487B" w:rsidRPr="008D7256">
        <w:rPr>
          <w:rFonts w:asciiTheme="minorHAnsi" w:eastAsia="Calibri" w:hAnsiTheme="minorHAnsi" w:cstheme="minorHAnsi"/>
          <w:color w:val="auto"/>
          <w:szCs w:val="22"/>
        </w:rPr>
        <w:t xml:space="preserve"> </w:t>
      </w:r>
      <w:r w:rsidR="009211C1" w:rsidRPr="008D7256">
        <w:rPr>
          <w:rFonts w:asciiTheme="minorHAnsi" w:eastAsia="Calibri" w:hAnsiTheme="minorHAnsi" w:cstheme="minorHAnsi"/>
          <w:color w:val="auto"/>
          <w:szCs w:val="22"/>
        </w:rPr>
        <w:t>is</w:t>
      </w: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 managed </w:t>
      </w:r>
      <w:r w:rsidR="0064487B" w:rsidRPr="008D7256">
        <w:rPr>
          <w:rFonts w:asciiTheme="minorHAnsi" w:eastAsia="Calibri" w:hAnsiTheme="minorHAnsi" w:cstheme="minorHAnsi"/>
          <w:color w:val="auto"/>
          <w:szCs w:val="22"/>
        </w:rPr>
        <w:t xml:space="preserve">through the non-compliance </w:t>
      </w:r>
      <w:r w:rsidR="00A837E6" w:rsidRPr="008D7256">
        <w:rPr>
          <w:rFonts w:asciiTheme="minorHAnsi" w:eastAsia="Calibri" w:hAnsiTheme="minorHAnsi" w:cstheme="minorHAnsi"/>
          <w:color w:val="auto"/>
          <w:szCs w:val="22"/>
        </w:rPr>
        <w:t>framework.</w:t>
      </w:r>
      <w:r w:rsidR="0041127E" w:rsidRPr="008D7256">
        <w:rPr>
          <w:rFonts w:asciiTheme="minorHAnsi" w:hAnsiTheme="minorHAnsi" w:cstheme="minorHAnsi"/>
        </w:rPr>
        <w:t xml:space="preserve"> </w:t>
      </w:r>
      <w:r w:rsidR="0041127E" w:rsidRPr="008D7256">
        <w:rPr>
          <w:rFonts w:asciiTheme="minorHAnsi" w:eastAsia="Calibri" w:hAnsiTheme="minorHAnsi" w:cstheme="minorHAnsi"/>
          <w:color w:val="auto"/>
          <w:szCs w:val="22"/>
        </w:rPr>
        <w:t>For more information</w:t>
      </w:r>
      <w:r w:rsidR="002F071D" w:rsidRPr="008D7256">
        <w:rPr>
          <w:rFonts w:asciiTheme="minorHAnsi" w:eastAsia="Calibri" w:hAnsiTheme="minorHAnsi" w:cstheme="minorHAnsi"/>
          <w:color w:val="auto"/>
          <w:szCs w:val="22"/>
        </w:rPr>
        <w:t>,</w:t>
      </w:r>
      <w:r w:rsidR="0041127E" w:rsidRPr="008D7256">
        <w:rPr>
          <w:rFonts w:asciiTheme="minorHAnsi" w:eastAsia="Calibri" w:hAnsiTheme="minorHAnsi" w:cstheme="minorHAnsi"/>
          <w:color w:val="auto"/>
          <w:szCs w:val="22"/>
        </w:rPr>
        <w:t xml:space="preserve"> please refer to</w:t>
      </w:r>
      <w:r w:rsidR="00061D86" w:rsidRPr="008D7256">
        <w:rPr>
          <w:rFonts w:asciiTheme="minorHAnsi" w:hAnsiTheme="minorHAnsi" w:cstheme="minorHAnsi"/>
          <w:szCs w:val="22"/>
          <w:lang w:val="en-US"/>
        </w:rPr>
        <w:t xml:space="preserve"> the </w:t>
      </w:r>
      <w:r w:rsidR="00415199" w:rsidRPr="006303DB">
        <w:rPr>
          <w:rFonts w:asciiTheme="minorHAnsi" w:hAnsiTheme="minorHAnsi" w:cstheme="minorHAnsi"/>
          <w:i/>
          <w:iCs/>
          <w:szCs w:val="22"/>
          <w:lang w:val="en-US"/>
        </w:rPr>
        <w:t xml:space="preserve">Compliance with the </w:t>
      </w:r>
      <w:r w:rsidR="00FB615F" w:rsidRPr="006303DB">
        <w:rPr>
          <w:rFonts w:asciiTheme="minorHAnsi" w:hAnsiTheme="minorHAnsi" w:cstheme="minorHAnsi"/>
          <w:i/>
          <w:iCs/>
          <w:szCs w:val="22"/>
          <w:lang w:val="en-US"/>
        </w:rPr>
        <w:t>Minimum Stockholding Requirements – Fact Sheet</w:t>
      </w:r>
      <w:r w:rsidR="0041127E" w:rsidRPr="008D7256">
        <w:rPr>
          <w:rFonts w:asciiTheme="minorHAnsi" w:hAnsiTheme="minorHAnsi" w:cstheme="minorHAnsi"/>
          <w:szCs w:val="22"/>
          <w:lang w:val="en-US"/>
        </w:rPr>
        <w:t>.</w:t>
      </w:r>
      <w:r w:rsidR="00D22B3F" w:rsidRPr="008D7256">
        <w:rPr>
          <w:rFonts w:asciiTheme="minorHAnsi" w:eastAsia="Calibri" w:hAnsiTheme="minorHAnsi" w:cstheme="minorHAnsi"/>
          <w:color w:val="auto"/>
          <w:szCs w:val="22"/>
        </w:rPr>
        <w:t xml:space="preserve"> Ministerial determinations for a limited </w:t>
      </w:r>
      <w:r w:rsidR="0071569D" w:rsidRPr="008D7256">
        <w:rPr>
          <w:rFonts w:asciiTheme="minorHAnsi" w:eastAsia="Calibri" w:hAnsiTheme="minorHAnsi" w:cstheme="minorHAnsi"/>
          <w:color w:val="auto"/>
          <w:szCs w:val="22"/>
        </w:rPr>
        <w:t>time</w:t>
      </w:r>
      <w:r w:rsidR="00D22B3F" w:rsidRPr="008D7256">
        <w:rPr>
          <w:rFonts w:asciiTheme="minorHAnsi" w:eastAsia="Calibri" w:hAnsiTheme="minorHAnsi" w:cstheme="minorHAnsi"/>
          <w:color w:val="auto"/>
          <w:szCs w:val="22"/>
        </w:rPr>
        <w:t xml:space="preserve"> </w:t>
      </w:r>
      <w:r w:rsidR="001E2B07" w:rsidRPr="008D7256">
        <w:rPr>
          <w:rFonts w:asciiTheme="minorHAnsi" w:eastAsia="Calibri" w:hAnsiTheme="minorHAnsi" w:cstheme="minorHAnsi"/>
          <w:color w:val="auto"/>
          <w:szCs w:val="22"/>
        </w:rPr>
        <w:t xml:space="preserve">are generally </w:t>
      </w:r>
      <w:r w:rsidR="00D22B3F" w:rsidRPr="008D7256">
        <w:rPr>
          <w:rFonts w:asciiTheme="minorHAnsi" w:eastAsia="Calibri" w:hAnsiTheme="minorHAnsi" w:cstheme="minorHAnsi"/>
          <w:color w:val="auto"/>
          <w:szCs w:val="22"/>
        </w:rPr>
        <w:t>not recommended as a response to a short- or medium-term barrier to compliance.</w:t>
      </w:r>
    </w:p>
    <w:p w14:paraId="14B799C8" w14:textId="67966430" w:rsidR="0077731B" w:rsidRPr="008D7256" w:rsidRDefault="00D22B3F" w:rsidP="000B37E4">
      <w:pPr>
        <w:pStyle w:val="ListBullet"/>
        <w:numPr>
          <w:ilvl w:val="0"/>
          <w:numId w:val="0"/>
        </w:numPr>
        <w:tabs>
          <w:tab w:val="left" w:pos="0"/>
        </w:tabs>
        <w:rPr>
          <w:rFonts w:asciiTheme="minorHAnsi" w:hAnsiTheme="minorHAnsi" w:cstheme="minorHAnsi"/>
          <w:szCs w:val="22"/>
          <w:lang w:val="en-US"/>
        </w:rPr>
      </w:pPr>
      <w:r w:rsidRPr="008D7256">
        <w:rPr>
          <w:rFonts w:asciiTheme="minorHAnsi" w:eastAsia="Calibri" w:hAnsiTheme="minorHAnsi" w:cstheme="minorHAnsi"/>
          <w:color w:val="auto"/>
          <w:szCs w:val="22"/>
        </w:rPr>
        <w:t xml:space="preserve">Examples </w:t>
      </w:r>
      <w:r w:rsidR="00DA4325" w:rsidRPr="008D7256">
        <w:rPr>
          <w:rFonts w:asciiTheme="minorHAnsi" w:hAnsiTheme="minorHAnsi" w:cstheme="minorHAnsi"/>
          <w:szCs w:val="22"/>
          <w:lang w:val="en-US"/>
        </w:rPr>
        <w:t xml:space="preserve">of short- or medium-term barriers </w:t>
      </w:r>
      <w:r w:rsidR="0077731B" w:rsidRPr="008D7256">
        <w:rPr>
          <w:rFonts w:asciiTheme="minorHAnsi" w:hAnsiTheme="minorHAnsi" w:cstheme="minorHAnsi"/>
          <w:szCs w:val="22"/>
          <w:lang w:val="en-US"/>
        </w:rPr>
        <w:t>include</w:t>
      </w:r>
      <w:r w:rsidR="000B5645" w:rsidRPr="008D7256">
        <w:rPr>
          <w:rFonts w:asciiTheme="minorHAnsi" w:hAnsiTheme="minorHAnsi" w:cstheme="minorHAnsi"/>
          <w:szCs w:val="22"/>
          <w:lang w:val="en-US"/>
        </w:rPr>
        <w:t xml:space="preserve"> </w:t>
      </w:r>
      <w:r w:rsidR="0077731B" w:rsidRPr="008D7256">
        <w:rPr>
          <w:rFonts w:asciiTheme="minorHAnsi" w:hAnsiTheme="minorHAnsi" w:cstheme="minorHAnsi"/>
          <w:szCs w:val="22"/>
          <w:lang w:val="en-US"/>
        </w:rPr>
        <w:t>(</w:t>
      </w:r>
      <w:r w:rsidR="00F511EE">
        <w:rPr>
          <w:rFonts w:asciiTheme="minorHAnsi" w:hAnsiTheme="minorHAnsi" w:cstheme="minorHAnsi"/>
          <w:szCs w:val="22"/>
          <w:lang w:val="en-US"/>
        </w:rPr>
        <w:t>but are not limited to</w:t>
      </w:r>
      <w:r w:rsidR="0077731B" w:rsidRPr="008D7256">
        <w:rPr>
          <w:rFonts w:asciiTheme="minorHAnsi" w:hAnsiTheme="minorHAnsi" w:cstheme="minorHAnsi"/>
          <w:szCs w:val="22"/>
          <w:lang w:val="en-US"/>
        </w:rPr>
        <w:t>):</w:t>
      </w:r>
    </w:p>
    <w:p w14:paraId="2AE1C0BB" w14:textId="6EB1106D" w:rsidR="0077731B" w:rsidRPr="007728A1" w:rsidRDefault="00F511EE" w:rsidP="000B37E4">
      <w:pPr>
        <w:pStyle w:val="ListParagraph"/>
        <w:numPr>
          <w:ilvl w:val="0"/>
          <w:numId w:val="9"/>
        </w:numPr>
        <w:spacing w:before="0" w:after="160" w:line="259" w:lineRule="auto"/>
        <w:ind w:left="360"/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</w:pPr>
      <w:r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  <w:t>d</w:t>
      </w:r>
      <w:r w:rsidR="0077731B" w:rsidRPr="007728A1"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  <w:t>emand variation</w:t>
      </w:r>
      <w:r w:rsidR="008A1239" w:rsidRPr="007728A1">
        <w:rPr>
          <w:rStyle w:val="normaltextrun"/>
          <w:rFonts w:asciiTheme="minorHAnsi" w:eastAsiaTheme="minorEastAsia" w:hAnsiTheme="minorHAnsi" w:cstheme="minorHAnsi"/>
          <w:kern w:val="2"/>
          <w:szCs w:val="22"/>
          <w14:ligatures w14:val="standardContextual"/>
        </w:rPr>
        <w:t xml:space="preserve"> </w:t>
      </w:r>
      <w:r w:rsidR="008A1239" w:rsidRPr="007728A1"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  <w:t xml:space="preserve">(refer to the </w:t>
      </w:r>
      <w:r w:rsidR="007401D8"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  <w:t>Quantity of Stock to be held</w:t>
      </w:r>
      <w:r w:rsidR="008A1239" w:rsidRPr="007728A1"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  <w:t xml:space="preserve"> </w:t>
      </w:r>
      <w:r w:rsidR="00924A3D"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  <w:t xml:space="preserve">– Fact </w:t>
      </w:r>
      <w:r w:rsidR="008A1239" w:rsidRPr="007728A1"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  <w:t>Sheet for more information</w:t>
      </w:r>
      <w:proofErr w:type="gramStart"/>
      <w:r w:rsidR="008A1239" w:rsidRPr="007728A1"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  <w:t>)</w:t>
      </w:r>
      <w:r w:rsidR="007728A1"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  <w:t>;</w:t>
      </w:r>
      <w:proofErr w:type="gramEnd"/>
    </w:p>
    <w:p w14:paraId="74EACEF5" w14:textId="3E960ABF" w:rsidR="0077731B" w:rsidRPr="007728A1" w:rsidRDefault="00F511EE" w:rsidP="000B37E4">
      <w:pPr>
        <w:pStyle w:val="ListParagraph"/>
        <w:numPr>
          <w:ilvl w:val="0"/>
          <w:numId w:val="9"/>
        </w:numPr>
        <w:spacing w:before="0" w:after="160" w:line="259" w:lineRule="auto"/>
        <w:ind w:left="360"/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</w:pPr>
      <w:r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  <w:t>g</w:t>
      </w:r>
      <w:r w:rsidR="00164237" w:rsidRPr="007728A1"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  <w:t>lobal supply constraints</w:t>
      </w:r>
      <w:r w:rsidR="0077731B" w:rsidRPr="007728A1"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  <w:t>/disruptions</w:t>
      </w:r>
      <w:r w:rsidR="009310B6"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  <w:t>; and</w:t>
      </w:r>
    </w:p>
    <w:p w14:paraId="0B52AAA4" w14:textId="1D680DA2" w:rsidR="0077731B" w:rsidRPr="007728A1" w:rsidRDefault="00F511EE" w:rsidP="000B37E4">
      <w:pPr>
        <w:pStyle w:val="ListParagraph"/>
        <w:numPr>
          <w:ilvl w:val="0"/>
          <w:numId w:val="9"/>
        </w:numPr>
        <w:spacing w:before="0" w:after="160" w:line="259" w:lineRule="auto"/>
        <w:ind w:left="360"/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</w:pPr>
      <w:r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  <w:t>t</w:t>
      </w:r>
      <w:r w:rsidR="0077731B" w:rsidRPr="007728A1"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  <w:t>ransition of manufacturing facilities</w:t>
      </w:r>
      <w:r w:rsidR="009310B6">
        <w:rPr>
          <w:rStyle w:val="normaltextrun"/>
          <w:rFonts w:asciiTheme="minorHAnsi" w:eastAsiaTheme="minorEastAsia" w:hAnsiTheme="minorHAnsi" w:cstheme="minorHAnsi"/>
          <w:kern w:val="2"/>
          <w14:ligatures w14:val="standardContextual"/>
        </w:rPr>
        <w:t>.</w:t>
      </w:r>
    </w:p>
    <w:p w14:paraId="3FA2F9F1" w14:textId="1F321670" w:rsidR="0077731B" w:rsidRPr="00E6427B" w:rsidRDefault="00D4596D" w:rsidP="000B37E4">
      <w:pPr>
        <w:pStyle w:val="ListBullet"/>
        <w:numPr>
          <w:ilvl w:val="0"/>
          <w:numId w:val="0"/>
        </w:numPr>
        <w:tabs>
          <w:tab w:val="left" w:pos="0"/>
        </w:tabs>
        <w:rPr>
          <w:rFonts w:asciiTheme="minorHAnsi" w:eastAsia="Calibri" w:hAnsiTheme="minorHAnsi" w:cstheme="minorHAnsi"/>
          <w:color w:val="auto"/>
          <w:szCs w:val="22"/>
        </w:rPr>
      </w:pPr>
      <w:r w:rsidRPr="00E6427B">
        <w:rPr>
          <w:rFonts w:asciiTheme="minorHAnsi" w:eastAsia="Calibri" w:hAnsiTheme="minorHAnsi" w:cstheme="minorHAnsi"/>
          <w:color w:val="auto"/>
          <w:szCs w:val="22"/>
        </w:rPr>
        <w:t>Prior to a brand delisting from the PBS,</w:t>
      </w:r>
      <w:r w:rsidR="00910FFA" w:rsidRPr="00E6427B">
        <w:rPr>
          <w:rFonts w:asciiTheme="minorHAnsi" w:eastAsia="Calibri" w:hAnsiTheme="minorHAnsi" w:cstheme="minorHAnsi"/>
          <w:color w:val="auto"/>
          <w:szCs w:val="22"/>
        </w:rPr>
        <w:t xml:space="preserve"> the Minister will generally </w:t>
      </w:r>
      <w:proofErr w:type="gramStart"/>
      <w:r w:rsidR="00910FFA" w:rsidRPr="00E6427B">
        <w:rPr>
          <w:rFonts w:asciiTheme="minorHAnsi" w:eastAsia="Calibri" w:hAnsiTheme="minorHAnsi" w:cstheme="minorHAnsi"/>
          <w:color w:val="auto"/>
          <w:szCs w:val="22"/>
        </w:rPr>
        <w:t>make</w:t>
      </w:r>
      <w:r w:rsidR="001B5B4B" w:rsidRPr="00E6427B">
        <w:rPr>
          <w:rFonts w:asciiTheme="minorHAnsi" w:eastAsia="Calibri" w:hAnsiTheme="minorHAnsi" w:cstheme="minorHAnsi"/>
          <w:color w:val="auto"/>
          <w:szCs w:val="22"/>
        </w:rPr>
        <w:t xml:space="preserve"> a determination</w:t>
      </w:r>
      <w:proofErr w:type="gramEnd"/>
      <w:r w:rsidR="001B5B4B" w:rsidRPr="00E6427B">
        <w:rPr>
          <w:rFonts w:asciiTheme="minorHAnsi" w:eastAsia="Calibri" w:hAnsiTheme="minorHAnsi" w:cstheme="minorHAnsi"/>
          <w:color w:val="auto"/>
          <w:szCs w:val="22"/>
        </w:rPr>
        <w:t xml:space="preserve"> of zero as the applicable quantity</w:t>
      </w:r>
      <w:r w:rsidR="00B96E0D" w:rsidRPr="00E6427B">
        <w:rPr>
          <w:rFonts w:asciiTheme="minorHAnsi" w:eastAsia="Calibri" w:hAnsiTheme="minorHAnsi" w:cstheme="minorHAnsi"/>
          <w:color w:val="auto"/>
          <w:szCs w:val="22"/>
        </w:rPr>
        <w:t xml:space="preserve"> for a period of up to 6 months prior to</w:t>
      </w:r>
      <w:r w:rsidR="00C130BC" w:rsidRPr="00E6427B">
        <w:rPr>
          <w:rFonts w:asciiTheme="minorHAnsi" w:eastAsia="Calibri" w:hAnsiTheme="minorHAnsi" w:cstheme="minorHAnsi"/>
          <w:color w:val="auto"/>
          <w:szCs w:val="22"/>
        </w:rPr>
        <w:t xml:space="preserve"> </w:t>
      </w:r>
      <w:r w:rsidR="00482A1B" w:rsidRPr="00E6427B">
        <w:rPr>
          <w:rFonts w:asciiTheme="minorHAnsi" w:eastAsia="Calibri" w:hAnsiTheme="minorHAnsi" w:cstheme="minorHAnsi"/>
          <w:color w:val="auto"/>
          <w:szCs w:val="22"/>
        </w:rPr>
        <w:t>delisting</w:t>
      </w:r>
      <w:r w:rsidR="00F511EE">
        <w:rPr>
          <w:rFonts w:asciiTheme="minorHAnsi" w:eastAsia="Calibri" w:hAnsiTheme="minorHAnsi" w:cstheme="minorHAnsi"/>
          <w:color w:val="auto"/>
          <w:szCs w:val="22"/>
        </w:rPr>
        <w:t>, as set out in</w:t>
      </w:r>
      <w:r w:rsidR="00626E5B" w:rsidRPr="00E6427B">
        <w:rPr>
          <w:rFonts w:asciiTheme="minorHAnsi" w:eastAsia="Calibri" w:hAnsiTheme="minorHAnsi" w:cstheme="minorHAnsi"/>
          <w:color w:val="auto"/>
          <w:szCs w:val="22"/>
        </w:rPr>
        <w:t xml:space="preserve"> section 4.4 of the </w:t>
      </w:r>
      <w:r w:rsidR="00A32F27" w:rsidRPr="00E6427B">
        <w:rPr>
          <w:rFonts w:asciiTheme="minorHAnsi" w:eastAsia="Calibri" w:hAnsiTheme="minorHAnsi" w:cstheme="minorHAnsi"/>
          <w:color w:val="auto"/>
          <w:szCs w:val="22"/>
        </w:rPr>
        <w:t>Guidelines</w:t>
      </w:r>
      <w:r w:rsidR="000B39EE" w:rsidRPr="00E6427B">
        <w:rPr>
          <w:rFonts w:asciiTheme="minorHAnsi" w:eastAsia="Calibri" w:hAnsiTheme="minorHAnsi" w:cstheme="minorHAnsi"/>
          <w:color w:val="auto"/>
          <w:szCs w:val="22"/>
        </w:rPr>
        <w:t xml:space="preserve">. </w:t>
      </w:r>
      <w:r w:rsidR="00D76241" w:rsidRPr="00E6427B">
        <w:rPr>
          <w:rFonts w:asciiTheme="minorHAnsi" w:eastAsia="Calibri" w:hAnsiTheme="minorHAnsi" w:cstheme="minorHAnsi"/>
          <w:color w:val="auto"/>
          <w:szCs w:val="22"/>
        </w:rPr>
        <w:t>No application is required</w:t>
      </w:r>
      <w:r w:rsidR="00752725" w:rsidRPr="00E6427B">
        <w:rPr>
          <w:rFonts w:asciiTheme="minorHAnsi" w:eastAsia="Calibri" w:hAnsiTheme="minorHAnsi" w:cstheme="minorHAnsi"/>
          <w:color w:val="auto"/>
          <w:szCs w:val="22"/>
        </w:rPr>
        <w:t xml:space="preserve"> for these determinations.</w:t>
      </w:r>
    </w:p>
    <w:p w14:paraId="519DD6C3" w14:textId="77777777" w:rsidR="003B3BF1" w:rsidRPr="003A3FC9" w:rsidRDefault="003B3BF1" w:rsidP="003B3BF1">
      <w:pPr>
        <w:spacing w:after="0" w:line="240" w:lineRule="auto"/>
        <w:textAlignment w:val="baseline"/>
        <w:rPr>
          <w:rFonts w:ascii="Segoe UI" w:hAnsi="Segoe UI" w:cs="Segoe UI"/>
          <w:color w:val="2F5496"/>
          <w:sz w:val="16"/>
          <w:szCs w:val="16"/>
          <w:lang w:eastAsia="en-AU"/>
        </w:rPr>
      </w:pPr>
      <w:r w:rsidRPr="003A3FC9">
        <w:rPr>
          <w:rFonts w:ascii="Calibri Light" w:hAnsi="Calibri Light" w:cs="Calibri Light"/>
          <w:color w:val="2F5496"/>
          <w:sz w:val="28"/>
          <w:szCs w:val="28"/>
          <w:lang w:eastAsia="en-AU"/>
        </w:rPr>
        <w:t>Key Resources </w:t>
      </w:r>
    </w:p>
    <w:p w14:paraId="2F44CD29" w14:textId="020E78EE" w:rsidR="003B3BF1" w:rsidRPr="000B5C35" w:rsidRDefault="003B3BF1" w:rsidP="000B37E4">
      <w:pPr>
        <w:numPr>
          <w:ilvl w:val="0"/>
          <w:numId w:val="10"/>
        </w:numPr>
        <w:tabs>
          <w:tab w:val="clear" w:pos="720"/>
          <w:tab w:val="num" w:pos="0"/>
        </w:tabs>
        <w:spacing w:before="0" w:after="0" w:line="240" w:lineRule="auto"/>
        <w:ind w:left="0" w:firstLine="0"/>
        <w:textAlignment w:val="baseline"/>
        <w:rPr>
          <w:rFonts w:ascii="Calibri" w:hAnsi="Calibri" w:cs="Calibri"/>
          <w:szCs w:val="22"/>
          <w:lang w:eastAsia="en-AU"/>
        </w:rPr>
      </w:pPr>
      <w:hyperlink r:id="rId17" w:tgtFrame="_blank" w:history="1">
        <w:r w:rsidRPr="000B5C35">
          <w:rPr>
            <w:rFonts w:ascii="Calibri" w:hAnsi="Calibri" w:cs="Calibri"/>
            <w:i/>
            <w:iCs/>
            <w:color w:val="0000FF"/>
            <w:szCs w:val="22"/>
            <w:u w:val="single"/>
            <w:lang w:eastAsia="en-AU"/>
          </w:rPr>
          <w:t>National Health Act 1953</w:t>
        </w:r>
        <w:r w:rsidRPr="000B5C35">
          <w:rPr>
            <w:rFonts w:ascii="Calibri" w:hAnsi="Calibri" w:cs="Calibri"/>
            <w:color w:val="0000FF"/>
            <w:szCs w:val="22"/>
            <w:u w:val="single"/>
            <w:lang w:eastAsia="en-AU"/>
          </w:rPr>
          <w:t xml:space="preserve"> (</w:t>
        </w:r>
        <w:proofErr w:type="spellStart"/>
        <w:r w:rsidRPr="000B5C35">
          <w:rPr>
            <w:rFonts w:ascii="Calibri" w:hAnsi="Calibri" w:cs="Calibri"/>
            <w:color w:val="0000FF"/>
            <w:szCs w:val="22"/>
            <w:u w:val="single"/>
            <w:lang w:eastAsia="en-AU"/>
          </w:rPr>
          <w:t>Cth</w:t>
        </w:r>
        <w:proofErr w:type="spellEnd"/>
        <w:r w:rsidRPr="000B5C35">
          <w:rPr>
            <w:rFonts w:ascii="Calibri" w:hAnsi="Calibri" w:cs="Calibri"/>
            <w:color w:val="0000FF"/>
            <w:szCs w:val="22"/>
            <w:u w:val="single"/>
            <w:lang w:eastAsia="en-AU"/>
          </w:rPr>
          <w:t>)</w:t>
        </w:r>
      </w:hyperlink>
    </w:p>
    <w:p w14:paraId="7D7F5AF5" w14:textId="5FC35EFA" w:rsidR="003B3BF1" w:rsidRPr="000B5C35" w:rsidRDefault="003B3BF1" w:rsidP="000B37E4">
      <w:pPr>
        <w:numPr>
          <w:ilvl w:val="0"/>
          <w:numId w:val="11"/>
        </w:numPr>
        <w:tabs>
          <w:tab w:val="clear" w:pos="720"/>
          <w:tab w:val="num" w:pos="0"/>
        </w:tabs>
        <w:spacing w:before="0" w:after="0" w:line="240" w:lineRule="auto"/>
        <w:ind w:left="0" w:firstLine="0"/>
        <w:textAlignment w:val="baseline"/>
        <w:rPr>
          <w:rFonts w:ascii="Calibri" w:hAnsi="Calibri" w:cs="Calibri"/>
          <w:szCs w:val="22"/>
          <w:lang w:eastAsia="en-AU"/>
        </w:rPr>
      </w:pPr>
      <w:hyperlink r:id="rId18" w:tgtFrame="_blank" w:history="1">
        <w:r w:rsidRPr="000B5C35">
          <w:rPr>
            <w:rFonts w:ascii="Calibri" w:hAnsi="Calibri" w:cs="Calibri"/>
            <w:i/>
            <w:iCs/>
            <w:color w:val="0000FF"/>
            <w:szCs w:val="22"/>
            <w:u w:val="single"/>
            <w:lang w:eastAsia="en-AU"/>
          </w:rPr>
          <w:t xml:space="preserve">National Health (Pharmaceutical Benefits) Regulations 2017 </w:t>
        </w:r>
        <w:r w:rsidRPr="000B5C35">
          <w:rPr>
            <w:rFonts w:ascii="Calibri" w:hAnsi="Calibri" w:cs="Calibri"/>
            <w:color w:val="0000FF"/>
            <w:szCs w:val="22"/>
            <w:u w:val="single"/>
            <w:lang w:eastAsia="en-AU"/>
          </w:rPr>
          <w:t>(</w:t>
        </w:r>
        <w:proofErr w:type="spellStart"/>
        <w:r w:rsidRPr="000B5C35">
          <w:rPr>
            <w:rFonts w:ascii="Calibri" w:hAnsi="Calibri" w:cs="Calibri"/>
            <w:color w:val="0000FF"/>
            <w:szCs w:val="22"/>
            <w:u w:val="single"/>
            <w:lang w:eastAsia="en-AU"/>
          </w:rPr>
          <w:t>Cth</w:t>
        </w:r>
        <w:proofErr w:type="spellEnd"/>
        <w:r w:rsidRPr="000B5C35">
          <w:rPr>
            <w:rFonts w:ascii="Calibri" w:hAnsi="Calibri" w:cs="Calibri"/>
            <w:color w:val="0000FF"/>
            <w:szCs w:val="22"/>
            <w:u w:val="single"/>
            <w:lang w:eastAsia="en-AU"/>
          </w:rPr>
          <w:t>)</w:t>
        </w:r>
      </w:hyperlink>
    </w:p>
    <w:p w14:paraId="19D16AA2" w14:textId="3621C38E" w:rsidR="003B3BF1" w:rsidRPr="000B5C35" w:rsidRDefault="003B3BF1" w:rsidP="000B37E4">
      <w:pPr>
        <w:numPr>
          <w:ilvl w:val="0"/>
          <w:numId w:val="12"/>
        </w:numPr>
        <w:tabs>
          <w:tab w:val="clear" w:pos="720"/>
          <w:tab w:val="num" w:pos="0"/>
        </w:tabs>
        <w:spacing w:before="0" w:after="0" w:line="240" w:lineRule="auto"/>
        <w:ind w:left="0" w:firstLine="0"/>
        <w:textAlignment w:val="baseline"/>
        <w:rPr>
          <w:rFonts w:ascii="Calibri" w:hAnsi="Calibri" w:cs="Calibri"/>
          <w:szCs w:val="22"/>
          <w:lang w:eastAsia="en-AU"/>
        </w:rPr>
      </w:pPr>
      <w:hyperlink r:id="rId19" w:tgtFrame="_blank" w:history="1">
        <w:r w:rsidRPr="000B5C35">
          <w:rPr>
            <w:rFonts w:ascii="Calibri" w:hAnsi="Calibri" w:cs="Calibri"/>
            <w:color w:val="0000FF"/>
            <w:szCs w:val="22"/>
            <w:u w:val="single"/>
            <w:lang w:eastAsia="en-AU"/>
          </w:rPr>
          <w:t>PBS Stockholding Guidelines</w:t>
        </w:r>
      </w:hyperlink>
    </w:p>
    <w:p w14:paraId="11F4859F" w14:textId="788062E2" w:rsidR="003B3BF1" w:rsidRPr="000B5C35" w:rsidRDefault="003B3BF1" w:rsidP="000B37E4">
      <w:pPr>
        <w:numPr>
          <w:ilvl w:val="0"/>
          <w:numId w:val="13"/>
        </w:numPr>
        <w:tabs>
          <w:tab w:val="clear" w:pos="720"/>
          <w:tab w:val="num" w:pos="0"/>
        </w:tabs>
        <w:spacing w:before="0" w:after="0" w:line="240" w:lineRule="auto"/>
        <w:ind w:left="0" w:firstLine="0"/>
        <w:textAlignment w:val="baseline"/>
        <w:rPr>
          <w:rFonts w:ascii="Calibri" w:hAnsi="Calibri" w:cs="Calibri"/>
          <w:szCs w:val="22"/>
          <w:lang w:eastAsia="en-AU"/>
        </w:rPr>
      </w:pPr>
      <w:hyperlink r:id="rId20" w:tgtFrame="_blank" w:history="1">
        <w:r w:rsidRPr="000B5C35">
          <w:rPr>
            <w:rFonts w:ascii="Calibri" w:hAnsi="Calibri" w:cs="Calibri"/>
            <w:color w:val="0000FF"/>
            <w:szCs w:val="22"/>
            <w:u w:val="single"/>
            <w:lang w:eastAsia="en-AU"/>
          </w:rPr>
          <w:t>Minimum Stockholding Requirement Webpage</w:t>
        </w:r>
      </w:hyperlink>
    </w:p>
    <w:p w14:paraId="6CB6E426" w14:textId="37AE0288" w:rsidR="003B3BF1" w:rsidRDefault="004E046E" w:rsidP="000B37E4">
      <w:pPr>
        <w:numPr>
          <w:ilvl w:val="0"/>
          <w:numId w:val="14"/>
        </w:numPr>
        <w:tabs>
          <w:tab w:val="clear" w:pos="720"/>
          <w:tab w:val="num" w:pos="0"/>
        </w:tabs>
        <w:spacing w:before="0" w:after="0" w:line="240" w:lineRule="auto"/>
        <w:ind w:left="0" w:firstLine="0"/>
        <w:textAlignment w:val="baseline"/>
        <w:rPr>
          <w:rFonts w:ascii="Calibri" w:hAnsi="Calibri" w:cs="Calibri"/>
          <w:szCs w:val="22"/>
          <w:lang w:eastAsia="en-AU"/>
        </w:rPr>
      </w:pPr>
      <w:hyperlink r:id="rId21" w:history="1">
        <w:r w:rsidR="003B3BF1" w:rsidRPr="004E046E">
          <w:rPr>
            <w:rStyle w:val="Hyperlink"/>
            <w:rFonts w:ascii="Calibri" w:hAnsi="Calibri" w:cs="Calibri"/>
            <w:szCs w:val="22"/>
            <w:lang w:eastAsia="en-AU"/>
          </w:rPr>
          <w:t>Compliance with the Minimum Stockholding Requirements – Fact Sheet</w:t>
        </w:r>
      </w:hyperlink>
    </w:p>
    <w:p w14:paraId="3F5B7945" w14:textId="64387F0E" w:rsidR="003B3BF1" w:rsidRPr="000B5C35" w:rsidRDefault="004E046E" w:rsidP="000B37E4">
      <w:pPr>
        <w:numPr>
          <w:ilvl w:val="0"/>
          <w:numId w:val="14"/>
        </w:numPr>
        <w:tabs>
          <w:tab w:val="clear" w:pos="720"/>
          <w:tab w:val="num" w:pos="0"/>
        </w:tabs>
        <w:spacing w:before="0" w:after="0" w:line="240" w:lineRule="auto"/>
        <w:ind w:left="0" w:firstLine="0"/>
        <w:textAlignment w:val="baseline"/>
        <w:rPr>
          <w:rFonts w:ascii="Calibri" w:hAnsi="Calibri" w:cs="Calibri"/>
          <w:szCs w:val="22"/>
          <w:lang w:eastAsia="en-AU"/>
        </w:rPr>
      </w:pPr>
      <w:hyperlink r:id="rId22" w:history="1">
        <w:r w:rsidR="003B3BF1" w:rsidRPr="004E046E">
          <w:rPr>
            <w:rStyle w:val="Hyperlink"/>
            <w:rFonts w:ascii="Calibri" w:hAnsi="Calibri" w:cs="Calibri"/>
            <w:szCs w:val="22"/>
            <w:lang w:eastAsia="en-AU"/>
          </w:rPr>
          <w:t>Determinations of Another Quantity – Fact Sheet</w:t>
        </w:r>
      </w:hyperlink>
    </w:p>
    <w:p w14:paraId="33482276" w14:textId="5A36EF8D" w:rsidR="003B3BF1" w:rsidRPr="000B5C35" w:rsidRDefault="004E046E" w:rsidP="000B37E4">
      <w:pPr>
        <w:numPr>
          <w:ilvl w:val="0"/>
          <w:numId w:val="15"/>
        </w:numPr>
        <w:tabs>
          <w:tab w:val="clear" w:pos="720"/>
          <w:tab w:val="num" w:pos="0"/>
        </w:tabs>
        <w:spacing w:before="0" w:after="0" w:line="240" w:lineRule="auto"/>
        <w:ind w:left="0" w:firstLine="0"/>
        <w:textAlignment w:val="baseline"/>
        <w:rPr>
          <w:rFonts w:ascii="Calibri" w:hAnsi="Calibri" w:cs="Calibri"/>
          <w:szCs w:val="22"/>
          <w:lang w:eastAsia="en-AU"/>
        </w:rPr>
      </w:pPr>
      <w:hyperlink r:id="rId23" w:history="1">
        <w:r w:rsidR="003B3BF1" w:rsidRPr="004E046E">
          <w:rPr>
            <w:rStyle w:val="Hyperlink"/>
            <w:rFonts w:ascii="Calibri" w:hAnsi="Calibri" w:cs="Calibri"/>
            <w:szCs w:val="22"/>
            <w:lang w:eastAsia="en-AU"/>
          </w:rPr>
          <w:t>Likely and Actual breach notifications – Fact Sheet</w:t>
        </w:r>
      </w:hyperlink>
    </w:p>
    <w:p w14:paraId="715ECCE6" w14:textId="48CACB8A" w:rsidR="003B3BF1" w:rsidRPr="000B5C35" w:rsidRDefault="003B3BF1" w:rsidP="000B37E4">
      <w:pPr>
        <w:numPr>
          <w:ilvl w:val="0"/>
          <w:numId w:val="16"/>
        </w:numPr>
        <w:tabs>
          <w:tab w:val="clear" w:pos="720"/>
          <w:tab w:val="num" w:pos="0"/>
        </w:tabs>
        <w:spacing w:before="0" w:after="0" w:line="240" w:lineRule="auto"/>
        <w:ind w:left="0" w:firstLine="0"/>
        <w:textAlignment w:val="baseline"/>
        <w:rPr>
          <w:rFonts w:ascii="Calibri" w:hAnsi="Calibri" w:cs="Calibri"/>
          <w:szCs w:val="22"/>
          <w:lang w:eastAsia="en-AU"/>
        </w:rPr>
      </w:pPr>
      <w:hyperlink r:id="rId24" w:tgtFrame="_blank" w:history="1">
        <w:r w:rsidRPr="000B5C35">
          <w:rPr>
            <w:rFonts w:ascii="Calibri" w:hAnsi="Calibri" w:cs="Calibri"/>
            <w:color w:val="0000FF"/>
            <w:szCs w:val="22"/>
            <w:lang w:eastAsia="en-AU"/>
          </w:rPr>
          <w:t>Executive Summary of the MSR Review</w:t>
        </w:r>
      </w:hyperlink>
    </w:p>
    <w:p w14:paraId="6A1651F6" w14:textId="207E6928" w:rsidR="009040E9" w:rsidRPr="009040E9" w:rsidRDefault="003B3BF1" w:rsidP="000B37E4">
      <w:pPr>
        <w:numPr>
          <w:ilvl w:val="0"/>
          <w:numId w:val="17"/>
        </w:numPr>
        <w:tabs>
          <w:tab w:val="clear" w:pos="720"/>
          <w:tab w:val="num" w:pos="0"/>
        </w:tabs>
        <w:spacing w:before="0" w:after="0" w:line="240" w:lineRule="auto"/>
        <w:ind w:left="0" w:firstLine="0"/>
        <w:textAlignment w:val="baseline"/>
      </w:pPr>
      <w:hyperlink r:id="rId25" w:tgtFrame="_blank" w:history="1">
        <w:r w:rsidRPr="00457CA9">
          <w:rPr>
            <w:rFonts w:ascii="Calibri" w:hAnsi="Calibri" w:cs="Calibri"/>
            <w:color w:val="0000FF"/>
            <w:szCs w:val="22"/>
            <w:u w:val="single"/>
            <w:lang w:eastAsia="en-AU"/>
          </w:rPr>
          <w:t>pbsstockholding@health.gov.au</w:t>
        </w:r>
      </w:hyperlink>
      <w:r w:rsidRPr="00457CA9">
        <w:rPr>
          <w:rFonts w:ascii="Calibri" w:hAnsi="Calibri" w:cs="Calibri"/>
          <w:szCs w:val="22"/>
          <w:lang w:eastAsia="en-AU"/>
        </w:rPr>
        <w:t xml:space="preserve"> for questions regarding this Fact Sheet.</w:t>
      </w:r>
    </w:p>
    <w:sectPr w:rsidR="009040E9" w:rsidRPr="009040E9" w:rsidSect="00B53987">
      <w:headerReference w:type="default" r:id="rId26"/>
      <w:footerReference w:type="default" r:id="rId27"/>
      <w:headerReference w:type="first" r:id="rId28"/>
      <w:footerReference w:type="first" r:id="rId29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029BD" w14:textId="77777777" w:rsidR="00633390" w:rsidRDefault="00633390" w:rsidP="006B56BB">
      <w:r>
        <w:separator/>
      </w:r>
    </w:p>
    <w:p w14:paraId="3FFE07FC" w14:textId="77777777" w:rsidR="00633390" w:rsidRDefault="00633390"/>
  </w:endnote>
  <w:endnote w:type="continuationSeparator" w:id="0">
    <w:p w14:paraId="00CD4244" w14:textId="77777777" w:rsidR="00633390" w:rsidRDefault="00633390" w:rsidP="006B56BB">
      <w:r>
        <w:continuationSeparator/>
      </w:r>
    </w:p>
    <w:p w14:paraId="5D73C959" w14:textId="77777777" w:rsidR="00633390" w:rsidRDefault="00633390"/>
  </w:endnote>
  <w:endnote w:type="continuationNotice" w:id="1">
    <w:p w14:paraId="2AB102DA" w14:textId="77777777" w:rsidR="00633390" w:rsidRDefault="006333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22199" w14:textId="10AF1367" w:rsidR="00A0753E" w:rsidRPr="00A0753E" w:rsidRDefault="00A0753E" w:rsidP="00A0753E">
    <w:pPr>
      <w:pStyle w:val="Footer"/>
    </w:pPr>
    <w:r w:rsidRPr="00A0753E">
      <w:t xml:space="preserve">Department of Health and Aged Care – </w:t>
    </w:r>
    <w:r>
      <w:t>Ministerial Determinations of Another Quantity</w:t>
    </w:r>
    <w:r w:rsidRPr="00A0753E">
      <w:t>– Fact Sheet</w:t>
    </w:r>
  </w:p>
  <w:p w14:paraId="24C89818" w14:textId="545B0A25" w:rsidR="00F73AA7" w:rsidRPr="007125D6" w:rsidRDefault="00F73AA7" w:rsidP="00A0753E">
    <w:pPr>
      <w:pStyle w:val="Footer"/>
      <w:jc w:val="left"/>
      <w:rPr>
        <w:rFonts w:cs="Arial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CE3CC" w14:textId="77777777" w:rsidR="004437DB" w:rsidRDefault="004437DB" w:rsidP="004437DB">
    <w:pPr>
      <w:pStyle w:val="Footer"/>
      <w:jc w:val="left"/>
    </w:pPr>
    <w:r>
      <w:t xml:space="preserve">Department of Health and Aged Care – </w:t>
    </w:r>
    <w:r w:rsidRPr="002A7DCB">
      <w:t>Ministerial Determinations of Another Quantity</w:t>
    </w:r>
    <w:r>
      <w:t xml:space="preserve"> – Fact Sheet</w:t>
    </w:r>
  </w:p>
  <w:p w14:paraId="0B707FAB" w14:textId="7BF3C4BD" w:rsidR="00B53987" w:rsidRPr="00BD7E44" w:rsidRDefault="00B53987" w:rsidP="00BD7E44">
    <w:pPr>
      <w:pStyle w:val="Footer"/>
      <w:jc w:val="left"/>
      <w:rPr>
        <w:rFonts w:cs="Arial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02859" w14:textId="4B39470B" w:rsidR="00FA5687" w:rsidRDefault="00B53987" w:rsidP="00FA5687">
    <w:pPr>
      <w:pStyle w:val="Footer"/>
      <w:jc w:val="left"/>
    </w:pPr>
    <w:r>
      <w:t xml:space="preserve">Department of Health </w:t>
    </w:r>
    <w:r w:rsidR="004C1BCD">
      <w:t xml:space="preserve">and Aged Care </w:t>
    </w:r>
    <w:r>
      <w:t xml:space="preserve">– </w:t>
    </w:r>
    <w:r w:rsidR="00CA6500" w:rsidRPr="002A7DCB">
      <w:t>Ministerial Determinations of Another Quantity</w:t>
    </w:r>
    <w:r w:rsidR="00CA6500">
      <w:t xml:space="preserve"> – Fact Sheet</w:t>
    </w:r>
  </w:p>
  <w:p w14:paraId="14CE675C" w14:textId="4AF8D1E7" w:rsidR="00B53987" w:rsidRPr="00BD7E44" w:rsidRDefault="00BD7E44" w:rsidP="00BD7E44">
    <w:pPr>
      <w:pStyle w:val="Footer"/>
      <w:jc w:val="left"/>
      <w:rPr>
        <w:rFonts w:cs="Arial"/>
        <w:sz w:val="14"/>
      </w:rPr>
    </w:pP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DOCPROPERTY  iManageFooter </w:instrText>
    </w:r>
    <w:r>
      <w:rPr>
        <w:rFonts w:cs="Arial"/>
        <w:sz w:val="14"/>
      </w:rPr>
      <w:fldChar w:fldCharType="separate"/>
    </w:r>
    <w:r w:rsidR="00FC4FC2">
      <w:rPr>
        <w:rFonts w:cs="Arial"/>
        <w:sz w:val="14"/>
      </w:rPr>
      <w:t>[9238081:47317263_3]</w:t>
    </w:r>
    <w:r>
      <w:rPr>
        <w:rFonts w:cs="Arial"/>
        <w:sz w:val="14"/>
      </w:rPr>
      <w:fldChar w:fldCharType="end"/>
    </w:r>
    <w:sdt>
      <w:sdtPr>
        <w:rPr>
          <w:rFonts w:cs="Arial"/>
          <w:sz w:val="14"/>
        </w:rPr>
        <w:id w:val="-178737789"/>
        <w:docPartObj>
          <w:docPartGallery w:val="Page Numbers (Bottom of Page)"/>
          <w:docPartUnique/>
        </w:docPartObj>
      </w:sdtPr>
      <w:sdtEndPr/>
      <w:sdtContent>
        <w:r w:rsidR="00B53987" w:rsidRPr="00BD7E44">
          <w:rPr>
            <w:rFonts w:cs="Arial"/>
            <w:sz w:val="14"/>
          </w:rPr>
          <w:tab/>
        </w:r>
        <w:r w:rsidR="00B53987" w:rsidRPr="00BD7E44">
          <w:rPr>
            <w:rFonts w:cs="Arial"/>
            <w:sz w:val="14"/>
          </w:rPr>
          <w:fldChar w:fldCharType="begin"/>
        </w:r>
        <w:r w:rsidR="00B53987" w:rsidRPr="00BD7E44">
          <w:rPr>
            <w:rFonts w:cs="Arial"/>
            <w:sz w:val="14"/>
          </w:rPr>
          <w:instrText xml:space="preserve"> PAGE   \* MERGEFORMAT </w:instrText>
        </w:r>
        <w:r w:rsidR="00B53987" w:rsidRPr="00BD7E44">
          <w:rPr>
            <w:rFonts w:cs="Arial"/>
            <w:sz w:val="14"/>
          </w:rPr>
          <w:fldChar w:fldCharType="separate"/>
        </w:r>
        <w:r w:rsidR="00B53987" w:rsidRPr="00BD7E44">
          <w:rPr>
            <w:rFonts w:cs="Arial"/>
            <w:sz w:val="14"/>
          </w:rPr>
          <w:t>2</w:t>
        </w:r>
        <w:r w:rsidR="00B53987" w:rsidRPr="00BD7E44">
          <w:rPr>
            <w:rFonts w:cs="Arial"/>
            <w:sz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764FF" w14:textId="77777777" w:rsidR="00633390" w:rsidRDefault="00633390" w:rsidP="006B56BB">
      <w:r>
        <w:separator/>
      </w:r>
    </w:p>
    <w:p w14:paraId="414A8E5C" w14:textId="77777777" w:rsidR="00633390" w:rsidRDefault="00633390"/>
  </w:footnote>
  <w:footnote w:type="continuationSeparator" w:id="0">
    <w:p w14:paraId="2A387B49" w14:textId="77777777" w:rsidR="00633390" w:rsidRDefault="00633390" w:rsidP="006B56BB">
      <w:r>
        <w:continuationSeparator/>
      </w:r>
    </w:p>
    <w:p w14:paraId="53DE771C" w14:textId="77777777" w:rsidR="00633390" w:rsidRDefault="00633390"/>
  </w:footnote>
  <w:footnote w:type="continuationNotice" w:id="1">
    <w:p w14:paraId="5A7E5963" w14:textId="77777777" w:rsidR="00633390" w:rsidRDefault="00633390"/>
  </w:footnote>
  <w:footnote w:id="2">
    <w:p w14:paraId="3DA57018" w14:textId="2F1EF1FF" w:rsidR="00015D5A" w:rsidRDefault="00015D5A" w:rsidP="00C27AB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B272E3" w:rsidRPr="00C27ABA">
        <w:rPr>
          <w:rFonts w:asciiTheme="minorHAnsi" w:hAnsiTheme="minorHAnsi" w:cstheme="minorHAnsi"/>
        </w:rPr>
        <w:t>T</w:t>
      </w:r>
      <w:r w:rsidR="000C7626" w:rsidRPr="00C27ABA">
        <w:rPr>
          <w:rFonts w:asciiTheme="minorHAnsi" w:hAnsiTheme="minorHAnsi" w:cstheme="minorHAnsi"/>
        </w:rPr>
        <w:t>he supply lead time</w:t>
      </w:r>
      <w:r w:rsidR="004C01EF" w:rsidRPr="00C27ABA">
        <w:rPr>
          <w:rFonts w:asciiTheme="minorHAnsi" w:hAnsiTheme="minorHAnsi" w:cstheme="minorHAnsi"/>
        </w:rPr>
        <w:t xml:space="preserve"> information requested</w:t>
      </w:r>
      <w:r w:rsidR="00647B6E" w:rsidRPr="00C27ABA">
        <w:rPr>
          <w:rFonts w:asciiTheme="minorHAnsi" w:hAnsiTheme="minorHAnsi" w:cstheme="minorHAnsi"/>
        </w:rPr>
        <w:t xml:space="preserve"> is</w:t>
      </w:r>
      <w:r w:rsidR="0091791A" w:rsidRPr="00C27ABA">
        <w:rPr>
          <w:rFonts w:asciiTheme="minorHAnsi" w:hAnsiTheme="minorHAnsi" w:cstheme="minorHAnsi"/>
        </w:rPr>
        <w:t xml:space="preserve"> </w:t>
      </w:r>
      <w:r w:rsidR="0091791A" w:rsidRPr="00C27ABA">
        <w:rPr>
          <w:rFonts w:asciiTheme="minorHAnsi" w:hAnsiTheme="minorHAnsi" w:cstheme="minorHAnsi"/>
          <w:i/>
          <w:iCs/>
        </w:rPr>
        <w:t>'</w:t>
      </w:r>
      <w:r w:rsidR="00AC25C0" w:rsidRPr="00C27ABA">
        <w:rPr>
          <w:rFonts w:asciiTheme="minorHAnsi" w:hAnsiTheme="minorHAnsi" w:cstheme="minorHAnsi"/>
          <w:i/>
          <w:iCs/>
        </w:rPr>
        <w:t xml:space="preserve">supply chain time from when the </w:t>
      </w:r>
      <w:r w:rsidR="00993ADD" w:rsidRPr="00C27ABA">
        <w:rPr>
          <w:rFonts w:asciiTheme="minorHAnsi" w:hAnsiTheme="minorHAnsi" w:cstheme="minorHAnsi"/>
          <w:i/>
          <w:iCs/>
        </w:rPr>
        <w:t xml:space="preserve">brand </w:t>
      </w:r>
      <w:r w:rsidR="00AC25C0" w:rsidRPr="00C27ABA">
        <w:rPr>
          <w:rFonts w:asciiTheme="minorHAnsi" w:hAnsiTheme="minorHAnsi" w:cstheme="minorHAnsi"/>
          <w:i/>
          <w:iCs/>
        </w:rPr>
        <w:t>is packaged by the manufacturer or packaging facility</w:t>
      </w:r>
      <w:r w:rsidR="004E73D4" w:rsidRPr="00C27ABA">
        <w:rPr>
          <w:rFonts w:asciiTheme="minorHAnsi" w:hAnsiTheme="minorHAnsi" w:cstheme="minorHAnsi"/>
          <w:i/>
          <w:iCs/>
        </w:rPr>
        <w:t xml:space="preserve"> to when it</w:t>
      </w:r>
      <w:r w:rsidR="00EE46D9" w:rsidRPr="00C27ABA">
        <w:rPr>
          <w:rFonts w:asciiTheme="minorHAnsi" w:hAnsiTheme="minorHAnsi" w:cstheme="minorHAnsi"/>
          <w:i/>
          <w:iCs/>
        </w:rPr>
        <w:t xml:space="preserve"> meets the criteria to be counted towards the </w:t>
      </w:r>
      <w:r w:rsidR="00893EB4" w:rsidRPr="00C27ABA">
        <w:rPr>
          <w:rFonts w:asciiTheme="minorHAnsi" w:hAnsiTheme="minorHAnsi" w:cstheme="minorHAnsi"/>
          <w:i/>
          <w:iCs/>
        </w:rPr>
        <w:t>R</w:t>
      </w:r>
      <w:r w:rsidR="00EE46D9" w:rsidRPr="00C27ABA">
        <w:rPr>
          <w:rFonts w:asciiTheme="minorHAnsi" w:hAnsiTheme="minorHAnsi" w:cstheme="minorHAnsi"/>
          <w:i/>
          <w:iCs/>
        </w:rPr>
        <w:t>esponsible Person</w:t>
      </w:r>
      <w:r w:rsidR="00893EB4" w:rsidRPr="00C27ABA">
        <w:rPr>
          <w:rFonts w:asciiTheme="minorHAnsi" w:hAnsiTheme="minorHAnsi" w:cstheme="minorHAnsi"/>
          <w:i/>
          <w:iCs/>
        </w:rPr>
        <w:t>’</w:t>
      </w:r>
      <w:r w:rsidR="00EE46D9" w:rsidRPr="00C27ABA">
        <w:rPr>
          <w:rFonts w:asciiTheme="minorHAnsi" w:hAnsiTheme="minorHAnsi" w:cstheme="minorHAnsi"/>
          <w:i/>
          <w:iCs/>
        </w:rPr>
        <w:t>s</w:t>
      </w:r>
      <w:r w:rsidR="00675BD3" w:rsidRPr="00C27ABA">
        <w:rPr>
          <w:rFonts w:asciiTheme="minorHAnsi" w:hAnsiTheme="minorHAnsi" w:cstheme="minorHAnsi"/>
          <w:i/>
          <w:iCs/>
        </w:rPr>
        <w:t xml:space="preserve"> minimum stockholding requirement</w:t>
      </w:r>
      <w:r w:rsidR="00C27ABA" w:rsidRPr="00C27ABA">
        <w:rPr>
          <w:rFonts w:asciiTheme="minorHAnsi" w:hAnsiTheme="minorHAnsi" w:cstheme="minorHAnsi"/>
          <w:i/>
          <w:iCs/>
        </w:rPr>
        <w:t>’</w:t>
      </w:r>
      <w:r w:rsidR="00675BD3" w:rsidRPr="00C27ABA">
        <w:rPr>
          <w:rFonts w:asciiTheme="minorHAnsi" w:hAnsiTheme="minorHAnsi" w:cstheme="minorHAnsi"/>
        </w:rPr>
        <w:t xml:space="preserve"> (i.e., stock</w:t>
      </w:r>
      <w:r w:rsidR="00B04E4A" w:rsidRPr="00C27ABA">
        <w:rPr>
          <w:rFonts w:asciiTheme="minorHAnsi" w:hAnsiTheme="minorHAnsi" w:cstheme="minorHAnsi"/>
        </w:rPr>
        <w:t xml:space="preserve"> which is available for sale by the </w:t>
      </w:r>
      <w:r w:rsidR="0092181C" w:rsidRPr="00C27ABA">
        <w:rPr>
          <w:rFonts w:asciiTheme="minorHAnsi" w:hAnsiTheme="minorHAnsi" w:cstheme="minorHAnsi"/>
        </w:rPr>
        <w:t>Responsible Person</w:t>
      </w:r>
      <w:r w:rsidR="0036549B">
        <w:rPr>
          <w:rFonts w:asciiTheme="minorHAnsi" w:hAnsiTheme="minorHAnsi" w:cstheme="minorHAnsi"/>
        </w:rPr>
        <w:t xml:space="preserve"> </w:t>
      </w:r>
      <w:r w:rsidR="0036549B" w:rsidRPr="00C27ABA">
        <w:rPr>
          <w:rFonts w:asciiTheme="minorHAnsi" w:hAnsiTheme="minorHAnsi" w:cstheme="minorHAnsi"/>
        </w:rPr>
        <w:t>in Australia</w:t>
      </w:r>
      <w:r w:rsidR="00B04E4A" w:rsidRPr="00C27ABA">
        <w:rPr>
          <w:rFonts w:asciiTheme="minorHAnsi" w:hAnsiTheme="minorHAnsi" w:cstheme="minorHAnsi"/>
        </w:rPr>
        <w:t>)</w:t>
      </w:r>
      <w:r w:rsidR="00035E93" w:rsidRPr="00C27ABA">
        <w:rPr>
          <w:rFonts w:asciiTheme="minorHAnsi" w:hAnsiTheme="minorHAnsi" w:cstheme="minorHAnsi"/>
        </w:rPr>
        <w:t>.</w:t>
      </w:r>
      <w:r w:rsidR="00C27ABA">
        <w:rPr>
          <w:rFonts w:asciiTheme="minorHAnsi" w:hAnsiTheme="minorHAnsi" w:cstheme="minorHAnsi"/>
        </w:rPr>
        <w:t xml:space="preserve"> </w:t>
      </w:r>
      <w:r w:rsidR="00795CF3">
        <w:rPr>
          <w:rFonts w:asciiTheme="minorHAnsi" w:hAnsiTheme="minorHAnsi" w:cstheme="minorHAnsi"/>
        </w:rPr>
        <w:t>If shelf</w:t>
      </w:r>
      <w:r w:rsidR="00B440A0">
        <w:rPr>
          <w:rFonts w:asciiTheme="minorHAnsi" w:hAnsiTheme="minorHAnsi" w:cstheme="minorHAnsi"/>
        </w:rPr>
        <w:t>-</w:t>
      </w:r>
      <w:r w:rsidR="00795CF3">
        <w:rPr>
          <w:rFonts w:asciiTheme="minorHAnsi" w:hAnsiTheme="minorHAnsi" w:cstheme="minorHAnsi"/>
        </w:rPr>
        <w:t>life</w:t>
      </w:r>
      <w:r w:rsidR="000D6C47">
        <w:rPr>
          <w:rFonts w:asciiTheme="minorHAnsi" w:hAnsiTheme="minorHAnsi" w:cstheme="minorHAnsi"/>
        </w:rPr>
        <w:t xml:space="preserve"> runs from an earlier time</w:t>
      </w:r>
      <w:r w:rsidR="005465D8">
        <w:rPr>
          <w:rFonts w:asciiTheme="minorHAnsi" w:hAnsiTheme="minorHAnsi" w:cstheme="minorHAnsi"/>
        </w:rPr>
        <w:t xml:space="preserve"> in the production process</w:t>
      </w:r>
      <w:r w:rsidR="00254594">
        <w:rPr>
          <w:rFonts w:asciiTheme="minorHAnsi" w:hAnsiTheme="minorHAnsi" w:cstheme="minorHAnsi"/>
        </w:rPr>
        <w:t xml:space="preserve"> </w:t>
      </w:r>
      <w:r w:rsidR="00C25402">
        <w:rPr>
          <w:rFonts w:asciiTheme="minorHAnsi" w:hAnsiTheme="minorHAnsi" w:cstheme="minorHAnsi"/>
        </w:rPr>
        <w:t>or there is</w:t>
      </w:r>
      <w:r w:rsidR="007F7859">
        <w:rPr>
          <w:rFonts w:asciiTheme="minorHAnsi" w:hAnsiTheme="minorHAnsi" w:cstheme="minorHAnsi"/>
        </w:rPr>
        <w:t xml:space="preserve"> any other</w:t>
      </w:r>
      <w:r w:rsidR="002902FE">
        <w:rPr>
          <w:rFonts w:asciiTheme="minorHAnsi" w:hAnsiTheme="minorHAnsi" w:cstheme="minorHAnsi"/>
        </w:rPr>
        <w:t xml:space="preserve"> supply chain timing information</w:t>
      </w:r>
      <w:r w:rsidR="00766514">
        <w:rPr>
          <w:rFonts w:asciiTheme="minorHAnsi" w:hAnsiTheme="minorHAnsi" w:cstheme="minorHAnsi"/>
        </w:rPr>
        <w:t xml:space="preserve"> relevant to</w:t>
      </w:r>
      <w:r w:rsidR="00107116">
        <w:rPr>
          <w:rFonts w:asciiTheme="minorHAnsi" w:hAnsiTheme="minorHAnsi" w:cstheme="minorHAnsi"/>
        </w:rPr>
        <w:t xml:space="preserve"> available shelf</w:t>
      </w:r>
      <w:r w:rsidR="004418EE">
        <w:rPr>
          <w:rFonts w:asciiTheme="minorHAnsi" w:hAnsiTheme="minorHAnsi" w:cstheme="minorHAnsi"/>
        </w:rPr>
        <w:t>-</w:t>
      </w:r>
      <w:r w:rsidR="00107116">
        <w:rPr>
          <w:rFonts w:asciiTheme="minorHAnsi" w:hAnsiTheme="minorHAnsi" w:cstheme="minorHAnsi"/>
        </w:rPr>
        <w:t>life</w:t>
      </w:r>
      <w:r w:rsidR="0020633C">
        <w:rPr>
          <w:rFonts w:asciiTheme="minorHAnsi" w:hAnsiTheme="minorHAnsi" w:cstheme="minorHAnsi"/>
        </w:rPr>
        <w:t xml:space="preserve"> </w:t>
      </w:r>
      <w:r w:rsidR="00CE31AF">
        <w:rPr>
          <w:rFonts w:asciiTheme="minorHAnsi" w:hAnsiTheme="minorHAnsi" w:cstheme="minorHAnsi"/>
        </w:rPr>
        <w:t>and the risk of wastage of stock,</w:t>
      </w:r>
      <w:r w:rsidR="00187912">
        <w:rPr>
          <w:rFonts w:asciiTheme="minorHAnsi" w:hAnsiTheme="minorHAnsi" w:cstheme="minorHAnsi"/>
        </w:rPr>
        <w:t xml:space="preserve"> </w:t>
      </w:r>
      <w:r w:rsidR="0036549B">
        <w:rPr>
          <w:rFonts w:asciiTheme="minorHAnsi" w:hAnsiTheme="minorHAnsi" w:cstheme="minorHAnsi"/>
        </w:rPr>
        <w:t>R</w:t>
      </w:r>
      <w:r w:rsidR="00187912">
        <w:rPr>
          <w:rFonts w:asciiTheme="minorHAnsi" w:hAnsiTheme="minorHAnsi" w:cstheme="minorHAnsi"/>
        </w:rPr>
        <w:t xml:space="preserve">esponsible </w:t>
      </w:r>
      <w:r w:rsidR="0036549B">
        <w:rPr>
          <w:rFonts w:asciiTheme="minorHAnsi" w:hAnsiTheme="minorHAnsi" w:cstheme="minorHAnsi"/>
        </w:rPr>
        <w:t>P</w:t>
      </w:r>
      <w:r w:rsidR="00187912">
        <w:rPr>
          <w:rFonts w:asciiTheme="minorHAnsi" w:hAnsiTheme="minorHAnsi" w:cstheme="minorHAnsi"/>
        </w:rPr>
        <w:t xml:space="preserve">ersons </w:t>
      </w:r>
      <w:r w:rsidR="00965BCF">
        <w:rPr>
          <w:rFonts w:asciiTheme="minorHAnsi" w:hAnsiTheme="minorHAnsi" w:cstheme="minorHAnsi"/>
        </w:rPr>
        <w:t xml:space="preserve">are encouraged to </w:t>
      </w:r>
      <w:r w:rsidR="00187912">
        <w:rPr>
          <w:rFonts w:asciiTheme="minorHAnsi" w:hAnsiTheme="minorHAnsi" w:cstheme="minorHAnsi"/>
        </w:rPr>
        <w:t>provide</w:t>
      </w:r>
      <w:r w:rsidR="00490CF2">
        <w:rPr>
          <w:rFonts w:asciiTheme="minorHAnsi" w:hAnsiTheme="minorHAnsi" w:cstheme="minorHAnsi"/>
        </w:rPr>
        <w:t xml:space="preserve"> details of</w:t>
      </w:r>
      <w:r w:rsidR="00187912">
        <w:rPr>
          <w:rFonts w:asciiTheme="minorHAnsi" w:hAnsiTheme="minorHAnsi" w:cstheme="minorHAnsi"/>
        </w:rPr>
        <w:t xml:space="preserve"> this in their application.</w:t>
      </w:r>
    </w:p>
  </w:footnote>
  <w:footnote w:id="3">
    <w:p w14:paraId="3C917CE3" w14:textId="569EC944" w:rsidR="00330567" w:rsidRDefault="00330567" w:rsidP="0033056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60405">
        <w:rPr>
          <w:rFonts w:asciiTheme="minorHAnsi" w:hAnsiTheme="minorHAnsi" w:cstheme="minorHAnsi"/>
        </w:rPr>
        <w:t xml:space="preserve">Responsible Persons often have contractual requirements with customers, for a brand to have a certain amount of shelf-life remaining when received by the wholesaler/pharmacy. The </w:t>
      </w:r>
      <w:r w:rsidR="00F511EE">
        <w:rPr>
          <w:rFonts w:asciiTheme="minorHAnsi" w:hAnsiTheme="minorHAnsi" w:cstheme="minorHAnsi"/>
        </w:rPr>
        <w:t>D</w:t>
      </w:r>
      <w:r w:rsidRPr="00360405">
        <w:rPr>
          <w:rFonts w:asciiTheme="minorHAnsi" w:hAnsiTheme="minorHAnsi" w:cstheme="minorHAnsi"/>
        </w:rPr>
        <w:t>epartment recognises that this helps to ensure that adequately dated medicines are available to patients.</w:t>
      </w:r>
    </w:p>
  </w:footnote>
  <w:footnote w:id="4">
    <w:p w14:paraId="3B34730C" w14:textId="4EC74226" w:rsidR="001A34E2" w:rsidRPr="00461A0F" w:rsidRDefault="001A34E2" w:rsidP="006303DB">
      <w:pPr>
        <w:pStyle w:val="FootnoteText"/>
        <w:jc w:val="both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r w:rsidR="00E27ED2" w:rsidRPr="00AF6FAB">
        <w:rPr>
          <w:rFonts w:asciiTheme="minorHAnsi" w:hAnsiTheme="minorHAnsi" w:cstheme="minorHAnsi"/>
        </w:rPr>
        <w:t xml:space="preserve">Safety stock is stock held by Responsible Persons </w:t>
      </w:r>
      <w:r w:rsidR="005C61E9" w:rsidRPr="00AF6FAB">
        <w:rPr>
          <w:rFonts w:asciiTheme="minorHAnsi" w:hAnsiTheme="minorHAnsi" w:cstheme="minorHAnsi"/>
        </w:rPr>
        <w:t xml:space="preserve">for utilisation </w:t>
      </w:r>
      <w:r w:rsidR="00FA7FE7" w:rsidRPr="00AF6FAB">
        <w:rPr>
          <w:rFonts w:asciiTheme="minorHAnsi" w:hAnsiTheme="minorHAnsi" w:cstheme="minorHAnsi"/>
        </w:rPr>
        <w:t xml:space="preserve">where there is </w:t>
      </w:r>
      <w:r w:rsidR="00E27ED2" w:rsidRPr="00AF6FAB">
        <w:rPr>
          <w:rFonts w:asciiTheme="minorHAnsi" w:hAnsiTheme="minorHAnsi" w:cstheme="minorHAnsi"/>
        </w:rPr>
        <w:t xml:space="preserve">demand variation and supply disruptions </w:t>
      </w:r>
      <w:r w:rsidR="00461A0F">
        <w:rPr>
          <w:rFonts w:asciiTheme="minorHAnsi" w:hAnsiTheme="minorHAnsi" w:cstheme="minorHAnsi"/>
        </w:rPr>
        <w:t>(</w:t>
      </w:r>
      <w:r w:rsidR="00E27ED2" w:rsidRPr="00AF6FAB">
        <w:rPr>
          <w:rFonts w:asciiTheme="minorHAnsi" w:hAnsiTheme="minorHAnsi" w:cstheme="minorHAnsi"/>
        </w:rPr>
        <w:t>such as minor transit delays</w:t>
      </w:r>
      <w:r w:rsidR="00461A0F">
        <w:rPr>
          <w:rFonts w:asciiTheme="minorHAnsi" w:hAnsiTheme="minorHAnsi" w:cstheme="minorHAnsi"/>
        </w:rPr>
        <w:t>),</w:t>
      </w:r>
      <w:r w:rsidR="001F3F63" w:rsidRPr="00AF6FAB">
        <w:rPr>
          <w:rFonts w:asciiTheme="minorHAnsi" w:hAnsiTheme="minorHAnsi" w:cstheme="minorHAnsi"/>
        </w:rPr>
        <w:t xml:space="preserve"> </w:t>
      </w:r>
      <w:r w:rsidR="00CB10DD" w:rsidRPr="00AF6FAB">
        <w:rPr>
          <w:rFonts w:asciiTheme="minorHAnsi" w:hAnsiTheme="minorHAnsi" w:cstheme="minorHAnsi"/>
        </w:rPr>
        <w:t xml:space="preserve">so </w:t>
      </w:r>
      <w:r w:rsidR="00F62F26" w:rsidRPr="00AF6FAB">
        <w:rPr>
          <w:rFonts w:asciiTheme="minorHAnsi" w:hAnsiTheme="minorHAnsi" w:cstheme="minorHAnsi"/>
        </w:rPr>
        <w:t xml:space="preserve">that </w:t>
      </w:r>
      <w:r w:rsidR="00CB10DD" w:rsidRPr="00AF6FAB">
        <w:rPr>
          <w:rFonts w:asciiTheme="minorHAnsi" w:hAnsiTheme="minorHAnsi" w:cstheme="minorHAnsi"/>
        </w:rPr>
        <w:t>compliance with the MSR can be maintained</w:t>
      </w:r>
      <w:r w:rsidR="00E27ED2" w:rsidRPr="00AF6FAB">
        <w:rPr>
          <w:rFonts w:asciiTheme="minorHAnsi" w:hAnsiTheme="minorHAnsi" w:cstheme="minorHAnsi"/>
        </w:rPr>
        <w:t>.</w:t>
      </w:r>
    </w:p>
  </w:footnote>
  <w:footnote w:id="5">
    <w:p w14:paraId="1B5A52CD" w14:textId="21D2573A" w:rsidR="00607C4A" w:rsidRPr="00461A0F" w:rsidRDefault="00607C4A" w:rsidP="006303DB">
      <w:pPr>
        <w:pStyle w:val="FootnoteText"/>
        <w:jc w:val="both"/>
        <w:rPr>
          <w:rFonts w:asciiTheme="minorHAnsi" w:hAnsiTheme="minorHAnsi" w:cstheme="minorHAnsi"/>
        </w:rPr>
      </w:pPr>
      <w:r w:rsidRPr="00AF6FAB">
        <w:rPr>
          <w:rStyle w:val="FootnoteReference"/>
          <w:rFonts w:asciiTheme="minorHAnsi" w:hAnsiTheme="minorHAnsi" w:cstheme="minorHAnsi"/>
        </w:rPr>
        <w:footnoteRef/>
      </w:r>
      <w:r w:rsidRPr="00AF6FAB">
        <w:rPr>
          <w:rFonts w:asciiTheme="minorHAnsi" w:hAnsiTheme="minorHAnsi" w:cstheme="minorHAnsi"/>
        </w:rPr>
        <w:t xml:space="preserve"> </w:t>
      </w:r>
      <w:r w:rsidR="00940756" w:rsidRPr="00AF6FAB">
        <w:rPr>
          <w:rFonts w:asciiTheme="minorHAnsi" w:hAnsiTheme="minorHAnsi" w:cstheme="minorHAnsi"/>
        </w:rPr>
        <w:t>Cycle stock is the inventory purchased to meet expected demand between shipments.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F73AA7" w14:paraId="3278838A" w14:textId="77777777">
      <w:trPr>
        <w:trHeight w:val="300"/>
      </w:trPr>
      <w:tc>
        <w:tcPr>
          <w:tcW w:w="3005" w:type="dxa"/>
        </w:tcPr>
        <w:p w14:paraId="364BE137" w14:textId="77777777" w:rsidR="00F73AA7" w:rsidRDefault="00F73AA7">
          <w:pPr>
            <w:pStyle w:val="Header"/>
            <w:ind w:left="-115"/>
          </w:pPr>
        </w:p>
      </w:tc>
      <w:tc>
        <w:tcPr>
          <w:tcW w:w="3005" w:type="dxa"/>
        </w:tcPr>
        <w:p w14:paraId="180BD4F9" w14:textId="77777777" w:rsidR="00F73AA7" w:rsidRDefault="00F73AA7">
          <w:pPr>
            <w:pStyle w:val="Header"/>
            <w:jc w:val="center"/>
          </w:pPr>
        </w:p>
      </w:tc>
      <w:tc>
        <w:tcPr>
          <w:tcW w:w="3005" w:type="dxa"/>
        </w:tcPr>
        <w:p w14:paraId="18F60DB4" w14:textId="77777777" w:rsidR="00F73AA7" w:rsidRDefault="00F73AA7">
          <w:pPr>
            <w:pStyle w:val="Header"/>
            <w:ind w:right="-115"/>
            <w:jc w:val="right"/>
          </w:pPr>
        </w:p>
      </w:tc>
    </w:tr>
  </w:tbl>
  <w:p w14:paraId="545B141B" w14:textId="6DD8F71A" w:rsidR="00F73AA7" w:rsidRDefault="00F73AA7">
    <w:pPr>
      <w:pStyle w:val="Header"/>
    </w:pPr>
    <w:r>
      <w:rPr>
        <w:noProof/>
      </w:rPr>
      <w:drawing>
        <wp:inline distT="0" distB="0" distL="0" distR="0" wp14:anchorId="129D2F94" wp14:editId="3336FCB6">
          <wp:extent cx="5730875" cy="932815"/>
          <wp:effectExtent l="0" t="0" r="3175" b="635"/>
          <wp:docPr id="15732467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AC587" w14:textId="44BCBEE9" w:rsidR="008E0C77" w:rsidRDefault="00B57C98" w:rsidP="008E0C77">
    <w:pPr>
      <w:pStyle w:val="Headertext"/>
      <w:spacing w:after="180"/>
      <w:jc w:val="left"/>
    </w:pPr>
    <w:r>
      <w:rPr>
        <w:noProof/>
      </w:rPr>
      <w:drawing>
        <wp:inline distT="0" distB="0" distL="0" distR="0" wp14:anchorId="17F4BCC6" wp14:editId="67454366">
          <wp:extent cx="5730875" cy="932815"/>
          <wp:effectExtent l="0" t="0" r="3175" b="635"/>
          <wp:docPr id="29599981" name="Picture 1" descr="A close-up of a white and blue box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99981" name="Picture 1" descr="A close-up of a white and blue box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73CEB" w14:textId="77777777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2DF5E401" wp14:editId="4D38D51A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A3AB7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B722D"/>
    <w:multiLevelType w:val="multilevel"/>
    <w:tmpl w:val="0834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3A12D9"/>
    <w:multiLevelType w:val="multilevel"/>
    <w:tmpl w:val="69C0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F65043"/>
    <w:multiLevelType w:val="multilevel"/>
    <w:tmpl w:val="D142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F93A9F"/>
    <w:multiLevelType w:val="multilevel"/>
    <w:tmpl w:val="4C4A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484584"/>
    <w:multiLevelType w:val="hybridMultilevel"/>
    <w:tmpl w:val="206EA6B8"/>
    <w:lvl w:ilvl="0" w:tplc="4C48D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A545C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57CC8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DFCC5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DE4CB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B8AF9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B761B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F9248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99C38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5D73195"/>
    <w:multiLevelType w:val="hybridMultilevel"/>
    <w:tmpl w:val="CF94F5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81263E"/>
    <w:multiLevelType w:val="multilevel"/>
    <w:tmpl w:val="926C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1407D4"/>
    <w:multiLevelType w:val="multilevel"/>
    <w:tmpl w:val="1BA4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1D68BF"/>
    <w:multiLevelType w:val="multilevel"/>
    <w:tmpl w:val="8996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C3D2C"/>
    <w:multiLevelType w:val="multilevel"/>
    <w:tmpl w:val="F376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4D1BE7"/>
    <w:multiLevelType w:val="hybridMultilevel"/>
    <w:tmpl w:val="DCF8A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28187210">
    <w:abstractNumId w:val="0"/>
  </w:num>
  <w:num w:numId="2" w16cid:durableId="2135168833">
    <w:abstractNumId w:val="7"/>
  </w:num>
  <w:num w:numId="3" w16cid:durableId="1331519124">
    <w:abstractNumId w:val="16"/>
  </w:num>
  <w:num w:numId="4" w16cid:durableId="768160667">
    <w:abstractNumId w:val="10"/>
  </w:num>
  <w:num w:numId="5" w16cid:durableId="501624301">
    <w:abstractNumId w:val="13"/>
  </w:num>
  <w:num w:numId="6" w16cid:durableId="1331903733">
    <w:abstractNumId w:val="1"/>
  </w:num>
  <w:num w:numId="7" w16cid:durableId="459347395">
    <w:abstractNumId w:val="6"/>
  </w:num>
  <w:num w:numId="8" w16cid:durableId="1286961798">
    <w:abstractNumId w:val="8"/>
  </w:num>
  <w:num w:numId="9" w16cid:durableId="568929955">
    <w:abstractNumId w:val="15"/>
  </w:num>
  <w:num w:numId="10" w16cid:durableId="1055471788">
    <w:abstractNumId w:val="5"/>
  </w:num>
  <w:num w:numId="11" w16cid:durableId="892036412">
    <w:abstractNumId w:val="4"/>
  </w:num>
  <w:num w:numId="12" w16cid:durableId="1680085142">
    <w:abstractNumId w:val="2"/>
  </w:num>
  <w:num w:numId="13" w16cid:durableId="1867907713">
    <w:abstractNumId w:val="3"/>
  </w:num>
  <w:num w:numId="14" w16cid:durableId="2044280605">
    <w:abstractNumId w:val="11"/>
  </w:num>
  <w:num w:numId="15" w16cid:durableId="1806465792">
    <w:abstractNumId w:val="14"/>
  </w:num>
  <w:num w:numId="16" w16cid:durableId="1173641466">
    <w:abstractNumId w:val="9"/>
  </w:num>
  <w:num w:numId="17" w16cid:durableId="22337382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B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C318881-2AE2-4925-99EB-65780C8A88E2}"/>
    <w:docVar w:name="dgnword-eventsink" w:val="-2076847672"/>
  </w:docVars>
  <w:rsids>
    <w:rsidRoot w:val="00BA72CF"/>
    <w:rsid w:val="0000016D"/>
    <w:rsid w:val="00000B18"/>
    <w:rsid w:val="0000257A"/>
    <w:rsid w:val="00003741"/>
    <w:rsid w:val="00003743"/>
    <w:rsid w:val="000047B4"/>
    <w:rsid w:val="00004C6A"/>
    <w:rsid w:val="00005712"/>
    <w:rsid w:val="00007FD8"/>
    <w:rsid w:val="000111A3"/>
    <w:rsid w:val="000117F8"/>
    <w:rsid w:val="0001460F"/>
    <w:rsid w:val="00014DAF"/>
    <w:rsid w:val="0001538D"/>
    <w:rsid w:val="00015AFB"/>
    <w:rsid w:val="00015D5A"/>
    <w:rsid w:val="000165BD"/>
    <w:rsid w:val="00020C67"/>
    <w:rsid w:val="000210A6"/>
    <w:rsid w:val="00022629"/>
    <w:rsid w:val="0002418C"/>
    <w:rsid w:val="00024EFF"/>
    <w:rsid w:val="00026139"/>
    <w:rsid w:val="00027601"/>
    <w:rsid w:val="0003011E"/>
    <w:rsid w:val="000315E6"/>
    <w:rsid w:val="0003207C"/>
    <w:rsid w:val="00033321"/>
    <w:rsid w:val="000338E5"/>
    <w:rsid w:val="00033ECC"/>
    <w:rsid w:val="0003422F"/>
    <w:rsid w:val="00035E4C"/>
    <w:rsid w:val="00035E93"/>
    <w:rsid w:val="00040BD5"/>
    <w:rsid w:val="00043728"/>
    <w:rsid w:val="0004441A"/>
    <w:rsid w:val="000449EF"/>
    <w:rsid w:val="00045325"/>
    <w:rsid w:val="00045DEA"/>
    <w:rsid w:val="00046FF0"/>
    <w:rsid w:val="00050176"/>
    <w:rsid w:val="00050342"/>
    <w:rsid w:val="000508C7"/>
    <w:rsid w:val="0005340D"/>
    <w:rsid w:val="00053B87"/>
    <w:rsid w:val="000546A5"/>
    <w:rsid w:val="00054F90"/>
    <w:rsid w:val="0005557D"/>
    <w:rsid w:val="00055609"/>
    <w:rsid w:val="00061D86"/>
    <w:rsid w:val="00062E3E"/>
    <w:rsid w:val="00064BE3"/>
    <w:rsid w:val="00067456"/>
    <w:rsid w:val="00071506"/>
    <w:rsid w:val="0007154F"/>
    <w:rsid w:val="000726A4"/>
    <w:rsid w:val="00072941"/>
    <w:rsid w:val="00074B86"/>
    <w:rsid w:val="00081AB1"/>
    <w:rsid w:val="00085E24"/>
    <w:rsid w:val="000863A2"/>
    <w:rsid w:val="00086A43"/>
    <w:rsid w:val="00087E2A"/>
    <w:rsid w:val="00090316"/>
    <w:rsid w:val="000921F8"/>
    <w:rsid w:val="00093981"/>
    <w:rsid w:val="00094E7B"/>
    <w:rsid w:val="000969E9"/>
    <w:rsid w:val="00096B3D"/>
    <w:rsid w:val="000A64FA"/>
    <w:rsid w:val="000B00EF"/>
    <w:rsid w:val="000B067A"/>
    <w:rsid w:val="000B0A19"/>
    <w:rsid w:val="000B1540"/>
    <w:rsid w:val="000B1E53"/>
    <w:rsid w:val="000B24CB"/>
    <w:rsid w:val="000B299B"/>
    <w:rsid w:val="000B33FD"/>
    <w:rsid w:val="000B37E4"/>
    <w:rsid w:val="000B396E"/>
    <w:rsid w:val="000B39EE"/>
    <w:rsid w:val="000B3AD5"/>
    <w:rsid w:val="000B4ABA"/>
    <w:rsid w:val="000B5645"/>
    <w:rsid w:val="000C1606"/>
    <w:rsid w:val="000C33C7"/>
    <w:rsid w:val="000C46F8"/>
    <w:rsid w:val="000C4B16"/>
    <w:rsid w:val="000C5053"/>
    <w:rsid w:val="000C50C3"/>
    <w:rsid w:val="000C5E14"/>
    <w:rsid w:val="000C7626"/>
    <w:rsid w:val="000D2106"/>
    <w:rsid w:val="000D21F6"/>
    <w:rsid w:val="000D3928"/>
    <w:rsid w:val="000D4500"/>
    <w:rsid w:val="000D6C47"/>
    <w:rsid w:val="000D7AEA"/>
    <w:rsid w:val="000E2408"/>
    <w:rsid w:val="000E2C66"/>
    <w:rsid w:val="000E3038"/>
    <w:rsid w:val="000E3CA4"/>
    <w:rsid w:val="000E4A57"/>
    <w:rsid w:val="000E78E7"/>
    <w:rsid w:val="000F087B"/>
    <w:rsid w:val="000F123C"/>
    <w:rsid w:val="000F1335"/>
    <w:rsid w:val="000F2FED"/>
    <w:rsid w:val="000F363F"/>
    <w:rsid w:val="000F573A"/>
    <w:rsid w:val="000F6FDB"/>
    <w:rsid w:val="001001B5"/>
    <w:rsid w:val="00100CBA"/>
    <w:rsid w:val="00103EF0"/>
    <w:rsid w:val="001040E7"/>
    <w:rsid w:val="00104A7F"/>
    <w:rsid w:val="0010616D"/>
    <w:rsid w:val="00107116"/>
    <w:rsid w:val="00110478"/>
    <w:rsid w:val="00114A05"/>
    <w:rsid w:val="0011711B"/>
    <w:rsid w:val="00117F8A"/>
    <w:rsid w:val="00120737"/>
    <w:rsid w:val="00121943"/>
    <w:rsid w:val="00121B9B"/>
    <w:rsid w:val="00122ADC"/>
    <w:rsid w:val="00123932"/>
    <w:rsid w:val="00123FA4"/>
    <w:rsid w:val="00130E73"/>
    <w:rsid w:val="00130F59"/>
    <w:rsid w:val="0013216E"/>
    <w:rsid w:val="0013275D"/>
    <w:rsid w:val="00133EC0"/>
    <w:rsid w:val="001353CC"/>
    <w:rsid w:val="00140F63"/>
    <w:rsid w:val="001419FC"/>
    <w:rsid w:val="00141CE5"/>
    <w:rsid w:val="001432EF"/>
    <w:rsid w:val="00143775"/>
    <w:rsid w:val="00144908"/>
    <w:rsid w:val="00147AAC"/>
    <w:rsid w:val="001502DD"/>
    <w:rsid w:val="0015035B"/>
    <w:rsid w:val="00153780"/>
    <w:rsid w:val="00156D96"/>
    <w:rsid w:val="001571C7"/>
    <w:rsid w:val="00161094"/>
    <w:rsid w:val="00161950"/>
    <w:rsid w:val="0016385B"/>
    <w:rsid w:val="00164237"/>
    <w:rsid w:val="0016609A"/>
    <w:rsid w:val="001677F9"/>
    <w:rsid w:val="00173172"/>
    <w:rsid w:val="00174C43"/>
    <w:rsid w:val="001762C9"/>
    <w:rsid w:val="0017665C"/>
    <w:rsid w:val="00177AD2"/>
    <w:rsid w:val="001804E8"/>
    <w:rsid w:val="001815A8"/>
    <w:rsid w:val="00182652"/>
    <w:rsid w:val="00183834"/>
    <w:rsid w:val="001840FA"/>
    <w:rsid w:val="00187912"/>
    <w:rsid w:val="00187CB1"/>
    <w:rsid w:val="00190079"/>
    <w:rsid w:val="00193033"/>
    <w:rsid w:val="00193DD4"/>
    <w:rsid w:val="00194138"/>
    <w:rsid w:val="001956AC"/>
    <w:rsid w:val="0019622E"/>
    <w:rsid w:val="001966A7"/>
    <w:rsid w:val="001973D2"/>
    <w:rsid w:val="001A1269"/>
    <w:rsid w:val="001A14D6"/>
    <w:rsid w:val="001A25F6"/>
    <w:rsid w:val="001A34E2"/>
    <w:rsid w:val="001A4031"/>
    <w:rsid w:val="001A4519"/>
    <w:rsid w:val="001A4627"/>
    <w:rsid w:val="001A4741"/>
    <w:rsid w:val="001A48AB"/>
    <w:rsid w:val="001A4979"/>
    <w:rsid w:val="001A6A27"/>
    <w:rsid w:val="001A7D45"/>
    <w:rsid w:val="001A7F20"/>
    <w:rsid w:val="001B15D3"/>
    <w:rsid w:val="001B1C78"/>
    <w:rsid w:val="001B3443"/>
    <w:rsid w:val="001B4F19"/>
    <w:rsid w:val="001B5B4B"/>
    <w:rsid w:val="001B7132"/>
    <w:rsid w:val="001C0326"/>
    <w:rsid w:val="001C055F"/>
    <w:rsid w:val="001C0F64"/>
    <w:rsid w:val="001C192F"/>
    <w:rsid w:val="001C3C42"/>
    <w:rsid w:val="001D1319"/>
    <w:rsid w:val="001D419C"/>
    <w:rsid w:val="001D472E"/>
    <w:rsid w:val="001D4C06"/>
    <w:rsid w:val="001D7869"/>
    <w:rsid w:val="001E03A2"/>
    <w:rsid w:val="001E1330"/>
    <w:rsid w:val="001E1D84"/>
    <w:rsid w:val="001E2B07"/>
    <w:rsid w:val="001E2D55"/>
    <w:rsid w:val="001E3F09"/>
    <w:rsid w:val="001E4459"/>
    <w:rsid w:val="001F0424"/>
    <w:rsid w:val="001F3F63"/>
    <w:rsid w:val="002016A4"/>
    <w:rsid w:val="002026CD"/>
    <w:rsid w:val="002029DB"/>
    <w:rsid w:val="002033FC"/>
    <w:rsid w:val="00203D88"/>
    <w:rsid w:val="002044BB"/>
    <w:rsid w:val="0020633C"/>
    <w:rsid w:val="00210B09"/>
    <w:rsid w:val="00210C9E"/>
    <w:rsid w:val="00211840"/>
    <w:rsid w:val="00212088"/>
    <w:rsid w:val="0021255B"/>
    <w:rsid w:val="00214445"/>
    <w:rsid w:val="00217049"/>
    <w:rsid w:val="002201F3"/>
    <w:rsid w:val="00220952"/>
    <w:rsid w:val="00220E5F"/>
    <w:rsid w:val="002212B5"/>
    <w:rsid w:val="0022232C"/>
    <w:rsid w:val="002236F8"/>
    <w:rsid w:val="00226668"/>
    <w:rsid w:val="00227400"/>
    <w:rsid w:val="00230D89"/>
    <w:rsid w:val="00231F6D"/>
    <w:rsid w:val="00233809"/>
    <w:rsid w:val="002338B7"/>
    <w:rsid w:val="00233FF2"/>
    <w:rsid w:val="00236910"/>
    <w:rsid w:val="00240046"/>
    <w:rsid w:val="0024014C"/>
    <w:rsid w:val="0024027E"/>
    <w:rsid w:val="00240E07"/>
    <w:rsid w:val="0024208F"/>
    <w:rsid w:val="002424C3"/>
    <w:rsid w:val="002432B7"/>
    <w:rsid w:val="002437B4"/>
    <w:rsid w:val="0024391D"/>
    <w:rsid w:val="00244B95"/>
    <w:rsid w:val="0024611E"/>
    <w:rsid w:val="0024797F"/>
    <w:rsid w:val="0025119E"/>
    <w:rsid w:val="00251269"/>
    <w:rsid w:val="002535C0"/>
    <w:rsid w:val="00254594"/>
    <w:rsid w:val="00256205"/>
    <w:rsid w:val="0025628E"/>
    <w:rsid w:val="00257266"/>
    <w:rsid w:val="002579FE"/>
    <w:rsid w:val="00260552"/>
    <w:rsid w:val="00261476"/>
    <w:rsid w:val="0026311C"/>
    <w:rsid w:val="00264148"/>
    <w:rsid w:val="0026619D"/>
    <w:rsid w:val="0026668C"/>
    <w:rsid w:val="0026691B"/>
    <w:rsid w:val="00266AC1"/>
    <w:rsid w:val="00267A95"/>
    <w:rsid w:val="0027178C"/>
    <w:rsid w:val="002719FA"/>
    <w:rsid w:val="0027217E"/>
    <w:rsid w:val="00272668"/>
    <w:rsid w:val="0027330B"/>
    <w:rsid w:val="002745D4"/>
    <w:rsid w:val="002760FF"/>
    <w:rsid w:val="002765B7"/>
    <w:rsid w:val="002803AD"/>
    <w:rsid w:val="00282052"/>
    <w:rsid w:val="002831A3"/>
    <w:rsid w:val="00284AAA"/>
    <w:rsid w:val="0028519E"/>
    <w:rsid w:val="002856A5"/>
    <w:rsid w:val="002872ED"/>
    <w:rsid w:val="002902FE"/>
    <w:rsid w:val="002904B8"/>
    <w:rsid w:val="002905C2"/>
    <w:rsid w:val="00291B58"/>
    <w:rsid w:val="00292B0F"/>
    <w:rsid w:val="00293BAE"/>
    <w:rsid w:val="00294FC9"/>
    <w:rsid w:val="00295AF2"/>
    <w:rsid w:val="00295C91"/>
    <w:rsid w:val="00297151"/>
    <w:rsid w:val="00297579"/>
    <w:rsid w:val="002A1557"/>
    <w:rsid w:val="002A1FA3"/>
    <w:rsid w:val="002A7DCB"/>
    <w:rsid w:val="002B0B2C"/>
    <w:rsid w:val="002B20E6"/>
    <w:rsid w:val="002B2C84"/>
    <w:rsid w:val="002B3AA2"/>
    <w:rsid w:val="002B42A3"/>
    <w:rsid w:val="002C03AE"/>
    <w:rsid w:val="002C0CDD"/>
    <w:rsid w:val="002C108B"/>
    <w:rsid w:val="002C38C4"/>
    <w:rsid w:val="002C3DE0"/>
    <w:rsid w:val="002C76CC"/>
    <w:rsid w:val="002D19D4"/>
    <w:rsid w:val="002D2337"/>
    <w:rsid w:val="002D2983"/>
    <w:rsid w:val="002D3D21"/>
    <w:rsid w:val="002D61DC"/>
    <w:rsid w:val="002D6D12"/>
    <w:rsid w:val="002E0F80"/>
    <w:rsid w:val="002E1A1D"/>
    <w:rsid w:val="002E347C"/>
    <w:rsid w:val="002E4081"/>
    <w:rsid w:val="002E4189"/>
    <w:rsid w:val="002E5B78"/>
    <w:rsid w:val="002E63AA"/>
    <w:rsid w:val="002E6EE8"/>
    <w:rsid w:val="002F071D"/>
    <w:rsid w:val="002F18A0"/>
    <w:rsid w:val="002F3AE3"/>
    <w:rsid w:val="002F3B4B"/>
    <w:rsid w:val="00301C71"/>
    <w:rsid w:val="0030464B"/>
    <w:rsid w:val="00304939"/>
    <w:rsid w:val="00304B27"/>
    <w:rsid w:val="0030786C"/>
    <w:rsid w:val="003149FC"/>
    <w:rsid w:val="003167AE"/>
    <w:rsid w:val="00317916"/>
    <w:rsid w:val="003211DE"/>
    <w:rsid w:val="003233DE"/>
    <w:rsid w:val="003238F8"/>
    <w:rsid w:val="00323ECF"/>
    <w:rsid w:val="003241B2"/>
    <w:rsid w:val="0032466B"/>
    <w:rsid w:val="00330567"/>
    <w:rsid w:val="003307E9"/>
    <w:rsid w:val="0033191E"/>
    <w:rsid w:val="0033280F"/>
    <w:rsid w:val="003330EB"/>
    <w:rsid w:val="00333DCB"/>
    <w:rsid w:val="003344D4"/>
    <w:rsid w:val="00336FFC"/>
    <w:rsid w:val="003415FD"/>
    <w:rsid w:val="00341ECF"/>
    <w:rsid w:val="003420E1"/>
    <w:rsid w:val="00342466"/>
    <w:rsid w:val="003429F0"/>
    <w:rsid w:val="00343927"/>
    <w:rsid w:val="00344A1C"/>
    <w:rsid w:val="0034518D"/>
    <w:rsid w:val="00345A82"/>
    <w:rsid w:val="00346123"/>
    <w:rsid w:val="00350218"/>
    <w:rsid w:val="0035097A"/>
    <w:rsid w:val="00352204"/>
    <w:rsid w:val="0035224D"/>
    <w:rsid w:val="003540A4"/>
    <w:rsid w:val="00355A23"/>
    <w:rsid w:val="00356000"/>
    <w:rsid w:val="00357BCC"/>
    <w:rsid w:val="00360405"/>
    <w:rsid w:val="00360E4E"/>
    <w:rsid w:val="00361801"/>
    <w:rsid w:val="00361E5F"/>
    <w:rsid w:val="00361FF8"/>
    <w:rsid w:val="0036378C"/>
    <w:rsid w:val="00364636"/>
    <w:rsid w:val="0036549B"/>
    <w:rsid w:val="00367BAB"/>
    <w:rsid w:val="00367F5F"/>
    <w:rsid w:val="0037096D"/>
    <w:rsid w:val="00370AAA"/>
    <w:rsid w:val="003711CB"/>
    <w:rsid w:val="00375757"/>
    <w:rsid w:val="00375C7E"/>
    <w:rsid w:val="00375F77"/>
    <w:rsid w:val="00381BBE"/>
    <w:rsid w:val="00382903"/>
    <w:rsid w:val="003846FF"/>
    <w:rsid w:val="003857D4"/>
    <w:rsid w:val="00385AD4"/>
    <w:rsid w:val="00386AB6"/>
    <w:rsid w:val="00387924"/>
    <w:rsid w:val="00391F84"/>
    <w:rsid w:val="003922BA"/>
    <w:rsid w:val="0039384D"/>
    <w:rsid w:val="00395A9E"/>
    <w:rsid w:val="00395C23"/>
    <w:rsid w:val="003A05C4"/>
    <w:rsid w:val="003A2E4F"/>
    <w:rsid w:val="003A3FC9"/>
    <w:rsid w:val="003A4438"/>
    <w:rsid w:val="003A5013"/>
    <w:rsid w:val="003A5078"/>
    <w:rsid w:val="003A5081"/>
    <w:rsid w:val="003A62DD"/>
    <w:rsid w:val="003A775A"/>
    <w:rsid w:val="003B213A"/>
    <w:rsid w:val="003B2C11"/>
    <w:rsid w:val="003B3BF1"/>
    <w:rsid w:val="003B43AD"/>
    <w:rsid w:val="003C0FEC"/>
    <w:rsid w:val="003C18B2"/>
    <w:rsid w:val="003C2AC8"/>
    <w:rsid w:val="003C337B"/>
    <w:rsid w:val="003C4890"/>
    <w:rsid w:val="003C62F1"/>
    <w:rsid w:val="003C74C5"/>
    <w:rsid w:val="003D033A"/>
    <w:rsid w:val="003D1530"/>
    <w:rsid w:val="003D17F9"/>
    <w:rsid w:val="003D1DC4"/>
    <w:rsid w:val="003D22DB"/>
    <w:rsid w:val="003D2D88"/>
    <w:rsid w:val="003D41EA"/>
    <w:rsid w:val="003D4850"/>
    <w:rsid w:val="003D4F82"/>
    <w:rsid w:val="003D535A"/>
    <w:rsid w:val="003E0566"/>
    <w:rsid w:val="003E3D6B"/>
    <w:rsid w:val="003E5265"/>
    <w:rsid w:val="003E5675"/>
    <w:rsid w:val="003E70C6"/>
    <w:rsid w:val="003F0955"/>
    <w:rsid w:val="003F3680"/>
    <w:rsid w:val="003F4BB4"/>
    <w:rsid w:val="003F5620"/>
    <w:rsid w:val="003F57AE"/>
    <w:rsid w:val="003F5F4D"/>
    <w:rsid w:val="003F61DA"/>
    <w:rsid w:val="003F646F"/>
    <w:rsid w:val="00400F00"/>
    <w:rsid w:val="00401FFC"/>
    <w:rsid w:val="004025E8"/>
    <w:rsid w:val="00403F05"/>
    <w:rsid w:val="00404F8B"/>
    <w:rsid w:val="00405256"/>
    <w:rsid w:val="00407793"/>
    <w:rsid w:val="00410031"/>
    <w:rsid w:val="0041127E"/>
    <w:rsid w:val="00414D75"/>
    <w:rsid w:val="00415045"/>
    <w:rsid w:val="00415199"/>
    <w:rsid w:val="00415C81"/>
    <w:rsid w:val="00417554"/>
    <w:rsid w:val="00417584"/>
    <w:rsid w:val="004176A6"/>
    <w:rsid w:val="00417EEB"/>
    <w:rsid w:val="004214FC"/>
    <w:rsid w:val="00422938"/>
    <w:rsid w:val="00423570"/>
    <w:rsid w:val="00423B63"/>
    <w:rsid w:val="00424D1C"/>
    <w:rsid w:val="0042501A"/>
    <w:rsid w:val="0042583A"/>
    <w:rsid w:val="00427DA6"/>
    <w:rsid w:val="00430751"/>
    <w:rsid w:val="0043141E"/>
    <w:rsid w:val="00431886"/>
    <w:rsid w:val="00432378"/>
    <w:rsid w:val="004330F4"/>
    <w:rsid w:val="004334BB"/>
    <w:rsid w:val="004348BD"/>
    <w:rsid w:val="00436DBE"/>
    <w:rsid w:val="00436FF9"/>
    <w:rsid w:val="004403D4"/>
    <w:rsid w:val="00440B24"/>
    <w:rsid w:val="00440D65"/>
    <w:rsid w:val="00440E82"/>
    <w:rsid w:val="004418EE"/>
    <w:rsid w:val="0044231E"/>
    <w:rsid w:val="004435E6"/>
    <w:rsid w:val="004437DB"/>
    <w:rsid w:val="00444C98"/>
    <w:rsid w:val="0044686A"/>
    <w:rsid w:val="00447E31"/>
    <w:rsid w:val="00450203"/>
    <w:rsid w:val="00450C5D"/>
    <w:rsid w:val="00453923"/>
    <w:rsid w:val="00453E3D"/>
    <w:rsid w:val="00454244"/>
    <w:rsid w:val="00454B9B"/>
    <w:rsid w:val="00457858"/>
    <w:rsid w:val="00457CA9"/>
    <w:rsid w:val="00460B0B"/>
    <w:rsid w:val="00461023"/>
    <w:rsid w:val="00461507"/>
    <w:rsid w:val="00461A0F"/>
    <w:rsid w:val="0046264C"/>
    <w:rsid w:val="00462FAC"/>
    <w:rsid w:val="00464631"/>
    <w:rsid w:val="00464B79"/>
    <w:rsid w:val="0046510C"/>
    <w:rsid w:val="00467BBF"/>
    <w:rsid w:val="0047457C"/>
    <w:rsid w:val="00475230"/>
    <w:rsid w:val="004755D7"/>
    <w:rsid w:val="004813AA"/>
    <w:rsid w:val="00482A1B"/>
    <w:rsid w:val="0048441C"/>
    <w:rsid w:val="00484BBF"/>
    <w:rsid w:val="0048593C"/>
    <w:rsid w:val="004867E2"/>
    <w:rsid w:val="00486A4E"/>
    <w:rsid w:val="00487CF3"/>
    <w:rsid w:val="00490CF2"/>
    <w:rsid w:val="004929A9"/>
    <w:rsid w:val="004A13E2"/>
    <w:rsid w:val="004A3A7B"/>
    <w:rsid w:val="004A7116"/>
    <w:rsid w:val="004A78D9"/>
    <w:rsid w:val="004A7B22"/>
    <w:rsid w:val="004B6CCC"/>
    <w:rsid w:val="004B6D54"/>
    <w:rsid w:val="004B726B"/>
    <w:rsid w:val="004B739C"/>
    <w:rsid w:val="004C01EF"/>
    <w:rsid w:val="004C0A9B"/>
    <w:rsid w:val="004C1BCD"/>
    <w:rsid w:val="004C3487"/>
    <w:rsid w:val="004C34D9"/>
    <w:rsid w:val="004C4410"/>
    <w:rsid w:val="004C5B14"/>
    <w:rsid w:val="004C6BCF"/>
    <w:rsid w:val="004D0265"/>
    <w:rsid w:val="004D4F80"/>
    <w:rsid w:val="004D58BF"/>
    <w:rsid w:val="004D5C20"/>
    <w:rsid w:val="004E046E"/>
    <w:rsid w:val="004E2525"/>
    <w:rsid w:val="004E4335"/>
    <w:rsid w:val="004E5454"/>
    <w:rsid w:val="004E62BB"/>
    <w:rsid w:val="004E6E75"/>
    <w:rsid w:val="004E73D4"/>
    <w:rsid w:val="004E79B7"/>
    <w:rsid w:val="004F07FA"/>
    <w:rsid w:val="004F13EE"/>
    <w:rsid w:val="004F18E2"/>
    <w:rsid w:val="004F1FB3"/>
    <w:rsid w:val="004F2022"/>
    <w:rsid w:val="004F20CD"/>
    <w:rsid w:val="004F27F7"/>
    <w:rsid w:val="004F49D8"/>
    <w:rsid w:val="004F4A76"/>
    <w:rsid w:val="004F56B6"/>
    <w:rsid w:val="004F7C05"/>
    <w:rsid w:val="00500BA5"/>
    <w:rsid w:val="00501C94"/>
    <w:rsid w:val="005049F3"/>
    <w:rsid w:val="00506212"/>
    <w:rsid w:val="00506432"/>
    <w:rsid w:val="00506E82"/>
    <w:rsid w:val="0050795D"/>
    <w:rsid w:val="00510A35"/>
    <w:rsid w:val="0051102B"/>
    <w:rsid w:val="005112C2"/>
    <w:rsid w:val="0051293D"/>
    <w:rsid w:val="0051364B"/>
    <w:rsid w:val="00520286"/>
    <w:rsid w:val="0052051D"/>
    <w:rsid w:val="00522787"/>
    <w:rsid w:val="00523934"/>
    <w:rsid w:val="0052426F"/>
    <w:rsid w:val="00524541"/>
    <w:rsid w:val="0053049E"/>
    <w:rsid w:val="00530623"/>
    <w:rsid w:val="00530F92"/>
    <w:rsid w:val="005402F5"/>
    <w:rsid w:val="00541896"/>
    <w:rsid w:val="00542694"/>
    <w:rsid w:val="00545146"/>
    <w:rsid w:val="00545EE6"/>
    <w:rsid w:val="005465D8"/>
    <w:rsid w:val="00551C0D"/>
    <w:rsid w:val="0055333F"/>
    <w:rsid w:val="00553340"/>
    <w:rsid w:val="005550E7"/>
    <w:rsid w:val="00555E57"/>
    <w:rsid w:val="005564FB"/>
    <w:rsid w:val="005572C7"/>
    <w:rsid w:val="0056231C"/>
    <w:rsid w:val="00563775"/>
    <w:rsid w:val="005650ED"/>
    <w:rsid w:val="005658A9"/>
    <w:rsid w:val="00565E20"/>
    <w:rsid w:val="005661C1"/>
    <w:rsid w:val="00571C61"/>
    <w:rsid w:val="00572320"/>
    <w:rsid w:val="00572C56"/>
    <w:rsid w:val="00574160"/>
    <w:rsid w:val="00575754"/>
    <w:rsid w:val="00576730"/>
    <w:rsid w:val="00577255"/>
    <w:rsid w:val="0057778C"/>
    <w:rsid w:val="0058000E"/>
    <w:rsid w:val="005816B3"/>
    <w:rsid w:val="00581FBA"/>
    <w:rsid w:val="00582261"/>
    <w:rsid w:val="005844AE"/>
    <w:rsid w:val="00584801"/>
    <w:rsid w:val="00584996"/>
    <w:rsid w:val="005849C8"/>
    <w:rsid w:val="00584E36"/>
    <w:rsid w:val="00586B32"/>
    <w:rsid w:val="00590AFE"/>
    <w:rsid w:val="00591869"/>
    <w:rsid w:val="00591E20"/>
    <w:rsid w:val="00593010"/>
    <w:rsid w:val="00595408"/>
    <w:rsid w:val="00595E84"/>
    <w:rsid w:val="00596E6D"/>
    <w:rsid w:val="00597254"/>
    <w:rsid w:val="005A0B93"/>
    <w:rsid w:val="005A0C59"/>
    <w:rsid w:val="005A26FD"/>
    <w:rsid w:val="005A3438"/>
    <w:rsid w:val="005A48EB"/>
    <w:rsid w:val="005A6CFB"/>
    <w:rsid w:val="005B1D4F"/>
    <w:rsid w:val="005B248F"/>
    <w:rsid w:val="005B5569"/>
    <w:rsid w:val="005B5CCE"/>
    <w:rsid w:val="005B6057"/>
    <w:rsid w:val="005C0298"/>
    <w:rsid w:val="005C14A8"/>
    <w:rsid w:val="005C1D73"/>
    <w:rsid w:val="005C4AF6"/>
    <w:rsid w:val="005C5AEB"/>
    <w:rsid w:val="005C61E9"/>
    <w:rsid w:val="005C64F5"/>
    <w:rsid w:val="005C69EA"/>
    <w:rsid w:val="005C7F8B"/>
    <w:rsid w:val="005D0DFE"/>
    <w:rsid w:val="005D2166"/>
    <w:rsid w:val="005D229C"/>
    <w:rsid w:val="005D40DF"/>
    <w:rsid w:val="005D62AF"/>
    <w:rsid w:val="005E0A3F"/>
    <w:rsid w:val="005E2AD6"/>
    <w:rsid w:val="005E32F2"/>
    <w:rsid w:val="005E3637"/>
    <w:rsid w:val="005E3B17"/>
    <w:rsid w:val="005E4484"/>
    <w:rsid w:val="005E44D6"/>
    <w:rsid w:val="005E5157"/>
    <w:rsid w:val="005E6883"/>
    <w:rsid w:val="005E6DA0"/>
    <w:rsid w:val="005E772F"/>
    <w:rsid w:val="005F3959"/>
    <w:rsid w:val="005F4063"/>
    <w:rsid w:val="005F4ECA"/>
    <w:rsid w:val="005F4ED4"/>
    <w:rsid w:val="00600D74"/>
    <w:rsid w:val="006011E9"/>
    <w:rsid w:val="00603F93"/>
    <w:rsid w:val="006041BE"/>
    <w:rsid w:val="006043C7"/>
    <w:rsid w:val="00605F78"/>
    <w:rsid w:val="0060651F"/>
    <w:rsid w:val="00607A60"/>
    <w:rsid w:val="00607C4A"/>
    <w:rsid w:val="0061185F"/>
    <w:rsid w:val="00612D04"/>
    <w:rsid w:val="006133EE"/>
    <w:rsid w:val="00614DD3"/>
    <w:rsid w:val="00615AD2"/>
    <w:rsid w:val="00616F15"/>
    <w:rsid w:val="00621389"/>
    <w:rsid w:val="006237E8"/>
    <w:rsid w:val="00624648"/>
    <w:rsid w:val="00624B52"/>
    <w:rsid w:val="00626E5B"/>
    <w:rsid w:val="00627A51"/>
    <w:rsid w:val="006303DB"/>
    <w:rsid w:val="00630794"/>
    <w:rsid w:val="00631C51"/>
    <w:rsid w:val="00631DF4"/>
    <w:rsid w:val="00632C99"/>
    <w:rsid w:val="00633390"/>
    <w:rsid w:val="00634175"/>
    <w:rsid w:val="006346F8"/>
    <w:rsid w:val="00634A01"/>
    <w:rsid w:val="006368D7"/>
    <w:rsid w:val="006408AC"/>
    <w:rsid w:val="0064487B"/>
    <w:rsid w:val="00647B6E"/>
    <w:rsid w:val="006502D1"/>
    <w:rsid w:val="00650D34"/>
    <w:rsid w:val="00650D97"/>
    <w:rsid w:val="006511B6"/>
    <w:rsid w:val="00653FD9"/>
    <w:rsid w:val="00654A85"/>
    <w:rsid w:val="00655799"/>
    <w:rsid w:val="0065718C"/>
    <w:rsid w:val="00657FF8"/>
    <w:rsid w:val="00661BEE"/>
    <w:rsid w:val="00662653"/>
    <w:rsid w:val="006677EF"/>
    <w:rsid w:val="00670D99"/>
    <w:rsid w:val="00670E2B"/>
    <w:rsid w:val="00671763"/>
    <w:rsid w:val="00673043"/>
    <w:rsid w:val="006734BB"/>
    <w:rsid w:val="00673F44"/>
    <w:rsid w:val="0067443A"/>
    <w:rsid w:val="00674DC0"/>
    <w:rsid w:val="00674E3C"/>
    <w:rsid w:val="00675BD3"/>
    <w:rsid w:val="0067697A"/>
    <w:rsid w:val="006772A6"/>
    <w:rsid w:val="00677454"/>
    <w:rsid w:val="00677899"/>
    <w:rsid w:val="006813AB"/>
    <w:rsid w:val="00681D24"/>
    <w:rsid w:val="006821EB"/>
    <w:rsid w:val="006848B6"/>
    <w:rsid w:val="00684BE1"/>
    <w:rsid w:val="006868C5"/>
    <w:rsid w:val="006902EE"/>
    <w:rsid w:val="00691419"/>
    <w:rsid w:val="00691A9C"/>
    <w:rsid w:val="00694DAE"/>
    <w:rsid w:val="00694ED5"/>
    <w:rsid w:val="00696A22"/>
    <w:rsid w:val="006970C4"/>
    <w:rsid w:val="006A0910"/>
    <w:rsid w:val="006A3C45"/>
    <w:rsid w:val="006A5530"/>
    <w:rsid w:val="006A687E"/>
    <w:rsid w:val="006A757B"/>
    <w:rsid w:val="006B2286"/>
    <w:rsid w:val="006B56BB"/>
    <w:rsid w:val="006B66AC"/>
    <w:rsid w:val="006C1BDD"/>
    <w:rsid w:val="006C3E30"/>
    <w:rsid w:val="006C60AB"/>
    <w:rsid w:val="006C77A8"/>
    <w:rsid w:val="006D1D80"/>
    <w:rsid w:val="006D3380"/>
    <w:rsid w:val="006D4098"/>
    <w:rsid w:val="006D6C6F"/>
    <w:rsid w:val="006D7681"/>
    <w:rsid w:val="006D796E"/>
    <w:rsid w:val="006D7B2E"/>
    <w:rsid w:val="006D7C58"/>
    <w:rsid w:val="006E02EA"/>
    <w:rsid w:val="006E0493"/>
    <w:rsid w:val="006E071F"/>
    <w:rsid w:val="006E0968"/>
    <w:rsid w:val="006E0C35"/>
    <w:rsid w:val="006E2143"/>
    <w:rsid w:val="006E2AF6"/>
    <w:rsid w:val="006E2DDC"/>
    <w:rsid w:val="006E32BA"/>
    <w:rsid w:val="006E3649"/>
    <w:rsid w:val="006E65AD"/>
    <w:rsid w:val="006E7811"/>
    <w:rsid w:val="006F2652"/>
    <w:rsid w:val="006F274F"/>
    <w:rsid w:val="006F3A17"/>
    <w:rsid w:val="006F3EFA"/>
    <w:rsid w:val="006F57FB"/>
    <w:rsid w:val="006F5CCA"/>
    <w:rsid w:val="006F724C"/>
    <w:rsid w:val="006F7800"/>
    <w:rsid w:val="00701275"/>
    <w:rsid w:val="00702937"/>
    <w:rsid w:val="00703998"/>
    <w:rsid w:val="007053FA"/>
    <w:rsid w:val="007056FA"/>
    <w:rsid w:val="00707663"/>
    <w:rsid w:val="00707F56"/>
    <w:rsid w:val="00713558"/>
    <w:rsid w:val="0071569D"/>
    <w:rsid w:val="00716062"/>
    <w:rsid w:val="007163F4"/>
    <w:rsid w:val="00720D08"/>
    <w:rsid w:val="00723076"/>
    <w:rsid w:val="007263B9"/>
    <w:rsid w:val="007314DF"/>
    <w:rsid w:val="00733203"/>
    <w:rsid w:val="007334F8"/>
    <w:rsid w:val="007339CD"/>
    <w:rsid w:val="00734C05"/>
    <w:rsid w:val="007359D8"/>
    <w:rsid w:val="007362D4"/>
    <w:rsid w:val="00737D1E"/>
    <w:rsid w:val="007401D8"/>
    <w:rsid w:val="00742B0B"/>
    <w:rsid w:val="00743A45"/>
    <w:rsid w:val="00745E85"/>
    <w:rsid w:val="00752725"/>
    <w:rsid w:val="007536FC"/>
    <w:rsid w:val="007541FA"/>
    <w:rsid w:val="00755E3B"/>
    <w:rsid w:val="00756E45"/>
    <w:rsid w:val="0075726F"/>
    <w:rsid w:val="00760182"/>
    <w:rsid w:val="00760985"/>
    <w:rsid w:val="00761D27"/>
    <w:rsid w:val="00762059"/>
    <w:rsid w:val="00763995"/>
    <w:rsid w:val="00763F22"/>
    <w:rsid w:val="00766514"/>
    <w:rsid w:val="0076672A"/>
    <w:rsid w:val="00767B65"/>
    <w:rsid w:val="007728A1"/>
    <w:rsid w:val="00773DE7"/>
    <w:rsid w:val="00775E45"/>
    <w:rsid w:val="00776E74"/>
    <w:rsid w:val="00777145"/>
    <w:rsid w:val="0077731B"/>
    <w:rsid w:val="0077782D"/>
    <w:rsid w:val="00780781"/>
    <w:rsid w:val="007849E4"/>
    <w:rsid w:val="00785169"/>
    <w:rsid w:val="00790199"/>
    <w:rsid w:val="00792325"/>
    <w:rsid w:val="007954AB"/>
    <w:rsid w:val="0079552C"/>
    <w:rsid w:val="00795CF3"/>
    <w:rsid w:val="0079607E"/>
    <w:rsid w:val="007A0332"/>
    <w:rsid w:val="007A041B"/>
    <w:rsid w:val="007A14C5"/>
    <w:rsid w:val="007A4A10"/>
    <w:rsid w:val="007A4CFD"/>
    <w:rsid w:val="007A4FFE"/>
    <w:rsid w:val="007B0BD8"/>
    <w:rsid w:val="007B1760"/>
    <w:rsid w:val="007B5E06"/>
    <w:rsid w:val="007C040D"/>
    <w:rsid w:val="007C1FDC"/>
    <w:rsid w:val="007C56D5"/>
    <w:rsid w:val="007C6D9C"/>
    <w:rsid w:val="007C7DDB"/>
    <w:rsid w:val="007D25CD"/>
    <w:rsid w:val="007D2656"/>
    <w:rsid w:val="007D2CC7"/>
    <w:rsid w:val="007D3003"/>
    <w:rsid w:val="007D4826"/>
    <w:rsid w:val="007D633B"/>
    <w:rsid w:val="007D673D"/>
    <w:rsid w:val="007D70CA"/>
    <w:rsid w:val="007E0FB8"/>
    <w:rsid w:val="007E2528"/>
    <w:rsid w:val="007E4D09"/>
    <w:rsid w:val="007E74CF"/>
    <w:rsid w:val="007E7B41"/>
    <w:rsid w:val="007F0129"/>
    <w:rsid w:val="007F2220"/>
    <w:rsid w:val="007F40C1"/>
    <w:rsid w:val="007F4B3E"/>
    <w:rsid w:val="007F656E"/>
    <w:rsid w:val="007F67D4"/>
    <w:rsid w:val="007F7216"/>
    <w:rsid w:val="007F7859"/>
    <w:rsid w:val="007F78FF"/>
    <w:rsid w:val="00803584"/>
    <w:rsid w:val="00804595"/>
    <w:rsid w:val="0080742A"/>
    <w:rsid w:val="008102D2"/>
    <w:rsid w:val="00811661"/>
    <w:rsid w:val="008127AF"/>
    <w:rsid w:val="00812B46"/>
    <w:rsid w:val="00813B12"/>
    <w:rsid w:val="0081410C"/>
    <w:rsid w:val="008148D8"/>
    <w:rsid w:val="00815700"/>
    <w:rsid w:val="0081620E"/>
    <w:rsid w:val="00817F1D"/>
    <w:rsid w:val="0082246B"/>
    <w:rsid w:val="00822B4D"/>
    <w:rsid w:val="0082361C"/>
    <w:rsid w:val="008241CC"/>
    <w:rsid w:val="00825AEB"/>
    <w:rsid w:val="008264EB"/>
    <w:rsid w:val="00826B8F"/>
    <w:rsid w:val="00826F4D"/>
    <w:rsid w:val="00831E8A"/>
    <w:rsid w:val="00835C76"/>
    <w:rsid w:val="008376E2"/>
    <w:rsid w:val="00840522"/>
    <w:rsid w:val="00842497"/>
    <w:rsid w:val="0084299B"/>
    <w:rsid w:val="00842AB2"/>
    <w:rsid w:val="00843049"/>
    <w:rsid w:val="0084358D"/>
    <w:rsid w:val="008441C6"/>
    <w:rsid w:val="00844CCE"/>
    <w:rsid w:val="00845A43"/>
    <w:rsid w:val="00846D27"/>
    <w:rsid w:val="00847AB5"/>
    <w:rsid w:val="00847CF9"/>
    <w:rsid w:val="0085209B"/>
    <w:rsid w:val="00853052"/>
    <w:rsid w:val="00856068"/>
    <w:rsid w:val="00856B66"/>
    <w:rsid w:val="00857D71"/>
    <w:rsid w:val="008601AC"/>
    <w:rsid w:val="00861A5F"/>
    <w:rsid w:val="008644AD"/>
    <w:rsid w:val="00865735"/>
    <w:rsid w:val="00865DDB"/>
    <w:rsid w:val="00867538"/>
    <w:rsid w:val="00867DB2"/>
    <w:rsid w:val="008701FA"/>
    <w:rsid w:val="00872C12"/>
    <w:rsid w:val="00873D90"/>
    <w:rsid w:val="00873FC8"/>
    <w:rsid w:val="00874710"/>
    <w:rsid w:val="00874FE2"/>
    <w:rsid w:val="00876348"/>
    <w:rsid w:val="0088041F"/>
    <w:rsid w:val="008804C2"/>
    <w:rsid w:val="008812A9"/>
    <w:rsid w:val="00881985"/>
    <w:rsid w:val="00882846"/>
    <w:rsid w:val="00884C63"/>
    <w:rsid w:val="00885908"/>
    <w:rsid w:val="008864B7"/>
    <w:rsid w:val="008907B1"/>
    <w:rsid w:val="00890EF1"/>
    <w:rsid w:val="008918E5"/>
    <w:rsid w:val="00893EB4"/>
    <w:rsid w:val="0089677E"/>
    <w:rsid w:val="00897EB7"/>
    <w:rsid w:val="008A1239"/>
    <w:rsid w:val="008A194A"/>
    <w:rsid w:val="008A1B03"/>
    <w:rsid w:val="008A2223"/>
    <w:rsid w:val="008A6F13"/>
    <w:rsid w:val="008A6F84"/>
    <w:rsid w:val="008A7438"/>
    <w:rsid w:val="008B1334"/>
    <w:rsid w:val="008B25C7"/>
    <w:rsid w:val="008B5CFA"/>
    <w:rsid w:val="008B654F"/>
    <w:rsid w:val="008C0278"/>
    <w:rsid w:val="008C0791"/>
    <w:rsid w:val="008C1877"/>
    <w:rsid w:val="008C201B"/>
    <w:rsid w:val="008C24E9"/>
    <w:rsid w:val="008C32C8"/>
    <w:rsid w:val="008C3FF3"/>
    <w:rsid w:val="008C4426"/>
    <w:rsid w:val="008C64C0"/>
    <w:rsid w:val="008C64C1"/>
    <w:rsid w:val="008C78A5"/>
    <w:rsid w:val="008C7B5A"/>
    <w:rsid w:val="008D0533"/>
    <w:rsid w:val="008D1CD0"/>
    <w:rsid w:val="008D2CB0"/>
    <w:rsid w:val="008D326C"/>
    <w:rsid w:val="008D3E66"/>
    <w:rsid w:val="008D42CB"/>
    <w:rsid w:val="008D48C9"/>
    <w:rsid w:val="008D4B7A"/>
    <w:rsid w:val="008D4CCC"/>
    <w:rsid w:val="008D62F7"/>
    <w:rsid w:val="008D6381"/>
    <w:rsid w:val="008D6937"/>
    <w:rsid w:val="008D7256"/>
    <w:rsid w:val="008E0AF2"/>
    <w:rsid w:val="008E0C77"/>
    <w:rsid w:val="008E1D63"/>
    <w:rsid w:val="008E3354"/>
    <w:rsid w:val="008E3FE5"/>
    <w:rsid w:val="008E625F"/>
    <w:rsid w:val="008E7398"/>
    <w:rsid w:val="008E793B"/>
    <w:rsid w:val="008F264D"/>
    <w:rsid w:val="008F3187"/>
    <w:rsid w:val="008F32D4"/>
    <w:rsid w:val="00901EC5"/>
    <w:rsid w:val="00902AD1"/>
    <w:rsid w:val="009040E9"/>
    <w:rsid w:val="00904E71"/>
    <w:rsid w:val="00905F95"/>
    <w:rsid w:val="009074E1"/>
    <w:rsid w:val="00907587"/>
    <w:rsid w:val="00910673"/>
    <w:rsid w:val="00910FFA"/>
    <w:rsid w:val="009112F7"/>
    <w:rsid w:val="009122AF"/>
    <w:rsid w:val="00912D54"/>
    <w:rsid w:val="0091389F"/>
    <w:rsid w:val="00914714"/>
    <w:rsid w:val="00914D43"/>
    <w:rsid w:val="00916272"/>
    <w:rsid w:val="00916EEE"/>
    <w:rsid w:val="0091791A"/>
    <w:rsid w:val="00920827"/>
    <w:rsid w:val="009208F7"/>
    <w:rsid w:val="009211C1"/>
    <w:rsid w:val="00921649"/>
    <w:rsid w:val="0092181C"/>
    <w:rsid w:val="00922517"/>
    <w:rsid w:val="00922722"/>
    <w:rsid w:val="00922A54"/>
    <w:rsid w:val="00924A3D"/>
    <w:rsid w:val="009261B7"/>
    <w:rsid w:val="009261E6"/>
    <w:rsid w:val="0092643D"/>
    <w:rsid w:val="0092666A"/>
    <w:rsid w:val="009268E1"/>
    <w:rsid w:val="00927144"/>
    <w:rsid w:val="009271EE"/>
    <w:rsid w:val="00930643"/>
    <w:rsid w:val="00930B21"/>
    <w:rsid w:val="009310B6"/>
    <w:rsid w:val="00931320"/>
    <w:rsid w:val="009344AE"/>
    <w:rsid w:val="009344DE"/>
    <w:rsid w:val="00935CCF"/>
    <w:rsid w:val="00940756"/>
    <w:rsid w:val="00940A64"/>
    <w:rsid w:val="00940B1A"/>
    <w:rsid w:val="00940CFD"/>
    <w:rsid w:val="00944528"/>
    <w:rsid w:val="00945DCD"/>
    <w:rsid w:val="00945E7F"/>
    <w:rsid w:val="00952F3F"/>
    <w:rsid w:val="009557C1"/>
    <w:rsid w:val="00956616"/>
    <w:rsid w:val="009577D5"/>
    <w:rsid w:val="00960087"/>
    <w:rsid w:val="00960D6E"/>
    <w:rsid w:val="00963F9E"/>
    <w:rsid w:val="00965939"/>
    <w:rsid w:val="00965BCF"/>
    <w:rsid w:val="009677FF"/>
    <w:rsid w:val="00967C28"/>
    <w:rsid w:val="0097071A"/>
    <w:rsid w:val="00970B3F"/>
    <w:rsid w:val="00970B57"/>
    <w:rsid w:val="0097358C"/>
    <w:rsid w:val="00974B59"/>
    <w:rsid w:val="00975AC5"/>
    <w:rsid w:val="00975BCD"/>
    <w:rsid w:val="0097782E"/>
    <w:rsid w:val="0098093F"/>
    <w:rsid w:val="0098340B"/>
    <w:rsid w:val="00983ECB"/>
    <w:rsid w:val="009851A0"/>
    <w:rsid w:val="00986830"/>
    <w:rsid w:val="009904FF"/>
    <w:rsid w:val="0099173F"/>
    <w:rsid w:val="009924C3"/>
    <w:rsid w:val="00993102"/>
    <w:rsid w:val="00993ADD"/>
    <w:rsid w:val="009A6C0C"/>
    <w:rsid w:val="009B1570"/>
    <w:rsid w:val="009B42DC"/>
    <w:rsid w:val="009B6E27"/>
    <w:rsid w:val="009C00F3"/>
    <w:rsid w:val="009C2F8E"/>
    <w:rsid w:val="009C6A7A"/>
    <w:rsid w:val="009C6F10"/>
    <w:rsid w:val="009D1238"/>
    <w:rsid w:val="009D148F"/>
    <w:rsid w:val="009D1F09"/>
    <w:rsid w:val="009D202D"/>
    <w:rsid w:val="009D3D70"/>
    <w:rsid w:val="009E04E1"/>
    <w:rsid w:val="009E16C6"/>
    <w:rsid w:val="009E18A2"/>
    <w:rsid w:val="009E231F"/>
    <w:rsid w:val="009E274E"/>
    <w:rsid w:val="009E37E4"/>
    <w:rsid w:val="009E6782"/>
    <w:rsid w:val="009E68B1"/>
    <w:rsid w:val="009E6D2E"/>
    <w:rsid w:val="009E6F7E"/>
    <w:rsid w:val="009E79D5"/>
    <w:rsid w:val="009E7A57"/>
    <w:rsid w:val="009F32CF"/>
    <w:rsid w:val="009F3741"/>
    <w:rsid w:val="009F428F"/>
    <w:rsid w:val="009F4803"/>
    <w:rsid w:val="009F4AA6"/>
    <w:rsid w:val="009F4F6A"/>
    <w:rsid w:val="00A04B31"/>
    <w:rsid w:val="00A0753E"/>
    <w:rsid w:val="00A079F8"/>
    <w:rsid w:val="00A13EB5"/>
    <w:rsid w:val="00A16E36"/>
    <w:rsid w:val="00A20F82"/>
    <w:rsid w:val="00A24961"/>
    <w:rsid w:val="00A24B10"/>
    <w:rsid w:val="00A2681D"/>
    <w:rsid w:val="00A277EF"/>
    <w:rsid w:val="00A30DC1"/>
    <w:rsid w:val="00A30E9B"/>
    <w:rsid w:val="00A32F27"/>
    <w:rsid w:val="00A37175"/>
    <w:rsid w:val="00A403BC"/>
    <w:rsid w:val="00A429BA"/>
    <w:rsid w:val="00A4512D"/>
    <w:rsid w:val="00A45158"/>
    <w:rsid w:val="00A45390"/>
    <w:rsid w:val="00A453AC"/>
    <w:rsid w:val="00A45A23"/>
    <w:rsid w:val="00A46573"/>
    <w:rsid w:val="00A472EA"/>
    <w:rsid w:val="00A50244"/>
    <w:rsid w:val="00A5236F"/>
    <w:rsid w:val="00A52CB5"/>
    <w:rsid w:val="00A57375"/>
    <w:rsid w:val="00A57ED7"/>
    <w:rsid w:val="00A57ED9"/>
    <w:rsid w:val="00A6083D"/>
    <w:rsid w:val="00A610E0"/>
    <w:rsid w:val="00A61905"/>
    <w:rsid w:val="00A627D7"/>
    <w:rsid w:val="00A64F9A"/>
    <w:rsid w:val="00A656C7"/>
    <w:rsid w:val="00A65BF9"/>
    <w:rsid w:val="00A705AF"/>
    <w:rsid w:val="00A719F6"/>
    <w:rsid w:val="00A72454"/>
    <w:rsid w:val="00A73562"/>
    <w:rsid w:val="00A77696"/>
    <w:rsid w:val="00A80557"/>
    <w:rsid w:val="00A80C9A"/>
    <w:rsid w:val="00A8103F"/>
    <w:rsid w:val="00A81708"/>
    <w:rsid w:val="00A81D33"/>
    <w:rsid w:val="00A8341C"/>
    <w:rsid w:val="00A837E6"/>
    <w:rsid w:val="00A84D76"/>
    <w:rsid w:val="00A92DC5"/>
    <w:rsid w:val="00A930AE"/>
    <w:rsid w:val="00A94152"/>
    <w:rsid w:val="00A950EE"/>
    <w:rsid w:val="00A95453"/>
    <w:rsid w:val="00AA09A3"/>
    <w:rsid w:val="00AA1162"/>
    <w:rsid w:val="00AA188D"/>
    <w:rsid w:val="00AA1A95"/>
    <w:rsid w:val="00AA260F"/>
    <w:rsid w:val="00AA5810"/>
    <w:rsid w:val="00AA7E52"/>
    <w:rsid w:val="00AB0469"/>
    <w:rsid w:val="00AB1EE7"/>
    <w:rsid w:val="00AB4B37"/>
    <w:rsid w:val="00AB5762"/>
    <w:rsid w:val="00AB57C0"/>
    <w:rsid w:val="00AB6701"/>
    <w:rsid w:val="00AC0589"/>
    <w:rsid w:val="00AC1AA0"/>
    <w:rsid w:val="00AC25C0"/>
    <w:rsid w:val="00AC2679"/>
    <w:rsid w:val="00AC2964"/>
    <w:rsid w:val="00AC4BE4"/>
    <w:rsid w:val="00AC5642"/>
    <w:rsid w:val="00AD05E6"/>
    <w:rsid w:val="00AD0B60"/>
    <w:rsid w:val="00AD0D3F"/>
    <w:rsid w:val="00AD0EAC"/>
    <w:rsid w:val="00AD3E68"/>
    <w:rsid w:val="00AD471E"/>
    <w:rsid w:val="00AD6FF5"/>
    <w:rsid w:val="00AD79A5"/>
    <w:rsid w:val="00AE1D7D"/>
    <w:rsid w:val="00AE2A8B"/>
    <w:rsid w:val="00AE3F64"/>
    <w:rsid w:val="00AF1CE8"/>
    <w:rsid w:val="00AF61A9"/>
    <w:rsid w:val="00AF6FAB"/>
    <w:rsid w:val="00AF7386"/>
    <w:rsid w:val="00AF7934"/>
    <w:rsid w:val="00B00B81"/>
    <w:rsid w:val="00B043FD"/>
    <w:rsid w:val="00B04580"/>
    <w:rsid w:val="00B04585"/>
    <w:rsid w:val="00B04B09"/>
    <w:rsid w:val="00B04E4A"/>
    <w:rsid w:val="00B064F7"/>
    <w:rsid w:val="00B117A2"/>
    <w:rsid w:val="00B11E93"/>
    <w:rsid w:val="00B13085"/>
    <w:rsid w:val="00B16A51"/>
    <w:rsid w:val="00B22413"/>
    <w:rsid w:val="00B22DE5"/>
    <w:rsid w:val="00B23C59"/>
    <w:rsid w:val="00B25438"/>
    <w:rsid w:val="00B272E3"/>
    <w:rsid w:val="00B31FCA"/>
    <w:rsid w:val="00B32222"/>
    <w:rsid w:val="00B323ED"/>
    <w:rsid w:val="00B33937"/>
    <w:rsid w:val="00B33C55"/>
    <w:rsid w:val="00B36169"/>
    <w:rsid w:val="00B3618D"/>
    <w:rsid w:val="00B36233"/>
    <w:rsid w:val="00B3707F"/>
    <w:rsid w:val="00B426A7"/>
    <w:rsid w:val="00B42851"/>
    <w:rsid w:val="00B42934"/>
    <w:rsid w:val="00B43301"/>
    <w:rsid w:val="00B43B5C"/>
    <w:rsid w:val="00B43FAA"/>
    <w:rsid w:val="00B43FF3"/>
    <w:rsid w:val="00B440A0"/>
    <w:rsid w:val="00B45AC7"/>
    <w:rsid w:val="00B5265C"/>
    <w:rsid w:val="00B52736"/>
    <w:rsid w:val="00B5372F"/>
    <w:rsid w:val="00B53987"/>
    <w:rsid w:val="00B53D85"/>
    <w:rsid w:val="00B56789"/>
    <w:rsid w:val="00B576B2"/>
    <w:rsid w:val="00B57C98"/>
    <w:rsid w:val="00B61129"/>
    <w:rsid w:val="00B618EF"/>
    <w:rsid w:val="00B6352C"/>
    <w:rsid w:val="00B674C8"/>
    <w:rsid w:val="00B67E7F"/>
    <w:rsid w:val="00B71C89"/>
    <w:rsid w:val="00B7308D"/>
    <w:rsid w:val="00B74D0B"/>
    <w:rsid w:val="00B76704"/>
    <w:rsid w:val="00B80DFA"/>
    <w:rsid w:val="00B81A48"/>
    <w:rsid w:val="00B839B2"/>
    <w:rsid w:val="00B83E2C"/>
    <w:rsid w:val="00B91D5D"/>
    <w:rsid w:val="00B94252"/>
    <w:rsid w:val="00B96E0D"/>
    <w:rsid w:val="00B9715A"/>
    <w:rsid w:val="00BA0CDD"/>
    <w:rsid w:val="00BA14BE"/>
    <w:rsid w:val="00BA2732"/>
    <w:rsid w:val="00BA293D"/>
    <w:rsid w:val="00BA4788"/>
    <w:rsid w:val="00BA49BC"/>
    <w:rsid w:val="00BA56B7"/>
    <w:rsid w:val="00BA58FA"/>
    <w:rsid w:val="00BA72CF"/>
    <w:rsid w:val="00BA7A1E"/>
    <w:rsid w:val="00BB196F"/>
    <w:rsid w:val="00BB1B39"/>
    <w:rsid w:val="00BB1F88"/>
    <w:rsid w:val="00BB2DCF"/>
    <w:rsid w:val="00BB2F6C"/>
    <w:rsid w:val="00BB3875"/>
    <w:rsid w:val="00BB3EFC"/>
    <w:rsid w:val="00BB5860"/>
    <w:rsid w:val="00BB5882"/>
    <w:rsid w:val="00BB6AAD"/>
    <w:rsid w:val="00BC2683"/>
    <w:rsid w:val="00BC4502"/>
    <w:rsid w:val="00BC46E8"/>
    <w:rsid w:val="00BC4A19"/>
    <w:rsid w:val="00BC4E6D"/>
    <w:rsid w:val="00BC54F3"/>
    <w:rsid w:val="00BC7100"/>
    <w:rsid w:val="00BD0617"/>
    <w:rsid w:val="00BD11BE"/>
    <w:rsid w:val="00BD2AD4"/>
    <w:rsid w:val="00BD2AE5"/>
    <w:rsid w:val="00BD2E9B"/>
    <w:rsid w:val="00BD3AFE"/>
    <w:rsid w:val="00BD3BCF"/>
    <w:rsid w:val="00BD7E44"/>
    <w:rsid w:val="00BD7FB2"/>
    <w:rsid w:val="00BE006E"/>
    <w:rsid w:val="00BE0301"/>
    <w:rsid w:val="00BE091C"/>
    <w:rsid w:val="00BE22AC"/>
    <w:rsid w:val="00BE3100"/>
    <w:rsid w:val="00BE52A0"/>
    <w:rsid w:val="00BE77A8"/>
    <w:rsid w:val="00BE7B58"/>
    <w:rsid w:val="00BF201A"/>
    <w:rsid w:val="00BF5460"/>
    <w:rsid w:val="00BF6B28"/>
    <w:rsid w:val="00C00930"/>
    <w:rsid w:val="00C02145"/>
    <w:rsid w:val="00C04A3B"/>
    <w:rsid w:val="00C060AD"/>
    <w:rsid w:val="00C06CB9"/>
    <w:rsid w:val="00C113BF"/>
    <w:rsid w:val="00C113DC"/>
    <w:rsid w:val="00C12603"/>
    <w:rsid w:val="00C130BC"/>
    <w:rsid w:val="00C138DE"/>
    <w:rsid w:val="00C14BB3"/>
    <w:rsid w:val="00C152A1"/>
    <w:rsid w:val="00C15D34"/>
    <w:rsid w:val="00C16610"/>
    <w:rsid w:val="00C2176E"/>
    <w:rsid w:val="00C21897"/>
    <w:rsid w:val="00C23430"/>
    <w:rsid w:val="00C25402"/>
    <w:rsid w:val="00C271F2"/>
    <w:rsid w:val="00C27632"/>
    <w:rsid w:val="00C27ABA"/>
    <w:rsid w:val="00C27D67"/>
    <w:rsid w:val="00C30BD7"/>
    <w:rsid w:val="00C31877"/>
    <w:rsid w:val="00C33C73"/>
    <w:rsid w:val="00C37234"/>
    <w:rsid w:val="00C44F18"/>
    <w:rsid w:val="00C4631F"/>
    <w:rsid w:val="00C46BAE"/>
    <w:rsid w:val="00C47CDE"/>
    <w:rsid w:val="00C47D1F"/>
    <w:rsid w:val="00C50E16"/>
    <w:rsid w:val="00C51524"/>
    <w:rsid w:val="00C5175F"/>
    <w:rsid w:val="00C52F2A"/>
    <w:rsid w:val="00C53E2D"/>
    <w:rsid w:val="00C53FE7"/>
    <w:rsid w:val="00C542C6"/>
    <w:rsid w:val="00C544BA"/>
    <w:rsid w:val="00C54FD0"/>
    <w:rsid w:val="00C55258"/>
    <w:rsid w:val="00C562E8"/>
    <w:rsid w:val="00C57887"/>
    <w:rsid w:val="00C57CBB"/>
    <w:rsid w:val="00C630BE"/>
    <w:rsid w:val="00C63DCB"/>
    <w:rsid w:val="00C63DFB"/>
    <w:rsid w:val="00C67B37"/>
    <w:rsid w:val="00C67D3E"/>
    <w:rsid w:val="00C73387"/>
    <w:rsid w:val="00C760C5"/>
    <w:rsid w:val="00C77AF7"/>
    <w:rsid w:val="00C80068"/>
    <w:rsid w:val="00C819FA"/>
    <w:rsid w:val="00C82EEB"/>
    <w:rsid w:val="00C8370E"/>
    <w:rsid w:val="00C85046"/>
    <w:rsid w:val="00C971DC"/>
    <w:rsid w:val="00C9758D"/>
    <w:rsid w:val="00CA16B7"/>
    <w:rsid w:val="00CA2C1D"/>
    <w:rsid w:val="00CA4A58"/>
    <w:rsid w:val="00CA5852"/>
    <w:rsid w:val="00CA62AE"/>
    <w:rsid w:val="00CA6500"/>
    <w:rsid w:val="00CA6F26"/>
    <w:rsid w:val="00CA7B76"/>
    <w:rsid w:val="00CB10DD"/>
    <w:rsid w:val="00CB3FF3"/>
    <w:rsid w:val="00CB5B1A"/>
    <w:rsid w:val="00CC220B"/>
    <w:rsid w:val="00CC2397"/>
    <w:rsid w:val="00CC3B38"/>
    <w:rsid w:val="00CC3EAF"/>
    <w:rsid w:val="00CC4FE6"/>
    <w:rsid w:val="00CC5C43"/>
    <w:rsid w:val="00CC6AE9"/>
    <w:rsid w:val="00CD02AE"/>
    <w:rsid w:val="00CD2755"/>
    <w:rsid w:val="00CD2A4F"/>
    <w:rsid w:val="00CD57FD"/>
    <w:rsid w:val="00CD7949"/>
    <w:rsid w:val="00CE03CA"/>
    <w:rsid w:val="00CE06FD"/>
    <w:rsid w:val="00CE22F1"/>
    <w:rsid w:val="00CE265C"/>
    <w:rsid w:val="00CE31AF"/>
    <w:rsid w:val="00CE4516"/>
    <w:rsid w:val="00CE464B"/>
    <w:rsid w:val="00CE50F2"/>
    <w:rsid w:val="00CE6502"/>
    <w:rsid w:val="00CE7CFD"/>
    <w:rsid w:val="00CF0F0C"/>
    <w:rsid w:val="00CF2C22"/>
    <w:rsid w:val="00CF724E"/>
    <w:rsid w:val="00CF7D3C"/>
    <w:rsid w:val="00D00C1B"/>
    <w:rsid w:val="00D0166F"/>
    <w:rsid w:val="00D01F09"/>
    <w:rsid w:val="00D02398"/>
    <w:rsid w:val="00D02C2F"/>
    <w:rsid w:val="00D0304B"/>
    <w:rsid w:val="00D03597"/>
    <w:rsid w:val="00D06BF8"/>
    <w:rsid w:val="00D10010"/>
    <w:rsid w:val="00D10279"/>
    <w:rsid w:val="00D10DBD"/>
    <w:rsid w:val="00D11816"/>
    <w:rsid w:val="00D11C49"/>
    <w:rsid w:val="00D147EB"/>
    <w:rsid w:val="00D170F7"/>
    <w:rsid w:val="00D21B50"/>
    <w:rsid w:val="00D21EC8"/>
    <w:rsid w:val="00D22B3F"/>
    <w:rsid w:val="00D25F9E"/>
    <w:rsid w:val="00D271E8"/>
    <w:rsid w:val="00D27653"/>
    <w:rsid w:val="00D30EFE"/>
    <w:rsid w:val="00D34009"/>
    <w:rsid w:val="00D34667"/>
    <w:rsid w:val="00D34AFC"/>
    <w:rsid w:val="00D37F61"/>
    <w:rsid w:val="00D401E1"/>
    <w:rsid w:val="00D408B4"/>
    <w:rsid w:val="00D42138"/>
    <w:rsid w:val="00D44330"/>
    <w:rsid w:val="00D4596D"/>
    <w:rsid w:val="00D4614C"/>
    <w:rsid w:val="00D4640B"/>
    <w:rsid w:val="00D501FF"/>
    <w:rsid w:val="00D503E1"/>
    <w:rsid w:val="00D5074B"/>
    <w:rsid w:val="00D52091"/>
    <w:rsid w:val="00D524C8"/>
    <w:rsid w:val="00D55B47"/>
    <w:rsid w:val="00D55EFC"/>
    <w:rsid w:val="00D57A5C"/>
    <w:rsid w:val="00D62DDE"/>
    <w:rsid w:val="00D635ED"/>
    <w:rsid w:val="00D64478"/>
    <w:rsid w:val="00D66CCB"/>
    <w:rsid w:val="00D708D1"/>
    <w:rsid w:val="00D70E24"/>
    <w:rsid w:val="00D72B61"/>
    <w:rsid w:val="00D7559E"/>
    <w:rsid w:val="00D76241"/>
    <w:rsid w:val="00D83AB2"/>
    <w:rsid w:val="00D9152E"/>
    <w:rsid w:val="00D94522"/>
    <w:rsid w:val="00D9480C"/>
    <w:rsid w:val="00D9492D"/>
    <w:rsid w:val="00D96453"/>
    <w:rsid w:val="00D979D6"/>
    <w:rsid w:val="00DA1109"/>
    <w:rsid w:val="00DA1277"/>
    <w:rsid w:val="00DA2936"/>
    <w:rsid w:val="00DA3D1D"/>
    <w:rsid w:val="00DA3EDF"/>
    <w:rsid w:val="00DA4325"/>
    <w:rsid w:val="00DA6D41"/>
    <w:rsid w:val="00DB03FB"/>
    <w:rsid w:val="00DB32C2"/>
    <w:rsid w:val="00DB6286"/>
    <w:rsid w:val="00DB6325"/>
    <w:rsid w:val="00DB645F"/>
    <w:rsid w:val="00DB76E9"/>
    <w:rsid w:val="00DC0A67"/>
    <w:rsid w:val="00DC1D5E"/>
    <w:rsid w:val="00DC5220"/>
    <w:rsid w:val="00DC709E"/>
    <w:rsid w:val="00DD1F91"/>
    <w:rsid w:val="00DD2061"/>
    <w:rsid w:val="00DD3DB5"/>
    <w:rsid w:val="00DD47BF"/>
    <w:rsid w:val="00DD5739"/>
    <w:rsid w:val="00DD6EAE"/>
    <w:rsid w:val="00DD7DAB"/>
    <w:rsid w:val="00DE3355"/>
    <w:rsid w:val="00DE3929"/>
    <w:rsid w:val="00DE3CFC"/>
    <w:rsid w:val="00DE4C95"/>
    <w:rsid w:val="00DE5260"/>
    <w:rsid w:val="00DE53D6"/>
    <w:rsid w:val="00DE5763"/>
    <w:rsid w:val="00DE6613"/>
    <w:rsid w:val="00DE7EAA"/>
    <w:rsid w:val="00DF0C60"/>
    <w:rsid w:val="00DF2F6E"/>
    <w:rsid w:val="00DF446A"/>
    <w:rsid w:val="00DF486F"/>
    <w:rsid w:val="00DF4CE8"/>
    <w:rsid w:val="00DF5B5B"/>
    <w:rsid w:val="00DF7619"/>
    <w:rsid w:val="00E0004D"/>
    <w:rsid w:val="00E02655"/>
    <w:rsid w:val="00E039DD"/>
    <w:rsid w:val="00E042D8"/>
    <w:rsid w:val="00E0509F"/>
    <w:rsid w:val="00E07432"/>
    <w:rsid w:val="00E07951"/>
    <w:rsid w:val="00E07EE7"/>
    <w:rsid w:val="00E10E14"/>
    <w:rsid w:val="00E1103B"/>
    <w:rsid w:val="00E1137F"/>
    <w:rsid w:val="00E13D96"/>
    <w:rsid w:val="00E17B44"/>
    <w:rsid w:val="00E20037"/>
    <w:rsid w:val="00E20F27"/>
    <w:rsid w:val="00E22443"/>
    <w:rsid w:val="00E23670"/>
    <w:rsid w:val="00E25B1F"/>
    <w:rsid w:val="00E266E5"/>
    <w:rsid w:val="00E27ED2"/>
    <w:rsid w:val="00E27FEA"/>
    <w:rsid w:val="00E3075E"/>
    <w:rsid w:val="00E30931"/>
    <w:rsid w:val="00E32795"/>
    <w:rsid w:val="00E32A82"/>
    <w:rsid w:val="00E34265"/>
    <w:rsid w:val="00E3459F"/>
    <w:rsid w:val="00E356BB"/>
    <w:rsid w:val="00E4086F"/>
    <w:rsid w:val="00E42740"/>
    <w:rsid w:val="00E43B3C"/>
    <w:rsid w:val="00E447DE"/>
    <w:rsid w:val="00E50188"/>
    <w:rsid w:val="00E50BB3"/>
    <w:rsid w:val="00E515CB"/>
    <w:rsid w:val="00E51AAC"/>
    <w:rsid w:val="00E52260"/>
    <w:rsid w:val="00E5271A"/>
    <w:rsid w:val="00E538FF"/>
    <w:rsid w:val="00E568F7"/>
    <w:rsid w:val="00E56F34"/>
    <w:rsid w:val="00E639B6"/>
    <w:rsid w:val="00E6427B"/>
    <w:rsid w:val="00E6434B"/>
    <w:rsid w:val="00E6463D"/>
    <w:rsid w:val="00E65497"/>
    <w:rsid w:val="00E6753A"/>
    <w:rsid w:val="00E712C1"/>
    <w:rsid w:val="00E71E24"/>
    <w:rsid w:val="00E72E9B"/>
    <w:rsid w:val="00E73A0D"/>
    <w:rsid w:val="00E73B35"/>
    <w:rsid w:val="00E74DEB"/>
    <w:rsid w:val="00E8109B"/>
    <w:rsid w:val="00E84671"/>
    <w:rsid w:val="00E848D0"/>
    <w:rsid w:val="00E850C3"/>
    <w:rsid w:val="00E856FF"/>
    <w:rsid w:val="00E87DF2"/>
    <w:rsid w:val="00E904EA"/>
    <w:rsid w:val="00E91A9E"/>
    <w:rsid w:val="00E9462E"/>
    <w:rsid w:val="00E95562"/>
    <w:rsid w:val="00EA1AD8"/>
    <w:rsid w:val="00EA2C6E"/>
    <w:rsid w:val="00EA470E"/>
    <w:rsid w:val="00EA47A7"/>
    <w:rsid w:val="00EA57EB"/>
    <w:rsid w:val="00EB0F37"/>
    <w:rsid w:val="00EB1481"/>
    <w:rsid w:val="00EB3226"/>
    <w:rsid w:val="00EB3C77"/>
    <w:rsid w:val="00EB64E4"/>
    <w:rsid w:val="00EB7848"/>
    <w:rsid w:val="00EC0258"/>
    <w:rsid w:val="00EC1A00"/>
    <w:rsid w:val="00EC213A"/>
    <w:rsid w:val="00EC29EA"/>
    <w:rsid w:val="00EC7744"/>
    <w:rsid w:val="00EC7A3B"/>
    <w:rsid w:val="00EC7EFD"/>
    <w:rsid w:val="00ED0DAD"/>
    <w:rsid w:val="00ED0F46"/>
    <w:rsid w:val="00ED13F5"/>
    <w:rsid w:val="00ED2373"/>
    <w:rsid w:val="00ED3DF2"/>
    <w:rsid w:val="00EE0D4B"/>
    <w:rsid w:val="00EE1745"/>
    <w:rsid w:val="00EE1A24"/>
    <w:rsid w:val="00EE3E8A"/>
    <w:rsid w:val="00EE46D9"/>
    <w:rsid w:val="00EE4B89"/>
    <w:rsid w:val="00EE4F04"/>
    <w:rsid w:val="00EE6BA4"/>
    <w:rsid w:val="00EE745E"/>
    <w:rsid w:val="00EF08F8"/>
    <w:rsid w:val="00EF15B7"/>
    <w:rsid w:val="00EF3873"/>
    <w:rsid w:val="00EF58B8"/>
    <w:rsid w:val="00EF6EB7"/>
    <w:rsid w:val="00EF6ECA"/>
    <w:rsid w:val="00F00AFA"/>
    <w:rsid w:val="00F021E2"/>
    <w:rsid w:val="00F024E1"/>
    <w:rsid w:val="00F02AEA"/>
    <w:rsid w:val="00F06066"/>
    <w:rsid w:val="00F06828"/>
    <w:rsid w:val="00F06C10"/>
    <w:rsid w:val="00F1096F"/>
    <w:rsid w:val="00F12589"/>
    <w:rsid w:val="00F12595"/>
    <w:rsid w:val="00F134D9"/>
    <w:rsid w:val="00F1403D"/>
    <w:rsid w:val="00F14533"/>
    <w:rsid w:val="00F1463F"/>
    <w:rsid w:val="00F1601F"/>
    <w:rsid w:val="00F21302"/>
    <w:rsid w:val="00F219D1"/>
    <w:rsid w:val="00F229EA"/>
    <w:rsid w:val="00F23CC8"/>
    <w:rsid w:val="00F2430D"/>
    <w:rsid w:val="00F25FB9"/>
    <w:rsid w:val="00F264DD"/>
    <w:rsid w:val="00F27400"/>
    <w:rsid w:val="00F31B97"/>
    <w:rsid w:val="00F321DE"/>
    <w:rsid w:val="00F33777"/>
    <w:rsid w:val="00F35050"/>
    <w:rsid w:val="00F3778C"/>
    <w:rsid w:val="00F40648"/>
    <w:rsid w:val="00F40B3C"/>
    <w:rsid w:val="00F42A0E"/>
    <w:rsid w:val="00F4319F"/>
    <w:rsid w:val="00F44A77"/>
    <w:rsid w:val="00F455B3"/>
    <w:rsid w:val="00F45E1E"/>
    <w:rsid w:val="00F47DA2"/>
    <w:rsid w:val="00F5097C"/>
    <w:rsid w:val="00F511EE"/>
    <w:rsid w:val="00F519FC"/>
    <w:rsid w:val="00F5513B"/>
    <w:rsid w:val="00F56DE6"/>
    <w:rsid w:val="00F6239D"/>
    <w:rsid w:val="00F62F26"/>
    <w:rsid w:val="00F64710"/>
    <w:rsid w:val="00F64A58"/>
    <w:rsid w:val="00F65CF5"/>
    <w:rsid w:val="00F66213"/>
    <w:rsid w:val="00F66CF4"/>
    <w:rsid w:val="00F67E04"/>
    <w:rsid w:val="00F715D2"/>
    <w:rsid w:val="00F7274F"/>
    <w:rsid w:val="00F73AA7"/>
    <w:rsid w:val="00F73BAC"/>
    <w:rsid w:val="00F74E84"/>
    <w:rsid w:val="00F7524B"/>
    <w:rsid w:val="00F76FA8"/>
    <w:rsid w:val="00F77081"/>
    <w:rsid w:val="00F77130"/>
    <w:rsid w:val="00F772F0"/>
    <w:rsid w:val="00F80AB2"/>
    <w:rsid w:val="00F85224"/>
    <w:rsid w:val="00F9154F"/>
    <w:rsid w:val="00F93F08"/>
    <w:rsid w:val="00F94CED"/>
    <w:rsid w:val="00F951EF"/>
    <w:rsid w:val="00F97916"/>
    <w:rsid w:val="00FA02BB"/>
    <w:rsid w:val="00FA062F"/>
    <w:rsid w:val="00FA21E5"/>
    <w:rsid w:val="00FA2CEE"/>
    <w:rsid w:val="00FA318C"/>
    <w:rsid w:val="00FA47F3"/>
    <w:rsid w:val="00FA4B13"/>
    <w:rsid w:val="00FA5687"/>
    <w:rsid w:val="00FA7923"/>
    <w:rsid w:val="00FA7FE7"/>
    <w:rsid w:val="00FB0D08"/>
    <w:rsid w:val="00FB2B1A"/>
    <w:rsid w:val="00FB41C4"/>
    <w:rsid w:val="00FB46DA"/>
    <w:rsid w:val="00FB615F"/>
    <w:rsid w:val="00FB6F92"/>
    <w:rsid w:val="00FB7C96"/>
    <w:rsid w:val="00FC026E"/>
    <w:rsid w:val="00FC4FC2"/>
    <w:rsid w:val="00FC5124"/>
    <w:rsid w:val="00FC6B1E"/>
    <w:rsid w:val="00FC7412"/>
    <w:rsid w:val="00FC7D9D"/>
    <w:rsid w:val="00FD18FA"/>
    <w:rsid w:val="00FD21FF"/>
    <w:rsid w:val="00FD2326"/>
    <w:rsid w:val="00FD2EC3"/>
    <w:rsid w:val="00FD3796"/>
    <w:rsid w:val="00FD4240"/>
    <w:rsid w:val="00FD4731"/>
    <w:rsid w:val="00FD4F81"/>
    <w:rsid w:val="00FD6768"/>
    <w:rsid w:val="00FE082B"/>
    <w:rsid w:val="00FE2EAD"/>
    <w:rsid w:val="00FE3952"/>
    <w:rsid w:val="00FE43F7"/>
    <w:rsid w:val="00FF0AB0"/>
    <w:rsid w:val="00FF2610"/>
    <w:rsid w:val="00FF28AC"/>
    <w:rsid w:val="00FF2905"/>
    <w:rsid w:val="00FF3DD4"/>
    <w:rsid w:val="00FF4128"/>
    <w:rsid w:val="00FF777D"/>
    <w:rsid w:val="00FF7F62"/>
    <w:rsid w:val="069405E3"/>
    <w:rsid w:val="1AE3803B"/>
    <w:rsid w:val="2139F5D6"/>
    <w:rsid w:val="2C68B547"/>
    <w:rsid w:val="2F4D836D"/>
    <w:rsid w:val="32B05EBC"/>
    <w:rsid w:val="3A551744"/>
    <w:rsid w:val="3CAD9ABB"/>
    <w:rsid w:val="4A99EABC"/>
    <w:rsid w:val="5247C6C8"/>
    <w:rsid w:val="614A0522"/>
    <w:rsid w:val="6787AA36"/>
    <w:rsid w:val="67E3F18D"/>
    <w:rsid w:val="689894E1"/>
    <w:rsid w:val="6A92DA64"/>
    <w:rsid w:val="761834F8"/>
    <w:rsid w:val="770411DE"/>
    <w:rsid w:val="7BB5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49194"/>
  <w15:docId w15:val="{C20B8AA0-A733-4D91-B4D6-721FA393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B5882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3"/>
      </w:numPr>
    </w:pPr>
  </w:style>
  <w:style w:type="paragraph" w:styleId="ListNumber2">
    <w:name w:val="List Number 2"/>
    <w:basedOn w:val="ListBullet"/>
    <w:qFormat/>
    <w:rsid w:val="00A719F6"/>
    <w:pPr>
      <w:numPr>
        <w:numId w:val="2"/>
      </w:numPr>
      <w:tabs>
        <w:tab w:val="left" w:pos="340"/>
      </w:tabs>
    </w:pPr>
  </w:style>
  <w:style w:type="paragraph" w:styleId="ListBullet">
    <w:name w:val="List Bullet"/>
    <w:basedOn w:val="Normal"/>
    <w:qFormat/>
    <w:rsid w:val="00A719F6"/>
    <w:pPr>
      <w:numPr>
        <w:numId w:val="1"/>
      </w:numPr>
      <w:tabs>
        <w:tab w:val="left" w:pos="680"/>
      </w:tabs>
      <w:spacing w:before="60" w:after="60"/>
    </w:p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,Body text"/>
    <w:basedOn w:val="Normal"/>
    <w:link w:val="ListParagraphChar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4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uiPriority w:val="99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uiPriority w:val="99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B2C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760C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25AE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25A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5AEB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5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5AEB"/>
    <w:rPr>
      <w:rFonts w:ascii="Arial" w:hAnsi="Arial"/>
      <w:b/>
      <w:bCs/>
      <w:color w:val="000000" w:themeColor="text1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C055F"/>
    <w:rPr>
      <w:vertAlign w:val="superscript"/>
    </w:rPr>
  </w:style>
  <w:style w:type="paragraph" w:styleId="Revision">
    <w:name w:val="Revision"/>
    <w:hidden/>
    <w:uiPriority w:val="99"/>
    <w:semiHidden/>
    <w:rsid w:val="00CC3EAF"/>
    <w:rPr>
      <w:rFonts w:ascii="Arial" w:hAnsi="Arial"/>
      <w:color w:val="000000" w:themeColor="text1"/>
      <w:sz w:val="22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904E71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87E2A"/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7728A1"/>
    <w:rPr>
      <w:rFonts w:ascii="Arial" w:hAnsi="Arial"/>
      <w:color w:val="000000" w:themeColor="text1"/>
      <w:sz w:val="22"/>
      <w:szCs w:val="24"/>
      <w:lang w:eastAsia="en-US"/>
    </w:rPr>
  </w:style>
  <w:style w:type="character" w:customStyle="1" w:styleId="normaltextrun">
    <w:name w:val="normaltextrun"/>
    <w:basedOn w:val="DefaultParagraphFont"/>
    <w:rsid w:val="00772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www.legislation.gov.au/F2017L00313/latest/text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bs.gov.au/info/industry/pricing/minimum-stockholding-requirements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legislation.gov.au/C1953A00095/latest/text" TargetMode="External"/><Relationship Id="rId25" Type="http://schemas.openxmlformats.org/officeDocument/2006/relationships/hyperlink" Target="mailto:pbsstockholding@health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bs.gov.au/industry/pricing/medicines-supply-security-guarantee/Pharmaceutical-Benefits-Scheme-Minimum-Stockholding-Guidelines-published-21-Oct-2022.pdf" TargetMode="External"/><Relationship Id="rId20" Type="http://schemas.openxmlformats.org/officeDocument/2006/relationships/hyperlink" Target="https://www.pbs.gov.au/info/industry/pricing/medicines-supply-security-guarantee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pbs.gov.au/industry/pricing/medicines-supply-security-guarantee/Executive-Summary-of-the-12-month-Review-of-the-Minimum-Stockholding-Requirements.pdf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pbsstockholding@health.gov.au" TargetMode="External"/><Relationship Id="rId23" Type="http://schemas.openxmlformats.org/officeDocument/2006/relationships/hyperlink" Target="https://www.pbs.gov.au/info/industry/pricing/minimum-stockholding-requirements" TargetMode="External"/><Relationship Id="rId28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https://www.pbs.gov.au/industry/pricing/medicines-supply-security-guarantee/Pharmaceutical-Benefits-Scheme-Minimum-Stockholding-Guidelines-published-21-Oct-2022.pdf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bs.gov.au/industry/pricing/medicines-supply-security-guarantee/Minimum-Stockholding-Determination-Request-form-21-October-2022.docx" TargetMode="External"/><Relationship Id="rId22" Type="http://schemas.openxmlformats.org/officeDocument/2006/relationships/hyperlink" Target="https://www.pbs.gov.au/info/industry/pricing/minimum-stockholding-requirements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USTS\Downloads\Department%20of%20Health%20and%20Aged%20Care%20fact%20sheet%20template%20teal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27081d-fada-4d52-881b-68f42bb97241" xsi:nil="true"/>
    <lcf76f155ced4ddcb4097134ff3c332f xmlns="9e5c1668-581f-4ee2-a7dd-1be719054f32">
      <Terms xmlns="http://schemas.microsoft.com/office/infopath/2007/PartnerControls"/>
    </lcf76f155ced4ddcb4097134ff3c332f>
  </documentManagement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 M A T T E R S ! 4 7 3 1 7 2 6 3 . 3 < / d o c u m e n t i d >  
     < s e n d e r i d > G J H < / s e n d e r i d >  
     < s e n d e r e m a i l > G E O R G I A . H U N T @ M A D D O C K S . C O M . A U < / s e n d e r e m a i l >  
     < l a s t m o d i f i e d > 2 0 2 5 - 0 3 - 0 4 T 1 2 : 0 7 : 0 0 . 0 0 0 0 0 0 0 + 1 1 : 0 0 < / l a s t m o d i f i e d >  
     < d a t a b a s e > M A T T E R S 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F76FEC8E3454B8FE8DAC763F1737E" ma:contentTypeVersion="14" ma:contentTypeDescription="Create a new document." ma:contentTypeScope="" ma:versionID="dd88582205d504f6291f9905598c3feb">
  <xsd:schema xmlns:xsd="http://www.w3.org/2001/XMLSchema" xmlns:xs="http://www.w3.org/2001/XMLSchema" xmlns:p="http://schemas.microsoft.com/office/2006/metadata/properties" xmlns:ns2="9e5c1668-581f-4ee2-a7dd-1be719054f32" xmlns:ns3="9d27081d-fada-4d52-881b-68f42bb97241" targetNamespace="http://schemas.microsoft.com/office/2006/metadata/properties" ma:root="true" ma:fieldsID="7f60dd3d4f7332c59bdb7b666707fc47" ns2:_="" ns3:_="">
    <xsd:import namespace="9e5c1668-581f-4ee2-a7dd-1be719054f32"/>
    <xsd:import namespace="9d27081d-fada-4d52-881b-68f42bb9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1668-581f-4ee2-a7dd-1be719054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081d-fada-4d52-881b-68f42bb97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36e335-c527-4046-a2b2-84686c9a74b9}" ma:internalName="TaxCatchAll" ma:showField="CatchAllData" ma:web="9d27081d-fada-4d52-881b-68f42bb97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infopath/2007/PartnerControls"/>
    <ds:schemaRef ds:uri="http://purl.org/dc/terms/"/>
    <ds:schemaRef ds:uri="9e5c1668-581f-4ee2-a7dd-1be719054f32"/>
    <ds:schemaRef ds:uri="http://www.w3.org/XML/1998/namespace"/>
    <ds:schemaRef ds:uri="http://schemas.microsoft.com/office/2006/documentManagement/types"/>
    <ds:schemaRef ds:uri="9d27081d-fada-4d52-881b-68f42bb97241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A61E0C-7D5F-4772-AAB9-A5B0ABF75137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FBC58C-F32A-4088-9978-7EC2FA6D7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1668-581f-4ee2-a7dd-1be719054f32"/>
    <ds:schemaRef ds:uri="9d27081d-fada-4d52-881b-68f42bb9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of Health and Aged Care fact sheet template teal.dotx</Template>
  <TotalTime>22</TotalTime>
  <Pages>5</Pages>
  <Words>1331</Words>
  <Characters>8990</Characters>
  <Application>Microsoft Office Word</Application>
  <DocSecurity>0</DocSecurity>
  <Lines>74</Lines>
  <Paragraphs>20</Paragraphs>
  <ScaleCrop>false</ScaleCrop>
  <Company/>
  <LinksUpToDate>false</LinksUpToDate>
  <CharactersWithSpaces>10301</CharactersWithSpaces>
  <SharedDoc>false</SharedDoc>
  <HLinks>
    <vt:vector size="60" baseType="variant">
      <vt:variant>
        <vt:i4>1769579</vt:i4>
      </vt:variant>
      <vt:variant>
        <vt:i4>33</vt:i4>
      </vt:variant>
      <vt:variant>
        <vt:i4>0</vt:i4>
      </vt:variant>
      <vt:variant>
        <vt:i4>5</vt:i4>
      </vt:variant>
      <vt:variant>
        <vt:lpwstr>mailto:pbsstockholding@health.gov.au</vt:lpwstr>
      </vt:variant>
      <vt:variant>
        <vt:lpwstr/>
      </vt:variant>
      <vt:variant>
        <vt:i4>4784154</vt:i4>
      </vt:variant>
      <vt:variant>
        <vt:i4>30</vt:i4>
      </vt:variant>
      <vt:variant>
        <vt:i4>0</vt:i4>
      </vt:variant>
      <vt:variant>
        <vt:i4>5</vt:i4>
      </vt:variant>
      <vt:variant>
        <vt:lpwstr>https://www.pbs.gov.au/industry/pricing/medicines-supply-security-guarantee/Executive-Summary-of-the-12-month-Review-of-the-Minimum-Stockholding-Requirements.pdf</vt:lpwstr>
      </vt:variant>
      <vt:variant>
        <vt:lpwstr/>
      </vt:variant>
      <vt:variant>
        <vt:i4>5373960</vt:i4>
      </vt:variant>
      <vt:variant>
        <vt:i4>27</vt:i4>
      </vt:variant>
      <vt:variant>
        <vt:i4>0</vt:i4>
      </vt:variant>
      <vt:variant>
        <vt:i4>5</vt:i4>
      </vt:variant>
      <vt:variant>
        <vt:lpwstr>https://www.pbs.gov.au/info/industry/pricing/medicines-supply-security-guarantee</vt:lpwstr>
      </vt:variant>
      <vt:variant>
        <vt:lpwstr/>
      </vt:variant>
      <vt:variant>
        <vt:i4>5308445</vt:i4>
      </vt:variant>
      <vt:variant>
        <vt:i4>24</vt:i4>
      </vt:variant>
      <vt:variant>
        <vt:i4>0</vt:i4>
      </vt:variant>
      <vt:variant>
        <vt:i4>5</vt:i4>
      </vt:variant>
      <vt:variant>
        <vt:lpwstr>https://www.pbs.gov.au/industry/pricing/medicines-supply-security-guarantee/Pharmaceutical-Benefits-Scheme-Minimum-Stockholding-Guidelines-published-21-Oct-2022.pdf</vt:lpwstr>
      </vt:variant>
      <vt:variant>
        <vt:lpwstr/>
      </vt:variant>
      <vt:variant>
        <vt:i4>2949180</vt:i4>
      </vt:variant>
      <vt:variant>
        <vt:i4>21</vt:i4>
      </vt:variant>
      <vt:variant>
        <vt:i4>0</vt:i4>
      </vt:variant>
      <vt:variant>
        <vt:i4>5</vt:i4>
      </vt:variant>
      <vt:variant>
        <vt:lpwstr>https://www.legislation.gov.au/F2017L00313/latest/text</vt:lpwstr>
      </vt:variant>
      <vt:variant>
        <vt:lpwstr/>
      </vt:variant>
      <vt:variant>
        <vt:i4>2097214</vt:i4>
      </vt:variant>
      <vt:variant>
        <vt:i4>18</vt:i4>
      </vt:variant>
      <vt:variant>
        <vt:i4>0</vt:i4>
      </vt:variant>
      <vt:variant>
        <vt:i4>5</vt:i4>
      </vt:variant>
      <vt:variant>
        <vt:lpwstr>https://www.legislation.gov.au/C1953A00095/latest/text</vt:lpwstr>
      </vt:variant>
      <vt:variant>
        <vt:lpwstr/>
      </vt:variant>
      <vt:variant>
        <vt:i4>5308445</vt:i4>
      </vt:variant>
      <vt:variant>
        <vt:i4>9</vt:i4>
      </vt:variant>
      <vt:variant>
        <vt:i4>0</vt:i4>
      </vt:variant>
      <vt:variant>
        <vt:i4>5</vt:i4>
      </vt:variant>
      <vt:variant>
        <vt:lpwstr>https://www.pbs.gov.au/industry/pricing/medicines-supply-security-guarantee/Pharmaceutical-Benefits-Scheme-Minimum-Stockholding-Guidelines-published-21-Oct-2022.pdf</vt:lpwstr>
      </vt:variant>
      <vt:variant>
        <vt:lpwstr/>
      </vt:variant>
      <vt:variant>
        <vt:i4>1769579</vt:i4>
      </vt:variant>
      <vt:variant>
        <vt:i4>6</vt:i4>
      </vt:variant>
      <vt:variant>
        <vt:i4>0</vt:i4>
      </vt:variant>
      <vt:variant>
        <vt:i4>5</vt:i4>
      </vt:variant>
      <vt:variant>
        <vt:lpwstr>mailto:pbsstockholding@health.gov.au</vt:lpwstr>
      </vt:variant>
      <vt:variant>
        <vt:lpwstr/>
      </vt:variant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https://www.pbs.gov.au/industry/pricing/medicines-supply-security-guarantee/Minimum-Stockholding-Determination-Request-form-21-October-2022.docx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_Short-_to_medium-term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 (teal)</dc:title>
  <dc:subject/>
  <dc:creator>POUSTIE, Sarah</dc:creator>
  <cp:keywords/>
  <cp:lastModifiedBy>MOSKWA, Lee</cp:lastModifiedBy>
  <cp:revision>35</cp:revision>
  <cp:lastPrinted>2025-03-12T02:28:00Z</cp:lastPrinted>
  <dcterms:created xsi:type="dcterms:W3CDTF">2025-03-04T21:56:00Z</dcterms:created>
  <dcterms:modified xsi:type="dcterms:W3CDTF">2025-03-12T02:29:00Z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0x010100984F76FEC8E3454B8FE8DAC763F1737E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33366af3-1a16-4eef-937d-3293887031f4</vt:lpwstr>
  </property>
  <property fmtid="{D5CDD505-2E9C-101B-9397-08002B2CF9AE}" pid="7" name="Keywords1">
    <vt:lpwstr>45;#Factsheet|e6399178-8246-423e-9818-2fbb787c959a;#4;# Visual identity|a54ebda2-a0fd-45ec-8fc0-1cf31001b526</vt:lpwstr>
  </property>
  <property fmtid="{D5CDD505-2E9C-101B-9397-08002B2CF9AE}" pid="8" name="Information type">
    <vt:lpwstr>42;#Template|0635ea83-9a41-497c-9b11-d9d7178dcab7</vt:lpwstr>
  </property>
  <property fmtid="{D5CDD505-2E9C-101B-9397-08002B2CF9AE}" pid="9" name="MediaServiceImageTags">
    <vt:lpwstr/>
  </property>
  <property fmtid="{D5CDD505-2E9C-101B-9397-08002B2CF9AE}" pid="10" name="Contact">
    <vt:lpwstr>89;#designteam@health.gov.au|08e901f7-7c65-407e-b680-5c7872e4b1fa</vt:lpwstr>
  </property>
  <property fmtid="{D5CDD505-2E9C-101B-9397-08002B2CF9AE}" pid="11" name="cb2019c76ecc464c80d551fda75bd74e">
    <vt:lpwstr>PCPD CC Corporate Communication SN|73cff0d0-7b20-43e0-ad96-75a3b55de641</vt:lpwstr>
  </property>
  <property fmtid="{D5CDD505-2E9C-101B-9397-08002B2CF9AE}" pid="12" name="p76df81b8fed4a2fa2af18761f9ff90d">
    <vt:lpwstr>Factsheet|e6399178-8246-423e-9818-2fbb787c959a; Visual identity|a54ebda2-a0fd-45ec-8fc0-1cf31001b526</vt:lpwstr>
  </property>
  <property fmtid="{D5CDD505-2E9C-101B-9397-08002B2CF9AE}" pid="13" name="Intranet">
    <vt:bool>true</vt:bool>
  </property>
  <property fmtid="{D5CDD505-2E9C-101B-9397-08002B2CF9AE}" pid="14" name="Int_x002d_InformationType">
    <vt:lpwstr/>
  </property>
  <property fmtid="{D5CDD505-2E9C-101B-9397-08002B2CF9AE}" pid="15" name="pfd27f99efda4409b63228bea026394d">
    <vt:lpwstr>Template|0635ea83-9a41-497c-9b11-d9d7178dcab7</vt:lpwstr>
  </property>
  <property fmtid="{D5CDD505-2E9C-101B-9397-08002B2CF9AE}" pid="16" name="Int_x002d_Topics">
    <vt:lpwstr/>
  </property>
  <property fmtid="{D5CDD505-2E9C-101B-9397-08002B2CF9AE}" pid="17" name="Last reviewed">
    <vt:filetime>2023-05-10T14:00:00Z</vt:filetime>
  </property>
  <property fmtid="{D5CDD505-2E9C-101B-9397-08002B2CF9AE}" pid="18" name="jf042baad2b143719d8a0cfd36411dfb">
    <vt:lpwstr>designteam@health.gov.au|08e901f7-7c65-407e-b680-5c7872e4b1fa</vt:lpwstr>
  </property>
  <property fmtid="{D5CDD505-2E9C-101B-9397-08002B2CF9AE}" pid="19" name="Int_x002d_Contact">
    <vt:lpwstr/>
  </property>
  <property fmtid="{D5CDD505-2E9C-101B-9397-08002B2CF9AE}" pid="20" name="Int-Contact">
    <vt:lpwstr>89;#|08e901f7-7c65-407e-b680-5c7872e4b1fa</vt:lpwstr>
  </property>
  <property fmtid="{D5CDD505-2E9C-101B-9397-08002B2CF9AE}" pid="21" name="Int-InformationType">
    <vt:lpwstr>42;#|0635ea83-9a41-497c-9b11-d9d7178dcab7</vt:lpwstr>
  </property>
  <property fmtid="{D5CDD505-2E9C-101B-9397-08002B2CF9AE}" pid="22" name="Int-Topics">
    <vt:lpwstr>45;#Factsheet|e6399178-8246-423e-9818-2fbb787c959a;#4;#visual identity|a54ebda2-a0fd-45ec-8fc0-1cf31001b526</vt:lpwstr>
  </property>
  <property fmtid="{D5CDD505-2E9C-101B-9397-08002B2CF9AE}" pid="23" name="lcf76f155ced4ddcb4097134ff3c332f">
    <vt:lpwstr/>
  </property>
  <property fmtid="{D5CDD505-2E9C-101B-9397-08002B2CF9AE}" pid="24" name="iManageFooter">
    <vt:lpwstr>[9238081:47317263_3]</vt:lpwstr>
  </property>
</Properties>
</file>