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E97C" w14:textId="468AF843" w:rsidR="000D31AD" w:rsidRDefault="00015F51" w:rsidP="000D31AD">
      <w:pPr>
        <w:pStyle w:val="Paragraphtext"/>
        <w:rPr>
          <w:sz w:val="72"/>
          <w:szCs w:val="72"/>
        </w:rPr>
      </w:pPr>
      <w:r>
        <w:rPr>
          <w:noProof/>
          <w:lang w:eastAsia="en-AU"/>
        </w:rPr>
        <w:drawing>
          <wp:anchor distT="0" distB="0" distL="114300" distR="114300" simplePos="0" relativeHeight="251656192" behindDoc="1" locked="0" layoutInCell="1" allowOverlap="1" wp14:anchorId="3BBDBDF0" wp14:editId="597035B3">
            <wp:simplePos x="0" y="0"/>
            <wp:positionH relativeFrom="page">
              <wp:posOffset>-635</wp:posOffset>
            </wp:positionH>
            <wp:positionV relativeFrom="page">
              <wp:posOffset>635</wp:posOffset>
            </wp:positionV>
            <wp:extent cx="7558405" cy="10691495"/>
            <wp:effectExtent l="0" t="0" r="444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r w:rsidR="004B3753" w:rsidRPr="001F4DF0">
        <w:rPr>
          <w:b/>
          <w:bCs/>
          <w:noProof/>
          <w:sz w:val="56"/>
          <w:szCs w:val="56"/>
          <w:shd w:val="clear" w:color="auto" w:fill="E6E6E6"/>
        </w:rPr>
        <mc:AlternateContent>
          <mc:Choice Requires="wps">
            <w:drawing>
              <wp:anchor distT="0" distB="0" distL="114300" distR="114300" simplePos="0" relativeHeight="251653120" behindDoc="1" locked="0" layoutInCell="1" allowOverlap="1" wp14:anchorId="7F30D1D6" wp14:editId="2E926B59">
                <wp:simplePos x="0" y="0"/>
                <wp:positionH relativeFrom="margin">
                  <wp:posOffset>-447239</wp:posOffset>
                </wp:positionH>
                <wp:positionV relativeFrom="paragraph">
                  <wp:posOffset>450007</wp:posOffset>
                </wp:positionV>
                <wp:extent cx="6858000" cy="238485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2384855"/>
                        </a:xfrm>
                        <a:prstGeom prst="rect">
                          <a:avLst/>
                        </a:prstGeom>
                        <a:gradFill>
                          <a:gsLst>
                            <a:gs pos="20000">
                              <a:srgbClr val="D6DBE2"/>
                            </a:gs>
                            <a:gs pos="6000">
                              <a:srgbClr val="BAC4D1"/>
                            </a:gs>
                            <a:gs pos="0">
                              <a:schemeClr val="tx2">
                                <a:lumMod val="40000"/>
                                <a:lumOff val="60000"/>
                              </a:schemeClr>
                            </a:gs>
                            <a:gs pos="100000">
                              <a:srgbClr val="F1F2F2">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8225D" w14:textId="77777777" w:rsidR="0081013F" w:rsidRDefault="0081013F" w:rsidP="0081013F">
                            <w:pPr>
                              <w:jc w:val="center"/>
                            </w:pPr>
                          </w:p>
                        </w:txbxContent>
                      </wps:txbx>
                      <wps:bodyPr rtlCol="0" anchor="ctr"/>
                    </wps:wsp>
                  </a:graphicData>
                </a:graphic>
              </wp:anchor>
            </w:drawing>
          </mc:Choice>
          <mc:Fallback>
            <w:pict>
              <v:rect w14:anchorId="7F30D1D6" id="Rectangle 12" o:spid="_x0000_s1026" alt="&quot;&quot;" style="position:absolute;left:0;text-align:left;margin-left:-35.2pt;margin-top:35.45pt;width:540pt;height:187.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" fillcolor="#acb9ca [1311]" stroked="f" strokeweight="1pt">
                <v:fill opacity="0" color2="#f1f2f2" angle="90" colors="0 #adb9ca;3932f #bac4d1;13107f #d6dbe2;1 #f1f2f2" focus="100%" type="gradient">
                  <o:fill v:ext="view" type="gradientUnscaled"/>
                </v:fill>
                <v:textbox>
                  <w:txbxContent>
                    <w:p w14:paraId="43E8225D" w14:textId="77777777" w:rsidR="0081013F" w:rsidRDefault="0081013F" w:rsidP="0081013F">
                      <w:pPr>
                        <w:jc w:val="center"/>
                      </w:pPr>
                    </w:p>
                  </w:txbxContent>
                </v:textbox>
                <w10:wrap anchorx="margin"/>
              </v:rect>
            </w:pict>
          </mc:Fallback>
        </mc:AlternateContent>
      </w:r>
      <w:bookmarkStart w:id="0" w:name="_Hlk172013368"/>
      <w:bookmarkEnd w:id="0"/>
    </w:p>
    <w:p w14:paraId="2F87AFF0" w14:textId="55D23B52" w:rsidR="0081013F" w:rsidRPr="001F4DF0" w:rsidRDefault="00015F51" w:rsidP="00406522">
      <w:pPr>
        <w:pStyle w:val="TableText"/>
        <w:jc w:val="left"/>
        <w:rPr>
          <w:b w:val="0"/>
          <w:bCs w:val="0"/>
          <w:sz w:val="56"/>
          <w:szCs w:val="56"/>
          <w:lang w:val="en-US"/>
        </w:rPr>
      </w:pPr>
      <w:r w:rsidRPr="00E87D73">
        <w:rPr>
          <w:b w:val="0"/>
          <w:sz w:val="56"/>
          <w:szCs w:val="56"/>
        </w:rPr>
        <w:t>Executive Summary</w:t>
      </w:r>
      <w:r w:rsidR="0004394F" w:rsidRPr="00E87D73">
        <w:rPr>
          <w:b w:val="0"/>
          <w:sz w:val="56"/>
          <w:szCs w:val="56"/>
        </w:rPr>
        <w:t xml:space="preserve"> </w:t>
      </w:r>
      <w:r w:rsidR="006D67A4">
        <w:rPr>
          <w:b w:val="0"/>
          <w:sz w:val="56"/>
          <w:szCs w:val="56"/>
        </w:rPr>
        <w:t>–</w:t>
      </w:r>
      <w:r w:rsidR="00A12237" w:rsidRPr="00E87D73">
        <w:rPr>
          <w:b w:val="0"/>
          <w:sz w:val="56"/>
          <w:szCs w:val="56"/>
        </w:rPr>
        <w:t xml:space="preserve"> </w:t>
      </w:r>
      <w:r w:rsidR="0081013F" w:rsidRPr="001F4DF0">
        <w:rPr>
          <w:b w:val="0"/>
          <w:bCs w:val="0"/>
          <w:sz w:val="56"/>
          <w:szCs w:val="56"/>
        </w:rPr>
        <w:t>Review of the Minimum Stockholding Requirements</w:t>
      </w:r>
    </w:p>
    <w:p w14:paraId="4FD17060" w14:textId="77777777" w:rsidR="00862DE5" w:rsidRDefault="00862DE5" w:rsidP="00862DE5">
      <w:pPr>
        <w:pStyle w:val="Paragraphtext"/>
        <w:rPr>
          <w:i/>
          <w:iCs/>
          <w:color w:val="0070C0"/>
          <w:sz w:val="28"/>
          <w:szCs w:val="28"/>
          <w:lang w:val="en-US"/>
        </w:rPr>
      </w:pPr>
    </w:p>
    <w:p w14:paraId="17623E67" w14:textId="46BCB0A4" w:rsidR="0081013F" w:rsidRPr="00862DE5" w:rsidRDefault="00862DE5" w:rsidP="00862DE5">
      <w:pPr>
        <w:pStyle w:val="Paragraphtext"/>
        <w:rPr>
          <w:i/>
          <w:iCs/>
          <w:color w:val="0070C0"/>
          <w:sz w:val="36"/>
          <w:szCs w:val="36"/>
          <w:lang w:val="en-US"/>
        </w:rPr>
      </w:pPr>
      <w:r w:rsidRPr="00862DE5">
        <w:rPr>
          <w:i/>
          <w:iCs/>
          <w:color w:val="0070C0"/>
          <w:sz w:val="36"/>
          <w:szCs w:val="36"/>
          <w:lang w:val="en-US"/>
        </w:rPr>
        <w:t>Early review of the 12-month progress and outcomes</w:t>
      </w:r>
    </w:p>
    <w:p w14:paraId="0C9A3B11" w14:textId="77777777" w:rsidR="00845017" w:rsidRDefault="00845017" w:rsidP="00F60211">
      <w:pPr>
        <w:pStyle w:val="Paragraphtext"/>
        <w:rPr>
          <w:lang w:eastAsia="en-AU"/>
        </w:rPr>
      </w:pPr>
    </w:p>
    <w:p w14:paraId="7C326596" w14:textId="77777777" w:rsidR="00362DBD" w:rsidRDefault="00362DBD" w:rsidP="002947D7">
      <w:pPr>
        <w:pStyle w:val="Heading2"/>
        <w:rPr>
          <w:rFonts w:ascii="Calibri" w:eastAsia="Calibri" w:hAnsi="Calibri" w:cs="Calibri"/>
          <w:b/>
          <w:bCs/>
        </w:rPr>
        <w:sectPr w:rsidR="00362DBD" w:rsidSect="00885D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bookmarkStart w:id="1" w:name="_Executive_summary"/>
      <w:bookmarkStart w:id="2" w:name="_Toc172184632"/>
      <w:bookmarkEnd w:id="1"/>
    </w:p>
    <w:p w14:paraId="2E453F12" w14:textId="30049FE4" w:rsidR="002947D7" w:rsidRDefault="002947D7" w:rsidP="002947D7">
      <w:pPr>
        <w:pStyle w:val="Heading2"/>
        <w:rPr>
          <w:rFonts w:ascii="Calibri" w:eastAsia="Calibri" w:hAnsi="Calibri" w:cs="Calibri"/>
          <w:b/>
          <w:bCs/>
        </w:rPr>
      </w:pPr>
      <w:r w:rsidRPr="0A1C59C7">
        <w:rPr>
          <w:rFonts w:ascii="Calibri" w:eastAsia="Calibri" w:hAnsi="Calibri" w:cs="Calibri"/>
          <w:b/>
          <w:bCs/>
        </w:rPr>
        <w:lastRenderedPageBreak/>
        <w:t>Executive summary</w:t>
      </w:r>
      <w:bookmarkEnd w:id="2"/>
    </w:p>
    <w:p w14:paraId="263D351C" w14:textId="1CD841D5" w:rsidR="0064369D" w:rsidRDefault="002947D7" w:rsidP="005E2059">
      <w:pPr>
        <w:pStyle w:val="Paragraphtext"/>
        <w:rPr>
          <w:rStyle w:val="cf01"/>
          <w:rFonts w:asciiTheme="minorHAnsi" w:hAnsiTheme="minorHAnsi" w:cstheme="minorBidi"/>
          <w:sz w:val="22"/>
          <w:szCs w:val="22"/>
        </w:rPr>
      </w:pPr>
      <w:r w:rsidRPr="00533B7B">
        <w:t>From 1 July 2023</w:t>
      </w:r>
      <w:r w:rsidR="00DF014B">
        <w:t xml:space="preserve">, </w:t>
      </w:r>
      <w:r w:rsidR="00B46091">
        <w:t xml:space="preserve">certain </w:t>
      </w:r>
      <w:r w:rsidR="00DF014B" w:rsidRPr="33F53471">
        <w:rPr>
          <w:rStyle w:val="cf01"/>
          <w:rFonts w:asciiTheme="minorHAnsi" w:hAnsiTheme="minorHAnsi" w:cstheme="minorBidi"/>
          <w:sz w:val="22"/>
          <w:szCs w:val="22"/>
        </w:rPr>
        <w:t>medicine</w:t>
      </w:r>
      <w:r w:rsidR="00B46091" w:rsidRPr="33F53471">
        <w:rPr>
          <w:rStyle w:val="cf01"/>
          <w:rFonts w:asciiTheme="minorHAnsi" w:hAnsiTheme="minorHAnsi" w:cstheme="minorBidi"/>
          <w:sz w:val="22"/>
          <w:szCs w:val="22"/>
        </w:rPr>
        <w:t>s</w:t>
      </w:r>
      <w:r w:rsidR="00401FE6" w:rsidRPr="33F53471">
        <w:rPr>
          <w:rStyle w:val="cf01"/>
          <w:rFonts w:asciiTheme="minorHAnsi" w:hAnsiTheme="minorHAnsi" w:cstheme="minorBidi"/>
          <w:sz w:val="22"/>
          <w:szCs w:val="22"/>
        </w:rPr>
        <w:t xml:space="preserve"> </w:t>
      </w:r>
      <w:r w:rsidR="00401FE6" w:rsidRPr="00533B7B">
        <w:t>listed on the P</w:t>
      </w:r>
      <w:r w:rsidR="00401FE6">
        <w:t xml:space="preserve">harmaceutical </w:t>
      </w:r>
      <w:r w:rsidR="00401FE6" w:rsidRPr="00533B7B">
        <w:t>B</w:t>
      </w:r>
      <w:r w:rsidR="00401FE6">
        <w:t xml:space="preserve">enefits </w:t>
      </w:r>
      <w:r w:rsidR="00401FE6" w:rsidRPr="00533B7B">
        <w:t>S</w:t>
      </w:r>
      <w:r w:rsidR="00401FE6">
        <w:t>cheme (</w:t>
      </w:r>
      <w:r w:rsidR="00401FE6" w:rsidRPr="00D85A04">
        <w:rPr>
          <w:b/>
        </w:rPr>
        <w:t>PBS</w:t>
      </w:r>
      <w:r w:rsidR="00401FE6">
        <w:t>)</w:t>
      </w:r>
      <w:r w:rsidR="00DF014B" w:rsidRPr="33F53471">
        <w:rPr>
          <w:rStyle w:val="cf01"/>
          <w:rFonts w:asciiTheme="minorHAnsi" w:hAnsiTheme="minorHAnsi" w:cstheme="minorBidi"/>
          <w:sz w:val="22"/>
          <w:szCs w:val="22"/>
        </w:rPr>
        <w:t xml:space="preserve"> </w:t>
      </w:r>
      <w:r w:rsidR="008A5AE4" w:rsidRPr="33F53471">
        <w:rPr>
          <w:rStyle w:val="cf01"/>
          <w:rFonts w:asciiTheme="minorHAnsi" w:hAnsiTheme="minorHAnsi" w:cstheme="minorBidi"/>
          <w:sz w:val="22"/>
          <w:szCs w:val="22"/>
        </w:rPr>
        <w:t xml:space="preserve">referred to as </w:t>
      </w:r>
      <w:r w:rsidR="008A5AE4" w:rsidRPr="00533B7B">
        <w:t>‘</w:t>
      </w:r>
      <w:hyperlink r:id="rId15" w:history="1">
        <w:r w:rsidR="008A5AE4" w:rsidRPr="00533B7B">
          <w:rPr>
            <w:rStyle w:val="Hyperlink"/>
          </w:rPr>
          <w:t>Designated Brands</w:t>
        </w:r>
      </w:hyperlink>
      <w:r w:rsidR="008A5AE4" w:rsidRPr="00533B7B">
        <w:t>’</w:t>
      </w:r>
      <w:r w:rsidR="008A5AE4">
        <w:t xml:space="preserve"> are subject to </w:t>
      </w:r>
      <w:r w:rsidR="00E529E2">
        <w:t xml:space="preserve">a </w:t>
      </w:r>
      <w:r w:rsidR="008A5AE4" w:rsidRPr="00533B7B">
        <w:t>M</w:t>
      </w:r>
      <w:r w:rsidR="008A5AE4">
        <w:t xml:space="preserve">inimum </w:t>
      </w:r>
      <w:r w:rsidR="008A5AE4" w:rsidRPr="00533B7B">
        <w:t>S</w:t>
      </w:r>
      <w:r w:rsidR="008A5AE4">
        <w:t xml:space="preserve">tockholding </w:t>
      </w:r>
      <w:r w:rsidR="008A5AE4" w:rsidRPr="00533B7B">
        <w:t>R</w:t>
      </w:r>
      <w:r w:rsidR="008A5AE4">
        <w:t>equirement (</w:t>
      </w:r>
      <w:r w:rsidR="008A5AE4" w:rsidRPr="00F608F5">
        <w:rPr>
          <w:b/>
          <w:bCs/>
        </w:rPr>
        <w:t>MSR</w:t>
      </w:r>
      <w:r w:rsidR="008A5AE4">
        <w:t>).</w:t>
      </w:r>
      <w:r w:rsidR="00FB255E">
        <w:t xml:space="preserve"> Under the MSR,</w:t>
      </w:r>
      <w:r w:rsidR="008A5AE4" w:rsidRPr="00533B7B">
        <w:t xml:space="preserve"> </w:t>
      </w:r>
      <w:r w:rsidR="00DF014B" w:rsidRPr="33F53471">
        <w:rPr>
          <w:rStyle w:val="cf01"/>
          <w:rFonts w:asciiTheme="minorHAnsi" w:hAnsiTheme="minorHAnsi" w:cstheme="minorBidi"/>
          <w:sz w:val="22"/>
          <w:szCs w:val="22"/>
        </w:rPr>
        <w:t>companies (referred to as ‘Responsible Persons’ (</w:t>
      </w:r>
      <w:r w:rsidR="00DF014B" w:rsidRPr="33F53471">
        <w:rPr>
          <w:rStyle w:val="cf01"/>
          <w:rFonts w:asciiTheme="minorHAnsi" w:hAnsiTheme="minorHAnsi" w:cstheme="minorBidi"/>
          <w:b/>
          <w:sz w:val="22"/>
          <w:szCs w:val="22"/>
        </w:rPr>
        <w:t>RP</w:t>
      </w:r>
      <w:r w:rsidR="00DF014B" w:rsidRPr="33F53471">
        <w:rPr>
          <w:rStyle w:val="cf01"/>
          <w:rFonts w:asciiTheme="minorHAnsi" w:hAnsiTheme="minorHAnsi" w:cstheme="minorBidi"/>
          <w:sz w:val="22"/>
          <w:szCs w:val="22"/>
        </w:rPr>
        <w:t>s</w:t>
      </w:r>
      <w:r w:rsidR="00DF014B" w:rsidRPr="1D957235">
        <w:rPr>
          <w:rStyle w:val="cf01"/>
          <w:rFonts w:asciiTheme="minorHAnsi" w:hAnsiTheme="minorHAnsi" w:cstheme="minorBidi"/>
          <w:sz w:val="22"/>
          <w:szCs w:val="22"/>
        </w:rPr>
        <w:t>))</w:t>
      </w:r>
      <w:r w:rsidR="00DF014B" w:rsidDel="00CF3279">
        <w:t xml:space="preserve"> </w:t>
      </w:r>
      <w:r w:rsidR="00285B43">
        <w:t>are</w:t>
      </w:r>
      <w:r w:rsidRPr="00533B7B">
        <w:t xml:space="preserve"> required to hold a minimum of either four or six months of stock </w:t>
      </w:r>
      <w:r w:rsidR="00FB255E">
        <w:t>that is</w:t>
      </w:r>
      <w:r w:rsidRPr="00533B7B">
        <w:t xml:space="preserve"> ‘available for sale’ in Australia by the </w:t>
      </w:r>
      <w:r w:rsidRPr="00B8379A">
        <w:t>RP</w:t>
      </w:r>
      <w:r w:rsidR="00FB255E">
        <w:t>.</w:t>
      </w:r>
      <w:r w:rsidRPr="00533B7B">
        <w:t xml:space="preserve"> </w:t>
      </w:r>
      <w:r w:rsidR="007A0C22" w:rsidRPr="33F53471">
        <w:rPr>
          <w:rStyle w:val="cf01"/>
          <w:rFonts w:asciiTheme="minorHAnsi" w:hAnsiTheme="minorHAnsi" w:cstheme="minorBidi"/>
          <w:sz w:val="22"/>
          <w:szCs w:val="22"/>
        </w:rPr>
        <w:t>These supply buffers are intended to ensure better continuity of supply in the Australian market and allow additional time for global supply disruptions to be resolved including through identifying alternative sources of supply wherever possible.</w:t>
      </w:r>
    </w:p>
    <w:p w14:paraId="319EC29A" w14:textId="4457A79E" w:rsidR="002947D7" w:rsidRDefault="004850B3" w:rsidP="005E2059">
      <w:pPr>
        <w:pStyle w:val="Paragraphtext"/>
      </w:pPr>
      <w:r w:rsidRPr="004850B3">
        <w:t xml:space="preserve">The </w:t>
      </w:r>
      <w:r>
        <w:t>MSR</w:t>
      </w:r>
      <w:r w:rsidR="0064369D">
        <w:t xml:space="preserve"> is a component of the </w:t>
      </w:r>
      <w:hyperlink w:anchor="_The_Medicines_Supply" w:history="1">
        <w:r w:rsidR="0064369D" w:rsidRPr="00017000">
          <w:rPr>
            <w:rStyle w:val="Hyperlink"/>
            <w:bCs/>
          </w:rPr>
          <w:t>Medicines Supply Security Guarantee</w:t>
        </w:r>
      </w:hyperlink>
      <w:r w:rsidR="0064369D" w:rsidRPr="006F6D48">
        <w:rPr>
          <w:b/>
        </w:rPr>
        <w:t xml:space="preserve"> (MSSG)</w:t>
      </w:r>
      <w:r w:rsidR="0064369D" w:rsidRPr="00B8379A">
        <w:rPr>
          <w:bCs/>
        </w:rPr>
        <w:t>, which</w:t>
      </w:r>
      <w:r w:rsidR="0064369D">
        <w:t xml:space="preserve"> </w:t>
      </w:r>
      <w:r w:rsidR="00EE20CA">
        <w:t xml:space="preserve">was </w:t>
      </w:r>
      <w:r w:rsidRPr="004850B3">
        <w:t xml:space="preserve">agreed through the </w:t>
      </w:r>
      <w:hyperlink r:id="rId16">
        <w:r w:rsidRPr="004850B3">
          <w:rPr>
            <w:rStyle w:val="Hyperlink"/>
          </w:rPr>
          <w:t xml:space="preserve">2022-2027 Strategic Agreements </w:t>
        </w:r>
      </w:hyperlink>
      <w:r w:rsidRPr="004850B3">
        <w:t>between the Commonwealth and M</w:t>
      </w:r>
      <w:r>
        <w:t xml:space="preserve">edicines </w:t>
      </w:r>
      <w:r w:rsidRPr="004850B3">
        <w:t>A</w:t>
      </w:r>
      <w:r>
        <w:t>ustralia</w:t>
      </w:r>
      <w:r w:rsidRPr="004850B3">
        <w:t xml:space="preserve"> </w:t>
      </w:r>
      <w:r>
        <w:t>(</w:t>
      </w:r>
      <w:r w:rsidRPr="00B8379A">
        <w:rPr>
          <w:b/>
          <w:bCs/>
        </w:rPr>
        <w:t>MA</w:t>
      </w:r>
      <w:r>
        <w:t xml:space="preserve">) </w:t>
      </w:r>
      <w:r w:rsidRPr="004850B3">
        <w:t>and the G</w:t>
      </w:r>
      <w:r>
        <w:t xml:space="preserve">eneric and </w:t>
      </w:r>
      <w:r w:rsidRPr="004850B3">
        <w:t>B</w:t>
      </w:r>
      <w:r>
        <w:t xml:space="preserve">iosimilar </w:t>
      </w:r>
      <w:r w:rsidRPr="004850B3">
        <w:t>M</w:t>
      </w:r>
      <w:r>
        <w:t xml:space="preserve">edicines </w:t>
      </w:r>
      <w:r w:rsidRPr="004850B3">
        <w:t>A</w:t>
      </w:r>
      <w:r>
        <w:t>ssociation (</w:t>
      </w:r>
      <w:r w:rsidRPr="00B8379A">
        <w:rPr>
          <w:b/>
          <w:bCs/>
        </w:rPr>
        <w:t>GBMA</w:t>
      </w:r>
      <w:r>
        <w:t>)</w:t>
      </w:r>
      <w:r w:rsidR="00E668DD">
        <w:t>. The</w:t>
      </w:r>
      <w:r w:rsidR="00BB43CD">
        <w:t xml:space="preserve"> MSSG </w:t>
      </w:r>
      <w:r w:rsidR="00866C51">
        <w:t>i</w:t>
      </w:r>
      <w:r w:rsidR="00BB43CD">
        <w:t xml:space="preserve">s designed </w:t>
      </w:r>
      <w:r w:rsidR="0064369D">
        <w:t xml:space="preserve"> </w:t>
      </w:r>
      <w:r w:rsidR="0064369D" w:rsidRPr="7CD4DEB6">
        <w:t xml:space="preserve">to address the supply risks associated with lower-cost </w:t>
      </w:r>
      <w:r w:rsidR="0064369D">
        <w:t xml:space="preserve">multi-branded </w:t>
      </w:r>
      <w:r w:rsidR="0064369D" w:rsidRPr="7CD4DEB6">
        <w:t>medicines that can be more vulnerable to supply disruptions</w:t>
      </w:r>
      <w:r w:rsidR="0064369D">
        <w:t>. The Agreement with the GBMA</w:t>
      </w:r>
      <w:r w:rsidR="00EE20CA">
        <w:t xml:space="preserve"> includes a commitment to </w:t>
      </w:r>
      <w:r w:rsidR="001C3BE3">
        <w:t>review the</w:t>
      </w:r>
      <w:r w:rsidR="009D1043">
        <w:t xml:space="preserve"> </w:t>
      </w:r>
      <w:r w:rsidR="00C44D7C">
        <w:t>12-month</w:t>
      </w:r>
      <w:r w:rsidR="001C3BE3">
        <w:t xml:space="preserve"> progress and outcomes of the MSR</w:t>
      </w:r>
      <w:r w:rsidR="009D1043">
        <w:t>.</w:t>
      </w:r>
    </w:p>
    <w:p w14:paraId="330EECEE" w14:textId="18936BE7" w:rsidR="003451AF" w:rsidRPr="006E5427" w:rsidRDefault="00221528" w:rsidP="005E2059">
      <w:pPr>
        <w:pStyle w:val="Paragraphtext"/>
      </w:pPr>
      <w:hyperlink w:anchor="_Attachment_1:_Background" w:history="1">
        <w:r w:rsidR="003451AF" w:rsidRPr="00DE1F61">
          <w:rPr>
            <w:rStyle w:val="Hyperlink"/>
            <w:rFonts w:cstheme="minorBidi"/>
            <w:b/>
            <w:bCs/>
          </w:rPr>
          <w:t>Attachment 1</w:t>
        </w:r>
      </w:hyperlink>
      <w:r w:rsidR="003451AF">
        <w:rPr>
          <w:rStyle w:val="cf01"/>
          <w:rFonts w:asciiTheme="minorHAnsi" w:hAnsiTheme="minorHAnsi" w:cstheme="minorBidi"/>
          <w:sz w:val="22"/>
          <w:szCs w:val="22"/>
        </w:rPr>
        <w:t xml:space="preserve"> provides background </w:t>
      </w:r>
      <w:r w:rsidR="00A71503">
        <w:rPr>
          <w:rStyle w:val="cf01"/>
          <w:rFonts w:asciiTheme="minorHAnsi" w:hAnsiTheme="minorHAnsi" w:cstheme="minorBidi"/>
          <w:sz w:val="22"/>
          <w:szCs w:val="22"/>
        </w:rPr>
        <w:t xml:space="preserve">on the </w:t>
      </w:r>
      <w:r w:rsidR="003451AF">
        <w:rPr>
          <w:rStyle w:val="cf01"/>
          <w:rFonts w:asciiTheme="minorHAnsi" w:hAnsiTheme="minorHAnsi" w:cstheme="minorBidi"/>
          <w:sz w:val="22"/>
          <w:szCs w:val="22"/>
        </w:rPr>
        <w:t>MSR.</w:t>
      </w:r>
      <w:r w:rsidR="002B23DC">
        <w:rPr>
          <w:rStyle w:val="cf01"/>
          <w:rFonts w:asciiTheme="minorHAnsi" w:hAnsiTheme="minorHAnsi" w:cstheme="minorBidi"/>
          <w:sz w:val="22"/>
          <w:szCs w:val="22"/>
        </w:rPr>
        <w:t xml:space="preserve"> </w:t>
      </w:r>
      <w:hyperlink w:anchor="_Attachment_2:_PBS" w:history="1">
        <w:r w:rsidR="002B23DC" w:rsidRPr="002B35DC">
          <w:rPr>
            <w:rStyle w:val="Hyperlink"/>
            <w:rFonts w:cstheme="minorBidi"/>
            <w:b/>
            <w:bCs/>
          </w:rPr>
          <w:t>Attachment 2</w:t>
        </w:r>
      </w:hyperlink>
      <w:r w:rsidR="002B23DC">
        <w:rPr>
          <w:rStyle w:val="cf01"/>
          <w:rFonts w:asciiTheme="minorHAnsi" w:hAnsiTheme="minorHAnsi" w:cstheme="minorBidi"/>
          <w:sz w:val="22"/>
          <w:szCs w:val="22"/>
        </w:rPr>
        <w:t xml:space="preserve"> provides background </w:t>
      </w:r>
      <w:r w:rsidR="00B727F8">
        <w:rPr>
          <w:rStyle w:val="cf01"/>
          <w:rFonts w:asciiTheme="minorHAnsi" w:hAnsiTheme="minorHAnsi" w:cstheme="minorBidi"/>
          <w:sz w:val="22"/>
          <w:szCs w:val="22"/>
        </w:rPr>
        <w:t>o</w:t>
      </w:r>
      <w:r w:rsidR="00A71503">
        <w:rPr>
          <w:rStyle w:val="cf01"/>
          <w:rFonts w:asciiTheme="minorHAnsi" w:hAnsiTheme="minorHAnsi" w:cstheme="minorBidi"/>
          <w:sz w:val="22"/>
          <w:szCs w:val="22"/>
        </w:rPr>
        <w:t>n</w:t>
      </w:r>
      <w:r w:rsidR="00B727F8">
        <w:rPr>
          <w:rStyle w:val="cf01"/>
          <w:rFonts w:asciiTheme="minorHAnsi" w:hAnsiTheme="minorHAnsi" w:cstheme="minorBidi"/>
          <w:sz w:val="22"/>
          <w:szCs w:val="22"/>
        </w:rPr>
        <w:t xml:space="preserve"> </w:t>
      </w:r>
      <w:r w:rsidR="00613B42">
        <w:rPr>
          <w:rStyle w:val="cf01"/>
          <w:rFonts w:asciiTheme="minorHAnsi" w:hAnsiTheme="minorHAnsi" w:cstheme="minorBidi"/>
          <w:sz w:val="22"/>
          <w:szCs w:val="22"/>
        </w:rPr>
        <w:t xml:space="preserve">PBS </w:t>
      </w:r>
      <w:r w:rsidR="00C522D6">
        <w:rPr>
          <w:rStyle w:val="cf01"/>
          <w:rFonts w:asciiTheme="minorHAnsi" w:hAnsiTheme="minorHAnsi" w:cstheme="minorBidi"/>
          <w:sz w:val="22"/>
          <w:szCs w:val="22"/>
        </w:rPr>
        <w:t>Statutory Price Reductions</w:t>
      </w:r>
      <w:r w:rsidR="00613B42">
        <w:rPr>
          <w:rStyle w:val="cf01"/>
          <w:rFonts w:asciiTheme="minorHAnsi" w:hAnsiTheme="minorHAnsi" w:cstheme="minorBidi"/>
          <w:sz w:val="22"/>
          <w:szCs w:val="22"/>
        </w:rPr>
        <w:t>.</w:t>
      </w:r>
      <w:r w:rsidR="005A3913">
        <w:rPr>
          <w:rStyle w:val="cf01"/>
          <w:rFonts w:asciiTheme="minorHAnsi" w:hAnsiTheme="minorHAnsi" w:cstheme="minorBidi"/>
          <w:sz w:val="22"/>
          <w:szCs w:val="22"/>
        </w:rPr>
        <w:t xml:space="preserve"> The </w:t>
      </w:r>
      <w:hyperlink r:id="rId17" w:history="1">
        <w:r w:rsidR="005A3913" w:rsidRPr="00CE01D8">
          <w:rPr>
            <w:rStyle w:val="Hyperlink"/>
          </w:rPr>
          <w:t>PBS Stockholding Guidelines</w:t>
        </w:r>
      </w:hyperlink>
      <w:r w:rsidR="005A3913" w:rsidRPr="005A3913">
        <w:t xml:space="preserve"> </w:t>
      </w:r>
      <w:r w:rsidR="007A46A1">
        <w:t>provide</w:t>
      </w:r>
      <w:r w:rsidR="006A3572">
        <w:t>s</w:t>
      </w:r>
      <w:r w:rsidR="007A46A1">
        <w:t xml:space="preserve"> </w:t>
      </w:r>
      <w:r w:rsidR="0048267F">
        <w:t xml:space="preserve">further detail on </w:t>
      </w:r>
      <w:r w:rsidR="001B489F" w:rsidRPr="00064112">
        <w:t xml:space="preserve"> operational aspects such as </w:t>
      </w:r>
      <w:hyperlink w:anchor="_Requirement_to_notify" w:history="1">
        <w:r w:rsidR="001B489F" w:rsidRPr="00D14A80">
          <w:rPr>
            <w:rStyle w:val="Hyperlink"/>
          </w:rPr>
          <w:t>reporting requirements,</w:t>
        </w:r>
      </w:hyperlink>
      <w:r w:rsidR="001B489F" w:rsidRPr="00064112">
        <w:t xml:space="preserve"> </w:t>
      </w:r>
      <w:hyperlink w:anchor="_Substantive_stockholding_requiremen" w:history="1">
        <w:r w:rsidR="001B489F" w:rsidRPr="00D14A80">
          <w:rPr>
            <w:rStyle w:val="Hyperlink"/>
          </w:rPr>
          <w:t>compliance obligations</w:t>
        </w:r>
      </w:hyperlink>
      <w:r w:rsidR="001B489F" w:rsidRPr="00064112">
        <w:t xml:space="preserve"> and the process for RPs to request a </w:t>
      </w:r>
      <w:hyperlink w:anchor="_Ministerial_determination_of" w:history="1">
        <w:r w:rsidR="001B489F" w:rsidRPr="00D14A80">
          <w:rPr>
            <w:rStyle w:val="Hyperlink"/>
          </w:rPr>
          <w:t>Ministerial Determination of ‘another quantity’</w:t>
        </w:r>
      </w:hyperlink>
      <w:r w:rsidR="001B489F" w:rsidRPr="00064112">
        <w:t>.</w:t>
      </w:r>
    </w:p>
    <w:p w14:paraId="329C6E87" w14:textId="4C382401" w:rsidR="002947D7" w:rsidRPr="00B8379A" w:rsidRDefault="002947D7" w:rsidP="005A0003">
      <w:pPr>
        <w:pStyle w:val="Heading3"/>
      </w:pPr>
      <w:bookmarkStart w:id="3" w:name="_Toc172184633"/>
      <w:r w:rsidRPr="00B8379A">
        <w:t>The 12-month review of the MSR</w:t>
      </w:r>
      <w:bookmarkEnd w:id="3"/>
    </w:p>
    <w:p w14:paraId="3649100E" w14:textId="77AB3FFD" w:rsidR="002947D7" w:rsidRPr="00533B7B" w:rsidRDefault="002947D7" w:rsidP="00E605AE">
      <w:pPr>
        <w:spacing w:before="120" w:after="120"/>
        <w:jc w:val="both"/>
        <w:rPr>
          <w:rFonts w:asciiTheme="minorHAnsi" w:eastAsia="Calibri" w:hAnsiTheme="minorHAnsi" w:cstheme="minorHAnsi"/>
          <w:szCs w:val="22"/>
        </w:rPr>
      </w:pPr>
      <w:r w:rsidRPr="00533B7B">
        <w:rPr>
          <w:rFonts w:asciiTheme="minorHAnsi" w:eastAsia="Calibri" w:hAnsiTheme="minorHAnsi" w:cstheme="minorHAnsi"/>
          <w:szCs w:val="22"/>
        </w:rPr>
        <w:t>This</w:t>
      </w:r>
      <w:r w:rsidR="00DE1F61">
        <w:rPr>
          <w:rFonts w:asciiTheme="minorHAnsi" w:eastAsia="Calibri" w:hAnsiTheme="minorHAnsi" w:cstheme="minorHAnsi"/>
          <w:szCs w:val="22"/>
        </w:rPr>
        <w:t xml:space="preserve"> executive summary</w:t>
      </w:r>
      <w:r w:rsidRPr="00533B7B">
        <w:rPr>
          <w:rFonts w:asciiTheme="minorHAnsi" w:eastAsia="Calibri" w:hAnsiTheme="minorHAnsi" w:cstheme="minorHAnsi"/>
          <w:szCs w:val="22"/>
        </w:rPr>
        <w:t xml:space="preserve"> presents the findings of a 12-month review of the implementation and early outcomes of the MSR. </w:t>
      </w:r>
      <w:r w:rsidR="003A2EBE">
        <w:rPr>
          <w:rFonts w:asciiTheme="minorHAnsi" w:eastAsia="Calibri" w:hAnsiTheme="minorHAnsi" w:cstheme="minorHAnsi"/>
          <w:szCs w:val="22"/>
        </w:rPr>
        <w:t>A further review</w:t>
      </w:r>
      <w:r w:rsidR="005511E8">
        <w:rPr>
          <w:rFonts w:asciiTheme="minorHAnsi" w:eastAsia="Calibri" w:hAnsiTheme="minorHAnsi" w:cstheme="minorHAnsi"/>
          <w:szCs w:val="22"/>
        </w:rPr>
        <w:t xml:space="preserve"> will be undertaken at 24 months to evaluate the effectiveness of the MSR. </w:t>
      </w:r>
      <w:r w:rsidRPr="00533B7B">
        <w:rPr>
          <w:rFonts w:asciiTheme="minorHAnsi" w:eastAsia="Calibri" w:hAnsiTheme="minorHAnsi" w:cstheme="minorHAnsi"/>
          <w:szCs w:val="22"/>
        </w:rPr>
        <w:t>The review was conducted through engagement with the medicines industry through:</w:t>
      </w:r>
    </w:p>
    <w:p w14:paraId="20B4D29B" w14:textId="50374C09" w:rsidR="00475A54" w:rsidRPr="00382B07" w:rsidRDefault="002947D7" w:rsidP="00110BCD">
      <w:pPr>
        <w:pStyle w:val="ListParagraph"/>
        <w:numPr>
          <w:ilvl w:val="0"/>
          <w:numId w:val="2"/>
        </w:numPr>
        <w:spacing w:before="120" w:after="120"/>
        <w:contextualSpacing w:val="0"/>
        <w:jc w:val="both"/>
        <w:rPr>
          <w:rFonts w:asciiTheme="minorHAnsi" w:eastAsia="Calibri" w:hAnsiTheme="minorHAnsi" w:cstheme="minorHAnsi"/>
          <w:szCs w:val="22"/>
        </w:rPr>
      </w:pPr>
      <w:r w:rsidRPr="00382B07">
        <w:rPr>
          <w:rFonts w:asciiTheme="minorHAnsi" w:eastAsia="Calibri" w:hAnsiTheme="minorHAnsi" w:cstheme="minorHAnsi"/>
          <w:szCs w:val="22"/>
        </w:rPr>
        <w:t xml:space="preserve">A detailed survey </w:t>
      </w:r>
      <w:proofErr w:type="gramStart"/>
      <w:r w:rsidR="00355BFC" w:rsidRPr="00382B07">
        <w:rPr>
          <w:rFonts w:asciiTheme="minorHAnsi" w:eastAsia="Calibri" w:hAnsiTheme="minorHAnsi" w:cstheme="minorHAnsi"/>
          <w:szCs w:val="22"/>
        </w:rPr>
        <w:t>open</w:t>
      </w:r>
      <w:proofErr w:type="gramEnd"/>
      <w:r w:rsidR="00355BFC" w:rsidRPr="00382B07">
        <w:rPr>
          <w:rFonts w:asciiTheme="minorHAnsi" w:eastAsia="Calibri" w:hAnsiTheme="minorHAnsi" w:cstheme="minorHAnsi"/>
          <w:szCs w:val="22"/>
        </w:rPr>
        <w:t xml:space="preserve"> to</w:t>
      </w:r>
      <w:r w:rsidRPr="00382B07">
        <w:rPr>
          <w:rFonts w:asciiTheme="minorHAnsi" w:eastAsia="Calibri" w:hAnsiTheme="minorHAnsi" w:cstheme="minorHAnsi"/>
          <w:szCs w:val="22"/>
        </w:rPr>
        <w:t xml:space="preserve"> all PBS RPs</w:t>
      </w:r>
    </w:p>
    <w:p w14:paraId="6CEAC486" w14:textId="0003EE7B" w:rsidR="00475A54" w:rsidRDefault="002947D7" w:rsidP="00110BCD">
      <w:pPr>
        <w:pStyle w:val="ListParagraph"/>
        <w:numPr>
          <w:ilvl w:val="0"/>
          <w:numId w:val="2"/>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 xml:space="preserve">A </w:t>
      </w:r>
      <w:hyperlink r:id="rId18" w:anchor="_Roundtable:" w:history="1">
        <w:r w:rsidRPr="00382B07">
          <w:rPr>
            <w:rFonts w:asciiTheme="minorHAnsi" w:eastAsia="Calibri" w:hAnsiTheme="minorHAnsi" w:cstheme="minorHAnsi"/>
            <w:szCs w:val="22"/>
          </w:rPr>
          <w:t>Roundtable</w:t>
        </w:r>
      </w:hyperlink>
      <w:r w:rsidRPr="00475A54">
        <w:rPr>
          <w:rFonts w:asciiTheme="minorHAnsi" w:eastAsia="Calibri" w:hAnsiTheme="minorHAnsi" w:cstheme="minorHAnsi"/>
          <w:szCs w:val="22"/>
        </w:rPr>
        <w:t xml:space="preserve"> discussion with peak bodies</w:t>
      </w:r>
      <w:r w:rsidR="007D08FC" w:rsidRPr="00475A54">
        <w:rPr>
          <w:rFonts w:asciiTheme="minorHAnsi" w:eastAsia="Calibri" w:hAnsiTheme="minorHAnsi" w:cstheme="minorHAnsi"/>
          <w:szCs w:val="22"/>
        </w:rPr>
        <w:t xml:space="preserve">, including </w:t>
      </w:r>
      <w:r w:rsidRPr="00B8379A">
        <w:rPr>
          <w:rFonts w:asciiTheme="minorHAnsi" w:eastAsia="Calibri" w:hAnsiTheme="minorHAnsi" w:cstheme="minorHAnsi"/>
          <w:szCs w:val="22"/>
        </w:rPr>
        <w:t>MA</w:t>
      </w:r>
      <w:r w:rsidRPr="00355BFC">
        <w:rPr>
          <w:rFonts w:asciiTheme="minorHAnsi" w:eastAsia="Calibri" w:hAnsiTheme="minorHAnsi" w:cstheme="minorHAnsi"/>
          <w:szCs w:val="22"/>
        </w:rPr>
        <w:t xml:space="preserve"> and the </w:t>
      </w:r>
      <w:r w:rsidRPr="00B8379A">
        <w:rPr>
          <w:rFonts w:asciiTheme="minorHAnsi" w:eastAsia="Calibri" w:hAnsiTheme="minorHAnsi" w:cstheme="minorHAnsi"/>
          <w:szCs w:val="22"/>
        </w:rPr>
        <w:t>GBMA</w:t>
      </w:r>
    </w:p>
    <w:p w14:paraId="69F2A001" w14:textId="78ECE5A5" w:rsidR="002947D7" w:rsidRPr="00382B07" w:rsidRDefault="00355BFC" w:rsidP="00110BCD">
      <w:pPr>
        <w:pStyle w:val="ListParagraph"/>
        <w:numPr>
          <w:ilvl w:val="0"/>
          <w:numId w:val="2"/>
        </w:numPr>
        <w:spacing w:before="120" w:after="120"/>
        <w:contextualSpacing w:val="0"/>
        <w:jc w:val="both"/>
        <w:rPr>
          <w:rFonts w:asciiTheme="minorHAnsi" w:eastAsia="Calibri" w:hAnsiTheme="minorHAnsi" w:cstheme="minorHAnsi"/>
          <w:szCs w:val="22"/>
        </w:rPr>
      </w:pPr>
      <w:r w:rsidRPr="00382B07">
        <w:rPr>
          <w:rFonts w:asciiTheme="minorHAnsi" w:eastAsia="Calibri" w:hAnsiTheme="minorHAnsi" w:cstheme="minorHAnsi"/>
          <w:szCs w:val="22"/>
        </w:rPr>
        <w:t>A joint</w:t>
      </w:r>
      <w:r w:rsidR="002947D7" w:rsidRPr="00382B07">
        <w:rPr>
          <w:rFonts w:asciiTheme="minorHAnsi" w:eastAsia="Calibri" w:hAnsiTheme="minorHAnsi" w:cstheme="minorHAnsi"/>
          <w:szCs w:val="22"/>
        </w:rPr>
        <w:t xml:space="preserve"> </w:t>
      </w:r>
      <w:hyperlink r:id="rId19" w:anchor="_Submissions:">
        <w:r w:rsidR="002947D7" w:rsidRPr="00E15D45">
          <w:rPr>
            <w:rFonts w:asciiTheme="minorHAnsi" w:eastAsia="Calibri" w:hAnsiTheme="minorHAnsi" w:cstheme="minorHAnsi"/>
            <w:szCs w:val="22"/>
          </w:rPr>
          <w:t>Submission</w:t>
        </w:r>
        <w:r w:rsidR="002947D7" w:rsidRPr="00382B07">
          <w:rPr>
            <w:rFonts w:asciiTheme="minorHAnsi" w:eastAsia="Calibri" w:hAnsiTheme="minorHAnsi" w:cstheme="minorHAnsi"/>
            <w:szCs w:val="22"/>
          </w:rPr>
          <w:t xml:space="preserve"> from the peak bodies</w:t>
        </w:r>
      </w:hyperlink>
      <w:r w:rsidR="007F48E1" w:rsidRPr="00382B07">
        <w:rPr>
          <w:rFonts w:asciiTheme="minorHAnsi" w:eastAsia="Calibri" w:hAnsiTheme="minorHAnsi" w:cstheme="minorHAnsi"/>
          <w:szCs w:val="22"/>
        </w:rPr>
        <w:t>.</w:t>
      </w:r>
    </w:p>
    <w:p w14:paraId="1BF12BAB" w14:textId="648915BB" w:rsidR="002947D7" w:rsidRPr="00E15D45" w:rsidRDefault="002947D7" w:rsidP="5B0AE25C">
      <w:pPr>
        <w:spacing w:before="120" w:after="120"/>
        <w:jc w:val="both"/>
        <w:rPr>
          <w:rFonts w:asciiTheme="minorHAnsi" w:eastAsia="Calibri" w:hAnsiTheme="minorHAnsi" w:cstheme="minorHAnsi"/>
        </w:rPr>
      </w:pPr>
      <w:r w:rsidRPr="003451AF">
        <w:rPr>
          <w:rFonts w:asciiTheme="minorHAnsi" w:eastAsia="Calibri" w:hAnsiTheme="minorHAnsi" w:cstheme="minorHAnsi"/>
          <w:szCs w:val="22"/>
        </w:rPr>
        <w:t xml:space="preserve">The review developed </w:t>
      </w:r>
      <w:hyperlink w:anchor="_Key_performance_indicators">
        <w:r w:rsidRPr="003451AF">
          <w:rPr>
            <w:rFonts w:asciiTheme="minorHAnsi" w:eastAsia="Calibri" w:hAnsiTheme="minorHAnsi" w:cstheme="minorHAnsi"/>
            <w:szCs w:val="22"/>
          </w:rPr>
          <w:t>key performance indicators (</w:t>
        </w:r>
        <w:r w:rsidRPr="003451AF">
          <w:rPr>
            <w:rFonts w:asciiTheme="minorHAnsi" w:eastAsia="Calibri" w:hAnsiTheme="minorHAnsi" w:cstheme="minorHAnsi"/>
            <w:b/>
            <w:bCs/>
            <w:szCs w:val="22"/>
          </w:rPr>
          <w:t>KPIs</w:t>
        </w:r>
        <w:r w:rsidRPr="003451AF">
          <w:rPr>
            <w:rFonts w:asciiTheme="minorHAnsi" w:eastAsia="Calibri" w:hAnsiTheme="minorHAnsi" w:cstheme="minorHAnsi"/>
            <w:szCs w:val="22"/>
          </w:rPr>
          <w:t>)</w:t>
        </w:r>
      </w:hyperlink>
      <w:r w:rsidRPr="00E15D45">
        <w:rPr>
          <w:rFonts w:asciiTheme="minorHAnsi" w:eastAsia="Calibri" w:hAnsiTheme="minorHAnsi" w:cstheme="minorHAnsi"/>
        </w:rPr>
        <w:t xml:space="preserve"> to evaluate:</w:t>
      </w:r>
    </w:p>
    <w:p w14:paraId="0E2508C7" w14:textId="77777777"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Implementation progress</w:t>
      </w:r>
    </w:p>
    <w:p w14:paraId="3DCE82F9" w14:textId="77777777"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Administration of the MSR</w:t>
      </w:r>
    </w:p>
    <w:p w14:paraId="36836BA4" w14:textId="77777777"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Early compliance with the MSR</w:t>
      </w:r>
    </w:p>
    <w:p w14:paraId="6AC53C9B" w14:textId="3B1208D7"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Regulatory burden and administrative costs for industry</w:t>
      </w:r>
      <w:r w:rsidR="00CC3321">
        <w:rPr>
          <w:rFonts w:asciiTheme="minorHAnsi" w:eastAsia="Calibri" w:hAnsiTheme="minorHAnsi" w:cstheme="minorHAnsi"/>
          <w:szCs w:val="22"/>
        </w:rPr>
        <w:t xml:space="preserve"> </w:t>
      </w:r>
      <w:r w:rsidR="00CC3321" w:rsidRPr="00475A54">
        <w:rPr>
          <w:rFonts w:asciiTheme="minorHAnsi" w:eastAsia="Calibri" w:hAnsiTheme="minorHAnsi" w:cstheme="minorHAnsi"/>
          <w:szCs w:val="22"/>
        </w:rPr>
        <w:t>(preliminary assessment)</w:t>
      </w:r>
    </w:p>
    <w:p w14:paraId="2BB2F1D5" w14:textId="516954D5"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Use of stocks to mitigate shortages of designated brands</w:t>
      </w:r>
      <w:r w:rsidR="00CC3321">
        <w:rPr>
          <w:rFonts w:asciiTheme="minorHAnsi" w:eastAsia="Calibri" w:hAnsiTheme="minorHAnsi" w:cstheme="minorHAnsi"/>
          <w:szCs w:val="22"/>
        </w:rPr>
        <w:t xml:space="preserve"> </w:t>
      </w:r>
      <w:r w:rsidR="00CC3321" w:rsidRPr="00475A54">
        <w:rPr>
          <w:rFonts w:asciiTheme="minorHAnsi" w:eastAsia="Calibri" w:hAnsiTheme="minorHAnsi" w:cstheme="minorHAnsi"/>
          <w:szCs w:val="22"/>
        </w:rPr>
        <w:t>(preliminary assessment)</w:t>
      </w:r>
    </w:p>
    <w:p w14:paraId="0AF44509" w14:textId="77777777"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The effect on shortages of designated brands (preliminary assessment)</w:t>
      </w:r>
    </w:p>
    <w:p w14:paraId="580916C7" w14:textId="29B03C5E" w:rsidR="002947D7" w:rsidRPr="00475A54" w:rsidRDefault="002947D7" w:rsidP="00110BCD">
      <w:pPr>
        <w:pStyle w:val="ListParagraph"/>
        <w:numPr>
          <w:ilvl w:val="0"/>
          <w:numId w:val="5"/>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The effect on wastage and viability (preliminary assessment)</w:t>
      </w:r>
      <w:r w:rsidR="007F48E1" w:rsidRPr="00475A54">
        <w:rPr>
          <w:rFonts w:asciiTheme="minorHAnsi" w:eastAsia="Calibri" w:hAnsiTheme="minorHAnsi" w:cstheme="minorHAnsi"/>
          <w:szCs w:val="22"/>
        </w:rPr>
        <w:t>.</w:t>
      </w:r>
    </w:p>
    <w:p w14:paraId="14A57D66" w14:textId="77777777" w:rsidR="002947D7" w:rsidRPr="007175D4" w:rsidRDefault="002947D7" w:rsidP="005A0003">
      <w:pPr>
        <w:pStyle w:val="Heading3"/>
      </w:pPr>
      <w:bookmarkStart w:id="4" w:name="_Toc172184634"/>
      <w:r w:rsidRPr="007175D4">
        <w:t>The key findings of the review</w:t>
      </w:r>
      <w:bookmarkEnd w:id="4"/>
    </w:p>
    <w:p w14:paraId="41BAC25A" w14:textId="5CDDD9AC" w:rsidR="0072305D" w:rsidRPr="0072305D" w:rsidRDefault="0072305D" w:rsidP="00597E65">
      <w:pPr>
        <w:pStyle w:val="ListParagraph"/>
        <w:numPr>
          <w:ilvl w:val="0"/>
          <w:numId w:val="7"/>
        </w:numPr>
        <w:spacing w:before="120" w:after="120"/>
        <w:contextualSpacing w:val="0"/>
        <w:jc w:val="both"/>
        <w:rPr>
          <w:rFonts w:asciiTheme="minorHAnsi" w:eastAsia="Calibri" w:hAnsiTheme="minorHAnsi" w:cstheme="minorHAnsi"/>
          <w:szCs w:val="22"/>
        </w:rPr>
      </w:pPr>
      <w:r w:rsidRPr="0072305D">
        <w:rPr>
          <w:rFonts w:asciiTheme="minorHAnsi" w:eastAsia="Calibri" w:hAnsiTheme="minorHAnsi" w:cstheme="minorHAnsi"/>
          <w:b/>
          <w:bCs/>
          <w:szCs w:val="22"/>
        </w:rPr>
        <w:t xml:space="preserve">Overall, the 12-month implementation progress and early outcomes of the MSR signal that the policy has had positive impacts. </w:t>
      </w:r>
      <w:r w:rsidRPr="0072305D">
        <w:rPr>
          <w:rFonts w:asciiTheme="minorHAnsi" w:eastAsia="Calibri" w:hAnsiTheme="minorHAnsi" w:cstheme="minorHAnsi"/>
          <w:szCs w:val="22"/>
        </w:rPr>
        <w:t>The medicines industry has made changes to increase their stock levels and early data indicates a reduction in medicine shortages of designated brands. However, a 24-month review is required to evaluate the effectiveness of the MSR, its impact on medicine shortages</w:t>
      </w:r>
      <w:r w:rsidR="00A11A28">
        <w:rPr>
          <w:rFonts w:asciiTheme="minorHAnsi" w:eastAsia="Calibri" w:hAnsiTheme="minorHAnsi" w:cstheme="minorHAnsi"/>
          <w:szCs w:val="22"/>
        </w:rPr>
        <w:t>,</w:t>
      </w:r>
      <w:r w:rsidRPr="0072305D">
        <w:rPr>
          <w:rFonts w:asciiTheme="minorHAnsi" w:eastAsia="Calibri" w:hAnsiTheme="minorHAnsi" w:cstheme="minorHAnsi"/>
          <w:szCs w:val="22"/>
        </w:rPr>
        <w:t xml:space="preserve"> as well as the regulatory impact on the medicines industry. Further improvements can be made to systems and processes to reduce administrative burden and additional guidance is required in certain areas in response to feedback from industry</w:t>
      </w:r>
      <w:r>
        <w:rPr>
          <w:rFonts w:asciiTheme="minorHAnsi" w:eastAsia="Calibri" w:hAnsiTheme="minorHAnsi" w:cstheme="minorHAnsi"/>
          <w:szCs w:val="22"/>
        </w:rPr>
        <w:t>.</w:t>
      </w:r>
    </w:p>
    <w:p w14:paraId="2BC85B91" w14:textId="17F233D2" w:rsidR="002947D7" w:rsidRPr="006F6D48" w:rsidRDefault="002947D7" w:rsidP="007904B1">
      <w:pPr>
        <w:pStyle w:val="ListParagraph"/>
        <w:numPr>
          <w:ilvl w:val="0"/>
          <w:numId w:val="7"/>
        </w:numPr>
        <w:spacing w:before="120" w:after="120"/>
        <w:contextualSpacing w:val="0"/>
        <w:jc w:val="both"/>
        <w:rPr>
          <w:rFonts w:asciiTheme="minorHAnsi" w:eastAsia="Calibri" w:hAnsiTheme="minorHAnsi" w:cstheme="minorBidi"/>
        </w:rPr>
      </w:pPr>
      <w:r w:rsidRPr="5B0AE25C">
        <w:rPr>
          <w:rFonts w:asciiTheme="minorHAnsi" w:eastAsia="Calibri" w:hAnsiTheme="minorHAnsi" w:cstheme="minorBidi"/>
        </w:rPr>
        <w:lastRenderedPageBreak/>
        <w:t xml:space="preserve">The department </w:t>
      </w:r>
      <w:r w:rsidRPr="5B0AE25C">
        <w:rPr>
          <w:rFonts w:asciiTheme="minorHAnsi" w:eastAsia="Calibri" w:hAnsiTheme="minorHAnsi" w:cstheme="minorBidi"/>
          <w:b/>
          <w:bCs/>
        </w:rPr>
        <w:t xml:space="preserve">implemented the </w:t>
      </w:r>
      <w:r w:rsidR="00403D15" w:rsidRPr="5B0AE25C">
        <w:rPr>
          <w:rFonts w:asciiTheme="minorHAnsi" w:eastAsia="Calibri" w:hAnsiTheme="minorHAnsi" w:cstheme="minorBidi"/>
          <w:b/>
          <w:bCs/>
        </w:rPr>
        <w:t>Medicines Supply Security Guarantee (</w:t>
      </w:r>
      <w:r w:rsidRPr="5B0AE25C">
        <w:rPr>
          <w:rFonts w:asciiTheme="minorHAnsi" w:eastAsia="Calibri" w:hAnsiTheme="minorHAnsi" w:cstheme="minorBidi"/>
          <w:b/>
          <w:bCs/>
        </w:rPr>
        <w:t>MSSG</w:t>
      </w:r>
      <w:r w:rsidR="00403D15" w:rsidRPr="5B0AE25C">
        <w:rPr>
          <w:rFonts w:asciiTheme="minorHAnsi" w:eastAsia="Calibri" w:hAnsiTheme="minorHAnsi" w:cstheme="minorBidi"/>
          <w:b/>
          <w:bCs/>
        </w:rPr>
        <w:t>)</w:t>
      </w:r>
      <w:r w:rsidRPr="5B0AE25C">
        <w:rPr>
          <w:rFonts w:asciiTheme="minorHAnsi" w:eastAsia="Calibri" w:hAnsiTheme="minorHAnsi" w:cstheme="minorBidi"/>
          <w:b/>
          <w:bCs/>
        </w:rPr>
        <w:t xml:space="preserve"> in full</w:t>
      </w:r>
      <w:r w:rsidRPr="5B0AE25C">
        <w:rPr>
          <w:rFonts w:asciiTheme="minorHAnsi" w:eastAsia="Calibri" w:hAnsiTheme="minorHAnsi" w:cstheme="minorBidi"/>
        </w:rPr>
        <w:t xml:space="preserve"> within the required timeframe.</w:t>
      </w:r>
    </w:p>
    <w:p w14:paraId="406D9547" w14:textId="6FEBBC74" w:rsidR="002947D7" w:rsidRPr="006F6D48" w:rsidRDefault="002947D7" w:rsidP="00110BCD">
      <w:pPr>
        <w:pStyle w:val="ListParagraph"/>
        <w:numPr>
          <w:ilvl w:val="0"/>
          <w:numId w:val="7"/>
        </w:numPr>
        <w:spacing w:before="120" w:after="120"/>
        <w:contextualSpacing w:val="0"/>
        <w:jc w:val="both"/>
        <w:rPr>
          <w:rFonts w:asciiTheme="minorHAnsi" w:eastAsia="Calibri" w:hAnsiTheme="minorHAnsi" w:cstheme="minorBidi"/>
        </w:rPr>
      </w:pPr>
      <w:r w:rsidRPr="5B0AE25C">
        <w:rPr>
          <w:rFonts w:asciiTheme="minorHAnsi" w:eastAsia="Calibri" w:hAnsiTheme="minorHAnsi" w:cstheme="minorBidi"/>
        </w:rPr>
        <w:t xml:space="preserve">The department has developed </w:t>
      </w:r>
      <w:r w:rsidRPr="5B0AE25C">
        <w:rPr>
          <w:rFonts w:asciiTheme="minorHAnsi" w:eastAsia="Calibri" w:hAnsiTheme="minorHAnsi" w:cstheme="minorBidi"/>
          <w:b/>
          <w:bCs/>
        </w:rPr>
        <w:t>effective processes to facilitate the implementation</w:t>
      </w:r>
      <w:r w:rsidRPr="5B0AE25C">
        <w:rPr>
          <w:rFonts w:asciiTheme="minorHAnsi" w:eastAsia="Calibri" w:hAnsiTheme="minorHAnsi" w:cstheme="minorBidi"/>
        </w:rPr>
        <w:t xml:space="preserve"> and </w:t>
      </w:r>
      <w:r w:rsidRPr="5B0AE25C">
        <w:rPr>
          <w:rFonts w:asciiTheme="minorHAnsi" w:eastAsia="Calibri" w:hAnsiTheme="minorHAnsi" w:cstheme="minorBidi"/>
          <w:b/>
          <w:bCs/>
        </w:rPr>
        <w:t>operation of the MSR</w:t>
      </w:r>
      <w:r w:rsidRPr="5B0AE25C">
        <w:rPr>
          <w:rFonts w:asciiTheme="minorHAnsi" w:eastAsia="Calibri" w:hAnsiTheme="minorHAnsi" w:cstheme="minorBidi"/>
        </w:rPr>
        <w:t xml:space="preserve">. Survey feedback indicated that RPs have a good understanding of the requirements, but raised </w:t>
      </w:r>
      <w:r w:rsidR="57BA6969" w:rsidRPr="5B0AE25C">
        <w:rPr>
          <w:rFonts w:asciiTheme="minorHAnsi" w:eastAsia="Calibri" w:hAnsiTheme="minorHAnsi" w:cstheme="minorBidi"/>
        </w:rPr>
        <w:t xml:space="preserve">some </w:t>
      </w:r>
      <w:r w:rsidRPr="5B0AE25C">
        <w:rPr>
          <w:rFonts w:asciiTheme="minorHAnsi" w:eastAsia="Calibri" w:hAnsiTheme="minorHAnsi" w:cstheme="minorBidi"/>
        </w:rPr>
        <w:t xml:space="preserve">concerns and </w:t>
      </w:r>
      <w:r w:rsidR="0AFC4229" w:rsidRPr="5B0AE25C">
        <w:rPr>
          <w:rFonts w:asciiTheme="minorHAnsi" w:eastAsia="Calibri" w:hAnsiTheme="minorHAnsi" w:cstheme="minorBidi"/>
        </w:rPr>
        <w:t xml:space="preserve">suggested </w:t>
      </w:r>
      <w:r w:rsidRPr="5B0AE25C">
        <w:rPr>
          <w:rFonts w:asciiTheme="minorHAnsi" w:eastAsia="Calibri" w:hAnsiTheme="minorHAnsi" w:cstheme="minorBidi"/>
        </w:rPr>
        <w:t>potential improvements</w:t>
      </w:r>
      <w:r w:rsidR="00623331" w:rsidRPr="5B0AE25C">
        <w:rPr>
          <w:rFonts w:asciiTheme="minorHAnsi" w:eastAsia="Calibri" w:hAnsiTheme="minorHAnsi" w:cstheme="minorBidi"/>
        </w:rPr>
        <w:t>, including</w:t>
      </w:r>
      <w:r w:rsidRPr="5B0AE25C">
        <w:rPr>
          <w:rFonts w:asciiTheme="minorHAnsi" w:eastAsia="Calibri" w:hAnsiTheme="minorHAnsi" w:cstheme="minorBidi"/>
        </w:rPr>
        <w:t>:</w:t>
      </w:r>
    </w:p>
    <w:p w14:paraId="4704A932" w14:textId="1CEED664" w:rsidR="002947D7" w:rsidRPr="00E47847" w:rsidRDefault="00830783" w:rsidP="00110BCD">
      <w:pPr>
        <w:pStyle w:val="ListParagraph"/>
        <w:numPr>
          <w:ilvl w:val="1"/>
          <w:numId w:val="8"/>
        </w:numPr>
        <w:spacing w:before="120" w:after="120"/>
        <w:contextualSpacing w:val="0"/>
        <w:jc w:val="both"/>
        <w:rPr>
          <w:rFonts w:asciiTheme="minorHAnsi" w:eastAsia="Calibri" w:hAnsiTheme="minorHAnsi" w:cstheme="minorHAnsi"/>
          <w:szCs w:val="22"/>
        </w:rPr>
      </w:pPr>
      <w:r w:rsidRPr="00E47847">
        <w:rPr>
          <w:rFonts w:asciiTheme="minorHAnsi" w:eastAsia="Calibri" w:hAnsiTheme="minorHAnsi" w:cstheme="minorHAnsi"/>
          <w:szCs w:val="22"/>
        </w:rPr>
        <w:t>M</w:t>
      </w:r>
      <w:r w:rsidR="002947D7" w:rsidRPr="00E47847">
        <w:rPr>
          <w:rFonts w:asciiTheme="minorHAnsi" w:eastAsia="Calibri" w:hAnsiTheme="minorHAnsi" w:cstheme="minorHAnsi"/>
          <w:szCs w:val="22"/>
        </w:rPr>
        <w:t xml:space="preserve">ore guidance in relation to </w:t>
      </w:r>
      <w:hyperlink w:anchor="_Ministerial_determination_of" w:history="1">
        <w:r w:rsidR="003D7422" w:rsidRPr="00E47847">
          <w:rPr>
            <w:rStyle w:val="Hyperlink"/>
            <w:rFonts w:asciiTheme="minorHAnsi" w:eastAsia="Calibri" w:hAnsiTheme="minorHAnsi" w:cstheme="minorHAnsi"/>
            <w:szCs w:val="22"/>
          </w:rPr>
          <w:t>M</w:t>
        </w:r>
        <w:r w:rsidR="002947D7" w:rsidRPr="00E47847">
          <w:rPr>
            <w:rStyle w:val="Hyperlink"/>
            <w:rFonts w:asciiTheme="minorHAnsi" w:eastAsia="Calibri" w:hAnsiTheme="minorHAnsi" w:cstheme="minorHAnsi"/>
            <w:szCs w:val="22"/>
          </w:rPr>
          <w:t>inisterial determinations</w:t>
        </w:r>
      </w:hyperlink>
      <w:r w:rsidR="002947D7" w:rsidRPr="00E47847">
        <w:rPr>
          <w:rFonts w:asciiTheme="minorHAnsi" w:eastAsia="Calibri" w:hAnsiTheme="minorHAnsi" w:cstheme="minorHAnsi"/>
          <w:szCs w:val="22"/>
        </w:rPr>
        <w:t xml:space="preserve">, </w:t>
      </w:r>
      <w:hyperlink w:anchor="_Requirement_to_notify" w:history="1">
        <w:r w:rsidR="002947D7" w:rsidRPr="00E47847">
          <w:rPr>
            <w:rStyle w:val="Hyperlink"/>
            <w:rFonts w:asciiTheme="minorHAnsi" w:eastAsia="Calibri" w:hAnsiTheme="minorHAnsi" w:cstheme="minorHAnsi"/>
            <w:szCs w:val="22"/>
          </w:rPr>
          <w:t>breach notifications,</w:t>
        </w:r>
      </w:hyperlink>
      <w:r w:rsidR="002947D7" w:rsidRPr="00E47847">
        <w:rPr>
          <w:rFonts w:asciiTheme="minorHAnsi" w:eastAsia="Calibri" w:hAnsiTheme="minorHAnsi" w:cstheme="minorHAnsi"/>
          <w:szCs w:val="22"/>
        </w:rPr>
        <w:t xml:space="preserve"> the </w:t>
      </w:r>
      <w:hyperlink w:anchor="_Substantive_stockholding_requiremen" w:history="1">
        <w:r w:rsidR="002947D7" w:rsidRPr="0041287F">
          <w:rPr>
            <w:rStyle w:val="Hyperlink"/>
            <w:rFonts w:asciiTheme="minorHAnsi" w:eastAsia="Calibri" w:hAnsiTheme="minorHAnsi" w:cstheme="minorHAnsi"/>
            <w:szCs w:val="22"/>
          </w:rPr>
          <w:t>calculation of usual demand</w:t>
        </w:r>
      </w:hyperlink>
      <w:r w:rsidR="4225A9F6" w:rsidRPr="00E47847">
        <w:rPr>
          <w:rFonts w:asciiTheme="minorHAnsi" w:eastAsia="Calibri" w:hAnsiTheme="minorHAnsi" w:cstheme="minorHAnsi"/>
          <w:szCs w:val="22"/>
        </w:rPr>
        <w:t>,</w:t>
      </w:r>
      <w:r w:rsidR="00C01C47" w:rsidRPr="00E47847">
        <w:rPr>
          <w:rFonts w:asciiTheme="minorHAnsi" w:eastAsia="Calibri" w:hAnsiTheme="minorHAnsi" w:cstheme="minorHAnsi"/>
          <w:szCs w:val="22"/>
        </w:rPr>
        <w:t xml:space="preserve"> and the department’s approach to </w:t>
      </w:r>
      <w:hyperlink w:anchor="_Ministerial_powers" w:history="1">
        <w:r w:rsidR="00C01C47" w:rsidRPr="00E47847">
          <w:rPr>
            <w:rStyle w:val="Hyperlink"/>
            <w:rFonts w:asciiTheme="minorHAnsi" w:eastAsia="Calibri" w:hAnsiTheme="minorHAnsi" w:cstheme="minorHAnsi"/>
            <w:szCs w:val="22"/>
          </w:rPr>
          <w:t>non-compliance</w:t>
        </w:r>
      </w:hyperlink>
      <w:r w:rsidR="002947D7" w:rsidRPr="00E47847">
        <w:rPr>
          <w:rFonts w:asciiTheme="minorHAnsi" w:eastAsia="Calibri" w:hAnsiTheme="minorHAnsi" w:cstheme="minorHAnsi"/>
          <w:szCs w:val="22"/>
        </w:rPr>
        <w:t>.</w:t>
      </w:r>
    </w:p>
    <w:p w14:paraId="18DBCC4B" w14:textId="2F625B40" w:rsidR="002947D7" w:rsidRPr="006F6D48" w:rsidRDefault="000C28AB" w:rsidP="00110BCD">
      <w:pPr>
        <w:pStyle w:val="ListParagraph"/>
        <w:numPr>
          <w:ilvl w:val="1"/>
          <w:numId w:val="8"/>
        </w:numPr>
        <w:spacing w:before="120" w:after="120"/>
        <w:contextualSpacing w:val="0"/>
        <w:jc w:val="both"/>
        <w:rPr>
          <w:rFonts w:asciiTheme="minorHAnsi" w:eastAsia="Calibri" w:hAnsiTheme="minorHAnsi" w:cstheme="minorHAnsi"/>
          <w:szCs w:val="22"/>
        </w:rPr>
      </w:pPr>
      <w:r>
        <w:rPr>
          <w:rFonts w:asciiTheme="minorHAnsi" w:eastAsia="Calibri" w:hAnsiTheme="minorHAnsi" w:cstheme="minorHAnsi"/>
          <w:szCs w:val="22"/>
        </w:rPr>
        <w:t>Concerns that s</w:t>
      </w:r>
      <w:r w:rsidR="002947D7" w:rsidRPr="006F6D48">
        <w:rPr>
          <w:rFonts w:asciiTheme="minorHAnsi" w:eastAsia="Calibri" w:hAnsiTheme="minorHAnsi" w:cstheme="minorHAnsi"/>
          <w:szCs w:val="22"/>
        </w:rPr>
        <w:t xml:space="preserve">takeholder engagement during the </w:t>
      </w:r>
      <w:r w:rsidR="00590740" w:rsidRPr="00024250">
        <w:rPr>
          <w:rFonts w:asciiTheme="minorHAnsi" w:eastAsia="Calibri" w:hAnsiTheme="minorHAnsi" w:cstheme="minorHAnsi"/>
          <w:szCs w:val="22"/>
        </w:rPr>
        <w:t>development of the MSR</w:t>
      </w:r>
      <w:r w:rsidR="002947D7" w:rsidRPr="006F6D48">
        <w:rPr>
          <w:rFonts w:asciiTheme="minorHAnsi" w:eastAsia="Calibri" w:hAnsiTheme="minorHAnsi" w:cstheme="minorHAnsi"/>
          <w:szCs w:val="22"/>
        </w:rPr>
        <w:t xml:space="preserve"> </w:t>
      </w:r>
      <w:r w:rsidR="00FA7C93">
        <w:rPr>
          <w:rFonts w:asciiTheme="minorHAnsi" w:eastAsia="Calibri" w:hAnsiTheme="minorHAnsi" w:cstheme="minorHAnsi"/>
          <w:szCs w:val="22"/>
        </w:rPr>
        <w:t>was</w:t>
      </w:r>
      <w:r w:rsidR="00FA7C93" w:rsidRPr="006F6D48">
        <w:rPr>
          <w:rFonts w:asciiTheme="minorHAnsi" w:eastAsia="Calibri" w:hAnsiTheme="minorHAnsi" w:cstheme="minorHAnsi"/>
          <w:szCs w:val="22"/>
        </w:rPr>
        <w:t xml:space="preserve"> </w:t>
      </w:r>
      <w:r w:rsidR="002947D7" w:rsidRPr="006F6D48">
        <w:rPr>
          <w:rFonts w:asciiTheme="minorHAnsi" w:eastAsia="Calibri" w:hAnsiTheme="minorHAnsi" w:cstheme="minorHAnsi"/>
          <w:szCs w:val="22"/>
        </w:rPr>
        <w:t>restricted to MA and GBMA and limited to consultation on the Guidelines rather than broader supply issues.</w:t>
      </w:r>
    </w:p>
    <w:p w14:paraId="433906A7" w14:textId="24C6C18F" w:rsidR="002947D7" w:rsidRPr="006F6D48" w:rsidRDefault="00C8361B" w:rsidP="00110BCD">
      <w:pPr>
        <w:pStyle w:val="ListParagraph"/>
        <w:numPr>
          <w:ilvl w:val="1"/>
          <w:numId w:val="8"/>
        </w:numPr>
        <w:spacing w:before="120" w:after="120"/>
        <w:contextualSpacing w:val="0"/>
        <w:jc w:val="both"/>
        <w:rPr>
          <w:rFonts w:asciiTheme="minorHAnsi" w:eastAsia="Calibri" w:hAnsiTheme="minorHAnsi" w:cstheme="minorHAnsi"/>
          <w:szCs w:val="22"/>
        </w:rPr>
      </w:pPr>
      <w:r>
        <w:rPr>
          <w:rFonts w:asciiTheme="minorHAnsi" w:eastAsia="Calibri" w:hAnsiTheme="minorHAnsi" w:cstheme="minorHAnsi"/>
          <w:szCs w:val="22"/>
        </w:rPr>
        <w:t>Strong feedback that t</w:t>
      </w:r>
      <w:r w:rsidR="002947D7" w:rsidRPr="006F6D48">
        <w:rPr>
          <w:rFonts w:asciiTheme="minorHAnsi" w:eastAsia="Calibri" w:hAnsiTheme="minorHAnsi" w:cstheme="minorHAnsi"/>
          <w:szCs w:val="22"/>
        </w:rPr>
        <w:t xml:space="preserve">he 12-months </w:t>
      </w:r>
      <w:r w:rsidR="00651953">
        <w:rPr>
          <w:rFonts w:asciiTheme="minorHAnsi" w:eastAsia="Calibri" w:hAnsiTheme="minorHAnsi" w:cstheme="minorHAnsi"/>
          <w:szCs w:val="22"/>
        </w:rPr>
        <w:t xml:space="preserve">lead time </w:t>
      </w:r>
      <w:r w:rsidR="002947D7" w:rsidRPr="006F6D48">
        <w:rPr>
          <w:rFonts w:asciiTheme="minorHAnsi" w:eastAsia="Calibri" w:hAnsiTheme="minorHAnsi" w:cstheme="minorHAnsi"/>
          <w:szCs w:val="22"/>
        </w:rPr>
        <w:t>allowed for implementation of the MSR was inadequate. Widespread feedback was that 18-24 months should have been allowed, given the time required to build up stocks.</w:t>
      </w:r>
    </w:p>
    <w:p w14:paraId="7DC1115A" w14:textId="77FC4730" w:rsidR="002947D7" w:rsidRPr="006F6D48" w:rsidRDefault="002947D7" w:rsidP="00424E05">
      <w:pPr>
        <w:pStyle w:val="ListParagraph"/>
        <w:keepNext/>
        <w:numPr>
          <w:ilvl w:val="0"/>
          <w:numId w:val="7"/>
        </w:numPr>
        <w:spacing w:before="120" w:after="120"/>
        <w:contextualSpacing w:val="0"/>
        <w:jc w:val="both"/>
        <w:rPr>
          <w:rFonts w:asciiTheme="minorHAnsi" w:eastAsia="Calibri" w:hAnsiTheme="minorHAnsi" w:cstheme="minorHAnsi"/>
          <w:szCs w:val="22"/>
        </w:rPr>
      </w:pPr>
      <w:r w:rsidRPr="006F6D48">
        <w:rPr>
          <w:rFonts w:asciiTheme="minorHAnsi" w:eastAsia="Calibri" w:hAnsiTheme="minorHAnsi" w:cstheme="minorHAnsi"/>
          <w:szCs w:val="22"/>
        </w:rPr>
        <w:t xml:space="preserve">The department sought feedback on its </w:t>
      </w:r>
      <w:r w:rsidRPr="006F6D48">
        <w:rPr>
          <w:rFonts w:asciiTheme="minorHAnsi" w:eastAsia="Calibri" w:hAnsiTheme="minorHAnsi" w:cstheme="minorHAnsi"/>
          <w:b/>
          <w:szCs w:val="22"/>
        </w:rPr>
        <w:t>administrative effectiveness</w:t>
      </w:r>
      <w:r w:rsidRPr="006F6D48">
        <w:rPr>
          <w:rFonts w:asciiTheme="minorHAnsi" w:eastAsia="Calibri" w:hAnsiTheme="minorHAnsi" w:cstheme="minorHAnsi"/>
          <w:szCs w:val="22"/>
        </w:rPr>
        <w:t xml:space="preserve"> – how effectively the MSR is being administered:</w:t>
      </w:r>
    </w:p>
    <w:p w14:paraId="6C347777" w14:textId="6B537C0A" w:rsidR="00B03F03" w:rsidRDefault="00C21A43" w:rsidP="00597E65">
      <w:pPr>
        <w:pStyle w:val="ListParagraph"/>
        <w:numPr>
          <w:ilvl w:val="1"/>
          <w:numId w:val="9"/>
        </w:numPr>
        <w:spacing w:before="120" w:after="120"/>
        <w:contextualSpacing w:val="0"/>
        <w:jc w:val="both"/>
        <w:rPr>
          <w:rFonts w:asciiTheme="minorHAnsi" w:eastAsia="Calibri" w:hAnsiTheme="minorHAnsi" w:cstheme="minorHAnsi"/>
          <w:szCs w:val="22"/>
        </w:rPr>
      </w:pPr>
      <w:r w:rsidRPr="006F6D48">
        <w:rPr>
          <w:rFonts w:asciiTheme="minorHAnsi" w:eastAsia="Calibri" w:hAnsiTheme="minorHAnsi" w:cstheme="minorHAnsi"/>
          <w:b/>
          <w:szCs w:val="22"/>
        </w:rPr>
        <w:t>D</w:t>
      </w:r>
      <w:r w:rsidR="002947D7" w:rsidRPr="006F6D48">
        <w:rPr>
          <w:rFonts w:asciiTheme="minorHAnsi" w:eastAsia="Calibri" w:hAnsiTheme="minorHAnsi" w:cstheme="minorHAnsi"/>
          <w:b/>
          <w:szCs w:val="22"/>
        </w:rPr>
        <w:t>epartmental response times</w:t>
      </w:r>
      <w:r w:rsidR="00943EA6" w:rsidRPr="006F6D48">
        <w:rPr>
          <w:rFonts w:asciiTheme="minorHAnsi" w:eastAsia="Calibri" w:hAnsiTheme="minorHAnsi" w:cstheme="minorHAnsi"/>
          <w:b/>
          <w:bCs/>
          <w:szCs w:val="22"/>
        </w:rPr>
        <w:t>:</w:t>
      </w:r>
    </w:p>
    <w:p w14:paraId="1BE373E5" w14:textId="0143C3D7" w:rsidR="00C9682D" w:rsidRPr="00E47847" w:rsidRDefault="00B03F03" w:rsidP="00110BCD">
      <w:pPr>
        <w:pStyle w:val="ListParagraph"/>
        <w:numPr>
          <w:ilvl w:val="2"/>
          <w:numId w:val="9"/>
        </w:numPr>
        <w:spacing w:before="120" w:after="120"/>
        <w:contextualSpacing w:val="0"/>
        <w:jc w:val="both"/>
        <w:rPr>
          <w:rFonts w:asciiTheme="minorHAnsi" w:eastAsia="Calibri" w:hAnsiTheme="minorHAnsi" w:cstheme="minorHAnsi"/>
          <w:szCs w:val="22"/>
        </w:rPr>
      </w:pPr>
      <w:r w:rsidRPr="00E47847">
        <w:rPr>
          <w:rFonts w:asciiTheme="minorHAnsi" w:eastAsia="Calibri" w:hAnsiTheme="minorHAnsi" w:cstheme="minorHAnsi"/>
          <w:szCs w:val="22"/>
        </w:rPr>
        <w:t>the current</w:t>
      </w:r>
      <w:r w:rsidR="0028618A" w:rsidRPr="00E47847">
        <w:rPr>
          <w:rFonts w:asciiTheme="minorHAnsi" w:eastAsia="Calibri" w:hAnsiTheme="minorHAnsi" w:cstheme="minorHAnsi"/>
          <w:szCs w:val="22"/>
        </w:rPr>
        <w:t xml:space="preserve"> </w:t>
      </w:r>
      <w:r w:rsidR="00233CB8" w:rsidRPr="00E47847">
        <w:rPr>
          <w:rFonts w:asciiTheme="minorHAnsi" w:eastAsia="Calibri" w:hAnsiTheme="minorHAnsi" w:cstheme="minorHAnsi"/>
          <w:szCs w:val="22"/>
        </w:rPr>
        <w:t xml:space="preserve">average </w:t>
      </w:r>
      <w:r w:rsidR="00FB5F78" w:rsidRPr="00E47847">
        <w:rPr>
          <w:rFonts w:asciiTheme="minorHAnsi" w:eastAsia="Calibri" w:hAnsiTheme="minorHAnsi" w:cstheme="minorHAnsi"/>
          <w:szCs w:val="22"/>
        </w:rPr>
        <w:t xml:space="preserve">response time for </w:t>
      </w:r>
      <w:hyperlink w:anchor="_Requirement_to_notify" w:history="1">
        <w:r w:rsidR="00FB5F78" w:rsidRPr="00E47847">
          <w:rPr>
            <w:rStyle w:val="Hyperlink"/>
            <w:rFonts w:asciiTheme="minorHAnsi" w:eastAsia="Calibri" w:hAnsiTheme="minorHAnsi" w:cstheme="minorHAnsi"/>
            <w:b/>
            <w:szCs w:val="22"/>
          </w:rPr>
          <w:t>breach notifications</w:t>
        </w:r>
      </w:hyperlink>
      <w:r w:rsidR="00FB5F78" w:rsidRPr="00E47847">
        <w:rPr>
          <w:rFonts w:asciiTheme="minorHAnsi" w:eastAsia="Calibri" w:hAnsiTheme="minorHAnsi" w:cstheme="minorHAnsi"/>
          <w:szCs w:val="22"/>
        </w:rPr>
        <w:t xml:space="preserve"> </w:t>
      </w:r>
      <w:r w:rsidRPr="00E47847">
        <w:rPr>
          <w:rFonts w:asciiTheme="minorHAnsi" w:eastAsia="Calibri" w:hAnsiTheme="minorHAnsi" w:cstheme="minorHAnsi"/>
          <w:szCs w:val="22"/>
        </w:rPr>
        <w:t>is</w:t>
      </w:r>
      <w:r w:rsidR="00233CB8" w:rsidRPr="00E47847">
        <w:rPr>
          <w:rFonts w:asciiTheme="minorHAnsi" w:eastAsia="Calibri" w:hAnsiTheme="minorHAnsi" w:cstheme="minorHAnsi"/>
          <w:szCs w:val="22"/>
        </w:rPr>
        <w:t xml:space="preserve"> 80 days. The department </w:t>
      </w:r>
      <w:r w:rsidR="002C0F68" w:rsidRPr="00E47847">
        <w:rPr>
          <w:rFonts w:asciiTheme="minorHAnsi" w:eastAsia="Calibri" w:hAnsiTheme="minorHAnsi" w:cstheme="minorHAnsi"/>
          <w:szCs w:val="22"/>
        </w:rPr>
        <w:t xml:space="preserve">notes </w:t>
      </w:r>
      <w:r w:rsidR="00A60392" w:rsidRPr="00E47847">
        <w:rPr>
          <w:rFonts w:asciiTheme="minorHAnsi" w:eastAsia="Calibri" w:hAnsiTheme="minorHAnsi" w:cstheme="minorHAnsi"/>
          <w:szCs w:val="22"/>
        </w:rPr>
        <w:t>its</w:t>
      </w:r>
      <w:r w:rsidR="006C1E34" w:rsidRPr="00E47847">
        <w:rPr>
          <w:rFonts w:asciiTheme="minorHAnsi" w:eastAsia="Calibri" w:hAnsiTheme="minorHAnsi" w:cstheme="minorHAnsi"/>
          <w:szCs w:val="22"/>
        </w:rPr>
        <w:t xml:space="preserve"> initial </w:t>
      </w:r>
      <w:r w:rsidR="00A60392" w:rsidRPr="00E47847">
        <w:rPr>
          <w:rFonts w:asciiTheme="minorHAnsi" w:eastAsia="Calibri" w:hAnsiTheme="minorHAnsi" w:cstheme="minorHAnsi"/>
          <w:szCs w:val="22"/>
        </w:rPr>
        <w:t xml:space="preserve">administrative </w:t>
      </w:r>
      <w:r w:rsidR="00241445" w:rsidRPr="00E47847">
        <w:rPr>
          <w:rFonts w:asciiTheme="minorHAnsi" w:eastAsia="Calibri" w:hAnsiTheme="minorHAnsi" w:cstheme="minorHAnsi"/>
          <w:szCs w:val="22"/>
        </w:rPr>
        <w:t xml:space="preserve">process </w:t>
      </w:r>
      <w:r w:rsidR="00A60392" w:rsidRPr="00E47847">
        <w:rPr>
          <w:rFonts w:asciiTheme="minorHAnsi" w:eastAsia="Calibri" w:hAnsiTheme="minorHAnsi" w:cstheme="minorHAnsi"/>
          <w:szCs w:val="22"/>
        </w:rPr>
        <w:t xml:space="preserve">to </w:t>
      </w:r>
      <w:r w:rsidR="003F68CF" w:rsidRPr="00E47847">
        <w:rPr>
          <w:rFonts w:asciiTheme="minorHAnsi" w:eastAsia="Calibri" w:hAnsiTheme="minorHAnsi" w:cstheme="minorHAnsi"/>
          <w:szCs w:val="22"/>
        </w:rPr>
        <w:t>respond to</w:t>
      </w:r>
      <w:r w:rsidR="001B37BC" w:rsidRPr="00E47847">
        <w:rPr>
          <w:rFonts w:asciiTheme="minorHAnsi" w:eastAsia="Calibri" w:hAnsiTheme="minorHAnsi" w:cstheme="minorHAnsi"/>
          <w:szCs w:val="22"/>
        </w:rPr>
        <w:t xml:space="preserve"> breach notifications </w:t>
      </w:r>
      <w:r w:rsidR="00241445" w:rsidRPr="00E47847">
        <w:rPr>
          <w:rFonts w:asciiTheme="minorHAnsi" w:eastAsia="Calibri" w:hAnsiTheme="minorHAnsi" w:cstheme="minorHAnsi"/>
          <w:szCs w:val="22"/>
        </w:rPr>
        <w:t xml:space="preserve">was established </w:t>
      </w:r>
      <w:r w:rsidR="00C0586D" w:rsidRPr="00E47847">
        <w:rPr>
          <w:rFonts w:asciiTheme="minorHAnsi" w:eastAsia="Calibri" w:hAnsiTheme="minorHAnsi" w:cstheme="minorHAnsi"/>
          <w:szCs w:val="22"/>
        </w:rPr>
        <w:t xml:space="preserve">expecting a </w:t>
      </w:r>
      <w:r w:rsidR="00AE1536" w:rsidRPr="00E47847">
        <w:rPr>
          <w:rFonts w:asciiTheme="minorHAnsi" w:eastAsia="Calibri" w:hAnsiTheme="minorHAnsi" w:cstheme="minorHAnsi"/>
          <w:szCs w:val="22"/>
        </w:rPr>
        <w:t xml:space="preserve">significantly </w:t>
      </w:r>
      <w:r w:rsidR="00C0586D" w:rsidRPr="00E47847">
        <w:rPr>
          <w:rFonts w:asciiTheme="minorHAnsi" w:eastAsia="Calibri" w:hAnsiTheme="minorHAnsi" w:cstheme="minorHAnsi"/>
          <w:szCs w:val="22"/>
        </w:rPr>
        <w:t xml:space="preserve">lower </w:t>
      </w:r>
      <w:r w:rsidR="000C3949" w:rsidRPr="00E47847">
        <w:rPr>
          <w:rFonts w:asciiTheme="minorHAnsi" w:eastAsia="Calibri" w:hAnsiTheme="minorHAnsi" w:cstheme="minorHAnsi"/>
          <w:szCs w:val="22"/>
        </w:rPr>
        <w:t xml:space="preserve">number </w:t>
      </w:r>
      <w:r w:rsidR="00C0586D" w:rsidRPr="00E47847">
        <w:rPr>
          <w:rFonts w:asciiTheme="minorHAnsi" w:eastAsia="Calibri" w:hAnsiTheme="minorHAnsi" w:cstheme="minorHAnsi"/>
          <w:szCs w:val="22"/>
        </w:rPr>
        <w:t xml:space="preserve">of notifications than was received in the first </w:t>
      </w:r>
      <w:r w:rsidR="0071165D" w:rsidRPr="00E47847">
        <w:rPr>
          <w:rFonts w:asciiTheme="minorHAnsi" w:eastAsia="Calibri" w:hAnsiTheme="minorHAnsi" w:cstheme="minorHAnsi"/>
          <w:szCs w:val="22"/>
        </w:rPr>
        <w:t>9</w:t>
      </w:r>
      <w:r w:rsidR="00C0586D" w:rsidRPr="00E47847">
        <w:rPr>
          <w:rFonts w:asciiTheme="minorHAnsi" w:eastAsia="Calibri" w:hAnsiTheme="minorHAnsi" w:cstheme="minorHAnsi"/>
          <w:szCs w:val="22"/>
        </w:rPr>
        <w:t xml:space="preserve"> months. T</w:t>
      </w:r>
      <w:r w:rsidR="002C0F68" w:rsidRPr="00E47847">
        <w:rPr>
          <w:rFonts w:asciiTheme="minorHAnsi" w:eastAsia="Calibri" w:hAnsiTheme="minorHAnsi" w:cstheme="minorHAnsi"/>
          <w:szCs w:val="22"/>
        </w:rPr>
        <w:t xml:space="preserve">he approach and processes to assess notifications </w:t>
      </w:r>
      <w:r w:rsidR="00153803" w:rsidRPr="00E47847">
        <w:rPr>
          <w:rFonts w:asciiTheme="minorHAnsi" w:eastAsia="Calibri" w:hAnsiTheme="minorHAnsi" w:cstheme="minorHAnsi"/>
          <w:szCs w:val="22"/>
        </w:rPr>
        <w:t>are</w:t>
      </w:r>
      <w:r w:rsidR="002C0F68" w:rsidRPr="00E47847">
        <w:rPr>
          <w:rFonts w:asciiTheme="minorHAnsi" w:eastAsia="Calibri" w:hAnsiTheme="minorHAnsi" w:cstheme="minorHAnsi"/>
          <w:szCs w:val="22"/>
        </w:rPr>
        <w:t xml:space="preserve"> well established, with further </w:t>
      </w:r>
      <w:r w:rsidR="007E1B14" w:rsidRPr="00E47847">
        <w:rPr>
          <w:rFonts w:asciiTheme="minorHAnsi" w:eastAsia="Calibri" w:hAnsiTheme="minorHAnsi" w:cstheme="minorHAnsi"/>
          <w:szCs w:val="22"/>
        </w:rPr>
        <w:t>improvements</w:t>
      </w:r>
      <w:r w:rsidR="002C0F68" w:rsidRPr="00E47847">
        <w:rPr>
          <w:rFonts w:asciiTheme="minorHAnsi" w:eastAsia="Calibri" w:hAnsiTheme="minorHAnsi" w:cstheme="minorHAnsi"/>
          <w:szCs w:val="22"/>
        </w:rPr>
        <w:t xml:space="preserve">, including automation </w:t>
      </w:r>
      <w:r w:rsidR="00C74CF2" w:rsidRPr="00E47847">
        <w:rPr>
          <w:rFonts w:asciiTheme="minorHAnsi" w:eastAsia="Calibri" w:hAnsiTheme="minorHAnsi" w:cstheme="minorHAnsi"/>
          <w:szCs w:val="22"/>
        </w:rPr>
        <w:t>through</w:t>
      </w:r>
      <w:r w:rsidR="002C0F68" w:rsidRPr="00E47847">
        <w:rPr>
          <w:rFonts w:asciiTheme="minorHAnsi" w:eastAsia="Calibri" w:hAnsiTheme="minorHAnsi" w:cstheme="minorHAnsi"/>
          <w:szCs w:val="22"/>
        </w:rPr>
        <w:t xml:space="preserve"> </w:t>
      </w:r>
      <w:r w:rsidR="00171851" w:rsidRPr="00E47847">
        <w:rPr>
          <w:rFonts w:asciiTheme="minorHAnsi" w:eastAsia="Calibri" w:hAnsiTheme="minorHAnsi" w:cstheme="minorHAnsi"/>
          <w:szCs w:val="22"/>
        </w:rPr>
        <w:t>the development of an online portal</w:t>
      </w:r>
      <w:r w:rsidR="00640994" w:rsidRPr="00E47847">
        <w:rPr>
          <w:rFonts w:asciiTheme="minorHAnsi" w:eastAsia="Calibri" w:hAnsiTheme="minorHAnsi" w:cstheme="minorHAnsi"/>
          <w:szCs w:val="22"/>
        </w:rPr>
        <w:t>,</w:t>
      </w:r>
      <w:r w:rsidR="00AB5B54" w:rsidRPr="00E47847">
        <w:rPr>
          <w:rFonts w:asciiTheme="minorHAnsi" w:eastAsia="Calibri" w:hAnsiTheme="minorHAnsi" w:cstheme="minorHAnsi"/>
          <w:szCs w:val="22"/>
        </w:rPr>
        <w:t xml:space="preserve"> </w:t>
      </w:r>
      <w:r w:rsidR="00C0586D" w:rsidRPr="00E47847">
        <w:rPr>
          <w:rFonts w:asciiTheme="minorHAnsi" w:eastAsia="Calibri" w:hAnsiTheme="minorHAnsi" w:cstheme="minorHAnsi"/>
          <w:szCs w:val="22"/>
        </w:rPr>
        <w:t>expected to</w:t>
      </w:r>
      <w:r w:rsidR="00171851" w:rsidRPr="00E47847">
        <w:rPr>
          <w:rFonts w:asciiTheme="minorHAnsi" w:eastAsia="Calibri" w:hAnsiTheme="minorHAnsi" w:cstheme="minorHAnsi"/>
          <w:szCs w:val="22"/>
        </w:rPr>
        <w:t xml:space="preserve"> dramatically improve response </w:t>
      </w:r>
      <w:r w:rsidR="005505AB" w:rsidRPr="00E47847">
        <w:rPr>
          <w:rFonts w:asciiTheme="minorHAnsi" w:eastAsia="Calibri" w:hAnsiTheme="minorHAnsi" w:cstheme="minorHAnsi"/>
          <w:szCs w:val="22"/>
        </w:rPr>
        <w:t xml:space="preserve">times </w:t>
      </w:r>
      <w:proofErr w:type="gramStart"/>
      <w:r w:rsidR="005505AB" w:rsidRPr="00E47847">
        <w:rPr>
          <w:rFonts w:asciiTheme="minorHAnsi" w:eastAsia="Calibri" w:hAnsiTheme="minorHAnsi" w:cstheme="minorHAnsi"/>
          <w:szCs w:val="22"/>
        </w:rPr>
        <w:t>and also</w:t>
      </w:r>
      <w:proofErr w:type="gramEnd"/>
      <w:r w:rsidR="005505AB" w:rsidRPr="00E47847">
        <w:rPr>
          <w:rFonts w:asciiTheme="minorHAnsi" w:eastAsia="Calibri" w:hAnsiTheme="minorHAnsi" w:cstheme="minorHAnsi"/>
          <w:szCs w:val="22"/>
        </w:rPr>
        <w:t xml:space="preserve"> management of breaches</w:t>
      </w:r>
      <w:r w:rsidR="00C0586D" w:rsidRPr="00E47847">
        <w:rPr>
          <w:rFonts w:asciiTheme="minorHAnsi" w:eastAsia="Calibri" w:hAnsiTheme="minorHAnsi" w:cstheme="minorHAnsi"/>
          <w:szCs w:val="22"/>
        </w:rPr>
        <w:t>.</w:t>
      </w:r>
    </w:p>
    <w:p w14:paraId="50566835" w14:textId="1BFF94A0" w:rsidR="00521D70" w:rsidRPr="00E47847" w:rsidRDefault="00A463CE" w:rsidP="00597E65">
      <w:pPr>
        <w:pStyle w:val="ListParagraph"/>
        <w:numPr>
          <w:ilvl w:val="2"/>
          <w:numId w:val="9"/>
        </w:numPr>
        <w:spacing w:before="120" w:after="120"/>
        <w:contextualSpacing w:val="0"/>
        <w:jc w:val="both"/>
        <w:rPr>
          <w:rFonts w:asciiTheme="minorHAnsi" w:eastAsia="Calibri" w:hAnsiTheme="minorHAnsi" w:cstheme="minorHAnsi"/>
          <w:szCs w:val="22"/>
        </w:rPr>
      </w:pPr>
      <w:r w:rsidRPr="00E47847">
        <w:rPr>
          <w:rFonts w:asciiTheme="minorHAnsi" w:eastAsia="Calibri" w:hAnsiTheme="minorHAnsi" w:cstheme="minorHAnsi"/>
          <w:szCs w:val="22"/>
        </w:rPr>
        <w:t>over 99% of applications for</w:t>
      </w:r>
      <w:r w:rsidR="006C1E34" w:rsidRPr="00E47847">
        <w:rPr>
          <w:rFonts w:asciiTheme="minorHAnsi" w:eastAsia="Calibri" w:hAnsiTheme="minorHAnsi" w:cstheme="minorHAnsi"/>
          <w:szCs w:val="22"/>
        </w:rPr>
        <w:t xml:space="preserve"> </w:t>
      </w:r>
      <w:hyperlink w:anchor="_Ministerial_determination_of" w:history="1">
        <w:r w:rsidR="003D7422" w:rsidRPr="00E47847">
          <w:rPr>
            <w:rStyle w:val="Hyperlink"/>
            <w:rFonts w:asciiTheme="minorHAnsi" w:eastAsia="Calibri" w:hAnsiTheme="minorHAnsi" w:cstheme="minorHAnsi"/>
            <w:b/>
            <w:szCs w:val="22"/>
          </w:rPr>
          <w:t>M</w:t>
        </w:r>
        <w:r w:rsidR="002947D7" w:rsidRPr="00E47847">
          <w:rPr>
            <w:rStyle w:val="Hyperlink"/>
            <w:rFonts w:asciiTheme="minorHAnsi" w:eastAsia="Calibri" w:hAnsiTheme="minorHAnsi" w:cstheme="minorHAnsi"/>
            <w:b/>
            <w:szCs w:val="22"/>
          </w:rPr>
          <w:t>inisterial determinations</w:t>
        </w:r>
      </w:hyperlink>
      <w:r w:rsidR="00B303A2" w:rsidRPr="00E47847">
        <w:rPr>
          <w:rFonts w:asciiTheme="minorHAnsi" w:eastAsia="Calibri" w:hAnsiTheme="minorHAnsi" w:cstheme="minorHAnsi"/>
          <w:szCs w:val="22"/>
        </w:rPr>
        <w:t xml:space="preserve"> w</w:t>
      </w:r>
      <w:r w:rsidR="00C478A3" w:rsidRPr="00E47847">
        <w:rPr>
          <w:rFonts w:asciiTheme="minorHAnsi" w:eastAsia="Calibri" w:hAnsiTheme="minorHAnsi" w:cstheme="minorHAnsi"/>
          <w:szCs w:val="22"/>
        </w:rPr>
        <w:t>ere</w:t>
      </w:r>
      <w:r w:rsidR="00B303A2" w:rsidRPr="00E47847">
        <w:rPr>
          <w:rFonts w:asciiTheme="minorHAnsi" w:eastAsia="Calibri" w:hAnsiTheme="minorHAnsi" w:cstheme="minorHAnsi"/>
          <w:szCs w:val="22"/>
        </w:rPr>
        <w:t xml:space="preserve"> processed </w:t>
      </w:r>
      <w:r w:rsidR="0060159A" w:rsidRPr="00E47847">
        <w:rPr>
          <w:rFonts w:asciiTheme="minorHAnsi" w:eastAsia="Calibri" w:hAnsiTheme="minorHAnsi" w:cstheme="minorHAnsi"/>
          <w:szCs w:val="22"/>
        </w:rPr>
        <w:t xml:space="preserve">in accordance with the </w:t>
      </w:r>
      <w:r w:rsidR="006048B5" w:rsidRPr="00E47847">
        <w:rPr>
          <w:rFonts w:asciiTheme="minorHAnsi" w:eastAsia="Calibri" w:hAnsiTheme="minorHAnsi" w:cstheme="minorHAnsi"/>
          <w:szCs w:val="22"/>
        </w:rPr>
        <w:t>timeframes</w:t>
      </w:r>
      <w:r w:rsidR="00616A02" w:rsidRPr="00E47847">
        <w:rPr>
          <w:rFonts w:asciiTheme="minorHAnsi" w:eastAsia="Calibri" w:hAnsiTheme="minorHAnsi" w:cstheme="minorHAnsi"/>
          <w:szCs w:val="22"/>
        </w:rPr>
        <w:t xml:space="preserve"> published in the </w:t>
      </w:r>
      <w:hyperlink r:id="rId20" w:history="1">
        <w:r w:rsidR="00616A02" w:rsidRPr="00E47847">
          <w:rPr>
            <w:rStyle w:val="Hyperlink"/>
            <w:rFonts w:asciiTheme="minorHAnsi" w:eastAsia="Calibri" w:hAnsiTheme="minorHAnsi" w:cstheme="minorHAnsi"/>
            <w:szCs w:val="22"/>
          </w:rPr>
          <w:t>PBS Stockholding Guidelines</w:t>
        </w:r>
      </w:hyperlink>
      <w:r w:rsidR="00D10471" w:rsidRPr="00E47847">
        <w:rPr>
          <w:rFonts w:asciiTheme="minorHAnsi" w:eastAsia="Calibri" w:hAnsiTheme="minorHAnsi" w:cstheme="minorHAnsi"/>
          <w:szCs w:val="22"/>
        </w:rPr>
        <w:t xml:space="preserve"> (indicative outcomes </w:t>
      </w:r>
      <w:r w:rsidR="002C3DAB" w:rsidRPr="00E47847">
        <w:rPr>
          <w:rFonts w:asciiTheme="minorHAnsi" w:eastAsia="Calibri" w:hAnsiTheme="minorHAnsi" w:cstheme="minorHAnsi"/>
          <w:szCs w:val="22"/>
        </w:rPr>
        <w:t>were</w:t>
      </w:r>
      <w:r w:rsidR="00D10471" w:rsidRPr="00E47847">
        <w:rPr>
          <w:rFonts w:asciiTheme="minorHAnsi" w:eastAsia="Calibri" w:hAnsiTheme="minorHAnsi" w:cstheme="minorHAnsi"/>
          <w:szCs w:val="22"/>
        </w:rPr>
        <w:t xml:space="preserve"> provided within 30 business days</w:t>
      </w:r>
      <w:r w:rsidR="006623C2" w:rsidRPr="00E47847">
        <w:rPr>
          <w:rFonts w:asciiTheme="minorHAnsi" w:eastAsia="Calibri" w:hAnsiTheme="minorHAnsi" w:cstheme="minorHAnsi"/>
          <w:szCs w:val="22"/>
        </w:rPr>
        <w:t xml:space="preserve"> for ongoing </w:t>
      </w:r>
      <w:r w:rsidR="002C3DAB" w:rsidRPr="00E47847">
        <w:rPr>
          <w:rFonts w:asciiTheme="minorHAnsi" w:eastAsia="Calibri" w:hAnsiTheme="minorHAnsi" w:cstheme="minorHAnsi"/>
          <w:szCs w:val="22"/>
        </w:rPr>
        <w:t>application</w:t>
      </w:r>
      <w:r w:rsidR="006623C2" w:rsidRPr="00E47847">
        <w:rPr>
          <w:rFonts w:asciiTheme="minorHAnsi" w:eastAsia="Calibri" w:hAnsiTheme="minorHAnsi" w:cstheme="minorHAnsi"/>
          <w:szCs w:val="22"/>
        </w:rPr>
        <w:t>s and within 50 business days for the initial bulk</w:t>
      </w:r>
      <w:r w:rsidR="00430DD3" w:rsidRPr="00E47847">
        <w:rPr>
          <w:rFonts w:asciiTheme="minorHAnsi" w:eastAsia="Calibri" w:hAnsiTheme="minorHAnsi" w:cstheme="minorHAnsi"/>
          <w:szCs w:val="22"/>
        </w:rPr>
        <w:t xml:space="preserve"> round</w:t>
      </w:r>
      <w:r w:rsidR="00DE0E68" w:rsidRPr="00E47847">
        <w:rPr>
          <w:rFonts w:asciiTheme="minorHAnsi" w:eastAsia="Calibri" w:hAnsiTheme="minorHAnsi" w:cstheme="minorHAnsi"/>
          <w:szCs w:val="22"/>
        </w:rPr>
        <w:t xml:space="preserve"> which opened </w:t>
      </w:r>
      <w:r w:rsidR="00431E8D" w:rsidRPr="00E47847">
        <w:rPr>
          <w:rFonts w:asciiTheme="minorHAnsi" w:eastAsia="Calibri" w:hAnsiTheme="minorHAnsi" w:cstheme="minorHAnsi"/>
          <w:szCs w:val="22"/>
        </w:rPr>
        <w:t>21 October 2022</w:t>
      </w:r>
      <w:r w:rsidR="006623C2" w:rsidRPr="00E47847">
        <w:rPr>
          <w:rFonts w:asciiTheme="minorHAnsi" w:eastAsia="Calibri" w:hAnsiTheme="minorHAnsi" w:cstheme="minorHAnsi"/>
          <w:szCs w:val="22"/>
        </w:rPr>
        <w:t>)</w:t>
      </w:r>
      <w:r w:rsidR="006048B5" w:rsidRPr="00E47847">
        <w:rPr>
          <w:rFonts w:asciiTheme="minorHAnsi" w:eastAsia="Calibri" w:hAnsiTheme="minorHAnsi" w:cstheme="minorHAnsi"/>
          <w:szCs w:val="22"/>
        </w:rPr>
        <w:t>.</w:t>
      </w:r>
    </w:p>
    <w:p w14:paraId="6438B9B6" w14:textId="069A0BF9" w:rsidR="006F6D48" w:rsidRPr="00521D70" w:rsidRDefault="002947D7" w:rsidP="00597E65">
      <w:pPr>
        <w:pStyle w:val="ListParagraph"/>
        <w:numPr>
          <w:ilvl w:val="1"/>
          <w:numId w:val="9"/>
        </w:numPr>
        <w:spacing w:before="120" w:after="120"/>
        <w:contextualSpacing w:val="0"/>
        <w:jc w:val="both"/>
        <w:rPr>
          <w:rFonts w:asciiTheme="minorHAnsi" w:eastAsia="Calibri" w:hAnsiTheme="minorHAnsi" w:cstheme="minorHAnsi"/>
          <w:szCs w:val="22"/>
        </w:rPr>
      </w:pPr>
      <w:r w:rsidRPr="00521D70">
        <w:rPr>
          <w:rFonts w:asciiTheme="minorHAnsi" w:eastAsia="Calibri" w:hAnsiTheme="minorHAnsi" w:cstheme="minorHAnsi"/>
          <w:b/>
          <w:szCs w:val="22"/>
        </w:rPr>
        <w:t>Experience with reporting systems:</w:t>
      </w:r>
      <w:r w:rsidRPr="00521D70">
        <w:rPr>
          <w:rFonts w:asciiTheme="minorHAnsi" w:eastAsia="Calibri" w:hAnsiTheme="minorHAnsi" w:cstheme="minorHAnsi"/>
          <w:szCs w:val="22"/>
        </w:rPr>
        <w:t xml:space="preserve"> overall, industry was satisfied with the clarity of instructions for notifications, disclosures, and designated brands lists</w:t>
      </w:r>
      <w:r w:rsidR="00390636">
        <w:rPr>
          <w:rFonts w:asciiTheme="minorHAnsi" w:eastAsia="Calibri" w:hAnsiTheme="minorHAnsi" w:cstheme="minorHAnsi"/>
          <w:szCs w:val="22"/>
        </w:rPr>
        <w:t>,</w:t>
      </w:r>
      <w:r w:rsidRPr="00521D70">
        <w:rPr>
          <w:rFonts w:asciiTheme="minorHAnsi" w:eastAsia="Calibri" w:hAnsiTheme="minorHAnsi" w:cstheme="minorHAnsi"/>
          <w:szCs w:val="22"/>
        </w:rPr>
        <w:t xml:space="preserve"> but many RPs raised the issue of </w:t>
      </w:r>
      <w:r w:rsidR="00BE3EF0">
        <w:rPr>
          <w:rFonts w:asciiTheme="minorHAnsi" w:eastAsia="Calibri" w:hAnsiTheme="minorHAnsi" w:cstheme="minorHAnsi"/>
          <w:szCs w:val="22"/>
        </w:rPr>
        <w:t xml:space="preserve">the </w:t>
      </w:r>
      <w:r w:rsidRPr="00521D70">
        <w:rPr>
          <w:rFonts w:asciiTheme="minorHAnsi" w:eastAsia="Calibri" w:hAnsiTheme="minorHAnsi" w:cstheme="minorHAnsi"/>
          <w:szCs w:val="22"/>
        </w:rPr>
        <w:t xml:space="preserve">breach notification process being </w:t>
      </w:r>
      <w:r w:rsidR="002E543E" w:rsidRPr="00521D70">
        <w:rPr>
          <w:rFonts w:asciiTheme="minorHAnsi" w:eastAsia="Calibri" w:hAnsiTheme="minorHAnsi" w:cstheme="minorHAnsi"/>
          <w:szCs w:val="22"/>
        </w:rPr>
        <w:t>time consuming</w:t>
      </w:r>
      <w:r w:rsidR="00D12031">
        <w:rPr>
          <w:rFonts w:asciiTheme="minorHAnsi" w:eastAsia="Calibri" w:hAnsiTheme="minorHAnsi" w:cstheme="minorHAnsi"/>
          <w:szCs w:val="22"/>
        </w:rPr>
        <w:t xml:space="preserve"> and administratively burdensome</w:t>
      </w:r>
      <w:r w:rsidRPr="00521D70">
        <w:rPr>
          <w:rFonts w:asciiTheme="minorHAnsi" w:eastAsia="Calibri" w:hAnsiTheme="minorHAnsi" w:cstheme="minorHAnsi"/>
          <w:szCs w:val="22"/>
        </w:rPr>
        <w:t>.</w:t>
      </w:r>
    </w:p>
    <w:p w14:paraId="28C1FBEC" w14:textId="12F1A2B5" w:rsidR="002947D7" w:rsidRPr="00B8379A" w:rsidRDefault="002947D7" w:rsidP="00597E65">
      <w:pPr>
        <w:pStyle w:val="Paragraphtext"/>
        <w:numPr>
          <w:ilvl w:val="0"/>
          <w:numId w:val="7"/>
        </w:numPr>
        <w:rPr>
          <w:lang w:val="en-US"/>
        </w:rPr>
      </w:pPr>
      <w:r w:rsidRPr="00B8379A">
        <w:rPr>
          <w:b/>
        </w:rPr>
        <w:t>Administrative efficiency</w:t>
      </w:r>
      <w:r w:rsidRPr="001F7BAF">
        <w:rPr>
          <w:lang w:val="en-US"/>
        </w:rPr>
        <w:t xml:space="preserve"> </w:t>
      </w:r>
      <w:r w:rsidRPr="00B8379A">
        <w:rPr>
          <w:lang w:val="en-US"/>
        </w:rPr>
        <w:t xml:space="preserve">– </w:t>
      </w:r>
      <w:r w:rsidRPr="00B8379A">
        <w:t xml:space="preserve">the </w:t>
      </w:r>
      <w:r w:rsidR="00D030A8" w:rsidRPr="00B8379A">
        <w:t>department experienced an unexpected and significant number of breach noti</w:t>
      </w:r>
      <w:r w:rsidR="00E67CD1" w:rsidRPr="00B8379A">
        <w:t>fi</w:t>
      </w:r>
      <w:r w:rsidR="00D030A8" w:rsidRPr="00B8379A">
        <w:t>cations submitted by RPs</w:t>
      </w:r>
      <w:r w:rsidR="009C5F0E">
        <w:t xml:space="preserve">. </w:t>
      </w:r>
      <w:r w:rsidRPr="00B8379A">
        <w:rPr>
          <w:lang w:val="en-US"/>
        </w:rPr>
        <w:t xml:space="preserve">This has led to significant </w:t>
      </w:r>
      <w:r w:rsidR="00661A0D" w:rsidRPr="0017077D">
        <w:rPr>
          <w:lang w:val="en-US"/>
        </w:rPr>
        <w:t>administrative</w:t>
      </w:r>
      <w:r w:rsidR="00661A0D">
        <w:rPr>
          <w:lang w:val="en-US"/>
        </w:rPr>
        <w:t xml:space="preserve"> </w:t>
      </w:r>
      <w:r w:rsidRPr="00B8379A">
        <w:rPr>
          <w:lang w:val="en-US"/>
        </w:rPr>
        <w:t xml:space="preserve">pressures which </w:t>
      </w:r>
      <w:r w:rsidR="00625AA5" w:rsidRPr="00B8379A">
        <w:rPr>
          <w:lang w:val="en-US"/>
        </w:rPr>
        <w:t xml:space="preserve">the review proposes to address with improved </w:t>
      </w:r>
      <w:r w:rsidR="003E68CB" w:rsidRPr="00B8379A">
        <w:rPr>
          <w:lang w:val="en-US"/>
        </w:rPr>
        <w:t>systems for reporting breach notifications</w:t>
      </w:r>
      <w:r w:rsidRPr="00B8379A">
        <w:rPr>
          <w:lang w:val="en-US"/>
        </w:rPr>
        <w:t>.</w:t>
      </w:r>
    </w:p>
    <w:p w14:paraId="34EA4CB9" w14:textId="6D0439DB" w:rsidR="002947D7" w:rsidRPr="00214B9A" w:rsidRDefault="002947D7" w:rsidP="00597E65">
      <w:pPr>
        <w:pStyle w:val="ListParagraph"/>
        <w:numPr>
          <w:ilvl w:val="0"/>
          <w:numId w:val="7"/>
        </w:numPr>
        <w:spacing w:before="120" w:after="120"/>
        <w:contextualSpacing w:val="0"/>
        <w:jc w:val="both"/>
        <w:rPr>
          <w:rFonts w:asciiTheme="minorHAnsi" w:eastAsia="Calibri" w:hAnsiTheme="minorHAnsi" w:cstheme="minorHAnsi"/>
          <w:szCs w:val="22"/>
        </w:rPr>
      </w:pPr>
      <w:r w:rsidRPr="00214B9A">
        <w:rPr>
          <w:rFonts w:asciiTheme="minorHAnsi" w:eastAsia="Calibri" w:hAnsiTheme="minorHAnsi" w:cstheme="minorHAnsi"/>
          <w:b/>
          <w:szCs w:val="22"/>
        </w:rPr>
        <w:t>Compliance with stockholding requirements</w:t>
      </w:r>
      <w:r w:rsidRPr="00214B9A">
        <w:rPr>
          <w:rFonts w:asciiTheme="minorHAnsi" w:eastAsia="Calibri" w:hAnsiTheme="minorHAnsi" w:cstheme="minorHAnsi"/>
          <w:szCs w:val="22"/>
        </w:rPr>
        <w:t>:</w:t>
      </w:r>
    </w:p>
    <w:p w14:paraId="1B8E33B2" w14:textId="46CE3AD2" w:rsidR="002947D7" w:rsidRPr="00214B9A" w:rsidRDefault="003D7E63" w:rsidP="00597E65">
      <w:pPr>
        <w:pStyle w:val="ListParagraph"/>
        <w:numPr>
          <w:ilvl w:val="1"/>
          <w:numId w:val="10"/>
        </w:numPr>
        <w:spacing w:before="120" w:after="120"/>
        <w:contextualSpacing w:val="0"/>
        <w:jc w:val="both"/>
        <w:rPr>
          <w:rFonts w:asciiTheme="minorHAnsi" w:eastAsia="Calibri" w:hAnsiTheme="minorHAnsi" w:cstheme="minorHAnsi"/>
          <w:szCs w:val="22"/>
        </w:rPr>
      </w:pPr>
      <w:r w:rsidRPr="00214B9A">
        <w:rPr>
          <w:rFonts w:asciiTheme="minorHAnsi" w:eastAsia="Calibri" w:hAnsiTheme="minorHAnsi" w:cstheme="minorHAnsi"/>
          <w:b/>
          <w:bCs/>
          <w:szCs w:val="22"/>
        </w:rPr>
        <w:t xml:space="preserve">Rate of compliance with MSR: </w:t>
      </w:r>
      <w:r w:rsidR="00ED7626" w:rsidRPr="00214B9A">
        <w:rPr>
          <w:rFonts w:asciiTheme="minorHAnsi" w:eastAsia="Calibri" w:hAnsiTheme="minorHAnsi" w:cstheme="minorHAnsi"/>
          <w:szCs w:val="22"/>
        </w:rPr>
        <w:t xml:space="preserve">of all brands </w:t>
      </w:r>
      <w:r w:rsidR="003D72DE" w:rsidRPr="00214B9A">
        <w:rPr>
          <w:rFonts w:asciiTheme="minorHAnsi" w:eastAsia="Calibri" w:hAnsiTheme="minorHAnsi" w:cstheme="minorHAnsi"/>
          <w:szCs w:val="22"/>
        </w:rPr>
        <w:t>subject to the MSR</w:t>
      </w:r>
      <w:r w:rsidR="00DE2016" w:rsidRPr="00214B9A">
        <w:rPr>
          <w:rFonts w:asciiTheme="minorHAnsi" w:eastAsia="Calibri" w:hAnsiTheme="minorHAnsi" w:cstheme="minorHAnsi"/>
          <w:szCs w:val="22"/>
        </w:rPr>
        <w:t>,</w:t>
      </w:r>
      <w:r w:rsidR="003D72DE" w:rsidRPr="00214B9A">
        <w:rPr>
          <w:rFonts w:asciiTheme="minorHAnsi" w:eastAsia="Calibri" w:hAnsiTheme="minorHAnsi" w:cstheme="minorHAnsi"/>
          <w:szCs w:val="22"/>
        </w:rPr>
        <w:t xml:space="preserve"> </w:t>
      </w:r>
      <w:r w:rsidR="008333C0" w:rsidRPr="00214B9A">
        <w:rPr>
          <w:rFonts w:asciiTheme="minorHAnsi" w:eastAsia="Calibri" w:hAnsiTheme="minorHAnsi" w:cstheme="minorHAnsi"/>
          <w:szCs w:val="22"/>
        </w:rPr>
        <w:t xml:space="preserve">over </w:t>
      </w:r>
      <w:r w:rsidR="008333C0" w:rsidRPr="00B8379A">
        <w:rPr>
          <w:rFonts w:asciiTheme="minorHAnsi" w:eastAsia="Calibri" w:hAnsiTheme="minorHAnsi" w:cstheme="minorHAnsi"/>
          <w:b/>
          <w:bCs/>
          <w:szCs w:val="22"/>
        </w:rPr>
        <w:t>91%</w:t>
      </w:r>
      <w:r w:rsidR="003D72DE" w:rsidRPr="00214B9A">
        <w:rPr>
          <w:rFonts w:asciiTheme="minorHAnsi" w:eastAsia="Calibri" w:hAnsiTheme="minorHAnsi" w:cstheme="minorHAnsi"/>
          <w:szCs w:val="22"/>
        </w:rPr>
        <w:t xml:space="preserve"> reported a compliant stockholding</w:t>
      </w:r>
      <w:r w:rsidR="00152AA5">
        <w:rPr>
          <w:rFonts w:asciiTheme="minorHAnsi" w:eastAsia="Calibri" w:hAnsiTheme="minorHAnsi" w:cstheme="minorHAnsi"/>
          <w:szCs w:val="22"/>
        </w:rPr>
        <w:t xml:space="preserve"> for at least one month</w:t>
      </w:r>
      <w:r w:rsidR="009062FE" w:rsidRPr="00214B9A">
        <w:rPr>
          <w:rFonts w:asciiTheme="minorHAnsi" w:eastAsia="Calibri" w:hAnsiTheme="minorHAnsi" w:cstheme="minorHAnsi"/>
          <w:szCs w:val="22"/>
        </w:rPr>
        <w:t xml:space="preserve"> during the first 9 months</w:t>
      </w:r>
      <w:r w:rsidR="00911235">
        <w:rPr>
          <w:rFonts w:asciiTheme="minorHAnsi" w:eastAsia="Calibri" w:hAnsiTheme="minorHAnsi" w:cstheme="minorHAnsi"/>
          <w:szCs w:val="22"/>
        </w:rPr>
        <w:t>,</w:t>
      </w:r>
      <w:r w:rsidR="001F7E2F">
        <w:rPr>
          <w:rStyle w:val="FootnoteReference"/>
          <w:rFonts w:asciiTheme="minorHAnsi" w:eastAsia="Calibri" w:hAnsiTheme="minorHAnsi" w:cstheme="minorHAnsi"/>
          <w:szCs w:val="22"/>
        </w:rPr>
        <w:footnoteReference w:id="2"/>
      </w:r>
      <w:r w:rsidR="00B27D90" w:rsidRPr="00214B9A">
        <w:rPr>
          <w:rFonts w:asciiTheme="minorHAnsi" w:eastAsia="Calibri" w:hAnsiTheme="minorHAnsi" w:cstheme="minorHAnsi"/>
          <w:szCs w:val="22"/>
        </w:rPr>
        <w:t xml:space="preserve"> </w:t>
      </w:r>
      <w:r w:rsidR="00D1069E" w:rsidRPr="00B8379A">
        <w:rPr>
          <w:rFonts w:asciiTheme="minorHAnsi" w:eastAsia="Calibri" w:hAnsiTheme="minorHAnsi" w:cstheme="minorHAnsi"/>
          <w:b/>
          <w:bCs/>
          <w:szCs w:val="22"/>
        </w:rPr>
        <w:t>75%</w:t>
      </w:r>
      <w:r w:rsidR="00D1069E" w:rsidRPr="00214B9A">
        <w:rPr>
          <w:rFonts w:asciiTheme="minorHAnsi" w:eastAsia="Calibri" w:hAnsiTheme="minorHAnsi" w:cstheme="minorHAnsi"/>
          <w:szCs w:val="22"/>
        </w:rPr>
        <w:t xml:space="preserve"> </w:t>
      </w:r>
      <w:r w:rsidR="002E3129" w:rsidRPr="00214B9A">
        <w:rPr>
          <w:rFonts w:asciiTheme="minorHAnsi" w:eastAsia="Calibri" w:hAnsiTheme="minorHAnsi" w:cstheme="minorHAnsi"/>
          <w:szCs w:val="22"/>
        </w:rPr>
        <w:t xml:space="preserve">were </w:t>
      </w:r>
      <w:r w:rsidR="00D1069E" w:rsidRPr="00214B9A">
        <w:rPr>
          <w:rFonts w:asciiTheme="minorHAnsi" w:eastAsia="Calibri" w:hAnsiTheme="minorHAnsi" w:cstheme="minorHAnsi"/>
          <w:szCs w:val="22"/>
        </w:rPr>
        <w:t xml:space="preserve">compliant for </w:t>
      </w:r>
      <w:proofErr w:type="gramStart"/>
      <w:r w:rsidR="00B27D90" w:rsidRPr="00214B9A">
        <w:rPr>
          <w:rFonts w:asciiTheme="minorHAnsi" w:eastAsia="Calibri" w:hAnsiTheme="minorHAnsi" w:cstheme="minorHAnsi"/>
          <w:szCs w:val="22"/>
        </w:rPr>
        <w:t>the majority of</w:t>
      </w:r>
      <w:proofErr w:type="gramEnd"/>
      <w:r w:rsidR="00B27D90" w:rsidRPr="00214B9A">
        <w:rPr>
          <w:rFonts w:asciiTheme="minorHAnsi" w:eastAsia="Calibri" w:hAnsiTheme="minorHAnsi" w:cstheme="minorHAnsi"/>
          <w:szCs w:val="22"/>
        </w:rPr>
        <w:t xml:space="preserve"> the</w:t>
      </w:r>
      <w:r w:rsidR="00D1069E" w:rsidRPr="00214B9A">
        <w:rPr>
          <w:rFonts w:asciiTheme="minorHAnsi" w:eastAsia="Calibri" w:hAnsiTheme="minorHAnsi" w:cstheme="minorHAnsi"/>
          <w:szCs w:val="22"/>
        </w:rPr>
        <w:t xml:space="preserve"> period</w:t>
      </w:r>
      <w:r w:rsidR="000E7483">
        <w:rPr>
          <w:rFonts w:asciiTheme="minorHAnsi" w:eastAsia="Calibri" w:hAnsiTheme="minorHAnsi" w:cstheme="minorHAnsi"/>
          <w:szCs w:val="22"/>
        </w:rPr>
        <w:t>,</w:t>
      </w:r>
      <w:r w:rsidR="00D1069E" w:rsidRPr="00214B9A">
        <w:rPr>
          <w:rFonts w:asciiTheme="minorHAnsi" w:eastAsia="Calibri" w:hAnsiTheme="minorHAnsi" w:cstheme="minorHAnsi"/>
          <w:szCs w:val="22"/>
        </w:rPr>
        <w:t xml:space="preserve"> and </w:t>
      </w:r>
      <w:r w:rsidR="00D1069E" w:rsidRPr="00B8379A">
        <w:rPr>
          <w:rFonts w:asciiTheme="minorHAnsi" w:eastAsia="Calibri" w:hAnsiTheme="minorHAnsi" w:cstheme="minorHAnsi"/>
          <w:b/>
          <w:bCs/>
          <w:szCs w:val="22"/>
        </w:rPr>
        <w:t>45%</w:t>
      </w:r>
      <w:r w:rsidR="00D1069E" w:rsidRPr="00214B9A">
        <w:rPr>
          <w:rFonts w:asciiTheme="minorHAnsi" w:eastAsia="Calibri" w:hAnsiTheme="minorHAnsi" w:cstheme="minorHAnsi"/>
          <w:szCs w:val="22"/>
        </w:rPr>
        <w:t xml:space="preserve"> </w:t>
      </w:r>
      <w:r w:rsidR="000E7483">
        <w:rPr>
          <w:rFonts w:asciiTheme="minorHAnsi" w:eastAsia="Calibri" w:hAnsiTheme="minorHAnsi" w:cstheme="minorHAnsi"/>
          <w:szCs w:val="22"/>
        </w:rPr>
        <w:t xml:space="preserve">were </w:t>
      </w:r>
      <w:r w:rsidR="00D1069E" w:rsidRPr="00214B9A">
        <w:rPr>
          <w:rFonts w:asciiTheme="minorHAnsi" w:eastAsia="Calibri" w:hAnsiTheme="minorHAnsi" w:cstheme="minorHAnsi"/>
          <w:szCs w:val="22"/>
        </w:rPr>
        <w:t xml:space="preserve">fully compliant for the full </w:t>
      </w:r>
      <w:r w:rsidR="006F4E8A">
        <w:rPr>
          <w:rFonts w:asciiTheme="minorHAnsi" w:eastAsia="Calibri" w:hAnsiTheme="minorHAnsi" w:cstheme="minorHAnsi"/>
          <w:szCs w:val="22"/>
        </w:rPr>
        <w:t>9-month</w:t>
      </w:r>
      <w:r w:rsidR="00276AEB">
        <w:rPr>
          <w:rFonts w:asciiTheme="minorHAnsi" w:eastAsia="Calibri" w:hAnsiTheme="minorHAnsi" w:cstheme="minorHAnsi"/>
          <w:szCs w:val="22"/>
        </w:rPr>
        <w:t xml:space="preserve"> </w:t>
      </w:r>
      <w:r w:rsidR="00D1069E" w:rsidRPr="00214B9A">
        <w:rPr>
          <w:rFonts w:asciiTheme="minorHAnsi" w:eastAsia="Calibri" w:hAnsiTheme="minorHAnsi" w:cstheme="minorHAnsi"/>
          <w:szCs w:val="22"/>
        </w:rPr>
        <w:t>period</w:t>
      </w:r>
      <w:r w:rsidR="003A29DB" w:rsidRPr="00214B9A">
        <w:rPr>
          <w:rFonts w:asciiTheme="minorHAnsi" w:eastAsia="Calibri" w:hAnsiTheme="minorHAnsi" w:cstheme="minorHAnsi"/>
          <w:szCs w:val="22"/>
        </w:rPr>
        <w:t>.</w:t>
      </w:r>
      <w:r w:rsidR="00B27D90" w:rsidRPr="00214B9A">
        <w:rPr>
          <w:rFonts w:asciiTheme="minorHAnsi" w:eastAsiaTheme="minorEastAsia" w:hAnsiTheme="minorHAnsi" w:cstheme="minorHAnsi"/>
          <w:szCs w:val="22"/>
        </w:rPr>
        <w:t xml:space="preserve"> </w:t>
      </w:r>
      <w:r w:rsidR="003A29DB" w:rsidRPr="00214B9A">
        <w:rPr>
          <w:rFonts w:asciiTheme="minorHAnsi" w:eastAsia="Calibri" w:hAnsiTheme="minorHAnsi" w:cstheme="minorHAnsi"/>
          <w:szCs w:val="22"/>
        </w:rPr>
        <w:t>On average</w:t>
      </w:r>
      <w:r w:rsidR="00EA7B87" w:rsidRPr="00214B9A">
        <w:rPr>
          <w:rFonts w:asciiTheme="minorHAnsi" w:eastAsia="Calibri" w:hAnsiTheme="minorHAnsi" w:cstheme="minorHAnsi"/>
          <w:szCs w:val="22"/>
        </w:rPr>
        <w:t xml:space="preserve"> each month</w:t>
      </w:r>
      <w:r w:rsidR="003A29DB" w:rsidRPr="00214B9A">
        <w:rPr>
          <w:rFonts w:asciiTheme="minorHAnsi" w:eastAsia="Calibri" w:hAnsiTheme="minorHAnsi" w:cstheme="minorHAnsi"/>
          <w:szCs w:val="22"/>
        </w:rPr>
        <w:t xml:space="preserve">, </w:t>
      </w:r>
      <w:r w:rsidR="003A29DB" w:rsidRPr="00B8379A">
        <w:rPr>
          <w:rFonts w:asciiTheme="minorHAnsi" w:eastAsia="Calibri" w:hAnsiTheme="minorHAnsi" w:cstheme="minorHAnsi"/>
          <w:b/>
          <w:bCs/>
          <w:szCs w:val="22"/>
        </w:rPr>
        <w:t>77%</w:t>
      </w:r>
      <w:r w:rsidR="003A29DB" w:rsidRPr="00214B9A">
        <w:rPr>
          <w:rFonts w:asciiTheme="minorHAnsi" w:eastAsia="Calibri" w:hAnsiTheme="minorHAnsi" w:cstheme="minorHAnsi"/>
          <w:szCs w:val="22"/>
        </w:rPr>
        <w:t xml:space="preserve"> of brands h</w:t>
      </w:r>
      <w:r w:rsidR="00065E23">
        <w:rPr>
          <w:rFonts w:asciiTheme="minorHAnsi" w:eastAsia="Calibri" w:hAnsiTheme="minorHAnsi" w:cstheme="minorHAnsi"/>
          <w:szCs w:val="22"/>
        </w:rPr>
        <w:t xml:space="preserve">ad </w:t>
      </w:r>
      <w:r w:rsidR="003A29DB" w:rsidRPr="00214B9A">
        <w:rPr>
          <w:rFonts w:asciiTheme="minorHAnsi" w:eastAsia="Calibri" w:hAnsiTheme="minorHAnsi" w:cstheme="minorHAnsi"/>
          <w:szCs w:val="22"/>
        </w:rPr>
        <w:t xml:space="preserve">a compliant stockholding. </w:t>
      </w:r>
      <w:r w:rsidR="00BA7F87">
        <w:rPr>
          <w:rFonts w:asciiTheme="minorHAnsi" w:eastAsiaTheme="minorEastAsia" w:hAnsiTheme="minorHAnsi" w:cstheme="minorHAnsi"/>
          <w:szCs w:val="22"/>
        </w:rPr>
        <w:t>W</w:t>
      </w:r>
      <w:r w:rsidRPr="00214B9A">
        <w:rPr>
          <w:rFonts w:asciiTheme="minorHAnsi" w:eastAsiaTheme="minorEastAsia" w:hAnsiTheme="minorHAnsi" w:cstheme="minorHAnsi"/>
          <w:szCs w:val="22"/>
        </w:rPr>
        <w:t xml:space="preserve">hen all quantities of stock held across all brands is aggregated, there was a </w:t>
      </w:r>
      <w:r w:rsidRPr="00B8379A">
        <w:rPr>
          <w:rFonts w:asciiTheme="minorHAnsi" w:eastAsiaTheme="minorEastAsia" w:hAnsiTheme="minorHAnsi" w:cstheme="minorHAnsi"/>
          <w:b/>
          <w:bCs/>
          <w:szCs w:val="22"/>
        </w:rPr>
        <w:t>5%</w:t>
      </w:r>
      <w:r w:rsidRPr="00214B9A">
        <w:rPr>
          <w:rFonts w:asciiTheme="minorHAnsi" w:eastAsiaTheme="minorEastAsia" w:hAnsiTheme="minorHAnsi" w:cstheme="minorHAnsi"/>
          <w:szCs w:val="22"/>
        </w:rPr>
        <w:t xml:space="preserve"> increase in the </w:t>
      </w:r>
      <w:r w:rsidR="008333C0" w:rsidRPr="00214B9A">
        <w:rPr>
          <w:rFonts w:asciiTheme="minorHAnsi" w:eastAsiaTheme="minorEastAsia" w:hAnsiTheme="minorHAnsi" w:cstheme="minorHAnsi"/>
          <w:szCs w:val="22"/>
        </w:rPr>
        <w:t xml:space="preserve">total volume of </w:t>
      </w:r>
      <w:r w:rsidRPr="00214B9A">
        <w:rPr>
          <w:rFonts w:asciiTheme="minorHAnsi" w:eastAsiaTheme="minorEastAsia" w:hAnsiTheme="minorHAnsi" w:cstheme="minorHAnsi"/>
          <w:szCs w:val="22"/>
        </w:rPr>
        <w:t>stock</w:t>
      </w:r>
      <w:r w:rsidR="008333C0" w:rsidRPr="00214B9A">
        <w:rPr>
          <w:rFonts w:asciiTheme="minorHAnsi" w:eastAsiaTheme="minorEastAsia" w:hAnsiTheme="minorHAnsi" w:cstheme="minorHAnsi"/>
          <w:szCs w:val="22"/>
        </w:rPr>
        <w:t xml:space="preserve"> held in Australia</w:t>
      </w:r>
      <w:r w:rsidRPr="00214B9A">
        <w:rPr>
          <w:rFonts w:asciiTheme="minorHAnsi" w:eastAsiaTheme="minorEastAsia" w:hAnsiTheme="minorHAnsi" w:cstheme="minorHAnsi"/>
          <w:szCs w:val="22"/>
        </w:rPr>
        <w:t xml:space="preserve"> </w:t>
      </w:r>
      <w:r w:rsidR="008333C0" w:rsidRPr="00214B9A">
        <w:rPr>
          <w:rFonts w:asciiTheme="minorHAnsi" w:eastAsiaTheme="minorEastAsia" w:hAnsiTheme="minorHAnsi" w:cstheme="minorHAnsi"/>
          <w:szCs w:val="22"/>
        </w:rPr>
        <w:t>since the policy commenced</w:t>
      </w:r>
      <w:r w:rsidRPr="00214B9A">
        <w:rPr>
          <w:rFonts w:asciiTheme="minorHAnsi" w:eastAsiaTheme="minorEastAsia" w:hAnsiTheme="minorHAnsi" w:cstheme="minorHAnsi"/>
          <w:szCs w:val="22"/>
        </w:rPr>
        <w:t>.</w:t>
      </w:r>
    </w:p>
    <w:p w14:paraId="3961E904" w14:textId="303FF624" w:rsidR="002947D7" w:rsidRPr="00214B9A" w:rsidRDefault="002947D7" w:rsidP="00597E65">
      <w:pPr>
        <w:pStyle w:val="ListParagraph"/>
        <w:numPr>
          <w:ilvl w:val="1"/>
          <w:numId w:val="10"/>
        </w:numPr>
        <w:spacing w:before="120" w:after="120"/>
        <w:contextualSpacing w:val="0"/>
        <w:jc w:val="both"/>
        <w:rPr>
          <w:rFonts w:asciiTheme="minorHAnsi" w:eastAsia="Calibri" w:hAnsiTheme="minorHAnsi" w:cstheme="minorHAnsi"/>
          <w:szCs w:val="22"/>
        </w:rPr>
      </w:pPr>
      <w:r w:rsidRPr="00214B9A">
        <w:rPr>
          <w:rFonts w:asciiTheme="minorHAnsi" w:eastAsia="Calibri" w:hAnsiTheme="minorHAnsi" w:cstheme="minorHAnsi"/>
          <w:b/>
          <w:szCs w:val="22"/>
        </w:rPr>
        <w:lastRenderedPageBreak/>
        <w:t>Reasons for non-compliance</w:t>
      </w:r>
      <w:r w:rsidRPr="00214B9A">
        <w:rPr>
          <w:rFonts w:asciiTheme="minorHAnsi" w:eastAsia="Calibri" w:hAnsiTheme="minorHAnsi" w:cstheme="minorHAnsi"/>
          <w:szCs w:val="22"/>
        </w:rPr>
        <w:t xml:space="preserve">: supply chain issues leading to non-compliance with </w:t>
      </w:r>
      <w:r w:rsidR="0062693C">
        <w:rPr>
          <w:rFonts w:asciiTheme="minorHAnsi" w:eastAsia="Calibri" w:hAnsiTheme="minorHAnsi" w:cstheme="minorHAnsi"/>
          <w:szCs w:val="22"/>
        </w:rPr>
        <w:t>the MSR</w:t>
      </w:r>
      <w:r w:rsidRPr="00214B9A">
        <w:rPr>
          <w:rFonts w:asciiTheme="minorHAnsi" w:eastAsia="Calibri" w:hAnsiTheme="minorHAnsi" w:cstheme="minorHAnsi"/>
          <w:szCs w:val="22"/>
        </w:rPr>
        <w:t xml:space="preserve"> have been identified by survey respons</w:t>
      </w:r>
      <w:r w:rsidR="009530EE">
        <w:rPr>
          <w:rFonts w:asciiTheme="minorHAnsi" w:eastAsia="Calibri" w:hAnsiTheme="minorHAnsi" w:cstheme="minorHAnsi"/>
          <w:szCs w:val="22"/>
        </w:rPr>
        <w:t>es</w:t>
      </w:r>
      <w:r w:rsidRPr="00214B9A">
        <w:rPr>
          <w:rFonts w:asciiTheme="minorHAnsi" w:eastAsia="Calibri" w:hAnsiTheme="minorHAnsi" w:cstheme="minorHAnsi"/>
          <w:szCs w:val="22"/>
        </w:rPr>
        <w:t xml:space="preserve"> as well as by RPs when submitting an actual breach notification. Manufacturing capacity constraints, supply disruptions such as batch failures and quality issues, input shortages and logistic</w:t>
      </w:r>
      <w:r w:rsidR="00164236">
        <w:rPr>
          <w:rFonts w:asciiTheme="minorHAnsi" w:eastAsia="Calibri" w:hAnsiTheme="minorHAnsi" w:cstheme="minorHAnsi"/>
          <w:szCs w:val="22"/>
        </w:rPr>
        <w:t xml:space="preserve"> issues</w:t>
      </w:r>
      <w:r w:rsidRPr="00214B9A">
        <w:rPr>
          <w:rFonts w:asciiTheme="minorHAnsi" w:eastAsia="Calibri" w:hAnsiTheme="minorHAnsi" w:cstheme="minorHAnsi"/>
          <w:szCs w:val="22"/>
        </w:rPr>
        <w:t xml:space="preserve"> are </w:t>
      </w:r>
      <w:r w:rsidR="00164236">
        <w:rPr>
          <w:rFonts w:asciiTheme="minorHAnsi" w:eastAsia="Calibri" w:hAnsiTheme="minorHAnsi" w:cstheme="minorHAnsi"/>
          <w:szCs w:val="22"/>
        </w:rPr>
        <w:t xml:space="preserve">all </w:t>
      </w:r>
      <w:r w:rsidR="003E6B9D">
        <w:rPr>
          <w:rFonts w:asciiTheme="minorHAnsi" w:eastAsia="Calibri" w:hAnsiTheme="minorHAnsi" w:cstheme="minorHAnsi"/>
          <w:szCs w:val="22"/>
        </w:rPr>
        <w:t xml:space="preserve">common </w:t>
      </w:r>
      <w:r w:rsidR="00945E2B" w:rsidRPr="00214B9A">
        <w:rPr>
          <w:rFonts w:asciiTheme="minorHAnsi" w:eastAsia="Calibri" w:hAnsiTheme="minorHAnsi" w:cstheme="minorHAnsi"/>
          <w:szCs w:val="22"/>
        </w:rPr>
        <w:t>supply chain problems</w:t>
      </w:r>
      <w:r w:rsidR="00945E2B">
        <w:rPr>
          <w:rFonts w:asciiTheme="minorHAnsi" w:eastAsia="Calibri" w:hAnsiTheme="minorHAnsi" w:cstheme="minorHAnsi"/>
          <w:szCs w:val="22"/>
        </w:rPr>
        <w:t>.</w:t>
      </w:r>
    </w:p>
    <w:p w14:paraId="7C34FE83" w14:textId="4B27BC3A" w:rsidR="002947D7" w:rsidRPr="00214B9A" w:rsidRDefault="002947D7" w:rsidP="00597E65">
      <w:pPr>
        <w:pStyle w:val="ListParagraph"/>
        <w:keepLines/>
        <w:numPr>
          <w:ilvl w:val="1"/>
          <w:numId w:val="10"/>
        </w:numPr>
        <w:spacing w:before="120" w:after="120"/>
        <w:contextualSpacing w:val="0"/>
        <w:jc w:val="both"/>
        <w:rPr>
          <w:rFonts w:asciiTheme="minorHAnsi" w:eastAsia="Calibri" w:hAnsiTheme="minorHAnsi" w:cstheme="minorHAnsi"/>
          <w:szCs w:val="22"/>
        </w:rPr>
      </w:pPr>
      <w:r w:rsidRPr="00214B9A">
        <w:rPr>
          <w:rFonts w:asciiTheme="minorHAnsi" w:eastAsia="Calibri" w:hAnsiTheme="minorHAnsi" w:cstheme="minorHAnsi"/>
          <w:b/>
          <w:szCs w:val="22"/>
        </w:rPr>
        <w:t>Actions taken by RPs</w:t>
      </w:r>
      <w:r w:rsidRPr="00214B9A">
        <w:rPr>
          <w:rFonts w:asciiTheme="minorHAnsi" w:eastAsia="Calibri" w:hAnsiTheme="minorHAnsi" w:cstheme="minorHAnsi"/>
          <w:szCs w:val="22"/>
        </w:rPr>
        <w:t xml:space="preserve"> </w:t>
      </w:r>
      <w:r w:rsidRPr="00214B9A">
        <w:rPr>
          <w:rFonts w:asciiTheme="minorHAnsi" w:eastAsia="Calibri" w:hAnsiTheme="minorHAnsi" w:cstheme="minorHAnsi"/>
          <w:b/>
          <w:szCs w:val="22"/>
        </w:rPr>
        <w:t>to avoid non-compliance</w:t>
      </w:r>
      <w:r w:rsidR="002E38AA" w:rsidRPr="00214B9A">
        <w:rPr>
          <w:rFonts w:asciiTheme="minorHAnsi" w:eastAsia="Calibri" w:hAnsiTheme="minorHAnsi" w:cstheme="minorHAnsi"/>
          <w:b/>
          <w:bCs/>
          <w:szCs w:val="22"/>
        </w:rPr>
        <w:t>:</w:t>
      </w:r>
      <w:r w:rsidRPr="00214B9A">
        <w:rPr>
          <w:rFonts w:asciiTheme="minorHAnsi" w:eastAsia="Calibri" w:hAnsiTheme="minorHAnsi" w:cstheme="minorHAnsi"/>
          <w:szCs w:val="22"/>
        </w:rPr>
        <w:t xml:space="preserve"> almost all RPs have taken some corrective actions to avoid being non-compliant with substantive stockholding requirements, including airfreighting stock, negotiating additional supplies from overseas manufacturers, </w:t>
      </w:r>
      <w:proofErr w:type="gramStart"/>
      <w:r w:rsidRPr="00214B9A">
        <w:rPr>
          <w:rFonts w:asciiTheme="minorHAnsi" w:eastAsia="Calibri" w:hAnsiTheme="minorHAnsi" w:cstheme="minorHAnsi"/>
          <w:szCs w:val="22"/>
        </w:rPr>
        <w:t>increasing</w:t>
      </w:r>
      <w:proofErr w:type="gramEnd"/>
      <w:r w:rsidRPr="00214B9A">
        <w:rPr>
          <w:rFonts w:asciiTheme="minorHAnsi" w:eastAsia="Calibri" w:hAnsiTheme="minorHAnsi" w:cstheme="minorHAnsi"/>
          <w:szCs w:val="22"/>
        </w:rPr>
        <w:t xml:space="preserve"> or bringing forward shipments, triaging orders to ensure continuity of supply to pharmacies and patients, and seeking supplies from other markets.</w:t>
      </w:r>
    </w:p>
    <w:p w14:paraId="2A14CA8C" w14:textId="2C4BD1B7" w:rsidR="00214B9A" w:rsidRDefault="002947D7" w:rsidP="00597E65">
      <w:pPr>
        <w:pStyle w:val="ListParagraph"/>
        <w:numPr>
          <w:ilvl w:val="0"/>
          <w:numId w:val="7"/>
        </w:numPr>
        <w:spacing w:before="120" w:after="120"/>
        <w:contextualSpacing w:val="0"/>
        <w:jc w:val="both"/>
        <w:rPr>
          <w:rFonts w:asciiTheme="minorHAnsi" w:eastAsia="Calibri" w:hAnsiTheme="minorHAnsi" w:cstheme="minorHAnsi"/>
          <w:szCs w:val="22"/>
        </w:rPr>
      </w:pPr>
      <w:r w:rsidRPr="00214B9A">
        <w:rPr>
          <w:rFonts w:asciiTheme="minorHAnsi" w:eastAsia="Calibri" w:hAnsiTheme="minorHAnsi" w:cstheme="minorHAnsi"/>
          <w:b/>
          <w:szCs w:val="22"/>
        </w:rPr>
        <w:t xml:space="preserve">Compliance with the </w:t>
      </w:r>
      <w:hyperlink w:anchor="_Stockholding_disclosures" w:history="1">
        <w:r w:rsidRPr="001C3044">
          <w:rPr>
            <w:rStyle w:val="Hyperlink"/>
            <w:rFonts w:asciiTheme="minorHAnsi" w:eastAsia="Calibri" w:hAnsiTheme="minorHAnsi" w:cstheme="minorHAnsi"/>
            <w:b/>
            <w:szCs w:val="22"/>
          </w:rPr>
          <w:t>disclosure requirements</w:t>
        </w:r>
      </w:hyperlink>
      <w:r w:rsidRPr="00214B9A">
        <w:rPr>
          <w:rFonts w:asciiTheme="minorHAnsi" w:eastAsia="Calibri" w:hAnsiTheme="minorHAnsi" w:cstheme="minorHAnsi"/>
          <w:szCs w:val="22"/>
        </w:rPr>
        <w:t xml:space="preserve"> was 100% during the first 9 months of the MSR.</w:t>
      </w:r>
      <w:r w:rsidRPr="00533B7B">
        <w:rPr>
          <w:rStyle w:val="FootnoteReference"/>
          <w:rFonts w:asciiTheme="minorHAnsi" w:eastAsia="Calibri" w:hAnsiTheme="minorHAnsi" w:cstheme="minorHAnsi"/>
          <w:szCs w:val="22"/>
        </w:rPr>
        <w:footnoteReference w:id="3"/>
      </w:r>
    </w:p>
    <w:p w14:paraId="59A2A4F4" w14:textId="39BC2693" w:rsidR="002947D7" w:rsidRPr="00214B9A" w:rsidRDefault="002947D7" w:rsidP="00597E65">
      <w:pPr>
        <w:pStyle w:val="ListParagraph"/>
        <w:numPr>
          <w:ilvl w:val="0"/>
          <w:numId w:val="7"/>
        </w:numPr>
        <w:spacing w:before="120" w:after="120"/>
        <w:contextualSpacing w:val="0"/>
        <w:jc w:val="both"/>
        <w:rPr>
          <w:rFonts w:asciiTheme="minorHAnsi" w:eastAsia="Calibri" w:hAnsiTheme="minorHAnsi" w:cstheme="minorHAnsi"/>
          <w:szCs w:val="22"/>
        </w:rPr>
      </w:pPr>
      <w:r w:rsidRPr="00214B9A">
        <w:rPr>
          <w:rFonts w:asciiTheme="minorHAnsi" w:eastAsia="Calibri" w:hAnsiTheme="minorHAnsi" w:cstheme="minorHAnsi"/>
          <w:b/>
          <w:szCs w:val="22"/>
        </w:rPr>
        <w:t xml:space="preserve">Compliance with </w:t>
      </w:r>
      <w:hyperlink w:anchor="_Requirement_to_notify" w:history="1">
        <w:r w:rsidRPr="001C3044">
          <w:rPr>
            <w:rStyle w:val="Hyperlink"/>
            <w:rFonts w:asciiTheme="minorHAnsi" w:eastAsia="Calibri" w:hAnsiTheme="minorHAnsi" w:cstheme="minorHAnsi"/>
            <w:b/>
            <w:szCs w:val="22"/>
          </w:rPr>
          <w:t>breach notification requirements</w:t>
        </w:r>
      </w:hyperlink>
      <w:r w:rsidR="00772767">
        <w:rPr>
          <w:rFonts w:asciiTheme="minorHAnsi" w:eastAsia="Calibri" w:hAnsiTheme="minorHAnsi" w:cstheme="minorHAnsi"/>
          <w:b/>
          <w:szCs w:val="22"/>
        </w:rPr>
        <w:t>:</w:t>
      </w:r>
    </w:p>
    <w:p w14:paraId="3562278D" w14:textId="1B10C6BF" w:rsidR="005D59E2" w:rsidRPr="00B8379A" w:rsidRDefault="0090718E" w:rsidP="00597E65">
      <w:pPr>
        <w:pStyle w:val="ListParagraph"/>
        <w:numPr>
          <w:ilvl w:val="1"/>
          <w:numId w:val="11"/>
        </w:numPr>
        <w:spacing w:before="120" w:after="120"/>
        <w:contextualSpacing w:val="0"/>
        <w:jc w:val="both"/>
        <w:rPr>
          <w:rFonts w:asciiTheme="minorHAnsi" w:eastAsia="Calibri" w:hAnsiTheme="minorHAnsi" w:cstheme="minorBidi"/>
          <w:lang w:val="en-US"/>
        </w:rPr>
      </w:pPr>
      <w:r>
        <w:rPr>
          <w:rFonts w:asciiTheme="minorHAnsi" w:eastAsia="Calibri" w:hAnsiTheme="minorHAnsi" w:cstheme="minorHAnsi"/>
          <w:b/>
          <w:bCs/>
          <w:szCs w:val="22"/>
        </w:rPr>
        <w:t>Notification compliance</w:t>
      </w:r>
      <w:r w:rsidR="00900A8F" w:rsidRPr="005D59E2">
        <w:rPr>
          <w:rFonts w:asciiTheme="minorHAnsi" w:eastAsia="Calibri" w:hAnsiTheme="minorHAnsi" w:cstheme="minorHAnsi"/>
          <w:b/>
          <w:bCs/>
          <w:szCs w:val="22"/>
        </w:rPr>
        <w:t xml:space="preserve">: </w:t>
      </w:r>
      <w:r>
        <w:rPr>
          <w:rFonts w:asciiTheme="minorHAnsi" w:eastAsia="Calibri" w:hAnsiTheme="minorHAnsi" w:cstheme="minorHAnsi"/>
          <w:szCs w:val="22"/>
        </w:rPr>
        <w:t>during the first disclosure period,</w:t>
      </w:r>
      <w:r w:rsidR="002947D7" w:rsidRPr="005D59E2">
        <w:rPr>
          <w:rFonts w:asciiTheme="minorHAnsi" w:eastAsia="Calibri" w:hAnsiTheme="minorHAnsi" w:cstheme="minorHAnsi"/>
          <w:szCs w:val="22"/>
        </w:rPr>
        <w:t xml:space="preserve"> </w:t>
      </w:r>
      <w:r w:rsidR="002947D7" w:rsidRPr="00B8379A">
        <w:rPr>
          <w:rFonts w:asciiTheme="minorHAnsi" w:eastAsia="Calibri" w:hAnsiTheme="minorHAnsi" w:cstheme="minorHAnsi"/>
          <w:b/>
          <w:bCs/>
          <w:szCs w:val="22"/>
        </w:rPr>
        <w:t>44%</w:t>
      </w:r>
      <w:r w:rsidR="002947D7" w:rsidRPr="005D59E2">
        <w:rPr>
          <w:rFonts w:asciiTheme="minorHAnsi" w:eastAsia="Calibri" w:hAnsiTheme="minorHAnsi" w:cstheme="minorHAnsi"/>
          <w:szCs w:val="22"/>
        </w:rPr>
        <w:t xml:space="preserve"> of designated brands were compliant with breach notification requirements.</w:t>
      </w:r>
      <w:r w:rsidR="002947D7" w:rsidRPr="00533B7B">
        <w:rPr>
          <w:rStyle w:val="FootnoteReference"/>
          <w:rFonts w:asciiTheme="minorHAnsi" w:eastAsia="Calibri" w:hAnsiTheme="minorHAnsi" w:cstheme="minorHAnsi"/>
          <w:szCs w:val="22"/>
        </w:rPr>
        <w:footnoteReference w:id="4"/>
      </w:r>
      <w:r w:rsidR="002947D7" w:rsidRPr="005D59E2">
        <w:rPr>
          <w:rFonts w:asciiTheme="minorHAnsi" w:eastAsia="Calibri" w:hAnsiTheme="minorHAnsi" w:cstheme="minorHAnsi"/>
          <w:szCs w:val="22"/>
        </w:rPr>
        <w:t xml:space="preserve"> 56% of the brands that were identified as non-compliant through the stockholding disclosure did not submit a breach notification</w:t>
      </w:r>
      <w:r>
        <w:rPr>
          <w:rFonts w:asciiTheme="minorHAnsi" w:eastAsia="Calibri" w:hAnsiTheme="minorHAnsi" w:cstheme="minorHAnsi"/>
          <w:szCs w:val="22"/>
        </w:rPr>
        <w:t xml:space="preserve"> for the first period. </w:t>
      </w:r>
      <w:r w:rsidRPr="00796A72">
        <w:rPr>
          <w:rFonts w:asciiTheme="minorHAnsi" w:hAnsiTheme="minorHAnsi" w:cstheme="minorHAnsi"/>
          <w:szCs w:val="22"/>
        </w:rPr>
        <w:t>For the second disclosure period,</w:t>
      </w:r>
      <w:r w:rsidRPr="00AE0A2C">
        <w:rPr>
          <w:rFonts w:asciiTheme="minorHAnsi" w:hAnsiTheme="minorHAnsi" w:cstheme="minorHAnsi"/>
          <w:szCs w:val="22"/>
        </w:rPr>
        <w:t xml:space="preserve"> </w:t>
      </w:r>
      <w:r w:rsidR="00E06BE4">
        <w:rPr>
          <w:rFonts w:asciiTheme="minorHAnsi" w:hAnsiTheme="minorHAnsi" w:cstheme="minorHAnsi"/>
          <w:szCs w:val="22"/>
        </w:rPr>
        <w:t xml:space="preserve">only </w:t>
      </w:r>
      <w:r>
        <w:rPr>
          <w:rFonts w:asciiTheme="minorHAnsi" w:hAnsiTheme="minorHAnsi" w:cstheme="minorHAnsi"/>
          <w:b/>
          <w:bCs/>
          <w:szCs w:val="22"/>
        </w:rPr>
        <w:t>30</w:t>
      </w:r>
      <w:r w:rsidRPr="00AF1D2A">
        <w:rPr>
          <w:rFonts w:asciiTheme="minorHAnsi" w:hAnsiTheme="minorHAnsi" w:cstheme="minorHAnsi"/>
          <w:b/>
          <w:bCs/>
          <w:szCs w:val="22"/>
        </w:rPr>
        <w:t xml:space="preserve">% </w:t>
      </w:r>
      <w:r w:rsidRPr="00B8379A">
        <w:rPr>
          <w:rFonts w:asciiTheme="minorHAnsi" w:hAnsiTheme="minorHAnsi" w:cstheme="minorHAnsi"/>
          <w:szCs w:val="22"/>
        </w:rPr>
        <w:t xml:space="preserve">of </w:t>
      </w:r>
      <w:r w:rsidR="00E06BE4" w:rsidRPr="00B8379A">
        <w:rPr>
          <w:rFonts w:asciiTheme="minorHAnsi" w:hAnsiTheme="minorHAnsi" w:cstheme="minorHAnsi"/>
          <w:szCs w:val="22"/>
        </w:rPr>
        <w:t xml:space="preserve">designated brands were compliant with the breach notification requirements. 70% </w:t>
      </w:r>
      <w:r w:rsidR="00E06BE4" w:rsidRPr="00B8379A">
        <w:rPr>
          <w:rFonts w:asciiTheme="minorHAnsi" w:eastAsia="Calibri" w:hAnsiTheme="minorHAnsi" w:cstheme="minorHAnsi"/>
          <w:szCs w:val="22"/>
        </w:rPr>
        <w:t xml:space="preserve">of </w:t>
      </w:r>
      <w:r w:rsidR="00E06BE4" w:rsidRPr="005D59E2">
        <w:rPr>
          <w:rFonts w:asciiTheme="minorHAnsi" w:eastAsia="Calibri" w:hAnsiTheme="minorHAnsi" w:cstheme="minorHAnsi"/>
          <w:szCs w:val="22"/>
        </w:rPr>
        <w:t>the brands that were identified as non-compliant through the stockholding disclosure did not submit a breach notification</w:t>
      </w:r>
      <w:r w:rsidR="00E06BE4">
        <w:rPr>
          <w:rFonts w:asciiTheme="minorHAnsi" w:eastAsia="Calibri" w:hAnsiTheme="minorHAnsi" w:cstheme="minorHAnsi"/>
          <w:szCs w:val="22"/>
        </w:rPr>
        <w:t xml:space="preserve"> for the </w:t>
      </w:r>
      <w:r w:rsidR="0050075E">
        <w:rPr>
          <w:rFonts w:asciiTheme="minorHAnsi" w:eastAsia="Calibri" w:hAnsiTheme="minorHAnsi" w:cstheme="minorHAnsi"/>
          <w:szCs w:val="22"/>
        </w:rPr>
        <w:t xml:space="preserve">second </w:t>
      </w:r>
      <w:r w:rsidR="00E06BE4">
        <w:rPr>
          <w:rFonts w:asciiTheme="minorHAnsi" w:eastAsia="Calibri" w:hAnsiTheme="minorHAnsi" w:cstheme="minorHAnsi"/>
          <w:szCs w:val="22"/>
        </w:rPr>
        <w:t>period.</w:t>
      </w:r>
    </w:p>
    <w:p w14:paraId="57777384" w14:textId="06326F3A" w:rsidR="005539C4" w:rsidRPr="00C46D59" w:rsidRDefault="00397569" w:rsidP="00597E65">
      <w:pPr>
        <w:pStyle w:val="ListParagraph"/>
        <w:numPr>
          <w:ilvl w:val="1"/>
          <w:numId w:val="11"/>
        </w:numPr>
        <w:spacing w:before="120" w:after="120"/>
        <w:contextualSpacing w:val="0"/>
        <w:jc w:val="both"/>
        <w:rPr>
          <w:rFonts w:asciiTheme="minorHAnsi" w:eastAsia="Calibri" w:hAnsiTheme="minorHAnsi" w:cstheme="minorBidi"/>
          <w:b/>
          <w:lang w:val="en-US"/>
        </w:rPr>
      </w:pPr>
      <w:r w:rsidRPr="00B8379A">
        <w:rPr>
          <w:rFonts w:asciiTheme="minorHAnsi" w:eastAsia="Calibri" w:hAnsiTheme="minorHAnsi" w:cstheme="minorBidi"/>
          <w:b/>
          <w:lang w:val="en-US"/>
        </w:rPr>
        <w:t xml:space="preserve">Likely breaches </w:t>
      </w:r>
      <w:r w:rsidR="00CD1D83" w:rsidRPr="00B8379A">
        <w:rPr>
          <w:rFonts w:asciiTheme="minorHAnsi" w:eastAsia="Calibri" w:hAnsiTheme="minorHAnsi" w:cstheme="minorBidi"/>
          <w:b/>
          <w:lang w:val="en-US"/>
        </w:rPr>
        <w:t>resulting in Actual breaches:</w:t>
      </w:r>
      <w:r w:rsidR="00CD1D83" w:rsidRPr="00B8379A">
        <w:rPr>
          <w:rFonts w:asciiTheme="minorHAnsi" w:eastAsia="Calibri" w:hAnsiTheme="minorHAnsi" w:cstheme="minorBidi"/>
          <w:lang w:val="en-US"/>
        </w:rPr>
        <w:t xml:space="preserve"> </w:t>
      </w:r>
      <w:r w:rsidR="70B928D8" w:rsidRPr="3D953141">
        <w:rPr>
          <w:rFonts w:asciiTheme="minorHAnsi" w:eastAsia="Calibri" w:hAnsiTheme="minorHAnsi" w:cstheme="minorBidi"/>
          <w:lang w:val="en-US"/>
        </w:rPr>
        <w:t xml:space="preserve"> </w:t>
      </w:r>
      <w:r w:rsidR="00CD1D83" w:rsidRPr="00B8379A">
        <w:rPr>
          <w:rFonts w:asciiTheme="minorHAnsi" w:eastAsia="Calibri" w:hAnsiTheme="minorHAnsi" w:cstheme="minorBidi"/>
          <w:lang w:val="en-US"/>
        </w:rPr>
        <w:t>a</w:t>
      </w:r>
      <w:r w:rsidR="002947D7" w:rsidRPr="00B8379A">
        <w:rPr>
          <w:rFonts w:asciiTheme="minorHAnsi" w:eastAsia="Calibri" w:hAnsiTheme="minorHAnsi" w:cstheme="minorBidi"/>
          <w:lang w:val="en-US"/>
        </w:rPr>
        <w:t xml:space="preserve">pproximately </w:t>
      </w:r>
      <w:r w:rsidR="00B11A28" w:rsidRPr="00B8379A">
        <w:rPr>
          <w:rFonts w:asciiTheme="minorHAnsi" w:eastAsia="Calibri" w:hAnsiTheme="minorHAnsi" w:cstheme="minorBidi"/>
          <w:b/>
          <w:lang w:val="en-US"/>
        </w:rPr>
        <w:t>35</w:t>
      </w:r>
      <w:r w:rsidR="002947D7" w:rsidRPr="00B8379A">
        <w:rPr>
          <w:rFonts w:asciiTheme="minorHAnsi" w:eastAsia="Calibri" w:hAnsiTheme="minorHAnsi" w:cstheme="minorBidi"/>
          <w:b/>
          <w:lang w:val="en-US"/>
        </w:rPr>
        <w:t>%</w:t>
      </w:r>
      <w:r w:rsidR="002947D7" w:rsidRPr="00B8379A">
        <w:rPr>
          <w:rFonts w:asciiTheme="minorHAnsi" w:eastAsia="Calibri" w:hAnsiTheme="minorHAnsi" w:cstheme="minorBidi"/>
          <w:lang w:val="en-US"/>
        </w:rPr>
        <w:t xml:space="preserve"> of reported likely breaches</w:t>
      </w:r>
      <w:r w:rsidR="002947D7" w:rsidRPr="3D953141">
        <w:rPr>
          <w:rFonts w:asciiTheme="minorHAnsi" w:eastAsia="Calibri" w:hAnsiTheme="minorHAnsi" w:cstheme="minorBidi"/>
          <w:lang w:val="en-US"/>
        </w:rPr>
        <w:t xml:space="preserve"> </w:t>
      </w:r>
      <w:r w:rsidR="002947D7" w:rsidRPr="00B8379A">
        <w:rPr>
          <w:rFonts w:asciiTheme="minorHAnsi" w:eastAsia="Calibri" w:hAnsiTheme="minorHAnsi" w:cstheme="minorBidi"/>
          <w:lang w:val="en-US"/>
        </w:rPr>
        <w:t>bec</w:t>
      </w:r>
      <w:r w:rsidR="00524BD1" w:rsidRPr="00B8379A">
        <w:rPr>
          <w:rFonts w:asciiTheme="minorHAnsi" w:eastAsia="Calibri" w:hAnsiTheme="minorHAnsi" w:cstheme="minorBidi"/>
          <w:lang w:val="en-US"/>
        </w:rPr>
        <w:t>a</w:t>
      </w:r>
      <w:r w:rsidR="002947D7" w:rsidRPr="00B8379A">
        <w:rPr>
          <w:rFonts w:asciiTheme="minorHAnsi" w:eastAsia="Calibri" w:hAnsiTheme="minorHAnsi" w:cstheme="minorBidi"/>
          <w:lang w:val="en-US"/>
        </w:rPr>
        <w:t xml:space="preserve">me actual breaches. </w:t>
      </w:r>
      <w:r w:rsidR="00714343" w:rsidRPr="716C6AAB">
        <w:rPr>
          <w:rFonts w:asciiTheme="minorHAnsi" w:eastAsia="Calibri" w:hAnsiTheme="minorHAnsi" w:cstheme="minorBidi"/>
          <w:lang w:val="en-US"/>
        </w:rPr>
        <w:t>H</w:t>
      </w:r>
      <w:r w:rsidR="005539C4" w:rsidRPr="716C6AAB">
        <w:rPr>
          <w:rFonts w:asciiTheme="minorHAnsi" w:eastAsia="Calibri" w:hAnsiTheme="minorHAnsi" w:cstheme="minorBidi"/>
          <w:lang w:val="en-US"/>
        </w:rPr>
        <w:t xml:space="preserve">owever, significantly, </w:t>
      </w:r>
      <w:r w:rsidR="005539C4" w:rsidRPr="00B8379A">
        <w:rPr>
          <w:rFonts w:asciiTheme="minorHAnsi" w:eastAsia="Calibri" w:hAnsiTheme="minorHAnsi" w:cstheme="minorBidi"/>
          <w:b/>
          <w:lang w:val="en-US"/>
        </w:rPr>
        <w:t>93%</w:t>
      </w:r>
      <w:r w:rsidR="005539C4" w:rsidRPr="716C6AAB">
        <w:rPr>
          <w:rFonts w:asciiTheme="minorHAnsi" w:eastAsia="Calibri" w:hAnsiTheme="minorHAnsi" w:cstheme="minorBidi"/>
          <w:lang w:val="en-US"/>
        </w:rPr>
        <w:t xml:space="preserve"> of actual breach notifications were not preceded by a likely breach notification.</w:t>
      </w:r>
      <w:r w:rsidR="001A1CCC" w:rsidRPr="716C6AAB">
        <w:rPr>
          <w:rFonts w:asciiTheme="minorHAnsi" w:eastAsia="Calibri" w:hAnsiTheme="minorHAnsi" w:cstheme="minorBidi"/>
          <w:lang w:val="en-US"/>
        </w:rPr>
        <w:t xml:space="preserve"> This </w:t>
      </w:r>
      <w:r w:rsidR="003731D4" w:rsidRPr="716C6AAB">
        <w:rPr>
          <w:rFonts w:asciiTheme="minorHAnsi" w:eastAsia="Calibri" w:hAnsiTheme="minorHAnsi" w:cstheme="minorBidi"/>
          <w:lang w:val="en-US"/>
        </w:rPr>
        <w:t>significant under reporting</w:t>
      </w:r>
      <w:r w:rsidR="00D87A3A" w:rsidRPr="716C6AAB">
        <w:rPr>
          <w:rFonts w:asciiTheme="minorHAnsi" w:eastAsia="Calibri" w:hAnsiTheme="minorHAnsi" w:cstheme="minorBidi"/>
          <w:lang w:val="en-US"/>
        </w:rPr>
        <w:t xml:space="preserve"> of likely breaches</w:t>
      </w:r>
      <w:r w:rsidR="003731D4" w:rsidRPr="716C6AAB">
        <w:rPr>
          <w:rFonts w:asciiTheme="minorHAnsi" w:eastAsia="Calibri" w:hAnsiTheme="minorHAnsi" w:cstheme="minorBidi"/>
          <w:lang w:val="en-US"/>
        </w:rPr>
        <w:t xml:space="preserve"> may be a result of </w:t>
      </w:r>
      <w:r w:rsidR="00341F88" w:rsidRPr="716C6AAB">
        <w:rPr>
          <w:rFonts w:asciiTheme="minorHAnsi" w:eastAsia="Calibri" w:hAnsiTheme="minorHAnsi" w:cstheme="minorBidi"/>
          <w:lang w:val="en-US"/>
        </w:rPr>
        <w:t>the</w:t>
      </w:r>
      <w:r w:rsidR="003731D4" w:rsidRPr="716C6AAB">
        <w:rPr>
          <w:rFonts w:asciiTheme="minorHAnsi" w:eastAsia="Calibri" w:hAnsiTheme="minorHAnsi" w:cstheme="minorBidi"/>
          <w:lang w:val="en-US"/>
        </w:rPr>
        <w:t xml:space="preserve"> administrative burden </w:t>
      </w:r>
      <w:r w:rsidR="00067530" w:rsidRPr="716C6AAB">
        <w:rPr>
          <w:rFonts w:asciiTheme="minorHAnsi" w:eastAsia="Calibri" w:hAnsiTheme="minorHAnsi" w:cstheme="minorBidi"/>
          <w:lang w:val="en-US"/>
        </w:rPr>
        <w:t>associated with the notification process</w:t>
      </w:r>
      <w:r w:rsidR="00E5558E">
        <w:rPr>
          <w:rFonts w:asciiTheme="minorHAnsi" w:eastAsia="Calibri" w:hAnsiTheme="minorHAnsi" w:cstheme="minorBidi"/>
          <w:lang w:val="en-US"/>
        </w:rPr>
        <w:t>. T</w:t>
      </w:r>
      <w:r w:rsidR="00BC050D" w:rsidRPr="00B8379A">
        <w:rPr>
          <w:rFonts w:asciiTheme="minorHAnsi" w:eastAsia="Calibri" w:hAnsiTheme="minorHAnsi" w:cstheme="minorBidi"/>
          <w:lang w:val="en-US"/>
        </w:rPr>
        <w:t xml:space="preserve">his may </w:t>
      </w:r>
      <w:r w:rsidR="009C1477" w:rsidRPr="00B8379A">
        <w:rPr>
          <w:rFonts w:asciiTheme="minorHAnsi" w:eastAsia="Calibri" w:hAnsiTheme="minorHAnsi" w:cstheme="minorBidi"/>
          <w:lang w:val="en-US"/>
        </w:rPr>
        <w:t xml:space="preserve">also </w:t>
      </w:r>
      <w:r w:rsidR="00BC050D" w:rsidRPr="00B8379A">
        <w:rPr>
          <w:rFonts w:asciiTheme="minorHAnsi" w:eastAsia="Calibri" w:hAnsiTheme="minorHAnsi" w:cstheme="minorBidi"/>
          <w:lang w:val="en-US"/>
        </w:rPr>
        <w:t xml:space="preserve">be an indication that </w:t>
      </w:r>
      <w:r w:rsidR="009C1477" w:rsidRPr="00B8379A">
        <w:rPr>
          <w:rFonts w:asciiTheme="minorHAnsi" w:eastAsia="Calibri" w:hAnsiTheme="minorHAnsi" w:cstheme="minorBidi"/>
          <w:lang w:val="en-US"/>
        </w:rPr>
        <w:t xml:space="preserve">some </w:t>
      </w:r>
      <w:r w:rsidR="00BC050D" w:rsidRPr="00B8379A">
        <w:rPr>
          <w:rFonts w:asciiTheme="minorHAnsi" w:eastAsia="Calibri" w:hAnsiTheme="minorHAnsi" w:cstheme="minorBidi"/>
          <w:lang w:val="en-US"/>
        </w:rPr>
        <w:t>breaches occur unexpectedly or with minimal forewarning, meaning RPs are unable to provide a likely breach notification before the actual breach has occurred.</w:t>
      </w:r>
      <w:r w:rsidR="00A7276E" w:rsidRPr="00B8379A">
        <w:rPr>
          <w:rFonts w:asciiTheme="minorHAnsi" w:eastAsia="Calibri" w:hAnsiTheme="minorHAnsi" w:cstheme="minorBidi"/>
          <w:lang w:val="en-US"/>
        </w:rPr>
        <w:t xml:space="preserve"> Likely breaches are intended to provide the department valuable information about </w:t>
      </w:r>
      <w:r w:rsidR="006D438B" w:rsidRPr="00B8379A">
        <w:rPr>
          <w:rFonts w:asciiTheme="minorHAnsi" w:eastAsia="Calibri" w:hAnsiTheme="minorHAnsi" w:cstheme="minorBidi"/>
          <w:lang w:val="en-US"/>
        </w:rPr>
        <w:t xml:space="preserve">supply chain </w:t>
      </w:r>
      <w:r w:rsidR="00797141" w:rsidRPr="00B8379A">
        <w:rPr>
          <w:rFonts w:asciiTheme="minorHAnsi" w:eastAsia="Calibri" w:hAnsiTheme="minorHAnsi" w:cstheme="minorBidi"/>
          <w:lang w:val="en-US"/>
        </w:rPr>
        <w:t xml:space="preserve">issues </w:t>
      </w:r>
      <w:r w:rsidR="009C1477" w:rsidRPr="00B8379A">
        <w:rPr>
          <w:rFonts w:asciiTheme="minorHAnsi" w:eastAsia="Calibri" w:hAnsiTheme="minorHAnsi" w:cstheme="minorBidi"/>
          <w:lang w:val="en-US"/>
        </w:rPr>
        <w:t>on the horizon</w:t>
      </w:r>
      <w:r w:rsidR="008516F6" w:rsidRPr="00B8379A">
        <w:rPr>
          <w:rFonts w:asciiTheme="minorHAnsi" w:eastAsia="Calibri" w:hAnsiTheme="minorHAnsi" w:cstheme="minorBidi"/>
          <w:lang w:val="en-US"/>
        </w:rPr>
        <w:t xml:space="preserve"> </w:t>
      </w:r>
      <w:r w:rsidR="00797141" w:rsidRPr="00B8379A">
        <w:rPr>
          <w:rFonts w:asciiTheme="minorHAnsi" w:eastAsia="Calibri" w:hAnsiTheme="minorHAnsi" w:cstheme="minorBidi"/>
          <w:lang w:val="en-US"/>
        </w:rPr>
        <w:t xml:space="preserve">and </w:t>
      </w:r>
      <w:r w:rsidR="00A7276E" w:rsidRPr="00B8379A">
        <w:rPr>
          <w:rFonts w:asciiTheme="minorHAnsi" w:eastAsia="Calibri" w:hAnsiTheme="minorHAnsi" w:cstheme="minorBidi"/>
          <w:lang w:val="en-US"/>
        </w:rPr>
        <w:t xml:space="preserve">the extent to which </w:t>
      </w:r>
      <w:r w:rsidR="00797141" w:rsidRPr="00B8379A">
        <w:rPr>
          <w:rFonts w:asciiTheme="minorHAnsi" w:eastAsia="Calibri" w:hAnsiTheme="minorHAnsi" w:cstheme="minorBidi"/>
          <w:lang w:val="en-US"/>
        </w:rPr>
        <w:t xml:space="preserve">RPs </w:t>
      </w:r>
      <w:proofErr w:type="gramStart"/>
      <w:r w:rsidR="00A7276E" w:rsidRPr="00B8379A">
        <w:rPr>
          <w:rFonts w:asciiTheme="minorHAnsi" w:eastAsia="Calibri" w:hAnsiTheme="minorHAnsi" w:cstheme="minorBidi"/>
          <w:lang w:val="en-US"/>
        </w:rPr>
        <w:t>are able to</w:t>
      </w:r>
      <w:proofErr w:type="gramEnd"/>
      <w:r w:rsidR="00A7276E" w:rsidRPr="00B8379A">
        <w:rPr>
          <w:rFonts w:asciiTheme="minorHAnsi" w:eastAsia="Calibri" w:hAnsiTheme="minorHAnsi" w:cstheme="minorBidi"/>
          <w:lang w:val="en-US"/>
        </w:rPr>
        <w:t xml:space="preserve"> take action to avoid them</w:t>
      </w:r>
      <w:r w:rsidR="00A06F31" w:rsidRPr="00B8379A">
        <w:rPr>
          <w:rFonts w:asciiTheme="minorHAnsi" w:eastAsia="Calibri" w:hAnsiTheme="minorHAnsi" w:cstheme="minorBidi"/>
          <w:lang w:val="en-US"/>
        </w:rPr>
        <w:t xml:space="preserve">. At this juncture, </w:t>
      </w:r>
      <w:r w:rsidR="000D6E7D" w:rsidRPr="00B8379A">
        <w:rPr>
          <w:rFonts w:asciiTheme="minorHAnsi" w:eastAsia="Calibri" w:hAnsiTheme="minorHAnsi" w:cstheme="minorBidi"/>
          <w:lang w:val="en-US"/>
        </w:rPr>
        <w:t xml:space="preserve">due to the under reporting of likely breaches, </w:t>
      </w:r>
      <w:r w:rsidR="00AD3E60" w:rsidRPr="00B8379A">
        <w:rPr>
          <w:rFonts w:asciiTheme="minorHAnsi" w:eastAsia="Calibri" w:hAnsiTheme="minorHAnsi" w:cstheme="minorBidi"/>
          <w:lang w:val="en-US"/>
        </w:rPr>
        <w:t>i</w:t>
      </w:r>
      <w:r w:rsidR="00895E42" w:rsidRPr="00B8379A">
        <w:rPr>
          <w:rFonts w:asciiTheme="minorHAnsi" w:eastAsia="Calibri" w:hAnsiTheme="minorHAnsi" w:cstheme="minorBidi"/>
          <w:lang w:val="en-US"/>
        </w:rPr>
        <w:t xml:space="preserve">t is difficult to </w:t>
      </w:r>
      <w:r w:rsidR="000D6E7D" w:rsidRPr="00B8379A">
        <w:rPr>
          <w:rFonts w:asciiTheme="minorHAnsi" w:eastAsia="Calibri" w:hAnsiTheme="minorHAnsi" w:cstheme="minorBidi"/>
          <w:lang w:val="en-US"/>
        </w:rPr>
        <w:t>determine the ‘value-add’ of likely breach notifications. It is anticipated that likely breach notification rates will increase through the establishment of the notification portal</w:t>
      </w:r>
      <w:r w:rsidR="007539A1" w:rsidRPr="00B8379A">
        <w:rPr>
          <w:rFonts w:asciiTheme="minorHAnsi" w:eastAsia="Calibri" w:hAnsiTheme="minorHAnsi" w:cstheme="minorBidi"/>
          <w:lang w:val="en-US"/>
        </w:rPr>
        <w:t>,</w:t>
      </w:r>
      <w:r w:rsidR="000D6E7D" w:rsidRPr="00B8379A">
        <w:rPr>
          <w:rFonts w:asciiTheme="minorHAnsi" w:eastAsia="Calibri" w:hAnsiTheme="minorHAnsi" w:cstheme="minorBidi"/>
          <w:lang w:val="en-US"/>
        </w:rPr>
        <w:t xml:space="preserve"> and </w:t>
      </w:r>
      <w:r w:rsidR="00EB1037" w:rsidRPr="00B8379A">
        <w:rPr>
          <w:rFonts w:asciiTheme="minorHAnsi" w:eastAsia="Calibri" w:hAnsiTheme="minorHAnsi" w:cstheme="minorBidi"/>
          <w:lang w:val="en-US"/>
        </w:rPr>
        <w:t xml:space="preserve">subsequently </w:t>
      </w:r>
      <w:r w:rsidR="00E463E9" w:rsidRPr="00B8379A">
        <w:rPr>
          <w:rFonts w:asciiTheme="minorHAnsi" w:eastAsia="Calibri" w:hAnsiTheme="minorHAnsi" w:cstheme="minorBidi"/>
          <w:lang w:val="en-US"/>
        </w:rPr>
        <w:t xml:space="preserve">an </w:t>
      </w:r>
      <w:r w:rsidR="00EB6321" w:rsidRPr="00B8379A">
        <w:rPr>
          <w:rFonts w:asciiTheme="minorHAnsi" w:eastAsia="Calibri" w:hAnsiTheme="minorHAnsi" w:cstheme="minorBidi"/>
          <w:lang w:val="en-US"/>
        </w:rPr>
        <w:t>evaluation o</w:t>
      </w:r>
      <w:r w:rsidR="00E26889" w:rsidRPr="00B8379A">
        <w:rPr>
          <w:rFonts w:asciiTheme="minorHAnsi" w:eastAsia="Calibri" w:hAnsiTheme="minorHAnsi" w:cstheme="minorBidi"/>
          <w:lang w:val="en-US"/>
        </w:rPr>
        <w:t>f</w:t>
      </w:r>
      <w:r w:rsidR="00EB6321" w:rsidRPr="00B8379A">
        <w:rPr>
          <w:rFonts w:asciiTheme="minorHAnsi" w:eastAsia="Calibri" w:hAnsiTheme="minorHAnsi" w:cstheme="minorBidi"/>
          <w:lang w:val="en-US"/>
        </w:rPr>
        <w:t xml:space="preserve"> the ‘</w:t>
      </w:r>
      <w:r w:rsidR="000D6E7D" w:rsidRPr="00B8379A">
        <w:rPr>
          <w:rFonts w:asciiTheme="minorHAnsi" w:eastAsia="Calibri" w:hAnsiTheme="minorHAnsi" w:cstheme="minorBidi"/>
          <w:lang w:val="en-US"/>
        </w:rPr>
        <w:t>value</w:t>
      </w:r>
      <w:r w:rsidR="007539A1" w:rsidRPr="00B8379A">
        <w:rPr>
          <w:rFonts w:asciiTheme="minorHAnsi" w:eastAsia="Calibri" w:hAnsiTheme="minorHAnsi" w:cstheme="minorBidi"/>
          <w:lang w:val="en-US"/>
        </w:rPr>
        <w:t>-</w:t>
      </w:r>
      <w:r w:rsidR="000D6E7D" w:rsidRPr="00B8379A">
        <w:rPr>
          <w:rFonts w:asciiTheme="minorHAnsi" w:eastAsia="Calibri" w:hAnsiTheme="minorHAnsi" w:cstheme="minorBidi"/>
          <w:lang w:val="en-US"/>
        </w:rPr>
        <w:t>add</w:t>
      </w:r>
      <w:r w:rsidR="00EB6321" w:rsidRPr="00B8379A">
        <w:rPr>
          <w:rFonts w:asciiTheme="minorHAnsi" w:eastAsia="Calibri" w:hAnsiTheme="minorHAnsi" w:cstheme="minorBidi"/>
          <w:lang w:val="en-US"/>
        </w:rPr>
        <w:t>’ of likely</w:t>
      </w:r>
      <w:r w:rsidR="00E26889" w:rsidRPr="00B8379A">
        <w:rPr>
          <w:rFonts w:asciiTheme="minorHAnsi" w:eastAsia="Calibri" w:hAnsiTheme="minorHAnsi" w:cstheme="minorBidi"/>
          <w:lang w:val="en-US"/>
        </w:rPr>
        <w:t xml:space="preserve"> breach</w:t>
      </w:r>
      <w:r w:rsidR="00EB6321" w:rsidRPr="00B8379A">
        <w:rPr>
          <w:rFonts w:asciiTheme="minorHAnsi" w:eastAsia="Calibri" w:hAnsiTheme="minorHAnsi" w:cstheme="minorBidi"/>
          <w:lang w:val="en-US"/>
        </w:rPr>
        <w:t xml:space="preserve"> notifications can be undertaken at </w:t>
      </w:r>
      <w:r w:rsidR="00EF4B8C" w:rsidRPr="00B8379A">
        <w:rPr>
          <w:rFonts w:asciiTheme="minorHAnsi" w:eastAsia="Calibri" w:hAnsiTheme="minorHAnsi" w:cstheme="minorBidi"/>
          <w:lang w:val="en-US"/>
        </w:rPr>
        <w:t xml:space="preserve">the </w:t>
      </w:r>
      <w:r w:rsidR="00E5558E">
        <w:rPr>
          <w:rFonts w:asciiTheme="minorHAnsi" w:eastAsia="Calibri" w:hAnsiTheme="minorHAnsi" w:cstheme="minorBidi"/>
          <w:lang w:val="en-US"/>
        </w:rPr>
        <w:br/>
      </w:r>
      <w:r w:rsidR="001915C9" w:rsidRPr="00C46D59">
        <w:rPr>
          <w:rFonts w:asciiTheme="minorHAnsi" w:eastAsia="Calibri" w:hAnsiTheme="minorHAnsi" w:cstheme="minorBidi"/>
          <w:lang w:val="en-US"/>
        </w:rPr>
        <w:t>24-month</w:t>
      </w:r>
      <w:r w:rsidR="00DA0128" w:rsidRPr="00C46D59">
        <w:rPr>
          <w:rFonts w:asciiTheme="minorHAnsi" w:eastAsia="Calibri" w:hAnsiTheme="minorHAnsi" w:cstheme="minorBidi"/>
          <w:lang w:val="en-US"/>
        </w:rPr>
        <w:t xml:space="preserve"> review stage.</w:t>
      </w:r>
    </w:p>
    <w:p w14:paraId="20A275C5" w14:textId="709E1EB6" w:rsidR="004559F9" w:rsidRPr="004559F9" w:rsidRDefault="004440C6" w:rsidP="3241DCBB">
      <w:pPr>
        <w:pStyle w:val="ListParagraph"/>
        <w:numPr>
          <w:ilvl w:val="1"/>
          <w:numId w:val="11"/>
        </w:numPr>
        <w:spacing w:before="120" w:after="120"/>
        <w:jc w:val="both"/>
        <w:rPr>
          <w:rFonts w:asciiTheme="minorHAnsi" w:eastAsia="Calibri" w:hAnsiTheme="minorHAnsi" w:cstheme="minorBidi"/>
        </w:rPr>
      </w:pPr>
      <w:r w:rsidRPr="3241DCBB">
        <w:rPr>
          <w:rFonts w:asciiTheme="minorHAnsi" w:eastAsia="Calibri" w:hAnsiTheme="minorHAnsi" w:cstheme="minorBidi"/>
          <w:b/>
          <w:lang w:val="en-US"/>
        </w:rPr>
        <w:t xml:space="preserve">Lodging </w:t>
      </w:r>
      <w:r w:rsidR="00245CC3" w:rsidRPr="3241DCBB">
        <w:rPr>
          <w:rFonts w:asciiTheme="minorHAnsi" w:eastAsia="Calibri" w:hAnsiTheme="minorHAnsi" w:cstheme="minorBidi"/>
          <w:b/>
          <w:lang w:val="en-US"/>
        </w:rPr>
        <w:t xml:space="preserve">notifications on time: </w:t>
      </w:r>
      <w:r w:rsidR="002947D7" w:rsidRPr="3241DCBB">
        <w:rPr>
          <w:rFonts w:asciiTheme="minorHAnsi" w:eastAsia="Calibri" w:hAnsiTheme="minorHAnsi" w:cstheme="minorBidi"/>
          <w:lang w:val="en-US"/>
        </w:rPr>
        <w:t xml:space="preserve">the requirement for breach notifications to be lodged as soon as practicable is not being met. </w:t>
      </w:r>
      <w:r w:rsidR="00764694" w:rsidRPr="3241DCBB">
        <w:rPr>
          <w:rFonts w:asciiTheme="minorHAnsi" w:eastAsia="Calibri" w:hAnsiTheme="minorHAnsi" w:cstheme="minorBidi"/>
          <w:b/>
          <w:lang w:val="en-US"/>
        </w:rPr>
        <w:t>19</w:t>
      </w:r>
      <w:r w:rsidR="002947D7" w:rsidRPr="3241DCBB">
        <w:rPr>
          <w:rFonts w:asciiTheme="minorHAnsi" w:eastAsia="Calibri" w:hAnsiTheme="minorHAnsi" w:cstheme="minorBidi"/>
          <w:b/>
          <w:lang w:val="en-US"/>
        </w:rPr>
        <w:t>%</w:t>
      </w:r>
      <w:r w:rsidR="002947D7" w:rsidRPr="3241DCBB">
        <w:rPr>
          <w:rFonts w:asciiTheme="minorHAnsi" w:eastAsia="Calibri" w:hAnsiTheme="minorHAnsi" w:cstheme="minorBidi"/>
          <w:lang w:val="en-US"/>
        </w:rPr>
        <w:t xml:space="preserve"> of actual breach notifications were lodged within 2 days</w:t>
      </w:r>
      <w:r w:rsidR="00FA5C7E" w:rsidRPr="3241DCBB">
        <w:rPr>
          <w:rFonts w:asciiTheme="minorHAnsi" w:eastAsia="Calibri" w:hAnsiTheme="minorHAnsi" w:cstheme="minorBidi"/>
          <w:lang w:val="en-US"/>
        </w:rPr>
        <w:t xml:space="preserve"> of the breach occurring</w:t>
      </w:r>
      <w:r w:rsidR="002947D7" w:rsidRPr="3241DCBB">
        <w:rPr>
          <w:rFonts w:asciiTheme="minorHAnsi" w:eastAsia="Calibri" w:hAnsiTheme="minorHAnsi" w:cstheme="minorBidi"/>
          <w:lang w:val="en-US"/>
        </w:rPr>
        <w:t xml:space="preserve">, while </w:t>
      </w:r>
      <w:r w:rsidR="00764694" w:rsidRPr="3241DCBB">
        <w:rPr>
          <w:rFonts w:asciiTheme="minorHAnsi" w:eastAsia="Calibri" w:hAnsiTheme="minorHAnsi" w:cstheme="minorBidi"/>
          <w:b/>
          <w:lang w:val="en-US"/>
        </w:rPr>
        <w:t>43</w:t>
      </w:r>
      <w:r w:rsidR="002947D7" w:rsidRPr="3241DCBB">
        <w:rPr>
          <w:rFonts w:asciiTheme="minorHAnsi" w:eastAsia="Calibri" w:hAnsiTheme="minorHAnsi" w:cstheme="minorBidi"/>
          <w:b/>
          <w:lang w:val="en-US"/>
        </w:rPr>
        <w:t>%</w:t>
      </w:r>
      <w:r w:rsidR="002947D7" w:rsidRPr="3241DCBB">
        <w:rPr>
          <w:rFonts w:asciiTheme="minorHAnsi" w:eastAsia="Calibri" w:hAnsiTheme="minorHAnsi" w:cstheme="minorBidi"/>
          <w:lang w:val="en-US"/>
        </w:rPr>
        <w:t xml:space="preserve"> of likely breach notifications were lodged within 2 days</w:t>
      </w:r>
      <w:r w:rsidR="00FA5C7E" w:rsidRPr="3241DCBB">
        <w:rPr>
          <w:rFonts w:asciiTheme="minorHAnsi" w:eastAsia="Calibri" w:hAnsiTheme="minorHAnsi" w:cstheme="minorBidi"/>
          <w:lang w:val="en-US"/>
        </w:rPr>
        <w:t xml:space="preserve"> </w:t>
      </w:r>
      <w:r w:rsidR="003A4281" w:rsidRPr="3241DCBB">
        <w:rPr>
          <w:rFonts w:asciiTheme="minorHAnsi" w:eastAsia="Calibri" w:hAnsiTheme="minorHAnsi" w:cstheme="minorBidi"/>
          <w:lang w:val="en-US"/>
        </w:rPr>
        <w:t xml:space="preserve">of </w:t>
      </w:r>
      <w:r w:rsidR="00992D6B" w:rsidRPr="3241DCBB">
        <w:rPr>
          <w:rFonts w:asciiTheme="minorHAnsi" w:eastAsia="Calibri" w:hAnsiTheme="minorHAnsi" w:cstheme="minorBidi"/>
          <w:lang w:val="en-US"/>
        </w:rPr>
        <w:t>forming the belief that a breach may be likely</w:t>
      </w:r>
      <w:r w:rsidR="002947D7" w:rsidRPr="3241DCBB">
        <w:rPr>
          <w:rFonts w:asciiTheme="minorHAnsi" w:eastAsia="Calibri" w:hAnsiTheme="minorHAnsi" w:cstheme="minorBidi"/>
          <w:lang w:val="en-US"/>
        </w:rPr>
        <w:t>.</w:t>
      </w:r>
      <w:r w:rsidR="004559F9" w:rsidRPr="000B58FC">
        <w:rPr>
          <w:rFonts w:ascii="Segoe UI" w:hAnsi="Segoe UI" w:cs="Segoe UI"/>
          <w:sz w:val="18"/>
          <w:szCs w:val="18"/>
          <w:lang w:eastAsia="en-AU"/>
          <w14:ligatures w14:val="none"/>
        </w:rPr>
        <w:t xml:space="preserve"> </w:t>
      </w:r>
      <w:r w:rsidR="004559F9" w:rsidRPr="3241DCBB">
        <w:rPr>
          <w:rFonts w:asciiTheme="minorHAnsi" w:eastAsia="Calibri" w:hAnsiTheme="minorHAnsi" w:cstheme="minorBidi"/>
        </w:rPr>
        <w:t xml:space="preserve">The legal requirement is for breach notifications to be lodged ‘as soon as practicable’. 2 days is a nominal figure used by the department as a starting point for assessment and in most cases is likely to align with what is ‘as soon as practicable’ after an RP forms a belief of a likely </w:t>
      </w:r>
      <w:proofErr w:type="gramStart"/>
      <w:r w:rsidR="004559F9" w:rsidRPr="3241DCBB">
        <w:rPr>
          <w:rFonts w:asciiTheme="minorHAnsi" w:eastAsia="Calibri" w:hAnsiTheme="minorHAnsi" w:cstheme="minorBidi"/>
        </w:rPr>
        <w:t>breach, or</w:t>
      </w:r>
      <w:proofErr w:type="gramEnd"/>
      <w:r w:rsidR="004559F9" w:rsidRPr="3241DCBB">
        <w:rPr>
          <w:rFonts w:asciiTheme="minorHAnsi" w:eastAsia="Calibri" w:hAnsiTheme="minorHAnsi" w:cstheme="minorBidi"/>
        </w:rPr>
        <w:t xml:space="preserve"> becomes aware of an actual breach (</w:t>
      </w:r>
      <w:r w:rsidR="004559F9" w:rsidRPr="3241DCBB">
        <w:rPr>
          <w:rFonts w:asciiTheme="minorHAnsi" w:eastAsia="Calibri" w:hAnsiTheme="minorHAnsi" w:cstheme="minorBidi"/>
          <w:b/>
        </w:rPr>
        <w:t>notification</w:t>
      </w:r>
      <w:r w:rsidR="004559F9" w:rsidRPr="3241DCBB">
        <w:rPr>
          <w:rFonts w:asciiTheme="minorHAnsi" w:eastAsia="Calibri" w:hAnsiTheme="minorHAnsi" w:cstheme="minorBidi"/>
        </w:rPr>
        <w:t xml:space="preserve"> </w:t>
      </w:r>
      <w:r w:rsidR="004559F9" w:rsidRPr="3241DCBB">
        <w:rPr>
          <w:rFonts w:asciiTheme="minorHAnsi" w:eastAsia="Calibri" w:hAnsiTheme="minorHAnsi" w:cstheme="minorBidi"/>
          <w:b/>
        </w:rPr>
        <w:t>trigger</w:t>
      </w:r>
      <w:r w:rsidR="004559F9" w:rsidRPr="3241DCBB">
        <w:rPr>
          <w:rFonts w:asciiTheme="minorHAnsi" w:eastAsia="Calibri" w:hAnsiTheme="minorHAnsi" w:cstheme="minorBidi"/>
        </w:rPr>
        <w:t xml:space="preserve">). Notification more than 2 days after a notification trigger, is not necessarily non-compliant behaviour. However, it is more likely (depending upon </w:t>
      </w:r>
      <w:proofErr w:type="gramStart"/>
      <w:r w:rsidR="004559F9" w:rsidRPr="3241DCBB">
        <w:rPr>
          <w:rFonts w:asciiTheme="minorHAnsi" w:eastAsia="Calibri" w:hAnsiTheme="minorHAnsi" w:cstheme="minorBidi"/>
        </w:rPr>
        <w:t>particular factual</w:t>
      </w:r>
      <w:proofErr w:type="gramEnd"/>
      <w:r w:rsidR="004559F9" w:rsidRPr="3241DCBB">
        <w:rPr>
          <w:rFonts w:asciiTheme="minorHAnsi" w:eastAsia="Calibri" w:hAnsiTheme="minorHAnsi" w:cstheme="minorBidi"/>
        </w:rPr>
        <w:t xml:space="preserve"> circumstances), that a </w:t>
      </w:r>
      <w:r w:rsidR="004559F9" w:rsidRPr="3241DCBB">
        <w:rPr>
          <w:rFonts w:asciiTheme="minorHAnsi" w:eastAsia="Calibri" w:hAnsiTheme="minorHAnsi" w:cstheme="minorBidi"/>
        </w:rPr>
        <w:lastRenderedPageBreak/>
        <w:t>notification made 3 or more days after a notification trigger, does not comply with the requirement to notify ‘as soon as practicable’. It appears that many RPs are not lodging notifications as soon as they ought to be or could be.</w:t>
      </w:r>
    </w:p>
    <w:p w14:paraId="6CB1E4D8" w14:textId="347E216E" w:rsidR="002947D7" w:rsidRPr="00B8379A" w:rsidRDefault="006D6A6F" w:rsidP="00597E65">
      <w:pPr>
        <w:pStyle w:val="ListParagraph"/>
        <w:numPr>
          <w:ilvl w:val="1"/>
          <w:numId w:val="11"/>
        </w:numPr>
        <w:spacing w:before="120" w:after="120"/>
        <w:contextualSpacing w:val="0"/>
        <w:jc w:val="both"/>
        <w:rPr>
          <w:rFonts w:asciiTheme="minorHAnsi" w:eastAsia="Calibri" w:hAnsiTheme="minorHAnsi" w:cstheme="minorHAnsi"/>
          <w:b/>
          <w:bCs/>
          <w:szCs w:val="22"/>
          <w:lang w:val="en-US"/>
        </w:rPr>
      </w:pPr>
      <w:r w:rsidRPr="00B8379A">
        <w:rPr>
          <w:rFonts w:asciiTheme="minorHAnsi" w:eastAsia="Calibri" w:hAnsiTheme="minorHAnsi" w:cstheme="minorHAnsi"/>
          <w:b/>
          <w:bCs/>
          <w:szCs w:val="22"/>
          <w:lang w:val="en-US"/>
        </w:rPr>
        <w:t>Administrative burden</w:t>
      </w:r>
      <w:r w:rsidR="00F92838" w:rsidRPr="00B8379A">
        <w:rPr>
          <w:rFonts w:asciiTheme="minorHAnsi" w:eastAsia="Calibri" w:hAnsiTheme="minorHAnsi" w:cstheme="minorHAnsi"/>
          <w:b/>
          <w:bCs/>
          <w:szCs w:val="22"/>
          <w:lang w:val="en-US"/>
        </w:rPr>
        <w:t xml:space="preserve">: </w:t>
      </w:r>
      <w:r w:rsidR="00F92838" w:rsidRPr="00B8379A">
        <w:rPr>
          <w:rFonts w:asciiTheme="minorHAnsi" w:eastAsia="Calibri" w:hAnsiTheme="minorHAnsi" w:cstheme="minorHAnsi"/>
          <w:szCs w:val="22"/>
          <w:lang w:val="en-US"/>
        </w:rPr>
        <w:t>f</w:t>
      </w:r>
      <w:r w:rsidR="002947D7" w:rsidRPr="00B8379A">
        <w:rPr>
          <w:rFonts w:asciiTheme="minorHAnsi" w:eastAsia="Calibri" w:hAnsiTheme="minorHAnsi" w:cstheme="minorHAnsi"/>
          <w:szCs w:val="22"/>
          <w:lang w:val="en-US"/>
        </w:rPr>
        <w:t>eedback provided by RPs through the survey and Roundtable discussion consistently and clearly indicate that the notification process is administratively burdensome. RPs have also raised concerns about the role that likely breach notifications play</w:t>
      </w:r>
      <w:r w:rsidR="002947D7" w:rsidRPr="00B8379A">
        <w:rPr>
          <w:rFonts w:asciiTheme="minorHAnsi" w:eastAsia="Calibri" w:hAnsiTheme="minorHAnsi" w:cstheme="minorHAnsi"/>
          <w:b/>
          <w:bCs/>
          <w:szCs w:val="22"/>
          <w:lang w:val="en-US"/>
        </w:rPr>
        <w:t>.</w:t>
      </w:r>
    </w:p>
    <w:p w14:paraId="7FA52E79" w14:textId="77777777" w:rsidR="002947D7" w:rsidRPr="00533B7B" w:rsidRDefault="002947D7" w:rsidP="00597E65">
      <w:pPr>
        <w:pStyle w:val="ListParagraph"/>
        <w:keepNext/>
        <w:keepLines/>
        <w:numPr>
          <w:ilvl w:val="0"/>
          <w:numId w:val="7"/>
        </w:numPr>
        <w:spacing w:before="120" w:after="120"/>
        <w:contextualSpacing w:val="0"/>
        <w:jc w:val="both"/>
        <w:rPr>
          <w:rFonts w:asciiTheme="minorHAnsi" w:eastAsia="Calibri" w:hAnsiTheme="minorHAnsi" w:cstheme="minorHAnsi"/>
          <w:b/>
          <w:szCs w:val="22"/>
        </w:rPr>
      </w:pPr>
      <w:r w:rsidRPr="00533B7B">
        <w:rPr>
          <w:rFonts w:asciiTheme="minorHAnsi" w:eastAsia="Calibri" w:hAnsiTheme="minorHAnsi" w:cstheme="minorHAnsi"/>
          <w:b/>
          <w:szCs w:val="22"/>
        </w:rPr>
        <w:t xml:space="preserve">Enforcement actions </w:t>
      </w:r>
      <w:proofErr w:type="gramStart"/>
      <w:r w:rsidRPr="00533B7B">
        <w:rPr>
          <w:rFonts w:asciiTheme="minorHAnsi" w:eastAsia="Calibri" w:hAnsiTheme="minorHAnsi" w:cstheme="minorHAnsi"/>
          <w:b/>
          <w:szCs w:val="22"/>
        </w:rPr>
        <w:t>taken</w:t>
      </w:r>
      <w:proofErr w:type="gramEnd"/>
    </w:p>
    <w:p w14:paraId="7EF4C978" w14:textId="6910A561" w:rsidR="002947D7" w:rsidRPr="00B03D48" w:rsidRDefault="00221528" w:rsidP="00110BCD">
      <w:pPr>
        <w:pStyle w:val="ListParagraph"/>
        <w:keepNext/>
        <w:keepLines/>
        <w:numPr>
          <w:ilvl w:val="1"/>
          <w:numId w:val="19"/>
        </w:numPr>
        <w:spacing w:before="120" w:after="120"/>
        <w:contextualSpacing w:val="0"/>
        <w:jc w:val="both"/>
        <w:rPr>
          <w:rFonts w:asciiTheme="minorHAnsi" w:eastAsia="Calibri" w:hAnsiTheme="minorHAnsi" w:cstheme="minorHAnsi"/>
          <w:lang w:val="en-US"/>
        </w:rPr>
      </w:pPr>
      <w:hyperlink w:anchor="_Ministerial_powers" w:history="1">
        <w:r w:rsidR="00BE749C" w:rsidRPr="00B03D48">
          <w:rPr>
            <w:rStyle w:val="Hyperlink"/>
            <w:rFonts w:asciiTheme="minorHAnsi" w:eastAsia="Calibri" w:hAnsiTheme="minorHAnsi" w:cstheme="minorHAnsi"/>
            <w:b/>
          </w:rPr>
          <w:t>Powers used by the Minister</w:t>
        </w:r>
      </w:hyperlink>
      <w:r w:rsidR="00BE749C" w:rsidRPr="00B03D48">
        <w:rPr>
          <w:rFonts w:asciiTheme="minorHAnsi" w:eastAsia="Calibri" w:hAnsiTheme="minorHAnsi" w:cstheme="minorHAnsi"/>
          <w:b/>
        </w:rPr>
        <w:t xml:space="preserve">: </w:t>
      </w:r>
      <w:r w:rsidR="00BE749C" w:rsidRPr="00B03D48">
        <w:rPr>
          <w:rFonts w:asciiTheme="minorHAnsi" w:eastAsia="Calibri" w:hAnsiTheme="minorHAnsi" w:cstheme="minorHAnsi"/>
        </w:rPr>
        <w:t>n</w:t>
      </w:r>
      <w:r w:rsidR="002947D7" w:rsidRPr="00B03D48">
        <w:rPr>
          <w:rFonts w:asciiTheme="minorHAnsi" w:eastAsia="Calibri" w:hAnsiTheme="minorHAnsi" w:cstheme="minorHAnsi"/>
        </w:rPr>
        <w:t xml:space="preserve">o Ministerial enforcement powers have been utilised to date, reflecting the strong compliance rates </w:t>
      </w:r>
      <w:r w:rsidR="002947D7" w:rsidRPr="00B03D48">
        <w:rPr>
          <w:rFonts w:asciiTheme="minorHAnsi" w:eastAsia="Calibri" w:hAnsiTheme="minorHAnsi" w:cstheme="minorHAnsi"/>
          <w:lang w:val="en-US"/>
        </w:rPr>
        <w:t>and the department’s focus on encouraging compliance through education and support to RPs.</w:t>
      </w:r>
    </w:p>
    <w:p w14:paraId="0FE207FE" w14:textId="38D4F43F" w:rsidR="002947D7" w:rsidRPr="00B03D48" w:rsidRDefault="00F16F39" w:rsidP="00110BCD">
      <w:pPr>
        <w:pStyle w:val="ListParagraph"/>
        <w:numPr>
          <w:ilvl w:val="1"/>
          <w:numId w:val="19"/>
        </w:numPr>
        <w:spacing w:before="120" w:after="120"/>
        <w:contextualSpacing w:val="0"/>
        <w:jc w:val="both"/>
        <w:rPr>
          <w:rFonts w:asciiTheme="minorHAnsi" w:eastAsia="Calibri" w:hAnsiTheme="minorHAnsi" w:cstheme="minorHAnsi"/>
          <w:lang w:val="en-US"/>
        </w:rPr>
      </w:pPr>
      <w:r w:rsidRPr="00B03D48">
        <w:rPr>
          <w:rFonts w:asciiTheme="minorHAnsi" w:eastAsia="Calibri" w:hAnsiTheme="minorHAnsi" w:cstheme="minorHAnsi"/>
          <w:b/>
          <w:lang w:val="en-US"/>
        </w:rPr>
        <w:t xml:space="preserve">Identified non-compliance: </w:t>
      </w:r>
      <w:r w:rsidR="00AA622C" w:rsidRPr="00B03D48">
        <w:rPr>
          <w:rFonts w:asciiTheme="minorHAnsi" w:eastAsia="Calibri" w:hAnsiTheme="minorHAnsi" w:cstheme="minorHAnsi"/>
          <w:lang w:val="en-US"/>
        </w:rPr>
        <w:t xml:space="preserve">despite the </w:t>
      </w:r>
      <w:r w:rsidR="00726ADD" w:rsidRPr="00B03D48">
        <w:rPr>
          <w:rFonts w:asciiTheme="minorHAnsi" w:eastAsia="Calibri" w:hAnsiTheme="minorHAnsi" w:cstheme="minorHAnsi"/>
          <w:lang w:val="en-US"/>
        </w:rPr>
        <w:t>absence of formal compliance actions,</w:t>
      </w:r>
      <w:r w:rsidRPr="00B03D48">
        <w:rPr>
          <w:rFonts w:asciiTheme="minorHAnsi" w:eastAsia="Calibri" w:hAnsiTheme="minorHAnsi" w:cstheme="minorHAnsi"/>
          <w:b/>
          <w:lang w:val="en-US"/>
        </w:rPr>
        <w:t xml:space="preserve"> </w:t>
      </w:r>
      <w:r w:rsidR="002947D7" w:rsidRPr="00B03D48">
        <w:rPr>
          <w:rFonts w:asciiTheme="minorHAnsi" w:eastAsia="Calibri" w:hAnsiTheme="minorHAnsi" w:cstheme="minorHAnsi"/>
          <w:lang w:val="en-US"/>
        </w:rPr>
        <w:t xml:space="preserve">36 RPs </w:t>
      </w:r>
      <w:r w:rsidR="003A3B85" w:rsidRPr="00B03D48">
        <w:rPr>
          <w:rFonts w:asciiTheme="minorHAnsi" w:eastAsia="Calibri" w:hAnsiTheme="minorHAnsi" w:cstheme="minorHAnsi"/>
          <w:lang w:val="en-US"/>
        </w:rPr>
        <w:t>have been contacted regarding</w:t>
      </w:r>
      <w:r w:rsidR="002947D7" w:rsidRPr="00B03D48">
        <w:rPr>
          <w:rFonts w:asciiTheme="minorHAnsi" w:eastAsia="Calibri" w:hAnsiTheme="minorHAnsi" w:cstheme="minorHAnsi"/>
          <w:lang w:val="en-US"/>
        </w:rPr>
        <w:t xml:space="preserve"> notification non-compliance detected from data matching of disclosure and notification records. The non-compliance varies in severity and scale</w:t>
      </w:r>
      <w:r w:rsidR="000E3B9A" w:rsidRPr="00B03D48">
        <w:rPr>
          <w:rFonts w:asciiTheme="minorHAnsi" w:eastAsia="Calibri" w:hAnsiTheme="minorHAnsi" w:cstheme="minorHAnsi"/>
          <w:lang w:val="en-US"/>
        </w:rPr>
        <w:t xml:space="preserve">, with 14 RPs identified as having submitted </w:t>
      </w:r>
      <w:r w:rsidR="00094B7E" w:rsidRPr="00B03D48">
        <w:rPr>
          <w:rFonts w:asciiTheme="minorHAnsi" w:eastAsia="Calibri" w:hAnsiTheme="minorHAnsi" w:cstheme="minorHAnsi"/>
          <w:lang w:val="en-US"/>
        </w:rPr>
        <w:t xml:space="preserve">no </w:t>
      </w:r>
      <w:r w:rsidR="00280C8B" w:rsidRPr="00B03D48">
        <w:rPr>
          <w:rFonts w:asciiTheme="minorHAnsi" w:eastAsia="Calibri" w:hAnsiTheme="minorHAnsi" w:cstheme="minorHAnsi"/>
          <w:lang w:val="en-US"/>
        </w:rPr>
        <w:t xml:space="preserve">breach </w:t>
      </w:r>
      <w:r w:rsidR="00094B7E" w:rsidRPr="00B03D48">
        <w:rPr>
          <w:rFonts w:asciiTheme="minorHAnsi" w:eastAsia="Calibri" w:hAnsiTheme="minorHAnsi" w:cstheme="minorHAnsi"/>
          <w:lang w:val="en-US"/>
        </w:rPr>
        <w:t>notifications despite identified breaches</w:t>
      </w:r>
      <w:r w:rsidR="00C60457" w:rsidRPr="00B03D48">
        <w:rPr>
          <w:rFonts w:asciiTheme="minorHAnsi" w:eastAsia="Calibri" w:hAnsiTheme="minorHAnsi" w:cstheme="minorHAnsi"/>
          <w:lang w:val="en-US"/>
        </w:rPr>
        <w:t xml:space="preserve"> (stockholding disclosure reports)</w:t>
      </w:r>
      <w:r w:rsidR="002947D7" w:rsidRPr="00B03D48">
        <w:rPr>
          <w:rFonts w:asciiTheme="minorHAnsi" w:eastAsia="Calibri" w:hAnsiTheme="minorHAnsi" w:cstheme="minorHAnsi"/>
          <w:lang w:val="en-US"/>
        </w:rPr>
        <w:t>. Case management is ongoing and enforcement options are being considered.</w:t>
      </w:r>
    </w:p>
    <w:p w14:paraId="6D595770" w14:textId="215AE1CF" w:rsidR="002947D7" w:rsidRPr="00533B7B" w:rsidRDefault="002947D7" w:rsidP="00110BCD">
      <w:pPr>
        <w:pStyle w:val="ListParagraph"/>
        <w:keepNext/>
        <w:numPr>
          <w:ilvl w:val="0"/>
          <w:numId w:val="7"/>
        </w:numPr>
        <w:spacing w:before="120" w:after="120"/>
        <w:contextualSpacing w:val="0"/>
        <w:jc w:val="both"/>
        <w:rPr>
          <w:rFonts w:asciiTheme="minorHAnsi" w:eastAsia="Calibri" w:hAnsiTheme="minorHAnsi" w:cstheme="minorHAnsi"/>
          <w:b/>
          <w:szCs w:val="22"/>
        </w:rPr>
      </w:pPr>
      <w:r w:rsidRPr="00533B7B">
        <w:rPr>
          <w:rFonts w:asciiTheme="minorHAnsi" w:eastAsia="Calibri" w:hAnsiTheme="minorHAnsi" w:cstheme="minorHAnsi"/>
          <w:b/>
          <w:szCs w:val="22"/>
        </w:rPr>
        <w:t>Regulatory burden for industry</w:t>
      </w:r>
    </w:p>
    <w:p w14:paraId="7DAF9CA0" w14:textId="54154423" w:rsidR="00CF5A2B" w:rsidRPr="00CF5A2B" w:rsidRDefault="00BD2790" w:rsidP="00597E65">
      <w:pPr>
        <w:pStyle w:val="ListParagraph"/>
        <w:numPr>
          <w:ilvl w:val="1"/>
          <w:numId w:val="12"/>
        </w:numPr>
        <w:spacing w:before="120" w:after="120"/>
        <w:contextualSpacing w:val="0"/>
        <w:jc w:val="both"/>
        <w:rPr>
          <w:rFonts w:asciiTheme="minorHAnsi" w:eastAsia="Calibri" w:hAnsiTheme="minorHAnsi" w:cstheme="minorBidi"/>
        </w:rPr>
      </w:pPr>
      <w:r w:rsidRPr="23C60C84">
        <w:rPr>
          <w:rFonts w:asciiTheme="minorHAnsi" w:eastAsia="Calibri" w:hAnsiTheme="minorHAnsi" w:cstheme="minorBidi"/>
          <w:b/>
        </w:rPr>
        <w:t xml:space="preserve">Insights </w:t>
      </w:r>
      <w:r w:rsidR="00B16583" w:rsidRPr="23C60C84">
        <w:rPr>
          <w:rFonts w:asciiTheme="minorHAnsi" w:eastAsia="Calibri" w:hAnsiTheme="minorHAnsi" w:cstheme="minorBidi"/>
          <w:b/>
        </w:rPr>
        <w:t xml:space="preserve">from </w:t>
      </w:r>
      <w:r w:rsidRPr="23C60C84">
        <w:rPr>
          <w:rFonts w:asciiTheme="minorHAnsi" w:eastAsia="Calibri" w:hAnsiTheme="minorHAnsi" w:cstheme="minorBidi"/>
          <w:b/>
        </w:rPr>
        <w:t>Industry response</w:t>
      </w:r>
      <w:r w:rsidR="00B16583" w:rsidRPr="23C60C84">
        <w:rPr>
          <w:rFonts w:asciiTheme="minorHAnsi" w:eastAsia="Calibri" w:hAnsiTheme="minorHAnsi" w:cstheme="minorBidi"/>
          <w:b/>
        </w:rPr>
        <w:t>s</w:t>
      </w:r>
      <w:r w:rsidR="00536B61" w:rsidRPr="23C60C84">
        <w:rPr>
          <w:rFonts w:asciiTheme="minorHAnsi" w:eastAsia="Calibri" w:hAnsiTheme="minorHAnsi" w:cstheme="minorBidi"/>
          <w:b/>
        </w:rPr>
        <w:t xml:space="preserve">: </w:t>
      </w:r>
      <w:r w:rsidR="002947D7" w:rsidRPr="23C60C84">
        <w:rPr>
          <w:rFonts w:asciiTheme="minorHAnsi" w:eastAsia="Calibri" w:hAnsiTheme="minorHAnsi" w:cstheme="minorBidi"/>
        </w:rPr>
        <w:t>Industry has, overall, taken the new requirements seriously, with many engaging additional resources and ma</w:t>
      </w:r>
      <w:r w:rsidR="002947D7" w:rsidRPr="004B3873">
        <w:rPr>
          <w:rFonts w:asciiTheme="minorHAnsi" w:eastAsia="Calibri" w:hAnsiTheme="minorHAnsi" w:cstheme="minorBidi"/>
        </w:rPr>
        <w:t xml:space="preserve">king changes to supply chains and other business practices to ensure compliance with the MSR. </w:t>
      </w:r>
      <w:r w:rsidR="35845478" w:rsidRPr="00B8379A">
        <w:rPr>
          <w:rFonts w:asciiTheme="minorHAnsi" w:eastAsia="Calibri" w:hAnsiTheme="minorHAnsi" w:cstheme="minorBidi"/>
        </w:rPr>
        <w:t>Early indications are</w:t>
      </w:r>
      <w:r w:rsidR="002947D7" w:rsidRPr="004B3873">
        <w:rPr>
          <w:rFonts w:asciiTheme="minorHAnsi" w:eastAsia="Calibri" w:hAnsiTheme="minorHAnsi" w:cstheme="minorBidi"/>
        </w:rPr>
        <w:t xml:space="preserve"> that the costs of these </w:t>
      </w:r>
      <w:r w:rsidR="002947D7" w:rsidRPr="008A29AA">
        <w:rPr>
          <w:rFonts w:asciiTheme="minorHAnsi" w:eastAsia="Calibri" w:hAnsiTheme="minorHAnsi" w:cstheme="minorBidi"/>
        </w:rPr>
        <w:t xml:space="preserve">changes </w:t>
      </w:r>
      <w:r w:rsidR="00482237" w:rsidRPr="008A29AA">
        <w:rPr>
          <w:rFonts w:asciiTheme="minorHAnsi" w:eastAsia="Calibri" w:hAnsiTheme="minorHAnsi" w:cstheme="minorBidi"/>
        </w:rPr>
        <w:t xml:space="preserve">may </w:t>
      </w:r>
      <w:r w:rsidR="002947D7" w:rsidRPr="008A29AA">
        <w:rPr>
          <w:rFonts w:asciiTheme="minorHAnsi" w:eastAsia="Calibri" w:hAnsiTheme="minorHAnsi" w:cstheme="minorBidi"/>
        </w:rPr>
        <w:t xml:space="preserve">have been significant for many RPs, but we have been unable to obtain </w:t>
      </w:r>
      <w:r w:rsidR="36A70515" w:rsidRPr="008A29AA">
        <w:rPr>
          <w:rFonts w:asciiTheme="minorHAnsi" w:eastAsia="Calibri" w:hAnsiTheme="minorHAnsi" w:cstheme="minorBidi"/>
        </w:rPr>
        <w:t xml:space="preserve">consistent </w:t>
      </w:r>
      <w:r w:rsidR="002947D7" w:rsidRPr="008A29AA">
        <w:rPr>
          <w:rFonts w:asciiTheme="minorHAnsi" w:eastAsia="Calibri" w:hAnsiTheme="minorHAnsi" w:cstheme="minorBidi"/>
        </w:rPr>
        <w:t xml:space="preserve">information </w:t>
      </w:r>
      <w:r w:rsidR="407BFD8F" w:rsidRPr="008A29AA">
        <w:rPr>
          <w:rFonts w:asciiTheme="minorHAnsi" w:eastAsia="Calibri" w:hAnsiTheme="minorHAnsi" w:cstheme="minorBidi"/>
        </w:rPr>
        <w:t xml:space="preserve">that we can be confident provides an accurate and reliable </w:t>
      </w:r>
      <w:r w:rsidR="0F0527FF" w:rsidRPr="008A29AA">
        <w:rPr>
          <w:rFonts w:asciiTheme="minorHAnsi" w:eastAsia="Calibri" w:hAnsiTheme="minorHAnsi" w:cstheme="minorBidi"/>
          <w:b/>
          <w:bCs/>
        </w:rPr>
        <w:t xml:space="preserve">estimate of the </w:t>
      </w:r>
      <w:r w:rsidR="00794218" w:rsidRPr="00B8379A">
        <w:rPr>
          <w:rFonts w:asciiTheme="minorHAnsi" w:eastAsia="Calibri" w:hAnsiTheme="minorHAnsi" w:cstheme="minorBidi"/>
          <w:b/>
          <w:bCs/>
        </w:rPr>
        <w:t>cost</w:t>
      </w:r>
      <w:r w:rsidR="00794218" w:rsidRPr="008A29AA">
        <w:rPr>
          <w:rFonts w:asciiTheme="minorHAnsi" w:eastAsia="Calibri" w:hAnsiTheme="minorHAnsi" w:cstheme="minorBidi"/>
        </w:rPr>
        <w:t xml:space="preserve"> </w:t>
      </w:r>
      <w:r w:rsidR="7A9B0E1B" w:rsidRPr="008A29AA">
        <w:rPr>
          <w:rFonts w:asciiTheme="minorHAnsi" w:eastAsia="Calibri" w:hAnsiTheme="minorHAnsi" w:cstheme="minorBidi"/>
          <w:b/>
          <w:bCs/>
        </w:rPr>
        <w:t>impacts</w:t>
      </w:r>
      <w:r w:rsidR="7A9B0E1B" w:rsidRPr="06972A05">
        <w:rPr>
          <w:rFonts w:asciiTheme="minorHAnsi" w:eastAsia="Calibri" w:hAnsiTheme="minorHAnsi" w:cstheme="minorBidi"/>
          <w:b/>
          <w:bCs/>
        </w:rPr>
        <w:t xml:space="preserve"> of </w:t>
      </w:r>
      <w:r w:rsidR="7A9B0E1B" w:rsidRPr="19A68D07">
        <w:rPr>
          <w:rFonts w:asciiTheme="minorHAnsi" w:eastAsia="Calibri" w:hAnsiTheme="minorHAnsi" w:cstheme="minorBidi"/>
          <w:b/>
          <w:bCs/>
        </w:rPr>
        <w:t>the MSR</w:t>
      </w:r>
      <w:r w:rsidR="00794218" w:rsidRPr="19A68D07">
        <w:rPr>
          <w:rFonts w:asciiTheme="minorHAnsi" w:eastAsia="Calibri" w:hAnsiTheme="minorHAnsi" w:cstheme="minorBidi"/>
        </w:rPr>
        <w:t>.</w:t>
      </w:r>
      <w:r w:rsidR="00794218" w:rsidRPr="004B3873">
        <w:rPr>
          <w:rFonts w:asciiTheme="minorHAnsi" w:eastAsia="Calibri" w:hAnsiTheme="minorHAnsi" w:cstheme="minorBidi"/>
        </w:rPr>
        <w:t xml:space="preserve"> </w:t>
      </w:r>
      <w:r w:rsidR="002947D7" w:rsidRPr="23C60C84">
        <w:rPr>
          <w:rFonts w:asciiTheme="minorHAnsi" w:eastAsia="Calibri" w:hAnsiTheme="minorHAnsi" w:cstheme="minorBidi"/>
        </w:rPr>
        <w:t>For this reason, we have been unable to fully evaluate regulatory burden for this review.</w:t>
      </w:r>
      <w:r w:rsidR="00CF5A2B" w:rsidRPr="00B8379A">
        <w:rPr>
          <w:rFonts w:asciiTheme="minorHAnsi" w:eastAsia="Calibri" w:hAnsiTheme="minorHAnsi" w:cstheme="minorBidi"/>
        </w:rPr>
        <w:t xml:space="preserve"> </w:t>
      </w:r>
      <w:r w:rsidR="006956C2" w:rsidRPr="00B8379A">
        <w:rPr>
          <w:rFonts w:asciiTheme="minorHAnsi" w:eastAsia="Calibri" w:hAnsiTheme="minorHAnsi" w:cstheme="minorBidi"/>
        </w:rPr>
        <w:t>T</w:t>
      </w:r>
      <w:r w:rsidR="00CF5A2B" w:rsidRPr="23C60C84">
        <w:rPr>
          <w:rFonts w:asciiTheme="minorHAnsi" w:eastAsia="Calibri" w:hAnsiTheme="minorHAnsi" w:cstheme="minorBidi"/>
        </w:rPr>
        <w:t xml:space="preserve">he department </w:t>
      </w:r>
      <w:r w:rsidR="006E0F30" w:rsidRPr="23C60C84">
        <w:rPr>
          <w:rFonts w:asciiTheme="minorHAnsi" w:eastAsia="Calibri" w:hAnsiTheme="minorHAnsi" w:cstheme="minorBidi"/>
        </w:rPr>
        <w:t xml:space="preserve">will </w:t>
      </w:r>
      <w:r w:rsidR="00CF5A2B" w:rsidRPr="23C60C84">
        <w:rPr>
          <w:rFonts w:asciiTheme="minorHAnsi" w:eastAsia="Calibri" w:hAnsiTheme="minorHAnsi" w:cstheme="minorBidi"/>
        </w:rPr>
        <w:t>seek to improve the collection of data and evaluate these costs in more detail for the next review.</w:t>
      </w:r>
    </w:p>
    <w:p w14:paraId="193F1D18" w14:textId="13BE2C3D" w:rsidR="002947D7" w:rsidRPr="00214B9A" w:rsidRDefault="002947D7" w:rsidP="00110BCD">
      <w:pPr>
        <w:pStyle w:val="ListParagraph"/>
        <w:keepNext/>
        <w:numPr>
          <w:ilvl w:val="0"/>
          <w:numId w:val="7"/>
        </w:numPr>
        <w:spacing w:before="120" w:after="120"/>
        <w:contextualSpacing w:val="0"/>
        <w:jc w:val="both"/>
        <w:rPr>
          <w:rFonts w:asciiTheme="minorHAnsi" w:eastAsia="Calibri" w:hAnsiTheme="minorHAnsi" w:cstheme="minorHAnsi"/>
          <w:b/>
          <w:szCs w:val="22"/>
        </w:rPr>
      </w:pPr>
      <w:r w:rsidRPr="00214B9A">
        <w:rPr>
          <w:rFonts w:asciiTheme="minorHAnsi" w:eastAsia="Calibri" w:hAnsiTheme="minorHAnsi" w:cstheme="minorHAnsi"/>
          <w:b/>
          <w:szCs w:val="22"/>
        </w:rPr>
        <w:t>Changes in inventory management</w:t>
      </w:r>
    </w:p>
    <w:p w14:paraId="254BDC9D" w14:textId="3CEEEC44" w:rsidR="002947D7" w:rsidRPr="00214B9A" w:rsidRDefault="002A0434" w:rsidP="00597E65">
      <w:pPr>
        <w:pStyle w:val="ListParagraph"/>
        <w:numPr>
          <w:ilvl w:val="1"/>
          <w:numId w:val="13"/>
        </w:numPr>
        <w:spacing w:before="120" w:after="120"/>
        <w:contextualSpacing w:val="0"/>
        <w:jc w:val="both"/>
        <w:rPr>
          <w:rFonts w:asciiTheme="minorHAnsi" w:eastAsia="Calibri" w:hAnsiTheme="minorHAnsi" w:cstheme="minorBidi"/>
          <w:lang w:val="en-US"/>
        </w:rPr>
      </w:pPr>
      <w:r w:rsidRPr="23C60C84">
        <w:rPr>
          <w:rFonts w:asciiTheme="minorHAnsi" w:eastAsia="Calibri" w:hAnsiTheme="minorHAnsi" w:cstheme="minorBidi"/>
          <w:b/>
          <w:lang w:val="en-US"/>
        </w:rPr>
        <w:t xml:space="preserve">Safety stock impacts: </w:t>
      </w:r>
      <w:r w:rsidRPr="23C60C84">
        <w:rPr>
          <w:rFonts w:asciiTheme="minorHAnsi" w:eastAsia="Calibri" w:hAnsiTheme="minorHAnsi" w:cstheme="minorBidi"/>
          <w:lang w:val="en-US"/>
        </w:rPr>
        <w:t>m</w:t>
      </w:r>
      <w:r w:rsidR="002947D7" w:rsidRPr="23C60C84">
        <w:rPr>
          <w:rFonts w:asciiTheme="minorHAnsi" w:eastAsia="Calibri" w:hAnsiTheme="minorHAnsi" w:cstheme="minorBidi"/>
          <w:lang w:val="en-US"/>
        </w:rPr>
        <w:t xml:space="preserve">any RPs have made significant changes to their stock levels and inventory management in response to the MSR. </w:t>
      </w:r>
      <w:r w:rsidR="000A49E9">
        <w:rPr>
          <w:rFonts w:asciiTheme="minorHAnsi" w:eastAsia="Calibri" w:hAnsiTheme="minorHAnsi" w:cstheme="minorBidi"/>
          <w:b/>
          <w:bCs/>
          <w:lang w:val="en-US"/>
        </w:rPr>
        <w:t>64</w:t>
      </w:r>
      <w:r w:rsidR="002947D7" w:rsidRPr="00B8379A">
        <w:rPr>
          <w:rFonts w:asciiTheme="minorHAnsi" w:eastAsia="Calibri" w:hAnsiTheme="minorHAnsi" w:cstheme="minorBidi"/>
          <w:b/>
          <w:bCs/>
          <w:lang w:val="en-US"/>
        </w:rPr>
        <w:t>%</w:t>
      </w:r>
      <w:r w:rsidR="002947D7" w:rsidRPr="23C60C84">
        <w:rPr>
          <w:rFonts w:asciiTheme="minorHAnsi" w:eastAsia="Calibri" w:hAnsiTheme="minorHAnsi" w:cstheme="minorBidi"/>
          <w:lang w:val="en-US"/>
        </w:rPr>
        <w:t xml:space="preserve"> of survey respondents said their holdings of </w:t>
      </w:r>
      <w:r w:rsidR="00611767">
        <w:rPr>
          <w:rFonts w:asciiTheme="minorHAnsi" w:eastAsia="Calibri" w:hAnsiTheme="minorHAnsi" w:cstheme="minorBidi"/>
          <w:lang w:val="en-US"/>
        </w:rPr>
        <w:t>‘</w:t>
      </w:r>
      <w:r w:rsidR="002947D7" w:rsidRPr="23C60C84">
        <w:rPr>
          <w:rFonts w:asciiTheme="minorHAnsi" w:eastAsia="Calibri" w:hAnsiTheme="minorHAnsi" w:cstheme="minorBidi"/>
          <w:lang w:val="en-US"/>
        </w:rPr>
        <w:t>safety stocks</w:t>
      </w:r>
      <w:r w:rsidR="00611767">
        <w:rPr>
          <w:rFonts w:asciiTheme="minorHAnsi" w:eastAsia="Calibri" w:hAnsiTheme="minorHAnsi" w:cstheme="minorBidi"/>
          <w:lang w:val="en-US"/>
        </w:rPr>
        <w:t>’</w:t>
      </w:r>
      <w:r w:rsidR="00611767">
        <w:rPr>
          <w:rStyle w:val="FootnoteReference"/>
          <w:rFonts w:asciiTheme="minorHAnsi" w:eastAsia="Calibri" w:hAnsiTheme="minorHAnsi" w:cstheme="minorBidi"/>
          <w:lang w:val="en-US"/>
        </w:rPr>
        <w:footnoteReference w:id="5"/>
      </w:r>
      <w:r w:rsidR="002947D7" w:rsidRPr="23C60C84">
        <w:rPr>
          <w:rFonts w:asciiTheme="minorHAnsi" w:eastAsia="Calibri" w:hAnsiTheme="minorHAnsi" w:cstheme="minorBidi"/>
          <w:lang w:val="en-US"/>
        </w:rPr>
        <w:t xml:space="preserve"> had increased since the introduction of the MSR</w:t>
      </w:r>
      <w:r w:rsidR="000A71F0">
        <w:rPr>
          <w:rFonts w:asciiTheme="minorHAnsi" w:eastAsia="Calibri" w:hAnsiTheme="minorHAnsi" w:cstheme="minorBidi"/>
          <w:lang w:val="en-US"/>
        </w:rPr>
        <w:t xml:space="preserve">. </w:t>
      </w:r>
      <w:r w:rsidR="000A0BE2">
        <w:rPr>
          <w:rFonts w:asciiTheme="minorHAnsi" w:eastAsia="Calibri" w:hAnsiTheme="minorHAnsi" w:cstheme="minorBidi"/>
          <w:lang w:val="en-US"/>
        </w:rPr>
        <w:t>T</w:t>
      </w:r>
      <w:r w:rsidR="00EA3A44">
        <w:rPr>
          <w:rFonts w:asciiTheme="minorHAnsi" w:eastAsia="Calibri" w:hAnsiTheme="minorHAnsi" w:cstheme="minorBidi"/>
          <w:lang w:val="en-US"/>
        </w:rPr>
        <w:t>h</w:t>
      </w:r>
      <w:r w:rsidR="00A34582">
        <w:rPr>
          <w:rFonts w:asciiTheme="minorHAnsi" w:eastAsia="Calibri" w:hAnsiTheme="minorHAnsi" w:cstheme="minorBidi"/>
          <w:lang w:val="en-US"/>
        </w:rPr>
        <w:t>e increase in stock</w:t>
      </w:r>
      <w:r w:rsidR="00391AFF">
        <w:rPr>
          <w:rFonts w:asciiTheme="minorHAnsi" w:eastAsia="Calibri" w:hAnsiTheme="minorHAnsi" w:cstheme="minorBidi"/>
          <w:lang w:val="en-US"/>
        </w:rPr>
        <w:t xml:space="preserve"> </w:t>
      </w:r>
      <w:r w:rsidR="00F5788E" w:rsidRPr="008203C5">
        <w:rPr>
          <w:rFonts w:ascii="Calibri" w:eastAsia="Calibri" w:hAnsi="Calibri" w:cs="Calibri"/>
          <w:color w:val="000000" w:themeColor="text1"/>
          <w:szCs w:val="22"/>
          <w:lang w:val="en-US"/>
        </w:rPr>
        <w:t xml:space="preserve">ranged from 2 to </w:t>
      </w:r>
      <w:r w:rsidR="00F5788E">
        <w:rPr>
          <w:rFonts w:ascii="Calibri" w:eastAsia="Calibri" w:hAnsi="Calibri" w:cs="Calibri"/>
          <w:color w:val="000000" w:themeColor="text1"/>
          <w:szCs w:val="22"/>
          <w:lang w:val="en-US"/>
        </w:rPr>
        <w:t>20</w:t>
      </w:r>
      <w:r w:rsidR="00F5788E" w:rsidRPr="008203C5">
        <w:rPr>
          <w:rFonts w:ascii="Calibri" w:eastAsia="Calibri" w:hAnsi="Calibri" w:cs="Calibri"/>
          <w:color w:val="000000" w:themeColor="text1"/>
          <w:szCs w:val="22"/>
          <w:lang w:val="en-US"/>
        </w:rPr>
        <w:t xml:space="preserve"> weeks</w:t>
      </w:r>
      <w:r w:rsidR="005E6C0D">
        <w:rPr>
          <w:rFonts w:ascii="Calibri" w:eastAsia="Calibri" w:hAnsi="Calibri" w:cs="Calibri"/>
          <w:color w:val="000000" w:themeColor="text1"/>
          <w:szCs w:val="22"/>
          <w:lang w:val="en-US"/>
        </w:rPr>
        <w:t>,</w:t>
      </w:r>
      <w:r w:rsidR="00F5788E" w:rsidRPr="008203C5">
        <w:rPr>
          <w:rFonts w:ascii="Calibri" w:eastAsia="Calibri" w:hAnsi="Calibri" w:cs="Calibri"/>
          <w:color w:val="000000" w:themeColor="text1"/>
          <w:szCs w:val="22"/>
          <w:lang w:val="en-US"/>
        </w:rPr>
        <w:t xml:space="preserve"> with an average </w:t>
      </w:r>
      <w:r w:rsidR="00F5788E">
        <w:rPr>
          <w:rFonts w:ascii="Calibri" w:eastAsia="Calibri" w:hAnsi="Calibri" w:cs="Calibri"/>
          <w:color w:val="000000" w:themeColor="text1"/>
          <w:szCs w:val="22"/>
          <w:lang w:val="en-US"/>
        </w:rPr>
        <w:t xml:space="preserve">increase </w:t>
      </w:r>
      <w:r w:rsidR="00F5788E" w:rsidRPr="008203C5">
        <w:rPr>
          <w:rFonts w:ascii="Calibri" w:eastAsia="Calibri" w:hAnsi="Calibri" w:cs="Calibri"/>
          <w:color w:val="000000" w:themeColor="text1"/>
          <w:szCs w:val="22"/>
          <w:lang w:val="en-US"/>
        </w:rPr>
        <w:t xml:space="preserve">of </w:t>
      </w:r>
      <w:r w:rsidR="00F5788E" w:rsidRPr="008203C5">
        <w:rPr>
          <w:rFonts w:ascii="Calibri" w:eastAsia="Calibri" w:hAnsi="Calibri" w:cs="Calibri"/>
          <w:b/>
          <w:bCs/>
          <w:color w:val="000000" w:themeColor="text1"/>
          <w:szCs w:val="22"/>
          <w:lang w:val="en-US"/>
        </w:rPr>
        <w:t>8 weeks</w:t>
      </w:r>
      <w:r w:rsidR="00F5788E" w:rsidRPr="008203C5">
        <w:rPr>
          <w:rFonts w:ascii="Calibri" w:eastAsia="Calibri" w:hAnsi="Calibri" w:cs="Calibri"/>
          <w:color w:val="000000" w:themeColor="text1"/>
          <w:szCs w:val="22"/>
          <w:lang w:val="en-US"/>
        </w:rPr>
        <w:t xml:space="preserve"> of stock</w:t>
      </w:r>
      <w:r w:rsidR="005E6C0D">
        <w:rPr>
          <w:rFonts w:ascii="Calibri" w:eastAsia="Calibri" w:hAnsi="Calibri" w:cs="Calibri"/>
          <w:color w:val="000000" w:themeColor="text1"/>
          <w:szCs w:val="22"/>
          <w:lang w:val="en-US"/>
        </w:rPr>
        <w:t xml:space="preserve"> (</w:t>
      </w:r>
      <w:r w:rsidR="005E6C0D">
        <w:rPr>
          <w:rFonts w:asciiTheme="minorHAnsi" w:eastAsia="Calibri" w:hAnsiTheme="minorHAnsi" w:cstheme="minorBidi"/>
          <w:lang w:val="en-US"/>
        </w:rPr>
        <w:t>based on 21 RPs)</w:t>
      </w:r>
      <w:r w:rsidR="00F5788E">
        <w:rPr>
          <w:rFonts w:ascii="Calibri" w:eastAsia="Calibri" w:hAnsi="Calibri" w:cs="Calibri"/>
          <w:color w:val="000000" w:themeColor="text1"/>
          <w:szCs w:val="22"/>
          <w:lang w:val="en-US"/>
        </w:rPr>
        <w:t>.</w:t>
      </w:r>
    </w:p>
    <w:p w14:paraId="6A5B4408" w14:textId="7FFB03AC" w:rsidR="002947D7" w:rsidRPr="00533B7B" w:rsidRDefault="002947D7" w:rsidP="00110BCD">
      <w:pPr>
        <w:pStyle w:val="ListParagraph"/>
        <w:numPr>
          <w:ilvl w:val="0"/>
          <w:numId w:val="7"/>
        </w:numPr>
        <w:spacing w:before="120" w:after="120"/>
        <w:contextualSpacing w:val="0"/>
        <w:jc w:val="both"/>
        <w:rPr>
          <w:rFonts w:asciiTheme="minorHAnsi" w:eastAsia="Calibri" w:hAnsiTheme="minorHAnsi" w:cstheme="minorHAnsi"/>
          <w:b/>
          <w:szCs w:val="22"/>
        </w:rPr>
      </w:pPr>
      <w:r w:rsidRPr="00533B7B">
        <w:rPr>
          <w:rFonts w:asciiTheme="minorHAnsi" w:eastAsia="Calibri" w:hAnsiTheme="minorHAnsi" w:cstheme="minorHAnsi"/>
          <w:b/>
          <w:szCs w:val="22"/>
        </w:rPr>
        <w:t xml:space="preserve">Effect of the MSR on </w:t>
      </w:r>
      <w:hyperlink w:anchor="_Medicine_shortages" w:history="1">
        <w:r w:rsidR="00E15566" w:rsidRPr="00E15566">
          <w:rPr>
            <w:rStyle w:val="Hyperlink"/>
            <w:rFonts w:asciiTheme="minorHAnsi" w:eastAsia="Calibri" w:hAnsiTheme="minorHAnsi" w:cstheme="minorHAnsi"/>
            <w:b/>
            <w:szCs w:val="22"/>
          </w:rPr>
          <w:t xml:space="preserve">medicine </w:t>
        </w:r>
        <w:r w:rsidRPr="00E15566">
          <w:rPr>
            <w:rStyle w:val="Hyperlink"/>
            <w:rFonts w:asciiTheme="minorHAnsi" w:eastAsia="Calibri" w:hAnsiTheme="minorHAnsi" w:cstheme="minorHAnsi"/>
            <w:b/>
            <w:szCs w:val="22"/>
          </w:rPr>
          <w:t>shortages</w:t>
        </w:r>
      </w:hyperlink>
      <w:r w:rsidRPr="00533B7B">
        <w:rPr>
          <w:rFonts w:asciiTheme="minorHAnsi" w:eastAsia="Calibri" w:hAnsiTheme="minorHAnsi" w:cstheme="minorHAnsi"/>
          <w:b/>
          <w:szCs w:val="22"/>
        </w:rPr>
        <w:t xml:space="preserve"> of designated brands</w:t>
      </w:r>
    </w:p>
    <w:p w14:paraId="4A4DCE4F" w14:textId="2F7AEBA7" w:rsidR="002947D7" w:rsidRPr="00B40D60" w:rsidRDefault="00DD4D02" w:rsidP="00A16054">
      <w:pPr>
        <w:pStyle w:val="ListParagraph"/>
        <w:numPr>
          <w:ilvl w:val="1"/>
          <w:numId w:val="14"/>
        </w:numPr>
        <w:spacing w:before="120" w:after="120"/>
        <w:contextualSpacing w:val="0"/>
        <w:jc w:val="both"/>
        <w:rPr>
          <w:rFonts w:asciiTheme="minorHAnsi" w:eastAsia="Calibri" w:hAnsiTheme="minorHAnsi" w:cstheme="minorHAnsi"/>
          <w:szCs w:val="22"/>
          <w:lang w:val="en-US"/>
        </w:rPr>
      </w:pPr>
      <w:r w:rsidRPr="00B40D60">
        <w:rPr>
          <w:rFonts w:asciiTheme="minorHAnsi" w:eastAsia="Calibri" w:hAnsiTheme="minorHAnsi" w:cstheme="minorHAnsi"/>
          <w:b/>
          <w:bCs/>
          <w:szCs w:val="22"/>
          <w:lang w:val="en-US"/>
        </w:rPr>
        <w:t>Reduc</w:t>
      </w:r>
      <w:r w:rsidR="00FE315B" w:rsidRPr="00B40D60">
        <w:rPr>
          <w:rFonts w:asciiTheme="minorHAnsi" w:eastAsia="Calibri" w:hAnsiTheme="minorHAnsi" w:cstheme="minorHAnsi"/>
          <w:b/>
          <w:bCs/>
          <w:szCs w:val="22"/>
          <w:lang w:val="en-US"/>
        </w:rPr>
        <w:t>tion in</w:t>
      </w:r>
      <w:r w:rsidRPr="00B40D60">
        <w:rPr>
          <w:rFonts w:asciiTheme="minorHAnsi" w:eastAsia="Calibri" w:hAnsiTheme="minorHAnsi" w:cstheme="minorHAnsi"/>
          <w:b/>
          <w:bCs/>
          <w:szCs w:val="22"/>
          <w:lang w:val="en-US"/>
        </w:rPr>
        <w:t xml:space="preserve"> </w:t>
      </w:r>
      <w:r w:rsidR="00304BFB" w:rsidRPr="00B40D60">
        <w:rPr>
          <w:rFonts w:asciiTheme="minorHAnsi" w:eastAsia="Calibri" w:hAnsiTheme="minorHAnsi" w:cstheme="minorHAnsi"/>
          <w:b/>
          <w:bCs/>
          <w:szCs w:val="22"/>
          <w:lang w:val="en-US"/>
        </w:rPr>
        <w:t xml:space="preserve">the </w:t>
      </w:r>
      <w:r w:rsidR="00834A60">
        <w:rPr>
          <w:rFonts w:asciiTheme="minorHAnsi" w:eastAsia="Calibri" w:hAnsiTheme="minorHAnsi" w:cstheme="minorHAnsi"/>
          <w:b/>
          <w:bCs/>
          <w:szCs w:val="22"/>
          <w:lang w:val="en-US"/>
        </w:rPr>
        <w:t xml:space="preserve">total </w:t>
      </w:r>
      <w:r w:rsidR="00304BFB" w:rsidRPr="00B40D60">
        <w:rPr>
          <w:rFonts w:asciiTheme="minorHAnsi" w:eastAsia="Calibri" w:hAnsiTheme="minorHAnsi" w:cstheme="minorHAnsi"/>
          <w:b/>
          <w:bCs/>
          <w:szCs w:val="22"/>
          <w:lang w:val="en-US"/>
        </w:rPr>
        <w:t>number</w:t>
      </w:r>
      <w:r w:rsidR="00FE315B" w:rsidRPr="00B40D60">
        <w:rPr>
          <w:rFonts w:asciiTheme="minorHAnsi" w:eastAsia="Calibri" w:hAnsiTheme="minorHAnsi" w:cstheme="minorHAnsi"/>
          <w:b/>
          <w:bCs/>
          <w:szCs w:val="22"/>
          <w:lang w:val="en-US"/>
        </w:rPr>
        <w:t xml:space="preserve"> </w:t>
      </w:r>
      <w:r w:rsidR="00B40D60" w:rsidRPr="00B40D60">
        <w:rPr>
          <w:rFonts w:asciiTheme="minorHAnsi" w:eastAsia="Calibri" w:hAnsiTheme="minorHAnsi" w:cstheme="minorHAnsi"/>
          <w:b/>
          <w:bCs/>
          <w:szCs w:val="22"/>
          <w:lang w:val="en-US"/>
        </w:rPr>
        <w:t>and</w:t>
      </w:r>
      <w:r w:rsidR="00834A60">
        <w:rPr>
          <w:rFonts w:asciiTheme="minorHAnsi" w:eastAsia="Calibri" w:hAnsiTheme="minorHAnsi" w:cstheme="minorHAnsi"/>
          <w:b/>
          <w:bCs/>
          <w:szCs w:val="22"/>
          <w:lang w:val="en-US"/>
        </w:rPr>
        <w:t xml:space="preserve"> short</w:t>
      </w:r>
      <w:r w:rsidR="00D01210">
        <w:rPr>
          <w:rFonts w:asciiTheme="minorHAnsi" w:eastAsia="Calibri" w:hAnsiTheme="minorHAnsi" w:cstheme="minorHAnsi"/>
          <w:b/>
          <w:bCs/>
          <w:szCs w:val="22"/>
          <w:lang w:val="en-US"/>
        </w:rPr>
        <w:t>er</w:t>
      </w:r>
      <w:r w:rsidR="00B40D60" w:rsidRPr="00B40D60">
        <w:rPr>
          <w:rFonts w:asciiTheme="minorHAnsi" w:eastAsia="Calibri" w:hAnsiTheme="minorHAnsi" w:cstheme="minorHAnsi"/>
          <w:b/>
          <w:bCs/>
          <w:szCs w:val="22"/>
          <w:lang w:val="en-US"/>
        </w:rPr>
        <w:t xml:space="preserve"> duration</w:t>
      </w:r>
      <w:r w:rsidR="00DB46C4" w:rsidRPr="00B40D60">
        <w:rPr>
          <w:rFonts w:asciiTheme="minorHAnsi" w:eastAsia="Calibri" w:hAnsiTheme="minorHAnsi" w:cstheme="minorHAnsi"/>
          <w:b/>
          <w:bCs/>
          <w:szCs w:val="22"/>
          <w:lang w:val="en-US"/>
        </w:rPr>
        <w:t xml:space="preserve"> shortages</w:t>
      </w:r>
      <w:r w:rsidR="00460707" w:rsidRPr="00B40D60">
        <w:rPr>
          <w:rFonts w:asciiTheme="minorHAnsi" w:eastAsia="Calibri" w:hAnsiTheme="minorHAnsi" w:cstheme="minorHAnsi"/>
          <w:b/>
          <w:bCs/>
          <w:szCs w:val="22"/>
          <w:lang w:val="en-US"/>
        </w:rPr>
        <w:t>:</w:t>
      </w:r>
      <w:r w:rsidR="00460707" w:rsidRPr="00B8379A">
        <w:rPr>
          <w:rFonts w:asciiTheme="minorHAnsi" w:eastAsia="Calibri" w:hAnsiTheme="minorHAnsi" w:cstheme="minorHAnsi"/>
          <w:szCs w:val="22"/>
          <w:lang w:val="en-US"/>
        </w:rPr>
        <w:t xml:space="preserve"> </w:t>
      </w:r>
      <w:r w:rsidR="00C0791A" w:rsidRPr="00B8379A">
        <w:rPr>
          <w:rFonts w:asciiTheme="minorHAnsi" w:eastAsia="Calibri" w:hAnsiTheme="minorHAnsi" w:cstheme="minorHAnsi"/>
          <w:szCs w:val="22"/>
          <w:lang w:val="en-US"/>
        </w:rPr>
        <w:t>there was a</w:t>
      </w:r>
      <w:r w:rsidR="00C0791A" w:rsidRPr="00B40D60">
        <w:rPr>
          <w:rFonts w:asciiTheme="minorHAnsi" w:eastAsia="Calibri" w:hAnsiTheme="minorHAnsi" w:cstheme="minorHAnsi"/>
          <w:szCs w:val="22"/>
          <w:lang w:val="en-US"/>
        </w:rPr>
        <w:t xml:space="preserve"> </w:t>
      </w:r>
      <w:r w:rsidR="00FE315B" w:rsidRPr="00B40D60">
        <w:rPr>
          <w:rFonts w:asciiTheme="minorHAnsi" w:eastAsia="Calibri" w:hAnsiTheme="minorHAnsi" w:cstheme="minorHAnsi"/>
          <w:b/>
          <w:bCs/>
          <w:szCs w:val="22"/>
          <w:lang w:val="en-US"/>
        </w:rPr>
        <w:t>13%</w:t>
      </w:r>
      <w:r w:rsidR="00FE315B" w:rsidRPr="00B40D60">
        <w:rPr>
          <w:rFonts w:asciiTheme="minorHAnsi" w:eastAsia="Calibri" w:hAnsiTheme="minorHAnsi" w:cstheme="minorHAnsi"/>
          <w:szCs w:val="22"/>
          <w:lang w:val="en-US"/>
        </w:rPr>
        <w:t xml:space="preserve"> decline</w:t>
      </w:r>
      <w:r w:rsidR="00C0791A" w:rsidRPr="00B40D60">
        <w:rPr>
          <w:rFonts w:asciiTheme="minorHAnsi" w:eastAsia="Calibri" w:hAnsiTheme="minorHAnsi" w:cstheme="minorHAnsi"/>
          <w:szCs w:val="22"/>
          <w:lang w:val="en-US"/>
        </w:rPr>
        <w:t xml:space="preserve"> </w:t>
      </w:r>
      <w:r w:rsidR="00C0791A" w:rsidRPr="00B40D60">
        <w:rPr>
          <w:rFonts w:asciiTheme="minorHAnsi" w:hAnsiTheme="minorHAnsi" w:cstheme="minorHAnsi"/>
          <w:szCs w:val="22"/>
        </w:rPr>
        <w:t>(from 612 to 533)</w:t>
      </w:r>
      <w:r w:rsidR="00FE315B" w:rsidRPr="00B40D60">
        <w:rPr>
          <w:rFonts w:asciiTheme="minorHAnsi" w:eastAsia="Calibri" w:hAnsiTheme="minorHAnsi" w:cstheme="minorHAnsi"/>
          <w:szCs w:val="22"/>
          <w:lang w:val="en-US"/>
        </w:rPr>
        <w:t xml:space="preserve"> in </w:t>
      </w:r>
      <w:r w:rsidR="00C0791A" w:rsidRPr="00B40D60">
        <w:rPr>
          <w:rFonts w:asciiTheme="minorHAnsi" w:eastAsia="Calibri" w:hAnsiTheme="minorHAnsi" w:cstheme="minorHAnsi"/>
          <w:szCs w:val="22"/>
          <w:lang w:val="en-US"/>
        </w:rPr>
        <w:t>the number of</w:t>
      </w:r>
      <w:r w:rsidR="00FE315B" w:rsidRPr="00B40D60">
        <w:rPr>
          <w:rFonts w:asciiTheme="minorHAnsi" w:eastAsia="Calibri" w:hAnsiTheme="minorHAnsi" w:cstheme="minorHAnsi"/>
          <w:szCs w:val="22"/>
          <w:lang w:val="en-US"/>
        </w:rPr>
        <w:t xml:space="preserve"> shortages</w:t>
      </w:r>
      <w:r w:rsidR="00C0791A" w:rsidRPr="00B40D60">
        <w:rPr>
          <w:rFonts w:asciiTheme="minorHAnsi" w:eastAsia="Calibri" w:hAnsiTheme="minorHAnsi" w:cstheme="minorHAnsi"/>
          <w:szCs w:val="22"/>
          <w:lang w:val="en-US"/>
        </w:rPr>
        <w:t xml:space="preserve"> </w:t>
      </w:r>
      <w:r w:rsidR="007C611F" w:rsidRPr="00B40D60">
        <w:rPr>
          <w:rFonts w:asciiTheme="minorHAnsi" w:eastAsia="Calibri" w:hAnsiTheme="minorHAnsi" w:cstheme="minorHAnsi"/>
          <w:szCs w:val="22"/>
          <w:lang w:val="en-US"/>
        </w:rPr>
        <w:t>of designated brands between 2022-23 and 2023-24.</w:t>
      </w:r>
      <w:r w:rsidR="00B40D60">
        <w:rPr>
          <w:rFonts w:asciiTheme="minorHAnsi" w:eastAsia="Calibri" w:hAnsiTheme="minorHAnsi" w:cstheme="minorHAnsi"/>
          <w:szCs w:val="22"/>
          <w:lang w:val="en-US"/>
        </w:rPr>
        <w:t xml:space="preserve"> T</w:t>
      </w:r>
      <w:r w:rsidR="00121462" w:rsidRPr="00B40D60">
        <w:rPr>
          <w:rFonts w:asciiTheme="minorHAnsi" w:eastAsia="Calibri" w:hAnsiTheme="minorHAnsi" w:cstheme="minorHAnsi"/>
          <w:szCs w:val="22"/>
          <w:lang w:val="en-US"/>
        </w:rPr>
        <w:t xml:space="preserve">he number of shorter </w:t>
      </w:r>
      <w:r w:rsidR="0003679D" w:rsidRPr="00B40D60">
        <w:rPr>
          <w:rFonts w:asciiTheme="minorHAnsi" w:eastAsia="Calibri" w:hAnsiTheme="minorHAnsi" w:cstheme="minorHAnsi"/>
          <w:szCs w:val="22"/>
          <w:lang w:val="en-US"/>
        </w:rPr>
        <w:t xml:space="preserve">duration shortages (under 4 months) </w:t>
      </w:r>
      <w:r w:rsidR="00911EAC" w:rsidRPr="00B40D60">
        <w:rPr>
          <w:rFonts w:asciiTheme="minorHAnsi" w:eastAsia="Calibri" w:hAnsiTheme="minorHAnsi" w:cstheme="minorHAnsi"/>
          <w:szCs w:val="22"/>
          <w:lang w:val="en-US"/>
        </w:rPr>
        <w:t>fell</w:t>
      </w:r>
      <w:r w:rsidR="0003679D" w:rsidRPr="00B40D60">
        <w:rPr>
          <w:rFonts w:asciiTheme="minorHAnsi" w:eastAsia="Calibri" w:hAnsiTheme="minorHAnsi" w:cstheme="minorHAnsi"/>
          <w:szCs w:val="22"/>
          <w:lang w:val="en-US"/>
        </w:rPr>
        <w:t xml:space="preserve"> </w:t>
      </w:r>
      <w:r w:rsidR="00913A81">
        <w:rPr>
          <w:rFonts w:asciiTheme="minorHAnsi" w:eastAsia="Calibri" w:hAnsiTheme="minorHAnsi" w:cstheme="minorHAnsi"/>
          <w:szCs w:val="22"/>
          <w:lang w:val="en-US"/>
        </w:rPr>
        <w:t xml:space="preserve">by </w:t>
      </w:r>
      <w:r w:rsidR="0003679D" w:rsidRPr="00B8379A">
        <w:rPr>
          <w:rFonts w:asciiTheme="minorHAnsi" w:eastAsia="Calibri" w:hAnsiTheme="minorHAnsi" w:cstheme="minorHAnsi"/>
          <w:b/>
          <w:szCs w:val="22"/>
          <w:lang w:val="en-US"/>
        </w:rPr>
        <w:t>24%</w:t>
      </w:r>
      <w:r w:rsidR="00913A81">
        <w:rPr>
          <w:rFonts w:asciiTheme="minorHAnsi" w:eastAsia="Calibri" w:hAnsiTheme="minorHAnsi" w:cstheme="minorHAnsi"/>
          <w:b/>
          <w:szCs w:val="22"/>
          <w:lang w:val="en-US"/>
        </w:rPr>
        <w:t>.</w:t>
      </w:r>
      <w:r w:rsidR="0003679D" w:rsidRPr="00B40D60">
        <w:rPr>
          <w:rFonts w:asciiTheme="minorHAnsi" w:eastAsia="Calibri" w:hAnsiTheme="minorHAnsi" w:cstheme="minorHAnsi"/>
          <w:szCs w:val="22"/>
          <w:lang w:val="en-US"/>
        </w:rPr>
        <w:t xml:space="preserve"> </w:t>
      </w:r>
      <w:r w:rsidR="00BF1EC4" w:rsidRPr="00B40D60">
        <w:rPr>
          <w:rFonts w:asciiTheme="minorHAnsi" w:eastAsia="Calibri" w:hAnsiTheme="minorHAnsi" w:cstheme="minorHAnsi"/>
          <w:szCs w:val="22"/>
          <w:lang w:val="en-US"/>
        </w:rPr>
        <w:t>The department notes</w:t>
      </w:r>
      <w:r w:rsidR="00596C49" w:rsidRPr="00B40D60">
        <w:rPr>
          <w:rFonts w:asciiTheme="minorHAnsi" w:eastAsia="Calibri" w:hAnsiTheme="minorHAnsi" w:cstheme="minorHAnsi"/>
          <w:szCs w:val="22"/>
          <w:lang w:val="en-US"/>
        </w:rPr>
        <w:t xml:space="preserve"> </w:t>
      </w:r>
      <w:r w:rsidR="00C8367F" w:rsidRPr="00B40D60">
        <w:rPr>
          <w:rFonts w:asciiTheme="minorHAnsi" w:eastAsia="Calibri" w:hAnsiTheme="minorHAnsi" w:cstheme="minorHAnsi"/>
          <w:szCs w:val="22"/>
          <w:lang w:val="en-US"/>
        </w:rPr>
        <w:t>longer term</w:t>
      </w:r>
      <w:r w:rsidR="00596C49" w:rsidRPr="00B40D60">
        <w:rPr>
          <w:rFonts w:asciiTheme="minorHAnsi" w:eastAsia="Calibri" w:hAnsiTheme="minorHAnsi" w:cstheme="minorHAnsi"/>
          <w:szCs w:val="22"/>
          <w:lang w:val="en-US"/>
        </w:rPr>
        <w:t xml:space="preserve"> s</w:t>
      </w:r>
      <w:r w:rsidR="003F04E2" w:rsidRPr="00B40D60">
        <w:rPr>
          <w:rFonts w:asciiTheme="minorHAnsi" w:eastAsia="Calibri" w:hAnsiTheme="minorHAnsi" w:cstheme="minorHAnsi"/>
          <w:szCs w:val="22"/>
          <w:lang w:val="en-US"/>
        </w:rPr>
        <w:t xml:space="preserve">hortages (greater than 200 days) increased </w:t>
      </w:r>
      <w:r w:rsidR="00AB779A">
        <w:rPr>
          <w:rFonts w:asciiTheme="minorHAnsi" w:eastAsia="Calibri" w:hAnsiTheme="minorHAnsi" w:cstheme="minorHAnsi"/>
          <w:szCs w:val="22"/>
          <w:lang w:val="en-US"/>
        </w:rPr>
        <w:t>by</w:t>
      </w:r>
      <w:r w:rsidR="003F04E2" w:rsidRPr="00B40D60">
        <w:rPr>
          <w:rFonts w:asciiTheme="minorHAnsi" w:eastAsia="Calibri" w:hAnsiTheme="minorHAnsi" w:cstheme="minorHAnsi"/>
          <w:szCs w:val="22"/>
          <w:lang w:val="en-US"/>
        </w:rPr>
        <w:t xml:space="preserve"> </w:t>
      </w:r>
      <w:r w:rsidR="003F04E2" w:rsidRPr="00B8379A">
        <w:rPr>
          <w:rFonts w:asciiTheme="minorHAnsi" w:eastAsia="Calibri" w:hAnsiTheme="minorHAnsi" w:cstheme="minorHAnsi"/>
          <w:b/>
          <w:bCs/>
          <w:szCs w:val="22"/>
          <w:lang w:val="en-US"/>
        </w:rPr>
        <w:t>57%</w:t>
      </w:r>
      <w:r w:rsidR="003F04E2" w:rsidRPr="00B40D60">
        <w:rPr>
          <w:rFonts w:asciiTheme="minorHAnsi" w:eastAsia="Calibri" w:hAnsiTheme="minorHAnsi" w:cstheme="minorHAnsi"/>
          <w:szCs w:val="22"/>
          <w:lang w:val="en-US"/>
        </w:rPr>
        <w:t xml:space="preserve">. </w:t>
      </w:r>
      <w:r w:rsidR="00065E23" w:rsidRPr="00065E23">
        <w:rPr>
          <w:rFonts w:asciiTheme="minorHAnsi" w:eastAsia="Calibri" w:hAnsiTheme="minorHAnsi" w:cstheme="minorHAnsi"/>
          <w:szCs w:val="22"/>
        </w:rPr>
        <w:t>Whilst noting the promising initial decline in shorter duration shortages, it is not expected that the MSR will prevent all shortages and longer-term shortages which are often symptomatic of more intractable global supply issues, will likely persist</w:t>
      </w:r>
      <w:r w:rsidR="002A24B8">
        <w:rPr>
          <w:rFonts w:asciiTheme="minorHAnsi" w:eastAsia="Calibri" w:hAnsiTheme="minorHAnsi" w:cstheme="minorHAnsi"/>
          <w:szCs w:val="22"/>
        </w:rPr>
        <w:t xml:space="preserve">. </w:t>
      </w:r>
      <w:r w:rsidR="000158D2">
        <w:rPr>
          <w:rFonts w:asciiTheme="minorHAnsi" w:eastAsia="Calibri" w:hAnsiTheme="minorHAnsi" w:cstheme="minorHAnsi"/>
          <w:szCs w:val="22"/>
          <w:lang w:val="en-US"/>
        </w:rPr>
        <w:t>Further evaluation</w:t>
      </w:r>
      <w:r w:rsidR="00C21B41">
        <w:rPr>
          <w:rFonts w:asciiTheme="minorHAnsi" w:eastAsia="Calibri" w:hAnsiTheme="minorHAnsi" w:cstheme="minorHAnsi"/>
          <w:szCs w:val="22"/>
          <w:lang w:val="en-US"/>
        </w:rPr>
        <w:t xml:space="preserve"> through the 24-month review</w:t>
      </w:r>
      <w:r w:rsidR="003F04E2" w:rsidRPr="00B40D60">
        <w:rPr>
          <w:rFonts w:asciiTheme="minorHAnsi" w:eastAsia="Calibri" w:hAnsiTheme="minorHAnsi" w:cstheme="minorHAnsi"/>
          <w:szCs w:val="22"/>
          <w:lang w:val="en-US"/>
        </w:rPr>
        <w:t xml:space="preserve"> is required to identify</w:t>
      </w:r>
      <w:r w:rsidR="003E3A20" w:rsidRPr="00B40D60">
        <w:rPr>
          <w:rFonts w:asciiTheme="minorHAnsi" w:eastAsia="Calibri" w:hAnsiTheme="minorHAnsi" w:cstheme="minorHAnsi"/>
          <w:szCs w:val="22"/>
          <w:lang w:val="en-US"/>
        </w:rPr>
        <w:t xml:space="preserve"> and </w:t>
      </w:r>
      <w:proofErr w:type="spellStart"/>
      <w:r w:rsidR="003E3A20" w:rsidRPr="00B40D60">
        <w:rPr>
          <w:rFonts w:asciiTheme="minorHAnsi" w:eastAsia="Calibri" w:hAnsiTheme="minorHAnsi" w:cstheme="minorHAnsi"/>
          <w:szCs w:val="22"/>
          <w:lang w:val="en-US"/>
        </w:rPr>
        <w:t>analy</w:t>
      </w:r>
      <w:r w:rsidR="00B000A3" w:rsidRPr="00B40D60">
        <w:rPr>
          <w:rFonts w:asciiTheme="minorHAnsi" w:eastAsia="Calibri" w:hAnsiTheme="minorHAnsi" w:cstheme="minorHAnsi"/>
          <w:szCs w:val="22"/>
          <w:lang w:val="en-US"/>
        </w:rPr>
        <w:t>s</w:t>
      </w:r>
      <w:r w:rsidR="003E3A20" w:rsidRPr="00B40D60">
        <w:rPr>
          <w:rFonts w:asciiTheme="minorHAnsi" w:eastAsia="Calibri" w:hAnsiTheme="minorHAnsi" w:cstheme="minorHAnsi"/>
          <w:szCs w:val="22"/>
          <w:lang w:val="en-US"/>
        </w:rPr>
        <w:t>e</w:t>
      </w:r>
      <w:proofErr w:type="spellEnd"/>
      <w:r w:rsidR="003E3A20" w:rsidRPr="00B40D60">
        <w:rPr>
          <w:rFonts w:asciiTheme="minorHAnsi" w:eastAsia="Calibri" w:hAnsiTheme="minorHAnsi" w:cstheme="minorHAnsi"/>
          <w:szCs w:val="22"/>
          <w:lang w:val="en-US"/>
        </w:rPr>
        <w:t xml:space="preserve"> </w:t>
      </w:r>
      <w:r w:rsidR="00503EC7" w:rsidRPr="00B40D60">
        <w:rPr>
          <w:rFonts w:asciiTheme="minorHAnsi" w:eastAsia="Calibri" w:hAnsiTheme="minorHAnsi" w:cstheme="minorHAnsi"/>
          <w:szCs w:val="22"/>
          <w:lang w:val="en-US"/>
        </w:rPr>
        <w:t xml:space="preserve">the </w:t>
      </w:r>
      <w:r w:rsidR="003F04E2" w:rsidRPr="00B40D60">
        <w:rPr>
          <w:rFonts w:asciiTheme="minorHAnsi" w:eastAsia="Calibri" w:hAnsiTheme="minorHAnsi" w:cstheme="minorHAnsi"/>
          <w:szCs w:val="22"/>
          <w:lang w:val="en-US"/>
        </w:rPr>
        <w:t xml:space="preserve">causal factors </w:t>
      </w:r>
      <w:r w:rsidR="00503EC7" w:rsidRPr="00B40D60">
        <w:rPr>
          <w:rFonts w:asciiTheme="minorHAnsi" w:eastAsia="Calibri" w:hAnsiTheme="minorHAnsi" w:cstheme="minorHAnsi"/>
          <w:szCs w:val="22"/>
          <w:lang w:val="en-US"/>
        </w:rPr>
        <w:t>for the changes in the number of shortages and</w:t>
      </w:r>
      <w:r w:rsidR="003F04E2" w:rsidRPr="00B40D60">
        <w:rPr>
          <w:rFonts w:asciiTheme="minorHAnsi" w:eastAsia="Calibri" w:hAnsiTheme="minorHAnsi" w:cstheme="minorHAnsi"/>
          <w:szCs w:val="22"/>
          <w:lang w:val="en-US"/>
        </w:rPr>
        <w:t xml:space="preserve"> the </w:t>
      </w:r>
      <w:r w:rsidR="003E3A20" w:rsidRPr="00B40D60">
        <w:rPr>
          <w:rFonts w:asciiTheme="minorHAnsi" w:eastAsia="Calibri" w:hAnsiTheme="minorHAnsi" w:cstheme="minorHAnsi"/>
          <w:szCs w:val="22"/>
          <w:lang w:val="en-US"/>
        </w:rPr>
        <w:t>divergence in</w:t>
      </w:r>
      <w:r w:rsidR="00C8367F" w:rsidRPr="00B40D60">
        <w:rPr>
          <w:rFonts w:asciiTheme="minorHAnsi" w:eastAsia="Calibri" w:hAnsiTheme="minorHAnsi" w:cstheme="minorHAnsi"/>
          <w:szCs w:val="22"/>
          <w:lang w:val="en-US"/>
        </w:rPr>
        <w:t xml:space="preserve"> the </w:t>
      </w:r>
      <w:r w:rsidR="003E3A20" w:rsidRPr="00B40D60">
        <w:rPr>
          <w:rFonts w:asciiTheme="minorHAnsi" w:eastAsia="Calibri" w:hAnsiTheme="minorHAnsi" w:cstheme="minorHAnsi"/>
          <w:szCs w:val="22"/>
          <w:lang w:val="en-US"/>
        </w:rPr>
        <w:t xml:space="preserve">trend between shorter and </w:t>
      </w:r>
      <w:r w:rsidR="00F01425" w:rsidRPr="00B40D60">
        <w:rPr>
          <w:rFonts w:asciiTheme="minorHAnsi" w:eastAsia="Calibri" w:hAnsiTheme="minorHAnsi" w:cstheme="minorHAnsi"/>
          <w:szCs w:val="22"/>
          <w:lang w:val="en-US"/>
        </w:rPr>
        <w:t xml:space="preserve">longer </w:t>
      </w:r>
      <w:r w:rsidR="00C347CB" w:rsidRPr="00B40D60">
        <w:rPr>
          <w:rFonts w:asciiTheme="minorHAnsi" w:eastAsia="Calibri" w:hAnsiTheme="minorHAnsi" w:cstheme="minorHAnsi"/>
          <w:szCs w:val="22"/>
          <w:lang w:val="en-US"/>
        </w:rPr>
        <w:t>duration</w:t>
      </w:r>
      <w:r w:rsidR="003E3A20" w:rsidRPr="00B40D60">
        <w:rPr>
          <w:rFonts w:asciiTheme="minorHAnsi" w:eastAsia="Calibri" w:hAnsiTheme="minorHAnsi" w:cstheme="minorHAnsi"/>
          <w:szCs w:val="22"/>
          <w:lang w:val="en-US"/>
        </w:rPr>
        <w:t xml:space="preserve"> shortage</w:t>
      </w:r>
      <w:r w:rsidR="00683809" w:rsidRPr="00B40D60">
        <w:rPr>
          <w:rFonts w:asciiTheme="minorHAnsi" w:eastAsia="Calibri" w:hAnsiTheme="minorHAnsi" w:cstheme="minorHAnsi"/>
          <w:szCs w:val="22"/>
          <w:lang w:val="en-US"/>
        </w:rPr>
        <w:t>s</w:t>
      </w:r>
      <w:r w:rsidR="00C347CB" w:rsidRPr="00B40D60">
        <w:rPr>
          <w:rFonts w:asciiTheme="minorHAnsi" w:eastAsia="Calibri" w:hAnsiTheme="minorHAnsi" w:cstheme="minorHAnsi"/>
          <w:szCs w:val="22"/>
          <w:lang w:val="en-US"/>
        </w:rPr>
        <w:t>.</w:t>
      </w:r>
    </w:p>
    <w:p w14:paraId="25F079A7" w14:textId="2C61C26A" w:rsidR="002947D7" w:rsidRPr="00214B9A" w:rsidRDefault="00460707" w:rsidP="00110BCD">
      <w:pPr>
        <w:pStyle w:val="ListParagraph"/>
        <w:numPr>
          <w:ilvl w:val="1"/>
          <w:numId w:val="14"/>
        </w:numPr>
        <w:spacing w:before="120" w:after="120"/>
        <w:contextualSpacing w:val="0"/>
        <w:jc w:val="both"/>
        <w:rPr>
          <w:rFonts w:asciiTheme="minorHAnsi" w:eastAsia="Calibri" w:hAnsiTheme="minorHAnsi" w:cstheme="minorHAnsi"/>
          <w:szCs w:val="22"/>
          <w:lang w:val="en-US"/>
        </w:rPr>
      </w:pPr>
      <w:r w:rsidRPr="00214B9A">
        <w:rPr>
          <w:rFonts w:asciiTheme="minorHAnsi" w:eastAsia="Calibri" w:hAnsiTheme="minorHAnsi" w:cstheme="minorHAnsi"/>
          <w:b/>
          <w:bCs/>
          <w:szCs w:val="22"/>
          <w:lang w:val="en-US"/>
        </w:rPr>
        <w:lastRenderedPageBreak/>
        <w:t xml:space="preserve">RP actions to reduce shortages: </w:t>
      </w:r>
      <w:r w:rsidR="002947D7" w:rsidRPr="00214B9A">
        <w:rPr>
          <w:rFonts w:asciiTheme="minorHAnsi" w:eastAsia="Calibri" w:hAnsiTheme="minorHAnsi" w:cstheme="minorHAnsi"/>
          <w:szCs w:val="22"/>
          <w:lang w:val="en-US"/>
        </w:rPr>
        <w:t xml:space="preserve">Of the </w:t>
      </w:r>
      <w:r w:rsidR="00FD23E9">
        <w:rPr>
          <w:rFonts w:asciiTheme="minorHAnsi" w:eastAsia="Calibri" w:hAnsiTheme="minorHAnsi" w:cstheme="minorHAnsi"/>
          <w:szCs w:val="22"/>
          <w:lang w:val="en-US"/>
        </w:rPr>
        <w:t>26</w:t>
      </w:r>
      <w:r w:rsidR="00275C4D">
        <w:rPr>
          <w:rFonts w:asciiTheme="minorHAnsi" w:eastAsia="Calibri" w:hAnsiTheme="minorHAnsi" w:cstheme="minorHAnsi"/>
          <w:szCs w:val="22"/>
          <w:lang w:val="en-US"/>
        </w:rPr>
        <w:t xml:space="preserve"> </w:t>
      </w:r>
      <w:r w:rsidR="002947D7" w:rsidRPr="00214B9A">
        <w:rPr>
          <w:rFonts w:asciiTheme="minorHAnsi" w:eastAsia="Calibri" w:hAnsiTheme="minorHAnsi" w:cstheme="minorHAnsi"/>
          <w:szCs w:val="22"/>
          <w:lang w:val="en-US"/>
        </w:rPr>
        <w:t xml:space="preserve">RPs that provided responses to this question, </w:t>
      </w:r>
      <w:r w:rsidR="002947D7" w:rsidRPr="00B8379A">
        <w:rPr>
          <w:rFonts w:asciiTheme="minorHAnsi" w:eastAsia="Calibri" w:hAnsiTheme="minorHAnsi" w:cstheme="minorHAnsi"/>
          <w:b/>
          <w:bCs/>
          <w:szCs w:val="22"/>
          <w:lang w:val="en-US"/>
        </w:rPr>
        <w:t>4</w:t>
      </w:r>
      <w:r w:rsidR="00261285">
        <w:rPr>
          <w:rFonts w:asciiTheme="minorHAnsi" w:eastAsia="Calibri" w:hAnsiTheme="minorHAnsi" w:cstheme="minorHAnsi"/>
          <w:b/>
          <w:bCs/>
          <w:szCs w:val="22"/>
          <w:lang w:val="en-US"/>
        </w:rPr>
        <w:t>4</w:t>
      </w:r>
      <w:r w:rsidR="002947D7" w:rsidRPr="00B8379A">
        <w:rPr>
          <w:rFonts w:asciiTheme="minorHAnsi" w:eastAsia="Calibri" w:hAnsiTheme="minorHAnsi" w:cstheme="minorHAnsi"/>
          <w:b/>
          <w:bCs/>
          <w:szCs w:val="22"/>
          <w:lang w:val="en-US"/>
        </w:rPr>
        <w:t>%</w:t>
      </w:r>
      <w:r w:rsidR="002947D7" w:rsidRPr="00214B9A">
        <w:rPr>
          <w:rFonts w:asciiTheme="minorHAnsi" w:eastAsia="Calibri" w:hAnsiTheme="minorHAnsi" w:cstheme="minorHAnsi"/>
          <w:szCs w:val="22"/>
          <w:lang w:val="en-US"/>
        </w:rPr>
        <w:t xml:space="preserve"> said they draw down MSR stocks to mitigate supply chain issues</w:t>
      </w:r>
      <w:r w:rsidR="00390BA7">
        <w:rPr>
          <w:rFonts w:asciiTheme="minorHAnsi" w:eastAsia="Calibri" w:hAnsiTheme="minorHAnsi" w:cstheme="minorHAnsi"/>
          <w:szCs w:val="22"/>
          <w:lang w:val="en-US"/>
        </w:rPr>
        <w:t>,</w:t>
      </w:r>
      <w:r w:rsidR="002947D7" w:rsidRPr="00214B9A">
        <w:rPr>
          <w:rFonts w:asciiTheme="minorHAnsi" w:eastAsia="Calibri" w:hAnsiTheme="minorHAnsi" w:cstheme="minorHAnsi"/>
          <w:szCs w:val="22"/>
          <w:lang w:val="en-US"/>
        </w:rPr>
        <w:t xml:space="preserve"> while</w:t>
      </w:r>
      <w:r w:rsidR="002947D7" w:rsidRPr="00214B9A">
        <w:rPr>
          <w:rFonts w:ascii="Calibri" w:eastAsia="Calibri" w:hAnsi="Calibri" w:cs="Calibri"/>
          <w:lang w:val="en-US"/>
        </w:rPr>
        <w:t xml:space="preserve"> </w:t>
      </w:r>
      <w:r w:rsidR="002947D7" w:rsidRPr="00214B9A">
        <w:rPr>
          <w:rFonts w:asciiTheme="minorHAnsi" w:eastAsia="Calibri" w:hAnsiTheme="minorHAnsi" w:cstheme="minorHAnsi"/>
          <w:szCs w:val="22"/>
          <w:lang w:val="en-US"/>
        </w:rPr>
        <w:t>2</w:t>
      </w:r>
      <w:r w:rsidR="00040B07">
        <w:rPr>
          <w:rFonts w:asciiTheme="minorHAnsi" w:eastAsia="Calibri" w:hAnsiTheme="minorHAnsi" w:cstheme="minorHAnsi"/>
          <w:szCs w:val="22"/>
          <w:lang w:val="en-US"/>
        </w:rPr>
        <w:t>6</w:t>
      </w:r>
      <w:r w:rsidR="002947D7" w:rsidRPr="00214B9A">
        <w:rPr>
          <w:rFonts w:asciiTheme="minorHAnsi" w:eastAsia="Calibri" w:hAnsiTheme="minorHAnsi" w:cstheme="minorHAnsi"/>
          <w:szCs w:val="22"/>
          <w:lang w:val="en-US"/>
        </w:rPr>
        <w:t xml:space="preserve">% drew down safety stocks. </w:t>
      </w:r>
      <w:r w:rsidR="002947D7" w:rsidRPr="00B8379A">
        <w:rPr>
          <w:rFonts w:asciiTheme="minorHAnsi" w:eastAsia="Calibri" w:hAnsiTheme="minorHAnsi" w:cstheme="minorHAnsi"/>
          <w:b/>
          <w:bCs/>
          <w:szCs w:val="22"/>
          <w:lang w:val="en-US"/>
        </w:rPr>
        <w:t>67%</w:t>
      </w:r>
      <w:r w:rsidR="002947D7" w:rsidRPr="00214B9A">
        <w:rPr>
          <w:rFonts w:asciiTheme="minorHAnsi" w:eastAsia="Calibri" w:hAnsiTheme="minorHAnsi" w:cstheme="minorHAnsi"/>
          <w:szCs w:val="22"/>
          <w:lang w:val="en-US"/>
        </w:rPr>
        <w:t xml:space="preserve"> of respondents agreed that holding additional safety stocks as required by the MSR would help in managing shortages.</w:t>
      </w:r>
    </w:p>
    <w:p w14:paraId="1577C40D" w14:textId="3B3FF09F" w:rsidR="002947D7" w:rsidRPr="000A7173" w:rsidRDefault="002947D7" w:rsidP="00110BCD">
      <w:pPr>
        <w:pStyle w:val="ListParagraph"/>
        <w:keepNext/>
        <w:keepLines/>
        <w:numPr>
          <w:ilvl w:val="0"/>
          <w:numId w:val="7"/>
        </w:numPr>
        <w:spacing w:before="120" w:after="120"/>
        <w:contextualSpacing w:val="0"/>
        <w:jc w:val="both"/>
        <w:rPr>
          <w:rFonts w:asciiTheme="minorHAnsi" w:eastAsia="Calibri" w:hAnsiTheme="minorHAnsi" w:cstheme="minorHAnsi"/>
          <w:b/>
          <w:szCs w:val="22"/>
        </w:rPr>
      </w:pPr>
      <w:r w:rsidRPr="000A7173">
        <w:rPr>
          <w:rFonts w:asciiTheme="minorHAnsi" w:eastAsia="Calibri" w:hAnsiTheme="minorHAnsi" w:cstheme="minorHAnsi"/>
          <w:b/>
          <w:szCs w:val="22"/>
        </w:rPr>
        <w:t>Effect of the MSR on wastage and viability</w:t>
      </w:r>
    </w:p>
    <w:p w14:paraId="4CD2C33B" w14:textId="5B4018EC" w:rsidR="00521D70" w:rsidRPr="00521D70" w:rsidRDefault="00A34A12" w:rsidP="00A16054">
      <w:pPr>
        <w:pStyle w:val="ListParagraph"/>
        <w:keepNext/>
        <w:keepLines/>
        <w:numPr>
          <w:ilvl w:val="1"/>
          <w:numId w:val="15"/>
        </w:numPr>
        <w:spacing w:before="120" w:after="120"/>
        <w:contextualSpacing w:val="0"/>
        <w:jc w:val="both"/>
        <w:rPr>
          <w:rFonts w:asciiTheme="minorHAnsi" w:eastAsia="Calibri" w:hAnsiTheme="minorHAnsi" w:cstheme="minorBidi"/>
          <w:lang w:val="en-US"/>
        </w:rPr>
      </w:pPr>
      <w:r w:rsidRPr="2DEBF73E">
        <w:rPr>
          <w:rFonts w:asciiTheme="minorHAnsi" w:eastAsia="Calibri" w:hAnsiTheme="minorHAnsi" w:cstheme="minorBidi"/>
          <w:lang w:val="en-US"/>
        </w:rPr>
        <w:t xml:space="preserve">RPs </w:t>
      </w:r>
      <w:r w:rsidR="00521D70" w:rsidRPr="2DEBF73E">
        <w:rPr>
          <w:rFonts w:asciiTheme="minorHAnsi" w:eastAsia="Calibri" w:hAnsiTheme="minorHAnsi" w:cstheme="minorBidi"/>
          <w:lang w:val="en-US"/>
        </w:rPr>
        <w:t xml:space="preserve">raised some concerns regarding the risk of </w:t>
      </w:r>
      <w:r w:rsidR="00521D70" w:rsidRPr="2DEBF73E">
        <w:rPr>
          <w:rFonts w:asciiTheme="minorHAnsi" w:eastAsia="Calibri" w:hAnsiTheme="minorHAnsi" w:cstheme="minorBidi"/>
          <w:b/>
          <w:lang w:val="en-US"/>
        </w:rPr>
        <w:t>wastage</w:t>
      </w:r>
      <w:r w:rsidR="00521D70" w:rsidRPr="2DEBF73E">
        <w:rPr>
          <w:rFonts w:asciiTheme="minorHAnsi" w:eastAsia="Calibri" w:hAnsiTheme="minorHAnsi" w:cstheme="minorBidi"/>
          <w:lang w:val="en-US"/>
        </w:rPr>
        <w:t xml:space="preserve">, particularly associated with instances where ‘usual demand’ is higher than current </w:t>
      </w:r>
      <w:r w:rsidR="007D7EC0" w:rsidRPr="2DEBF73E">
        <w:rPr>
          <w:rFonts w:asciiTheme="minorHAnsi" w:eastAsia="Calibri" w:hAnsiTheme="minorHAnsi" w:cstheme="minorBidi"/>
          <w:lang w:val="en-US"/>
        </w:rPr>
        <w:t xml:space="preserve">or forecast </w:t>
      </w:r>
      <w:r w:rsidR="00521D70" w:rsidRPr="2DEBF73E">
        <w:rPr>
          <w:rFonts w:asciiTheme="minorHAnsi" w:eastAsia="Calibri" w:hAnsiTheme="minorHAnsi" w:cstheme="minorBidi"/>
          <w:lang w:val="en-US"/>
        </w:rPr>
        <w:t>demand.</w:t>
      </w:r>
    </w:p>
    <w:p w14:paraId="2173C96C" w14:textId="758DA66E" w:rsidR="002947D7" w:rsidRPr="00521D70" w:rsidRDefault="006D6EED" w:rsidP="00FB5B2B">
      <w:pPr>
        <w:pStyle w:val="ListParagraph"/>
        <w:numPr>
          <w:ilvl w:val="1"/>
          <w:numId w:val="15"/>
        </w:numPr>
        <w:spacing w:before="120" w:after="120"/>
        <w:contextualSpacing w:val="0"/>
        <w:jc w:val="both"/>
        <w:rPr>
          <w:rFonts w:asciiTheme="minorHAnsi" w:eastAsia="Calibri" w:hAnsiTheme="minorHAnsi" w:cstheme="minorBidi"/>
          <w:lang w:val="en-US"/>
        </w:rPr>
      </w:pPr>
      <w:r w:rsidRPr="4C63C265">
        <w:rPr>
          <w:rFonts w:asciiTheme="minorHAnsi" w:eastAsia="Calibri" w:hAnsiTheme="minorHAnsi" w:cstheme="minorBidi"/>
          <w:b/>
          <w:lang w:val="en-US"/>
        </w:rPr>
        <w:t xml:space="preserve">Concerns </w:t>
      </w:r>
      <w:r w:rsidR="506B57FF" w:rsidRPr="4C63C265">
        <w:rPr>
          <w:rFonts w:asciiTheme="minorHAnsi" w:eastAsia="Calibri" w:hAnsiTheme="minorHAnsi" w:cstheme="minorBidi"/>
          <w:b/>
          <w:bCs/>
          <w:lang w:val="en-US"/>
        </w:rPr>
        <w:t>about</w:t>
      </w:r>
      <w:r w:rsidRPr="4C63C265">
        <w:rPr>
          <w:rFonts w:asciiTheme="minorHAnsi" w:eastAsia="Calibri" w:hAnsiTheme="minorHAnsi" w:cstheme="minorBidi"/>
          <w:b/>
          <w:lang w:val="en-US"/>
        </w:rPr>
        <w:t xml:space="preserve"> </w:t>
      </w:r>
      <w:hyperlink w:anchor="_Viability_and_the" w:history="1">
        <w:r w:rsidRPr="00F90540">
          <w:rPr>
            <w:rStyle w:val="Hyperlink"/>
            <w:rFonts w:asciiTheme="minorHAnsi" w:eastAsia="Calibri" w:hAnsiTheme="minorHAnsi" w:cstheme="minorBidi"/>
            <w:b/>
            <w:lang w:val="en-US"/>
          </w:rPr>
          <w:t>viability</w:t>
        </w:r>
      </w:hyperlink>
      <w:r w:rsidRPr="4C63C265">
        <w:rPr>
          <w:rFonts w:asciiTheme="minorHAnsi" w:eastAsia="Calibri" w:hAnsiTheme="minorHAnsi" w:cstheme="minorBidi"/>
          <w:b/>
          <w:lang w:val="en-US"/>
        </w:rPr>
        <w:t xml:space="preserve">: </w:t>
      </w:r>
      <w:r w:rsidR="002947D7" w:rsidRPr="4C63C265">
        <w:rPr>
          <w:rFonts w:asciiTheme="minorHAnsi" w:eastAsia="Calibri" w:hAnsiTheme="minorHAnsi" w:cstheme="minorBidi"/>
          <w:lang w:val="en-US"/>
        </w:rPr>
        <w:t>1</w:t>
      </w:r>
      <w:r w:rsidR="00E50FC0">
        <w:rPr>
          <w:rFonts w:asciiTheme="minorHAnsi" w:eastAsia="Calibri" w:hAnsiTheme="minorHAnsi" w:cstheme="minorBidi"/>
          <w:lang w:val="en-US"/>
        </w:rPr>
        <w:t>6</w:t>
      </w:r>
      <w:r w:rsidR="002947D7" w:rsidRPr="4C63C265">
        <w:rPr>
          <w:rFonts w:asciiTheme="minorHAnsi" w:eastAsia="Calibri" w:hAnsiTheme="minorHAnsi" w:cstheme="minorBidi"/>
          <w:lang w:val="en-US"/>
        </w:rPr>
        <w:t xml:space="preserve"> RPs provided </w:t>
      </w:r>
      <w:r w:rsidR="006A770F">
        <w:rPr>
          <w:rFonts w:asciiTheme="minorHAnsi" w:eastAsia="Calibri" w:hAnsiTheme="minorHAnsi" w:cstheme="minorBidi"/>
          <w:lang w:val="en-US"/>
        </w:rPr>
        <w:t xml:space="preserve">relevant </w:t>
      </w:r>
      <w:r w:rsidR="002947D7" w:rsidRPr="4C63C265">
        <w:rPr>
          <w:rFonts w:asciiTheme="minorHAnsi" w:eastAsia="Calibri" w:hAnsiTheme="minorHAnsi" w:cstheme="minorBidi"/>
          <w:lang w:val="en-US"/>
        </w:rPr>
        <w:t>written responses to the survey question about factors that underlie their concerns about viability. Main pressures on viability are low margins, cost pressures, and low Australian pricing relative to more lucrative markets.</w:t>
      </w:r>
    </w:p>
    <w:p w14:paraId="7202F7E4" w14:textId="42FD9918" w:rsidR="002947D7" w:rsidRPr="00521D70" w:rsidRDefault="00221528" w:rsidP="00A16054">
      <w:pPr>
        <w:pStyle w:val="ListParagraph"/>
        <w:numPr>
          <w:ilvl w:val="1"/>
          <w:numId w:val="15"/>
        </w:numPr>
        <w:spacing w:before="120" w:after="120"/>
        <w:contextualSpacing w:val="0"/>
        <w:jc w:val="both"/>
        <w:rPr>
          <w:rFonts w:asciiTheme="minorHAnsi" w:eastAsia="Calibri" w:hAnsiTheme="minorHAnsi" w:cstheme="minorHAnsi"/>
          <w:szCs w:val="22"/>
          <w:lang w:val="en-US"/>
        </w:rPr>
      </w:pPr>
      <w:hyperlink w:anchor="_Viability_and_the" w:history="1">
        <w:r w:rsidR="00BE08E0" w:rsidRPr="00BF3326">
          <w:rPr>
            <w:rStyle w:val="Hyperlink"/>
            <w:rFonts w:asciiTheme="minorHAnsi" w:eastAsia="Calibri" w:hAnsiTheme="minorHAnsi" w:cstheme="minorHAnsi"/>
            <w:b/>
            <w:bCs/>
            <w:szCs w:val="22"/>
            <w:lang w:val="en-US"/>
          </w:rPr>
          <w:t>Impact of October 2022 price increases:</w:t>
        </w:r>
      </w:hyperlink>
      <w:r w:rsidR="00BE08E0" w:rsidRPr="00521D70">
        <w:rPr>
          <w:rFonts w:asciiTheme="minorHAnsi" w:eastAsia="Calibri" w:hAnsiTheme="minorHAnsi" w:cstheme="minorHAnsi"/>
          <w:b/>
          <w:bCs/>
          <w:szCs w:val="22"/>
          <w:lang w:val="en-US"/>
        </w:rPr>
        <w:t xml:space="preserve"> </w:t>
      </w:r>
      <w:r w:rsidR="006A770F">
        <w:rPr>
          <w:rFonts w:asciiTheme="minorHAnsi" w:eastAsia="Calibri" w:hAnsiTheme="minorHAnsi" w:cstheme="minorHAnsi"/>
          <w:szCs w:val="22"/>
          <w:lang w:val="en-US"/>
        </w:rPr>
        <w:t>1</w:t>
      </w:r>
      <w:r w:rsidR="009A2A70">
        <w:rPr>
          <w:rFonts w:asciiTheme="minorHAnsi" w:eastAsia="Calibri" w:hAnsiTheme="minorHAnsi" w:cstheme="minorHAnsi"/>
          <w:szCs w:val="22"/>
          <w:lang w:val="en-US"/>
        </w:rPr>
        <w:t>5</w:t>
      </w:r>
      <w:r w:rsidR="002947D7" w:rsidRPr="00521D70">
        <w:rPr>
          <w:rFonts w:asciiTheme="minorHAnsi" w:eastAsia="Calibri" w:hAnsiTheme="minorHAnsi" w:cstheme="minorHAnsi"/>
          <w:szCs w:val="22"/>
          <w:lang w:val="en-US"/>
        </w:rPr>
        <w:t xml:space="preserve"> RPs provided </w:t>
      </w:r>
      <w:r w:rsidR="006A770F">
        <w:rPr>
          <w:rFonts w:asciiTheme="minorHAnsi" w:eastAsia="Calibri" w:hAnsiTheme="minorHAnsi" w:cstheme="minorHAnsi"/>
          <w:szCs w:val="22"/>
          <w:lang w:val="en-US"/>
        </w:rPr>
        <w:t>relevant</w:t>
      </w:r>
      <w:r w:rsidR="002947D7" w:rsidRPr="00521D70">
        <w:rPr>
          <w:rFonts w:asciiTheme="minorHAnsi" w:eastAsia="Calibri" w:hAnsiTheme="minorHAnsi" w:cstheme="minorHAnsi"/>
          <w:szCs w:val="22"/>
          <w:lang w:val="en-US"/>
        </w:rPr>
        <w:t xml:space="preserve"> written responses to the survey question about whether the October 2022 price increases had helped with viability. The responses were generally positive, but </w:t>
      </w:r>
      <w:r w:rsidR="00277F71">
        <w:rPr>
          <w:rFonts w:asciiTheme="minorHAnsi" w:eastAsia="Calibri" w:hAnsiTheme="minorHAnsi" w:cstheme="minorHAnsi"/>
          <w:szCs w:val="22"/>
          <w:lang w:val="en-US"/>
        </w:rPr>
        <w:t xml:space="preserve">some </w:t>
      </w:r>
      <w:r w:rsidR="002947D7" w:rsidRPr="00521D70">
        <w:rPr>
          <w:rFonts w:asciiTheme="minorHAnsi" w:eastAsia="Calibri" w:hAnsiTheme="minorHAnsi" w:cstheme="minorHAnsi"/>
          <w:szCs w:val="22"/>
          <w:lang w:val="en-US"/>
        </w:rPr>
        <w:t xml:space="preserve">RPs noted that the cost of goods </w:t>
      </w:r>
      <w:r w:rsidR="0095337C">
        <w:rPr>
          <w:rFonts w:asciiTheme="minorHAnsi" w:eastAsia="Calibri" w:hAnsiTheme="minorHAnsi" w:cstheme="minorHAnsi"/>
          <w:szCs w:val="22"/>
          <w:lang w:val="en-US"/>
        </w:rPr>
        <w:t xml:space="preserve">sold </w:t>
      </w:r>
      <w:r w:rsidR="0001218B">
        <w:rPr>
          <w:rFonts w:asciiTheme="minorHAnsi" w:eastAsia="Calibri" w:hAnsiTheme="minorHAnsi" w:cstheme="minorHAnsi"/>
          <w:szCs w:val="22"/>
          <w:lang w:val="en-US"/>
        </w:rPr>
        <w:t>(</w:t>
      </w:r>
      <w:r w:rsidR="0001218B" w:rsidRPr="0001218B">
        <w:rPr>
          <w:rFonts w:asciiTheme="minorHAnsi" w:eastAsia="Calibri" w:hAnsiTheme="minorHAnsi" w:cstheme="minorHAnsi"/>
          <w:b/>
          <w:bCs/>
          <w:szCs w:val="22"/>
          <w:lang w:val="en-US"/>
        </w:rPr>
        <w:t>COGS</w:t>
      </w:r>
      <w:r w:rsidR="0001218B">
        <w:rPr>
          <w:rFonts w:asciiTheme="minorHAnsi" w:eastAsia="Calibri" w:hAnsiTheme="minorHAnsi" w:cstheme="minorHAnsi"/>
          <w:szCs w:val="22"/>
          <w:lang w:val="en-US"/>
        </w:rPr>
        <w:t xml:space="preserve">) </w:t>
      </w:r>
      <w:r w:rsidR="002947D7" w:rsidRPr="00521D70">
        <w:rPr>
          <w:rFonts w:asciiTheme="minorHAnsi" w:eastAsia="Calibri" w:hAnsiTheme="minorHAnsi" w:cstheme="minorHAnsi"/>
          <w:szCs w:val="22"/>
          <w:lang w:val="en-US"/>
        </w:rPr>
        <w:t xml:space="preserve">has also risen, offsetting the benefits. We note that the intention of the price rise was to improve the viability of very low-price medicines, so the responses </w:t>
      </w:r>
      <w:r w:rsidR="00277F71">
        <w:rPr>
          <w:rFonts w:asciiTheme="minorHAnsi" w:eastAsia="Calibri" w:hAnsiTheme="minorHAnsi" w:cstheme="minorHAnsi"/>
          <w:szCs w:val="22"/>
          <w:lang w:val="en-US"/>
        </w:rPr>
        <w:t xml:space="preserve">from most RPs </w:t>
      </w:r>
      <w:r w:rsidR="002947D7" w:rsidRPr="00521D70">
        <w:rPr>
          <w:rFonts w:asciiTheme="minorHAnsi" w:eastAsia="Calibri" w:hAnsiTheme="minorHAnsi" w:cstheme="minorHAnsi"/>
          <w:szCs w:val="22"/>
          <w:lang w:val="en-US"/>
        </w:rPr>
        <w:t>would suggest this has been achieved.</w:t>
      </w:r>
    </w:p>
    <w:p w14:paraId="7961314D" w14:textId="77777777" w:rsidR="002947D7" w:rsidRPr="007175D4" w:rsidRDefault="002947D7" w:rsidP="00B8379A">
      <w:pPr>
        <w:pStyle w:val="Heading3"/>
      </w:pPr>
      <w:bookmarkStart w:id="5" w:name="_Toc172184635"/>
      <w:r w:rsidRPr="007175D4">
        <w:t xml:space="preserve">The key issues raised in the </w:t>
      </w:r>
      <w:proofErr w:type="gramStart"/>
      <w:r w:rsidRPr="007175D4">
        <w:t>review</w:t>
      </w:r>
      <w:bookmarkEnd w:id="5"/>
      <w:proofErr w:type="gramEnd"/>
    </w:p>
    <w:p w14:paraId="20AD5DC5" w14:textId="5D1B26E1" w:rsidR="002947D7" w:rsidRPr="00746B87" w:rsidRDefault="00221528" w:rsidP="00110BCD">
      <w:pPr>
        <w:pStyle w:val="Heading4"/>
        <w:rPr>
          <w:szCs w:val="22"/>
        </w:rPr>
      </w:pPr>
      <w:hyperlink w:anchor="_Requirement_to_notify" w:history="1">
        <w:r w:rsidR="002947D7" w:rsidRPr="00805083">
          <w:rPr>
            <w:rStyle w:val="Hyperlink"/>
            <w:szCs w:val="22"/>
          </w:rPr>
          <w:t>Breach notifications</w:t>
        </w:r>
      </w:hyperlink>
    </w:p>
    <w:p w14:paraId="35F31FB7" w14:textId="77777777" w:rsidR="002947D7" w:rsidRPr="0091301E" w:rsidRDefault="002947D7" w:rsidP="00A16054">
      <w:pPr>
        <w:spacing w:before="120" w:after="120"/>
        <w:jc w:val="both"/>
        <w:rPr>
          <w:rFonts w:asciiTheme="minorHAnsi" w:eastAsiaTheme="minorEastAsia" w:hAnsiTheme="minorHAnsi" w:cstheme="minorHAnsi"/>
          <w:szCs w:val="22"/>
        </w:rPr>
      </w:pPr>
      <w:r w:rsidRPr="0091301E">
        <w:rPr>
          <w:rFonts w:asciiTheme="minorHAnsi" w:eastAsiaTheme="minorEastAsia" w:hAnsiTheme="minorHAnsi" w:cstheme="minorHAnsi"/>
          <w:szCs w:val="22"/>
        </w:rPr>
        <w:t>A consistent theme has emerged in relation to the system of breach notifications, with many RPs raising issues in relation to:</w:t>
      </w:r>
    </w:p>
    <w:p w14:paraId="4B147E74" w14:textId="77777777" w:rsidR="002947D7" w:rsidRPr="00475A54" w:rsidRDefault="002947D7" w:rsidP="00110BCD">
      <w:pPr>
        <w:pStyle w:val="ListParagraph"/>
        <w:numPr>
          <w:ilvl w:val="0"/>
          <w:numId w:val="6"/>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The administrative burden of having to make so many notifications.</w:t>
      </w:r>
    </w:p>
    <w:p w14:paraId="6C441336" w14:textId="77777777" w:rsidR="002947D7" w:rsidRPr="00475A54" w:rsidRDefault="002947D7" w:rsidP="00110BCD">
      <w:pPr>
        <w:pStyle w:val="ListParagraph"/>
        <w:numPr>
          <w:ilvl w:val="0"/>
          <w:numId w:val="6"/>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The lack of flexibility for minor or transitory breaches.</w:t>
      </w:r>
    </w:p>
    <w:p w14:paraId="0AA1EE1D" w14:textId="77777777" w:rsidR="002947D7" w:rsidRPr="00475A54" w:rsidRDefault="002947D7" w:rsidP="00110BCD">
      <w:pPr>
        <w:pStyle w:val="ListParagraph"/>
        <w:numPr>
          <w:ilvl w:val="0"/>
          <w:numId w:val="6"/>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Having to submit multiple notifications for ongoing breaches which require updated information, or recurring breaches arising from an earlier supply disruption/demand shock, during the period in which an RP is working to restore their minimum stockholding and safety stocks to avoid further breaches.</w:t>
      </w:r>
    </w:p>
    <w:p w14:paraId="01388CCE" w14:textId="77777777" w:rsidR="002947D7" w:rsidRDefault="002947D7" w:rsidP="00110BCD">
      <w:pPr>
        <w:pStyle w:val="ListParagraph"/>
        <w:numPr>
          <w:ilvl w:val="0"/>
          <w:numId w:val="6"/>
        </w:numPr>
        <w:spacing w:before="120" w:after="120"/>
        <w:contextualSpacing w:val="0"/>
        <w:jc w:val="both"/>
        <w:rPr>
          <w:rFonts w:asciiTheme="minorHAnsi" w:eastAsia="Calibri" w:hAnsiTheme="minorHAnsi" w:cstheme="minorHAnsi"/>
          <w:szCs w:val="22"/>
        </w:rPr>
      </w:pPr>
      <w:r w:rsidRPr="00475A54">
        <w:rPr>
          <w:rFonts w:asciiTheme="minorHAnsi" w:eastAsia="Calibri" w:hAnsiTheme="minorHAnsi" w:cstheme="minorHAnsi"/>
          <w:szCs w:val="22"/>
        </w:rPr>
        <w:t>The need for greater clarity over the requirement to lodge a breach notification ‘as soon as practicable’.</w:t>
      </w:r>
    </w:p>
    <w:p w14:paraId="584DAB71" w14:textId="7EF4A294" w:rsidR="00924B57" w:rsidRPr="00924B57" w:rsidRDefault="00AA7B15" w:rsidP="00110BCD">
      <w:pPr>
        <w:pStyle w:val="ListParagraph"/>
        <w:numPr>
          <w:ilvl w:val="0"/>
          <w:numId w:val="6"/>
        </w:numPr>
        <w:spacing w:before="120" w:after="120"/>
        <w:contextualSpacing w:val="0"/>
        <w:jc w:val="both"/>
        <w:rPr>
          <w:rFonts w:asciiTheme="minorHAnsi" w:eastAsia="Calibri" w:hAnsiTheme="minorHAnsi" w:cstheme="minorBidi"/>
        </w:rPr>
      </w:pPr>
      <w:r w:rsidRPr="5B0AE25C">
        <w:rPr>
          <w:rFonts w:asciiTheme="minorHAnsi" w:eastAsia="Calibri" w:hAnsiTheme="minorHAnsi" w:cstheme="minorBidi"/>
        </w:rPr>
        <w:t>The r</w:t>
      </w:r>
      <w:r w:rsidR="00924B57" w:rsidRPr="5B0AE25C">
        <w:rPr>
          <w:rFonts w:asciiTheme="minorHAnsi" w:eastAsia="Calibri" w:hAnsiTheme="minorHAnsi" w:cstheme="minorBidi"/>
        </w:rPr>
        <w:t xml:space="preserve">ole of likely breaches – </w:t>
      </w:r>
      <w:r w:rsidR="00D339B1" w:rsidRPr="5B0AE25C">
        <w:rPr>
          <w:rFonts w:asciiTheme="minorHAnsi" w:eastAsia="Calibri" w:hAnsiTheme="minorHAnsi" w:cstheme="minorBidi"/>
        </w:rPr>
        <w:t xml:space="preserve">queries were made regarding </w:t>
      </w:r>
      <w:r w:rsidR="00924B57" w:rsidRPr="5B0AE25C">
        <w:rPr>
          <w:rFonts w:asciiTheme="minorHAnsi" w:eastAsia="Calibri" w:hAnsiTheme="minorHAnsi" w:cstheme="minorBidi"/>
        </w:rPr>
        <w:t>the value of the current likely breach notification process, and whether different reporting frequencies for breach notifications and stockholding disclosures might be as effective in mitigating but at a lower administrative cost.</w:t>
      </w:r>
    </w:p>
    <w:p w14:paraId="1A07687D" w14:textId="410F68FC" w:rsidR="002947D7" w:rsidRPr="0091301E" w:rsidRDefault="002947D7" w:rsidP="00110BCD">
      <w:pPr>
        <w:pStyle w:val="Heading4"/>
        <w:rPr>
          <w:rFonts w:cstheme="minorHAnsi"/>
          <w:szCs w:val="22"/>
        </w:rPr>
      </w:pPr>
      <w:r w:rsidRPr="0091301E">
        <w:rPr>
          <w:rFonts w:cstheme="minorHAnsi"/>
          <w:szCs w:val="22"/>
        </w:rPr>
        <w:t xml:space="preserve">Guidelines </w:t>
      </w:r>
      <w:r w:rsidR="00163ACF">
        <w:rPr>
          <w:rFonts w:cstheme="minorHAnsi"/>
          <w:szCs w:val="22"/>
        </w:rPr>
        <w:t>and educational material</w:t>
      </w:r>
    </w:p>
    <w:p w14:paraId="29404679" w14:textId="6C77DD78" w:rsidR="002947D7" w:rsidRPr="0091301E" w:rsidRDefault="002947D7" w:rsidP="00A16054">
      <w:pPr>
        <w:keepNext/>
        <w:keepLines/>
        <w:spacing w:before="120" w:after="120"/>
        <w:jc w:val="both"/>
        <w:rPr>
          <w:rFonts w:asciiTheme="minorHAnsi" w:eastAsiaTheme="minorEastAsia" w:hAnsiTheme="minorHAnsi" w:cstheme="minorBidi"/>
        </w:rPr>
      </w:pPr>
      <w:r w:rsidRPr="5B0AE25C">
        <w:rPr>
          <w:rFonts w:asciiTheme="minorHAnsi" w:eastAsiaTheme="minorEastAsia" w:hAnsiTheme="minorHAnsi" w:cstheme="minorBidi"/>
        </w:rPr>
        <w:t xml:space="preserve">Another key theme </w:t>
      </w:r>
      <w:r w:rsidR="4592CA23" w:rsidRPr="5B0AE25C">
        <w:rPr>
          <w:rFonts w:asciiTheme="minorHAnsi" w:eastAsiaTheme="minorEastAsia" w:hAnsiTheme="minorHAnsi" w:cstheme="minorBidi"/>
        </w:rPr>
        <w:t xml:space="preserve">in the review </w:t>
      </w:r>
      <w:r w:rsidRPr="5B0AE25C">
        <w:rPr>
          <w:rFonts w:asciiTheme="minorHAnsi" w:eastAsiaTheme="minorEastAsia" w:hAnsiTheme="minorHAnsi" w:cstheme="minorBidi"/>
        </w:rPr>
        <w:t>was the need for better understanding of</w:t>
      </w:r>
      <w:r w:rsidR="00A66BDF">
        <w:rPr>
          <w:rFonts w:asciiTheme="minorHAnsi" w:eastAsiaTheme="minorEastAsia" w:hAnsiTheme="minorHAnsi" w:cstheme="minorBidi"/>
        </w:rPr>
        <w:t>,</w:t>
      </w:r>
      <w:r w:rsidRPr="5B0AE25C">
        <w:rPr>
          <w:rFonts w:asciiTheme="minorHAnsi" w:eastAsiaTheme="minorEastAsia" w:hAnsiTheme="minorHAnsi" w:cstheme="minorBidi"/>
        </w:rPr>
        <w:t xml:space="preserve"> and a stronger rationale for</w:t>
      </w:r>
      <w:r w:rsidR="00A66BDF">
        <w:rPr>
          <w:rFonts w:asciiTheme="minorHAnsi" w:eastAsiaTheme="minorEastAsia" w:hAnsiTheme="minorHAnsi" w:cstheme="minorBidi"/>
        </w:rPr>
        <w:t>,</w:t>
      </w:r>
      <w:r w:rsidRPr="5B0AE25C">
        <w:rPr>
          <w:rFonts w:asciiTheme="minorHAnsi" w:eastAsiaTheme="minorEastAsia" w:hAnsiTheme="minorHAnsi" w:cstheme="minorBidi"/>
        </w:rPr>
        <w:t xml:space="preserve"> some of the key elements of the MSR. The main aspects of the implementation of the MSR that need to be better articulated through updated Guidelines, are:</w:t>
      </w:r>
    </w:p>
    <w:p w14:paraId="21DC593D" w14:textId="6B31A3F7" w:rsidR="002947D7" w:rsidRPr="00246B2B" w:rsidRDefault="00B90FAD"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Pr>
          <w:rFonts w:asciiTheme="minorHAnsi" w:eastAsiaTheme="minorEastAsia" w:hAnsiTheme="minorHAnsi" w:cstheme="minorHAnsi"/>
          <w:b/>
          <w:szCs w:val="22"/>
        </w:rPr>
        <w:t>The department’s a</w:t>
      </w:r>
      <w:r w:rsidR="002947D7" w:rsidRPr="00246B2B">
        <w:rPr>
          <w:rFonts w:asciiTheme="minorHAnsi" w:eastAsiaTheme="minorEastAsia" w:hAnsiTheme="minorHAnsi" w:cstheme="minorHAnsi"/>
          <w:b/>
          <w:szCs w:val="22"/>
        </w:rPr>
        <w:t>pproach to compliance</w:t>
      </w:r>
      <w:r w:rsidR="002947D7" w:rsidRPr="00246B2B">
        <w:rPr>
          <w:rFonts w:asciiTheme="minorHAnsi" w:eastAsiaTheme="minorEastAsia" w:hAnsiTheme="minorHAnsi" w:cstheme="minorHAnsi"/>
          <w:szCs w:val="22"/>
        </w:rPr>
        <w:t xml:space="preserve"> – enforcement and compliance management (case management)</w:t>
      </w:r>
      <w:r w:rsidR="00D67B45">
        <w:rPr>
          <w:rFonts w:asciiTheme="minorHAnsi" w:eastAsiaTheme="minorEastAsia" w:hAnsiTheme="minorHAnsi" w:cstheme="minorHAnsi"/>
          <w:szCs w:val="22"/>
        </w:rPr>
        <w:t>.</w:t>
      </w:r>
    </w:p>
    <w:p w14:paraId="1D58455D" w14:textId="020D87DC" w:rsidR="002947D7" w:rsidRPr="00246B2B" w:rsidRDefault="002947D7"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szCs w:val="22"/>
        </w:rPr>
        <w:t>Forming a belief</w:t>
      </w:r>
      <w:r w:rsidRPr="00246B2B">
        <w:rPr>
          <w:rFonts w:asciiTheme="minorHAnsi" w:eastAsiaTheme="minorEastAsia" w:hAnsiTheme="minorHAnsi" w:cstheme="minorHAnsi"/>
          <w:szCs w:val="22"/>
        </w:rPr>
        <w:t xml:space="preserve"> – what does it mean in practical terms</w:t>
      </w:r>
      <w:r w:rsidR="005C3836">
        <w:rPr>
          <w:rFonts w:asciiTheme="minorHAnsi" w:eastAsiaTheme="minorEastAsia" w:hAnsiTheme="minorHAnsi" w:cstheme="minorHAnsi"/>
          <w:szCs w:val="22"/>
        </w:rPr>
        <w:t xml:space="preserve"> for making a likely breach notification</w:t>
      </w:r>
      <w:r w:rsidR="00D67B45">
        <w:rPr>
          <w:rFonts w:asciiTheme="minorHAnsi" w:eastAsiaTheme="minorEastAsia" w:hAnsiTheme="minorHAnsi" w:cstheme="minorHAnsi"/>
          <w:szCs w:val="22"/>
        </w:rPr>
        <w:t>.</w:t>
      </w:r>
    </w:p>
    <w:p w14:paraId="5E69D035" w14:textId="149B7B5D" w:rsidR="002947D7" w:rsidRPr="00246B2B" w:rsidRDefault="002947D7"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szCs w:val="22"/>
        </w:rPr>
        <w:t>As soon as practicable</w:t>
      </w:r>
      <w:r w:rsidRPr="00246B2B">
        <w:rPr>
          <w:rFonts w:asciiTheme="minorHAnsi" w:eastAsiaTheme="minorEastAsia" w:hAnsiTheme="minorHAnsi" w:cstheme="minorHAnsi"/>
          <w:szCs w:val="22"/>
        </w:rPr>
        <w:t xml:space="preserve"> – what does it mean in practical terms</w:t>
      </w:r>
      <w:r w:rsidR="00102D54">
        <w:rPr>
          <w:rFonts w:asciiTheme="minorHAnsi" w:eastAsiaTheme="minorEastAsia" w:hAnsiTheme="minorHAnsi" w:cstheme="minorHAnsi"/>
          <w:szCs w:val="22"/>
        </w:rPr>
        <w:t xml:space="preserve"> for making a notification</w:t>
      </w:r>
      <w:r w:rsidR="00D67B45">
        <w:rPr>
          <w:rFonts w:asciiTheme="minorHAnsi" w:eastAsiaTheme="minorEastAsia" w:hAnsiTheme="minorHAnsi" w:cstheme="minorHAnsi"/>
          <w:szCs w:val="22"/>
        </w:rPr>
        <w:t>.</w:t>
      </w:r>
    </w:p>
    <w:p w14:paraId="1C656FC7" w14:textId="5771458C" w:rsidR="002947D7" w:rsidRPr="00246B2B" w:rsidRDefault="002947D7"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szCs w:val="22"/>
        </w:rPr>
        <w:t>Usual demand</w:t>
      </w:r>
      <w:r w:rsidRPr="00246B2B">
        <w:rPr>
          <w:rFonts w:asciiTheme="minorHAnsi" w:eastAsiaTheme="minorEastAsia" w:hAnsiTheme="minorHAnsi" w:cstheme="minorHAnsi"/>
          <w:szCs w:val="22"/>
        </w:rPr>
        <w:t xml:space="preserve"> – how are increases due to competitor </w:t>
      </w:r>
      <w:r w:rsidR="007F034F">
        <w:rPr>
          <w:rFonts w:asciiTheme="minorHAnsi" w:eastAsiaTheme="minorEastAsia" w:hAnsiTheme="minorHAnsi" w:cstheme="minorHAnsi"/>
          <w:szCs w:val="22"/>
        </w:rPr>
        <w:t>o</w:t>
      </w:r>
      <w:r w:rsidR="00F147BB">
        <w:rPr>
          <w:rFonts w:asciiTheme="minorHAnsi" w:eastAsiaTheme="minorEastAsia" w:hAnsiTheme="minorHAnsi" w:cstheme="minorHAnsi"/>
          <w:szCs w:val="22"/>
        </w:rPr>
        <w:t>ut</w:t>
      </w:r>
      <w:r w:rsidR="007F034F">
        <w:rPr>
          <w:rFonts w:asciiTheme="minorHAnsi" w:eastAsiaTheme="minorEastAsia" w:hAnsiTheme="minorHAnsi" w:cstheme="minorHAnsi"/>
          <w:szCs w:val="22"/>
        </w:rPr>
        <w:t>-o</w:t>
      </w:r>
      <w:r w:rsidR="00F147BB">
        <w:rPr>
          <w:rFonts w:asciiTheme="minorHAnsi" w:eastAsiaTheme="minorEastAsia" w:hAnsiTheme="minorHAnsi" w:cstheme="minorHAnsi"/>
          <w:szCs w:val="22"/>
        </w:rPr>
        <w:t>f</w:t>
      </w:r>
      <w:r w:rsidR="007F034F">
        <w:rPr>
          <w:rFonts w:asciiTheme="minorHAnsi" w:eastAsiaTheme="minorEastAsia" w:hAnsiTheme="minorHAnsi" w:cstheme="minorHAnsi"/>
          <w:szCs w:val="22"/>
        </w:rPr>
        <w:t>-s</w:t>
      </w:r>
      <w:r w:rsidR="00F147BB">
        <w:rPr>
          <w:rFonts w:asciiTheme="minorHAnsi" w:eastAsiaTheme="minorEastAsia" w:hAnsiTheme="minorHAnsi" w:cstheme="minorHAnsi"/>
          <w:szCs w:val="22"/>
        </w:rPr>
        <w:t>tock (</w:t>
      </w:r>
      <w:r w:rsidR="00F147BB" w:rsidRPr="00B8379A">
        <w:rPr>
          <w:rFonts w:asciiTheme="minorHAnsi" w:eastAsiaTheme="minorEastAsia" w:hAnsiTheme="minorHAnsi" w:cstheme="minorHAnsi"/>
          <w:b/>
          <w:bCs/>
          <w:szCs w:val="22"/>
        </w:rPr>
        <w:t>OOS</w:t>
      </w:r>
      <w:r w:rsidR="00F147BB">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 dealt with in calculating usual demand or in matters the Minister must or may </w:t>
      </w:r>
      <w:proofErr w:type="gramStart"/>
      <w:r w:rsidRPr="00246B2B">
        <w:rPr>
          <w:rFonts w:asciiTheme="minorHAnsi" w:eastAsiaTheme="minorEastAsia" w:hAnsiTheme="minorHAnsi" w:cstheme="minorHAnsi"/>
          <w:szCs w:val="22"/>
        </w:rPr>
        <w:t>take into account</w:t>
      </w:r>
      <w:proofErr w:type="gramEnd"/>
      <w:r w:rsidRPr="00246B2B">
        <w:rPr>
          <w:rFonts w:asciiTheme="minorHAnsi" w:eastAsiaTheme="minorEastAsia" w:hAnsiTheme="minorHAnsi" w:cstheme="minorHAnsi"/>
          <w:szCs w:val="22"/>
        </w:rPr>
        <w:t xml:space="preserve"> (in relation </w:t>
      </w:r>
      <w:r w:rsidRPr="00246B2B">
        <w:rPr>
          <w:rFonts w:asciiTheme="minorHAnsi" w:eastAsiaTheme="minorEastAsia" w:hAnsiTheme="minorHAnsi" w:cstheme="minorHAnsi"/>
          <w:szCs w:val="22"/>
        </w:rPr>
        <w:lastRenderedPageBreak/>
        <w:t>to breaches)</w:t>
      </w:r>
      <w:r w:rsidR="00E04DFD">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 and why the calculation of usual demand does not take into account demand forecasts</w:t>
      </w:r>
      <w:r w:rsidR="00D67B45">
        <w:rPr>
          <w:rFonts w:asciiTheme="minorHAnsi" w:eastAsiaTheme="minorEastAsia" w:hAnsiTheme="minorHAnsi" w:cstheme="minorHAnsi"/>
          <w:szCs w:val="22"/>
        </w:rPr>
        <w:t>.</w:t>
      </w:r>
    </w:p>
    <w:p w14:paraId="7A7DD5B2" w14:textId="0F4A8FCE" w:rsidR="002947D7" w:rsidRPr="00246B2B" w:rsidRDefault="002947D7"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szCs w:val="22"/>
        </w:rPr>
        <w:t xml:space="preserve">Ministerial </w:t>
      </w:r>
      <w:r w:rsidR="000E483C">
        <w:rPr>
          <w:rFonts w:asciiTheme="minorHAnsi" w:eastAsiaTheme="minorEastAsia" w:hAnsiTheme="minorHAnsi" w:cstheme="minorHAnsi"/>
          <w:b/>
          <w:szCs w:val="22"/>
        </w:rPr>
        <w:t>D</w:t>
      </w:r>
      <w:r w:rsidRPr="00246B2B">
        <w:rPr>
          <w:rFonts w:asciiTheme="minorHAnsi" w:eastAsiaTheme="minorEastAsia" w:hAnsiTheme="minorHAnsi" w:cstheme="minorHAnsi"/>
          <w:b/>
          <w:szCs w:val="22"/>
        </w:rPr>
        <w:t>eterminations</w:t>
      </w:r>
      <w:r w:rsidRPr="00246B2B">
        <w:rPr>
          <w:rFonts w:asciiTheme="minorHAnsi" w:eastAsiaTheme="minorEastAsia" w:hAnsiTheme="minorHAnsi" w:cstheme="minorHAnsi"/>
          <w:szCs w:val="22"/>
        </w:rPr>
        <w:t xml:space="preserve"> </w:t>
      </w:r>
      <w:r w:rsidR="00FE2DEF">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 </w:t>
      </w:r>
      <w:r w:rsidR="000A5638" w:rsidRPr="000A5638">
        <w:rPr>
          <w:rFonts w:asciiTheme="minorHAnsi" w:eastAsiaTheme="minorEastAsia" w:hAnsiTheme="minorHAnsi" w:cstheme="minorHAnsi"/>
          <w:szCs w:val="22"/>
        </w:rPr>
        <w:t xml:space="preserve">circumstances </w:t>
      </w:r>
      <w:r w:rsidR="007D440D">
        <w:rPr>
          <w:rFonts w:asciiTheme="minorHAnsi" w:eastAsiaTheme="minorEastAsia" w:hAnsiTheme="minorHAnsi" w:cstheme="minorHAnsi"/>
          <w:szCs w:val="22"/>
        </w:rPr>
        <w:t>in which d</w:t>
      </w:r>
      <w:r w:rsidR="000A5638" w:rsidRPr="000A5638">
        <w:rPr>
          <w:rFonts w:asciiTheme="minorHAnsi" w:eastAsiaTheme="minorEastAsia" w:hAnsiTheme="minorHAnsi" w:cstheme="minorHAnsi"/>
          <w:szCs w:val="22"/>
        </w:rPr>
        <w:t>eterminations may be made</w:t>
      </w:r>
      <w:r w:rsidR="00D67B45">
        <w:rPr>
          <w:rFonts w:asciiTheme="minorHAnsi" w:eastAsiaTheme="minorEastAsia" w:hAnsiTheme="minorHAnsi" w:cstheme="minorHAnsi"/>
          <w:szCs w:val="22"/>
        </w:rPr>
        <w:t>.</w:t>
      </w:r>
    </w:p>
    <w:p w14:paraId="28626457" w14:textId="758082C0" w:rsidR="009E5895" w:rsidRPr="00246B2B" w:rsidRDefault="00272288"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bCs/>
          <w:szCs w:val="22"/>
        </w:rPr>
        <w:t>Reasonable reason for a breach</w:t>
      </w:r>
      <w:r w:rsidRPr="00246B2B">
        <w:rPr>
          <w:rFonts w:asciiTheme="minorHAnsi" w:eastAsiaTheme="minorEastAsia" w:hAnsiTheme="minorHAnsi" w:cstheme="minorHAnsi"/>
          <w:szCs w:val="22"/>
        </w:rPr>
        <w:t xml:space="preserve"> </w:t>
      </w:r>
      <w:r w:rsidR="00FE2DEF">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 w</w:t>
      </w:r>
      <w:r w:rsidR="002F6E29" w:rsidRPr="00246B2B">
        <w:rPr>
          <w:rFonts w:asciiTheme="minorHAnsi" w:eastAsiaTheme="minorEastAsia" w:hAnsiTheme="minorHAnsi" w:cstheme="minorHAnsi"/>
          <w:szCs w:val="22"/>
        </w:rPr>
        <w:t xml:space="preserve">hat constitutes a </w:t>
      </w:r>
      <w:r w:rsidR="002F6E29" w:rsidRPr="00246B2B">
        <w:rPr>
          <w:rFonts w:asciiTheme="minorHAnsi" w:eastAsiaTheme="minorEastAsia" w:hAnsiTheme="minorHAnsi" w:cstheme="minorHAnsi"/>
          <w:i/>
          <w:iCs/>
          <w:szCs w:val="22"/>
        </w:rPr>
        <w:t>reasonable reason</w:t>
      </w:r>
      <w:r w:rsidR="002F6E29" w:rsidRPr="00246B2B">
        <w:rPr>
          <w:rFonts w:asciiTheme="minorHAnsi" w:eastAsiaTheme="minorEastAsia" w:hAnsiTheme="minorHAnsi" w:cstheme="minorHAnsi"/>
          <w:szCs w:val="22"/>
        </w:rPr>
        <w:t xml:space="preserve"> for a breach and that </w:t>
      </w:r>
      <w:r w:rsidR="009E5895" w:rsidRPr="00246B2B">
        <w:rPr>
          <w:rFonts w:asciiTheme="minorHAnsi" w:eastAsiaTheme="minorEastAsia" w:hAnsiTheme="minorHAnsi" w:cstheme="minorHAnsi"/>
          <w:szCs w:val="22"/>
        </w:rPr>
        <w:t>it is expected</w:t>
      </w:r>
      <w:r w:rsidR="002F6E29" w:rsidRPr="00246B2B">
        <w:rPr>
          <w:rFonts w:asciiTheme="minorHAnsi" w:eastAsiaTheme="minorEastAsia" w:hAnsiTheme="minorHAnsi" w:cstheme="minorHAnsi"/>
          <w:szCs w:val="22"/>
        </w:rPr>
        <w:t xml:space="preserve"> RPs will draw down on their stockholding in event of supply disruptions</w:t>
      </w:r>
      <w:r w:rsidR="00D67B45">
        <w:rPr>
          <w:rFonts w:asciiTheme="minorHAnsi" w:eastAsiaTheme="minorEastAsia" w:hAnsiTheme="minorHAnsi" w:cstheme="minorHAnsi"/>
          <w:szCs w:val="22"/>
        </w:rPr>
        <w:t>.</w:t>
      </w:r>
    </w:p>
    <w:p w14:paraId="487BF48A" w14:textId="7EB93B39" w:rsidR="002947D7" w:rsidRPr="00246B2B" w:rsidRDefault="002947D7"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szCs w:val="22"/>
        </w:rPr>
        <w:t>Stocks that count</w:t>
      </w:r>
      <w:r w:rsidRPr="00246B2B">
        <w:rPr>
          <w:rFonts w:asciiTheme="minorHAnsi" w:eastAsiaTheme="minorEastAsia" w:hAnsiTheme="minorHAnsi" w:cstheme="minorHAnsi"/>
          <w:szCs w:val="22"/>
        </w:rPr>
        <w:t xml:space="preserve"> </w:t>
      </w:r>
      <w:r w:rsidR="00395FD1" w:rsidRPr="00246B2B">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 why stocks in transit and </w:t>
      </w:r>
      <w:r w:rsidR="00734198">
        <w:rPr>
          <w:rFonts w:asciiTheme="minorHAnsi" w:eastAsiaTheme="minorEastAsia" w:hAnsiTheme="minorHAnsi" w:cstheme="minorHAnsi"/>
          <w:szCs w:val="22"/>
        </w:rPr>
        <w:t>wholesale</w:t>
      </w:r>
      <w:r w:rsidR="002A236B">
        <w:rPr>
          <w:rFonts w:asciiTheme="minorHAnsi" w:eastAsiaTheme="minorEastAsia" w:hAnsiTheme="minorHAnsi" w:cstheme="minorHAnsi"/>
          <w:szCs w:val="22"/>
        </w:rPr>
        <w:t>r</w:t>
      </w:r>
      <w:r w:rsidR="00734198">
        <w:rPr>
          <w:rFonts w:asciiTheme="minorHAnsi" w:eastAsiaTheme="minorEastAsia" w:hAnsiTheme="minorHAnsi" w:cstheme="minorHAnsi"/>
          <w:szCs w:val="22"/>
        </w:rPr>
        <w:t xml:space="preserve"> </w:t>
      </w:r>
      <w:r w:rsidRPr="00246B2B">
        <w:rPr>
          <w:rFonts w:asciiTheme="minorHAnsi" w:eastAsiaTheme="minorEastAsia" w:hAnsiTheme="minorHAnsi" w:cstheme="minorHAnsi"/>
          <w:szCs w:val="22"/>
        </w:rPr>
        <w:t>stocks do not count toward the MSR</w:t>
      </w:r>
      <w:r w:rsidR="00D67B45">
        <w:rPr>
          <w:rFonts w:asciiTheme="minorHAnsi" w:eastAsiaTheme="minorEastAsia" w:hAnsiTheme="minorHAnsi" w:cstheme="minorHAnsi"/>
          <w:szCs w:val="22"/>
        </w:rPr>
        <w:t>.</w:t>
      </w:r>
    </w:p>
    <w:p w14:paraId="56613B1B" w14:textId="526F0680" w:rsidR="002947D7" w:rsidRPr="00246B2B" w:rsidRDefault="002947D7" w:rsidP="00A16054">
      <w:pPr>
        <w:pStyle w:val="ListParagraph"/>
        <w:numPr>
          <w:ilvl w:val="0"/>
          <w:numId w:val="16"/>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b/>
          <w:szCs w:val="22"/>
        </w:rPr>
        <w:t>Threshold for notifications</w:t>
      </w:r>
      <w:r w:rsidRPr="00246B2B">
        <w:rPr>
          <w:rFonts w:asciiTheme="minorHAnsi" w:eastAsiaTheme="minorEastAsia" w:hAnsiTheme="minorHAnsi" w:cstheme="minorHAnsi"/>
          <w:szCs w:val="22"/>
        </w:rPr>
        <w:t xml:space="preserve"> </w:t>
      </w:r>
      <w:r w:rsidR="00FE2DEF">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 why even minor breaches must be notified</w:t>
      </w:r>
      <w:r w:rsidR="00D67B45">
        <w:rPr>
          <w:rFonts w:asciiTheme="minorHAnsi" w:eastAsiaTheme="minorEastAsia" w:hAnsiTheme="minorHAnsi" w:cstheme="minorHAnsi"/>
          <w:szCs w:val="22"/>
        </w:rPr>
        <w:t>.</w:t>
      </w:r>
    </w:p>
    <w:p w14:paraId="371EBA92" w14:textId="2F998DF2" w:rsidR="002947D7" w:rsidRPr="007175D4" w:rsidRDefault="002947D7" w:rsidP="005A0003">
      <w:pPr>
        <w:pStyle w:val="Heading3"/>
      </w:pPr>
      <w:bookmarkStart w:id="6" w:name="_Toc172184636"/>
      <w:r w:rsidRPr="007175D4">
        <w:t>The key recommendations of the review</w:t>
      </w:r>
      <w:bookmarkEnd w:id="6"/>
    </w:p>
    <w:p w14:paraId="30E84C0E" w14:textId="4A402E58" w:rsidR="002947D7" w:rsidRPr="00246B2B" w:rsidRDefault="008774CB" w:rsidP="00FB5B2B">
      <w:pPr>
        <w:pStyle w:val="ListParagraph"/>
        <w:numPr>
          <w:ilvl w:val="0"/>
          <w:numId w:val="17"/>
        </w:numPr>
        <w:spacing w:before="120" w:after="120"/>
        <w:contextualSpacing w:val="0"/>
        <w:jc w:val="both"/>
        <w:rPr>
          <w:rFonts w:asciiTheme="minorHAnsi" w:hAnsiTheme="minorHAnsi" w:cstheme="minorHAnsi"/>
          <w:szCs w:val="22"/>
          <w:lang w:eastAsia="en-AU"/>
        </w:rPr>
      </w:pPr>
      <w:r>
        <w:rPr>
          <w:rFonts w:asciiTheme="minorHAnsi" w:eastAsiaTheme="minorEastAsia" w:hAnsiTheme="minorHAnsi" w:cstheme="minorHAnsi"/>
          <w:szCs w:val="22"/>
        </w:rPr>
        <w:t>Reduc</w:t>
      </w:r>
      <w:r w:rsidR="00B5500E">
        <w:rPr>
          <w:rFonts w:asciiTheme="minorHAnsi" w:eastAsiaTheme="minorEastAsia" w:hAnsiTheme="minorHAnsi" w:cstheme="minorHAnsi"/>
          <w:szCs w:val="22"/>
        </w:rPr>
        <w:t xml:space="preserve">e </w:t>
      </w:r>
      <w:r>
        <w:rPr>
          <w:rFonts w:asciiTheme="minorHAnsi" w:eastAsiaTheme="minorEastAsia" w:hAnsiTheme="minorHAnsi" w:cstheme="minorHAnsi"/>
          <w:szCs w:val="22"/>
        </w:rPr>
        <w:t xml:space="preserve">administrative burden </w:t>
      </w:r>
      <w:r w:rsidR="00B5500E">
        <w:rPr>
          <w:rFonts w:asciiTheme="minorHAnsi" w:eastAsiaTheme="minorEastAsia" w:hAnsiTheme="minorHAnsi" w:cstheme="minorHAnsi"/>
          <w:szCs w:val="22"/>
        </w:rPr>
        <w:t xml:space="preserve">for RPs and the department </w:t>
      </w:r>
      <w:r>
        <w:rPr>
          <w:rFonts w:asciiTheme="minorHAnsi" w:eastAsiaTheme="minorEastAsia" w:hAnsiTheme="minorHAnsi" w:cstheme="minorHAnsi"/>
          <w:szCs w:val="22"/>
        </w:rPr>
        <w:t>through improved systems and processes</w:t>
      </w:r>
      <w:r w:rsidR="007E1E5E">
        <w:rPr>
          <w:rFonts w:asciiTheme="minorHAnsi" w:eastAsiaTheme="minorEastAsia" w:hAnsiTheme="minorHAnsi" w:cstheme="minorHAnsi"/>
          <w:szCs w:val="22"/>
        </w:rPr>
        <w:t>:</w:t>
      </w:r>
    </w:p>
    <w:p w14:paraId="5ABA86D5" w14:textId="46A60C4E" w:rsidR="002947D7" w:rsidRPr="00246B2B" w:rsidRDefault="009D536D" w:rsidP="00FB5B2B">
      <w:pPr>
        <w:pStyle w:val="ListParagraph"/>
        <w:numPr>
          <w:ilvl w:val="1"/>
          <w:numId w:val="17"/>
        </w:numPr>
        <w:spacing w:before="120" w:after="120"/>
        <w:contextualSpacing w:val="0"/>
        <w:jc w:val="both"/>
        <w:rPr>
          <w:rFonts w:asciiTheme="minorHAnsi" w:hAnsiTheme="minorHAnsi" w:cstheme="minorHAnsi"/>
          <w:szCs w:val="22"/>
          <w:lang w:eastAsia="en-AU"/>
        </w:rPr>
      </w:pPr>
      <w:r>
        <w:rPr>
          <w:rFonts w:asciiTheme="minorHAnsi" w:hAnsiTheme="minorHAnsi" w:cstheme="minorHAnsi"/>
          <w:szCs w:val="22"/>
        </w:rPr>
        <w:t>D</w:t>
      </w:r>
      <w:r w:rsidRPr="00246B2B">
        <w:rPr>
          <w:rFonts w:asciiTheme="minorHAnsi" w:hAnsiTheme="minorHAnsi" w:cstheme="minorHAnsi"/>
          <w:szCs w:val="22"/>
        </w:rPr>
        <w:t>evelop</w:t>
      </w:r>
      <w:r>
        <w:rPr>
          <w:rFonts w:asciiTheme="minorHAnsi" w:hAnsiTheme="minorHAnsi" w:cstheme="minorHAnsi"/>
          <w:szCs w:val="22"/>
        </w:rPr>
        <w:t xml:space="preserve"> </w:t>
      </w:r>
      <w:r w:rsidR="002947D7" w:rsidRPr="00246B2B">
        <w:rPr>
          <w:rFonts w:asciiTheme="minorHAnsi" w:eastAsiaTheme="minorEastAsia" w:hAnsiTheme="minorHAnsi" w:cstheme="minorHAnsi"/>
          <w:szCs w:val="22"/>
        </w:rPr>
        <w:t xml:space="preserve">a new </w:t>
      </w:r>
      <w:r w:rsidR="002947D7" w:rsidRPr="00246B2B">
        <w:rPr>
          <w:rFonts w:asciiTheme="minorHAnsi" w:eastAsiaTheme="minorEastAsia" w:hAnsiTheme="minorHAnsi" w:cstheme="minorHAnsi"/>
          <w:b/>
          <w:szCs w:val="22"/>
        </w:rPr>
        <w:t>notifications</w:t>
      </w:r>
      <w:r w:rsidR="002947D7" w:rsidRPr="00246B2B">
        <w:rPr>
          <w:rFonts w:asciiTheme="minorHAnsi" w:eastAsiaTheme="minorEastAsia" w:hAnsiTheme="minorHAnsi" w:cstheme="minorHAnsi"/>
          <w:szCs w:val="22"/>
        </w:rPr>
        <w:t xml:space="preserve"> </w:t>
      </w:r>
      <w:r w:rsidR="002947D7" w:rsidRPr="00246B2B">
        <w:rPr>
          <w:rFonts w:asciiTheme="minorHAnsi" w:eastAsiaTheme="minorEastAsia" w:hAnsiTheme="minorHAnsi" w:cstheme="minorHAnsi"/>
          <w:b/>
          <w:szCs w:val="22"/>
        </w:rPr>
        <w:t>portal</w:t>
      </w:r>
      <w:r w:rsidR="002947D7" w:rsidRPr="00246B2B">
        <w:rPr>
          <w:rFonts w:asciiTheme="minorHAnsi" w:eastAsiaTheme="minorEastAsia" w:hAnsiTheme="minorHAnsi" w:cstheme="minorHAnsi"/>
          <w:szCs w:val="22"/>
        </w:rPr>
        <w:t xml:space="preserve"> to automate and streamline the breach notification process. This will reduce the administrative burden on RPs, improve notification compliance rates, and improve the department’s response times.</w:t>
      </w:r>
    </w:p>
    <w:p w14:paraId="40D379BD" w14:textId="3FD951E3" w:rsidR="002947D7" w:rsidRPr="00246B2B" w:rsidRDefault="009D536D" w:rsidP="00FB5B2B">
      <w:pPr>
        <w:pStyle w:val="ListParagraph"/>
        <w:numPr>
          <w:ilvl w:val="1"/>
          <w:numId w:val="17"/>
        </w:numPr>
        <w:spacing w:before="120" w:after="120"/>
        <w:contextualSpacing w:val="0"/>
        <w:rPr>
          <w:rFonts w:asciiTheme="minorHAnsi" w:hAnsiTheme="minorHAnsi" w:cstheme="minorHAnsi"/>
          <w:szCs w:val="22"/>
          <w:lang w:eastAsia="en-AU"/>
        </w:rPr>
      </w:pPr>
      <w:r>
        <w:rPr>
          <w:rFonts w:asciiTheme="minorHAnsi" w:hAnsiTheme="minorHAnsi" w:cstheme="minorHAnsi"/>
          <w:szCs w:val="22"/>
        </w:rPr>
        <w:t>D</w:t>
      </w:r>
      <w:r w:rsidR="002947D7" w:rsidRPr="00246B2B">
        <w:rPr>
          <w:rFonts w:asciiTheme="minorHAnsi" w:hAnsiTheme="minorHAnsi" w:cstheme="minorHAnsi"/>
          <w:szCs w:val="22"/>
        </w:rPr>
        <w:t>evelop a</w:t>
      </w:r>
      <w:r w:rsidR="00745A2D">
        <w:rPr>
          <w:rFonts w:asciiTheme="minorHAnsi" w:hAnsiTheme="minorHAnsi" w:cstheme="minorHAnsi"/>
          <w:szCs w:val="22"/>
        </w:rPr>
        <w:t>n</w:t>
      </w:r>
      <w:r w:rsidR="002947D7" w:rsidRPr="00246B2B">
        <w:rPr>
          <w:rFonts w:asciiTheme="minorHAnsi" w:hAnsiTheme="minorHAnsi" w:cstheme="minorHAnsi"/>
          <w:szCs w:val="22"/>
        </w:rPr>
        <w:t xml:space="preserve"> </w:t>
      </w:r>
      <w:r w:rsidR="0022580C">
        <w:rPr>
          <w:rFonts w:asciiTheme="minorHAnsi" w:hAnsiTheme="minorHAnsi" w:cstheme="minorHAnsi"/>
          <w:b/>
          <w:szCs w:val="22"/>
        </w:rPr>
        <w:t>excel</w:t>
      </w:r>
      <w:r w:rsidR="0022580C" w:rsidRPr="00246B2B">
        <w:rPr>
          <w:rFonts w:asciiTheme="minorHAnsi" w:hAnsiTheme="minorHAnsi" w:cstheme="minorHAnsi"/>
          <w:b/>
          <w:szCs w:val="22"/>
        </w:rPr>
        <w:t xml:space="preserve"> </w:t>
      </w:r>
      <w:r w:rsidR="002947D7" w:rsidRPr="00246B2B">
        <w:rPr>
          <w:rFonts w:asciiTheme="minorHAnsi" w:hAnsiTheme="minorHAnsi" w:cstheme="minorHAnsi"/>
          <w:b/>
          <w:szCs w:val="22"/>
        </w:rPr>
        <w:t>notification</w:t>
      </w:r>
      <w:r w:rsidR="002947D7" w:rsidRPr="00246B2B">
        <w:rPr>
          <w:rFonts w:asciiTheme="minorHAnsi" w:hAnsiTheme="minorHAnsi" w:cstheme="minorHAnsi"/>
          <w:szCs w:val="22"/>
        </w:rPr>
        <w:t xml:space="preserve"> template</w:t>
      </w:r>
      <w:r w:rsidR="00414B97">
        <w:rPr>
          <w:rFonts w:asciiTheme="minorHAnsi" w:hAnsiTheme="minorHAnsi" w:cstheme="minorHAnsi"/>
          <w:szCs w:val="22"/>
        </w:rPr>
        <w:t xml:space="preserve"> </w:t>
      </w:r>
      <w:r w:rsidR="001666C7">
        <w:rPr>
          <w:rFonts w:asciiTheme="minorHAnsi" w:hAnsiTheme="minorHAnsi" w:cstheme="minorHAnsi"/>
          <w:szCs w:val="22"/>
        </w:rPr>
        <w:t>as an</w:t>
      </w:r>
      <w:r w:rsidR="00743965">
        <w:rPr>
          <w:rFonts w:asciiTheme="minorHAnsi" w:hAnsiTheme="minorHAnsi" w:cstheme="minorHAnsi"/>
          <w:szCs w:val="22"/>
        </w:rPr>
        <w:t xml:space="preserve"> interim </w:t>
      </w:r>
      <w:r w:rsidR="001666C7">
        <w:rPr>
          <w:rFonts w:asciiTheme="minorHAnsi" w:hAnsiTheme="minorHAnsi" w:cstheme="minorHAnsi"/>
          <w:szCs w:val="22"/>
        </w:rPr>
        <w:t>solution</w:t>
      </w:r>
      <w:r w:rsidR="00E445E0">
        <w:rPr>
          <w:rFonts w:asciiTheme="minorHAnsi" w:hAnsiTheme="minorHAnsi" w:cstheme="minorHAnsi"/>
          <w:szCs w:val="22"/>
        </w:rPr>
        <w:t xml:space="preserve"> to the notification portal</w:t>
      </w:r>
      <w:r w:rsidR="001675FF">
        <w:rPr>
          <w:rFonts w:asciiTheme="minorHAnsi" w:hAnsiTheme="minorHAnsi" w:cstheme="minorHAnsi"/>
          <w:szCs w:val="22"/>
        </w:rPr>
        <w:t>.</w:t>
      </w:r>
    </w:p>
    <w:p w14:paraId="0BF211C5" w14:textId="50425AB6" w:rsidR="002947D7" w:rsidRPr="00246B2B" w:rsidRDefault="009E7319" w:rsidP="00FB5B2B">
      <w:pPr>
        <w:pStyle w:val="ListParagraph"/>
        <w:numPr>
          <w:ilvl w:val="1"/>
          <w:numId w:val="17"/>
        </w:numPr>
        <w:spacing w:before="120" w:after="120"/>
        <w:contextualSpacing w:val="0"/>
        <w:jc w:val="both"/>
        <w:rPr>
          <w:rFonts w:asciiTheme="minorHAnsi" w:hAnsiTheme="minorHAnsi" w:cstheme="minorHAnsi"/>
          <w:szCs w:val="22"/>
          <w:lang w:eastAsia="en-AU"/>
        </w:rPr>
      </w:pPr>
      <w:r>
        <w:rPr>
          <w:rFonts w:asciiTheme="minorHAnsi" w:hAnsiTheme="minorHAnsi" w:cstheme="minorHAnsi"/>
          <w:szCs w:val="22"/>
        </w:rPr>
        <w:t>D</w:t>
      </w:r>
      <w:r w:rsidRPr="00246B2B">
        <w:rPr>
          <w:rFonts w:asciiTheme="minorHAnsi" w:hAnsiTheme="minorHAnsi" w:cstheme="minorHAnsi"/>
          <w:szCs w:val="22"/>
        </w:rPr>
        <w:t>evelop</w:t>
      </w:r>
      <w:r>
        <w:rPr>
          <w:rFonts w:asciiTheme="minorHAnsi" w:hAnsiTheme="minorHAnsi" w:cstheme="minorHAnsi"/>
          <w:szCs w:val="22"/>
        </w:rPr>
        <w:t xml:space="preserve"> </w:t>
      </w:r>
      <w:r w:rsidR="002947D7" w:rsidRPr="00246B2B">
        <w:rPr>
          <w:rFonts w:asciiTheme="minorHAnsi" w:hAnsiTheme="minorHAnsi" w:cstheme="minorHAnsi"/>
          <w:szCs w:val="22"/>
        </w:rPr>
        <w:t xml:space="preserve">a </w:t>
      </w:r>
      <w:r w:rsidR="002947D7" w:rsidRPr="00246B2B">
        <w:rPr>
          <w:rFonts w:asciiTheme="minorHAnsi" w:hAnsiTheme="minorHAnsi" w:cstheme="minorHAnsi"/>
          <w:b/>
          <w:szCs w:val="22"/>
        </w:rPr>
        <w:t>case management system</w:t>
      </w:r>
      <w:r w:rsidR="002947D7" w:rsidRPr="00246B2B">
        <w:rPr>
          <w:rFonts w:asciiTheme="minorHAnsi" w:hAnsiTheme="minorHAnsi" w:cstheme="minorHAnsi"/>
          <w:szCs w:val="22"/>
        </w:rPr>
        <w:t xml:space="preserve"> for managing non-compliance</w:t>
      </w:r>
      <w:r w:rsidR="00693A37">
        <w:rPr>
          <w:rFonts w:asciiTheme="minorHAnsi" w:hAnsiTheme="minorHAnsi" w:cstheme="minorHAnsi"/>
          <w:szCs w:val="22"/>
        </w:rPr>
        <w:t>.</w:t>
      </w:r>
      <w:r w:rsidR="00E01C8F">
        <w:rPr>
          <w:rFonts w:asciiTheme="minorHAnsi" w:hAnsiTheme="minorHAnsi" w:cstheme="minorHAnsi"/>
          <w:szCs w:val="22"/>
        </w:rPr>
        <w:t xml:space="preserve"> </w:t>
      </w:r>
      <w:r w:rsidR="00E01C8F" w:rsidRPr="00E01C8F">
        <w:rPr>
          <w:rFonts w:asciiTheme="minorHAnsi" w:hAnsiTheme="minorHAnsi" w:cstheme="minorHAnsi"/>
          <w:szCs w:val="22"/>
        </w:rPr>
        <w:t xml:space="preserve">This will enable the department to </w:t>
      </w:r>
      <w:proofErr w:type="gramStart"/>
      <w:r w:rsidR="00E07CFD">
        <w:rPr>
          <w:rFonts w:asciiTheme="minorHAnsi" w:hAnsiTheme="minorHAnsi" w:cstheme="minorHAnsi"/>
          <w:szCs w:val="22"/>
        </w:rPr>
        <w:t xml:space="preserve">more comprehensively </w:t>
      </w:r>
      <w:r w:rsidR="007E1CC9">
        <w:rPr>
          <w:rFonts w:asciiTheme="minorHAnsi" w:hAnsiTheme="minorHAnsi" w:cstheme="minorHAnsi"/>
          <w:szCs w:val="22"/>
        </w:rPr>
        <w:t>manage</w:t>
      </w:r>
      <w:r w:rsidR="00E01C8F" w:rsidRPr="00E01C8F">
        <w:rPr>
          <w:rFonts w:asciiTheme="minorHAnsi" w:hAnsiTheme="minorHAnsi" w:cstheme="minorHAnsi"/>
          <w:szCs w:val="22"/>
        </w:rPr>
        <w:t xml:space="preserve"> the assessment, response, engagement</w:t>
      </w:r>
      <w:r w:rsidR="002D51DE">
        <w:rPr>
          <w:rFonts w:asciiTheme="minorHAnsi" w:hAnsiTheme="minorHAnsi" w:cstheme="minorHAnsi"/>
          <w:szCs w:val="22"/>
        </w:rPr>
        <w:t>,</w:t>
      </w:r>
      <w:r w:rsidR="00E01C8F" w:rsidRPr="00E01C8F">
        <w:rPr>
          <w:rFonts w:asciiTheme="minorHAnsi" w:hAnsiTheme="minorHAnsi" w:cstheme="minorHAnsi"/>
          <w:szCs w:val="22"/>
        </w:rPr>
        <w:t xml:space="preserve"> and ongoing monitoring of </w:t>
      </w:r>
      <w:r w:rsidR="007E1CC9">
        <w:rPr>
          <w:rFonts w:asciiTheme="minorHAnsi" w:hAnsiTheme="minorHAnsi" w:cstheme="minorHAnsi"/>
          <w:szCs w:val="22"/>
        </w:rPr>
        <w:t>a</w:t>
      </w:r>
      <w:r w:rsidR="00E01C8F" w:rsidRPr="00E01C8F">
        <w:rPr>
          <w:rFonts w:asciiTheme="minorHAnsi" w:hAnsiTheme="minorHAnsi" w:cstheme="minorHAnsi"/>
          <w:szCs w:val="22"/>
        </w:rPr>
        <w:t xml:space="preserve"> compliance case</w:t>
      </w:r>
      <w:proofErr w:type="gramEnd"/>
      <w:r w:rsidR="007E1CC9">
        <w:rPr>
          <w:rFonts w:asciiTheme="minorHAnsi" w:hAnsiTheme="minorHAnsi" w:cstheme="minorHAnsi"/>
          <w:szCs w:val="22"/>
        </w:rPr>
        <w:t>.</w:t>
      </w:r>
      <w:r w:rsidR="0020619B">
        <w:rPr>
          <w:rFonts w:asciiTheme="minorHAnsi" w:hAnsiTheme="minorHAnsi" w:cstheme="minorHAnsi"/>
          <w:szCs w:val="22"/>
        </w:rPr>
        <w:t xml:space="preserve"> A case management system is a necessity </w:t>
      </w:r>
      <w:r w:rsidR="00C15E92">
        <w:rPr>
          <w:rFonts w:asciiTheme="minorHAnsi" w:hAnsiTheme="minorHAnsi" w:cstheme="minorHAnsi"/>
          <w:szCs w:val="22"/>
        </w:rPr>
        <w:t xml:space="preserve">for effective compliance management </w:t>
      </w:r>
      <w:r w:rsidR="0020619B">
        <w:rPr>
          <w:rFonts w:asciiTheme="minorHAnsi" w:hAnsiTheme="minorHAnsi" w:cstheme="minorHAnsi"/>
          <w:szCs w:val="22"/>
        </w:rPr>
        <w:t>given the considerable volume of breach notifications</w:t>
      </w:r>
      <w:r w:rsidR="00B63536">
        <w:rPr>
          <w:rFonts w:asciiTheme="minorHAnsi" w:hAnsiTheme="minorHAnsi" w:cstheme="minorHAnsi"/>
          <w:szCs w:val="22"/>
        </w:rPr>
        <w:t xml:space="preserve"> that </w:t>
      </w:r>
      <w:r w:rsidR="00E442D1">
        <w:rPr>
          <w:rFonts w:asciiTheme="minorHAnsi" w:hAnsiTheme="minorHAnsi" w:cstheme="minorHAnsi"/>
          <w:szCs w:val="22"/>
        </w:rPr>
        <w:t>the department is dealing with.</w:t>
      </w:r>
    </w:p>
    <w:p w14:paraId="60A05854" w14:textId="546A0F49" w:rsidR="002947D7" w:rsidRPr="00246B2B" w:rsidRDefault="0083619D" w:rsidP="00FB5B2B">
      <w:pPr>
        <w:pStyle w:val="ListParagraph"/>
        <w:numPr>
          <w:ilvl w:val="1"/>
          <w:numId w:val="17"/>
        </w:numPr>
        <w:spacing w:before="120" w:after="120"/>
        <w:contextualSpacing w:val="0"/>
        <w:jc w:val="both"/>
        <w:rPr>
          <w:rFonts w:asciiTheme="minorHAnsi" w:hAnsiTheme="minorHAnsi" w:cstheme="minorHAnsi"/>
          <w:szCs w:val="22"/>
        </w:rPr>
      </w:pPr>
      <w:r>
        <w:rPr>
          <w:rFonts w:asciiTheme="minorHAnsi" w:hAnsiTheme="minorHAnsi" w:cstheme="minorHAnsi"/>
          <w:szCs w:val="22"/>
        </w:rPr>
        <w:t>D</w:t>
      </w:r>
      <w:r w:rsidRPr="00246B2B">
        <w:rPr>
          <w:rFonts w:asciiTheme="minorHAnsi" w:hAnsiTheme="minorHAnsi" w:cstheme="minorHAnsi"/>
          <w:szCs w:val="22"/>
        </w:rPr>
        <w:t>evelop</w:t>
      </w:r>
      <w:r>
        <w:rPr>
          <w:rFonts w:asciiTheme="minorHAnsi" w:hAnsiTheme="minorHAnsi" w:cstheme="minorHAnsi"/>
          <w:szCs w:val="22"/>
        </w:rPr>
        <w:t xml:space="preserve"> </w:t>
      </w:r>
      <w:r w:rsidR="002947D7" w:rsidRPr="00246B2B">
        <w:rPr>
          <w:rFonts w:asciiTheme="minorHAnsi" w:hAnsiTheme="minorHAnsi" w:cstheme="minorHAnsi"/>
          <w:szCs w:val="22"/>
        </w:rPr>
        <w:t xml:space="preserve">a </w:t>
      </w:r>
      <w:r w:rsidR="00B32F53" w:rsidRPr="00B8379A">
        <w:rPr>
          <w:rFonts w:asciiTheme="minorHAnsi" w:hAnsiTheme="minorHAnsi" w:cstheme="minorHAnsi"/>
          <w:b/>
          <w:bCs/>
          <w:szCs w:val="22"/>
        </w:rPr>
        <w:t xml:space="preserve">PBS </w:t>
      </w:r>
      <w:r w:rsidR="002947D7" w:rsidRPr="00246B2B">
        <w:rPr>
          <w:rFonts w:asciiTheme="minorHAnsi" w:hAnsiTheme="minorHAnsi" w:cstheme="minorHAnsi"/>
          <w:b/>
          <w:szCs w:val="22"/>
        </w:rPr>
        <w:t>shortages data reporting tool</w:t>
      </w:r>
      <w:r w:rsidR="002947D7" w:rsidRPr="00246B2B">
        <w:rPr>
          <w:rFonts w:asciiTheme="minorHAnsi" w:hAnsiTheme="minorHAnsi" w:cstheme="minorHAnsi"/>
          <w:szCs w:val="22"/>
        </w:rPr>
        <w:t xml:space="preserve"> that converts </w:t>
      </w:r>
      <w:hyperlink r:id="rId21" w:history="1">
        <w:r w:rsidR="002947D7" w:rsidRPr="00AE5026">
          <w:rPr>
            <w:rStyle w:val="Hyperlink"/>
            <w:rFonts w:asciiTheme="minorHAnsi" w:hAnsiTheme="minorHAnsi" w:cstheme="minorHAnsi"/>
            <w:szCs w:val="22"/>
          </w:rPr>
          <w:t xml:space="preserve">TGA </w:t>
        </w:r>
        <w:r w:rsidR="008D4D27" w:rsidRPr="00AE5026">
          <w:rPr>
            <w:rStyle w:val="Hyperlink"/>
            <w:rFonts w:asciiTheme="minorHAnsi" w:hAnsiTheme="minorHAnsi" w:cstheme="minorHAnsi"/>
            <w:szCs w:val="22"/>
          </w:rPr>
          <w:t>shortages</w:t>
        </w:r>
      </w:hyperlink>
      <w:r w:rsidR="008D4D27">
        <w:rPr>
          <w:rFonts w:asciiTheme="minorHAnsi" w:hAnsiTheme="minorHAnsi" w:cstheme="minorHAnsi"/>
          <w:szCs w:val="22"/>
        </w:rPr>
        <w:t xml:space="preserve"> </w:t>
      </w:r>
      <w:r w:rsidR="002947D7" w:rsidRPr="00246B2B">
        <w:rPr>
          <w:rFonts w:asciiTheme="minorHAnsi" w:hAnsiTheme="minorHAnsi" w:cstheme="minorHAnsi"/>
          <w:szCs w:val="22"/>
        </w:rPr>
        <w:t>information and maintains a PBS shortages database</w:t>
      </w:r>
      <w:r w:rsidR="00417766">
        <w:rPr>
          <w:rFonts w:asciiTheme="minorHAnsi" w:hAnsiTheme="minorHAnsi" w:cstheme="minorHAnsi"/>
          <w:szCs w:val="22"/>
        </w:rPr>
        <w:t xml:space="preserve"> </w:t>
      </w:r>
      <w:r w:rsidR="00AB0D82">
        <w:rPr>
          <w:rFonts w:asciiTheme="minorHAnsi" w:hAnsiTheme="minorHAnsi" w:cstheme="minorHAnsi"/>
          <w:szCs w:val="22"/>
        </w:rPr>
        <w:t>to support departmental administration</w:t>
      </w:r>
      <w:r w:rsidR="00693A37">
        <w:rPr>
          <w:rFonts w:asciiTheme="minorHAnsi" w:hAnsiTheme="minorHAnsi" w:cstheme="minorHAnsi"/>
          <w:szCs w:val="22"/>
        </w:rPr>
        <w:t>.</w:t>
      </w:r>
    </w:p>
    <w:p w14:paraId="02697D57" w14:textId="2145FA75" w:rsidR="002947D7" w:rsidRPr="00246B2B" w:rsidRDefault="00056E87" w:rsidP="00FB5B2B">
      <w:pPr>
        <w:pStyle w:val="ListParagraph"/>
        <w:keepNext/>
        <w:numPr>
          <w:ilvl w:val="0"/>
          <w:numId w:val="17"/>
        </w:numPr>
        <w:spacing w:before="120" w:after="120"/>
        <w:contextualSpacing w:val="0"/>
        <w:jc w:val="both"/>
        <w:rPr>
          <w:rFonts w:asciiTheme="minorHAnsi" w:hAnsiTheme="minorHAnsi" w:cstheme="minorHAnsi"/>
          <w:szCs w:val="22"/>
          <w:lang w:eastAsia="en-AU"/>
        </w:rPr>
      </w:pPr>
      <w:r>
        <w:rPr>
          <w:rFonts w:asciiTheme="minorHAnsi" w:hAnsiTheme="minorHAnsi" w:cstheme="minorHAnsi"/>
          <w:szCs w:val="22"/>
        </w:rPr>
        <w:t>D</w:t>
      </w:r>
      <w:r w:rsidR="002947D7" w:rsidRPr="00246B2B">
        <w:rPr>
          <w:rFonts w:asciiTheme="minorHAnsi" w:hAnsiTheme="minorHAnsi" w:cstheme="minorHAnsi"/>
          <w:szCs w:val="22"/>
        </w:rPr>
        <w:t xml:space="preserve">evelop </w:t>
      </w:r>
      <w:r w:rsidR="002947D7" w:rsidRPr="00B8379A">
        <w:rPr>
          <w:rFonts w:asciiTheme="minorHAnsi" w:hAnsiTheme="minorHAnsi" w:cstheme="minorHAnsi"/>
          <w:b/>
          <w:bCs/>
          <w:szCs w:val="22"/>
        </w:rPr>
        <w:t xml:space="preserve">additional </w:t>
      </w:r>
      <w:r w:rsidR="00FD651F" w:rsidRPr="00B8379A">
        <w:rPr>
          <w:rFonts w:asciiTheme="minorHAnsi" w:hAnsiTheme="minorHAnsi" w:cstheme="minorHAnsi"/>
          <w:b/>
          <w:bCs/>
          <w:szCs w:val="22"/>
        </w:rPr>
        <w:t xml:space="preserve">educational </w:t>
      </w:r>
      <w:r w:rsidR="002947D7" w:rsidRPr="00B8379A">
        <w:rPr>
          <w:rFonts w:asciiTheme="minorHAnsi" w:hAnsiTheme="minorHAnsi" w:cstheme="minorHAnsi"/>
          <w:b/>
          <w:bCs/>
          <w:szCs w:val="22"/>
        </w:rPr>
        <w:t>guidance material</w:t>
      </w:r>
      <w:r w:rsidR="002947D7" w:rsidRPr="00246B2B">
        <w:rPr>
          <w:rFonts w:asciiTheme="minorHAnsi" w:hAnsiTheme="minorHAnsi" w:cstheme="minorHAnsi"/>
          <w:szCs w:val="22"/>
        </w:rPr>
        <w:t xml:space="preserve"> such as Fact Sheets</w:t>
      </w:r>
      <w:r w:rsidR="002947D7" w:rsidRPr="00246B2B">
        <w:rPr>
          <w:rFonts w:asciiTheme="minorHAnsi" w:eastAsiaTheme="minorEastAsia" w:hAnsiTheme="minorHAnsi" w:cstheme="minorHAnsi"/>
          <w:szCs w:val="22"/>
        </w:rPr>
        <w:t xml:space="preserve"> to supplement the </w:t>
      </w:r>
      <w:r w:rsidR="002947D7" w:rsidRPr="00B8379A">
        <w:rPr>
          <w:rFonts w:asciiTheme="minorHAnsi" w:eastAsiaTheme="minorEastAsia" w:hAnsiTheme="minorHAnsi" w:cstheme="minorHAnsi"/>
          <w:bCs/>
          <w:szCs w:val="22"/>
        </w:rPr>
        <w:t>Guidelines</w:t>
      </w:r>
      <w:r w:rsidR="002947D7" w:rsidRPr="00246B2B">
        <w:rPr>
          <w:rFonts w:asciiTheme="minorHAnsi" w:eastAsiaTheme="minorEastAsia" w:hAnsiTheme="minorHAnsi" w:cstheme="minorHAnsi"/>
          <w:szCs w:val="22"/>
        </w:rPr>
        <w:t xml:space="preserve"> </w:t>
      </w:r>
      <w:r w:rsidR="002947D7" w:rsidRPr="00246B2B">
        <w:rPr>
          <w:rFonts w:asciiTheme="minorHAnsi" w:hAnsiTheme="minorHAnsi" w:cstheme="minorHAnsi"/>
          <w:szCs w:val="22"/>
        </w:rPr>
        <w:t>which will</w:t>
      </w:r>
      <w:r w:rsidR="002947D7" w:rsidRPr="00246B2B">
        <w:rPr>
          <w:rFonts w:asciiTheme="minorHAnsi" w:eastAsiaTheme="minorEastAsia" w:hAnsiTheme="minorHAnsi" w:cstheme="minorHAnsi"/>
          <w:szCs w:val="22"/>
        </w:rPr>
        <w:t xml:space="preserve"> provide a quick reference guide to support RPs’ understanding of the notification and other requirements,</w:t>
      </w:r>
      <w:r w:rsidR="002947D7" w:rsidRPr="00246B2B">
        <w:rPr>
          <w:rFonts w:asciiTheme="minorHAnsi" w:hAnsiTheme="minorHAnsi" w:cstheme="minorHAnsi"/>
          <w:szCs w:val="22"/>
        </w:rPr>
        <w:t xml:space="preserve"> including:</w:t>
      </w:r>
    </w:p>
    <w:p w14:paraId="6E6E42A1" w14:textId="070BB5D9" w:rsidR="00BD4298" w:rsidRPr="00246B2B" w:rsidRDefault="002947D7" w:rsidP="00FB5B2B">
      <w:pPr>
        <w:pStyle w:val="ListParagraph"/>
        <w:numPr>
          <w:ilvl w:val="1"/>
          <w:numId w:val="18"/>
        </w:numPr>
        <w:spacing w:before="120" w:after="120"/>
        <w:contextualSpacing w:val="0"/>
        <w:jc w:val="both"/>
        <w:rPr>
          <w:rFonts w:asciiTheme="minorHAnsi" w:eastAsiaTheme="minorEastAsia" w:hAnsiTheme="minorHAnsi" w:cstheme="minorHAnsi"/>
          <w:szCs w:val="22"/>
        </w:rPr>
      </w:pPr>
      <w:r w:rsidRPr="00BD4298">
        <w:rPr>
          <w:rFonts w:asciiTheme="minorHAnsi" w:hAnsiTheme="minorHAnsi" w:cstheme="minorHAnsi"/>
          <w:szCs w:val="22"/>
        </w:rPr>
        <w:t>An ‘MSR Compliance Fact Sheet’ outlining RPs’ compliance obligations</w:t>
      </w:r>
      <w:r w:rsidR="002F529A" w:rsidRPr="00BD4298">
        <w:rPr>
          <w:rFonts w:asciiTheme="minorHAnsi" w:hAnsiTheme="minorHAnsi" w:cstheme="minorHAnsi"/>
          <w:szCs w:val="22"/>
        </w:rPr>
        <w:t>,</w:t>
      </w:r>
      <w:r w:rsidR="00DF3291" w:rsidRPr="00BD4298">
        <w:rPr>
          <w:rFonts w:asciiTheme="minorHAnsi" w:hAnsiTheme="minorHAnsi" w:cstheme="minorHAnsi"/>
          <w:szCs w:val="22"/>
        </w:rPr>
        <w:t xml:space="preserve"> </w:t>
      </w:r>
      <w:r w:rsidR="000B519B">
        <w:rPr>
          <w:rFonts w:asciiTheme="minorHAnsi" w:hAnsiTheme="minorHAnsi" w:cstheme="minorHAnsi"/>
          <w:szCs w:val="22"/>
        </w:rPr>
        <w:t xml:space="preserve">usual demand calculations, </w:t>
      </w:r>
      <w:r w:rsidR="00DF3291" w:rsidRPr="00BD4298">
        <w:rPr>
          <w:rFonts w:asciiTheme="minorHAnsi" w:hAnsiTheme="minorHAnsi" w:cstheme="minorHAnsi"/>
          <w:szCs w:val="22"/>
        </w:rPr>
        <w:t>the department’s risk-based compliance approach</w:t>
      </w:r>
      <w:r w:rsidR="002F529A" w:rsidRPr="00BD4298">
        <w:rPr>
          <w:rFonts w:asciiTheme="minorHAnsi" w:hAnsiTheme="minorHAnsi" w:cstheme="minorHAnsi"/>
          <w:szCs w:val="22"/>
        </w:rPr>
        <w:t xml:space="preserve">, </w:t>
      </w:r>
      <w:r w:rsidR="00BD4298">
        <w:rPr>
          <w:rFonts w:asciiTheme="minorHAnsi" w:hAnsiTheme="minorHAnsi" w:cstheme="minorHAnsi"/>
          <w:szCs w:val="22"/>
        </w:rPr>
        <w:t>w</w:t>
      </w:r>
      <w:r w:rsidRPr="00246B2B">
        <w:rPr>
          <w:rFonts w:asciiTheme="minorHAnsi" w:hAnsiTheme="minorHAnsi" w:cstheme="minorHAnsi"/>
          <w:szCs w:val="22"/>
        </w:rPr>
        <w:t>hat ‘form a belief’</w:t>
      </w:r>
      <w:r w:rsidR="00BD4298">
        <w:rPr>
          <w:rFonts w:asciiTheme="minorHAnsi" w:hAnsiTheme="minorHAnsi" w:cstheme="minorHAnsi"/>
          <w:szCs w:val="22"/>
        </w:rPr>
        <w:t xml:space="preserve"> and</w:t>
      </w:r>
      <w:r w:rsidRPr="00246B2B">
        <w:rPr>
          <w:rFonts w:asciiTheme="minorHAnsi" w:hAnsiTheme="minorHAnsi" w:cstheme="minorHAnsi"/>
          <w:szCs w:val="22"/>
        </w:rPr>
        <w:t xml:space="preserve"> </w:t>
      </w:r>
      <w:r w:rsidR="00BD4298" w:rsidRPr="00246B2B">
        <w:rPr>
          <w:rFonts w:asciiTheme="minorHAnsi" w:hAnsiTheme="minorHAnsi" w:cstheme="minorHAnsi"/>
          <w:szCs w:val="22"/>
        </w:rPr>
        <w:t xml:space="preserve">‘as soon as practicable’ </w:t>
      </w:r>
      <w:r w:rsidRPr="00246B2B">
        <w:rPr>
          <w:rFonts w:asciiTheme="minorHAnsi" w:hAnsiTheme="minorHAnsi" w:cstheme="minorHAnsi"/>
          <w:szCs w:val="22"/>
        </w:rPr>
        <w:t>means</w:t>
      </w:r>
      <w:r w:rsidR="00BD4298" w:rsidRPr="00BD4298">
        <w:rPr>
          <w:rFonts w:asciiTheme="minorHAnsi" w:eastAsia="Calibri" w:hAnsiTheme="minorHAnsi" w:cstheme="minorHAnsi"/>
          <w:szCs w:val="22"/>
        </w:rPr>
        <w:t xml:space="preserve"> </w:t>
      </w:r>
      <w:r w:rsidR="00BD4298">
        <w:rPr>
          <w:rFonts w:asciiTheme="minorHAnsi" w:eastAsia="Calibri" w:hAnsiTheme="minorHAnsi" w:cstheme="minorHAnsi"/>
          <w:szCs w:val="22"/>
        </w:rPr>
        <w:t>and t</w:t>
      </w:r>
      <w:r w:rsidR="00BD4298" w:rsidRPr="00246B2B">
        <w:rPr>
          <w:rFonts w:asciiTheme="minorHAnsi" w:eastAsiaTheme="minorEastAsia" w:hAnsiTheme="minorHAnsi" w:cstheme="minorHAnsi"/>
          <w:szCs w:val="22"/>
        </w:rPr>
        <w:t>he threshold for notifications.</w:t>
      </w:r>
    </w:p>
    <w:p w14:paraId="4C8B7CB6" w14:textId="7020841B" w:rsidR="002947D7" w:rsidRPr="00246B2B" w:rsidRDefault="00522ECC" w:rsidP="00110BCD">
      <w:pPr>
        <w:pStyle w:val="ListParagraph"/>
        <w:numPr>
          <w:ilvl w:val="0"/>
          <w:numId w:val="17"/>
        </w:numPr>
        <w:spacing w:before="120" w:after="120"/>
        <w:contextualSpacing w:val="0"/>
        <w:jc w:val="both"/>
        <w:rPr>
          <w:rFonts w:asciiTheme="minorHAnsi" w:hAnsiTheme="minorHAnsi" w:cstheme="minorBidi"/>
          <w:lang w:eastAsia="en-AU"/>
        </w:rPr>
      </w:pPr>
      <w:r w:rsidRPr="5B0AE25C">
        <w:rPr>
          <w:rFonts w:asciiTheme="minorHAnsi" w:hAnsiTheme="minorHAnsi" w:cstheme="minorBidi"/>
          <w:lang w:eastAsia="en-AU"/>
        </w:rPr>
        <w:t xml:space="preserve">Consider making </w:t>
      </w:r>
      <w:r w:rsidRPr="5B0AE25C">
        <w:rPr>
          <w:rFonts w:asciiTheme="minorHAnsi" w:hAnsiTheme="minorHAnsi" w:cstheme="minorBidi"/>
          <w:b/>
          <w:bCs/>
          <w:lang w:eastAsia="en-AU"/>
        </w:rPr>
        <w:t>updates to the</w:t>
      </w:r>
      <w:r w:rsidR="00ED4F0E" w:rsidRPr="5B0AE25C">
        <w:rPr>
          <w:rFonts w:asciiTheme="minorHAnsi" w:hAnsiTheme="minorHAnsi" w:cstheme="minorBidi"/>
          <w:b/>
          <w:bCs/>
          <w:lang w:eastAsia="en-AU"/>
        </w:rPr>
        <w:t xml:space="preserve"> </w:t>
      </w:r>
      <w:hyperlink r:id="rId22" w:history="1">
        <w:r w:rsidR="00ED4F0E" w:rsidRPr="00EE4425">
          <w:rPr>
            <w:rStyle w:val="Hyperlink"/>
            <w:rFonts w:asciiTheme="minorHAnsi" w:hAnsiTheme="minorHAnsi" w:cstheme="minorBidi"/>
            <w:b/>
            <w:bCs/>
            <w:lang w:eastAsia="en-AU"/>
          </w:rPr>
          <w:t>Guidelines</w:t>
        </w:r>
      </w:hyperlink>
      <w:r w:rsidR="00ED4F0E" w:rsidRPr="5B0AE25C">
        <w:rPr>
          <w:rFonts w:asciiTheme="minorHAnsi" w:hAnsiTheme="minorHAnsi" w:cstheme="minorBidi"/>
          <w:lang w:eastAsia="en-AU"/>
        </w:rPr>
        <w:t xml:space="preserve"> </w:t>
      </w:r>
      <w:r w:rsidRPr="5B0AE25C">
        <w:rPr>
          <w:rFonts w:asciiTheme="minorHAnsi" w:hAnsiTheme="minorHAnsi" w:cstheme="minorBidi"/>
          <w:lang w:eastAsia="en-AU"/>
        </w:rPr>
        <w:t>in relation to:</w:t>
      </w:r>
    </w:p>
    <w:p w14:paraId="5B6582A1" w14:textId="1CA5E40E" w:rsidR="002947D7" w:rsidRPr="00246B2B" w:rsidRDefault="00724284" w:rsidP="003525B2">
      <w:pPr>
        <w:pStyle w:val="ListParagraph"/>
        <w:numPr>
          <w:ilvl w:val="1"/>
          <w:numId w:val="25"/>
        </w:numPr>
        <w:spacing w:before="120" w:after="120"/>
        <w:contextualSpacing w:val="0"/>
        <w:rPr>
          <w:rFonts w:asciiTheme="minorHAnsi" w:hAnsiTheme="minorHAnsi" w:cstheme="minorHAnsi"/>
          <w:szCs w:val="22"/>
          <w:lang w:eastAsia="en-AU"/>
        </w:rPr>
      </w:pPr>
      <w:r>
        <w:rPr>
          <w:rFonts w:asciiTheme="minorHAnsi" w:hAnsiTheme="minorHAnsi" w:cstheme="minorHAnsi"/>
          <w:szCs w:val="22"/>
        </w:rPr>
        <w:t>Additional</w:t>
      </w:r>
      <w:r w:rsidR="002947D7" w:rsidRPr="00246B2B">
        <w:rPr>
          <w:rFonts w:asciiTheme="minorHAnsi" w:hAnsiTheme="minorHAnsi" w:cstheme="minorHAnsi"/>
          <w:szCs w:val="22"/>
        </w:rPr>
        <w:t xml:space="preserve"> matters the </w:t>
      </w:r>
      <w:r w:rsidR="007F64CF">
        <w:rPr>
          <w:rFonts w:asciiTheme="minorHAnsi" w:hAnsiTheme="minorHAnsi" w:cstheme="minorHAnsi"/>
          <w:szCs w:val="22"/>
        </w:rPr>
        <w:t>M</w:t>
      </w:r>
      <w:r w:rsidR="002947D7" w:rsidRPr="00246B2B">
        <w:rPr>
          <w:rFonts w:asciiTheme="minorHAnsi" w:hAnsiTheme="minorHAnsi" w:cstheme="minorHAnsi"/>
          <w:szCs w:val="22"/>
        </w:rPr>
        <w:t xml:space="preserve">inister </w:t>
      </w:r>
      <w:r w:rsidR="002947D7" w:rsidRPr="00246B2B">
        <w:rPr>
          <w:rFonts w:asciiTheme="minorHAnsi" w:hAnsiTheme="minorHAnsi" w:cstheme="minorHAnsi"/>
          <w:i/>
          <w:szCs w:val="22"/>
        </w:rPr>
        <w:t xml:space="preserve">may </w:t>
      </w:r>
      <w:r w:rsidR="002947D7" w:rsidRPr="00246B2B">
        <w:rPr>
          <w:rFonts w:asciiTheme="minorHAnsi" w:hAnsiTheme="minorHAnsi" w:cstheme="minorHAnsi"/>
          <w:szCs w:val="22"/>
        </w:rPr>
        <w:t xml:space="preserve">consider </w:t>
      </w:r>
      <w:r w:rsidR="003608D5">
        <w:rPr>
          <w:rFonts w:asciiTheme="minorHAnsi" w:eastAsiaTheme="minorEastAsia" w:hAnsiTheme="minorHAnsi" w:cstheme="minorHAnsi"/>
          <w:szCs w:val="22"/>
        </w:rPr>
        <w:t xml:space="preserve">in </w:t>
      </w:r>
      <w:r w:rsidR="003608D5">
        <w:rPr>
          <w:rFonts w:asciiTheme="minorHAnsi" w:hAnsiTheme="minorHAnsi" w:cstheme="minorHAnsi"/>
          <w:szCs w:val="22"/>
        </w:rPr>
        <w:t xml:space="preserve">the event of a breach, </w:t>
      </w:r>
      <w:r w:rsidR="00230517">
        <w:rPr>
          <w:rFonts w:asciiTheme="minorHAnsi" w:hAnsiTheme="minorHAnsi" w:cstheme="minorHAnsi"/>
          <w:szCs w:val="22"/>
        </w:rPr>
        <w:t>specifically</w:t>
      </w:r>
      <w:r w:rsidR="002947D7" w:rsidRPr="00246B2B">
        <w:rPr>
          <w:rFonts w:asciiTheme="minorHAnsi" w:eastAsiaTheme="minorEastAsia" w:hAnsiTheme="minorHAnsi" w:cstheme="minorHAnsi"/>
          <w:szCs w:val="22"/>
        </w:rPr>
        <w:t>:</w:t>
      </w:r>
    </w:p>
    <w:p w14:paraId="60513A9F" w14:textId="2F85E95F" w:rsidR="002947D7" w:rsidRPr="00246B2B" w:rsidRDefault="00743862" w:rsidP="003525B2">
      <w:pPr>
        <w:pStyle w:val="ListParagraph"/>
        <w:numPr>
          <w:ilvl w:val="2"/>
          <w:numId w:val="25"/>
        </w:numPr>
        <w:spacing w:before="120" w:after="120"/>
        <w:contextualSpacing w:val="0"/>
        <w:jc w:val="both"/>
        <w:rPr>
          <w:rFonts w:asciiTheme="minorHAnsi" w:eastAsiaTheme="minorEastAsia" w:hAnsiTheme="minorHAnsi" w:cstheme="minorHAnsi"/>
          <w:szCs w:val="22"/>
        </w:rPr>
      </w:pPr>
      <w:r>
        <w:rPr>
          <w:rFonts w:asciiTheme="minorHAnsi" w:eastAsiaTheme="minorEastAsia" w:hAnsiTheme="minorHAnsi" w:cstheme="minorHAnsi"/>
          <w:szCs w:val="22"/>
        </w:rPr>
        <w:t xml:space="preserve">Taking into consideration stock in transit </w:t>
      </w:r>
      <w:r w:rsidR="00F30224">
        <w:rPr>
          <w:rFonts w:asciiTheme="minorHAnsi" w:eastAsiaTheme="minorEastAsia" w:hAnsiTheme="minorHAnsi" w:cstheme="minorHAnsi"/>
          <w:szCs w:val="22"/>
        </w:rPr>
        <w:t xml:space="preserve">when </w:t>
      </w:r>
      <w:r w:rsidR="00402E79">
        <w:rPr>
          <w:rFonts w:asciiTheme="minorHAnsi" w:eastAsiaTheme="minorEastAsia" w:hAnsiTheme="minorHAnsi" w:cstheme="minorHAnsi"/>
          <w:szCs w:val="22"/>
        </w:rPr>
        <w:t xml:space="preserve">assessing </w:t>
      </w:r>
      <w:r w:rsidR="00B415F1">
        <w:rPr>
          <w:rFonts w:asciiTheme="minorHAnsi" w:eastAsiaTheme="minorEastAsia" w:hAnsiTheme="minorHAnsi" w:cstheme="minorHAnsi"/>
          <w:szCs w:val="22"/>
        </w:rPr>
        <w:t>the likelihood that an RP will maintain adequate supply of a brand in the future</w:t>
      </w:r>
      <w:r w:rsidR="00195CE2">
        <w:rPr>
          <w:rFonts w:asciiTheme="minorHAnsi" w:eastAsiaTheme="minorEastAsia" w:hAnsiTheme="minorHAnsi" w:cstheme="minorHAnsi"/>
          <w:szCs w:val="22"/>
        </w:rPr>
        <w:t>.</w:t>
      </w:r>
    </w:p>
    <w:p w14:paraId="2742C153" w14:textId="17CCBF80" w:rsidR="002947D7" w:rsidRPr="00246B2B" w:rsidRDefault="002947D7" w:rsidP="003525B2">
      <w:pPr>
        <w:pStyle w:val="ListParagraph"/>
        <w:numPr>
          <w:ilvl w:val="2"/>
          <w:numId w:val="25"/>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szCs w:val="22"/>
        </w:rPr>
        <w:t>The impact of competitor out</w:t>
      </w:r>
      <w:r w:rsidR="00822792">
        <w:rPr>
          <w:rFonts w:asciiTheme="minorHAnsi" w:eastAsiaTheme="minorEastAsia" w:hAnsiTheme="minorHAnsi" w:cstheme="minorHAnsi"/>
          <w:szCs w:val="22"/>
        </w:rPr>
        <w:t>-</w:t>
      </w:r>
      <w:r w:rsidRPr="00246B2B">
        <w:rPr>
          <w:rFonts w:asciiTheme="minorHAnsi" w:eastAsiaTheme="minorEastAsia" w:hAnsiTheme="minorHAnsi" w:cstheme="minorHAnsi"/>
          <w:szCs w:val="22"/>
        </w:rPr>
        <w:t>of</w:t>
      </w:r>
      <w:r w:rsidR="00822792">
        <w:rPr>
          <w:rFonts w:asciiTheme="minorHAnsi" w:eastAsiaTheme="minorEastAsia" w:hAnsiTheme="minorHAnsi" w:cstheme="minorHAnsi"/>
          <w:szCs w:val="22"/>
        </w:rPr>
        <w:t>-</w:t>
      </w:r>
      <w:r w:rsidRPr="00246B2B">
        <w:rPr>
          <w:rFonts w:asciiTheme="minorHAnsi" w:eastAsiaTheme="minorEastAsia" w:hAnsiTheme="minorHAnsi" w:cstheme="minorHAnsi"/>
          <w:szCs w:val="22"/>
        </w:rPr>
        <w:t xml:space="preserve">stock </w:t>
      </w:r>
      <w:r w:rsidR="000B6B7E">
        <w:rPr>
          <w:rFonts w:asciiTheme="minorHAnsi" w:eastAsiaTheme="minorEastAsia" w:hAnsiTheme="minorHAnsi" w:cstheme="minorHAnsi"/>
          <w:szCs w:val="22"/>
        </w:rPr>
        <w:t>on</w:t>
      </w:r>
      <w:r w:rsidRPr="00246B2B">
        <w:rPr>
          <w:rFonts w:asciiTheme="minorHAnsi" w:eastAsiaTheme="minorEastAsia" w:hAnsiTheme="minorHAnsi" w:cstheme="minorHAnsi"/>
          <w:szCs w:val="22"/>
        </w:rPr>
        <w:t xml:space="preserve"> the calculation of usual demand</w:t>
      </w:r>
      <w:r w:rsidR="00195CE2">
        <w:rPr>
          <w:rFonts w:asciiTheme="minorHAnsi" w:eastAsiaTheme="minorEastAsia" w:hAnsiTheme="minorHAnsi" w:cstheme="minorHAnsi"/>
          <w:szCs w:val="22"/>
        </w:rPr>
        <w:t>.</w:t>
      </w:r>
    </w:p>
    <w:p w14:paraId="46FF65A4" w14:textId="16B9B0C0" w:rsidR="002947D7" w:rsidRPr="00246B2B" w:rsidRDefault="002947D7" w:rsidP="003525B2">
      <w:pPr>
        <w:pStyle w:val="ListParagraph"/>
        <w:numPr>
          <w:ilvl w:val="2"/>
          <w:numId w:val="25"/>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szCs w:val="22"/>
        </w:rPr>
        <w:t>The impact of loss of contracts and adjustment of stockholding requirements</w:t>
      </w:r>
      <w:r w:rsidR="00195CE2">
        <w:rPr>
          <w:rFonts w:asciiTheme="minorHAnsi" w:eastAsiaTheme="minorEastAsia" w:hAnsiTheme="minorHAnsi" w:cstheme="minorHAnsi"/>
          <w:szCs w:val="22"/>
        </w:rPr>
        <w:t>.</w:t>
      </w:r>
    </w:p>
    <w:p w14:paraId="4EEB3246" w14:textId="3A96ECCD" w:rsidR="002947D7" w:rsidRPr="00246B2B" w:rsidRDefault="002947D7" w:rsidP="003525B2">
      <w:pPr>
        <w:pStyle w:val="ListParagraph"/>
        <w:numPr>
          <w:ilvl w:val="2"/>
          <w:numId w:val="25"/>
        </w:numPr>
        <w:spacing w:before="120" w:after="120"/>
        <w:contextualSpacing w:val="0"/>
        <w:jc w:val="both"/>
        <w:rPr>
          <w:rFonts w:asciiTheme="minorHAnsi" w:eastAsiaTheme="minorEastAsia" w:hAnsiTheme="minorHAnsi" w:cstheme="minorHAnsi"/>
          <w:szCs w:val="22"/>
        </w:rPr>
      </w:pPr>
      <w:r w:rsidRPr="00246B2B">
        <w:rPr>
          <w:rFonts w:asciiTheme="minorHAnsi" w:eastAsiaTheme="minorEastAsia" w:hAnsiTheme="minorHAnsi" w:cstheme="minorHAnsi"/>
          <w:szCs w:val="22"/>
        </w:rPr>
        <w:t>Allowance for difficulties in building up stocks</w:t>
      </w:r>
      <w:r w:rsidR="009D6CF9">
        <w:rPr>
          <w:rFonts w:asciiTheme="minorHAnsi" w:eastAsiaTheme="minorEastAsia" w:hAnsiTheme="minorHAnsi" w:cstheme="minorHAnsi"/>
          <w:szCs w:val="22"/>
        </w:rPr>
        <w:t xml:space="preserve"> due to lead time </w:t>
      </w:r>
      <w:r w:rsidR="00DC5633">
        <w:rPr>
          <w:rFonts w:asciiTheme="minorHAnsi" w:eastAsiaTheme="minorEastAsia" w:hAnsiTheme="minorHAnsi" w:cstheme="minorHAnsi"/>
          <w:szCs w:val="22"/>
        </w:rPr>
        <w:t>constraints</w:t>
      </w:r>
      <w:r w:rsidR="00195CE2">
        <w:rPr>
          <w:rFonts w:asciiTheme="minorHAnsi" w:eastAsiaTheme="minorEastAsia" w:hAnsiTheme="minorHAnsi" w:cstheme="minorHAnsi"/>
          <w:szCs w:val="22"/>
        </w:rPr>
        <w:t>.</w:t>
      </w:r>
    </w:p>
    <w:p w14:paraId="2FF47E46" w14:textId="0178F6FE" w:rsidR="002947D7" w:rsidRDefault="002947D7" w:rsidP="003525B2">
      <w:pPr>
        <w:pStyle w:val="ListParagraph"/>
        <w:numPr>
          <w:ilvl w:val="1"/>
          <w:numId w:val="25"/>
        </w:numPr>
        <w:spacing w:before="120" w:after="120"/>
        <w:contextualSpacing w:val="0"/>
        <w:jc w:val="both"/>
        <w:rPr>
          <w:rFonts w:asciiTheme="minorHAnsi" w:hAnsiTheme="minorHAnsi" w:cstheme="minorHAnsi"/>
          <w:szCs w:val="22"/>
          <w:lang w:eastAsia="en-AU"/>
        </w:rPr>
      </w:pPr>
      <w:r w:rsidRPr="00246B2B">
        <w:rPr>
          <w:rFonts w:asciiTheme="minorHAnsi" w:hAnsiTheme="minorHAnsi" w:cstheme="minorHAnsi"/>
          <w:szCs w:val="22"/>
          <w:lang w:eastAsia="en-AU"/>
        </w:rPr>
        <w:t>Rebranding and transitioning stockholding from an old brand name to a new brand name</w:t>
      </w:r>
      <w:r w:rsidR="00CD4A59">
        <w:rPr>
          <w:rFonts w:asciiTheme="minorHAnsi" w:hAnsiTheme="minorHAnsi" w:cstheme="minorHAnsi"/>
          <w:szCs w:val="22"/>
          <w:lang w:eastAsia="en-AU"/>
        </w:rPr>
        <w:t>.</w:t>
      </w:r>
    </w:p>
    <w:p w14:paraId="744CCF51" w14:textId="7F0EEABA" w:rsidR="00F3395A" w:rsidRPr="00D31768" w:rsidRDefault="00CE6CE7" w:rsidP="003525B2">
      <w:pPr>
        <w:pStyle w:val="ListParagraph"/>
        <w:numPr>
          <w:ilvl w:val="1"/>
          <w:numId w:val="25"/>
        </w:numPr>
        <w:spacing w:before="120" w:after="120"/>
        <w:contextualSpacing w:val="0"/>
        <w:jc w:val="both"/>
        <w:rPr>
          <w:rFonts w:asciiTheme="minorHAnsi" w:hAnsiTheme="minorHAnsi" w:cstheme="minorHAnsi"/>
          <w:iCs/>
          <w:szCs w:val="22"/>
          <w:lang w:eastAsia="en-AU"/>
        </w:rPr>
      </w:pPr>
      <w:r>
        <w:rPr>
          <w:rFonts w:asciiTheme="minorHAnsi" w:hAnsiTheme="minorHAnsi" w:cstheme="minorHAnsi"/>
          <w:iCs/>
          <w:szCs w:val="22"/>
          <w:lang w:eastAsia="en-AU"/>
        </w:rPr>
        <w:t>L</w:t>
      </w:r>
      <w:r w:rsidR="00D31768" w:rsidRPr="00B8379A">
        <w:rPr>
          <w:rFonts w:asciiTheme="minorHAnsi" w:hAnsiTheme="minorHAnsi" w:cstheme="minorHAnsi"/>
          <w:iCs/>
          <w:szCs w:val="22"/>
          <w:lang w:eastAsia="en-AU"/>
        </w:rPr>
        <w:t>ead times afforded to RPs for when they must first hold a compliant minimum stockholding</w:t>
      </w:r>
      <w:r w:rsidR="00CD4A59">
        <w:rPr>
          <w:rFonts w:asciiTheme="minorHAnsi" w:hAnsiTheme="minorHAnsi" w:cstheme="minorHAnsi"/>
          <w:iCs/>
          <w:szCs w:val="22"/>
          <w:lang w:eastAsia="en-AU"/>
        </w:rPr>
        <w:t>.</w:t>
      </w:r>
    </w:p>
    <w:p w14:paraId="05ABA51C" w14:textId="77777777" w:rsidR="000B58FC" w:rsidRPr="000B58FC" w:rsidRDefault="00B95CC7" w:rsidP="000B58FC">
      <w:pPr>
        <w:pStyle w:val="ListParagraph"/>
        <w:numPr>
          <w:ilvl w:val="0"/>
          <w:numId w:val="17"/>
        </w:numPr>
        <w:rPr>
          <w:rFonts w:asciiTheme="minorHAnsi" w:hAnsiTheme="minorHAnsi" w:cstheme="minorBidi"/>
          <w:lang w:eastAsia="en-AU"/>
        </w:rPr>
      </w:pPr>
      <w:r w:rsidRPr="00C85376">
        <w:rPr>
          <w:rFonts w:asciiTheme="minorHAnsi" w:eastAsiaTheme="minorEastAsia" w:hAnsiTheme="minorHAnsi" w:cstheme="minorBidi"/>
        </w:rPr>
        <w:t>U</w:t>
      </w:r>
      <w:r w:rsidR="002947D7" w:rsidRPr="00C85376">
        <w:rPr>
          <w:rFonts w:asciiTheme="minorHAnsi" w:eastAsiaTheme="minorEastAsia" w:hAnsiTheme="minorHAnsi" w:cstheme="minorBidi"/>
        </w:rPr>
        <w:t xml:space="preserve">ndertake further analysis and evaluation of some important issues in the </w:t>
      </w:r>
      <w:r w:rsidR="002947D7" w:rsidRPr="00C85376">
        <w:rPr>
          <w:rFonts w:asciiTheme="minorHAnsi" w:eastAsiaTheme="minorEastAsia" w:hAnsiTheme="minorHAnsi" w:cstheme="minorBidi"/>
          <w:b/>
        </w:rPr>
        <w:t>24-month review</w:t>
      </w:r>
      <w:r w:rsidR="002947D7" w:rsidRPr="00C85376">
        <w:rPr>
          <w:rFonts w:asciiTheme="minorHAnsi" w:eastAsiaTheme="minorEastAsia" w:hAnsiTheme="minorHAnsi" w:cstheme="minorBidi"/>
        </w:rPr>
        <w:t xml:space="preserve">, including assessing the value add of likely breach notifications, assessing the regulatory burden of the MSR for RPs, and whether </w:t>
      </w:r>
      <w:r w:rsidR="002947D7" w:rsidRPr="00C85376">
        <w:rPr>
          <w:rFonts w:asciiTheme="minorHAnsi" w:hAnsiTheme="minorHAnsi" w:cstheme="minorBidi"/>
          <w:lang w:eastAsia="en-AU"/>
        </w:rPr>
        <w:t xml:space="preserve">different reporting frequency for breach notifications and stockholding disclosures </w:t>
      </w:r>
      <w:r w:rsidR="70CDA3DD" w:rsidRPr="00C85376">
        <w:rPr>
          <w:rFonts w:asciiTheme="minorHAnsi" w:hAnsiTheme="minorHAnsi" w:cstheme="minorBidi"/>
          <w:lang w:eastAsia="en-AU"/>
        </w:rPr>
        <w:t>w</w:t>
      </w:r>
      <w:r w:rsidR="2758D6DE" w:rsidRPr="00C85376">
        <w:rPr>
          <w:rFonts w:asciiTheme="minorHAnsi" w:eastAsiaTheme="minorEastAsia" w:hAnsiTheme="minorHAnsi" w:cstheme="minorBidi"/>
        </w:rPr>
        <w:t xml:space="preserve">ould </w:t>
      </w:r>
      <w:r w:rsidR="3AED9E0C" w:rsidRPr="00C85376">
        <w:rPr>
          <w:rFonts w:asciiTheme="minorHAnsi" w:hAnsiTheme="minorHAnsi" w:cstheme="minorBidi"/>
          <w:lang w:eastAsia="en-AU"/>
        </w:rPr>
        <w:t>reduce the administrative burden for RPs</w:t>
      </w:r>
      <w:r w:rsidR="002947D7" w:rsidRPr="00C85376">
        <w:rPr>
          <w:rFonts w:asciiTheme="minorHAnsi" w:hAnsiTheme="minorHAnsi" w:cstheme="minorBidi"/>
          <w:lang w:eastAsia="en-AU"/>
        </w:rPr>
        <w:t xml:space="preserve">. </w:t>
      </w:r>
      <w:r w:rsidR="000B58FC" w:rsidRPr="000B58FC">
        <w:rPr>
          <w:rFonts w:asciiTheme="minorHAnsi" w:hAnsiTheme="minorHAnsi" w:cstheme="minorBidi"/>
          <w:b/>
          <w:lang w:eastAsia="en-AU"/>
        </w:rPr>
        <w:t xml:space="preserve">Table </w:t>
      </w:r>
      <w:r w:rsidR="000B58FC" w:rsidRPr="000B58FC">
        <w:rPr>
          <w:rFonts w:asciiTheme="minorHAnsi" w:hAnsiTheme="minorHAnsi" w:cstheme="minorBidi"/>
          <w:b/>
          <w:bCs/>
          <w:lang w:eastAsia="en-AU"/>
        </w:rPr>
        <w:t>1</w:t>
      </w:r>
      <w:r w:rsidR="000B58FC" w:rsidRPr="000B58FC">
        <w:rPr>
          <w:rFonts w:asciiTheme="minorHAnsi" w:hAnsiTheme="minorHAnsi" w:cstheme="minorBidi"/>
          <w:lang w:eastAsia="en-AU"/>
        </w:rPr>
        <w:t xml:space="preserve"> presents a summary of all findings and recommendations.</w:t>
      </w:r>
    </w:p>
    <w:p w14:paraId="31F00E25" w14:textId="60F0DD6F" w:rsidR="002947D7" w:rsidRPr="00C36306" w:rsidRDefault="002947D7" w:rsidP="002947D7">
      <w:pPr>
        <w:spacing w:before="120" w:after="120"/>
        <w:rPr>
          <w:rFonts w:asciiTheme="minorHAnsi" w:hAnsiTheme="minorHAnsi" w:cstheme="minorHAnsi"/>
          <w:lang w:eastAsia="en-AU"/>
        </w:rPr>
        <w:sectPr w:rsidR="002947D7" w:rsidRPr="00C36306" w:rsidSect="00024250">
          <w:footerReference w:type="default" r:id="rId23"/>
          <w:pgSz w:w="11906" w:h="16838"/>
          <w:pgMar w:top="1440" w:right="1440" w:bottom="1440" w:left="1440" w:header="709" w:footer="709" w:gutter="0"/>
          <w:pgNumType w:start="1"/>
          <w:cols w:space="708"/>
          <w:docGrid w:linePitch="360"/>
        </w:sectPr>
      </w:pPr>
    </w:p>
    <w:p w14:paraId="5178294D" w14:textId="10DB4838" w:rsidR="002947D7" w:rsidRPr="00B8379A" w:rsidRDefault="002947D7" w:rsidP="00B8379A">
      <w:pPr>
        <w:pStyle w:val="Heading4"/>
        <w:spacing w:after="0"/>
        <w:rPr>
          <w:sz w:val="24"/>
          <w:szCs w:val="28"/>
        </w:rPr>
      </w:pPr>
      <w:r w:rsidRPr="00B8379A">
        <w:rPr>
          <w:b/>
          <w:bCs/>
          <w:sz w:val="24"/>
          <w:szCs w:val="28"/>
        </w:rPr>
        <w:lastRenderedPageBreak/>
        <w:t xml:space="preserve">Table </w:t>
      </w:r>
      <w:r w:rsidR="00CB19C2">
        <w:rPr>
          <w:b/>
          <w:bCs/>
          <w:sz w:val="24"/>
          <w:szCs w:val="28"/>
        </w:rPr>
        <w:t>1</w:t>
      </w:r>
      <w:r w:rsidRPr="00B8379A">
        <w:rPr>
          <w:b/>
          <w:bCs/>
          <w:sz w:val="24"/>
          <w:szCs w:val="28"/>
        </w:rPr>
        <w:t xml:space="preserve">: </w:t>
      </w:r>
      <w:r w:rsidR="00BD1032">
        <w:rPr>
          <w:b/>
          <w:bCs/>
          <w:sz w:val="24"/>
          <w:szCs w:val="28"/>
        </w:rPr>
        <w:t>S</w:t>
      </w:r>
      <w:r w:rsidRPr="00B8379A">
        <w:rPr>
          <w:b/>
          <w:bCs/>
          <w:sz w:val="24"/>
          <w:szCs w:val="28"/>
        </w:rPr>
        <w:t>ummary of key findings and recommendations</w:t>
      </w: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78"/>
        <w:gridCol w:w="6384"/>
      </w:tblGrid>
      <w:tr w:rsidR="00A5170C" w:rsidRPr="00E96D4D" w14:paraId="48D29120" w14:textId="77777777" w:rsidTr="00B8379A">
        <w:trPr>
          <w:tblHeader/>
        </w:trPr>
        <w:tc>
          <w:tcPr>
            <w:tcW w:w="1696" w:type="dxa"/>
            <w:shd w:val="clear" w:color="auto" w:fill="auto"/>
            <w:noWrap/>
            <w:vAlign w:val="center"/>
            <w:hideMark/>
          </w:tcPr>
          <w:p w14:paraId="5E767B25" w14:textId="77777777" w:rsidR="00A5170C" w:rsidRPr="00B8379A" w:rsidRDefault="00A5170C">
            <w:pPr>
              <w:rPr>
                <w:rFonts w:asciiTheme="minorHAnsi" w:hAnsiTheme="minorHAnsi" w:cstheme="minorHAnsi"/>
                <w:b/>
                <w:bCs/>
                <w:color w:val="000000" w:themeColor="text1"/>
                <w:szCs w:val="22"/>
                <w:lang w:eastAsia="en-AU"/>
                <w14:ligatures w14:val="none"/>
              </w:rPr>
            </w:pPr>
            <w:r w:rsidRPr="00B8379A">
              <w:rPr>
                <w:rFonts w:asciiTheme="minorHAnsi" w:hAnsiTheme="minorHAnsi" w:cstheme="minorHAnsi"/>
                <w:b/>
                <w:bCs/>
                <w:color w:val="000000" w:themeColor="text1"/>
                <w:szCs w:val="22"/>
                <w:lang w:eastAsia="en-AU"/>
                <w14:ligatures w14:val="none"/>
              </w:rPr>
              <w:t>KPI</w:t>
            </w:r>
          </w:p>
        </w:tc>
        <w:tc>
          <w:tcPr>
            <w:tcW w:w="5878" w:type="dxa"/>
            <w:shd w:val="clear" w:color="auto" w:fill="auto"/>
            <w:noWrap/>
            <w:vAlign w:val="center"/>
            <w:hideMark/>
          </w:tcPr>
          <w:p w14:paraId="025F11BD" w14:textId="77777777" w:rsidR="00A5170C" w:rsidRPr="00B8379A" w:rsidRDefault="00A5170C">
            <w:pPr>
              <w:rPr>
                <w:rFonts w:asciiTheme="minorHAnsi" w:hAnsiTheme="minorHAnsi" w:cstheme="minorHAnsi"/>
                <w:b/>
                <w:bCs/>
                <w:color w:val="000000" w:themeColor="text1"/>
                <w:szCs w:val="22"/>
                <w:lang w:eastAsia="en-AU"/>
                <w14:ligatures w14:val="none"/>
              </w:rPr>
            </w:pPr>
            <w:r w:rsidRPr="00B8379A">
              <w:rPr>
                <w:rFonts w:asciiTheme="minorHAnsi" w:hAnsiTheme="minorHAnsi" w:cstheme="minorHAnsi"/>
                <w:b/>
                <w:bCs/>
                <w:color w:val="000000" w:themeColor="text1"/>
                <w:szCs w:val="22"/>
                <w:lang w:eastAsia="en-AU"/>
                <w14:ligatures w14:val="none"/>
              </w:rPr>
              <w:t>Summary of findings</w:t>
            </w:r>
          </w:p>
        </w:tc>
        <w:tc>
          <w:tcPr>
            <w:tcW w:w="6384" w:type="dxa"/>
            <w:shd w:val="clear" w:color="auto" w:fill="auto"/>
            <w:noWrap/>
            <w:vAlign w:val="center"/>
            <w:hideMark/>
          </w:tcPr>
          <w:p w14:paraId="1438243A" w14:textId="77777777" w:rsidR="00A5170C" w:rsidRPr="00B8379A" w:rsidRDefault="00A5170C">
            <w:pPr>
              <w:tabs>
                <w:tab w:val="left" w:pos="8166"/>
              </w:tabs>
              <w:rPr>
                <w:rFonts w:asciiTheme="minorHAnsi" w:hAnsiTheme="minorHAnsi" w:cstheme="minorHAnsi"/>
                <w:b/>
                <w:bCs/>
                <w:color w:val="000000" w:themeColor="text1"/>
                <w:szCs w:val="22"/>
                <w:lang w:eastAsia="en-AU"/>
                <w14:ligatures w14:val="none"/>
              </w:rPr>
            </w:pPr>
            <w:r w:rsidRPr="00B8379A">
              <w:rPr>
                <w:rFonts w:asciiTheme="minorHAnsi" w:hAnsiTheme="minorHAnsi" w:cstheme="minorHAnsi"/>
                <w:b/>
                <w:bCs/>
                <w:color w:val="000000" w:themeColor="text1"/>
                <w:szCs w:val="22"/>
                <w:lang w:eastAsia="en-AU"/>
                <w14:ligatures w14:val="none"/>
              </w:rPr>
              <w:t>Recommendations</w:t>
            </w:r>
          </w:p>
        </w:tc>
      </w:tr>
      <w:tr w:rsidR="00A5170C" w:rsidRPr="00E96D4D" w14:paraId="2CC12C47" w14:textId="77777777" w:rsidTr="00B8379A">
        <w:tc>
          <w:tcPr>
            <w:tcW w:w="1696" w:type="dxa"/>
            <w:shd w:val="clear" w:color="auto" w:fill="F2F2F2" w:themeFill="background1" w:themeFillShade="F2"/>
            <w:noWrap/>
            <w:hideMark/>
          </w:tcPr>
          <w:p w14:paraId="5116511D"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1: </w:t>
            </w:r>
            <w:r w:rsidRPr="00B8379A">
              <w:rPr>
                <w:rFonts w:asciiTheme="minorHAnsi" w:hAnsiTheme="minorHAnsi" w:cstheme="minorHAnsi"/>
                <w:bCs/>
                <w:szCs w:val="22"/>
                <w:lang w:eastAsia="en-AU"/>
              </w:rPr>
              <w:t>Timely implementation</w:t>
            </w:r>
          </w:p>
        </w:tc>
        <w:tc>
          <w:tcPr>
            <w:tcW w:w="5878" w:type="dxa"/>
            <w:shd w:val="clear" w:color="auto" w:fill="F9F9F9"/>
            <w:hideMark/>
          </w:tcPr>
          <w:p w14:paraId="6032B33B"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The department met all implementation milestones.</w:t>
            </w:r>
          </w:p>
        </w:tc>
        <w:tc>
          <w:tcPr>
            <w:tcW w:w="6384" w:type="dxa"/>
            <w:shd w:val="clear" w:color="auto" w:fill="F9F9F9"/>
            <w:hideMark/>
          </w:tcPr>
          <w:p w14:paraId="1412B547"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None.</w:t>
            </w:r>
          </w:p>
        </w:tc>
      </w:tr>
      <w:tr w:rsidR="00A5170C" w:rsidRPr="00E96D4D" w14:paraId="434CD1B1" w14:textId="77777777" w:rsidTr="00B8379A">
        <w:tc>
          <w:tcPr>
            <w:tcW w:w="1696" w:type="dxa"/>
            <w:shd w:val="clear" w:color="auto" w:fill="F2F2F2" w:themeFill="background1" w:themeFillShade="F2"/>
            <w:hideMark/>
          </w:tcPr>
          <w:p w14:paraId="09CC5E36"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2: </w:t>
            </w:r>
            <w:r w:rsidRPr="00B8379A">
              <w:rPr>
                <w:rFonts w:asciiTheme="minorHAnsi" w:hAnsiTheme="minorHAnsi" w:cstheme="minorHAnsi"/>
                <w:bCs/>
                <w:szCs w:val="22"/>
                <w:lang w:eastAsia="en-AU"/>
              </w:rPr>
              <w:t>Effective implementation</w:t>
            </w:r>
          </w:p>
        </w:tc>
        <w:tc>
          <w:tcPr>
            <w:tcW w:w="5878" w:type="dxa"/>
            <w:shd w:val="clear" w:color="auto" w:fill="F9F9F9"/>
            <w:hideMark/>
          </w:tcPr>
          <w:p w14:paraId="0046FCDC"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The department implemented effective processes however notes:</w:t>
            </w:r>
          </w:p>
          <w:p w14:paraId="3E5F4316" w14:textId="403D71ED" w:rsidR="00A5170C" w:rsidRPr="00A5170C" w:rsidRDefault="00A5170C" w:rsidP="00597E65">
            <w:pPr>
              <w:pStyle w:val="ListParagraph"/>
              <w:numPr>
                <w:ilvl w:val="0"/>
                <w:numId w:val="3"/>
              </w:num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RPs need more guidance on Ministerial determinations, breach notifications, calculation of usual demand</w:t>
            </w:r>
            <w:r w:rsidR="00715525">
              <w:rPr>
                <w:rFonts w:asciiTheme="minorHAnsi" w:hAnsiTheme="minorHAnsi" w:cstheme="minorHAnsi"/>
                <w:color w:val="000000"/>
                <w:szCs w:val="22"/>
                <w:lang w:eastAsia="en-AU"/>
                <w14:ligatures w14:val="none"/>
              </w:rPr>
              <w:t>,</w:t>
            </w:r>
            <w:r w:rsidRPr="00A5170C">
              <w:rPr>
                <w:rFonts w:asciiTheme="minorHAnsi" w:hAnsiTheme="minorHAnsi" w:cstheme="minorHAnsi"/>
                <w:color w:val="000000"/>
                <w:szCs w:val="22"/>
                <w:lang w:eastAsia="en-AU"/>
                <w14:ligatures w14:val="none"/>
              </w:rPr>
              <w:t xml:space="preserve"> and the department’s approach to compliance.</w:t>
            </w:r>
          </w:p>
          <w:p w14:paraId="679D818D" w14:textId="77777777" w:rsidR="00A5170C" w:rsidRPr="00A5170C" w:rsidRDefault="00A5170C" w:rsidP="00597E65">
            <w:pPr>
              <w:pStyle w:val="ListParagraph"/>
              <w:numPr>
                <w:ilvl w:val="0"/>
                <w:numId w:val="3"/>
              </w:num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Stakeholder engagement during policy development could be extended beyond peak bodies.</w:t>
            </w:r>
          </w:p>
          <w:p w14:paraId="207FEF4B" w14:textId="072339AE" w:rsidR="00A5170C" w:rsidRPr="00A5170C" w:rsidRDefault="00A5170C" w:rsidP="00597E65">
            <w:pPr>
              <w:pStyle w:val="ListParagraph"/>
              <w:numPr>
                <w:ilvl w:val="0"/>
                <w:numId w:val="3"/>
              </w:numPr>
              <w:rPr>
                <w:szCs w:val="22"/>
                <w:lang w:eastAsia="en-AU"/>
              </w:rPr>
            </w:pPr>
            <w:r w:rsidRPr="00A5170C">
              <w:rPr>
                <w:rFonts w:asciiTheme="minorHAnsi" w:hAnsiTheme="minorHAnsi" w:cstheme="minorHAnsi"/>
                <w:color w:val="000000"/>
                <w:szCs w:val="22"/>
                <w:lang w:eastAsia="en-AU"/>
                <w14:ligatures w14:val="none"/>
              </w:rPr>
              <w:t>RPs required additional lead time to implement the required minimum stockholding (i.e.</w:t>
            </w:r>
            <w:r w:rsidR="00AA607E">
              <w:rPr>
                <w:rFonts w:asciiTheme="minorHAnsi" w:hAnsiTheme="minorHAnsi" w:cstheme="minorHAnsi"/>
                <w:color w:val="000000"/>
                <w:szCs w:val="22"/>
                <w:lang w:eastAsia="en-AU"/>
                <w14:ligatures w14:val="none"/>
              </w:rPr>
              <w:t>,</w:t>
            </w:r>
            <w:r w:rsidRPr="00A5170C">
              <w:rPr>
                <w:rFonts w:asciiTheme="minorHAnsi" w:hAnsiTheme="minorHAnsi" w:cstheme="minorHAnsi"/>
                <w:color w:val="000000"/>
                <w:szCs w:val="22"/>
                <w:lang w:eastAsia="en-AU"/>
                <w14:ligatures w14:val="none"/>
              </w:rPr>
              <w:t xml:space="preserve"> 12 months was insufficient).</w:t>
            </w:r>
          </w:p>
        </w:tc>
        <w:tc>
          <w:tcPr>
            <w:tcW w:w="6384" w:type="dxa"/>
            <w:shd w:val="clear" w:color="auto" w:fill="F9F9F9"/>
            <w:hideMark/>
          </w:tcPr>
          <w:p w14:paraId="670BC764" w14:textId="41203DC4"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2.1</w:t>
            </w:r>
            <w:r w:rsidRPr="00A5170C">
              <w:rPr>
                <w:rFonts w:asciiTheme="minorHAnsi" w:hAnsiTheme="minorHAnsi" w:cstheme="minorHAnsi"/>
                <w:color w:val="000000"/>
                <w:szCs w:val="22"/>
                <w:lang w:eastAsia="en-AU"/>
                <w14:ligatures w14:val="none"/>
              </w:rPr>
              <w:t xml:space="preserve"> develop additional guidance and educational material on Ministerial determinations, breach notifications, calculation of usual demand</w:t>
            </w:r>
            <w:r w:rsidR="000E2C75">
              <w:rPr>
                <w:rFonts w:asciiTheme="minorHAnsi" w:hAnsiTheme="minorHAnsi" w:cstheme="minorHAnsi"/>
                <w:color w:val="000000"/>
                <w:szCs w:val="22"/>
                <w:lang w:eastAsia="en-AU"/>
                <w14:ligatures w14:val="none"/>
              </w:rPr>
              <w:t>,</w:t>
            </w:r>
            <w:r w:rsidRPr="00A5170C">
              <w:rPr>
                <w:rFonts w:asciiTheme="minorHAnsi" w:hAnsiTheme="minorHAnsi" w:cstheme="minorHAnsi"/>
                <w:color w:val="000000"/>
                <w:szCs w:val="22"/>
                <w:lang w:eastAsia="en-AU"/>
                <w14:ligatures w14:val="none"/>
              </w:rPr>
              <w:t xml:space="preserve"> and the department’s approach to compliance.</w:t>
            </w:r>
          </w:p>
          <w:p w14:paraId="49ED3B8B"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2.2</w:t>
            </w:r>
            <w:r w:rsidRPr="00A5170C">
              <w:rPr>
                <w:rFonts w:asciiTheme="minorHAnsi" w:hAnsiTheme="minorHAnsi" w:cstheme="minorHAnsi"/>
                <w:color w:val="000000"/>
                <w:szCs w:val="22"/>
                <w:lang w:eastAsia="en-AU"/>
                <w14:ligatures w14:val="none"/>
              </w:rPr>
              <w:t xml:space="preserve"> ensure that future consultation design on the MSR be extended to all individual PBS RPs (consistent with the review and guidelines development).</w:t>
            </w:r>
          </w:p>
          <w:p w14:paraId="2D1212C6"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2.3</w:t>
            </w:r>
            <w:r w:rsidRPr="00A5170C">
              <w:rPr>
                <w:rFonts w:asciiTheme="minorHAnsi" w:hAnsiTheme="minorHAnsi" w:cstheme="minorHAnsi"/>
                <w:color w:val="000000"/>
                <w:szCs w:val="22"/>
                <w:lang w:eastAsia="en-AU"/>
                <w14:ligatures w14:val="none"/>
              </w:rPr>
              <w:t xml:space="preserve"> develop a stakeholder engagement plan and communication plan.</w:t>
            </w:r>
          </w:p>
          <w:p w14:paraId="6D17C0D0" w14:textId="24565B0E"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2.4</w:t>
            </w:r>
            <w:r w:rsidRPr="00A5170C">
              <w:rPr>
                <w:rFonts w:asciiTheme="minorHAnsi" w:hAnsiTheme="minorHAnsi" w:cstheme="minorHAnsi"/>
                <w:color w:val="000000"/>
                <w:szCs w:val="22"/>
                <w:lang w:eastAsia="en-AU"/>
                <w14:ligatures w14:val="none"/>
              </w:rPr>
              <w:t xml:space="preserve"> consider extending lead times where necessary for RPs when brands become designated brands.</w:t>
            </w:r>
          </w:p>
        </w:tc>
      </w:tr>
      <w:tr w:rsidR="00A5170C" w:rsidRPr="00E96D4D" w14:paraId="1B127AEE" w14:textId="77777777" w:rsidTr="00B8379A">
        <w:tc>
          <w:tcPr>
            <w:tcW w:w="1696" w:type="dxa"/>
            <w:shd w:val="clear" w:color="auto" w:fill="F2F2F2" w:themeFill="background1" w:themeFillShade="F2"/>
            <w:noWrap/>
            <w:hideMark/>
          </w:tcPr>
          <w:p w14:paraId="75153CF4"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3: </w:t>
            </w:r>
            <w:r w:rsidRPr="00B8379A">
              <w:rPr>
                <w:rFonts w:asciiTheme="minorHAnsi" w:hAnsiTheme="minorHAnsi" w:cstheme="minorHAnsi"/>
                <w:bCs/>
                <w:szCs w:val="22"/>
                <w:lang w:eastAsia="en-AU"/>
              </w:rPr>
              <w:t>Effective administration</w:t>
            </w:r>
          </w:p>
        </w:tc>
        <w:tc>
          <w:tcPr>
            <w:tcW w:w="5878" w:type="dxa"/>
            <w:shd w:val="clear" w:color="auto" w:fill="F9F9F9"/>
          </w:tcPr>
          <w:p w14:paraId="4AD04BAF" w14:textId="77777777" w:rsidR="00A5170C" w:rsidRPr="00A5170C" w:rsidRDefault="00A5170C">
            <w:pPr>
              <w:jc w:val="both"/>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 xml:space="preserve">Overall, industry satisfaction or level of comfort with the Guidelines, instructional material, clarity of instructions for notifications, disclosures, and designated brands lists are reasonably good. </w:t>
            </w:r>
            <w:r w:rsidRPr="00B8379A">
              <w:rPr>
                <w:rFonts w:asciiTheme="minorHAnsi" w:hAnsiTheme="minorHAnsi" w:cstheme="minorHAnsi"/>
                <w:b/>
                <w:bCs/>
                <w:color w:val="000000"/>
                <w:szCs w:val="22"/>
                <w:lang w:eastAsia="en-AU"/>
                <w14:ligatures w14:val="none"/>
              </w:rPr>
              <w:t>99%</w:t>
            </w:r>
            <w:r w:rsidRPr="00A5170C">
              <w:rPr>
                <w:rFonts w:asciiTheme="minorHAnsi" w:hAnsiTheme="minorHAnsi" w:cstheme="minorHAnsi"/>
                <w:color w:val="000000"/>
                <w:szCs w:val="22"/>
                <w:lang w:eastAsia="en-AU"/>
                <w14:ligatures w14:val="none"/>
              </w:rPr>
              <w:t xml:space="preserve"> of Ministerial determinations were processed within the timeframes in the Guidelines. Other feedback included:</w:t>
            </w:r>
          </w:p>
          <w:p w14:paraId="33F459E8" w14:textId="3E6BB0BC" w:rsidR="00A5170C" w:rsidRPr="00A5170C" w:rsidRDefault="00576B23" w:rsidP="00597E65">
            <w:pPr>
              <w:pStyle w:val="ListParagraph"/>
              <w:numPr>
                <w:ilvl w:val="0"/>
                <w:numId w:val="4"/>
              </w:numPr>
              <w:jc w:val="both"/>
              <w:rPr>
                <w:rFonts w:asciiTheme="minorHAnsi" w:hAnsiTheme="minorHAnsi" w:cstheme="minorHAnsi"/>
                <w:color w:val="000000"/>
                <w:szCs w:val="22"/>
                <w:lang w:eastAsia="en-AU"/>
                <w14:ligatures w14:val="none"/>
              </w:rPr>
            </w:pPr>
            <w:r>
              <w:rPr>
                <w:rFonts w:asciiTheme="minorHAnsi" w:hAnsiTheme="minorHAnsi" w:cstheme="minorHAnsi"/>
                <w:color w:val="000000"/>
                <w:szCs w:val="22"/>
                <w:lang w:eastAsia="en-AU"/>
                <w14:ligatures w14:val="none"/>
              </w:rPr>
              <w:t>C</w:t>
            </w:r>
            <w:r w:rsidR="00A5170C" w:rsidRPr="00A5170C">
              <w:rPr>
                <w:rFonts w:asciiTheme="minorHAnsi" w:hAnsiTheme="minorHAnsi" w:cstheme="minorHAnsi"/>
                <w:color w:val="000000"/>
                <w:szCs w:val="22"/>
                <w:lang w:eastAsia="en-AU"/>
                <w14:ligatures w14:val="none"/>
              </w:rPr>
              <w:t>larification and new educational materials required to help RP understanding of requirements.</w:t>
            </w:r>
          </w:p>
          <w:p w14:paraId="4029F13F" w14:textId="4467FD41" w:rsidR="00A5170C" w:rsidRPr="00A5170C" w:rsidRDefault="00576B23" w:rsidP="00597E65">
            <w:pPr>
              <w:pStyle w:val="ListParagraph"/>
              <w:numPr>
                <w:ilvl w:val="0"/>
                <w:numId w:val="4"/>
              </w:numPr>
              <w:jc w:val="both"/>
              <w:rPr>
                <w:rFonts w:asciiTheme="minorHAnsi" w:hAnsiTheme="minorHAnsi" w:cstheme="minorHAnsi"/>
                <w:color w:val="000000"/>
                <w:szCs w:val="22"/>
                <w:lang w:eastAsia="en-AU"/>
                <w14:ligatures w14:val="none"/>
              </w:rPr>
            </w:pPr>
            <w:r>
              <w:rPr>
                <w:rFonts w:asciiTheme="minorHAnsi" w:hAnsiTheme="minorHAnsi" w:cstheme="minorHAnsi"/>
                <w:color w:val="000000"/>
                <w:szCs w:val="22"/>
                <w:lang w:eastAsia="en-AU"/>
                <w14:ligatures w14:val="none"/>
              </w:rPr>
              <w:t>C</w:t>
            </w:r>
            <w:r w:rsidR="00A5170C" w:rsidRPr="00A5170C">
              <w:rPr>
                <w:rFonts w:asciiTheme="minorHAnsi" w:hAnsiTheme="minorHAnsi" w:cstheme="minorHAnsi"/>
                <w:color w:val="000000"/>
                <w:szCs w:val="22"/>
                <w:lang w:eastAsia="en-AU"/>
                <w14:ligatures w14:val="none"/>
              </w:rPr>
              <w:t>urrent manual notification process is administratively burdensome.</w:t>
            </w:r>
          </w:p>
          <w:p w14:paraId="2418E12B" w14:textId="77777777" w:rsidR="00A5170C" w:rsidRPr="00A5170C" w:rsidRDefault="00A5170C" w:rsidP="00597E65">
            <w:pPr>
              <w:pStyle w:val="ListParagraph"/>
              <w:numPr>
                <w:ilvl w:val="0"/>
                <w:numId w:val="4"/>
              </w:numPr>
              <w:jc w:val="both"/>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Ministerial determinations did not accommodate for real world logistics and RPs identified additional pressures that requires review.</w:t>
            </w:r>
          </w:p>
          <w:p w14:paraId="6982FBF2" w14:textId="77777777" w:rsidR="00A5170C" w:rsidRPr="00A5170C" w:rsidRDefault="00A5170C" w:rsidP="00597E65">
            <w:pPr>
              <w:pStyle w:val="ListParagraph"/>
              <w:numPr>
                <w:ilvl w:val="0"/>
                <w:numId w:val="4"/>
              </w:num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RPs outlined challenges faced due to supply chains and time awaiting outcomes of a Ministerial determination application.</w:t>
            </w:r>
          </w:p>
        </w:tc>
        <w:tc>
          <w:tcPr>
            <w:tcW w:w="6384" w:type="dxa"/>
            <w:shd w:val="clear" w:color="auto" w:fill="F9F9F9"/>
          </w:tcPr>
          <w:p w14:paraId="61085E22" w14:textId="15AE0BFB"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3.1</w:t>
            </w:r>
            <w:r w:rsidRPr="00A5170C">
              <w:rPr>
                <w:rFonts w:asciiTheme="minorHAnsi" w:hAnsiTheme="minorHAnsi" w:cstheme="minorHAnsi"/>
                <w:color w:val="000000"/>
                <w:szCs w:val="22"/>
                <w:lang w:eastAsia="en-AU"/>
                <w14:ligatures w14:val="none"/>
              </w:rPr>
              <w:t xml:space="preserve"> provide additional educational material to improve understanding of the Ministerial </w:t>
            </w:r>
            <w:r w:rsidR="004D378D">
              <w:rPr>
                <w:rFonts w:asciiTheme="minorHAnsi" w:hAnsiTheme="minorHAnsi" w:cstheme="minorHAnsi"/>
                <w:color w:val="000000"/>
                <w:szCs w:val="22"/>
                <w:lang w:eastAsia="en-AU"/>
                <w14:ligatures w14:val="none"/>
              </w:rPr>
              <w:t>d</w:t>
            </w:r>
            <w:r w:rsidRPr="00A5170C">
              <w:rPr>
                <w:rFonts w:asciiTheme="minorHAnsi" w:hAnsiTheme="minorHAnsi" w:cstheme="minorHAnsi"/>
                <w:color w:val="000000"/>
                <w:szCs w:val="22"/>
                <w:lang w:eastAsia="en-AU"/>
                <w14:ligatures w14:val="none"/>
              </w:rPr>
              <w:t>eterminations process.</w:t>
            </w:r>
          </w:p>
          <w:p w14:paraId="19103BC9" w14:textId="77777777"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3.2</w:t>
            </w:r>
            <w:r w:rsidRPr="00A5170C">
              <w:rPr>
                <w:rFonts w:asciiTheme="minorHAnsi" w:hAnsiTheme="minorHAnsi" w:cstheme="minorHAnsi"/>
                <w:color w:val="000000"/>
                <w:szCs w:val="22"/>
                <w:lang w:eastAsia="en-AU"/>
                <w14:ligatures w14:val="none"/>
              </w:rPr>
              <w:t xml:space="preserve"> develop a new online notification portal to automate and streamline the notification process.</w:t>
            </w:r>
          </w:p>
          <w:p w14:paraId="1ED2440C" w14:textId="77777777"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3.3</w:t>
            </w:r>
            <w:r w:rsidRPr="00A5170C">
              <w:rPr>
                <w:rFonts w:asciiTheme="minorHAnsi" w:hAnsiTheme="minorHAnsi" w:cstheme="minorHAnsi"/>
                <w:color w:val="000000"/>
                <w:szCs w:val="22"/>
                <w:lang w:eastAsia="en-AU"/>
                <w14:ligatures w14:val="none"/>
              </w:rPr>
              <w:t xml:space="preserve"> seek additional feedback to investigate matters that are not long-term practical barriers to compliance, being addressed through the non-compliance framework. The department will provide further education and guidance to RPs to assist with their understanding of how these matters may be considered/addressed through the non-compliance framework.</w:t>
            </w:r>
          </w:p>
          <w:p w14:paraId="0389326A" w14:textId="646B8219" w:rsidR="00A5170C" w:rsidRPr="00A5170C" w:rsidRDefault="00A5170C">
            <w:pPr>
              <w:tabs>
                <w:tab w:val="left" w:pos="8166"/>
              </w:tabs>
              <w:jc w:val="both"/>
              <w:rPr>
                <w:rFonts w:asciiTheme="minorHAnsi" w:hAnsiTheme="minorHAnsi" w:cstheme="minorBidi"/>
                <w:color w:val="000000"/>
                <w:szCs w:val="22"/>
                <w:lang w:eastAsia="en-AU"/>
                <w14:ligatures w14:val="none"/>
              </w:rPr>
            </w:pPr>
            <w:r w:rsidRPr="00B8379A">
              <w:rPr>
                <w:rFonts w:asciiTheme="minorHAnsi" w:hAnsiTheme="minorHAnsi" w:cstheme="minorBidi"/>
                <w:b/>
                <w:bCs/>
                <w:color w:val="000000"/>
                <w:szCs w:val="22"/>
                <w:lang w:eastAsia="en-AU"/>
                <w14:ligatures w14:val="none"/>
              </w:rPr>
              <w:t>3.4</w:t>
            </w:r>
            <w:r w:rsidRPr="00A5170C">
              <w:rPr>
                <w:rFonts w:asciiTheme="minorHAnsi" w:hAnsiTheme="minorHAnsi" w:cstheme="minorBidi"/>
                <w:color w:val="000000"/>
                <w:szCs w:val="22"/>
                <w:lang w:eastAsia="en-AU"/>
                <w14:ligatures w14:val="none"/>
              </w:rPr>
              <w:t xml:space="preserve"> provide additional guidance for industry on Ministerial </w:t>
            </w:r>
            <w:r w:rsidR="004D378D">
              <w:rPr>
                <w:rFonts w:asciiTheme="minorHAnsi" w:hAnsiTheme="minorHAnsi" w:cstheme="minorBidi"/>
                <w:color w:val="000000"/>
                <w:szCs w:val="22"/>
                <w:lang w:eastAsia="en-AU"/>
                <w14:ligatures w14:val="none"/>
              </w:rPr>
              <w:t>d</w:t>
            </w:r>
            <w:r w:rsidRPr="00A5170C">
              <w:rPr>
                <w:rFonts w:asciiTheme="minorHAnsi" w:hAnsiTheme="minorHAnsi" w:cstheme="minorBidi"/>
                <w:color w:val="000000"/>
                <w:szCs w:val="22"/>
                <w:lang w:eastAsia="en-AU"/>
                <w14:ligatures w14:val="none"/>
              </w:rPr>
              <w:t xml:space="preserve">eterminations and the circumstances in which </w:t>
            </w:r>
            <w:r w:rsidR="00B421F6">
              <w:rPr>
                <w:rFonts w:asciiTheme="minorHAnsi" w:hAnsiTheme="minorHAnsi" w:cstheme="minorBidi"/>
                <w:color w:val="000000"/>
                <w:szCs w:val="22"/>
                <w:lang w:eastAsia="en-AU"/>
                <w14:ligatures w14:val="none"/>
              </w:rPr>
              <w:t>d</w:t>
            </w:r>
            <w:r w:rsidRPr="00A5170C">
              <w:rPr>
                <w:rFonts w:asciiTheme="minorHAnsi" w:hAnsiTheme="minorHAnsi" w:cstheme="minorBidi"/>
                <w:color w:val="000000"/>
                <w:szCs w:val="22"/>
                <w:lang w:eastAsia="en-AU"/>
                <w14:ligatures w14:val="none"/>
              </w:rPr>
              <w:t>eterminations may be made.</w:t>
            </w:r>
          </w:p>
          <w:p w14:paraId="415FCCDF" w14:textId="77777777" w:rsidR="00A5170C" w:rsidRPr="00A5170C" w:rsidRDefault="00A5170C">
            <w:pPr>
              <w:tabs>
                <w:tab w:val="left" w:pos="8166"/>
              </w:tabs>
              <w:jc w:val="both"/>
              <w:rPr>
                <w:rFonts w:asciiTheme="minorHAnsi" w:hAnsiTheme="minorHAnsi" w:cstheme="minorBidi"/>
                <w:color w:val="000000"/>
                <w:szCs w:val="22"/>
                <w:lang w:eastAsia="en-AU"/>
                <w14:ligatures w14:val="none"/>
              </w:rPr>
            </w:pPr>
            <w:r w:rsidRPr="00B8379A">
              <w:rPr>
                <w:rFonts w:asciiTheme="minorHAnsi" w:hAnsiTheme="minorHAnsi" w:cstheme="minorBidi"/>
                <w:b/>
                <w:bCs/>
                <w:color w:val="000000"/>
                <w:szCs w:val="22"/>
                <w:lang w:eastAsia="en-AU"/>
                <w14:ligatures w14:val="none"/>
              </w:rPr>
              <w:t xml:space="preserve">3.5 </w:t>
            </w:r>
            <w:r w:rsidRPr="00A5170C">
              <w:rPr>
                <w:rFonts w:asciiTheme="minorHAnsi" w:hAnsiTheme="minorHAnsi" w:cstheme="minorBidi"/>
                <w:color w:val="000000"/>
                <w:szCs w:val="22"/>
                <w:lang w:eastAsia="en-AU"/>
                <w14:ligatures w14:val="none"/>
              </w:rPr>
              <w:t>update the Guidelines to provide details of the current approach to rebrands.</w:t>
            </w:r>
          </w:p>
          <w:p w14:paraId="134361FA"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3.6</w:t>
            </w:r>
            <w:r w:rsidRPr="00A5170C">
              <w:rPr>
                <w:rFonts w:asciiTheme="minorHAnsi" w:hAnsiTheme="minorHAnsi" w:cstheme="minorHAnsi"/>
                <w:color w:val="000000"/>
                <w:szCs w:val="22"/>
                <w:lang w:eastAsia="en-AU"/>
                <w14:ligatures w14:val="none"/>
              </w:rPr>
              <w:t xml:space="preserve"> provide periodic updates on MSR progress and compliance rates to industry through the Joint Oversight Committee (</w:t>
            </w:r>
            <w:r w:rsidRPr="00A5170C">
              <w:rPr>
                <w:rFonts w:asciiTheme="minorHAnsi" w:hAnsiTheme="minorHAnsi" w:cstheme="minorHAnsi"/>
                <w:b/>
                <w:bCs/>
                <w:color w:val="000000"/>
                <w:szCs w:val="22"/>
                <w:lang w:eastAsia="en-AU"/>
                <w14:ligatures w14:val="none"/>
              </w:rPr>
              <w:t>JOC</w:t>
            </w:r>
            <w:r w:rsidRPr="00A5170C">
              <w:rPr>
                <w:rFonts w:asciiTheme="minorHAnsi" w:hAnsiTheme="minorHAnsi" w:cstheme="minorHAnsi"/>
                <w:color w:val="000000"/>
                <w:szCs w:val="22"/>
                <w:lang w:eastAsia="en-AU"/>
                <w14:ligatures w14:val="none"/>
              </w:rPr>
              <w:t xml:space="preserve">). </w:t>
            </w:r>
            <w:r w:rsidRPr="00A5170C">
              <w:rPr>
                <w:rFonts w:asciiTheme="minorHAnsi" w:hAnsiTheme="minorHAnsi" w:cstheme="minorHAnsi"/>
                <w:bCs/>
                <w:color w:val="000000"/>
                <w:szCs w:val="22"/>
                <w:lang w:eastAsia="en-AU"/>
                <w14:ligatures w14:val="none"/>
              </w:rPr>
              <w:t xml:space="preserve">The department should also </w:t>
            </w:r>
            <w:proofErr w:type="gramStart"/>
            <w:r w:rsidRPr="00A5170C">
              <w:rPr>
                <w:rFonts w:asciiTheme="minorHAnsi" w:hAnsiTheme="minorHAnsi" w:cstheme="minorHAnsi"/>
                <w:bCs/>
                <w:color w:val="000000"/>
                <w:szCs w:val="22"/>
                <w:lang w:eastAsia="en-AU"/>
                <w14:ligatures w14:val="none"/>
              </w:rPr>
              <w:t>give further consideration to</w:t>
            </w:r>
            <w:proofErr w:type="gramEnd"/>
            <w:r w:rsidRPr="00A5170C">
              <w:rPr>
                <w:rFonts w:asciiTheme="minorHAnsi" w:hAnsiTheme="minorHAnsi" w:cstheme="minorHAnsi"/>
                <w:bCs/>
                <w:color w:val="000000"/>
                <w:szCs w:val="22"/>
                <w:lang w:eastAsia="en-AU"/>
                <w14:ligatures w14:val="none"/>
              </w:rPr>
              <w:t xml:space="preserve"> whether periodic updates should be published </w:t>
            </w:r>
            <w:r w:rsidRPr="00A5170C">
              <w:rPr>
                <w:rFonts w:asciiTheme="minorHAnsi" w:hAnsiTheme="minorHAnsi" w:cstheme="minorHAnsi"/>
                <w:color w:val="000000"/>
                <w:szCs w:val="22"/>
                <w:lang w:eastAsia="en-AU"/>
                <w14:ligatures w14:val="none"/>
              </w:rPr>
              <w:t>on the PBS website</w:t>
            </w:r>
            <w:r w:rsidRPr="00A5170C">
              <w:rPr>
                <w:rFonts w:asciiTheme="minorHAnsi" w:hAnsiTheme="minorHAnsi" w:cstheme="minorHAnsi"/>
                <w:bCs/>
                <w:color w:val="000000"/>
                <w:szCs w:val="22"/>
                <w:lang w:eastAsia="en-AU"/>
                <w14:ligatures w14:val="none"/>
              </w:rPr>
              <w:t>.</w:t>
            </w:r>
          </w:p>
        </w:tc>
      </w:tr>
      <w:tr w:rsidR="00A5170C" w:rsidRPr="00E96D4D" w14:paraId="76458722" w14:textId="77777777" w:rsidTr="00B8379A">
        <w:tc>
          <w:tcPr>
            <w:tcW w:w="1696" w:type="dxa"/>
            <w:shd w:val="clear" w:color="auto" w:fill="F2F2F2" w:themeFill="background1" w:themeFillShade="F2"/>
            <w:noWrap/>
            <w:hideMark/>
          </w:tcPr>
          <w:p w14:paraId="2F02BE66"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lastRenderedPageBreak/>
              <w:t xml:space="preserve">KPI 4: </w:t>
            </w:r>
            <w:r w:rsidRPr="00B8379A">
              <w:rPr>
                <w:rFonts w:asciiTheme="minorHAnsi" w:hAnsiTheme="minorHAnsi" w:cstheme="minorHAnsi"/>
                <w:bCs/>
                <w:szCs w:val="22"/>
                <w:lang w:eastAsia="en-AU"/>
              </w:rPr>
              <w:t>Efficient administration</w:t>
            </w:r>
          </w:p>
        </w:tc>
        <w:tc>
          <w:tcPr>
            <w:tcW w:w="5878" w:type="dxa"/>
            <w:shd w:val="clear" w:color="auto" w:fill="F9F9F9"/>
            <w:hideMark/>
          </w:tcPr>
          <w:p w14:paraId="174F22E7"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During the first year of the MSR, the number and complexity of notifications and disclosures were significantly greater than anticipated.</w:t>
            </w:r>
          </w:p>
        </w:tc>
        <w:tc>
          <w:tcPr>
            <w:tcW w:w="6384" w:type="dxa"/>
            <w:shd w:val="clear" w:color="auto" w:fill="F9F9F9"/>
            <w:hideMark/>
          </w:tcPr>
          <w:p w14:paraId="51FAB535" w14:textId="77777777" w:rsidR="00A5170C" w:rsidRPr="00A5170C" w:rsidRDefault="00A5170C">
            <w:pPr>
              <w:tabs>
                <w:tab w:val="left" w:pos="8166"/>
              </w:tabs>
              <w:rPr>
                <w:rFonts w:asciiTheme="minorHAnsi" w:hAnsiTheme="minorHAnsi" w:cstheme="minorBidi"/>
                <w:kern w:val="2"/>
                <w:szCs w:val="22"/>
                <w:lang w:eastAsia="en-AU"/>
              </w:rPr>
            </w:pPr>
            <w:r w:rsidRPr="00B8379A">
              <w:rPr>
                <w:rFonts w:asciiTheme="minorHAnsi" w:hAnsiTheme="minorHAnsi" w:cstheme="minorBidi"/>
                <w:b/>
                <w:bCs/>
                <w:szCs w:val="22"/>
                <w:lang w:eastAsia="en-AU"/>
                <w14:ligatures w14:val="none"/>
              </w:rPr>
              <w:t>4.1</w:t>
            </w:r>
            <w:r w:rsidRPr="00A5170C">
              <w:rPr>
                <w:rFonts w:asciiTheme="minorHAnsi" w:hAnsiTheme="minorHAnsi" w:cstheme="minorBidi"/>
                <w:szCs w:val="22"/>
                <w:lang w:eastAsia="en-AU"/>
                <w14:ligatures w14:val="none"/>
              </w:rPr>
              <w:t xml:space="preserve"> </w:t>
            </w:r>
            <w:r w:rsidRPr="00A5170C">
              <w:rPr>
                <w:rFonts w:asciiTheme="minorHAnsi" w:hAnsiTheme="minorHAnsi" w:cstheme="minorBidi"/>
                <w:kern w:val="2"/>
                <w:szCs w:val="22"/>
                <w:lang w:eastAsia="en-AU"/>
              </w:rPr>
              <w:t>develop a compliance case management system.</w:t>
            </w:r>
          </w:p>
          <w:p w14:paraId="1A06A26D" w14:textId="1AD2161F" w:rsidR="00A5170C" w:rsidRPr="00417766" w:rsidRDefault="00A5170C">
            <w:pPr>
              <w:tabs>
                <w:tab w:val="left" w:pos="8166"/>
              </w:tabs>
              <w:rPr>
                <w:rFonts w:asciiTheme="minorHAnsi" w:hAnsiTheme="minorHAnsi" w:cstheme="minorBidi"/>
                <w:b/>
                <w:bCs/>
                <w:szCs w:val="22"/>
                <w:lang w:eastAsia="en-AU"/>
                <w14:ligatures w14:val="none"/>
              </w:rPr>
            </w:pPr>
            <w:r w:rsidRPr="00B8379A">
              <w:rPr>
                <w:rFonts w:asciiTheme="minorHAnsi" w:hAnsiTheme="minorHAnsi" w:cstheme="minorBidi"/>
                <w:b/>
                <w:bCs/>
                <w:szCs w:val="22"/>
                <w:lang w:eastAsia="en-AU"/>
                <w14:ligatures w14:val="none"/>
              </w:rPr>
              <w:t>4.2</w:t>
            </w:r>
            <w:r w:rsidRPr="00A5170C">
              <w:rPr>
                <w:rFonts w:asciiTheme="minorHAnsi" w:hAnsiTheme="minorHAnsi" w:cstheme="minorBidi"/>
                <w:szCs w:val="22"/>
                <w:lang w:eastAsia="en-AU"/>
                <w14:ligatures w14:val="none"/>
              </w:rPr>
              <w:t xml:space="preserve"> build a PBS shortages data reporting tool utilising TGA shortages information</w:t>
            </w:r>
            <w:r w:rsidR="00417766">
              <w:rPr>
                <w:rFonts w:asciiTheme="minorHAnsi" w:hAnsiTheme="minorHAnsi" w:cstheme="minorBidi"/>
                <w:szCs w:val="22"/>
                <w:lang w:eastAsia="en-AU"/>
                <w14:ligatures w14:val="none"/>
              </w:rPr>
              <w:t xml:space="preserve"> to support departmental administration.</w:t>
            </w:r>
          </w:p>
          <w:p w14:paraId="0B91DFDB" w14:textId="78B33BA7" w:rsidR="00A5170C" w:rsidRPr="00A5170C" w:rsidRDefault="00A5170C">
            <w:pPr>
              <w:tabs>
                <w:tab w:val="left" w:pos="8166"/>
              </w:tabs>
              <w:rPr>
                <w:rFonts w:asciiTheme="minorHAnsi" w:hAnsiTheme="minorHAnsi" w:cstheme="minorBidi"/>
                <w:kern w:val="2"/>
                <w:szCs w:val="22"/>
                <w:lang w:eastAsia="en-AU"/>
              </w:rPr>
            </w:pPr>
          </w:p>
        </w:tc>
      </w:tr>
      <w:tr w:rsidR="00A5170C" w:rsidRPr="00E96D4D" w14:paraId="4C8CFEDD" w14:textId="77777777" w:rsidTr="00B8379A">
        <w:tc>
          <w:tcPr>
            <w:tcW w:w="1696" w:type="dxa"/>
            <w:shd w:val="clear" w:color="auto" w:fill="F2F2F2" w:themeFill="background1" w:themeFillShade="F2"/>
            <w:noWrap/>
            <w:hideMark/>
          </w:tcPr>
          <w:p w14:paraId="645E147E"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5: </w:t>
            </w:r>
            <w:r w:rsidRPr="00B8379A">
              <w:rPr>
                <w:rFonts w:asciiTheme="minorHAnsi" w:hAnsiTheme="minorHAnsi" w:cstheme="minorHAnsi"/>
                <w:bCs/>
                <w:szCs w:val="22"/>
                <w:lang w:eastAsia="en-AU"/>
              </w:rPr>
              <w:t>Compliance with MSR</w:t>
            </w:r>
          </w:p>
        </w:tc>
        <w:tc>
          <w:tcPr>
            <w:tcW w:w="5878" w:type="dxa"/>
            <w:shd w:val="clear" w:color="auto" w:fill="F9F9F9"/>
            <w:hideMark/>
          </w:tcPr>
          <w:p w14:paraId="08450A68"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 xml:space="preserve">Over </w:t>
            </w:r>
            <w:r w:rsidRPr="00A5170C">
              <w:rPr>
                <w:rFonts w:asciiTheme="minorHAnsi" w:hAnsiTheme="minorHAnsi" w:cstheme="minorHAnsi"/>
                <w:b/>
                <w:bCs/>
                <w:color w:val="000000"/>
                <w:szCs w:val="22"/>
                <w:lang w:eastAsia="en-AU"/>
                <w14:ligatures w14:val="none"/>
              </w:rPr>
              <w:t>92%</w:t>
            </w:r>
            <w:r w:rsidRPr="00A5170C">
              <w:rPr>
                <w:rFonts w:asciiTheme="minorHAnsi" w:hAnsiTheme="minorHAnsi" w:cstheme="minorHAnsi"/>
                <w:color w:val="000000"/>
                <w:szCs w:val="22"/>
                <w:lang w:eastAsia="en-AU"/>
                <w14:ligatures w14:val="none"/>
              </w:rPr>
              <w:t xml:space="preserve"> of all designated brands held a compliant level of stockholding, four or six months of usual demand in most cases, for at least one month in the first nine months. The average rate of compliance with the MSR each month was </w:t>
            </w:r>
            <w:r w:rsidRPr="00A5170C">
              <w:rPr>
                <w:rFonts w:asciiTheme="minorHAnsi" w:hAnsiTheme="minorHAnsi" w:cstheme="minorHAnsi"/>
                <w:b/>
                <w:color w:val="000000"/>
                <w:szCs w:val="22"/>
                <w:lang w:eastAsia="en-AU"/>
                <w14:ligatures w14:val="none"/>
              </w:rPr>
              <w:t>77%</w:t>
            </w:r>
            <w:r w:rsidRPr="00A5170C">
              <w:rPr>
                <w:rFonts w:asciiTheme="minorHAnsi" w:hAnsiTheme="minorHAnsi" w:cstheme="minorHAnsi"/>
                <w:color w:val="000000"/>
                <w:szCs w:val="22"/>
                <w:lang w:eastAsia="en-AU"/>
                <w14:ligatures w14:val="none"/>
              </w:rPr>
              <w:t xml:space="preserve">, over three quarters were compliant for most months, and </w:t>
            </w:r>
            <w:r w:rsidRPr="00A5170C">
              <w:rPr>
                <w:rFonts w:asciiTheme="minorHAnsi" w:hAnsiTheme="minorHAnsi" w:cstheme="minorHAnsi"/>
                <w:b/>
                <w:bCs/>
                <w:color w:val="000000"/>
                <w:szCs w:val="22"/>
                <w:lang w:eastAsia="en-AU"/>
                <w14:ligatures w14:val="none"/>
              </w:rPr>
              <w:t>45%</w:t>
            </w:r>
            <w:r w:rsidRPr="00A5170C">
              <w:rPr>
                <w:rFonts w:asciiTheme="minorHAnsi" w:hAnsiTheme="minorHAnsi" w:cstheme="minorHAnsi"/>
                <w:color w:val="000000"/>
                <w:szCs w:val="22"/>
                <w:lang w:eastAsia="en-AU"/>
                <w14:ligatures w14:val="none"/>
              </w:rPr>
              <w:t xml:space="preserve"> were compliant for the whole nine months.</w:t>
            </w:r>
          </w:p>
        </w:tc>
        <w:tc>
          <w:tcPr>
            <w:tcW w:w="6384" w:type="dxa"/>
            <w:shd w:val="clear" w:color="auto" w:fill="F9F9F9"/>
            <w:hideMark/>
          </w:tcPr>
          <w:p w14:paraId="5BACE915" w14:textId="1768806A" w:rsidR="00A5170C" w:rsidRPr="00406522" w:rsidRDefault="00A5170C">
            <w:pPr>
              <w:tabs>
                <w:tab w:val="left" w:pos="8166"/>
              </w:tabs>
              <w:jc w:val="both"/>
              <w:rPr>
                <w:rFonts w:asciiTheme="minorHAnsi" w:hAnsiTheme="minorHAnsi" w:cstheme="minorBidi"/>
                <w:color w:val="000000" w:themeColor="text1"/>
                <w:szCs w:val="22"/>
                <w:lang w:eastAsia="en-AU"/>
              </w:rPr>
            </w:pPr>
            <w:r w:rsidRPr="00B8379A">
              <w:rPr>
                <w:rFonts w:asciiTheme="minorHAnsi" w:hAnsiTheme="minorHAnsi" w:cstheme="minorBidi"/>
                <w:b/>
                <w:bCs/>
                <w:color w:val="000000" w:themeColor="text1"/>
                <w:szCs w:val="22"/>
                <w:lang w:eastAsia="en-AU"/>
              </w:rPr>
              <w:t>5.1</w:t>
            </w:r>
            <w:r w:rsidRPr="00A5170C">
              <w:rPr>
                <w:rFonts w:asciiTheme="minorHAnsi" w:hAnsiTheme="minorHAnsi" w:cstheme="minorBidi"/>
                <w:color w:val="000000" w:themeColor="text1"/>
                <w:szCs w:val="22"/>
                <w:lang w:eastAsia="en-AU"/>
              </w:rPr>
              <w:t xml:space="preserve"> update the Guidelines to provide more guidance on calculation of usual demand, allowances for difficulty in building up stocks</w:t>
            </w:r>
            <w:r w:rsidR="00F33A95">
              <w:rPr>
                <w:rFonts w:asciiTheme="minorHAnsi" w:hAnsiTheme="minorHAnsi" w:cstheme="minorBidi"/>
                <w:color w:val="000000" w:themeColor="text1"/>
                <w:szCs w:val="22"/>
                <w:lang w:eastAsia="en-AU"/>
              </w:rPr>
              <w:t>, and</w:t>
            </w:r>
            <w:r w:rsidRPr="00A5170C">
              <w:rPr>
                <w:rFonts w:asciiTheme="minorHAnsi" w:hAnsiTheme="minorHAnsi" w:cstheme="minorBidi"/>
                <w:color w:val="000000" w:themeColor="text1"/>
                <w:szCs w:val="22"/>
                <w:lang w:eastAsia="en-AU"/>
              </w:rPr>
              <w:t xml:space="preserve"> consideration of stock in transit </w:t>
            </w:r>
            <w:r w:rsidR="00DB6D44">
              <w:rPr>
                <w:rFonts w:asciiTheme="minorHAnsi" w:hAnsiTheme="minorHAnsi" w:cstheme="minorBidi"/>
                <w:color w:val="000000" w:themeColor="text1"/>
                <w:szCs w:val="22"/>
                <w:lang w:eastAsia="en-AU"/>
              </w:rPr>
              <w:t xml:space="preserve">and </w:t>
            </w:r>
            <w:r w:rsidR="00DB6D44" w:rsidRPr="00406522">
              <w:rPr>
                <w:rFonts w:asciiTheme="minorHAnsi" w:hAnsiTheme="minorHAnsi" w:cstheme="minorBidi"/>
                <w:color w:val="000000" w:themeColor="text1"/>
                <w:szCs w:val="22"/>
                <w:lang w:eastAsia="en-AU"/>
              </w:rPr>
              <w:t xml:space="preserve">the impact of usual demand variation </w:t>
            </w:r>
            <w:proofErr w:type="gramStart"/>
            <w:r w:rsidR="00DB6D44" w:rsidRPr="00406522">
              <w:rPr>
                <w:rFonts w:asciiTheme="minorHAnsi" w:hAnsiTheme="minorHAnsi" w:cstheme="minorBidi"/>
                <w:color w:val="000000" w:themeColor="text1"/>
                <w:szCs w:val="22"/>
                <w:lang w:eastAsia="en-AU"/>
              </w:rPr>
              <w:t>as a result of</w:t>
            </w:r>
            <w:proofErr w:type="gramEnd"/>
            <w:r w:rsidR="00DB6D44" w:rsidRPr="00406522">
              <w:rPr>
                <w:rFonts w:asciiTheme="minorHAnsi" w:hAnsiTheme="minorHAnsi" w:cstheme="minorBidi"/>
                <w:color w:val="000000" w:themeColor="text1"/>
                <w:szCs w:val="22"/>
                <w:lang w:eastAsia="en-AU"/>
              </w:rPr>
              <w:t xml:space="preserve"> competitor OOS</w:t>
            </w:r>
            <w:r w:rsidR="00DB6D44">
              <w:rPr>
                <w:rFonts w:asciiTheme="minorHAnsi" w:hAnsiTheme="minorHAnsi" w:cstheme="minorBidi"/>
                <w:color w:val="000000" w:themeColor="text1"/>
                <w:szCs w:val="22"/>
                <w:lang w:eastAsia="en-AU"/>
              </w:rPr>
              <w:t xml:space="preserve"> </w:t>
            </w:r>
            <w:r w:rsidRPr="00A5170C">
              <w:rPr>
                <w:rFonts w:asciiTheme="minorHAnsi" w:hAnsiTheme="minorHAnsi" w:cstheme="minorBidi"/>
                <w:color w:val="000000" w:themeColor="text1"/>
                <w:szCs w:val="22"/>
                <w:lang w:eastAsia="en-AU"/>
              </w:rPr>
              <w:t>when assessing breaches.</w:t>
            </w:r>
          </w:p>
          <w:p w14:paraId="1376B867" w14:textId="56C9FB1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Bidi"/>
                <w:b/>
                <w:bCs/>
                <w:color w:val="000000" w:themeColor="text1"/>
                <w:szCs w:val="22"/>
                <w:lang w:eastAsia="en-AU"/>
              </w:rPr>
              <w:t>5.2</w:t>
            </w:r>
            <w:r w:rsidRPr="00A5170C">
              <w:rPr>
                <w:rFonts w:asciiTheme="minorHAnsi" w:hAnsiTheme="minorHAnsi" w:cstheme="minorBidi"/>
                <w:color w:val="000000" w:themeColor="text1"/>
                <w:szCs w:val="22"/>
                <w:lang w:eastAsia="en-AU"/>
              </w:rPr>
              <w:t xml:space="preserve"> </w:t>
            </w:r>
            <w:r w:rsidRPr="00A5170C">
              <w:rPr>
                <w:rFonts w:asciiTheme="minorHAnsi" w:hAnsiTheme="minorHAnsi" w:cstheme="minorBidi"/>
                <w:szCs w:val="22"/>
                <w:lang w:eastAsia="en-AU"/>
              </w:rPr>
              <w:t xml:space="preserve">monitor concerns regarding wastage associated with ‘usual demand’ based on historical data and evaluate </w:t>
            </w:r>
            <w:r w:rsidRPr="00A5170C">
              <w:rPr>
                <w:rFonts w:asciiTheme="minorHAnsi" w:hAnsiTheme="minorHAnsi" w:cstheme="minorBidi"/>
                <w:color w:val="000000" w:themeColor="text1"/>
                <w:szCs w:val="22"/>
                <w:lang w:eastAsia="en-AU"/>
              </w:rPr>
              <w:t xml:space="preserve">whether </w:t>
            </w:r>
            <w:r w:rsidRPr="00A5170C">
              <w:rPr>
                <w:rFonts w:asciiTheme="minorHAnsi" w:hAnsiTheme="minorHAnsi" w:cstheme="minorBidi"/>
                <w:szCs w:val="22"/>
                <w:lang w:eastAsia="en-AU"/>
              </w:rPr>
              <w:t>further action is required or whether existing processes are adequate at the 24-month review.</w:t>
            </w:r>
          </w:p>
        </w:tc>
      </w:tr>
      <w:tr w:rsidR="00A5170C" w:rsidRPr="00E96D4D" w14:paraId="7ECBDD35" w14:textId="77777777" w:rsidTr="00B8379A">
        <w:tc>
          <w:tcPr>
            <w:tcW w:w="1696" w:type="dxa"/>
            <w:shd w:val="clear" w:color="auto" w:fill="F2F2F2" w:themeFill="background1" w:themeFillShade="F2"/>
            <w:noWrap/>
            <w:hideMark/>
          </w:tcPr>
          <w:p w14:paraId="581A4E02"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6: </w:t>
            </w:r>
            <w:r w:rsidRPr="00B8379A">
              <w:rPr>
                <w:rFonts w:asciiTheme="minorHAnsi" w:hAnsiTheme="minorHAnsi" w:cstheme="minorHAnsi"/>
                <w:bCs/>
                <w:szCs w:val="22"/>
                <w:lang w:eastAsia="en-AU"/>
              </w:rPr>
              <w:t>Compliance with disclosures</w:t>
            </w:r>
          </w:p>
        </w:tc>
        <w:tc>
          <w:tcPr>
            <w:tcW w:w="5878" w:type="dxa"/>
            <w:shd w:val="clear" w:color="auto" w:fill="F9F9F9"/>
            <w:hideMark/>
          </w:tcPr>
          <w:p w14:paraId="042F87E2"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 xml:space="preserve">Industry was </w:t>
            </w:r>
            <w:r w:rsidRPr="00B8379A">
              <w:rPr>
                <w:rFonts w:asciiTheme="minorHAnsi" w:hAnsiTheme="minorHAnsi" w:cstheme="minorHAnsi"/>
                <w:b/>
                <w:bCs/>
                <w:color w:val="000000"/>
                <w:szCs w:val="22"/>
                <w:lang w:eastAsia="en-AU"/>
                <w14:ligatures w14:val="none"/>
              </w:rPr>
              <w:t>100%</w:t>
            </w:r>
            <w:r w:rsidRPr="00A5170C">
              <w:rPr>
                <w:rFonts w:asciiTheme="minorHAnsi" w:hAnsiTheme="minorHAnsi" w:cstheme="minorHAnsi"/>
                <w:color w:val="000000"/>
                <w:szCs w:val="22"/>
                <w:lang w:eastAsia="en-AU"/>
                <w14:ligatures w14:val="none"/>
              </w:rPr>
              <w:t xml:space="preserve"> compliant with the stockholding disclosure requirements.</w:t>
            </w:r>
          </w:p>
        </w:tc>
        <w:tc>
          <w:tcPr>
            <w:tcW w:w="6384" w:type="dxa"/>
            <w:shd w:val="clear" w:color="auto" w:fill="F9F9F9"/>
            <w:hideMark/>
          </w:tcPr>
          <w:p w14:paraId="2E7CA4D2" w14:textId="0D93FF51"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6.1</w:t>
            </w:r>
            <w:r w:rsidRPr="00A5170C">
              <w:rPr>
                <w:rFonts w:asciiTheme="minorHAnsi" w:hAnsiTheme="minorHAnsi" w:cstheme="minorHAnsi"/>
                <w:color w:val="000000"/>
                <w:szCs w:val="22"/>
                <w:lang w:eastAsia="en-AU"/>
                <w14:ligatures w14:val="none"/>
              </w:rPr>
              <w:t xml:space="preserve"> develop an MSR Compliance Fact Sheet to supplement the Guidelines which will provide a quick reference guide to support RPs’ understanding of the compliance obligations, including the disclosure obligations.</w:t>
            </w:r>
          </w:p>
        </w:tc>
      </w:tr>
      <w:tr w:rsidR="00A5170C" w:rsidRPr="00E96D4D" w14:paraId="0B56F194" w14:textId="77777777" w:rsidTr="00B8379A">
        <w:tc>
          <w:tcPr>
            <w:tcW w:w="1696" w:type="dxa"/>
            <w:shd w:val="clear" w:color="auto" w:fill="F2F2F2" w:themeFill="background1" w:themeFillShade="F2"/>
            <w:noWrap/>
            <w:hideMark/>
          </w:tcPr>
          <w:p w14:paraId="6DF2410C"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7: </w:t>
            </w:r>
            <w:r w:rsidRPr="00B8379A">
              <w:rPr>
                <w:rFonts w:asciiTheme="minorHAnsi" w:hAnsiTheme="minorHAnsi" w:cstheme="minorHAnsi"/>
                <w:bCs/>
                <w:szCs w:val="22"/>
                <w:lang w:eastAsia="en-AU"/>
              </w:rPr>
              <w:t>Compliance with notifications</w:t>
            </w:r>
          </w:p>
        </w:tc>
        <w:tc>
          <w:tcPr>
            <w:tcW w:w="5878" w:type="dxa"/>
            <w:shd w:val="clear" w:color="auto" w:fill="F9F9F9"/>
            <w:hideMark/>
          </w:tcPr>
          <w:p w14:paraId="01B660E0"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Bidi"/>
                <w:b/>
                <w:bCs/>
                <w:color w:val="000000" w:themeColor="text1"/>
                <w:szCs w:val="22"/>
                <w:lang w:eastAsia="en-AU"/>
              </w:rPr>
              <w:t>56%</w:t>
            </w:r>
            <w:r w:rsidRPr="00A5170C">
              <w:rPr>
                <w:rFonts w:asciiTheme="minorHAnsi" w:hAnsiTheme="minorHAnsi" w:cstheme="minorBidi"/>
                <w:color w:val="000000" w:themeColor="text1"/>
                <w:szCs w:val="22"/>
                <w:lang w:eastAsia="en-AU"/>
              </w:rPr>
              <w:t xml:space="preserve"> brands in the first disclosure period and </w:t>
            </w:r>
            <w:r w:rsidRPr="00A5170C">
              <w:rPr>
                <w:rFonts w:asciiTheme="minorHAnsi" w:hAnsiTheme="minorHAnsi" w:cstheme="minorBidi"/>
                <w:b/>
                <w:bCs/>
                <w:color w:val="000000" w:themeColor="text1"/>
                <w:szCs w:val="22"/>
                <w:lang w:eastAsia="en-AU"/>
              </w:rPr>
              <w:t>70%</w:t>
            </w:r>
            <w:r w:rsidRPr="00A5170C">
              <w:rPr>
                <w:rFonts w:asciiTheme="minorHAnsi" w:hAnsiTheme="minorHAnsi" w:cstheme="minorBidi"/>
                <w:color w:val="000000" w:themeColor="text1"/>
                <w:szCs w:val="22"/>
                <w:lang w:eastAsia="en-AU"/>
              </w:rPr>
              <w:t xml:space="preserve"> of brands in the second disclosure period were identified as failing to notify of a breach of the MSR. </w:t>
            </w:r>
            <w:r w:rsidRPr="00A5170C">
              <w:rPr>
                <w:rFonts w:asciiTheme="minorHAnsi" w:hAnsiTheme="minorHAnsi" w:cstheme="minorBidi"/>
                <w:b/>
                <w:bCs/>
                <w:color w:val="000000" w:themeColor="text1"/>
                <w:szCs w:val="22"/>
                <w:lang w:eastAsia="en-AU"/>
              </w:rPr>
              <w:t>93%</w:t>
            </w:r>
            <w:r w:rsidRPr="00A5170C">
              <w:rPr>
                <w:rFonts w:asciiTheme="minorHAnsi" w:hAnsiTheme="minorHAnsi" w:cstheme="minorBidi"/>
                <w:color w:val="000000" w:themeColor="text1"/>
                <w:szCs w:val="22"/>
                <w:lang w:eastAsia="en-AU"/>
              </w:rPr>
              <w:t xml:space="preserve"> of actual breaches were not preceded by a likely breach. </w:t>
            </w:r>
          </w:p>
          <w:p w14:paraId="4CAF1A10" w14:textId="77777777" w:rsidR="00A5170C" w:rsidRPr="00A5170C" w:rsidRDefault="00A5170C">
            <w:pPr>
              <w:rPr>
                <w:rFonts w:asciiTheme="minorHAnsi" w:hAnsiTheme="minorHAnsi" w:cstheme="minorHAnsi"/>
                <w:color w:val="000000"/>
                <w:szCs w:val="22"/>
                <w:lang w:eastAsia="en-AU"/>
                <w14:ligatures w14:val="none"/>
              </w:rPr>
            </w:pPr>
          </w:p>
          <w:p w14:paraId="7487A37D" w14:textId="77777777" w:rsidR="00A5170C" w:rsidRPr="00A5170C" w:rsidRDefault="00A5170C">
            <w:pPr>
              <w:rPr>
                <w:rFonts w:asciiTheme="minorHAnsi" w:hAnsiTheme="minorHAnsi" w:cstheme="minorHAnsi"/>
                <w:color w:val="000000"/>
                <w:szCs w:val="22"/>
                <w:lang w:eastAsia="en-AU"/>
                <w14:ligatures w14:val="none"/>
              </w:rPr>
            </w:pPr>
            <w:proofErr w:type="gramStart"/>
            <w:r w:rsidRPr="00A5170C">
              <w:rPr>
                <w:rFonts w:asciiTheme="minorHAnsi" w:hAnsiTheme="minorHAnsi" w:cstheme="minorBidi"/>
                <w:color w:val="000000" w:themeColor="text1"/>
                <w:szCs w:val="22"/>
                <w:lang w:eastAsia="en-AU"/>
              </w:rPr>
              <w:t>The majority of</w:t>
            </w:r>
            <w:proofErr w:type="gramEnd"/>
            <w:r w:rsidRPr="00A5170C">
              <w:rPr>
                <w:rFonts w:asciiTheme="minorHAnsi" w:hAnsiTheme="minorHAnsi" w:cstheme="minorBidi"/>
                <w:color w:val="000000" w:themeColor="text1"/>
                <w:szCs w:val="22"/>
                <w:lang w:eastAsia="en-AU"/>
              </w:rPr>
              <w:t xml:space="preserve"> breaches are not being notified by RPs.</w:t>
            </w:r>
          </w:p>
        </w:tc>
        <w:tc>
          <w:tcPr>
            <w:tcW w:w="6384" w:type="dxa"/>
            <w:shd w:val="clear" w:color="auto" w:fill="F9F9F9"/>
            <w:hideMark/>
          </w:tcPr>
          <w:p w14:paraId="1297F4CA" w14:textId="421CD811" w:rsidR="00A5170C" w:rsidRPr="00B8379A" w:rsidRDefault="00A5170C">
            <w:pPr>
              <w:tabs>
                <w:tab w:val="left" w:pos="8166"/>
              </w:tabs>
              <w:jc w:val="both"/>
              <w:rPr>
                <w:rFonts w:asciiTheme="minorHAnsi" w:hAnsiTheme="minorHAnsi" w:cstheme="minorHAnsi"/>
                <w:b/>
                <w:bCs/>
                <w:color w:val="000000"/>
                <w:szCs w:val="22"/>
                <w:lang w:eastAsia="en-AU"/>
                <w14:ligatures w14:val="none"/>
              </w:rPr>
            </w:pPr>
            <w:r w:rsidRPr="00B8379A">
              <w:rPr>
                <w:rFonts w:asciiTheme="minorHAnsi" w:hAnsiTheme="minorHAnsi" w:cstheme="minorHAnsi"/>
                <w:b/>
                <w:bCs/>
                <w:color w:val="000000"/>
                <w:szCs w:val="22"/>
                <w:lang w:eastAsia="en-AU"/>
                <w14:ligatures w14:val="none"/>
              </w:rPr>
              <w:t>7.1</w:t>
            </w:r>
            <w:r w:rsidRPr="00A5170C">
              <w:rPr>
                <w:rFonts w:asciiTheme="minorHAnsi" w:hAnsiTheme="minorHAnsi" w:cstheme="minorHAnsi"/>
                <w:color w:val="000000"/>
                <w:szCs w:val="22"/>
                <w:lang w:eastAsia="en-AU"/>
                <w14:ligatures w14:val="none"/>
              </w:rPr>
              <w:t xml:space="preserve"> as per recommendation </w:t>
            </w:r>
            <w:r w:rsidRPr="00B8379A">
              <w:rPr>
                <w:rFonts w:asciiTheme="minorHAnsi" w:hAnsiTheme="minorHAnsi" w:cstheme="minorHAnsi"/>
                <w:b/>
                <w:bCs/>
                <w:color w:val="000000"/>
                <w:szCs w:val="22"/>
                <w:lang w:eastAsia="en-AU"/>
                <w14:ligatures w14:val="none"/>
              </w:rPr>
              <w:t>3.2</w:t>
            </w:r>
            <w:r w:rsidR="003D47ED" w:rsidRPr="00B8379A">
              <w:rPr>
                <w:rFonts w:asciiTheme="minorHAnsi" w:hAnsiTheme="minorHAnsi" w:cstheme="minorHAnsi"/>
                <w:bCs/>
                <w:color w:val="000000"/>
                <w:szCs w:val="22"/>
                <w:lang w:eastAsia="en-AU"/>
                <w14:ligatures w14:val="none"/>
              </w:rPr>
              <w:t>.</w:t>
            </w:r>
          </w:p>
          <w:p w14:paraId="6A969EF4" w14:textId="77777777"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7.2</w:t>
            </w:r>
            <w:r w:rsidRPr="00A5170C">
              <w:rPr>
                <w:rFonts w:asciiTheme="minorHAnsi" w:hAnsiTheme="minorHAnsi" w:cstheme="minorHAnsi"/>
                <w:color w:val="000000"/>
                <w:szCs w:val="22"/>
                <w:lang w:eastAsia="en-AU"/>
                <w14:ligatures w14:val="none"/>
              </w:rPr>
              <w:t xml:space="preserve"> as an interim solution to the online portal, make an Excel notification template available to all RPs.</w:t>
            </w:r>
          </w:p>
          <w:p w14:paraId="2F5CF1F9" w14:textId="77777777"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7.3</w:t>
            </w:r>
            <w:r w:rsidRPr="00A5170C">
              <w:rPr>
                <w:rFonts w:asciiTheme="minorHAnsi" w:hAnsiTheme="minorHAnsi" w:cstheme="minorHAnsi"/>
                <w:color w:val="000000"/>
                <w:szCs w:val="22"/>
                <w:lang w:eastAsia="en-AU"/>
                <w14:ligatures w14:val="none"/>
              </w:rPr>
              <w:t xml:space="preserve"> as per recommendation </w:t>
            </w:r>
            <w:r w:rsidRPr="00B8379A">
              <w:rPr>
                <w:rFonts w:asciiTheme="minorHAnsi" w:hAnsiTheme="minorHAnsi" w:cstheme="minorHAnsi"/>
                <w:b/>
                <w:bCs/>
                <w:color w:val="000000"/>
                <w:szCs w:val="22"/>
                <w:lang w:eastAsia="en-AU"/>
                <w14:ligatures w14:val="none"/>
              </w:rPr>
              <w:t>6.1</w:t>
            </w:r>
            <w:r w:rsidRPr="003D47ED">
              <w:rPr>
                <w:rFonts w:asciiTheme="minorHAnsi" w:hAnsiTheme="minorHAnsi" w:cstheme="minorHAnsi"/>
                <w:color w:val="000000"/>
                <w:szCs w:val="22"/>
                <w:lang w:eastAsia="en-AU"/>
                <w14:ligatures w14:val="none"/>
              </w:rPr>
              <w:t>.</w:t>
            </w:r>
          </w:p>
          <w:p w14:paraId="1BBBB68D"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7.4</w:t>
            </w:r>
            <w:r w:rsidRPr="00A5170C">
              <w:rPr>
                <w:rFonts w:asciiTheme="minorHAnsi" w:hAnsiTheme="minorHAnsi" w:cstheme="minorHAnsi"/>
                <w:color w:val="000000"/>
                <w:szCs w:val="22"/>
                <w:lang w:eastAsia="en-AU"/>
                <w14:ligatures w14:val="none"/>
              </w:rPr>
              <w:t xml:space="preserve"> further assess the ‘value-add’ of likely breach notifications and the timing intervals of notifications and disclosures at the 24-month review.</w:t>
            </w:r>
          </w:p>
        </w:tc>
      </w:tr>
      <w:tr w:rsidR="00A5170C" w:rsidRPr="00E96D4D" w14:paraId="7149E97B" w14:textId="77777777" w:rsidTr="00B8379A">
        <w:tc>
          <w:tcPr>
            <w:tcW w:w="1696" w:type="dxa"/>
            <w:shd w:val="clear" w:color="auto" w:fill="F2F2F2" w:themeFill="background1" w:themeFillShade="F2"/>
            <w:noWrap/>
            <w:hideMark/>
          </w:tcPr>
          <w:p w14:paraId="217E70A4"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8: </w:t>
            </w:r>
            <w:r w:rsidRPr="00B8379A">
              <w:rPr>
                <w:rFonts w:asciiTheme="minorHAnsi" w:hAnsiTheme="minorHAnsi" w:cstheme="minorHAnsi"/>
                <w:bCs/>
                <w:szCs w:val="22"/>
                <w:lang w:eastAsia="en-AU"/>
              </w:rPr>
              <w:t>Enforcement of the MSR</w:t>
            </w:r>
          </w:p>
        </w:tc>
        <w:tc>
          <w:tcPr>
            <w:tcW w:w="5878" w:type="dxa"/>
            <w:shd w:val="clear" w:color="auto" w:fill="F9F9F9"/>
            <w:hideMark/>
          </w:tcPr>
          <w:p w14:paraId="0AB40E0F" w14:textId="77777777" w:rsidR="00A5170C" w:rsidRPr="00A5170C" w:rsidRDefault="00A5170C">
            <w:pPr>
              <w:rPr>
                <w:rFonts w:asciiTheme="minorHAnsi" w:hAnsiTheme="minorHAnsi" w:cstheme="minorBidi"/>
                <w:color w:val="000000"/>
                <w:szCs w:val="22"/>
                <w:lang w:eastAsia="en-AU"/>
                <w14:ligatures w14:val="none"/>
              </w:rPr>
            </w:pPr>
            <w:r w:rsidRPr="00A5170C">
              <w:rPr>
                <w:rFonts w:asciiTheme="minorHAnsi" w:hAnsiTheme="minorHAnsi" w:cstheme="minorBidi"/>
                <w:color w:val="000000"/>
                <w:szCs w:val="22"/>
                <w:lang w:eastAsia="en-AU"/>
                <w14:ligatures w14:val="none"/>
              </w:rPr>
              <w:t>No Ministerial powers have been utilised to date. This reflects compliance with the stockholding requirements, and</w:t>
            </w:r>
            <w:r w:rsidRPr="00A5170C">
              <w:rPr>
                <w:rFonts w:asciiTheme="minorHAnsi" w:hAnsiTheme="minorHAnsi" w:cstheme="minorBidi"/>
                <w:color w:val="000000" w:themeColor="text1"/>
                <w:szCs w:val="22"/>
                <w:lang w:eastAsia="en-AU"/>
              </w:rPr>
              <w:t xml:space="preserve"> the</w:t>
            </w:r>
            <w:r w:rsidRPr="00A5170C">
              <w:rPr>
                <w:rFonts w:asciiTheme="minorHAnsi" w:hAnsiTheme="minorHAnsi" w:cstheme="minorBidi"/>
                <w:color w:val="000000"/>
                <w:szCs w:val="22"/>
                <w:lang w:eastAsia="en-AU"/>
                <w14:ligatures w14:val="none"/>
              </w:rPr>
              <w:t xml:space="preserve"> department’s focus is on encouraging compliance through education and support to RPs</w:t>
            </w:r>
            <w:r w:rsidRPr="00A5170C">
              <w:rPr>
                <w:rFonts w:asciiTheme="minorHAnsi" w:hAnsiTheme="minorHAnsi" w:cstheme="minorBidi"/>
                <w:color w:val="000000" w:themeColor="text1"/>
                <w:szCs w:val="22"/>
                <w:lang w:eastAsia="en-AU"/>
              </w:rPr>
              <w:t>.</w:t>
            </w:r>
          </w:p>
        </w:tc>
        <w:tc>
          <w:tcPr>
            <w:tcW w:w="6384" w:type="dxa"/>
            <w:shd w:val="clear" w:color="auto" w:fill="F9F9F9"/>
          </w:tcPr>
          <w:p w14:paraId="388C1E0E" w14:textId="60025C29"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8.1</w:t>
            </w:r>
            <w:r w:rsidRPr="00A5170C">
              <w:rPr>
                <w:rFonts w:asciiTheme="minorHAnsi" w:hAnsiTheme="minorHAnsi" w:cstheme="minorHAnsi"/>
                <w:color w:val="000000"/>
                <w:szCs w:val="22"/>
                <w:lang w:eastAsia="en-AU"/>
                <w14:ligatures w14:val="none"/>
              </w:rPr>
              <w:t xml:space="preserve"> develop an MSR Compliance Fact Sheet to supplement the Guidelines which will further support RPs’ understanding of the department’s risk-based approach to compliance.</w:t>
            </w:r>
          </w:p>
          <w:p w14:paraId="7269D94C" w14:textId="77777777"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8.2</w:t>
            </w:r>
            <w:r w:rsidRPr="00A5170C">
              <w:rPr>
                <w:rFonts w:asciiTheme="minorHAnsi" w:hAnsiTheme="minorHAnsi" w:cstheme="minorHAnsi"/>
                <w:color w:val="000000"/>
                <w:szCs w:val="22"/>
                <w:lang w:eastAsia="en-AU"/>
                <w14:ligatures w14:val="none"/>
              </w:rPr>
              <w:t xml:space="preserve"> as per recommendation </w:t>
            </w:r>
            <w:r w:rsidRPr="00B8379A">
              <w:rPr>
                <w:rFonts w:asciiTheme="minorHAnsi" w:hAnsiTheme="minorHAnsi" w:cstheme="minorHAnsi"/>
                <w:b/>
                <w:bCs/>
                <w:color w:val="000000"/>
                <w:szCs w:val="22"/>
                <w:lang w:eastAsia="en-AU"/>
                <w14:ligatures w14:val="none"/>
              </w:rPr>
              <w:t>3.2</w:t>
            </w:r>
          </w:p>
          <w:p w14:paraId="61C22D1F" w14:textId="531B49CB"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8.3</w:t>
            </w:r>
            <w:r w:rsidRPr="00A5170C">
              <w:rPr>
                <w:rFonts w:asciiTheme="minorHAnsi" w:hAnsiTheme="minorHAnsi" w:cstheme="minorHAnsi"/>
                <w:color w:val="000000"/>
                <w:szCs w:val="22"/>
                <w:lang w:eastAsia="en-AU"/>
                <w14:ligatures w14:val="none"/>
              </w:rPr>
              <w:t xml:space="preserve"> deploy a case management system to enhance the efficiency and effectiveness of compliance assessment, management, monitoring</w:t>
            </w:r>
            <w:r w:rsidR="0010697B">
              <w:rPr>
                <w:rFonts w:asciiTheme="minorHAnsi" w:hAnsiTheme="minorHAnsi" w:cstheme="minorHAnsi"/>
                <w:color w:val="000000"/>
                <w:szCs w:val="22"/>
                <w:lang w:eastAsia="en-AU"/>
                <w14:ligatures w14:val="none"/>
              </w:rPr>
              <w:t>,</w:t>
            </w:r>
            <w:r w:rsidRPr="00A5170C">
              <w:rPr>
                <w:rFonts w:asciiTheme="minorHAnsi" w:hAnsiTheme="minorHAnsi" w:cstheme="minorHAnsi"/>
                <w:color w:val="000000"/>
                <w:szCs w:val="22"/>
                <w:lang w:eastAsia="en-AU"/>
                <w14:ligatures w14:val="none"/>
              </w:rPr>
              <w:t xml:space="preserve"> and finalisation.</w:t>
            </w:r>
          </w:p>
        </w:tc>
      </w:tr>
      <w:tr w:rsidR="00A5170C" w:rsidRPr="00E96D4D" w14:paraId="18631F85" w14:textId="77777777" w:rsidTr="00B8379A">
        <w:trPr>
          <w:cantSplit/>
        </w:trPr>
        <w:tc>
          <w:tcPr>
            <w:tcW w:w="1696" w:type="dxa"/>
            <w:shd w:val="clear" w:color="auto" w:fill="F2F2F2" w:themeFill="background1" w:themeFillShade="F2"/>
            <w:noWrap/>
            <w:hideMark/>
          </w:tcPr>
          <w:p w14:paraId="3B8F111D"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lastRenderedPageBreak/>
              <w:t xml:space="preserve">KPI 9: </w:t>
            </w:r>
            <w:r w:rsidRPr="00B8379A">
              <w:rPr>
                <w:rFonts w:asciiTheme="minorHAnsi" w:hAnsiTheme="minorHAnsi" w:cstheme="minorHAnsi"/>
                <w:bCs/>
                <w:szCs w:val="22"/>
                <w:lang w:eastAsia="en-AU"/>
              </w:rPr>
              <w:t>Regulatory burden (costs for industry)</w:t>
            </w:r>
          </w:p>
        </w:tc>
        <w:tc>
          <w:tcPr>
            <w:tcW w:w="5878" w:type="dxa"/>
            <w:shd w:val="clear" w:color="auto" w:fill="F9F9F9"/>
            <w:hideMark/>
          </w:tcPr>
          <w:p w14:paraId="7A906211"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Bidi"/>
                <w:color w:val="000000"/>
                <w:szCs w:val="22"/>
                <w:lang w:eastAsia="en-AU"/>
                <w14:ligatures w14:val="none"/>
              </w:rPr>
              <w:t xml:space="preserve">Many RPs have engaged additional resources and made changes to supply chains and other business practices to ensure compliance with the MSR. Early indications are that the costs of these changes may have been significant for many RPs, but we have been unable to obtain information in a consistent format for data standardisation that allows regulatory burden to be </w:t>
            </w:r>
            <w:r w:rsidRPr="00A5170C">
              <w:rPr>
                <w:rFonts w:asciiTheme="minorHAnsi" w:hAnsiTheme="minorHAnsi" w:cstheme="minorBidi"/>
                <w:color w:val="000000" w:themeColor="text1"/>
                <w:szCs w:val="22"/>
                <w:lang w:eastAsia="en-AU"/>
              </w:rPr>
              <w:t xml:space="preserve">robustly </w:t>
            </w:r>
            <w:r w:rsidRPr="00A5170C">
              <w:rPr>
                <w:rFonts w:asciiTheme="minorHAnsi" w:hAnsiTheme="minorHAnsi" w:cstheme="minorBidi"/>
                <w:color w:val="000000"/>
                <w:szCs w:val="22"/>
                <w:lang w:eastAsia="en-AU"/>
                <w14:ligatures w14:val="none"/>
              </w:rPr>
              <w:t>evaluated.</w:t>
            </w:r>
          </w:p>
        </w:tc>
        <w:tc>
          <w:tcPr>
            <w:tcW w:w="6384" w:type="dxa"/>
            <w:shd w:val="clear" w:color="auto" w:fill="F9F9F9"/>
            <w:hideMark/>
          </w:tcPr>
          <w:p w14:paraId="100F32E5" w14:textId="44B77440"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9.1</w:t>
            </w:r>
            <w:r w:rsidRPr="00A5170C">
              <w:rPr>
                <w:rFonts w:asciiTheme="minorHAnsi" w:hAnsiTheme="minorHAnsi" w:cstheme="minorHAnsi"/>
                <w:color w:val="000000"/>
                <w:szCs w:val="22"/>
                <w:lang w:eastAsia="en-AU"/>
                <w14:ligatures w14:val="none"/>
              </w:rPr>
              <w:t xml:space="preserve"> as per recommendation</w:t>
            </w:r>
            <w:r w:rsidRPr="00B8379A">
              <w:rPr>
                <w:rFonts w:asciiTheme="minorHAnsi" w:hAnsiTheme="minorHAnsi" w:cstheme="minorHAnsi"/>
                <w:b/>
                <w:bCs/>
                <w:color w:val="000000"/>
                <w:szCs w:val="22"/>
                <w:lang w:eastAsia="en-AU"/>
                <w14:ligatures w14:val="none"/>
              </w:rPr>
              <w:t xml:space="preserve"> 3.2</w:t>
            </w:r>
            <w:r w:rsidR="003D47ED" w:rsidRPr="00B8379A">
              <w:rPr>
                <w:rFonts w:asciiTheme="minorHAnsi" w:hAnsiTheme="minorHAnsi" w:cstheme="minorHAnsi"/>
                <w:bCs/>
                <w:color w:val="000000"/>
                <w:szCs w:val="22"/>
                <w:lang w:eastAsia="en-AU"/>
                <w14:ligatures w14:val="none"/>
              </w:rPr>
              <w:t>.</w:t>
            </w:r>
          </w:p>
          <w:p w14:paraId="32203377"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9.2</w:t>
            </w:r>
            <w:r w:rsidRPr="00A5170C">
              <w:rPr>
                <w:rFonts w:asciiTheme="minorHAnsi" w:hAnsiTheme="minorHAnsi" w:cstheme="minorHAnsi"/>
                <w:color w:val="000000"/>
                <w:szCs w:val="22"/>
                <w:lang w:eastAsia="en-AU"/>
                <w14:ligatures w14:val="none"/>
              </w:rPr>
              <w:t xml:space="preserve"> seek to improve the data available on the costs of increased stockholdings </w:t>
            </w:r>
            <w:proofErr w:type="gramStart"/>
            <w:r w:rsidRPr="00A5170C">
              <w:rPr>
                <w:rFonts w:asciiTheme="minorHAnsi" w:hAnsiTheme="minorHAnsi" w:cstheme="minorHAnsi"/>
                <w:color w:val="000000"/>
                <w:szCs w:val="22"/>
                <w:lang w:eastAsia="en-AU"/>
                <w14:ligatures w14:val="none"/>
              </w:rPr>
              <w:t>in order to</w:t>
            </w:r>
            <w:proofErr w:type="gramEnd"/>
            <w:r w:rsidRPr="00A5170C">
              <w:rPr>
                <w:rFonts w:asciiTheme="minorHAnsi" w:hAnsiTheme="minorHAnsi" w:cstheme="minorHAnsi"/>
                <w:color w:val="000000"/>
                <w:szCs w:val="22"/>
                <w:lang w:eastAsia="en-AU"/>
                <w14:ligatures w14:val="none"/>
              </w:rPr>
              <w:t xml:space="preserve"> rigorously and consistently evaluate and monitor the regulatory burden of the MSR in future reviews.</w:t>
            </w:r>
          </w:p>
        </w:tc>
      </w:tr>
      <w:tr w:rsidR="00A5170C" w:rsidRPr="00E96D4D" w14:paraId="7EE990D4" w14:textId="77777777" w:rsidTr="00B8379A">
        <w:tc>
          <w:tcPr>
            <w:tcW w:w="1696" w:type="dxa"/>
            <w:shd w:val="clear" w:color="auto" w:fill="F2F2F2" w:themeFill="background1" w:themeFillShade="F2"/>
            <w:noWrap/>
            <w:hideMark/>
          </w:tcPr>
          <w:p w14:paraId="2DBCE924"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10: </w:t>
            </w:r>
            <w:r w:rsidRPr="00B8379A">
              <w:rPr>
                <w:rFonts w:asciiTheme="minorHAnsi" w:hAnsiTheme="minorHAnsi" w:cstheme="minorHAnsi"/>
                <w:bCs/>
                <w:szCs w:val="22"/>
                <w:lang w:eastAsia="en-AU"/>
              </w:rPr>
              <w:t>Management of stockholdings</w:t>
            </w:r>
          </w:p>
        </w:tc>
        <w:tc>
          <w:tcPr>
            <w:tcW w:w="5878" w:type="dxa"/>
            <w:shd w:val="clear" w:color="auto" w:fill="F9F9F9"/>
            <w:hideMark/>
          </w:tcPr>
          <w:p w14:paraId="4348C9EB" w14:textId="77777777" w:rsidR="00A5170C" w:rsidRPr="00A5170C" w:rsidRDefault="00A5170C">
            <w:pPr>
              <w:rPr>
                <w:rFonts w:asciiTheme="minorHAnsi" w:hAnsiTheme="minorHAnsi" w:cstheme="minorBidi"/>
                <w:color w:val="000000"/>
                <w:szCs w:val="22"/>
                <w:lang w:eastAsia="en-AU"/>
                <w14:ligatures w14:val="none"/>
              </w:rPr>
            </w:pPr>
            <w:r w:rsidRPr="00A5170C">
              <w:rPr>
                <w:rFonts w:asciiTheme="minorHAnsi" w:hAnsiTheme="minorHAnsi" w:cstheme="minorBidi"/>
                <w:color w:val="000000"/>
                <w:szCs w:val="22"/>
                <w:lang w:eastAsia="en-AU"/>
                <w14:ligatures w14:val="none"/>
              </w:rPr>
              <w:t xml:space="preserve">Many RPs have made significant changes to their stock levels and inventory management in response to the MSR. The department has been unable to obtain </w:t>
            </w:r>
            <w:r w:rsidRPr="00A5170C">
              <w:rPr>
                <w:rFonts w:asciiTheme="minorHAnsi" w:hAnsiTheme="minorHAnsi" w:cstheme="minorBidi"/>
                <w:color w:val="000000" w:themeColor="text1"/>
                <w:szCs w:val="22"/>
                <w:lang w:eastAsia="en-AU"/>
              </w:rPr>
              <w:t xml:space="preserve">structured </w:t>
            </w:r>
            <w:r w:rsidRPr="00A5170C">
              <w:rPr>
                <w:rFonts w:asciiTheme="minorHAnsi" w:hAnsiTheme="minorHAnsi" w:cstheme="minorBidi"/>
                <w:color w:val="000000"/>
                <w:szCs w:val="22"/>
                <w:lang w:eastAsia="en-AU"/>
                <w14:ligatures w14:val="none"/>
              </w:rPr>
              <w:t>information on the costs of these changes</w:t>
            </w:r>
            <w:r w:rsidRPr="00A5170C">
              <w:rPr>
                <w:rFonts w:asciiTheme="minorHAnsi" w:hAnsiTheme="minorHAnsi" w:cstheme="minorBidi"/>
                <w:color w:val="000000" w:themeColor="text1"/>
                <w:szCs w:val="22"/>
                <w:lang w:eastAsia="en-AU"/>
              </w:rPr>
              <w:t xml:space="preserve"> (other than a handful of statistics presented by RPs as examples)</w:t>
            </w:r>
            <w:r w:rsidRPr="00A5170C">
              <w:rPr>
                <w:rFonts w:asciiTheme="minorHAnsi" w:hAnsiTheme="minorHAnsi" w:cstheme="minorBidi"/>
                <w:color w:val="000000"/>
                <w:szCs w:val="22"/>
                <w:lang w:eastAsia="en-AU"/>
                <w14:ligatures w14:val="none"/>
              </w:rPr>
              <w:t xml:space="preserve">. For this reason, the 12-month review has been unable to comprehensively evaluate the costs to industry of the changes in inventory management required </w:t>
            </w:r>
            <w:proofErr w:type="gramStart"/>
            <w:r w:rsidRPr="00A5170C">
              <w:rPr>
                <w:rFonts w:asciiTheme="minorHAnsi" w:hAnsiTheme="minorHAnsi" w:cstheme="minorBidi"/>
                <w:color w:val="000000"/>
                <w:szCs w:val="22"/>
                <w:lang w:eastAsia="en-AU"/>
                <w14:ligatures w14:val="none"/>
              </w:rPr>
              <w:t>in order to</w:t>
            </w:r>
            <w:proofErr w:type="gramEnd"/>
            <w:r w:rsidRPr="00A5170C">
              <w:rPr>
                <w:rFonts w:asciiTheme="minorHAnsi" w:hAnsiTheme="minorHAnsi" w:cstheme="minorBidi"/>
                <w:color w:val="000000"/>
                <w:szCs w:val="22"/>
                <w:lang w:eastAsia="en-AU"/>
                <w14:ligatures w14:val="none"/>
              </w:rPr>
              <w:t xml:space="preserve"> implement the MSR, but the department will seek to do so for the 24-month review.</w:t>
            </w:r>
          </w:p>
        </w:tc>
        <w:tc>
          <w:tcPr>
            <w:tcW w:w="6384" w:type="dxa"/>
            <w:shd w:val="clear" w:color="auto" w:fill="F9F9F9"/>
            <w:hideMark/>
          </w:tcPr>
          <w:p w14:paraId="24377754" w14:textId="3F416840"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10.1</w:t>
            </w:r>
            <w:r w:rsidRPr="00A5170C">
              <w:rPr>
                <w:rFonts w:asciiTheme="minorHAnsi" w:hAnsiTheme="minorHAnsi" w:cstheme="minorHAnsi"/>
                <w:color w:val="000000"/>
                <w:szCs w:val="22"/>
                <w:lang w:eastAsia="en-AU"/>
                <w14:ligatures w14:val="none"/>
              </w:rPr>
              <w:t xml:space="preserve"> improve data collection on changes to inventory management and costs of same, to evaluate and monitor regulatory burden of MSR in future reviews.</w:t>
            </w:r>
          </w:p>
        </w:tc>
      </w:tr>
      <w:tr w:rsidR="00A5170C" w:rsidRPr="00E96D4D" w14:paraId="6AF7E75E" w14:textId="77777777" w:rsidTr="00024250">
        <w:tc>
          <w:tcPr>
            <w:tcW w:w="1696" w:type="dxa"/>
            <w:tcBorders>
              <w:bottom w:val="single" w:sz="4" w:space="0" w:color="auto"/>
            </w:tcBorders>
            <w:shd w:val="clear" w:color="auto" w:fill="F2F2F2" w:themeFill="background1" w:themeFillShade="F2"/>
            <w:noWrap/>
            <w:hideMark/>
          </w:tcPr>
          <w:p w14:paraId="61660183"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11: </w:t>
            </w:r>
            <w:r w:rsidRPr="00B8379A">
              <w:rPr>
                <w:rFonts w:asciiTheme="minorHAnsi" w:hAnsiTheme="minorHAnsi" w:cstheme="minorHAnsi"/>
                <w:bCs/>
                <w:szCs w:val="22"/>
                <w:lang w:eastAsia="en-AU"/>
              </w:rPr>
              <w:t>Designated brand shortages</w:t>
            </w:r>
            <w:r w:rsidRPr="00B8379A">
              <w:rPr>
                <w:rFonts w:asciiTheme="minorHAnsi" w:hAnsiTheme="minorHAnsi" w:cstheme="minorHAnsi"/>
                <w:b/>
                <w:szCs w:val="22"/>
                <w:lang w:eastAsia="en-AU"/>
              </w:rPr>
              <w:t xml:space="preserve"> </w:t>
            </w:r>
          </w:p>
        </w:tc>
        <w:tc>
          <w:tcPr>
            <w:tcW w:w="5878" w:type="dxa"/>
            <w:tcBorders>
              <w:bottom w:val="single" w:sz="4" w:space="0" w:color="auto"/>
            </w:tcBorders>
            <w:shd w:val="clear" w:color="auto" w:fill="F9F9F9"/>
            <w:hideMark/>
          </w:tcPr>
          <w:p w14:paraId="2154D908" w14:textId="77777777"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 xml:space="preserve">The early evidence shows that </w:t>
            </w:r>
            <w:r w:rsidRPr="00A5170C">
              <w:rPr>
                <w:rFonts w:asciiTheme="minorHAnsi" w:hAnsiTheme="minorHAnsi" w:cstheme="minorHAnsi"/>
                <w:color w:val="000000"/>
                <w:szCs w:val="22"/>
                <w:lang w:val="en-US" w:eastAsia="en-AU"/>
                <w14:ligatures w14:val="none"/>
              </w:rPr>
              <w:t xml:space="preserve">there was a </w:t>
            </w:r>
            <w:r w:rsidRPr="00A5170C">
              <w:rPr>
                <w:rFonts w:asciiTheme="minorHAnsi" w:hAnsiTheme="minorHAnsi" w:cstheme="minorHAnsi"/>
                <w:b/>
                <w:bCs/>
                <w:color w:val="000000"/>
                <w:szCs w:val="22"/>
                <w:lang w:val="en-US" w:eastAsia="en-AU"/>
                <w14:ligatures w14:val="none"/>
              </w:rPr>
              <w:t>13%</w:t>
            </w:r>
            <w:r w:rsidRPr="00A5170C">
              <w:rPr>
                <w:rFonts w:asciiTheme="minorHAnsi" w:hAnsiTheme="minorHAnsi" w:cstheme="minorHAnsi"/>
                <w:color w:val="000000"/>
                <w:szCs w:val="22"/>
                <w:lang w:val="en-US" w:eastAsia="en-AU"/>
                <w14:ligatures w14:val="none"/>
              </w:rPr>
              <w:t xml:space="preserve"> decline </w:t>
            </w:r>
            <w:r w:rsidRPr="00A5170C">
              <w:rPr>
                <w:rFonts w:asciiTheme="minorHAnsi" w:hAnsiTheme="minorHAnsi" w:cstheme="minorHAnsi"/>
                <w:color w:val="000000"/>
                <w:szCs w:val="22"/>
                <w:lang w:eastAsia="en-AU"/>
                <w14:ligatures w14:val="none"/>
              </w:rPr>
              <w:t>(from 612 to 533)</w:t>
            </w:r>
            <w:r w:rsidRPr="00A5170C">
              <w:rPr>
                <w:rFonts w:asciiTheme="minorHAnsi" w:hAnsiTheme="minorHAnsi" w:cstheme="minorHAnsi"/>
                <w:color w:val="000000"/>
                <w:szCs w:val="22"/>
                <w:lang w:val="en-US" w:eastAsia="en-AU"/>
                <w14:ligatures w14:val="none"/>
              </w:rPr>
              <w:t xml:space="preserve"> in the number of shortages of designated brands </w:t>
            </w:r>
            <w:r w:rsidRPr="00A5170C">
              <w:rPr>
                <w:rFonts w:asciiTheme="minorHAnsi" w:hAnsiTheme="minorHAnsi" w:cstheme="minorHAnsi"/>
                <w:color w:val="000000"/>
                <w:szCs w:val="22"/>
                <w:lang w:eastAsia="en-AU"/>
                <w14:ligatures w14:val="none"/>
              </w:rPr>
              <w:t>since the introduction of the MSR</w:t>
            </w:r>
            <w:r w:rsidRPr="00A5170C">
              <w:rPr>
                <w:rFonts w:asciiTheme="minorHAnsi" w:hAnsiTheme="minorHAnsi" w:cstheme="minorHAnsi"/>
                <w:color w:val="000000"/>
                <w:szCs w:val="22"/>
                <w:lang w:val="en-US" w:eastAsia="en-AU"/>
                <w14:ligatures w14:val="none"/>
              </w:rPr>
              <w:t xml:space="preserve">. The number of shorter duration shortages (under 4 months) fell by </w:t>
            </w:r>
            <w:r w:rsidRPr="00A5170C">
              <w:rPr>
                <w:rFonts w:asciiTheme="minorHAnsi" w:hAnsiTheme="minorHAnsi" w:cstheme="minorHAnsi"/>
                <w:b/>
                <w:color w:val="000000"/>
                <w:szCs w:val="22"/>
                <w:lang w:val="en-US" w:eastAsia="en-AU"/>
                <w14:ligatures w14:val="none"/>
              </w:rPr>
              <w:t>24%.</w:t>
            </w:r>
            <w:r w:rsidRPr="00A5170C">
              <w:rPr>
                <w:rFonts w:asciiTheme="minorHAnsi" w:hAnsiTheme="minorHAnsi" w:cstheme="minorHAnsi"/>
                <w:color w:val="000000"/>
                <w:szCs w:val="22"/>
                <w:lang w:val="en-US" w:eastAsia="en-AU"/>
                <w14:ligatures w14:val="none"/>
              </w:rPr>
              <w:t xml:space="preserve"> </w:t>
            </w:r>
            <w:r w:rsidRPr="00A5170C">
              <w:rPr>
                <w:rFonts w:asciiTheme="minorHAnsi" w:hAnsiTheme="minorHAnsi" w:cstheme="minorHAnsi"/>
                <w:color w:val="000000"/>
                <w:szCs w:val="22"/>
                <w:lang w:eastAsia="en-AU"/>
                <w14:ligatures w14:val="none"/>
              </w:rPr>
              <w:t xml:space="preserve">This is consistent with feedback from industry through the survey about their use of MSR stocks to mitigate supply disruptions and shortages. </w:t>
            </w:r>
            <w:r w:rsidRPr="00A5170C">
              <w:rPr>
                <w:rFonts w:asciiTheme="minorHAnsi" w:hAnsiTheme="minorHAnsi" w:cstheme="minorHAnsi"/>
                <w:color w:val="000000"/>
                <w:szCs w:val="22"/>
                <w:lang w:val="en-US" w:eastAsia="en-AU"/>
                <w14:ligatures w14:val="none"/>
              </w:rPr>
              <w:t>Further evaluation through the 24-month review is required to understand the impact of the MSR on shortages.</w:t>
            </w:r>
          </w:p>
        </w:tc>
        <w:tc>
          <w:tcPr>
            <w:tcW w:w="6384" w:type="dxa"/>
            <w:tcBorders>
              <w:bottom w:val="single" w:sz="4" w:space="0" w:color="auto"/>
            </w:tcBorders>
            <w:shd w:val="clear" w:color="auto" w:fill="F9F9F9"/>
            <w:hideMark/>
          </w:tcPr>
          <w:p w14:paraId="4F16C499" w14:textId="4B49466D" w:rsidR="00A5170C" w:rsidRPr="00A5170C" w:rsidRDefault="00A5170C">
            <w:pPr>
              <w:tabs>
                <w:tab w:val="left" w:pos="8166"/>
              </w:tabs>
              <w:jc w:val="both"/>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11.1</w:t>
            </w:r>
            <w:r w:rsidRPr="00A5170C">
              <w:rPr>
                <w:rFonts w:asciiTheme="minorHAnsi" w:hAnsiTheme="minorHAnsi" w:cstheme="minorHAnsi"/>
                <w:color w:val="000000"/>
                <w:szCs w:val="22"/>
                <w:lang w:eastAsia="en-AU"/>
                <w14:ligatures w14:val="none"/>
              </w:rPr>
              <w:t xml:space="preserve"> as per recommendation </w:t>
            </w:r>
            <w:r w:rsidRPr="00B8379A">
              <w:rPr>
                <w:rFonts w:asciiTheme="minorHAnsi" w:hAnsiTheme="minorHAnsi" w:cstheme="minorHAnsi"/>
                <w:b/>
                <w:bCs/>
                <w:color w:val="000000"/>
                <w:szCs w:val="22"/>
                <w:lang w:eastAsia="en-AU"/>
                <w14:ligatures w14:val="none"/>
              </w:rPr>
              <w:t>4.2</w:t>
            </w:r>
            <w:r w:rsidR="003D47ED" w:rsidRPr="003D47ED">
              <w:rPr>
                <w:rFonts w:asciiTheme="minorHAnsi" w:hAnsiTheme="minorHAnsi" w:cstheme="minorHAnsi"/>
                <w:color w:val="000000"/>
                <w:szCs w:val="22"/>
                <w:lang w:eastAsia="en-AU"/>
                <w14:ligatures w14:val="none"/>
              </w:rPr>
              <w:t>.</w:t>
            </w:r>
          </w:p>
          <w:p w14:paraId="3781005E" w14:textId="77777777" w:rsidR="00A5170C" w:rsidRPr="00A5170C" w:rsidRDefault="00A5170C">
            <w:pPr>
              <w:tabs>
                <w:tab w:val="left" w:pos="8166"/>
              </w:tabs>
              <w:rPr>
                <w:rFonts w:asciiTheme="minorHAnsi" w:hAnsiTheme="minorHAnsi" w:cstheme="minorHAnsi"/>
                <w:color w:val="000000"/>
                <w:szCs w:val="22"/>
                <w:lang w:eastAsia="en-AU"/>
                <w14:ligatures w14:val="none"/>
              </w:rPr>
            </w:pPr>
            <w:r w:rsidRPr="00B8379A">
              <w:rPr>
                <w:rFonts w:asciiTheme="minorHAnsi" w:hAnsiTheme="minorHAnsi" w:cstheme="minorHAnsi"/>
                <w:b/>
                <w:bCs/>
                <w:color w:val="000000"/>
                <w:szCs w:val="22"/>
                <w:lang w:eastAsia="en-AU"/>
                <w14:ligatures w14:val="none"/>
              </w:rPr>
              <w:t>11.2</w:t>
            </w:r>
            <w:r w:rsidRPr="00A5170C">
              <w:rPr>
                <w:rFonts w:asciiTheme="minorHAnsi" w:hAnsiTheme="minorHAnsi" w:cstheme="minorHAnsi"/>
                <w:color w:val="000000"/>
                <w:szCs w:val="22"/>
                <w:lang w:eastAsia="en-AU"/>
                <w14:ligatures w14:val="none"/>
              </w:rPr>
              <w:t xml:space="preserve"> as part of the 24-month review, undertake additional analysis of breach notifications and TGA shortages data to evaluate the impact of the MSR on shortages of designated brands.</w:t>
            </w:r>
          </w:p>
        </w:tc>
      </w:tr>
      <w:tr w:rsidR="00A5170C" w:rsidRPr="00E96D4D" w14:paraId="17C68D90" w14:textId="77777777" w:rsidTr="00024250">
        <w:tc>
          <w:tcPr>
            <w:tcW w:w="1696" w:type="dxa"/>
            <w:tcBorders>
              <w:bottom w:val="single" w:sz="4" w:space="0" w:color="auto"/>
            </w:tcBorders>
            <w:shd w:val="clear" w:color="auto" w:fill="F2F2F2" w:themeFill="background1" w:themeFillShade="F2"/>
            <w:noWrap/>
            <w:hideMark/>
          </w:tcPr>
          <w:p w14:paraId="4373FD74" w14:textId="77777777" w:rsidR="00A5170C" w:rsidRPr="00B8379A" w:rsidRDefault="00A5170C">
            <w:pPr>
              <w:rPr>
                <w:rFonts w:asciiTheme="minorHAnsi" w:hAnsiTheme="minorHAnsi" w:cstheme="minorHAnsi"/>
                <w:b/>
                <w:bCs/>
                <w:color w:val="000000"/>
                <w:szCs w:val="22"/>
                <w:lang w:eastAsia="en-AU"/>
                <w14:ligatures w14:val="none"/>
              </w:rPr>
            </w:pPr>
            <w:r w:rsidRPr="00B8379A">
              <w:rPr>
                <w:rFonts w:asciiTheme="minorHAnsi" w:hAnsiTheme="minorHAnsi" w:cstheme="minorHAnsi"/>
                <w:b/>
                <w:szCs w:val="22"/>
                <w:lang w:eastAsia="en-AU"/>
              </w:rPr>
              <w:t xml:space="preserve">KPI 12: </w:t>
            </w:r>
            <w:r w:rsidRPr="00B8379A">
              <w:rPr>
                <w:rFonts w:asciiTheme="minorHAnsi" w:hAnsiTheme="minorHAnsi" w:cstheme="minorHAnsi"/>
                <w:bCs/>
                <w:szCs w:val="22"/>
                <w:lang w:eastAsia="en-AU"/>
              </w:rPr>
              <w:t>Wastage and viability</w:t>
            </w:r>
          </w:p>
        </w:tc>
        <w:tc>
          <w:tcPr>
            <w:tcW w:w="5878" w:type="dxa"/>
            <w:tcBorders>
              <w:bottom w:val="single" w:sz="4" w:space="0" w:color="auto"/>
            </w:tcBorders>
            <w:shd w:val="clear" w:color="auto" w:fill="F9F9F9"/>
            <w:hideMark/>
          </w:tcPr>
          <w:p w14:paraId="53CF322B" w14:textId="6E3D5DC1" w:rsidR="00A5170C" w:rsidRPr="00A5170C" w:rsidRDefault="00A5170C">
            <w:pPr>
              <w:rPr>
                <w:rFonts w:asciiTheme="minorHAnsi" w:hAnsiTheme="minorHAnsi" w:cstheme="minorHAnsi"/>
                <w:color w:val="000000"/>
                <w:szCs w:val="22"/>
                <w:lang w:eastAsia="en-AU"/>
                <w14:ligatures w14:val="none"/>
              </w:rPr>
            </w:pPr>
            <w:r w:rsidRPr="00A5170C">
              <w:rPr>
                <w:rFonts w:asciiTheme="minorHAnsi" w:hAnsiTheme="minorHAnsi" w:cstheme="minorHAnsi"/>
                <w:color w:val="000000"/>
                <w:szCs w:val="22"/>
                <w:lang w:eastAsia="en-AU"/>
                <w14:ligatures w14:val="none"/>
              </w:rPr>
              <w:t xml:space="preserve">The evidence about the impact of the MSR, and the October 2022 price increases, on the viability of designated brands with an AEMP &lt;$3.50 is inconclusive. Further analysis is required to understand the effectiveness of strategies to improve the viability of these medicines within the wider landscape affecting medicine viability, including factors that influence cost of goods </w:t>
            </w:r>
            <w:r w:rsidR="00DE36E0">
              <w:rPr>
                <w:rFonts w:asciiTheme="minorHAnsi" w:hAnsiTheme="minorHAnsi" w:cstheme="minorHAnsi"/>
                <w:color w:val="000000"/>
                <w:szCs w:val="22"/>
                <w:lang w:eastAsia="en-AU"/>
                <w14:ligatures w14:val="none"/>
              </w:rPr>
              <w:t xml:space="preserve">sold </w:t>
            </w:r>
            <w:r w:rsidRPr="00A5170C">
              <w:rPr>
                <w:rFonts w:asciiTheme="minorHAnsi" w:hAnsiTheme="minorHAnsi" w:cstheme="minorHAnsi"/>
                <w:color w:val="000000"/>
                <w:szCs w:val="22"/>
                <w:lang w:eastAsia="en-AU"/>
                <w14:ligatures w14:val="none"/>
              </w:rPr>
              <w:t>(</w:t>
            </w:r>
            <w:r w:rsidRPr="00A5170C">
              <w:rPr>
                <w:rFonts w:asciiTheme="minorHAnsi" w:hAnsiTheme="minorHAnsi" w:cstheme="minorHAnsi"/>
                <w:b/>
                <w:color w:val="000000"/>
                <w:szCs w:val="22"/>
                <w:lang w:eastAsia="en-AU"/>
                <w14:ligatures w14:val="none"/>
              </w:rPr>
              <w:t>COG</w:t>
            </w:r>
            <w:r w:rsidR="00DE36E0">
              <w:rPr>
                <w:rFonts w:asciiTheme="minorHAnsi" w:hAnsiTheme="minorHAnsi" w:cstheme="minorHAnsi"/>
                <w:b/>
                <w:color w:val="000000"/>
                <w:szCs w:val="22"/>
                <w:lang w:eastAsia="en-AU"/>
                <w14:ligatures w14:val="none"/>
              </w:rPr>
              <w:t>S</w:t>
            </w:r>
            <w:r w:rsidRPr="00A5170C">
              <w:rPr>
                <w:rFonts w:asciiTheme="minorHAnsi" w:hAnsiTheme="minorHAnsi" w:cstheme="minorHAnsi"/>
                <w:color w:val="000000"/>
                <w:szCs w:val="22"/>
                <w:lang w:eastAsia="en-AU"/>
                <w14:ligatures w14:val="none"/>
              </w:rPr>
              <w:t>) and global pricing arrangements.</w:t>
            </w:r>
          </w:p>
        </w:tc>
        <w:tc>
          <w:tcPr>
            <w:tcW w:w="6384" w:type="dxa"/>
            <w:tcBorders>
              <w:bottom w:val="single" w:sz="4" w:space="0" w:color="auto"/>
            </w:tcBorders>
            <w:shd w:val="clear" w:color="auto" w:fill="F9F9F9"/>
            <w:hideMark/>
          </w:tcPr>
          <w:p w14:paraId="4EC46C18" w14:textId="77777777" w:rsidR="00A5170C" w:rsidRPr="00A5170C" w:rsidRDefault="00A5170C">
            <w:pPr>
              <w:tabs>
                <w:tab w:val="left" w:pos="8166"/>
              </w:tabs>
              <w:rPr>
                <w:rFonts w:asciiTheme="minorHAnsi" w:hAnsiTheme="minorHAnsi" w:cstheme="minorHAnsi"/>
                <w:szCs w:val="22"/>
                <w:lang w:eastAsia="en-AU"/>
                <w14:ligatures w14:val="none"/>
              </w:rPr>
            </w:pPr>
            <w:r w:rsidRPr="00B8379A">
              <w:rPr>
                <w:rFonts w:asciiTheme="minorHAnsi" w:hAnsiTheme="minorHAnsi" w:cstheme="minorHAnsi"/>
                <w:b/>
                <w:bCs/>
                <w:szCs w:val="22"/>
                <w:lang w:eastAsia="en-AU"/>
                <w14:ligatures w14:val="none"/>
              </w:rPr>
              <w:t>12.1</w:t>
            </w:r>
            <w:r w:rsidRPr="00A5170C">
              <w:rPr>
                <w:rFonts w:asciiTheme="minorHAnsi" w:hAnsiTheme="minorHAnsi" w:cstheme="minorHAnsi"/>
                <w:szCs w:val="22"/>
                <w:lang w:eastAsia="en-AU"/>
                <w14:ligatures w14:val="none"/>
              </w:rPr>
              <w:t xml:space="preserve"> solicit further feedback on whether wastage is occurring/why, and efficacy of existing processes to address this.</w:t>
            </w:r>
          </w:p>
          <w:p w14:paraId="6073B1B4" w14:textId="631F3060" w:rsidR="00A5170C" w:rsidRPr="00A5170C" w:rsidRDefault="00A5170C">
            <w:pPr>
              <w:tabs>
                <w:tab w:val="left" w:pos="8166"/>
              </w:tabs>
              <w:jc w:val="both"/>
              <w:rPr>
                <w:rFonts w:asciiTheme="minorHAnsi" w:hAnsiTheme="minorHAnsi" w:cstheme="minorHAnsi"/>
                <w:szCs w:val="22"/>
                <w:lang w:eastAsia="en-AU"/>
                <w14:ligatures w14:val="none"/>
              </w:rPr>
            </w:pPr>
            <w:r w:rsidRPr="00B8379A">
              <w:rPr>
                <w:rFonts w:asciiTheme="minorHAnsi" w:hAnsiTheme="minorHAnsi" w:cstheme="minorHAnsi"/>
                <w:b/>
                <w:bCs/>
                <w:szCs w:val="22"/>
                <w:lang w:eastAsia="en-AU"/>
                <w14:ligatures w14:val="none"/>
              </w:rPr>
              <w:t>12.2</w:t>
            </w:r>
            <w:r w:rsidRPr="00A5170C">
              <w:rPr>
                <w:rFonts w:asciiTheme="minorHAnsi" w:hAnsiTheme="minorHAnsi" w:cstheme="minorHAnsi"/>
                <w:szCs w:val="22"/>
                <w:lang w:eastAsia="en-AU"/>
                <w14:ligatures w14:val="none"/>
              </w:rPr>
              <w:t xml:space="preserve"> </w:t>
            </w:r>
            <w:r w:rsidR="00F01279">
              <w:rPr>
                <w:rFonts w:asciiTheme="minorHAnsi" w:hAnsiTheme="minorHAnsi" w:cstheme="minorHAnsi"/>
                <w:szCs w:val="22"/>
                <w:lang w:eastAsia="en-AU"/>
                <w14:ligatures w14:val="none"/>
              </w:rPr>
              <w:t>a</w:t>
            </w:r>
            <w:r w:rsidRPr="00A5170C">
              <w:rPr>
                <w:rFonts w:asciiTheme="minorHAnsi" w:hAnsiTheme="minorHAnsi" w:cstheme="minorHAnsi"/>
                <w:szCs w:val="22"/>
                <w:lang w:eastAsia="en-AU"/>
                <w14:ligatures w14:val="none"/>
              </w:rPr>
              <w:t xml:space="preserve">s per </w:t>
            </w:r>
            <w:r w:rsidRPr="00A5170C">
              <w:rPr>
                <w:rFonts w:asciiTheme="minorHAnsi" w:hAnsiTheme="minorHAnsi" w:cstheme="minorHAnsi"/>
                <w:color w:val="000000"/>
                <w:szCs w:val="22"/>
                <w:lang w:eastAsia="en-AU"/>
                <w14:ligatures w14:val="none"/>
              </w:rPr>
              <w:t>recommendation</w:t>
            </w:r>
            <w:r w:rsidRPr="00A5170C">
              <w:rPr>
                <w:rFonts w:asciiTheme="minorHAnsi" w:hAnsiTheme="minorHAnsi" w:cstheme="minorHAnsi"/>
                <w:szCs w:val="22"/>
                <w:lang w:eastAsia="en-AU"/>
                <w14:ligatures w14:val="none"/>
              </w:rPr>
              <w:t xml:space="preserve"> 5.2.</w:t>
            </w:r>
          </w:p>
          <w:p w14:paraId="51753030" w14:textId="77777777" w:rsidR="00A5170C" w:rsidRPr="00A5170C" w:rsidRDefault="00A5170C">
            <w:pPr>
              <w:tabs>
                <w:tab w:val="left" w:pos="8166"/>
              </w:tabs>
              <w:rPr>
                <w:rFonts w:asciiTheme="minorHAnsi" w:hAnsiTheme="minorHAnsi" w:cstheme="minorHAnsi"/>
                <w:szCs w:val="22"/>
                <w:lang w:eastAsia="en-AU"/>
                <w14:ligatures w14:val="none"/>
              </w:rPr>
            </w:pPr>
            <w:r w:rsidRPr="00B8379A">
              <w:rPr>
                <w:rFonts w:asciiTheme="minorHAnsi" w:hAnsiTheme="minorHAnsi" w:cstheme="minorHAnsi"/>
                <w:b/>
                <w:bCs/>
                <w:szCs w:val="22"/>
                <w:lang w:eastAsia="en-AU"/>
                <w14:ligatures w14:val="none"/>
              </w:rPr>
              <w:t>12.3</w:t>
            </w:r>
            <w:r w:rsidRPr="00A5170C">
              <w:rPr>
                <w:rFonts w:asciiTheme="minorHAnsi" w:hAnsiTheme="minorHAnsi" w:cstheme="minorHAnsi"/>
                <w:szCs w:val="22"/>
                <w:lang w:eastAsia="en-AU"/>
                <w14:ligatures w14:val="none"/>
              </w:rPr>
              <w:t xml:space="preserve"> undertake further analysis of the factors that support the viability of medicines with an AEMP &lt;$3.50 for the 24-month review.</w:t>
            </w:r>
          </w:p>
        </w:tc>
      </w:tr>
    </w:tbl>
    <w:p w14:paraId="02A89BDA" w14:textId="77777777" w:rsidR="002947D7" w:rsidRDefault="002947D7" w:rsidP="002947D7">
      <w:pPr>
        <w:rPr>
          <w:lang w:eastAsia="en-AU"/>
        </w:rPr>
        <w:sectPr w:rsidR="002947D7" w:rsidSect="00512255">
          <w:footerReference w:type="default" r:id="rId24"/>
          <w:pgSz w:w="16838" w:h="11906" w:orient="landscape"/>
          <w:pgMar w:top="1440" w:right="1440" w:bottom="1276" w:left="1440" w:header="709" w:footer="709" w:gutter="0"/>
          <w:cols w:space="708"/>
          <w:docGrid w:linePitch="360"/>
        </w:sectPr>
      </w:pPr>
    </w:p>
    <w:p w14:paraId="3CB3F9AA" w14:textId="19E892EB" w:rsidR="004B4D1B" w:rsidRPr="00AF1D2A" w:rsidRDefault="5148A9CD" w:rsidP="2D80AF68">
      <w:pPr>
        <w:pStyle w:val="Heading2"/>
        <w:rPr>
          <w:rFonts w:ascii="Calibri" w:eastAsia="Calibri" w:hAnsi="Calibri" w:cs="Calibri"/>
          <w:b/>
          <w:bCs/>
        </w:rPr>
      </w:pPr>
      <w:bookmarkStart w:id="7" w:name="_Attachment_1:_Background"/>
      <w:bookmarkEnd w:id="7"/>
      <w:r w:rsidRPr="2D80AF68">
        <w:rPr>
          <w:rFonts w:ascii="Calibri" w:eastAsia="Calibri" w:hAnsi="Calibri" w:cs="Calibri"/>
          <w:b/>
          <w:bCs/>
        </w:rPr>
        <w:lastRenderedPageBreak/>
        <w:t xml:space="preserve">Attachment 1: Background to the MSR </w:t>
      </w:r>
    </w:p>
    <w:p w14:paraId="6C851F57" w14:textId="09531559" w:rsidR="004B4D1B" w:rsidRPr="003C6838" w:rsidRDefault="1D35BF44" w:rsidP="003C6838">
      <w:pPr>
        <w:pStyle w:val="Heading3"/>
        <w:rPr>
          <w:rFonts w:ascii="Calibri" w:hAnsi="Calibri" w:cs="Calibri"/>
        </w:rPr>
      </w:pPr>
      <w:bookmarkStart w:id="8" w:name="_Medicine_shortages"/>
      <w:bookmarkEnd w:id="8"/>
      <w:r w:rsidRPr="2D80AF68">
        <w:rPr>
          <w:rFonts w:ascii="Calibri" w:hAnsi="Calibri" w:cs="Calibri"/>
        </w:rPr>
        <w:t xml:space="preserve">Medicine shortages </w:t>
      </w:r>
    </w:p>
    <w:p w14:paraId="1D4B8BE5" w14:textId="3D7D4C0D" w:rsidR="004B4D1B" w:rsidRPr="00064112" w:rsidRDefault="1D35BF44" w:rsidP="00A16054">
      <w:pPr>
        <w:pStyle w:val="Paragraphtext"/>
      </w:pPr>
      <w:r w:rsidRPr="00064112">
        <w:t>Global</w:t>
      </w:r>
      <w:r w:rsidRPr="00064112">
        <w:rPr>
          <w:rFonts w:eastAsia="Times New Roman"/>
        </w:rPr>
        <w:t xml:space="preserve"> medicine shortages can interrupt the supply of medicines to Australian patients for </w:t>
      </w:r>
      <w:proofErr w:type="gramStart"/>
      <w:r w:rsidRPr="00064112">
        <w:rPr>
          <w:rFonts w:eastAsia="Times New Roman"/>
        </w:rPr>
        <w:t>a number of</w:t>
      </w:r>
      <w:proofErr w:type="gramEnd"/>
      <w:r w:rsidRPr="00064112">
        <w:rPr>
          <w:rFonts w:eastAsia="Times New Roman"/>
        </w:rPr>
        <w:t xml:space="preserve"> health conditions. The Therapeutic Goods Administration (</w:t>
      </w:r>
      <w:r w:rsidRPr="00064112">
        <w:rPr>
          <w:rFonts w:eastAsia="Times New Roman"/>
          <w:b/>
          <w:bCs/>
        </w:rPr>
        <w:t>TGA</w:t>
      </w:r>
      <w:r w:rsidRPr="00064112">
        <w:rPr>
          <w:rFonts w:eastAsia="Times New Roman"/>
        </w:rPr>
        <w:t xml:space="preserve">) manages medicine shortages in Australia to reduce the impact on patients wherever </w:t>
      </w:r>
      <w:proofErr w:type="gramStart"/>
      <w:r w:rsidRPr="00064112">
        <w:rPr>
          <w:rFonts w:eastAsia="Times New Roman"/>
        </w:rPr>
        <w:t>possible,</w:t>
      </w:r>
      <w:r w:rsidR="00064112" w:rsidRPr="00064112">
        <w:rPr>
          <w:rFonts w:eastAsia="Times New Roman"/>
        </w:rPr>
        <w:t xml:space="preserve"> </w:t>
      </w:r>
      <w:r w:rsidRPr="00064112">
        <w:rPr>
          <w:rFonts w:eastAsia="Times New Roman"/>
        </w:rPr>
        <w:t>and</w:t>
      </w:r>
      <w:proofErr w:type="gramEnd"/>
      <w:r w:rsidRPr="00064112">
        <w:rPr>
          <w:rFonts w:eastAsia="Times New Roman"/>
        </w:rPr>
        <w:t xml:space="preserve"> publishes reported shortages in the </w:t>
      </w:r>
      <w:hyperlink r:id="rId25" w:history="1">
        <w:r w:rsidRPr="001F0870">
          <w:rPr>
            <w:rStyle w:val="Hyperlink"/>
            <w:rFonts w:eastAsia="Times New Roman"/>
          </w:rPr>
          <w:t>TGA Medicine Shortage Reports Database</w:t>
        </w:r>
      </w:hyperlink>
      <w:r w:rsidRPr="00CC0E8C">
        <w:rPr>
          <w:rFonts w:eastAsia="Times New Roman"/>
        </w:rPr>
        <w:t>.</w:t>
      </w:r>
      <w:r w:rsidRPr="00064112">
        <w:rPr>
          <w:rFonts w:eastAsia="Times New Roman"/>
        </w:rPr>
        <w:t xml:space="preserve"> While the number of shortages has been relatively consistent since the introduction of mandatory reporting in January 2019, shortages continue to impact the health and wellbeing of people in Australia and the health professionals that support them. As of</w:t>
      </w:r>
      <w:r w:rsidRPr="00064112">
        <w:rPr>
          <w:rStyle w:val="Strong"/>
          <w:rFonts w:eastAsia="Times New Roman"/>
        </w:rPr>
        <w:t xml:space="preserve"> 15 July 2024,</w:t>
      </w:r>
      <w:r w:rsidRPr="00064112">
        <w:rPr>
          <w:rStyle w:val="ui-provider"/>
          <w:rFonts w:eastAsia="Times New Roman"/>
        </w:rPr>
        <w:t xml:space="preserve"> there were </w:t>
      </w:r>
      <w:r w:rsidRPr="00064112">
        <w:rPr>
          <w:rStyle w:val="Strong"/>
          <w:rFonts w:eastAsia="Times New Roman"/>
        </w:rPr>
        <w:t>410</w:t>
      </w:r>
      <w:r w:rsidRPr="00064112">
        <w:rPr>
          <w:rStyle w:val="ui-provider"/>
          <w:rFonts w:eastAsia="Times New Roman"/>
        </w:rPr>
        <w:t xml:space="preserve"> current and </w:t>
      </w:r>
      <w:r w:rsidRPr="00064112">
        <w:rPr>
          <w:rStyle w:val="Strong"/>
          <w:rFonts w:eastAsia="Times New Roman"/>
        </w:rPr>
        <w:t>62</w:t>
      </w:r>
      <w:r w:rsidRPr="00064112">
        <w:rPr>
          <w:rStyle w:val="ui-provider"/>
          <w:rFonts w:eastAsia="Times New Roman"/>
        </w:rPr>
        <w:t xml:space="preserve"> anticipated medicine shortages published on the TGA website.</w:t>
      </w:r>
      <w:r w:rsidR="005600BE">
        <w:rPr>
          <w:rStyle w:val="FootnoteReference"/>
          <w:rFonts w:eastAsia="Times New Roman"/>
        </w:rPr>
        <w:footnoteReference w:id="6"/>
      </w:r>
      <w:r w:rsidRPr="00064112">
        <w:t xml:space="preserve"> </w:t>
      </w:r>
      <w:r w:rsidRPr="00064112">
        <w:rPr>
          <w:rFonts w:eastAsia="Times New Roman"/>
        </w:rPr>
        <w:t>Depending on the cause of the shortage, the TGA has a range of management actions it can take.</w:t>
      </w:r>
      <w:r w:rsidR="0059235A">
        <w:rPr>
          <w:rStyle w:val="FootnoteReference"/>
          <w:rFonts w:eastAsia="Times New Roman"/>
        </w:rPr>
        <w:footnoteReference w:id="7"/>
      </w:r>
    </w:p>
    <w:p w14:paraId="5D9E9E31" w14:textId="0ADB6F02" w:rsidR="004B4D1B" w:rsidRPr="00064112" w:rsidRDefault="1D35BF44" w:rsidP="00A16054">
      <w:pPr>
        <w:pStyle w:val="Paragraphtext"/>
      </w:pPr>
      <w:r w:rsidRPr="00064112">
        <w:t>Medicine supply chains are complex global systems involving many parties</w:t>
      </w:r>
      <w:r w:rsidRPr="00064112">
        <w:rPr>
          <w:rFonts w:eastAsia="Times New Roman"/>
        </w:rPr>
        <w:t>. Disruptions to supply can occur for various reasons including: manufacturing and quality issues, sudden increases in demand, pressure on prices or viability, raw material and active pharmaceutical ingredient (</w:t>
      </w:r>
      <w:r w:rsidRPr="00064112">
        <w:rPr>
          <w:rFonts w:eastAsia="Times New Roman"/>
          <w:b/>
          <w:bCs/>
        </w:rPr>
        <w:t>API</w:t>
      </w:r>
      <w:r w:rsidRPr="00064112">
        <w:rPr>
          <w:rFonts w:eastAsia="Times New Roman"/>
        </w:rPr>
        <w:t>) shortages, manufacturing problems and supply disruptions caused by geopolitical or natural/climatic events.</w:t>
      </w:r>
      <w:r w:rsidR="00E25343">
        <w:rPr>
          <w:rStyle w:val="FootnoteReference"/>
          <w:rFonts w:eastAsia="Times New Roman"/>
        </w:rPr>
        <w:footnoteReference w:id="8"/>
      </w:r>
      <w:r w:rsidRPr="00064112">
        <w:t xml:space="preserve"> </w:t>
      </w:r>
      <w:r w:rsidRPr="00064112">
        <w:rPr>
          <w:rFonts w:eastAsia="Times New Roman"/>
        </w:rPr>
        <w:t>The Organisation for Economic Co-operation and Development (</w:t>
      </w:r>
      <w:r w:rsidRPr="00064112">
        <w:rPr>
          <w:rFonts w:eastAsia="Times New Roman"/>
          <w:b/>
          <w:bCs/>
        </w:rPr>
        <w:t>OECD</w:t>
      </w:r>
      <w:r w:rsidRPr="00064112">
        <w:rPr>
          <w:rFonts w:eastAsia="Times New Roman"/>
        </w:rPr>
        <w:t>) recommends addressing the root causes – which can include pressure on costs and low profitability in generic markets – as the best way to reduce exposure to shortage risks.</w:t>
      </w:r>
      <w:r w:rsidR="00E27C76">
        <w:rPr>
          <w:rStyle w:val="FootnoteReference"/>
          <w:rFonts w:eastAsia="Times New Roman"/>
        </w:rPr>
        <w:footnoteReference w:id="9"/>
      </w:r>
      <w:r w:rsidRPr="00064112">
        <w:t xml:space="preserve"> </w:t>
      </w:r>
      <w:r w:rsidRPr="00064112">
        <w:rPr>
          <w:rFonts w:eastAsia="Times New Roman"/>
        </w:rPr>
        <w:t>In 2019 and 2020, brands of over 500 PBS listed medicines experienced medium to critical impact shortages. These shortages predominantly affected low-cost (priced at $4 or less), multi-branded medicines in the off-patent market. Multi-branded medicines represent over one third of the total number of prescriptions subsidised through the PBS.</w:t>
      </w:r>
    </w:p>
    <w:p w14:paraId="6CCB6912" w14:textId="1F3E62DD" w:rsidR="004B4D1B" w:rsidRPr="00064112" w:rsidRDefault="1D35BF44" w:rsidP="00A16054">
      <w:pPr>
        <w:pStyle w:val="Paragraphtext"/>
      </w:pPr>
      <w:r w:rsidRPr="00567147">
        <w:rPr>
          <w:rFonts w:eastAsia="Times New Roman"/>
        </w:rPr>
        <w:t>The</w:t>
      </w:r>
      <w:r w:rsidRPr="00064112">
        <w:rPr>
          <w:rFonts w:eastAsia="Times New Roman"/>
        </w:rPr>
        <w:t xml:space="preserve"> </w:t>
      </w:r>
      <w:r w:rsidRPr="00567147">
        <w:rPr>
          <w:rFonts w:eastAsia="Times New Roman"/>
        </w:rPr>
        <w:t>Department</w:t>
      </w:r>
      <w:r w:rsidRPr="00064112">
        <w:rPr>
          <w:rFonts w:eastAsia="Times New Roman"/>
        </w:rPr>
        <w:t xml:space="preserve"> of Health and Aged Care (</w:t>
      </w:r>
      <w:r w:rsidRPr="00064112">
        <w:rPr>
          <w:rFonts w:eastAsia="Times New Roman"/>
          <w:b/>
          <w:bCs/>
        </w:rPr>
        <w:t>the department</w:t>
      </w:r>
      <w:r w:rsidRPr="00064112">
        <w:rPr>
          <w:rFonts w:eastAsia="Times New Roman"/>
        </w:rPr>
        <w:t>) administers the</w:t>
      </w:r>
      <w:r w:rsidRPr="00064112">
        <w:rPr>
          <w:rFonts w:eastAsia="Times New Roman"/>
          <w:i/>
          <w:iCs/>
        </w:rPr>
        <w:t xml:space="preserve"> </w:t>
      </w:r>
      <w:hyperlink r:id="rId26">
        <w:r w:rsidRPr="00064112">
          <w:rPr>
            <w:rStyle w:val="Hyperlink"/>
            <w:rFonts w:eastAsia="Times New Roman"/>
            <w:i/>
            <w:iCs/>
          </w:rPr>
          <w:t>National Health Act 1953</w:t>
        </w:r>
      </w:hyperlink>
      <w:r w:rsidRPr="00064112">
        <w:rPr>
          <w:rFonts w:eastAsia="Times New Roman"/>
        </w:rPr>
        <w:t xml:space="preserve"> (</w:t>
      </w:r>
      <w:r w:rsidRPr="00064112">
        <w:rPr>
          <w:rFonts w:eastAsia="Times New Roman"/>
          <w:b/>
          <w:bCs/>
        </w:rPr>
        <w:t>the Act</w:t>
      </w:r>
      <w:r w:rsidRPr="00064112">
        <w:rPr>
          <w:rFonts w:eastAsia="Times New Roman"/>
        </w:rPr>
        <w:t>) which regulates the subsidisation of medicines through the Pharmaceutical Benefits Scheme (</w:t>
      </w:r>
      <w:r w:rsidRPr="00064112">
        <w:rPr>
          <w:rFonts w:eastAsia="Times New Roman"/>
          <w:b/>
          <w:bCs/>
        </w:rPr>
        <w:t>PBS</w:t>
      </w:r>
      <w:r w:rsidRPr="00064112">
        <w:rPr>
          <w:rFonts w:eastAsia="Times New Roman"/>
        </w:rPr>
        <w:t>).</w:t>
      </w:r>
      <w:r w:rsidRPr="00064112">
        <w:rPr>
          <w:rFonts w:eastAsia="Times New Roman"/>
          <w:i/>
          <w:iCs/>
        </w:rPr>
        <w:t xml:space="preserve"> </w:t>
      </w:r>
      <w:proofErr w:type="gramStart"/>
      <w:r w:rsidRPr="00064112">
        <w:rPr>
          <w:rFonts w:eastAsia="Times New Roman"/>
        </w:rPr>
        <w:t>Similar to</w:t>
      </w:r>
      <w:proofErr w:type="gramEnd"/>
      <w:r w:rsidRPr="00064112">
        <w:rPr>
          <w:rFonts w:eastAsia="Times New Roman"/>
        </w:rPr>
        <w:t xml:space="preserve"> other OECD countries, the generic medicines market is subject to a mix of price regulation and competition. In Australia, the Price Disclosure regime (Division 3CAA of the Act) can result in price reductions biannually </w:t>
      </w:r>
      <w:r w:rsidRPr="00CC0E8C">
        <w:rPr>
          <w:rFonts w:eastAsia="Times New Roman"/>
        </w:rPr>
        <w:t>(</w:t>
      </w:r>
      <w:hyperlink w:anchor="_Attachment_2:_PBS" w:history="1">
        <w:r w:rsidRPr="00346568">
          <w:rPr>
            <w:rStyle w:val="Hyperlink"/>
            <w:rFonts w:eastAsia="Times New Roman"/>
            <w:b/>
            <w:bCs/>
          </w:rPr>
          <w:t xml:space="preserve">Attachment </w:t>
        </w:r>
        <w:r w:rsidR="0057127C" w:rsidRPr="00346568">
          <w:rPr>
            <w:rStyle w:val="Hyperlink"/>
            <w:rFonts w:eastAsia="Times New Roman"/>
            <w:b/>
            <w:bCs/>
          </w:rPr>
          <w:t>2</w:t>
        </w:r>
      </w:hyperlink>
      <w:r w:rsidRPr="00CC0E8C">
        <w:rPr>
          <w:rFonts w:eastAsia="Times New Roman"/>
        </w:rPr>
        <w:t>).</w:t>
      </w:r>
      <w:r w:rsidRPr="00064112">
        <w:rPr>
          <w:rFonts w:eastAsia="Times New Roman"/>
        </w:rPr>
        <w:t xml:space="preserve"> Over time, sustained price reductions can reduce the viability of some medicines in the generic market, particularly where there are increases in production costs or other cost pressures.</w:t>
      </w:r>
    </w:p>
    <w:p w14:paraId="0542BC81" w14:textId="37638889" w:rsidR="004B4D1B" w:rsidRDefault="1D35BF44" w:rsidP="00A16054">
      <w:pPr>
        <w:pStyle w:val="Paragraphtext"/>
      </w:pPr>
      <w:r w:rsidRPr="00064112">
        <w:t>A</w:t>
      </w:r>
      <w:r w:rsidRPr="00064112">
        <w:rPr>
          <w:rFonts w:eastAsia="Times New Roman"/>
        </w:rPr>
        <w:t xml:space="preserve"> multifaceted approach combining various strategies is more effective for management of medicine shortages than a single strategy in isolation. Many OECD countries</w:t>
      </w:r>
      <w:r w:rsidR="00DD5E34">
        <w:rPr>
          <w:rStyle w:val="FootnoteReference"/>
          <w:rFonts w:eastAsia="Times New Roman"/>
        </w:rPr>
        <w:footnoteReference w:id="10"/>
      </w:r>
      <w:r w:rsidRPr="00064112">
        <w:t xml:space="preserve"> have implemented stock</w:t>
      </w:r>
      <w:r w:rsidRPr="00064112">
        <w:rPr>
          <w:rFonts w:eastAsia="Times New Roman"/>
        </w:rPr>
        <w:t>holding requirements as a policy tool to help mitigate the effects of sudden increases in demand and/or disruptions caused by supply chain failures.</w:t>
      </w:r>
      <w:r w:rsidR="002A7727">
        <w:rPr>
          <w:rStyle w:val="FootnoteReference"/>
          <w:rFonts w:eastAsia="Times New Roman"/>
        </w:rPr>
        <w:footnoteReference w:id="11"/>
      </w:r>
      <w:r w:rsidRPr="00064112">
        <w:t xml:space="preserve"> </w:t>
      </w:r>
      <w:r w:rsidRPr="00064112">
        <w:rPr>
          <w:rFonts w:eastAsia="Times New Roman"/>
        </w:rPr>
        <w:t xml:space="preserve">Australia accounts for only 2% of the global pharmaceutical market and imports over 90% of its medicines, making it more vulnerable in periods of global shortage. This highlights the role of stockholdings as a key response to managing medicine supply risks in the Australian market. Although stockholdings cannot prevent shortages that are outside the control of the medicines industry, they are designed to work in conjunction with other </w:t>
      </w:r>
      <w:r w:rsidRPr="00064112">
        <w:rPr>
          <w:rFonts w:eastAsia="Times New Roman"/>
        </w:rPr>
        <w:lastRenderedPageBreak/>
        <w:t>strategies for managing shortages and help to ensure that Australian companies are better placed to maintain supply when global disruptions occur.</w:t>
      </w:r>
    </w:p>
    <w:p w14:paraId="16CB5E18" w14:textId="0DF5893D" w:rsidR="009F1C71" w:rsidRPr="009F1C71" w:rsidRDefault="009F1C71" w:rsidP="009F1C71">
      <w:pPr>
        <w:pStyle w:val="Heading3"/>
        <w:rPr>
          <w:rFonts w:ascii="Calibri" w:hAnsi="Calibri" w:cs="Calibri"/>
        </w:rPr>
      </w:pPr>
      <w:bookmarkStart w:id="9" w:name="_The_Medicines_Supply"/>
      <w:bookmarkEnd w:id="9"/>
      <w:r w:rsidRPr="009F1C71">
        <w:rPr>
          <w:rFonts w:ascii="Calibri" w:hAnsi="Calibri" w:cs="Calibri"/>
        </w:rPr>
        <w:t xml:space="preserve">The Medicines Supply Security Guarantee </w:t>
      </w:r>
    </w:p>
    <w:p w14:paraId="165906CC" w14:textId="7F7FFC45" w:rsidR="00D7511F" w:rsidRPr="00D7511F" w:rsidRDefault="1D35BF44" w:rsidP="00074EB8">
      <w:pPr>
        <w:pStyle w:val="Paragraphtext"/>
      </w:pPr>
      <w:r w:rsidRPr="00064112">
        <w:t xml:space="preserve">The </w:t>
      </w:r>
      <w:r w:rsidRPr="00064112">
        <w:rPr>
          <w:rFonts w:eastAsia="Times New Roman"/>
        </w:rPr>
        <w:t>department explored approaches to mitigate the risk of PBS medicine shortages with Medicines Australia (</w:t>
      </w:r>
      <w:r w:rsidRPr="00064112">
        <w:rPr>
          <w:rFonts w:eastAsia="Times New Roman"/>
          <w:b/>
          <w:bCs/>
        </w:rPr>
        <w:t>MA</w:t>
      </w:r>
      <w:r w:rsidRPr="00064112">
        <w:rPr>
          <w:rFonts w:eastAsia="Times New Roman"/>
        </w:rPr>
        <w:t>) and the Generic and Biosimilar Medicines Association (</w:t>
      </w:r>
      <w:r w:rsidRPr="00064112">
        <w:rPr>
          <w:rFonts w:eastAsia="Times New Roman"/>
          <w:b/>
          <w:bCs/>
        </w:rPr>
        <w:t>GBMA</w:t>
      </w:r>
      <w:r w:rsidRPr="00064112">
        <w:rPr>
          <w:rFonts w:eastAsia="Times New Roman"/>
        </w:rPr>
        <w:t>). The</w:t>
      </w:r>
      <w:hyperlink r:id="rId27" w:history="1">
        <w:r w:rsidRPr="000C5889">
          <w:rPr>
            <w:rStyle w:val="Hyperlink"/>
            <w:rFonts w:eastAsia="Times New Roman"/>
          </w:rPr>
          <w:t xml:space="preserve"> Medicines Supply Security Guarantee</w:t>
        </w:r>
      </w:hyperlink>
      <w:r w:rsidRPr="00064112">
        <w:rPr>
          <w:rFonts w:eastAsia="Times New Roman"/>
        </w:rPr>
        <w:t xml:space="preserve"> (</w:t>
      </w:r>
      <w:r w:rsidRPr="00064112">
        <w:rPr>
          <w:rFonts w:eastAsia="Times New Roman"/>
          <w:b/>
          <w:bCs/>
        </w:rPr>
        <w:t>MSSG</w:t>
      </w:r>
      <w:r w:rsidRPr="00064112">
        <w:rPr>
          <w:rFonts w:eastAsia="Times New Roman"/>
        </w:rPr>
        <w:t xml:space="preserve">) was agreed through the </w:t>
      </w:r>
      <w:hyperlink r:id="rId28">
        <w:r w:rsidR="00303F1B">
          <w:rPr>
            <w:rStyle w:val="Hyperlink"/>
          </w:rPr>
          <w:t>2022-2027 Strategic Agreements</w:t>
        </w:r>
      </w:hyperlink>
      <w:r w:rsidR="00303F1B" w:rsidRPr="00024250">
        <w:t xml:space="preserve"> </w:t>
      </w:r>
      <w:r w:rsidRPr="00064112">
        <w:t>between the Commonwealth and MA and the GBMA to address the supply risks associated with lower-cost multi-</w:t>
      </w:r>
      <w:r w:rsidRPr="00D7511F">
        <w:t>branded medicines that can be more vulnerable to supply disruptions</w:t>
      </w:r>
      <w:r w:rsidR="00074EB8">
        <w:t xml:space="preserve">. The MSSG includes the </w:t>
      </w:r>
      <w:hyperlink w:anchor="_The_Minimum_Stockholding" w:history="1">
        <w:r w:rsidR="00D7511F" w:rsidRPr="00D7511F">
          <w:rPr>
            <w:rStyle w:val="Hyperlink"/>
          </w:rPr>
          <w:t>Minimum Stockholding Requirements (MSR)</w:t>
        </w:r>
      </w:hyperlink>
      <w:r w:rsidR="00D7511F" w:rsidRPr="00D7511F">
        <w:t xml:space="preserve"> </w:t>
      </w:r>
      <w:r w:rsidR="00074EB8">
        <w:t xml:space="preserve">and </w:t>
      </w:r>
      <w:hyperlink w:anchor="_Viability_and_the" w:history="1">
        <w:r w:rsidR="00074EB8" w:rsidRPr="00074EB8">
          <w:rPr>
            <w:rStyle w:val="Hyperlink"/>
          </w:rPr>
          <w:t>i</w:t>
        </w:r>
        <w:r w:rsidR="00D7511F" w:rsidRPr="00D7511F">
          <w:rPr>
            <w:rStyle w:val="Hyperlink"/>
          </w:rPr>
          <w:t>mproved statutory pricing mechanisms to support viability</w:t>
        </w:r>
        <w:r w:rsidR="00074EB8" w:rsidRPr="00074EB8">
          <w:rPr>
            <w:rStyle w:val="Hyperlink"/>
          </w:rPr>
          <w:t>.</w:t>
        </w:r>
      </w:hyperlink>
    </w:p>
    <w:p w14:paraId="438492AA" w14:textId="60596AF4" w:rsidR="004B4D1B" w:rsidRPr="00064112" w:rsidRDefault="1D35BF44" w:rsidP="00A16054">
      <w:pPr>
        <w:pStyle w:val="Paragraphtext"/>
      </w:pPr>
      <w:r w:rsidRPr="00064112">
        <w:t xml:space="preserve">The MSSG </w:t>
      </w:r>
      <w:r w:rsidRPr="00064112">
        <w:rPr>
          <w:rFonts w:eastAsia="Times New Roman"/>
        </w:rPr>
        <w:t xml:space="preserve">was given effect through amendments made by the </w:t>
      </w:r>
      <w:hyperlink r:id="rId29">
        <w:r w:rsidRPr="00064112">
          <w:rPr>
            <w:rStyle w:val="Hyperlink"/>
            <w:i/>
            <w:iCs/>
          </w:rPr>
          <w:t>National Health Amendment (Enhancing the Pharmaceutical Benefits Scheme) Act 2021 (</w:t>
        </w:r>
        <w:proofErr w:type="spellStart"/>
        <w:r w:rsidRPr="00064112">
          <w:rPr>
            <w:rStyle w:val="Hyperlink"/>
            <w:i/>
            <w:iCs/>
          </w:rPr>
          <w:t>Cth</w:t>
        </w:r>
        <w:proofErr w:type="spellEnd"/>
        <w:r w:rsidRPr="00064112">
          <w:rPr>
            <w:rStyle w:val="Hyperlink"/>
            <w:i/>
            <w:iCs/>
          </w:rPr>
          <w:t>)</w:t>
        </w:r>
      </w:hyperlink>
      <w:r w:rsidRPr="00064112">
        <w:t xml:space="preserve"> (</w:t>
      </w:r>
      <w:r w:rsidRPr="00064112">
        <w:rPr>
          <w:b/>
          <w:bCs/>
        </w:rPr>
        <w:t>the Amendment Act</w:t>
      </w:r>
      <w:r w:rsidRPr="00064112">
        <w:t xml:space="preserve">) and the </w:t>
      </w:r>
      <w:hyperlink r:id="rId30">
        <w:r w:rsidRPr="00064112">
          <w:rPr>
            <w:rStyle w:val="Hyperlink"/>
            <w:rFonts w:eastAsia="Times New Roman"/>
            <w:i/>
            <w:iCs/>
          </w:rPr>
          <w:t>National Health (Pharmaceutical Benefits) Amendment (2021 Measures No. 1) Regulations 2021 (</w:t>
        </w:r>
        <w:proofErr w:type="spellStart"/>
        <w:r w:rsidRPr="00064112">
          <w:rPr>
            <w:rStyle w:val="Hyperlink"/>
            <w:rFonts w:eastAsia="Times New Roman"/>
            <w:i/>
            <w:iCs/>
          </w:rPr>
          <w:t>Cth</w:t>
        </w:r>
        <w:proofErr w:type="spellEnd"/>
        <w:r w:rsidRPr="00064112">
          <w:rPr>
            <w:rStyle w:val="Hyperlink"/>
            <w:rFonts w:eastAsia="Times New Roman"/>
            <w:i/>
            <w:iCs/>
          </w:rPr>
          <w:t>)</w:t>
        </w:r>
      </w:hyperlink>
      <w:r w:rsidR="00074EB8">
        <w:rPr>
          <w:rFonts w:eastAsia="Times New Roman"/>
        </w:rPr>
        <w:t>.</w:t>
      </w:r>
    </w:p>
    <w:p w14:paraId="6CA680FE" w14:textId="6BFDD70E" w:rsidR="004B4D1B" w:rsidRPr="00064112" w:rsidRDefault="1D35BF44" w:rsidP="00A16054">
      <w:pPr>
        <w:pStyle w:val="Paragraphtext"/>
      </w:pPr>
      <w:r w:rsidRPr="00064112">
        <w:t>The Strategic Agreement</w:t>
      </w:r>
      <w:r w:rsidRPr="00064112">
        <w:rPr>
          <w:rFonts w:eastAsia="Times New Roman"/>
        </w:rPr>
        <w:t xml:space="preserve"> with the GBMA includes a commitment to undertake a review of the progress and outcomes of the stockholding policy by 1 July 2024 or a later date by agreement</w:t>
      </w:r>
      <w:r w:rsidR="002C137F">
        <w:rPr>
          <w:rStyle w:val="FootnoteReference"/>
          <w:rFonts w:eastAsia="Times New Roman"/>
        </w:rPr>
        <w:footnoteReference w:id="12"/>
      </w:r>
      <w:r w:rsidRPr="00064112">
        <w:rPr>
          <w:rFonts w:eastAsia="Times New Roman"/>
        </w:rPr>
        <w:t>. Th</w:t>
      </w:r>
      <w:r w:rsidR="000448AA">
        <w:rPr>
          <w:rFonts w:eastAsia="Times New Roman"/>
        </w:rPr>
        <w:t>e</w:t>
      </w:r>
      <w:r w:rsidRPr="00064112">
        <w:rPr>
          <w:rFonts w:eastAsia="Times New Roman"/>
        </w:rPr>
        <w:t xml:space="preserve"> </w:t>
      </w:r>
      <w:r w:rsidR="000448AA">
        <w:rPr>
          <w:rFonts w:eastAsia="Times New Roman"/>
        </w:rPr>
        <w:t>E</w:t>
      </w:r>
      <w:r w:rsidR="000C5889">
        <w:rPr>
          <w:rFonts w:eastAsia="Times New Roman"/>
        </w:rPr>
        <w:t xml:space="preserve">xecutive </w:t>
      </w:r>
      <w:r w:rsidR="000448AA">
        <w:rPr>
          <w:rFonts w:eastAsia="Times New Roman"/>
        </w:rPr>
        <w:t>S</w:t>
      </w:r>
      <w:r w:rsidR="000C5889">
        <w:rPr>
          <w:rFonts w:eastAsia="Times New Roman"/>
        </w:rPr>
        <w:t xml:space="preserve">ummary </w:t>
      </w:r>
      <w:r w:rsidRPr="00064112">
        <w:rPr>
          <w:rFonts w:eastAsia="Times New Roman"/>
        </w:rPr>
        <w:t>presents the</w:t>
      </w:r>
      <w:r w:rsidR="000C5889">
        <w:rPr>
          <w:rFonts w:eastAsia="Times New Roman"/>
        </w:rPr>
        <w:t xml:space="preserve"> key</w:t>
      </w:r>
      <w:r w:rsidRPr="00064112">
        <w:rPr>
          <w:rFonts w:eastAsia="Times New Roman"/>
        </w:rPr>
        <w:t xml:space="preserve"> findings of this review.</w:t>
      </w:r>
    </w:p>
    <w:p w14:paraId="22ACA766" w14:textId="4890D3E8" w:rsidR="004B4D1B" w:rsidRPr="00074EB8" w:rsidRDefault="1D35BF44" w:rsidP="00074EB8">
      <w:pPr>
        <w:pStyle w:val="Heading3"/>
        <w:rPr>
          <w:rFonts w:ascii="Calibri" w:hAnsi="Calibri" w:cs="Calibri"/>
        </w:rPr>
      </w:pPr>
      <w:bookmarkStart w:id="10" w:name="_The_Minimum_Stockholding"/>
      <w:bookmarkEnd w:id="10"/>
      <w:r w:rsidRPr="00074EB8">
        <w:rPr>
          <w:rFonts w:ascii="Calibri" w:hAnsi="Calibri" w:cs="Calibri"/>
        </w:rPr>
        <w:t xml:space="preserve">The Minimum Stockholding Requirements </w:t>
      </w:r>
    </w:p>
    <w:p w14:paraId="51CB0801" w14:textId="043014D3" w:rsidR="007B6A0C" w:rsidRPr="007B6A0C" w:rsidRDefault="1D35BF44" w:rsidP="007B6A0C">
      <w:pPr>
        <w:pStyle w:val="Paragraphtext"/>
      </w:pPr>
      <w:r w:rsidRPr="00064112">
        <w:t>From 1 July 2023, u</w:t>
      </w:r>
      <w:r w:rsidRPr="00064112">
        <w:rPr>
          <w:rFonts w:eastAsia="Times New Roman"/>
        </w:rPr>
        <w:t>nder Division 3CAA of the Act, RPs are required to hold a minimum of either four or six months of stock in Australia for ‘</w:t>
      </w:r>
      <w:hyperlink r:id="rId31">
        <w:r w:rsidRPr="00064112">
          <w:rPr>
            <w:rStyle w:val="Hyperlink"/>
            <w:u w:val="none"/>
          </w:rPr>
          <w:t>Designated Brands</w:t>
        </w:r>
      </w:hyperlink>
      <w:r w:rsidRPr="00064112">
        <w:t xml:space="preserve">’ listed on the PBS. </w:t>
      </w:r>
      <w:r w:rsidR="007B6A0C" w:rsidRPr="007B6A0C">
        <w:t>These supply buffers are intended to ensure better continuity of supply in the Australian market and allow additional time for global supply disruptions to be resolved including through identifying alternative sources of supply wherever possible.</w:t>
      </w:r>
    </w:p>
    <w:p w14:paraId="1A3A47EC" w14:textId="439B82F2" w:rsidR="004B4D1B" w:rsidRPr="00064112" w:rsidRDefault="1D35BF44" w:rsidP="00A16054">
      <w:pPr>
        <w:pStyle w:val="Paragraphtext"/>
      </w:pPr>
      <w:r w:rsidRPr="00064112">
        <w:t>A brand of a pharmaceutical item</w:t>
      </w:r>
      <w:r w:rsidR="00E17F8B">
        <w:rPr>
          <w:rStyle w:val="FootnoteReference"/>
        </w:rPr>
        <w:footnoteReference w:id="13"/>
      </w:r>
      <w:r w:rsidRPr="00064112">
        <w:t xml:space="preserve"> is a ‘designated brand’ (s99ADHC) and will be subject to the minimum stockholding requirements (s99AEKA) from the date that it meets one or more of the criteria set out in s99ADHC(1) of the Act:</w:t>
      </w:r>
    </w:p>
    <w:p w14:paraId="3449305E" w14:textId="0071FD0D" w:rsidR="004B4D1B" w:rsidRPr="00064112" w:rsidRDefault="1D35BF44" w:rsidP="00A16054">
      <w:pPr>
        <w:pStyle w:val="ListParagraph"/>
        <w:numPr>
          <w:ilvl w:val="0"/>
          <w:numId w:val="21"/>
        </w:numPr>
        <w:spacing w:before="120" w:after="120"/>
        <w:contextualSpacing w:val="0"/>
        <w:jc w:val="both"/>
        <w:rPr>
          <w:rFonts w:asciiTheme="minorHAnsi" w:eastAsia="Calibri" w:hAnsiTheme="minorHAnsi" w:cstheme="minorHAnsi"/>
          <w:szCs w:val="22"/>
        </w:rPr>
      </w:pPr>
      <w:r w:rsidRPr="00064112">
        <w:rPr>
          <w:rFonts w:asciiTheme="minorHAnsi" w:eastAsia="Calibri" w:hAnsiTheme="minorHAnsi" w:cstheme="minorHAnsi"/>
          <w:szCs w:val="22"/>
        </w:rPr>
        <w:t>the drug and manner of administration (drug/</w:t>
      </w:r>
      <w:proofErr w:type="spellStart"/>
      <w:r w:rsidRPr="00064112">
        <w:rPr>
          <w:rFonts w:asciiTheme="minorHAnsi" w:hAnsiTheme="minorHAnsi" w:cstheme="minorHAnsi"/>
          <w:szCs w:val="22"/>
        </w:rPr>
        <w:t>MoA</w:t>
      </w:r>
      <w:proofErr w:type="spellEnd"/>
      <w:r w:rsidRPr="00064112">
        <w:rPr>
          <w:rFonts w:asciiTheme="minorHAnsi" w:hAnsiTheme="minorHAnsi" w:cstheme="minorHAnsi"/>
          <w:szCs w:val="22"/>
        </w:rPr>
        <w:t>) of the pharmaceutical item has been on Formulary 2 (</w:t>
      </w:r>
      <w:r w:rsidRPr="00064112">
        <w:rPr>
          <w:rFonts w:asciiTheme="minorHAnsi" w:hAnsiTheme="minorHAnsi" w:cstheme="minorHAnsi"/>
          <w:b/>
          <w:bCs/>
          <w:szCs w:val="22"/>
        </w:rPr>
        <w:t>F2</w:t>
      </w:r>
      <w:r w:rsidRPr="00064112">
        <w:rPr>
          <w:rFonts w:asciiTheme="minorHAnsi" w:hAnsiTheme="minorHAnsi" w:cstheme="minorHAnsi"/>
          <w:szCs w:val="22"/>
        </w:rPr>
        <w:t xml:space="preserve">) for at least 42 months and at least 30 months must have passed since the first </w:t>
      </w:r>
      <w:hyperlink w:anchor="_Price_disclosure_(PD)" w:history="1">
        <w:r w:rsidRPr="00BC6FCD">
          <w:rPr>
            <w:rStyle w:val="Hyperlink"/>
            <w:rFonts w:asciiTheme="minorHAnsi" w:hAnsiTheme="minorHAnsi" w:cstheme="minorHAnsi"/>
            <w:szCs w:val="22"/>
          </w:rPr>
          <w:t>price disclosure</w:t>
        </w:r>
      </w:hyperlink>
      <w:r w:rsidRPr="00064112">
        <w:rPr>
          <w:rFonts w:asciiTheme="minorHAnsi" w:hAnsiTheme="minorHAnsi" w:cstheme="minorHAnsi"/>
          <w:szCs w:val="22"/>
        </w:rPr>
        <w:t xml:space="preserve"> price reduction for any brand of the same drug/</w:t>
      </w:r>
      <w:proofErr w:type="spellStart"/>
      <w:r w:rsidRPr="00064112">
        <w:rPr>
          <w:rFonts w:asciiTheme="minorHAnsi" w:hAnsiTheme="minorHAnsi" w:cstheme="minorHAnsi"/>
          <w:szCs w:val="22"/>
        </w:rPr>
        <w:t>MoA</w:t>
      </w:r>
      <w:proofErr w:type="spellEnd"/>
      <w:r w:rsidRPr="00064112">
        <w:rPr>
          <w:rFonts w:asciiTheme="minorHAnsi" w:hAnsiTheme="minorHAnsi" w:cstheme="minorHAnsi"/>
          <w:szCs w:val="22"/>
        </w:rPr>
        <w:t xml:space="preserve"> (42-month clock) (s99ADHC(1)(a)) (refer to </w:t>
      </w:r>
      <w:hyperlink w:anchor="_Attachment_2:_PBS_1" w:history="1">
        <w:r w:rsidRPr="009B3570">
          <w:rPr>
            <w:rStyle w:val="Hyperlink"/>
            <w:rFonts w:asciiTheme="minorHAnsi" w:hAnsiTheme="minorHAnsi" w:cstheme="minorHAnsi"/>
            <w:b/>
            <w:bCs/>
            <w:szCs w:val="22"/>
          </w:rPr>
          <w:t xml:space="preserve">Attachment </w:t>
        </w:r>
        <w:r w:rsidR="00BF7CED" w:rsidRPr="009B3570">
          <w:rPr>
            <w:rStyle w:val="Hyperlink"/>
            <w:rFonts w:asciiTheme="minorHAnsi" w:hAnsiTheme="minorHAnsi" w:cstheme="minorHAnsi"/>
            <w:b/>
            <w:bCs/>
            <w:szCs w:val="22"/>
          </w:rPr>
          <w:t>2</w:t>
        </w:r>
      </w:hyperlink>
      <w:r w:rsidRPr="00064112">
        <w:rPr>
          <w:rFonts w:asciiTheme="minorHAnsi" w:hAnsiTheme="minorHAnsi" w:cstheme="minorHAnsi"/>
          <w:szCs w:val="22"/>
        </w:rPr>
        <w:t xml:space="preserve"> for a brief overview of PBS pricing).</w:t>
      </w:r>
    </w:p>
    <w:p w14:paraId="2ADB574F" w14:textId="3FFB62C5" w:rsidR="004B4D1B" w:rsidRPr="00064112" w:rsidRDefault="1D35BF44" w:rsidP="00A16054">
      <w:pPr>
        <w:pStyle w:val="ListParagraph"/>
        <w:numPr>
          <w:ilvl w:val="0"/>
          <w:numId w:val="21"/>
        </w:numPr>
        <w:spacing w:before="120" w:after="120"/>
        <w:contextualSpacing w:val="0"/>
        <w:jc w:val="both"/>
        <w:rPr>
          <w:rFonts w:asciiTheme="minorHAnsi" w:eastAsia="Calibri" w:hAnsiTheme="minorHAnsi" w:cstheme="minorHAnsi"/>
          <w:szCs w:val="22"/>
        </w:rPr>
      </w:pPr>
      <w:r w:rsidRPr="00064112">
        <w:rPr>
          <w:rFonts w:asciiTheme="minorHAnsi" w:eastAsia="Calibri" w:hAnsiTheme="minorHAnsi" w:cstheme="minorHAnsi"/>
          <w:szCs w:val="22"/>
        </w:rPr>
        <w:t>the AEMP of the brand is $4 or less (s99ADHC(1)(b))</w:t>
      </w:r>
      <w:r w:rsidR="008836BC">
        <w:rPr>
          <w:rFonts w:asciiTheme="minorHAnsi" w:hAnsiTheme="minorHAnsi" w:cstheme="minorHAnsi"/>
          <w:szCs w:val="22"/>
        </w:rPr>
        <w:t>.</w:t>
      </w:r>
    </w:p>
    <w:p w14:paraId="28A8A219" w14:textId="2A08E5C7" w:rsidR="004B4D1B" w:rsidRPr="00064112" w:rsidRDefault="1D35BF44" w:rsidP="00A16054">
      <w:pPr>
        <w:pStyle w:val="ListParagraph"/>
        <w:numPr>
          <w:ilvl w:val="0"/>
          <w:numId w:val="21"/>
        </w:numPr>
        <w:spacing w:before="120" w:after="120"/>
        <w:contextualSpacing w:val="0"/>
        <w:jc w:val="both"/>
        <w:rPr>
          <w:rFonts w:asciiTheme="minorHAnsi" w:eastAsia="Calibri" w:hAnsiTheme="minorHAnsi" w:cstheme="minorHAnsi"/>
          <w:szCs w:val="22"/>
        </w:rPr>
      </w:pPr>
      <w:r w:rsidRPr="00064112">
        <w:rPr>
          <w:rFonts w:asciiTheme="minorHAnsi" w:eastAsia="Calibri" w:hAnsiTheme="minorHAnsi" w:cstheme="minorHAnsi"/>
          <w:szCs w:val="22"/>
        </w:rPr>
        <w:t>the AEMP of the brand has been increased on or after 1 July 2022 through a new price agreement and a determination is in force in relation to the brand under s99ADHC(2) (</w:t>
      </w:r>
      <w:r w:rsidRPr="00064112">
        <w:rPr>
          <w:rFonts w:asciiTheme="minorHAnsi" w:hAnsiTheme="minorHAnsi" w:cstheme="minorHAnsi"/>
          <w:b/>
          <w:bCs/>
          <w:szCs w:val="22"/>
        </w:rPr>
        <w:t>designated brand determination</w:t>
      </w:r>
      <w:r w:rsidRPr="00064112">
        <w:rPr>
          <w:rFonts w:asciiTheme="minorHAnsi" w:hAnsiTheme="minorHAnsi" w:cstheme="minorHAnsi"/>
          <w:szCs w:val="22"/>
        </w:rPr>
        <w:t>) (s99ADHC(1)(c))</w:t>
      </w:r>
      <w:r w:rsidR="008836BC">
        <w:rPr>
          <w:rFonts w:asciiTheme="minorHAnsi" w:hAnsiTheme="minorHAnsi" w:cstheme="minorHAnsi"/>
          <w:szCs w:val="22"/>
        </w:rPr>
        <w:t>.</w:t>
      </w:r>
    </w:p>
    <w:p w14:paraId="30E56793" w14:textId="3263BE56" w:rsidR="004B4D1B" w:rsidRPr="00064112" w:rsidRDefault="1D35BF44" w:rsidP="00A16054">
      <w:pPr>
        <w:pStyle w:val="ListParagraph"/>
        <w:numPr>
          <w:ilvl w:val="0"/>
          <w:numId w:val="21"/>
        </w:numPr>
        <w:spacing w:before="120" w:after="120"/>
        <w:contextualSpacing w:val="0"/>
        <w:jc w:val="both"/>
        <w:rPr>
          <w:rFonts w:asciiTheme="minorHAnsi" w:eastAsia="Calibri" w:hAnsiTheme="minorHAnsi" w:cstheme="minorHAnsi"/>
          <w:szCs w:val="22"/>
        </w:rPr>
      </w:pPr>
      <w:r w:rsidRPr="00064112">
        <w:rPr>
          <w:rFonts w:asciiTheme="minorHAnsi" w:eastAsia="Calibri" w:hAnsiTheme="minorHAnsi" w:cstheme="minorHAnsi"/>
          <w:szCs w:val="22"/>
        </w:rPr>
        <w:t>the AEMP of the brand has received a price increase on 1 October 2022 under s104B of the Act (s99ADHC(1)(d)).</w:t>
      </w:r>
    </w:p>
    <w:p w14:paraId="6BDAEB39" w14:textId="666459ED" w:rsidR="004B4D1B" w:rsidRDefault="1D35BF44" w:rsidP="00A16054">
      <w:pPr>
        <w:pStyle w:val="Paragraphtext"/>
      </w:pPr>
      <w:r w:rsidRPr="00064112">
        <w:t xml:space="preserve">As of 1 </w:t>
      </w:r>
      <w:r w:rsidRPr="00064112">
        <w:rPr>
          <w:rFonts w:eastAsia="Times New Roman"/>
        </w:rPr>
        <w:t xml:space="preserve">July 2024, there were </w:t>
      </w:r>
      <w:r w:rsidRPr="00064112">
        <w:rPr>
          <w:rFonts w:eastAsia="Times New Roman"/>
          <w:b/>
          <w:bCs/>
        </w:rPr>
        <w:t>2,945</w:t>
      </w:r>
      <w:r w:rsidRPr="00064112">
        <w:rPr>
          <w:rFonts w:eastAsia="Times New Roman"/>
        </w:rPr>
        <w:t xml:space="preserve"> designated brands across </w:t>
      </w:r>
      <w:r w:rsidRPr="00064112">
        <w:rPr>
          <w:rFonts w:eastAsia="Times New Roman"/>
          <w:b/>
          <w:bCs/>
        </w:rPr>
        <w:t>867</w:t>
      </w:r>
      <w:r w:rsidRPr="00064112">
        <w:rPr>
          <w:rFonts w:eastAsia="Times New Roman"/>
        </w:rPr>
        <w:t xml:space="preserve"> pharmaceutical items that are subject to the stockholding requirements. This includes medicines to treat health conditions including high blood pressure, high cholesterol, depression, schizophrenia, Alzheimer’s disease, glaucoma, nerve pain, diabetes</w:t>
      </w:r>
      <w:r w:rsidR="0079392E">
        <w:rPr>
          <w:rFonts w:eastAsia="Times New Roman"/>
        </w:rPr>
        <w:t>,</w:t>
      </w:r>
      <w:r w:rsidRPr="00064112">
        <w:rPr>
          <w:rFonts w:eastAsia="Times New Roman"/>
        </w:rPr>
        <w:t xml:space="preserve"> and infections. The department first published a list of Designated Brands on the PBS website on 1 July 2022, providing 12 months advance notice for RPs to meet the MSR from 1</w:t>
      </w:r>
      <w:r w:rsidR="00C80A3F">
        <w:rPr>
          <w:rFonts w:eastAsia="Times New Roman"/>
        </w:rPr>
        <w:t> </w:t>
      </w:r>
      <w:r w:rsidRPr="00064112">
        <w:rPr>
          <w:rFonts w:eastAsia="Times New Roman"/>
        </w:rPr>
        <w:t>July</w:t>
      </w:r>
      <w:r w:rsidR="00C80A3F">
        <w:rPr>
          <w:rFonts w:eastAsia="Times New Roman"/>
        </w:rPr>
        <w:t> </w:t>
      </w:r>
      <w:r w:rsidRPr="00064112">
        <w:rPr>
          <w:rFonts w:eastAsia="Times New Roman"/>
        </w:rPr>
        <w:t xml:space="preserve">2023. The department updates the list of designated brands on the PBS website biannually on </w:t>
      </w:r>
      <w:r w:rsidRPr="00064112">
        <w:rPr>
          <w:rFonts w:eastAsia="Times New Roman"/>
        </w:rPr>
        <w:lastRenderedPageBreak/>
        <w:t>1 April and 1 October. The list includes details of those brands projected to become designated brands within 12 months from the publication date.</w:t>
      </w:r>
    </w:p>
    <w:p w14:paraId="1FEA3F7E" w14:textId="32DAC0CD" w:rsidR="00C04DB6" w:rsidRDefault="00C04DB6" w:rsidP="00C04DB6">
      <w:pPr>
        <w:spacing w:before="120" w:after="120"/>
        <w:jc w:val="both"/>
        <w:rPr>
          <w:rFonts w:asciiTheme="minorHAnsi" w:hAnsiTheme="minorHAnsi" w:cstheme="minorHAnsi"/>
          <w:szCs w:val="22"/>
        </w:rPr>
      </w:pPr>
      <w:r w:rsidRPr="00064112">
        <w:rPr>
          <w:rFonts w:asciiTheme="minorHAnsi" w:eastAsia="Calibri" w:hAnsiTheme="minorHAnsi" w:cstheme="minorHAnsi"/>
          <w:szCs w:val="22"/>
        </w:rPr>
        <w:t xml:space="preserve">The </w:t>
      </w:r>
      <w:r w:rsidRPr="00064112">
        <w:rPr>
          <w:rFonts w:asciiTheme="minorHAnsi" w:hAnsiTheme="minorHAnsi" w:cstheme="minorHAnsi"/>
          <w:szCs w:val="22"/>
        </w:rPr>
        <w:t xml:space="preserve">department conducted extensive consultation with the medicines industry in the development of </w:t>
      </w:r>
      <w:hyperlink r:id="rId32">
        <w:r w:rsidRPr="00064112">
          <w:rPr>
            <w:rStyle w:val="Hyperlink"/>
            <w:rFonts w:asciiTheme="minorHAnsi" w:eastAsia="Calibri" w:hAnsiTheme="minorHAnsi" w:cstheme="minorHAnsi"/>
            <w:szCs w:val="22"/>
          </w:rPr>
          <w:t>PBS Minimum Stockholding Guidelines</w:t>
        </w:r>
      </w:hyperlink>
      <w:r w:rsidRPr="00064112">
        <w:rPr>
          <w:rFonts w:asciiTheme="minorHAnsi" w:eastAsia="Calibri" w:hAnsiTheme="minorHAnsi" w:cstheme="minorHAnsi"/>
          <w:szCs w:val="22"/>
        </w:rPr>
        <w:t xml:space="preserve"> (</w:t>
      </w:r>
      <w:r w:rsidRPr="00064112">
        <w:rPr>
          <w:rFonts w:asciiTheme="minorHAnsi" w:eastAsia="Calibri" w:hAnsiTheme="minorHAnsi" w:cstheme="minorHAnsi"/>
          <w:b/>
          <w:bCs/>
          <w:szCs w:val="22"/>
        </w:rPr>
        <w:t>the Guidelines</w:t>
      </w:r>
      <w:r w:rsidRPr="00064112">
        <w:rPr>
          <w:rFonts w:asciiTheme="minorHAnsi" w:eastAsia="Calibri" w:hAnsiTheme="minorHAnsi" w:cstheme="minorHAnsi"/>
          <w:szCs w:val="22"/>
        </w:rPr>
        <w:t xml:space="preserve">) to support industry in implementing the MSR. The Guidelines include operational aspects such as reporting requirements, compliance obligations and the process for RPs to request a </w:t>
      </w:r>
      <w:hyperlink w:anchor="_Ministerial_determination_of" w:history="1">
        <w:r w:rsidR="1D35BF44" w:rsidRPr="001B332F">
          <w:rPr>
            <w:rStyle w:val="Hyperlink"/>
            <w:rFonts w:asciiTheme="minorHAnsi" w:eastAsia="Calibri" w:hAnsiTheme="minorHAnsi" w:cstheme="minorHAnsi"/>
            <w:szCs w:val="22"/>
          </w:rPr>
          <w:t>Ministerial Determination of ‘another quantity’</w:t>
        </w:r>
      </w:hyperlink>
      <w:r w:rsidRPr="00064112">
        <w:rPr>
          <w:rFonts w:asciiTheme="minorHAnsi" w:eastAsia="Calibri" w:hAnsiTheme="minorHAnsi" w:cstheme="minorHAnsi"/>
          <w:szCs w:val="22"/>
        </w:rPr>
        <w:t>.</w:t>
      </w:r>
    </w:p>
    <w:p w14:paraId="46B8AEE4" w14:textId="77777777" w:rsidR="00CC3817" w:rsidRPr="00AF1D2A" w:rsidRDefault="00CC3817" w:rsidP="00C54437">
      <w:pPr>
        <w:pStyle w:val="Heading4"/>
      </w:pPr>
      <w:bookmarkStart w:id="11" w:name="_Substantive_stockholding_requiremen"/>
      <w:bookmarkEnd w:id="11"/>
      <w:r w:rsidRPr="2D80AF68">
        <w:rPr>
          <w:rFonts w:ascii="Calibri" w:eastAsia="Calibri" w:hAnsi="Calibri" w:cs="Calibri"/>
          <w:szCs w:val="22"/>
        </w:rPr>
        <w:t xml:space="preserve">Substantive stockholding requirements </w:t>
      </w:r>
    </w:p>
    <w:p w14:paraId="7B0FFA11" w14:textId="0D233AF0" w:rsidR="00926DBB" w:rsidRPr="00064112" w:rsidRDefault="00CC3817" w:rsidP="00926DBB">
      <w:pPr>
        <w:pStyle w:val="Paragraphtext"/>
      </w:pPr>
      <w:r w:rsidRPr="000D0914">
        <w:t xml:space="preserve">The amount of stock required to be kept </w:t>
      </w:r>
      <w:proofErr w:type="gramStart"/>
      <w:r w:rsidRPr="000D0914">
        <w:t>to meet</w:t>
      </w:r>
      <w:proofErr w:type="gramEnd"/>
      <w:r w:rsidRPr="000D0914">
        <w:t xml:space="preserve"> the MSR is set by reference to a number of months (generally either 4 or 6 months) of ‘usual demand’ for the brand of pharmaceutical item.</w:t>
      </w:r>
      <w:r w:rsidRPr="00683057">
        <w:t xml:space="preserve"> </w:t>
      </w:r>
      <w:r w:rsidR="00926DBB" w:rsidRPr="00064112">
        <w:t>Designated brands that receive a price increase are required to hold six months stock</w:t>
      </w:r>
      <w:r w:rsidR="00926DBB" w:rsidRPr="00C04DB6">
        <w:t xml:space="preserve"> by reference to ‘usual demand’. Designated brands that have not received a price increase are required to hold four months stock by reference to ‘usual demand’.</w:t>
      </w:r>
    </w:p>
    <w:p w14:paraId="361A4D66" w14:textId="1B98C116" w:rsidR="00CC3817" w:rsidRPr="006A047F" w:rsidRDefault="00CC3817" w:rsidP="00CC3817">
      <w:pPr>
        <w:spacing w:before="120" w:after="120"/>
        <w:jc w:val="both"/>
        <w:rPr>
          <w:rFonts w:asciiTheme="minorHAnsi" w:hAnsiTheme="minorHAnsi" w:cstheme="minorHAnsi"/>
          <w:szCs w:val="22"/>
        </w:rPr>
      </w:pPr>
      <w:r w:rsidRPr="00683057">
        <w:rPr>
          <w:rFonts w:asciiTheme="minorHAnsi" w:eastAsia="Calibri" w:hAnsiTheme="minorHAnsi" w:cstheme="minorHAnsi"/>
          <w:szCs w:val="22"/>
        </w:rPr>
        <w:t xml:space="preserve">‘Usual demand’ is the average number of packs of a brand supplied per month based on </w:t>
      </w:r>
      <w:hyperlink w:anchor="_Price_disclosure_(PD)" w:history="1">
        <w:r w:rsidRPr="00676872">
          <w:rPr>
            <w:rStyle w:val="Hyperlink"/>
            <w:rFonts w:asciiTheme="minorHAnsi" w:eastAsia="Calibri" w:hAnsiTheme="minorHAnsi" w:cstheme="minorHAnsi"/>
            <w:szCs w:val="22"/>
          </w:rPr>
          <w:t>price disclosure data</w:t>
        </w:r>
      </w:hyperlink>
      <w:r w:rsidRPr="00683057">
        <w:rPr>
          <w:rFonts w:asciiTheme="minorHAnsi" w:eastAsia="Calibri" w:hAnsiTheme="minorHAnsi" w:cstheme="minorHAnsi"/>
          <w:szCs w:val="22"/>
        </w:rPr>
        <w:t xml:space="preserve"> where available. Stock that is required to be held is based on price disclosure data</w:t>
      </w:r>
      <w:r w:rsidRPr="000D0914">
        <w:rPr>
          <w:rStyle w:val="FootnoteReference"/>
          <w:rFonts w:asciiTheme="minorHAnsi" w:eastAsia="Calibri" w:hAnsiTheme="minorHAnsi" w:cstheme="minorHAnsi"/>
          <w:szCs w:val="22"/>
        </w:rPr>
        <w:footnoteReference w:id="14"/>
      </w:r>
      <w:r w:rsidRPr="00683057">
        <w:rPr>
          <w:rFonts w:asciiTheme="minorHAnsi" w:eastAsia="Calibri" w:hAnsiTheme="minorHAnsi" w:cstheme="minorHAnsi"/>
          <w:szCs w:val="22"/>
        </w:rPr>
        <w:t xml:space="preserve"> in the corresponding 6-month data collection period occurring 12 months prior to each stockholding period. For example, for the stockholding period 1 April 2024 to 30 September 2024, usual demand is based on supplies in the reference period 1 April 2023 to 30 September 2023. This allows the MSR to account for any seasonal variation in demand. Where price disclosure data is not available (brands containing drugs on the F1 formulary or</w:t>
      </w:r>
      <w:r w:rsidRPr="000D0914">
        <w:rPr>
          <w:rFonts w:asciiTheme="minorHAnsi" w:hAnsiTheme="minorHAnsi" w:cstheme="minorHAnsi"/>
          <w:szCs w:val="22"/>
        </w:rPr>
        <w:t xml:space="preserve"> the </w:t>
      </w:r>
      <w:r w:rsidRPr="00A16054">
        <w:rPr>
          <w:rFonts w:asciiTheme="minorHAnsi" w:hAnsiTheme="minorHAnsi" w:cstheme="minorHAnsi"/>
          <w:szCs w:val="22"/>
        </w:rPr>
        <w:t>Combination Drugs List (</w:t>
      </w:r>
      <w:r w:rsidRPr="00A16054">
        <w:rPr>
          <w:rFonts w:asciiTheme="minorHAnsi" w:hAnsiTheme="minorHAnsi" w:cstheme="minorHAnsi"/>
          <w:b/>
          <w:bCs/>
          <w:szCs w:val="22"/>
        </w:rPr>
        <w:t>CDL</w:t>
      </w:r>
      <w:r w:rsidRPr="00A16054">
        <w:rPr>
          <w:rFonts w:asciiTheme="minorHAnsi" w:hAnsiTheme="minorHAnsi" w:cstheme="minorHAnsi"/>
          <w:szCs w:val="22"/>
        </w:rPr>
        <w:t>),</w:t>
      </w:r>
      <w:r w:rsidRPr="000D0914">
        <w:rPr>
          <w:rFonts w:asciiTheme="minorHAnsi" w:hAnsiTheme="minorHAnsi" w:cstheme="minorHAnsi"/>
          <w:szCs w:val="22"/>
        </w:rPr>
        <w:t xml:space="preserve"> and pharmaceutical items </w:t>
      </w:r>
      <w:r w:rsidRPr="006A047F">
        <w:rPr>
          <w:rFonts w:asciiTheme="minorHAnsi" w:hAnsiTheme="minorHAnsi" w:cstheme="minorHAnsi"/>
          <w:szCs w:val="22"/>
        </w:rPr>
        <w:t>exempt from price disclosure), PBS prescription data is utilised instead.</w:t>
      </w:r>
    </w:p>
    <w:p w14:paraId="2A182377" w14:textId="4E342FCD" w:rsidR="00CC3817" w:rsidRDefault="00CC3817" w:rsidP="00CC3817">
      <w:pPr>
        <w:spacing w:before="120" w:after="120"/>
        <w:jc w:val="both"/>
        <w:rPr>
          <w:rFonts w:asciiTheme="minorHAnsi" w:eastAsia="Calibri" w:hAnsiTheme="minorHAnsi" w:cstheme="minorHAnsi"/>
          <w:szCs w:val="22"/>
        </w:rPr>
      </w:pPr>
      <w:r w:rsidRPr="006A047F">
        <w:rPr>
          <w:rFonts w:asciiTheme="minorHAnsi" w:eastAsia="Calibri" w:hAnsiTheme="minorHAnsi" w:cstheme="minorHAnsi"/>
          <w:szCs w:val="22"/>
        </w:rPr>
        <w:t>Under the Act, MSR stock must be ‘available for sale’ in Australia by the RP. This means that stocks must be physically located on shore in Australia</w:t>
      </w:r>
      <w:r w:rsidRPr="006A047F">
        <w:rPr>
          <w:rFonts w:asciiTheme="minorHAnsi" w:hAnsiTheme="minorHAnsi" w:cstheme="minorHAnsi"/>
          <w:szCs w:val="22"/>
        </w:rPr>
        <w:t xml:space="preserve"> and immediately available for sale. Stock in transit to Australia, stocks that have not yet passed customs, stocks that are in bulk storage (not yet in packaging for final sale), and stocks that have been sold from the RP to wholesalers, do not meet the legislative requirement. This is intended so that if a supply disruption occurs, stock is readily available for distribution into the local supply chain.</w:t>
      </w:r>
    </w:p>
    <w:p w14:paraId="0A18184A" w14:textId="4FF8BEDE" w:rsidR="00A674EB" w:rsidRPr="00A93277" w:rsidRDefault="00A674EB" w:rsidP="00C54437">
      <w:pPr>
        <w:pStyle w:val="Heading4"/>
        <w:rPr>
          <w:rFonts w:ascii="Calibri" w:eastAsia="Calibri" w:hAnsi="Calibri" w:cs="Calibri"/>
          <w:szCs w:val="22"/>
        </w:rPr>
      </w:pPr>
      <w:bookmarkStart w:id="12" w:name="_Ministerial_determination_of"/>
      <w:bookmarkEnd w:id="12"/>
      <w:r w:rsidRPr="00A93277">
        <w:rPr>
          <w:rFonts w:ascii="Calibri" w:eastAsia="Calibri" w:hAnsi="Calibri" w:cs="Calibri"/>
          <w:szCs w:val="22"/>
        </w:rPr>
        <w:t xml:space="preserve">Ministerial determination of another quantity </w:t>
      </w:r>
    </w:p>
    <w:p w14:paraId="7498FD9D" w14:textId="431A97E6" w:rsidR="00267E68" w:rsidRDefault="00A674EB" w:rsidP="00C54437">
      <w:pPr>
        <w:pStyle w:val="Paragraphtext"/>
        <w:rPr>
          <w:rFonts w:eastAsia="Times New Roman"/>
        </w:rPr>
      </w:pPr>
      <w:r w:rsidRPr="00064112">
        <w:t xml:space="preserve">The </w:t>
      </w:r>
      <w:r w:rsidRPr="00C04DB6">
        <w:t>Minister has the power under the Act to make a minimum stockholding determination specifying ‘another quantity’</w:t>
      </w:r>
      <w:r w:rsidRPr="00064112">
        <w:rPr>
          <w:rFonts w:eastAsia="Times New Roman"/>
        </w:rPr>
        <w:t>.</w:t>
      </w:r>
      <w:r>
        <w:rPr>
          <w:rStyle w:val="FootnoteReference"/>
          <w:rFonts w:eastAsia="Times New Roman"/>
        </w:rPr>
        <w:footnoteReference w:id="15"/>
      </w:r>
      <w:r w:rsidRPr="00064112">
        <w:t xml:space="preserve"> </w:t>
      </w:r>
      <w:r w:rsidR="004D448C" w:rsidRPr="004D448C">
        <w:rPr>
          <w:rStyle w:val="cf01"/>
          <w:rFonts w:asciiTheme="minorHAnsi" w:hAnsiTheme="minorHAnsi" w:cstheme="minorHAnsi"/>
          <w:sz w:val="22"/>
          <w:szCs w:val="22"/>
        </w:rPr>
        <w:t xml:space="preserve">Requests for Ministerial determinations of another quantity are made by RPs using the </w:t>
      </w:r>
      <w:hyperlink r:id="rId33" w:history="1">
        <w:r w:rsidR="004D448C" w:rsidRPr="004D448C">
          <w:rPr>
            <w:rStyle w:val="cf01"/>
            <w:rFonts w:asciiTheme="minorHAnsi" w:hAnsiTheme="minorHAnsi" w:cstheme="minorHAnsi"/>
            <w:color w:val="0000FF"/>
            <w:sz w:val="22"/>
            <w:szCs w:val="22"/>
            <w:u w:val="single"/>
          </w:rPr>
          <w:t>determination request form</w:t>
        </w:r>
      </w:hyperlink>
      <w:r w:rsidR="004D448C" w:rsidRPr="004D448C">
        <w:rPr>
          <w:rStyle w:val="cf01"/>
          <w:rFonts w:asciiTheme="minorHAnsi" w:hAnsiTheme="minorHAnsi" w:cstheme="minorHAnsi"/>
          <w:sz w:val="22"/>
          <w:szCs w:val="22"/>
        </w:rPr>
        <w:t>.</w:t>
      </w:r>
      <w:r w:rsidR="004D448C">
        <w:rPr>
          <w:rStyle w:val="cf01"/>
        </w:rPr>
        <w:t xml:space="preserve"> </w:t>
      </w:r>
      <w:r w:rsidR="004C1EDC">
        <w:t xml:space="preserve">These </w:t>
      </w:r>
      <w:r w:rsidR="00EA605E">
        <w:t>requests</w:t>
      </w:r>
      <w:r w:rsidR="00EA605E" w:rsidRPr="00064112">
        <w:t xml:space="preserve"> </w:t>
      </w:r>
      <w:r w:rsidRPr="00064112">
        <w:t>may be considered appropriate where there are long term practical barriers to compliance that cannot be overcome. For example, medicines with short shelf-life (&lt;18 months) where a 6</w:t>
      </w:r>
      <w:r w:rsidRPr="00064112">
        <w:rPr>
          <w:rFonts w:eastAsia="Times New Roman"/>
        </w:rPr>
        <w:t>-month stockholding may result in medicine wastage.</w:t>
      </w:r>
    </w:p>
    <w:p w14:paraId="59687DDD" w14:textId="6E4236E2" w:rsidR="00A674EB" w:rsidRPr="00064112" w:rsidRDefault="00F653C8" w:rsidP="00A674EB">
      <w:pPr>
        <w:pStyle w:val="Paragraphtext"/>
      </w:pPr>
      <w:r>
        <w:t xml:space="preserve">Determinations made by the Minister are published </w:t>
      </w:r>
      <w:r w:rsidR="004F7C11">
        <w:t xml:space="preserve">in the </w:t>
      </w:r>
      <w:hyperlink r:id="rId34" w:history="1">
        <w:r w:rsidR="004F7C11" w:rsidRPr="00E42AD6">
          <w:rPr>
            <w:rStyle w:val="Hyperlink"/>
            <w:i/>
            <w:iCs/>
          </w:rPr>
          <w:t>National Health (Minimum Stockholding) Determination 2023</w:t>
        </w:r>
      </w:hyperlink>
      <w:r w:rsidR="004F7C11">
        <w:t xml:space="preserve"> on the </w:t>
      </w:r>
      <w:hyperlink r:id="rId35" w:history="1">
        <w:r w:rsidR="006C45AF" w:rsidRPr="00D73A0E">
          <w:rPr>
            <w:rStyle w:val="Hyperlink"/>
          </w:rPr>
          <w:t>Federal Register of Legislation</w:t>
        </w:r>
      </w:hyperlink>
      <w:r w:rsidR="006C45AF">
        <w:t>.</w:t>
      </w:r>
    </w:p>
    <w:p w14:paraId="7B1544CC" w14:textId="7D405E41" w:rsidR="00CC3817" w:rsidRPr="000E7412" w:rsidRDefault="00CC3817" w:rsidP="00C54437">
      <w:pPr>
        <w:pStyle w:val="Heading4"/>
        <w:rPr>
          <w:rFonts w:ascii="Calibri" w:eastAsia="Calibri" w:hAnsi="Calibri" w:cs="Calibri"/>
          <w:szCs w:val="22"/>
        </w:rPr>
      </w:pPr>
      <w:bookmarkStart w:id="13" w:name="_Requirement_to_notify"/>
      <w:bookmarkEnd w:id="13"/>
      <w:r w:rsidRPr="2D80AF68">
        <w:rPr>
          <w:rFonts w:ascii="Calibri" w:eastAsia="Calibri" w:hAnsi="Calibri" w:cs="Calibri"/>
          <w:szCs w:val="22"/>
        </w:rPr>
        <w:t>Requirement to notify of l</w:t>
      </w:r>
      <w:r w:rsidRPr="000E7412">
        <w:rPr>
          <w:rFonts w:ascii="Calibri" w:eastAsia="Calibri" w:hAnsi="Calibri" w:cs="Calibri"/>
          <w:szCs w:val="22"/>
        </w:rPr>
        <w:t xml:space="preserve">ikely and actual </w:t>
      </w:r>
      <w:proofErr w:type="gramStart"/>
      <w:r w:rsidRPr="000E7412">
        <w:rPr>
          <w:rFonts w:ascii="Calibri" w:eastAsia="Calibri" w:hAnsi="Calibri" w:cs="Calibri"/>
          <w:szCs w:val="22"/>
        </w:rPr>
        <w:t>breaches</w:t>
      </w:r>
      <w:proofErr w:type="gramEnd"/>
    </w:p>
    <w:p w14:paraId="79FD4BA1" w14:textId="296CE205" w:rsidR="00CC3817" w:rsidRPr="00153C5A" w:rsidRDefault="00CC3817" w:rsidP="00CC3817">
      <w:pPr>
        <w:spacing w:before="120" w:after="120"/>
        <w:jc w:val="both"/>
        <w:rPr>
          <w:rFonts w:asciiTheme="minorHAnsi" w:hAnsiTheme="minorHAnsi" w:cstheme="minorHAnsi"/>
          <w:szCs w:val="22"/>
        </w:rPr>
      </w:pPr>
      <w:r w:rsidRPr="00153C5A">
        <w:rPr>
          <w:rFonts w:asciiTheme="minorHAnsi" w:eastAsia="Calibri" w:hAnsiTheme="minorHAnsi" w:cstheme="minorHAnsi"/>
          <w:szCs w:val="22"/>
        </w:rPr>
        <w:t xml:space="preserve">Section </w:t>
      </w:r>
      <w:r w:rsidRPr="00153C5A">
        <w:rPr>
          <w:rFonts w:asciiTheme="minorHAnsi" w:hAnsiTheme="minorHAnsi" w:cstheme="minorHAnsi"/>
          <w:szCs w:val="22"/>
        </w:rPr>
        <w:t>99AEKD of the Act requires RPs to notify the Minister ‘as soon as practicable’ of a likely or actual breach of the MSR. For a likely breach, this means as soon as practicable after they ‘form a belief’ of a likely breach.</w:t>
      </w:r>
      <w:r>
        <w:rPr>
          <w:rStyle w:val="FootnoteReference"/>
          <w:rFonts w:asciiTheme="minorHAnsi" w:hAnsiTheme="minorHAnsi" w:cstheme="minorHAnsi"/>
          <w:szCs w:val="22"/>
        </w:rPr>
        <w:footnoteReference w:id="16"/>
      </w:r>
      <w:r w:rsidRPr="00153C5A">
        <w:rPr>
          <w:rFonts w:asciiTheme="minorHAnsi" w:eastAsia="Calibri" w:hAnsiTheme="minorHAnsi" w:cstheme="minorHAnsi"/>
          <w:szCs w:val="22"/>
        </w:rPr>
        <w:t xml:space="preserve"> </w:t>
      </w:r>
      <w:r w:rsidRPr="00153C5A">
        <w:rPr>
          <w:rFonts w:asciiTheme="minorHAnsi" w:hAnsiTheme="minorHAnsi" w:cstheme="minorHAnsi"/>
          <w:szCs w:val="22"/>
        </w:rPr>
        <w:t>For an actual breach</w:t>
      </w:r>
      <w:r>
        <w:rPr>
          <w:rFonts w:asciiTheme="minorHAnsi" w:hAnsiTheme="minorHAnsi" w:cstheme="minorHAnsi"/>
          <w:szCs w:val="22"/>
        </w:rPr>
        <w:t>,</w:t>
      </w:r>
      <w:r w:rsidRPr="00153C5A">
        <w:rPr>
          <w:rFonts w:asciiTheme="minorHAnsi" w:hAnsiTheme="minorHAnsi" w:cstheme="minorHAnsi"/>
          <w:szCs w:val="22"/>
        </w:rPr>
        <w:t xml:space="preserve"> this means as soon as practicable after the breach has </w:t>
      </w:r>
      <w:r w:rsidRPr="00153C5A">
        <w:rPr>
          <w:rFonts w:asciiTheme="minorHAnsi" w:hAnsiTheme="minorHAnsi" w:cstheme="minorHAnsi"/>
          <w:szCs w:val="22"/>
        </w:rPr>
        <w:lastRenderedPageBreak/>
        <w:t xml:space="preserve">occurred. Notifications are submitted using the </w:t>
      </w:r>
      <w:hyperlink r:id="rId36">
        <w:r w:rsidRPr="00153C5A">
          <w:rPr>
            <w:rStyle w:val="Hyperlink"/>
            <w:rFonts w:asciiTheme="minorHAnsi" w:eastAsia="Calibri" w:hAnsiTheme="minorHAnsi" w:cstheme="minorHAnsi"/>
            <w:szCs w:val="22"/>
          </w:rPr>
          <w:t>breach notification form</w:t>
        </w:r>
      </w:hyperlink>
      <w:r w:rsidRPr="00153C5A">
        <w:rPr>
          <w:rFonts w:asciiTheme="minorHAnsi" w:eastAsia="Calibri" w:hAnsiTheme="minorHAnsi" w:cstheme="minorHAnsi"/>
          <w:szCs w:val="22"/>
        </w:rPr>
        <w:t xml:space="preserve"> and submitted via email to </w:t>
      </w:r>
      <w:hyperlink r:id="rId37">
        <w:r w:rsidRPr="00153C5A">
          <w:rPr>
            <w:rStyle w:val="Hyperlink"/>
            <w:rFonts w:asciiTheme="minorHAnsi" w:eastAsia="Calibri" w:hAnsiTheme="minorHAnsi" w:cstheme="minorHAnsi"/>
            <w:szCs w:val="22"/>
          </w:rPr>
          <w:t>pbsstockholding@health.gov.au</w:t>
        </w:r>
      </w:hyperlink>
      <w:r w:rsidRPr="00153C5A">
        <w:rPr>
          <w:rFonts w:asciiTheme="minorHAnsi" w:eastAsia="Calibri" w:hAnsiTheme="minorHAnsi" w:cstheme="minorHAnsi"/>
          <w:szCs w:val="22"/>
        </w:rPr>
        <w:t>.</w:t>
      </w:r>
    </w:p>
    <w:p w14:paraId="054B53B5" w14:textId="77777777" w:rsidR="00CC3817" w:rsidRPr="00AF1D2A" w:rsidRDefault="00CC3817" w:rsidP="00C54437">
      <w:pPr>
        <w:pStyle w:val="Heading4"/>
      </w:pPr>
      <w:bookmarkStart w:id="14" w:name="_Stockholding_disclosures"/>
      <w:bookmarkEnd w:id="14"/>
      <w:r w:rsidRPr="2D80AF68">
        <w:rPr>
          <w:rFonts w:ascii="Calibri" w:eastAsia="Calibri" w:hAnsi="Calibri" w:cs="Calibri"/>
          <w:szCs w:val="22"/>
        </w:rPr>
        <w:t xml:space="preserve">Stockholding disclosures </w:t>
      </w:r>
    </w:p>
    <w:p w14:paraId="35D6EFBE" w14:textId="51279DC7" w:rsidR="00CC3817" w:rsidRPr="00153C5A" w:rsidRDefault="00CC3817" w:rsidP="00CC3817">
      <w:pPr>
        <w:pStyle w:val="Paragraphtext"/>
      </w:pPr>
      <w:r w:rsidRPr="00153C5A">
        <w:t>I</w:t>
      </w:r>
      <w:r w:rsidRPr="00153C5A">
        <w:rPr>
          <w:rFonts w:eastAsia="Times New Roman"/>
        </w:rPr>
        <w:t xml:space="preserve">n accordance with s99AEKF of the Act and s85C of the Regulations, RPs are required to biannually disclose the quantity of stock held on the last day of each month in each 6-month disclosure period. RPs are required to submit the required information to the </w:t>
      </w:r>
      <w:r w:rsidR="002F1289">
        <w:rPr>
          <w:rFonts w:eastAsia="Times New Roman"/>
        </w:rPr>
        <w:t>Price Disclosure Data Administrator (</w:t>
      </w:r>
      <w:r w:rsidRPr="00153C5A">
        <w:rPr>
          <w:rFonts w:eastAsia="Times New Roman"/>
        </w:rPr>
        <w:t>PDDA</w:t>
      </w:r>
      <w:r w:rsidR="002F1289">
        <w:rPr>
          <w:rFonts w:eastAsia="Times New Roman"/>
        </w:rPr>
        <w:t>)</w:t>
      </w:r>
      <w:r w:rsidRPr="00153C5A">
        <w:rPr>
          <w:rFonts w:eastAsia="Times New Roman"/>
        </w:rPr>
        <w:t xml:space="preserve"> by the following deadlines:</w:t>
      </w:r>
    </w:p>
    <w:p w14:paraId="11B80D37" w14:textId="77DCAB77" w:rsidR="00CC3817" w:rsidRPr="00153C5A" w:rsidRDefault="00CC3817" w:rsidP="00CC3817">
      <w:pPr>
        <w:pStyle w:val="ListParagraph"/>
        <w:numPr>
          <w:ilvl w:val="0"/>
          <w:numId w:val="20"/>
        </w:numPr>
        <w:spacing w:before="120" w:after="120"/>
        <w:contextualSpacing w:val="0"/>
        <w:jc w:val="both"/>
        <w:rPr>
          <w:rFonts w:asciiTheme="minorHAnsi" w:eastAsia="Calibri" w:hAnsiTheme="minorHAnsi" w:cstheme="minorHAnsi"/>
          <w:szCs w:val="22"/>
        </w:rPr>
      </w:pPr>
      <w:r w:rsidRPr="00153C5A">
        <w:rPr>
          <w:rFonts w:asciiTheme="minorHAnsi" w:eastAsia="Calibri" w:hAnsiTheme="minorHAnsi" w:cstheme="minorHAnsi"/>
          <w:szCs w:val="22"/>
        </w:rPr>
        <w:t>for the period 1 April – 30 September: by 11 November; and</w:t>
      </w:r>
    </w:p>
    <w:p w14:paraId="5CDFAB81" w14:textId="67AADBB4" w:rsidR="00CC3817" w:rsidRPr="00153C5A" w:rsidRDefault="00CC3817" w:rsidP="00CC3817">
      <w:pPr>
        <w:pStyle w:val="ListParagraph"/>
        <w:numPr>
          <w:ilvl w:val="0"/>
          <w:numId w:val="20"/>
        </w:numPr>
        <w:spacing w:before="120" w:after="120"/>
        <w:contextualSpacing w:val="0"/>
        <w:jc w:val="both"/>
        <w:rPr>
          <w:rFonts w:asciiTheme="minorHAnsi" w:eastAsia="Calibri" w:hAnsiTheme="minorHAnsi" w:cstheme="minorHAnsi"/>
          <w:szCs w:val="22"/>
        </w:rPr>
      </w:pPr>
      <w:r w:rsidRPr="00153C5A">
        <w:rPr>
          <w:rFonts w:asciiTheme="minorHAnsi" w:eastAsia="Calibri" w:hAnsiTheme="minorHAnsi" w:cstheme="minorHAnsi"/>
          <w:szCs w:val="22"/>
        </w:rPr>
        <w:t>for the period 1 October – 31 March: by 12 May</w:t>
      </w:r>
      <w:r w:rsidRPr="00153C5A">
        <w:rPr>
          <w:rFonts w:asciiTheme="minorHAnsi" w:hAnsiTheme="minorHAnsi" w:cstheme="minorHAnsi"/>
          <w:szCs w:val="22"/>
        </w:rPr>
        <w:t>.</w:t>
      </w:r>
    </w:p>
    <w:p w14:paraId="0BC35A5E" w14:textId="20BB82C0" w:rsidR="00CC3817" w:rsidRDefault="00CC3817" w:rsidP="00CC3817">
      <w:pPr>
        <w:spacing w:before="120" w:after="120"/>
        <w:jc w:val="both"/>
        <w:rPr>
          <w:rFonts w:asciiTheme="minorHAnsi" w:eastAsia="Calibri" w:hAnsiTheme="minorHAnsi" w:cstheme="minorHAnsi"/>
          <w:szCs w:val="22"/>
        </w:rPr>
      </w:pPr>
      <w:r w:rsidRPr="00153C5A">
        <w:rPr>
          <w:rFonts w:asciiTheme="minorHAnsi" w:eastAsia="Calibri" w:hAnsiTheme="minorHAnsi" w:cstheme="minorHAnsi"/>
          <w:szCs w:val="22"/>
        </w:rPr>
        <w:t>The first disclosure period (</w:t>
      </w:r>
      <w:r w:rsidRPr="00153C5A">
        <w:rPr>
          <w:rFonts w:asciiTheme="minorHAnsi" w:hAnsiTheme="minorHAnsi" w:cstheme="minorHAnsi"/>
          <w:szCs w:val="22"/>
        </w:rPr>
        <w:t>1 July 2023 to 30 September 2023) included stockholding disclosure data from 91 RPs for 3,044 brands. The second disclosure period from 1 October 2023 to 31 March 2024 included stockholding disclosure data from 92 RPs for 2,944 brands.</w:t>
      </w:r>
      <w:r>
        <w:rPr>
          <w:rStyle w:val="FootnoteReference"/>
          <w:rFonts w:asciiTheme="minorHAnsi" w:hAnsiTheme="minorHAnsi" w:cstheme="minorHAnsi"/>
          <w:szCs w:val="22"/>
        </w:rPr>
        <w:footnoteReference w:id="17"/>
      </w:r>
    </w:p>
    <w:p w14:paraId="606E8E34" w14:textId="77777777" w:rsidR="00CC3817" w:rsidRPr="00793067" w:rsidRDefault="00CC3817" w:rsidP="00CC3817">
      <w:pPr>
        <w:pStyle w:val="Heading4"/>
        <w:rPr>
          <w:rFonts w:cstheme="minorHAnsi"/>
          <w:szCs w:val="22"/>
        </w:rPr>
      </w:pPr>
      <w:bookmarkStart w:id="15" w:name="_Ministerial_powers"/>
      <w:bookmarkEnd w:id="15"/>
      <w:r w:rsidRPr="00793067">
        <w:rPr>
          <w:rFonts w:cstheme="minorHAnsi"/>
          <w:szCs w:val="22"/>
        </w:rPr>
        <w:t>Ministerial powers</w:t>
      </w:r>
    </w:p>
    <w:p w14:paraId="0C525ABA" w14:textId="77777777" w:rsidR="00CC3817" w:rsidRPr="006E71F2" w:rsidRDefault="00CC3817" w:rsidP="00CC3817">
      <w:pPr>
        <w:keepNext/>
        <w:spacing w:before="120" w:after="120"/>
        <w:jc w:val="both"/>
        <w:rPr>
          <w:rFonts w:asciiTheme="minorHAnsi" w:hAnsiTheme="minorHAnsi" w:cstheme="minorHAnsi"/>
          <w:szCs w:val="22"/>
        </w:rPr>
      </w:pPr>
      <w:r>
        <w:rPr>
          <w:rFonts w:asciiTheme="minorHAnsi" w:hAnsiTheme="minorHAnsi" w:cstheme="minorHAnsi"/>
          <w:szCs w:val="22"/>
        </w:rPr>
        <w:t>Under</w:t>
      </w:r>
      <w:r w:rsidRPr="008F5B8B">
        <w:rPr>
          <w:rFonts w:asciiTheme="minorHAnsi" w:hAnsiTheme="minorHAnsi" w:cstheme="minorHAnsi"/>
          <w:b/>
          <w:bCs/>
          <w:szCs w:val="22"/>
        </w:rPr>
        <w:t xml:space="preserve"> </w:t>
      </w:r>
      <w:r w:rsidRPr="00473E71">
        <w:rPr>
          <w:rFonts w:asciiTheme="minorHAnsi" w:hAnsiTheme="minorHAnsi" w:cstheme="minorHAnsi"/>
          <w:szCs w:val="22"/>
        </w:rPr>
        <w:t>s99AEKE</w:t>
      </w:r>
      <w:r>
        <w:rPr>
          <w:rFonts w:asciiTheme="minorHAnsi" w:hAnsiTheme="minorHAnsi" w:cstheme="minorHAnsi"/>
          <w:szCs w:val="22"/>
        </w:rPr>
        <w:t>(2)</w:t>
      </w:r>
      <w:r w:rsidRPr="00473E71">
        <w:rPr>
          <w:rFonts w:asciiTheme="minorHAnsi" w:hAnsiTheme="minorHAnsi" w:cstheme="minorHAnsi"/>
          <w:szCs w:val="22"/>
        </w:rPr>
        <w:t xml:space="preserve"> </w:t>
      </w:r>
      <w:r w:rsidRPr="00692952">
        <w:rPr>
          <w:rFonts w:asciiTheme="minorHAnsi" w:hAnsiTheme="minorHAnsi" w:cstheme="minorHAnsi"/>
          <w:szCs w:val="22"/>
        </w:rPr>
        <w:t>of the A</w:t>
      </w:r>
      <w:r>
        <w:rPr>
          <w:rFonts w:asciiTheme="minorHAnsi" w:hAnsiTheme="minorHAnsi" w:cstheme="minorHAnsi"/>
          <w:szCs w:val="22"/>
        </w:rPr>
        <w:t>c</w:t>
      </w:r>
      <w:r w:rsidRPr="00692952">
        <w:rPr>
          <w:rFonts w:asciiTheme="minorHAnsi" w:hAnsiTheme="minorHAnsi" w:cstheme="minorHAnsi"/>
          <w:szCs w:val="22"/>
        </w:rPr>
        <w:t>t</w:t>
      </w:r>
      <w:r>
        <w:rPr>
          <w:rFonts w:asciiTheme="minorHAnsi" w:hAnsiTheme="minorHAnsi" w:cstheme="minorHAnsi"/>
          <w:szCs w:val="22"/>
        </w:rPr>
        <w:t>, i</w:t>
      </w:r>
      <w:r w:rsidRPr="006E71F2">
        <w:rPr>
          <w:rFonts w:asciiTheme="minorHAnsi" w:hAnsiTheme="minorHAnsi" w:cstheme="minorHAnsi"/>
          <w:szCs w:val="22"/>
        </w:rPr>
        <w:t xml:space="preserve">n the event of a breach of the </w:t>
      </w:r>
      <w:r>
        <w:rPr>
          <w:rFonts w:asciiTheme="minorHAnsi" w:hAnsiTheme="minorHAnsi" w:cstheme="minorHAnsi"/>
          <w:szCs w:val="22"/>
        </w:rPr>
        <w:t>substantive MSR</w:t>
      </w:r>
      <w:r w:rsidRPr="006E71F2">
        <w:rPr>
          <w:rFonts w:asciiTheme="minorHAnsi" w:hAnsiTheme="minorHAnsi" w:cstheme="minorHAnsi"/>
          <w:szCs w:val="22"/>
        </w:rPr>
        <w:t>,</w:t>
      </w:r>
      <w:r>
        <w:rPr>
          <w:rStyle w:val="FootnoteReference"/>
          <w:rFonts w:asciiTheme="minorHAnsi" w:hAnsiTheme="minorHAnsi" w:cstheme="minorHAnsi"/>
          <w:szCs w:val="22"/>
        </w:rPr>
        <w:footnoteReference w:id="18"/>
      </w:r>
      <w:r w:rsidRPr="006E71F2">
        <w:rPr>
          <w:rFonts w:asciiTheme="minorHAnsi" w:hAnsiTheme="minorHAnsi" w:cstheme="minorHAnsi"/>
          <w:szCs w:val="22"/>
        </w:rPr>
        <w:t xml:space="preserve"> the Minister</w:t>
      </w:r>
      <w:r>
        <w:rPr>
          <w:rStyle w:val="FootnoteReference"/>
          <w:rFonts w:asciiTheme="minorHAnsi" w:hAnsiTheme="minorHAnsi" w:cstheme="minorHAnsi"/>
          <w:szCs w:val="22"/>
        </w:rPr>
        <w:footnoteReference w:id="19"/>
      </w:r>
      <w:r>
        <w:rPr>
          <w:rFonts w:asciiTheme="minorHAnsi" w:hAnsiTheme="minorHAnsi" w:cstheme="minorHAnsi"/>
          <w:szCs w:val="22"/>
        </w:rPr>
        <w:t xml:space="preserve"> has the powers</w:t>
      </w:r>
      <w:r w:rsidRPr="006E71F2">
        <w:rPr>
          <w:rFonts w:asciiTheme="minorHAnsi" w:hAnsiTheme="minorHAnsi" w:cstheme="minorHAnsi"/>
          <w:szCs w:val="22"/>
        </w:rPr>
        <w:t xml:space="preserve"> to:</w:t>
      </w:r>
    </w:p>
    <w:p w14:paraId="4E6F5262" w14:textId="77777777" w:rsidR="00CC3817" w:rsidRPr="006362E5" w:rsidRDefault="00CC3817" w:rsidP="00C54437">
      <w:pPr>
        <w:pStyle w:val="ListParagraph"/>
        <w:numPr>
          <w:ilvl w:val="1"/>
          <w:numId w:val="30"/>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de-list the medicine(s) from the PBS which do not comply with the minimum stockholding requirement and/or any other medicines which the RP has listed on the PBS; and/or</w:t>
      </w:r>
    </w:p>
    <w:p w14:paraId="1FB85803" w14:textId="77777777" w:rsidR="00CC3817" w:rsidRPr="006362E5" w:rsidRDefault="00CC3817" w:rsidP="00C54437">
      <w:pPr>
        <w:pStyle w:val="ListParagraph"/>
        <w:numPr>
          <w:ilvl w:val="1"/>
          <w:numId w:val="30"/>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refuse to list new medicines on the PBS for that RP.</w:t>
      </w:r>
    </w:p>
    <w:p w14:paraId="7E153FD5" w14:textId="77777777" w:rsidR="00CC3817" w:rsidRPr="00AF1D2A" w:rsidRDefault="00CC3817" w:rsidP="00C54437">
      <w:pPr>
        <w:keepNext/>
        <w:spacing w:before="120" w:after="120"/>
        <w:jc w:val="both"/>
        <w:textAlignment w:val="baseline"/>
        <w:rPr>
          <w:rFonts w:asciiTheme="minorHAnsi" w:hAnsiTheme="minorHAnsi" w:cstheme="minorHAnsi"/>
          <w:szCs w:val="22"/>
        </w:rPr>
      </w:pPr>
      <w:r w:rsidRPr="00AF1D2A">
        <w:rPr>
          <w:rFonts w:asciiTheme="minorHAnsi" w:hAnsiTheme="minorHAnsi" w:cstheme="minorHAnsi"/>
          <w:szCs w:val="22"/>
        </w:rPr>
        <w:t xml:space="preserve">When assessing a breach of the minimum stockholding requirements and determining whether to exercise their powers, the Minister </w:t>
      </w:r>
      <w:r w:rsidRPr="00B8379A">
        <w:rPr>
          <w:rFonts w:asciiTheme="minorHAnsi" w:hAnsiTheme="minorHAnsi" w:cstheme="minorHAnsi"/>
          <w:i/>
          <w:szCs w:val="22"/>
        </w:rPr>
        <w:t>must</w:t>
      </w:r>
      <w:r w:rsidRPr="00AF1D2A">
        <w:rPr>
          <w:rFonts w:asciiTheme="minorHAnsi" w:hAnsiTheme="minorHAnsi" w:cstheme="minorHAnsi"/>
          <w:szCs w:val="22"/>
        </w:rPr>
        <w:t xml:space="preserve"> consider:</w:t>
      </w:r>
    </w:p>
    <w:p w14:paraId="103EB8EE" w14:textId="77777777" w:rsidR="00CC3817" w:rsidRPr="006362E5" w:rsidRDefault="00CC3817" w:rsidP="00C54437">
      <w:pPr>
        <w:pStyle w:val="ListParagraph"/>
        <w:numPr>
          <w:ilvl w:val="1"/>
          <w:numId w:val="31"/>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 xml:space="preserve">the RP’s reason for the breach and whether those reasons are, in the opinion of the Minister, </w:t>
      </w:r>
      <w:proofErr w:type="gramStart"/>
      <w:r w:rsidRPr="006362E5">
        <w:rPr>
          <w:rFonts w:asciiTheme="minorHAnsi" w:eastAsiaTheme="minorEastAsia" w:hAnsiTheme="minorHAnsi" w:cstheme="minorHAnsi"/>
          <w:szCs w:val="22"/>
        </w:rPr>
        <w:t>reasonable</w:t>
      </w:r>
      <w:proofErr w:type="gramEnd"/>
    </w:p>
    <w:p w14:paraId="51494153" w14:textId="77777777" w:rsidR="00CC3817" w:rsidRPr="006362E5" w:rsidRDefault="00CC3817" w:rsidP="00C54437">
      <w:pPr>
        <w:pStyle w:val="ListParagraph"/>
        <w:numPr>
          <w:ilvl w:val="1"/>
          <w:numId w:val="31"/>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 xml:space="preserve">whether, in the Minister’s opinion, the RP will consistently maintain adequate stock of the brand in the </w:t>
      </w:r>
      <w:proofErr w:type="gramStart"/>
      <w:r w:rsidRPr="006362E5">
        <w:rPr>
          <w:rFonts w:asciiTheme="minorHAnsi" w:eastAsiaTheme="minorEastAsia" w:hAnsiTheme="minorHAnsi" w:cstheme="minorHAnsi"/>
          <w:szCs w:val="22"/>
        </w:rPr>
        <w:t>future</w:t>
      </w:r>
      <w:proofErr w:type="gramEnd"/>
    </w:p>
    <w:p w14:paraId="025BF635" w14:textId="77777777" w:rsidR="00CC3817" w:rsidRPr="006362E5" w:rsidRDefault="00CC3817" w:rsidP="00C54437">
      <w:pPr>
        <w:pStyle w:val="ListParagraph"/>
        <w:numPr>
          <w:ilvl w:val="1"/>
          <w:numId w:val="31"/>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whether the RP has offered discounts or incentives in relation to sales of the brand</w:t>
      </w:r>
    </w:p>
    <w:p w14:paraId="1D00F5B2" w14:textId="77777777" w:rsidR="00CC3817" w:rsidRPr="006362E5" w:rsidRDefault="00CC3817" w:rsidP="00C54437">
      <w:pPr>
        <w:pStyle w:val="ListParagraph"/>
        <w:numPr>
          <w:ilvl w:val="1"/>
          <w:numId w:val="31"/>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 xml:space="preserve">whether the RP has previously breached the minimum stockholding requirement in relation to any brands for which they are the RP and if so, the reasons for the breach(es) and whether those reasons are, in the opinion of the Minister, </w:t>
      </w:r>
      <w:proofErr w:type="gramStart"/>
      <w:r w:rsidRPr="006362E5">
        <w:rPr>
          <w:rFonts w:asciiTheme="minorHAnsi" w:eastAsiaTheme="minorEastAsia" w:hAnsiTheme="minorHAnsi" w:cstheme="minorHAnsi"/>
          <w:szCs w:val="22"/>
        </w:rPr>
        <w:t>reasonable</w:t>
      </w:r>
      <w:proofErr w:type="gramEnd"/>
    </w:p>
    <w:p w14:paraId="48DE681C" w14:textId="77777777" w:rsidR="00CC3817" w:rsidRPr="006362E5" w:rsidRDefault="00CC3817" w:rsidP="00C54437">
      <w:pPr>
        <w:pStyle w:val="ListParagraph"/>
        <w:numPr>
          <w:ilvl w:val="1"/>
          <w:numId w:val="31"/>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whether the RPs for other brands of the same pharmaceutical item have breached the minimum stockholding requirements in relation to those other brands</w:t>
      </w:r>
    </w:p>
    <w:p w14:paraId="174CDEBA" w14:textId="77777777" w:rsidR="00CC3817" w:rsidRPr="006362E5" w:rsidRDefault="00CC3817" w:rsidP="00C54437">
      <w:pPr>
        <w:pStyle w:val="ListParagraph"/>
        <w:numPr>
          <w:ilvl w:val="1"/>
          <w:numId w:val="31"/>
        </w:numPr>
        <w:spacing w:before="120" w:after="120"/>
        <w:contextualSpacing w:val="0"/>
        <w:jc w:val="both"/>
        <w:rPr>
          <w:rFonts w:asciiTheme="minorHAnsi" w:eastAsiaTheme="minorEastAsia" w:hAnsiTheme="minorHAnsi" w:cstheme="minorHAnsi"/>
          <w:szCs w:val="22"/>
        </w:rPr>
      </w:pPr>
      <w:r w:rsidRPr="006362E5">
        <w:rPr>
          <w:rFonts w:asciiTheme="minorHAnsi" w:eastAsiaTheme="minorEastAsia" w:hAnsiTheme="minorHAnsi" w:cstheme="minorHAnsi"/>
          <w:szCs w:val="22"/>
        </w:rPr>
        <w:t>any other matter the Minister thinks is relevant.</w:t>
      </w:r>
    </w:p>
    <w:p w14:paraId="51168FF1" w14:textId="0BA06303" w:rsidR="00CC3817" w:rsidRPr="00064112" w:rsidRDefault="00CC3817" w:rsidP="00C54437">
      <w:pPr>
        <w:spacing w:before="120" w:after="120"/>
        <w:jc w:val="both"/>
        <w:textAlignment w:val="baseline"/>
        <w:rPr>
          <w:rFonts w:asciiTheme="minorHAnsi" w:hAnsiTheme="minorHAnsi" w:cstheme="minorHAnsi"/>
          <w:szCs w:val="22"/>
        </w:rPr>
      </w:pPr>
      <w:r w:rsidRPr="00AF1D2A">
        <w:rPr>
          <w:rFonts w:asciiTheme="minorHAnsi" w:hAnsiTheme="minorHAnsi" w:cstheme="minorHAnsi"/>
          <w:szCs w:val="22"/>
        </w:rPr>
        <w:t xml:space="preserve">Section 8 of the </w:t>
      </w:r>
      <w:hyperlink r:id="rId38" w:history="1">
        <w:r w:rsidRPr="00AF1D2A">
          <w:rPr>
            <w:rStyle w:val="Hyperlink"/>
            <w:rFonts w:asciiTheme="minorHAnsi" w:hAnsiTheme="minorHAnsi" w:cstheme="minorHAnsi"/>
            <w:szCs w:val="22"/>
          </w:rPr>
          <w:t>Guidelines</w:t>
        </w:r>
      </w:hyperlink>
      <w:r w:rsidRPr="00AF1D2A">
        <w:rPr>
          <w:rFonts w:asciiTheme="minorHAnsi" w:hAnsiTheme="minorHAnsi" w:cstheme="minorHAnsi"/>
          <w:szCs w:val="22"/>
        </w:rPr>
        <w:t xml:space="preserve"> provides more details on the factors the Minister </w:t>
      </w:r>
      <w:r w:rsidRPr="00AF1D2A">
        <w:rPr>
          <w:rFonts w:asciiTheme="minorHAnsi" w:hAnsiTheme="minorHAnsi" w:cstheme="minorHAnsi"/>
          <w:i/>
          <w:szCs w:val="22"/>
        </w:rPr>
        <w:t>must</w:t>
      </w:r>
      <w:r w:rsidRPr="00AF1D2A">
        <w:rPr>
          <w:rFonts w:asciiTheme="minorHAnsi" w:hAnsiTheme="minorHAnsi" w:cstheme="minorHAnsi"/>
          <w:szCs w:val="22"/>
        </w:rPr>
        <w:t xml:space="preserve"> and </w:t>
      </w:r>
      <w:r w:rsidRPr="00AF1D2A">
        <w:rPr>
          <w:rFonts w:asciiTheme="minorHAnsi" w:hAnsiTheme="minorHAnsi" w:cstheme="minorHAnsi"/>
          <w:i/>
          <w:szCs w:val="22"/>
        </w:rPr>
        <w:t>may</w:t>
      </w:r>
      <w:r w:rsidRPr="00AF1D2A">
        <w:rPr>
          <w:rFonts w:asciiTheme="minorHAnsi" w:hAnsiTheme="minorHAnsi" w:cstheme="minorHAnsi"/>
          <w:szCs w:val="22"/>
        </w:rPr>
        <w:t xml:space="preserve"> consider when determining to exercise powers under the Act.</w:t>
      </w:r>
    </w:p>
    <w:p w14:paraId="3B5E2D2B" w14:textId="4E8BF182" w:rsidR="004B4D1B" w:rsidRPr="00AF1D2A" w:rsidRDefault="003C6838" w:rsidP="00A16054">
      <w:pPr>
        <w:pStyle w:val="Heading3"/>
      </w:pPr>
      <w:r>
        <w:rPr>
          <w:rFonts w:ascii="Calibri" w:hAnsi="Calibri" w:cs="Calibri"/>
        </w:rPr>
        <w:lastRenderedPageBreak/>
        <w:t>The role of the MSR in mitigating shortages</w:t>
      </w:r>
    </w:p>
    <w:p w14:paraId="0A31DA31" w14:textId="7AEA7646" w:rsidR="004B4D1B" w:rsidRPr="00AF1D2A" w:rsidRDefault="1D35BF44" w:rsidP="00A16054">
      <w:pPr>
        <w:spacing w:before="120" w:after="120"/>
        <w:jc w:val="both"/>
      </w:pPr>
      <w:r w:rsidRPr="2D80AF68">
        <w:rPr>
          <w:rFonts w:ascii="Calibri" w:eastAsia="Calibri" w:hAnsi="Calibri" w:cs="Calibri"/>
          <w:szCs w:val="22"/>
        </w:rPr>
        <w:t>The role played by MSR stocks in mitigating potential supply shortages is shown in the figures below. Figure 1 shows how MSR stocks can help avoid a</w:t>
      </w:r>
      <w:r w:rsidR="00DB47E9">
        <w:rPr>
          <w:rFonts w:ascii="Calibri" w:eastAsia="Calibri" w:hAnsi="Calibri" w:cs="Calibri"/>
          <w:szCs w:val="22"/>
        </w:rPr>
        <w:t xml:space="preserve"> shortage</w:t>
      </w:r>
      <w:r w:rsidRPr="2D80AF68">
        <w:rPr>
          <w:rFonts w:ascii="Calibri" w:eastAsia="Calibri" w:hAnsi="Calibri" w:cs="Calibri"/>
          <w:szCs w:val="22"/>
        </w:rPr>
        <w:t xml:space="preserve"> in the event of a sudden surge in sales, for example</w:t>
      </w:r>
      <w:r w:rsidR="00DB6082">
        <w:rPr>
          <w:rFonts w:ascii="Calibri" w:eastAsia="Calibri" w:hAnsi="Calibri" w:cs="Calibri"/>
          <w:szCs w:val="22"/>
        </w:rPr>
        <w:t>,</w:t>
      </w:r>
      <w:r w:rsidRPr="2D80AF68">
        <w:rPr>
          <w:rFonts w:ascii="Calibri" w:eastAsia="Calibri" w:hAnsi="Calibri" w:cs="Calibri"/>
          <w:szCs w:val="22"/>
        </w:rPr>
        <w:t xml:space="preserve"> if a competitor is out of stock. Figure 2 shows how MSR stocks can help avoid a s</w:t>
      </w:r>
      <w:r w:rsidR="00C51464">
        <w:rPr>
          <w:rFonts w:ascii="Calibri" w:eastAsia="Calibri" w:hAnsi="Calibri" w:cs="Calibri"/>
          <w:szCs w:val="22"/>
        </w:rPr>
        <w:t>hortage</w:t>
      </w:r>
      <w:r w:rsidRPr="2D80AF68">
        <w:rPr>
          <w:rFonts w:ascii="Calibri" w:eastAsia="Calibri" w:hAnsi="Calibri" w:cs="Calibri"/>
          <w:szCs w:val="22"/>
        </w:rPr>
        <w:t xml:space="preserve"> in the event of a supply disruption, for example</w:t>
      </w:r>
      <w:r w:rsidR="00DB6082">
        <w:rPr>
          <w:rFonts w:ascii="Calibri" w:eastAsia="Calibri" w:hAnsi="Calibri" w:cs="Calibri"/>
          <w:szCs w:val="22"/>
        </w:rPr>
        <w:t>,</w:t>
      </w:r>
      <w:r w:rsidRPr="2D80AF68">
        <w:rPr>
          <w:rFonts w:ascii="Calibri" w:eastAsia="Calibri" w:hAnsi="Calibri" w:cs="Calibri"/>
          <w:szCs w:val="22"/>
        </w:rPr>
        <w:t xml:space="preserve"> to shipping routes, a manufacturing breakdown, or </w:t>
      </w:r>
      <w:r w:rsidR="00072CC6">
        <w:rPr>
          <w:rFonts w:ascii="Calibri" w:eastAsia="Calibri" w:hAnsi="Calibri" w:cs="Calibri"/>
          <w:szCs w:val="22"/>
        </w:rPr>
        <w:t xml:space="preserve">a </w:t>
      </w:r>
      <w:r w:rsidRPr="2D80AF68">
        <w:rPr>
          <w:rFonts w:ascii="Calibri" w:eastAsia="Calibri" w:hAnsi="Calibri" w:cs="Calibri"/>
          <w:szCs w:val="22"/>
        </w:rPr>
        <w:t>shortage of raw materials.</w:t>
      </w:r>
    </w:p>
    <w:p w14:paraId="29B37384" w14:textId="2CABB825" w:rsidR="004B4D1B" w:rsidRPr="006A047F" w:rsidRDefault="1D35BF44" w:rsidP="00C54437">
      <w:pPr>
        <w:spacing w:before="120" w:after="120"/>
        <w:jc w:val="both"/>
        <w:rPr>
          <w:rFonts w:asciiTheme="minorHAnsi" w:hAnsiTheme="minorHAnsi" w:cstheme="minorHAnsi"/>
          <w:color w:val="002060"/>
          <w:szCs w:val="22"/>
        </w:rPr>
      </w:pPr>
      <w:r w:rsidRPr="006A047F">
        <w:rPr>
          <w:rFonts w:asciiTheme="minorHAnsi" w:eastAsia="Calibri" w:hAnsiTheme="minorHAnsi" w:cstheme="minorHAnsi"/>
          <w:b/>
          <w:bCs/>
          <w:color w:val="002060"/>
          <w:szCs w:val="22"/>
        </w:rPr>
        <w:t xml:space="preserve">Figure </w:t>
      </w:r>
      <w:r w:rsidRPr="006A047F">
        <w:rPr>
          <w:rFonts w:asciiTheme="minorHAnsi" w:hAnsiTheme="minorHAnsi" w:cstheme="minorHAnsi"/>
          <w:b/>
          <w:bCs/>
          <w:color w:val="002060"/>
          <w:szCs w:val="22"/>
        </w:rPr>
        <w:t xml:space="preserve">1: use of MSR stocks to manage a demand </w:t>
      </w:r>
      <w:proofErr w:type="gramStart"/>
      <w:r w:rsidRPr="006A047F">
        <w:rPr>
          <w:rFonts w:asciiTheme="minorHAnsi" w:hAnsiTheme="minorHAnsi" w:cstheme="minorHAnsi"/>
          <w:b/>
          <w:bCs/>
          <w:color w:val="002060"/>
          <w:szCs w:val="22"/>
        </w:rPr>
        <w:t>increase</w:t>
      </w:r>
      <w:proofErr w:type="gramEnd"/>
    </w:p>
    <w:p w14:paraId="2A22FC93" w14:textId="02F99E8F" w:rsidR="004B4D1B" w:rsidRPr="00AF1D2A" w:rsidRDefault="00AE4B9F" w:rsidP="00C54437">
      <w:pPr>
        <w:spacing w:before="120" w:after="120"/>
        <w:jc w:val="both"/>
      </w:pPr>
      <w:r>
        <w:rPr>
          <w:rStyle w:val="wacimagecontainer"/>
          <w:rFonts w:ascii="Segoe UI" w:hAnsi="Segoe UI" w:cs="Segoe UI"/>
          <w:noProof/>
          <w:sz w:val="18"/>
          <w:szCs w:val="18"/>
        </w:rPr>
        <w:drawing>
          <wp:inline distT="0" distB="0" distL="0" distR="0" wp14:anchorId="3D447D16" wp14:editId="7C457283">
            <wp:extent cx="4641011" cy="2168822"/>
            <wp:effectExtent l="0" t="0" r="7620" b="3175"/>
            <wp:docPr id="2" name="Picture 2" descr="Graph showing 'Quantity of stock held' relative to 'Time (days/weeks)'. Stock levels are shown moving from a peak stock level (on arrival of a shipment), down towards a safety stock level, and then back up to a peak stock level as each shipment arrives. There is a safety stock level which is above the MSR stock level.&#10;An increase in sales is shown by stock levels reducing more rapidly over a shorter period of time, resulting in stock levels which drop below the MSR stock level, by the time that the next planned shipment will arrive. If the shipment is brought forward in time to where the stock level would otherwise start to drop below the safety stock level, then the RP will not be required to utilise their safety stock or MSR stock. If the RP did not have a minimum stockholding and was not able to bring forward additional stock earlier, then the medicine would be out of stock once the safety stock was exhausted, until the next shipment came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Quantity of stock held' relative to 'Time (days/weeks)'. Stock levels are shown moving from a peak stock level (on arrival of a shipment), down towards a safety stock level, and then back up to a peak stock level as each shipment arrives. There is a safety stock level which is above the MSR stock level.&#10;An increase in sales is shown by stock levels reducing more rapidly over a shorter period of time, resulting in stock levels which drop below the MSR stock level, by the time that the next planned shipment will arrive. If the shipment is brought forward in time to where the stock level would otherwise start to drop below the safety stock level, then the RP will not be required to utilise their safety stock or MSR stock. If the RP did not have a minimum stockholding and was not able to bring forward additional stock earlier, then the medicine would be out of stock once the safety stock was exhausted, until the next shipment came i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53597" cy="2174704"/>
                    </a:xfrm>
                    <a:prstGeom prst="rect">
                      <a:avLst/>
                    </a:prstGeom>
                    <a:noFill/>
                    <a:ln>
                      <a:noFill/>
                    </a:ln>
                  </pic:spPr>
                </pic:pic>
              </a:graphicData>
            </a:graphic>
          </wp:inline>
        </w:drawing>
      </w:r>
    </w:p>
    <w:p w14:paraId="5668DB4C" w14:textId="3F6E2A19" w:rsidR="004B4D1B" w:rsidRDefault="1D35BF44" w:rsidP="00C54437">
      <w:pPr>
        <w:spacing w:before="120" w:after="120"/>
        <w:jc w:val="both"/>
        <w:rPr>
          <w:rFonts w:ascii="Times New Roman" w:hAnsi="Times New Roman"/>
          <w:sz w:val="24"/>
        </w:rPr>
      </w:pPr>
      <w:r w:rsidRPr="2D80AF68">
        <w:rPr>
          <w:rFonts w:ascii="Calibri" w:eastAsia="Calibri" w:hAnsi="Calibri" w:cs="Calibri"/>
          <w:szCs w:val="22"/>
        </w:rPr>
        <w:t>A spike in demand has the effect of increasing sales, meaning that stocks are drawn down more quickly than planned (shown by the dotted line A): this can either be managed by dipping into safety and/or MSR stocks (B), or by bring</w:t>
      </w:r>
      <w:r w:rsidR="00B522FD">
        <w:rPr>
          <w:rFonts w:ascii="Calibri" w:eastAsia="Calibri" w:hAnsi="Calibri" w:cs="Calibri"/>
          <w:szCs w:val="22"/>
        </w:rPr>
        <w:t>ing</w:t>
      </w:r>
      <w:r w:rsidRPr="2D80AF68">
        <w:rPr>
          <w:rFonts w:ascii="Calibri" w:eastAsia="Calibri" w:hAnsi="Calibri" w:cs="Calibri"/>
          <w:szCs w:val="22"/>
        </w:rPr>
        <w:t xml:space="preserve"> forward new supplies (C). Without the MSR</w:t>
      </w:r>
      <w:r w:rsidR="008D48D8">
        <w:rPr>
          <w:rFonts w:ascii="Calibri" w:eastAsia="Calibri" w:hAnsi="Calibri" w:cs="Calibri"/>
          <w:szCs w:val="22"/>
        </w:rPr>
        <w:t>,</w:t>
      </w:r>
      <w:r w:rsidRPr="2D80AF68">
        <w:rPr>
          <w:rFonts w:ascii="Calibri" w:eastAsia="Calibri" w:hAnsi="Calibri" w:cs="Calibri"/>
          <w:szCs w:val="22"/>
        </w:rPr>
        <w:t xml:space="preserve"> there would have been a shortage (D) in which the medicine was out of stock.</w:t>
      </w:r>
      <w:r w:rsidRPr="2D80AF68">
        <w:rPr>
          <w:rFonts w:ascii="Times New Roman" w:hAnsi="Times New Roman"/>
          <w:sz w:val="24"/>
        </w:rPr>
        <w:t xml:space="preserve"> </w:t>
      </w:r>
    </w:p>
    <w:p w14:paraId="69F21F7A" w14:textId="083D1BD3" w:rsidR="004B4D1B" w:rsidRPr="006A047F" w:rsidRDefault="1D35BF44" w:rsidP="00C54437">
      <w:pPr>
        <w:spacing w:before="120" w:after="120"/>
        <w:jc w:val="both"/>
        <w:rPr>
          <w:rFonts w:asciiTheme="minorHAnsi" w:eastAsia="Calibri" w:hAnsiTheme="minorHAnsi" w:cstheme="minorHAnsi"/>
          <w:b/>
          <w:bCs/>
          <w:color w:val="002060"/>
          <w:szCs w:val="22"/>
        </w:rPr>
      </w:pPr>
      <w:r w:rsidRPr="006A047F">
        <w:rPr>
          <w:rFonts w:asciiTheme="minorHAnsi" w:eastAsia="Calibri" w:hAnsiTheme="minorHAnsi" w:cstheme="minorHAnsi"/>
          <w:b/>
          <w:bCs/>
          <w:color w:val="002060"/>
          <w:szCs w:val="22"/>
        </w:rPr>
        <w:t xml:space="preserve">Figure 2: use of MSR stocks to manage a supply </w:t>
      </w:r>
      <w:proofErr w:type="gramStart"/>
      <w:r w:rsidRPr="006A047F">
        <w:rPr>
          <w:rFonts w:asciiTheme="minorHAnsi" w:eastAsia="Calibri" w:hAnsiTheme="minorHAnsi" w:cstheme="minorHAnsi"/>
          <w:b/>
          <w:bCs/>
          <w:color w:val="002060"/>
          <w:szCs w:val="22"/>
        </w:rPr>
        <w:t>disruption</w:t>
      </w:r>
      <w:proofErr w:type="gramEnd"/>
    </w:p>
    <w:p w14:paraId="6A93C601" w14:textId="0C533E6D" w:rsidR="004B4D1B" w:rsidRPr="00AF1D2A" w:rsidRDefault="005465DD" w:rsidP="00C54437">
      <w:pPr>
        <w:spacing w:before="120" w:after="120"/>
        <w:jc w:val="both"/>
      </w:pPr>
      <w:r>
        <w:rPr>
          <w:rStyle w:val="wacimagecontainer"/>
          <w:rFonts w:ascii="Segoe UI" w:hAnsi="Segoe UI" w:cs="Segoe UI"/>
          <w:b/>
          <w:bCs/>
          <w:noProof/>
          <w:color w:val="2F5496"/>
          <w:sz w:val="18"/>
          <w:szCs w:val="18"/>
        </w:rPr>
        <w:drawing>
          <wp:inline distT="0" distB="0" distL="0" distR="0" wp14:anchorId="708EA58D" wp14:editId="44623CD3">
            <wp:extent cx="4796287" cy="2437998"/>
            <wp:effectExtent l="0" t="0" r="4445" b="635"/>
            <wp:docPr id="1" name="Picture 1" descr="Graph showing 'Quantity of stock held' relative to 'Time (days/weeks)'. Stock levels are shown moving from a peak stock level (on arrival of a shipment), down towards a safety stock level, and then back up to a peak stock level as each shipment arrives. There is a safety stock level which is above the MSR stock level.&#10;The last shipment in the chart is indicated as delayed, with the consequence that without further action to alter the speed at which stock is utilised, the stock level will drop below the MSR stock level by the time that the delayed shipment is received. There are two lines showing the stock levels reached if at the juncture the delay in shipment is known, an RP rations stock such that the stock level reached when the delayed shipment arrives, is either at the level of the safety stock level, or the MSR stock level (i.e., the MSR stock is not util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Quantity of stock held' relative to 'Time (days/weeks)'. Stock levels are shown moving from a peak stock level (on arrival of a shipment), down towards a safety stock level, and then back up to a peak stock level as each shipment arrives. There is a safety stock level which is above the MSR stock level.&#10;The last shipment in the chart is indicated as delayed, with the consequence that without further action to alter the speed at which stock is utilised, the stock level will drop below the MSR stock level by the time that the delayed shipment is received. There are two lines showing the stock levels reached if at the juncture the delay in shipment is known, an RP rations stock such that the stock level reached when the delayed shipment arrives, is either at the level of the safety stock level, or the MSR stock level (i.e., the MSR stock is not utilis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14266" cy="2447137"/>
                    </a:xfrm>
                    <a:prstGeom prst="rect">
                      <a:avLst/>
                    </a:prstGeom>
                    <a:noFill/>
                    <a:ln>
                      <a:noFill/>
                    </a:ln>
                  </pic:spPr>
                </pic:pic>
              </a:graphicData>
            </a:graphic>
          </wp:inline>
        </w:drawing>
      </w:r>
    </w:p>
    <w:p w14:paraId="07500D73" w14:textId="5493CAFA" w:rsidR="004B4D1B" w:rsidRPr="006A047F" w:rsidRDefault="1D35BF44" w:rsidP="00C54437">
      <w:pPr>
        <w:spacing w:before="120" w:after="120"/>
        <w:jc w:val="both"/>
        <w:rPr>
          <w:rFonts w:ascii="Calibri" w:eastAsia="Calibri" w:hAnsi="Calibri" w:cs="Calibri"/>
          <w:szCs w:val="22"/>
        </w:rPr>
      </w:pPr>
      <w:r w:rsidRPr="2D80AF68">
        <w:rPr>
          <w:rFonts w:ascii="Calibri" w:eastAsia="Calibri" w:hAnsi="Calibri" w:cs="Calibri"/>
          <w:szCs w:val="22"/>
        </w:rPr>
        <w:t xml:space="preserve">A supply disruption such as that caused by a shipment delay (shown by A) can either be managed by dipping into safety/MSR stocks (B) or by rationing </w:t>
      </w:r>
      <w:r w:rsidRPr="006A047F">
        <w:rPr>
          <w:rFonts w:ascii="Calibri" w:eastAsia="Calibri" w:hAnsi="Calibri" w:cs="Calibri"/>
          <w:szCs w:val="22"/>
        </w:rPr>
        <w:t>stock. The line C shows stock being rationed to avoid breaching safety stocks, while line D shows stock being rationed to avoid breaching the MSR. RPs may ration stock to avoid going out of stock entirely, however this results in reduced availability for patients. Without the MSR</w:t>
      </w:r>
      <w:r w:rsidR="003356CA">
        <w:rPr>
          <w:rFonts w:ascii="Calibri" w:eastAsia="Calibri" w:hAnsi="Calibri" w:cs="Calibri"/>
          <w:szCs w:val="22"/>
        </w:rPr>
        <w:t>,</w:t>
      </w:r>
      <w:r w:rsidRPr="006A047F">
        <w:rPr>
          <w:rFonts w:ascii="Calibri" w:eastAsia="Calibri" w:hAnsi="Calibri" w:cs="Calibri"/>
          <w:szCs w:val="22"/>
        </w:rPr>
        <w:t xml:space="preserve"> the medicine would have been out of stock (E) or there would have been greater likelihood of rationing.</w:t>
      </w:r>
    </w:p>
    <w:p w14:paraId="44C1942F" w14:textId="1ACE20F0" w:rsidR="008217D9" w:rsidRPr="00153C5A" w:rsidRDefault="008217D9" w:rsidP="00A16054">
      <w:pPr>
        <w:spacing w:before="120" w:after="120"/>
        <w:jc w:val="both"/>
        <w:rPr>
          <w:rFonts w:asciiTheme="minorHAnsi" w:hAnsiTheme="minorHAnsi" w:cstheme="minorHAnsi"/>
          <w:szCs w:val="22"/>
        </w:rPr>
      </w:pPr>
    </w:p>
    <w:p w14:paraId="6BA7B373" w14:textId="77777777" w:rsidR="003B1B83" w:rsidRDefault="003B1B83">
      <w:pPr>
        <w:spacing w:after="160" w:line="259" w:lineRule="auto"/>
        <w:rPr>
          <w:rFonts w:asciiTheme="minorHAnsi" w:eastAsiaTheme="majorEastAsia" w:hAnsiTheme="minorHAnsi" w:cstheme="majorBidi"/>
          <w:b/>
          <w:bCs/>
          <w:color w:val="2F5496" w:themeColor="accent1" w:themeShade="BF"/>
          <w:sz w:val="26"/>
          <w:szCs w:val="26"/>
        </w:rPr>
      </w:pPr>
      <w:r>
        <w:rPr>
          <w:b/>
          <w:bCs/>
        </w:rPr>
        <w:br w:type="page"/>
      </w:r>
    </w:p>
    <w:p w14:paraId="037A14B6" w14:textId="1132F9D9" w:rsidR="00277725" w:rsidRPr="000F029F" w:rsidRDefault="002B6075" w:rsidP="006748E8">
      <w:pPr>
        <w:pStyle w:val="Heading2"/>
        <w:rPr>
          <w:rFonts w:ascii="Calibri" w:eastAsia="Calibri" w:hAnsi="Calibri" w:cs="Calibri"/>
          <w:b/>
        </w:rPr>
      </w:pPr>
      <w:bookmarkStart w:id="16" w:name="_Attachment_2:_PBS"/>
      <w:bookmarkEnd w:id="16"/>
      <w:r w:rsidRPr="007A2544">
        <w:rPr>
          <w:b/>
        </w:rPr>
        <w:lastRenderedPageBreak/>
        <w:t xml:space="preserve">Attachment </w:t>
      </w:r>
      <w:r w:rsidRPr="000F029F">
        <w:rPr>
          <w:rFonts w:ascii="Calibri" w:eastAsia="Calibri" w:hAnsi="Calibri" w:cs="Calibri"/>
          <w:b/>
        </w:rPr>
        <w:t xml:space="preserve">2: </w:t>
      </w:r>
      <w:r w:rsidR="00277725" w:rsidRPr="000F029F">
        <w:rPr>
          <w:rFonts w:ascii="Calibri" w:eastAsia="Calibri" w:hAnsi="Calibri" w:cs="Calibri"/>
          <w:b/>
        </w:rPr>
        <w:t>PBS Statutory Price Reductions</w:t>
      </w:r>
    </w:p>
    <w:p w14:paraId="63596BA3" w14:textId="77777777" w:rsidR="00060BFF" w:rsidRPr="000F029F" w:rsidRDefault="00060BFF" w:rsidP="007A2544">
      <w:pPr>
        <w:pStyle w:val="Heading3"/>
      </w:pPr>
      <w:r w:rsidRPr="000F029F">
        <w:t>PBS pricing</w:t>
      </w:r>
    </w:p>
    <w:p w14:paraId="7883467F" w14:textId="5E917F72" w:rsidR="00060BFF" w:rsidRPr="000F029F" w:rsidRDefault="00060BFF" w:rsidP="00024250">
      <w:pPr>
        <w:spacing w:before="120" w:after="120"/>
        <w:jc w:val="both"/>
        <w:rPr>
          <w:rFonts w:asciiTheme="minorHAnsi" w:hAnsiTheme="minorHAnsi" w:cstheme="minorHAnsi"/>
        </w:rPr>
      </w:pPr>
      <w:r w:rsidRPr="000F029F">
        <w:rPr>
          <w:rFonts w:asciiTheme="minorHAnsi" w:hAnsiTheme="minorHAnsi" w:cstheme="minorHAnsi"/>
        </w:rPr>
        <w:t xml:space="preserve">The PBS subsidy scheme for pharmaceuticals was established in 1948 and is governed by the </w:t>
      </w:r>
      <w:hyperlink r:id="rId41">
        <w:r w:rsidR="00FE21A9" w:rsidRPr="0015744F">
          <w:rPr>
            <w:rStyle w:val="Hyperlink"/>
            <w:rFonts w:asciiTheme="minorHAnsi" w:hAnsiTheme="minorHAnsi" w:cstheme="minorHAnsi"/>
            <w:i/>
          </w:rPr>
          <w:t>National Health Act 1953</w:t>
        </w:r>
      </w:hyperlink>
      <w:r w:rsidR="00FE21A9" w:rsidRPr="000F029F" w:rsidDel="00FE21A9">
        <w:rPr>
          <w:rFonts w:asciiTheme="minorHAnsi" w:hAnsiTheme="minorHAnsi" w:cstheme="minorHAnsi"/>
          <w:i/>
          <w:iCs/>
        </w:rPr>
        <w:t xml:space="preserve"> </w:t>
      </w:r>
      <w:r w:rsidRPr="000F029F">
        <w:rPr>
          <w:rFonts w:asciiTheme="minorHAnsi" w:hAnsiTheme="minorHAnsi" w:cstheme="minorHAnsi"/>
        </w:rPr>
        <w:t>(</w:t>
      </w:r>
      <w:r w:rsidRPr="000F029F">
        <w:rPr>
          <w:rFonts w:asciiTheme="minorHAnsi" w:hAnsiTheme="minorHAnsi" w:cstheme="minorHAnsi"/>
          <w:b/>
        </w:rPr>
        <w:t>the Act</w:t>
      </w:r>
      <w:r w:rsidRPr="000F029F">
        <w:rPr>
          <w:rFonts w:asciiTheme="minorHAnsi" w:hAnsiTheme="minorHAnsi" w:cstheme="minorHAnsi"/>
        </w:rPr>
        <w:t>). The PBS is a program that reimburses pharmacists for the dispensing of listed medicines. It does not directly purchase medicines or reimburse patients. Pharmaceutical items listed on the PBS are subject to a range of statutory pricing mechanisms set out in Part 7 of the Act.</w:t>
      </w:r>
    </w:p>
    <w:p w14:paraId="5F3460C2" w14:textId="77777777" w:rsidR="00060BFF" w:rsidRPr="000F029F" w:rsidRDefault="00060BFF" w:rsidP="007A2544">
      <w:pPr>
        <w:pStyle w:val="Heading3"/>
      </w:pPr>
      <w:r w:rsidRPr="000F029F">
        <w:t>The AEMP</w:t>
      </w:r>
    </w:p>
    <w:p w14:paraId="7770DE98" w14:textId="77777777" w:rsidR="00060BFF" w:rsidRPr="000F029F" w:rsidRDefault="00060BFF" w:rsidP="00024250">
      <w:pPr>
        <w:spacing w:before="120" w:after="120"/>
        <w:jc w:val="both"/>
        <w:rPr>
          <w:rFonts w:asciiTheme="minorHAnsi" w:hAnsiTheme="minorHAnsi" w:cstheme="minorHAnsi"/>
        </w:rPr>
      </w:pPr>
      <w:r w:rsidRPr="000F029F">
        <w:rPr>
          <w:rFonts w:asciiTheme="minorHAnsi" w:hAnsiTheme="minorHAnsi" w:cstheme="minorHAnsi"/>
        </w:rPr>
        <w:t>The reimbursed price per pack of medicine is by agreement between the Government and the sponsor and is referred to as the Approved Ex-Manufacturer Price (</w:t>
      </w:r>
      <w:r w:rsidRPr="000F029F">
        <w:rPr>
          <w:rFonts w:asciiTheme="minorHAnsi" w:hAnsiTheme="minorHAnsi" w:cstheme="minorHAnsi"/>
          <w:b/>
        </w:rPr>
        <w:t>AEMP</w:t>
      </w:r>
      <w:r w:rsidRPr="000F029F">
        <w:rPr>
          <w:rFonts w:asciiTheme="minorHAnsi" w:hAnsiTheme="minorHAnsi" w:cstheme="minorHAnsi"/>
        </w:rPr>
        <w:t>). All brands of a pharmaceutical item</w:t>
      </w:r>
      <w:r w:rsidRPr="000F029F">
        <w:rPr>
          <w:rFonts w:asciiTheme="minorHAnsi" w:hAnsiTheme="minorHAnsi" w:cstheme="minorHAnsi"/>
          <w:vertAlign w:val="superscript"/>
        </w:rPr>
        <w:footnoteReference w:id="20"/>
      </w:r>
      <w:r w:rsidRPr="000F029F">
        <w:rPr>
          <w:rFonts w:asciiTheme="minorHAnsi" w:hAnsiTheme="minorHAnsi" w:cstheme="minorHAnsi"/>
        </w:rPr>
        <w:t xml:space="preserve"> must have the same AEMP.</w:t>
      </w:r>
    </w:p>
    <w:p w14:paraId="4018718B" w14:textId="44DEC0BF" w:rsidR="00060BFF" w:rsidRPr="000F029F" w:rsidRDefault="00060BFF" w:rsidP="007A2544">
      <w:pPr>
        <w:pStyle w:val="Heading3"/>
      </w:pPr>
      <w:r w:rsidRPr="000F029F">
        <w:t>Formularies</w:t>
      </w:r>
    </w:p>
    <w:p w14:paraId="04C8B2F2" w14:textId="77777777" w:rsidR="00060BFF" w:rsidRPr="000F029F" w:rsidRDefault="00060BFF" w:rsidP="00024250">
      <w:pPr>
        <w:spacing w:before="120" w:after="120"/>
        <w:jc w:val="both"/>
        <w:rPr>
          <w:rFonts w:asciiTheme="minorHAnsi" w:hAnsiTheme="minorHAnsi" w:cstheme="minorHAnsi"/>
        </w:rPr>
      </w:pPr>
      <w:r w:rsidRPr="000F029F">
        <w:rPr>
          <w:rFonts w:asciiTheme="minorHAnsi" w:hAnsiTheme="minorHAnsi" w:cstheme="minorHAnsi"/>
        </w:rPr>
        <w:t>When drugs are listed on the PBS, they are allocated to one of two formularies, which then determines which pricing arrangements the drug is subject to:</w:t>
      </w:r>
    </w:p>
    <w:p w14:paraId="2285B267" w14:textId="77777777" w:rsidR="00060BFF" w:rsidRPr="000F029F" w:rsidRDefault="00060BFF" w:rsidP="00024250">
      <w:pPr>
        <w:numPr>
          <w:ilvl w:val="0"/>
          <w:numId w:val="29"/>
        </w:numPr>
        <w:spacing w:before="120" w:after="120"/>
        <w:jc w:val="both"/>
        <w:rPr>
          <w:rFonts w:asciiTheme="minorHAnsi" w:hAnsiTheme="minorHAnsi" w:cstheme="minorHAnsi"/>
        </w:rPr>
      </w:pPr>
      <w:r w:rsidRPr="000F029F">
        <w:rPr>
          <w:rFonts w:asciiTheme="minorHAnsi" w:hAnsiTheme="minorHAnsi" w:cstheme="minorHAnsi"/>
        </w:rPr>
        <w:t>Formulary 1 (</w:t>
      </w:r>
      <w:r w:rsidRPr="000F029F">
        <w:rPr>
          <w:rFonts w:asciiTheme="minorHAnsi" w:hAnsiTheme="minorHAnsi" w:cstheme="minorHAnsi"/>
          <w:b/>
        </w:rPr>
        <w:t>F1</w:t>
      </w:r>
      <w:r w:rsidRPr="000F029F">
        <w:rPr>
          <w:rFonts w:asciiTheme="minorHAnsi" w:hAnsiTheme="minorHAnsi" w:cstheme="minorHAnsi"/>
        </w:rPr>
        <w:t>) is intended for single branded drugs. F1 drugs are subject to anniversary price reductions 5, 10 and 15 years after listing.</w:t>
      </w:r>
    </w:p>
    <w:p w14:paraId="7E19CDA4" w14:textId="77777777" w:rsidR="00060BFF" w:rsidRPr="000F029F" w:rsidRDefault="00060BFF" w:rsidP="00024250">
      <w:pPr>
        <w:numPr>
          <w:ilvl w:val="0"/>
          <w:numId w:val="29"/>
        </w:numPr>
        <w:spacing w:before="120" w:after="120"/>
        <w:jc w:val="both"/>
        <w:rPr>
          <w:rFonts w:asciiTheme="minorHAnsi" w:hAnsiTheme="minorHAnsi" w:cstheme="minorHAnsi"/>
        </w:rPr>
      </w:pPr>
      <w:r w:rsidRPr="000F029F">
        <w:rPr>
          <w:rFonts w:asciiTheme="minorHAnsi" w:hAnsiTheme="minorHAnsi" w:cstheme="minorHAnsi"/>
        </w:rPr>
        <w:t>Formulary 2 (</w:t>
      </w:r>
      <w:r w:rsidRPr="000F029F" w:rsidDel="00A4478E">
        <w:rPr>
          <w:rFonts w:asciiTheme="minorHAnsi" w:hAnsiTheme="minorHAnsi" w:cstheme="minorHAnsi"/>
          <w:b/>
        </w:rPr>
        <w:t>F2</w:t>
      </w:r>
      <w:r w:rsidRPr="000F029F">
        <w:rPr>
          <w:rFonts w:asciiTheme="minorHAnsi" w:hAnsiTheme="minorHAnsi" w:cstheme="minorHAnsi"/>
        </w:rPr>
        <w:t>) is for drugs for which there is more than one brand. F2 drugs are subject to price disclosure and guarantee of supply regulations.</w:t>
      </w:r>
    </w:p>
    <w:p w14:paraId="3EF2FD92" w14:textId="77777777" w:rsidR="00060BFF" w:rsidRPr="000F029F" w:rsidRDefault="00060BFF" w:rsidP="00024250">
      <w:pPr>
        <w:numPr>
          <w:ilvl w:val="0"/>
          <w:numId w:val="29"/>
        </w:numPr>
        <w:spacing w:before="120" w:after="120"/>
        <w:jc w:val="both"/>
        <w:rPr>
          <w:rFonts w:asciiTheme="minorHAnsi" w:hAnsiTheme="minorHAnsi" w:cstheme="minorHAnsi"/>
        </w:rPr>
      </w:pPr>
      <w:r w:rsidRPr="000F029F">
        <w:rPr>
          <w:rFonts w:asciiTheme="minorHAnsi" w:hAnsiTheme="minorHAnsi" w:cstheme="minorHAnsi"/>
        </w:rPr>
        <w:t>The first new brand (</w:t>
      </w:r>
      <w:r w:rsidRPr="000F029F">
        <w:rPr>
          <w:rFonts w:asciiTheme="minorHAnsi" w:hAnsiTheme="minorHAnsi" w:cstheme="minorHAnsi"/>
          <w:b/>
        </w:rPr>
        <w:t>FNB</w:t>
      </w:r>
      <w:r w:rsidRPr="000F029F">
        <w:rPr>
          <w:rFonts w:asciiTheme="minorHAnsi" w:hAnsiTheme="minorHAnsi" w:cstheme="minorHAnsi"/>
        </w:rPr>
        <w:t>) statutory price reduction (</w:t>
      </w:r>
      <w:r w:rsidRPr="000F029F">
        <w:rPr>
          <w:rFonts w:asciiTheme="minorHAnsi" w:hAnsiTheme="minorHAnsi" w:cstheme="minorHAnsi"/>
          <w:b/>
        </w:rPr>
        <w:t>SPR</w:t>
      </w:r>
      <w:r w:rsidRPr="000F029F">
        <w:rPr>
          <w:rFonts w:asciiTheme="minorHAnsi" w:hAnsiTheme="minorHAnsi" w:cstheme="minorHAnsi"/>
        </w:rPr>
        <w:t>) applies when the first new brand of a pharmaceutical item that is bioequivalent or biosimilar and has the same manner of administration as an existing pharmaceutical item is listed on the PBS.</w:t>
      </w:r>
    </w:p>
    <w:p w14:paraId="0AF6A096" w14:textId="77777777" w:rsidR="00060BFF" w:rsidRPr="000F029F" w:rsidRDefault="00060BFF" w:rsidP="00024250">
      <w:pPr>
        <w:numPr>
          <w:ilvl w:val="1"/>
          <w:numId w:val="29"/>
        </w:numPr>
        <w:spacing w:before="120" w:after="120"/>
        <w:jc w:val="both"/>
        <w:rPr>
          <w:rFonts w:asciiTheme="minorHAnsi" w:hAnsiTheme="minorHAnsi" w:cstheme="minorHAnsi"/>
        </w:rPr>
      </w:pPr>
      <w:r w:rsidRPr="000F029F">
        <w:rPr>
          <w:rFonts w:asciiTheme="minorHAnsi" w:hAnsiTheme="minorHAnsi" w:cstheme="minorHAnsi"/>
        </w:rPr>
        <w:t>When the FNB is listed for a drug that is in F1, the drug becomes multi-branded and moves from F1 to the F2 formulary and is subject to a FNB SPR which is up to 25%.</w:t>
      </w:r>
    </w:p>
    <w:p w14:paraId="327B461A" w14:textId="77777777" w:rsidR="00060BFF" w:rsidRPr="000F029F" w:rsidRDefault="00060BFF" w:rsidP="007A2544">
      <w:pPr>
        <w:pStyle w:val="Heading3"/>
      </w:pPr>
      <w:r w:rsidRPr="000F029F">
        <w:t>Price disclosure (PD)</w:t>
      </w:r>
    </w:p>
    <w:p w14:paraId="3E3D2258" w14:textId="77777777" w:rsidR="00060BFF" w:rsidRPr="000F029F" w:rsidRDefault="00060BFF" w:rsidP="00024250">
      <w:pPr>
        <w:spacing w:before="120" w:after="120"/>
        <w:jc w:val="both"/>
        <w:rPr>
          <w:rFonts w:asciiTheme="minorHAnsi" w:hAnsiTheme="minorHAnsi" w:cstheme="minorHAnsi"/>
        </w:rPr>
      </w:pPr>
      <w:r w:rsidRPr="000F029F">
        <w:rPr>
          <w:rFonts w:asciiTheme="minorHAnsi" w:hAnsiTheme="minorHAnsi" w:cstheme="minorHAnsi"/>
        </w:rPr>
        <w:t>Once a drug is in F2, medicine prices are subject to price disclosure. The price paid by pharmacy for a medicine may be less than the PBS reimbursement (AEMP) to the pharmacy. Price disclosure aims to ensure the prices that patients and the Australian Government pay for multi-branded medicines more closely reflects the average prices those medicines are supplied to the market.</w:t>
      </w:r>
    </w:p>
    <w:p w14:paraId="309A9C28" w14:textId="77777777" w:rsidR="00060BFF" w:rsidRPr="000F029F" w:rsidRDefault="00060BFF" w:rsidP="00024250">
      <w:pPr>
        <w:spacing w:before="120" w:after="120"/>
        <w:jc w:val="both"/>
        <w:rPr>
          <w:rFonts w:asciiTheme="minorHAnsi" w:hAnsiTheme="minorHAnsi" w:cstheme="minorHAnsi"/>
        </w:rPr>
      </w:pPr>
      <w:r w:rsidRPr="000F029F">
        <w:rPr>
          <w:rFonts w:asciiTheme="minorHAnsi" w:hAnsiTheme="minorHAnsi" w:cstheme="minorHAnsi"/>
        </w:rPr>
        <w:t xml:space="preserve">Under Division 3B of the Act, sponsors of medicines subject to price disclosure are required to collect and submit data on sales revenue, sales </w:t>
      </w:r>
      <w:proofErr w:type="gramStart"/>
      <w:r w:rsidRPr="000F029F">
        <w:rPr>
          <w:rFonts w:asciiTheme="minorHAnsi" w:hAnsiTheme="minorHAnsi" w:cstheme="minorHAnsi"/>
        </w:rPr>
        <w:t>volume</w:t>
      </w:r>
      <w:proofErr w:type="gramEnd"/>
      <w:r w:rsidRPr="000F029F">
        <w:rPr>
          <w:rFonts w:asciiTheme="minorHAnsi" w:hAnsiTheme="minorHAnsi" w:cstheme="minorHAnsi"/>
        </w:rPr>
        <w:t xml:space="preserve"> and incentives every six months. The arrangements result in price reductions based on weighted average disclosed prices (</w:t>
      </w:r>
      <w:r w:rsidRPr="000F029F">
        <w:rPr>
          <w:rFonts w:asciiTheme="minorHAnsi" w:hAnsiTheme="minorHAnsi" w:cstheme="minorHAnsi"/>
          <w:b/>
        </w:rPr>
        <w:t>WADPs</w:t>
      </w:r>
      <w:r w:rsidRPr="000F029F">
        <w:rPr>
          <w:rFonts w:asciiTheme="minorHAnsi" w:hAnsiTheme="minorHAnsi" w:cstheme="minorHAnsi"/>
        </w:rPr>
        <w:t>) which can occur twice a year on either 1 April or 1 October. A price reduction for a brand may occur if the percentage difference between the current price and the WADP is greater than the prescribed threshold for the brand. The relevant thresholds include:</w:t>
      </w:r>
    </w:p>
    <w:p w14:paraId="3665686C" w14:textId="77777777" w:rsidR="00060BFF" w:rsidRPr="000F029F" w:rsidRDefault="00060BFF" w:rsidP="00024250">
      <w:pPr>
        <w:numPr>
          <w:ilvl w:val="1"/>
          <w:numId w:val="28"/>
        </w:numPr>
        <w:spacing w:before="120" w:after="120"/>
        <w:jc w:val="both"/>
        <w:rPr>
          <w:rFonts w:asciiTheme="minorHAnsi" w:hAnsiTheme="minorHAnsi" w:cstheme="minorHAnsi"/>
        </w:rPr>
      </w:pPr>
      <w:r w:rsidRPr="000F029F">
        <w:rPr>
          <w:rFonts w:asciiTheme="minorHAnsi" w:hAnsiTheme="minorHAnsi" w:cstheme="minorHAnsi"/>
        </w:rPr>
        <w:t>For</w:t>
      </w:r>
      <w:r w:rsidRPr="000F029F">
        <w:rPr>
          <w:rFonts w:asciiTheme="minorHAnsi" w:hAnsiTheme="minorHAnsi" w:cstheme="minorHAnsi"/>
          <w:b/>
        </w:rPr>
        <w:t xml:space="preserve"> </w:t>
      </w:r>
      <w:r w:rsidRPr="000F029F">
        <w:rPr>
          <w:rFonts w:asciiTheme="minorHAnsi" w:hAnsiTheme="minorHAnsi" w:cstheme="minorHAnsi"/>
        </w:rPr>
        <w:t xml:space="preserve">brands that are not designated brands – </w:t>
      </w:r>
      <w:proofErr w:type="gramStart"/>
      <w:r w:rsidRPr="000F029F">
        <w:rPr>
          <w:rFonts w:asciiTheme="minorHAnsi" w:hAnsiTheme="minorHAnsi" w:cstheme="minorHAnsi"/>
          <w:b/>
        </w:rPr>
        <w:t>10%;</w:t>
      </w:r>
      <w:proofErr w:type="gramEnd"/>
    </w:p>
    <w:p w14:paraId="6B63D26B" w14:textId="77777777" w:rsidR="00060BFF" w:rsidRPr="000F029F" w:rsidRDefault="00060BFF" w:rsidP="00024250">
      <w:pPr>
        <w:numPr>
          <w:ilvl w:val="1"/>
          <w:numId w:val="28"/>
        </w:numPr>
        <w:spacing w:before="120" w:after="120"/>
        <w:jc w:val="both"/>
        <w:rPr>
          <w:rFonts w:asciiTheme="minorHAnsi" w:hAnsiTheme="minorHAnsi" w:cstheme="minorHAnsi"/>
        </w:rPr>
      </w:pPr>
      <w:r w:rsidRPr="000F029F">
        <w:rPr>
          <w:rFonts w:asciiTheme="minorHAnsi" w:hAnsiTheme="minorHAnsi" w:cstheme="minorHAnsi"/>
        </w:rPr>
        <w:t xml:space="preserve">For designated brands with an AEMP of more than $4 – </w:t>
      </w:r>
      <w:r w:rsidRPr="000F029F">
        <w:rPr>
          <w:rFonts w:asciiTheme="minorHAnsi" w:hAnsiTheme="minorHAnsi" w:cstheme="minorHAnsi"/>
          <w:b/>
        </w:rPr>
        <w:t>30%</w:t>
      </w:r>
      <w:r w:rsidRPr="000F029F">
        <w:rPr>
          <w:rFonts w:asciiTheme="minorHAnsi" w:hAnsiTheme="minorHAnsi" w:cstheme="minorHAnsi"/>
        </w:rPr>
        <w:t>; or</w:t>
      </w:r>
    </w:p>
    <w:p w14:paraId="6F8C553E" w14:textId="77777777" w:rsidR="00060BFF" w:rsidRPr="000F029F" w:rsidRDefault="00060BFF" w:rsidP="00024250">
      <w:pPr>
        <w:numPr>
          <w:ilvl w:val="1"/>
          <w:numId w:val="28"/>
        </w:numPr>
        <w:spacing w:before="120" w:after="120"/>
        <w:jc w:val="both"/>
        <w:rPr>
          <w:rFonts w:asciiTheme="minorHAnsi" w:hAnsiTheme="minorHAnsi" w:cstheme="minorHAnsi"/>
        </w:rPr>
      </w:pPr>
      <w:r w:rsidRPr="000F029F">
        <w:rPr>
          <w:rFonts w:asciiTheme="minorHAnsi" w:hAnsiTheme="minorHAnsi" w:cstheme="minorHAnsi"/>
        </w:rPr>
        <w:t xml:space="preserve">For designated brands with an AEMP of more than $4, if there has been discounting averaging at least </w:t>
      </w:r>
      <w:r w:rsidRPr="000F029F">
        <w:rPr>
          <w:rFonts w:asciiTheme="minorHAnsi" w:hAnsiTheme="minorHAnsi" w:cstheme="minorHAnsi"/>
          <w:b/>
        </w:rPr>
        <w:t>12.5%</w:t>
      </w:r>
      <w:r w:rsidRPr="000F029F">
        <w:rPr>
          <w:rFonts w:asciiTheme="minorHAnsi" w:hAnsiTheme="minorHAnsi" w:cstheme="minorHAnsi"/>
        </w:rPr>
        <w:t xml:space="preserve"> over the last 3 data collection periods including the one for which calculations are performed and there has not been a price reduction under s99ADH of the Act – </w:t>
      </w:r>
      <w:r w:rsidRPr="000F029F">
        <w:rPr>
          <w:rFonts w:asciiTheme="minorHAnsi" w:hAnsiTheme="minorHAnsi" w:cstheme="minorHAnsi"/>
          <w:b/>
        </w:rPr>
        <w:t>10%.</w:t>
      </w:r>
    </w:p>
    <w:p w14:paraId="75AF2DD2" w14:textId="77777777" w:rsidR="00060BFF" w:rsidRPr="000F029F" w:rsidRDefault="00060BFF" w:rsidP="007A2544">
      <w:pPr>
        <w:pStyle w:val="Heading3"/>
      </w:pPr>
      <w:bookmarkStart w:id="17" w:name="_Viability_and_the"/>
      <w:bookmarkEnd w:id="17"/>
      <w:r w:rsidRPr="000F029F">
        <w:lastRenderedPageBreak/>
        <w:t>Viability and the MSSG</w:t>
      </w:r>
    </w:p>
    <w:p w14:paraId="5C7DCCB2" w14:textId="77777777" w:rsidR="00060BFF" w:rsidRPr="000F029F" w:rsidRDefault="00060BFF" w:rsidP="00024250">
      <w:pPr>
        <w:spacing w:before="120" w:after="120"/>
        <w:jc w:val="both"/>
        <w:rPr>
          <w:rFonts w:asciiTheme="minorHAnsi" w:hAnsiTheme="minorHAnsi" w:cstheme="minorHAnsi"/>
        </w:rPr>
      </w:pPr>
      <w:r w:rsidRPr="000F029F">
        <w:rPr>
          <w:rFonts w:asciiTheme="minorHAnsi" w:hAnsiTheme="minorHAnsi" w:cstheme="minorHAnsi"/>
        </w:rPr>
        <w:t>There are various legislative and administrative mechanisms in place to protect medicines from an unviable price reduction occurring, including:</w:t>
      </w:r>
    </w:p>
    <w:p w14:paraId="6122A8CC" w14:textId="77777777" w:rsidR="00060BFF" w:rsidRPr="00060BFF" w:rsidRDefault="00221528" w:rsidP="00024250">
      <w:pPr>
        <w:numPr>
          <w:ilvl w:val="1"/>
          <w:numId w:val="27"/>
        </w:numPr>
        <w:spacing w:before="120" w:after="120"/>
        <w:jc w:val="both"/>
        <w:rPr>
          <w:rFonts w:asciiTheme="minorHAnsi" w:hAnsiTheme="minorHAnsi" w:cstheme="minorHAnsi"/>
        </w:rPr>
      </w:pPr>
      <w:hyperlink r:id="rId42" w:history="1">
        <w:r w:rsidR="00060BFF" w:rsidRPr="00060BFF">
          <w:rPr>
            <w:rStyle w:val="Hyperlink"/>
            <w:rFonts w:asciiTheme="minorHAnsi" w:hAnsiTheme="minorHAnsi" w:cstheme="minorHAnsi"/>
          </w:rPr>
          <w:t>Ministerial discretion</w:t>
        </w:r>
      </w:hyperlink>
      <w:r w:rsidR="00060BFF" w:rsidRPr="00060BFF">
        <w:rPr>
          <w:rFonts w:asciiTheme="minorHAnsi" w:hAnsiTheme="minorHAnsi" w:cstheme="minorHAnsi"/>
        </w:rPr>
        <w:t xml:space="preserve"> to not apply (or to reduce) a statutory price </w:t>
      </w:r>
      <w:proofErr w:type="gramStart"/>
      <w:r w:rsidR="00060BFF" w:rsidRPr="00060BFF">
        <w:rPr>
          <w:rFonts w:asciiTheme="minorHAnsi" w:hAnsiTheme="minorHAnsi" w:cstheme="minorHAnsi"/>
        </w:rPr>
        <w:t>reduction</w:t>
      </w:r>
      <w:proofErr w:type="gramEnd"/>
    </w:p>
    <w:p w14:paraId="09B275AD" w14:textId="77777777" w:rsidR="00060BFF" w:rsidRPr="00060BFF" w:rsidRDefault="00060BFF" w:rsidP="00024250">
      <w:pPr>
        <w:numPr>
          <w:ilvl w:val="1"/>
          <w:numId w:val="27"/>
        </w:numPr>
        <w:spacing w:before="120" w:after="120"/>
        <w:jc w:val="both"/>
        <w:rPr>
          <w:rFonts w:asciiTheme="minorHAnsi" w:hAnsiTheme="minorHAnsi" w:cstheme="minorHAnsi"/>
        </w:rPr>
      </w:pPr>
      <w:r w:rsidRPr="00060BFF">
        <w:rPr>
          <w:rFonts w:asciiTheme="minorHAnsi" w:hAnsiTheme="minorHAnsi" w:cstheme="minorHAnsi"/>
        </w:rPr>
        <w:t xml:space="preserve">The </w:t>
      </w:r>
      <w:hyperlink r:id="rId43" w:history="1">
        <w:r w:rsidRPr="00060BFF">
          <w:rPr>
            <w:rStyle w:val="Hyperlink"/>
            <w:rFonts w:asciiTheme="minorHAnsi" w:hAnsiTheme="minorHAnsi" w:cstheme="minorHAnsi"/>
          </w:rPr>
          <w:t>Price Disclosure Dispute Resolution process</w:t>
        </w:r>
      </w:hyperlink>
    </w:p>
    <w:p w14:paraId="1E591FFA" w14:textId="77777777" w:rsidR="00060BFF" w:rsidRPr="00060BFF" w:rsidRDefault="00221528" w:rsidP="00024250">
      <w:pPr>
        <w:numPr>
          <w:ilvl w:val="1"/>
          <w:numId w:val="27"/>
        </w:numPr>
        <w:spacing w:before="120" w:after="120"/>
        <w:jc w:val="both"/>
        <w:rPr>
          <w:rFonts w:asciiTheme="minorHAnsi" w:hAnsiTheme="minorHAnsi" w:cstheme="minorHAnsi"/>
        </w:rPr>
      </w:pPr>
      <w:hyperlink r:id="rId44" w:history="1">
        <w:r w:rsidR="00060BFF" w:rsidRPr="00060BFF">
          <w:rPr>
            <w:rStyle w:val="Hyperlink"/>
            <w:rFonts w:asciiTheme="minorHAnsi" w:hAnsiTheme="minorHAnsi" w:cstheme="minorHAnsi"/>
          </w:rPr>
          <w:t>Exempt</w:t>
        </w:r>
      </w:hyperlink>
      <w:r w:rsidR="00060BFF" w:rsidRPr="00060BFF">
        <w:rPr>
          <w:rFonts w:asciiTheme="minorHAnsi" w:hAnsiTheme="minorHAnsi" w:cstheme="minorHAnsi"/>
        </w:rPr>
        <w:t xml:space="preserve"> items from statutory price reductions</w:t>
      </w:r>
    </w:p>
    <w:p w14:paraId="5C2C8127" w14:textId="77777777" w:rsidR="00060BFF" w:rsidRPr="00060BFF" w:rsidRDefault="00060BFF" w:rsidP="00024250">
      <w:pPr>
        <w:spacing w:before="120" w:after="120"/>
        <w:jc w:val="both"/>
        <w:rPr>
          <w:rFonts w:asciiTheme="minorHAnsi" w:hAnsiTheme="minorHAnsi" w:cstheme="minorHAnsi"/>
        </w:rPr>
      </w:pPr>
      <w:r w:rsidRPr="00060BFF">
        <w:rPr>
          <w:rFonts w:asciiTheme="minorHAnsi" w:hAnsiTheme="minorHAnsi" w:cstheme="minorHAnsi"/>
        </w:rPr>
        <w:t xml:space="preserve">However, </w:t>
      </w:r>
      <w:proofErr w:type="gramStart"/>
      <w:r w:rsidRPr="00060BFF">
        <w:rPr>
          <w:rFonts w:asciiTheme="minorHAnsi" w:hAnsiTheme="minorHAnsi" w:cstheme="minorHAnsi"/>
        </w:rPr>
        <w:t>despite the fact that</w:t>
      </w:r>
      <w:proofErr w:type="gramEnd"/>
      <w:r w:rsidRPr="00060BFF">
        <w:rPr>
          <w:rFonts w:asciiTheme="minorHAnsi" w:hAnsiTheme="minorHAnsi" w:cstheme="minorHAnsi"/>
        </w:rPr>
        <w:t xml:space="preserve"> price disclosure reductions occur based on average market prices, over time sustained price reductions can reduce the viability of some medicines, particularly where there are increases in production costs (or other cost pressures).</w:t>
      </w:r>
    </w:p>
    <w:p w14:paraId="32638C03" w14:textId="77777777" w:rsidR="00060BFF" w:rsidRPr="00060BFF" w:rsidRDefault="00060BFF" w:rsidP="00024250">
      <w:pPr>
        <w:spacing w:before="120" w:after="120"/>
        <w:jc w:val="both"/>
        <w:rPr>
          <w:rFonts w:asciiTheme="minorHAnsi" w:hAnsiTheme="minorHAnsi" w:cstheme="minorHAnsi"/>
        </w:rPr>
      </w:pPr>
      <w:r w:rsidRPr="00060BFF">
        <w:rPr>
          <w:rFonts w:asciiTheme="minorHAnsi" w:hAnsiTheme="minorHAnsi" w:cstheme="minorHAnsi"/>
        </w:rPr>
        <w:t>The MSSG included PBS pricing reforms to improve medicine viability for older, lower cost medicines that have been subject to sustained price reductions, including:</w:t>
      </w:r>
    </w:p>
    <w:p w14:paraId="2FFF1693" w14:textId="77777777" w:rsidR="00060BFF" w:rsidRPr="000F029F" w:rsidRDefault="00060BFF" w:rsidP="00024250">
      <w:pPr>
        <w:numPr>
          <w:ilvl w:val="1"/>
          <w:numId w:val="26"/>
        </w:numPr>
        <w:spacing w:before="120" w:after="120"/>
        <w:jc w:val="both"/>
        <w:rPr>
          <w:rFonts w:asciiTheme="minorHAnsi" w:hAnsiTheme="minorHAnsi" w:cstheme="minorHAnsi"/>
        </w:rPr>
      </w:pPr>
      <w:r w:rsidRPr="00060BFF">
        <w:rPr>
          <w:rFonts w:asciiTheme="minorHAnsi" w:hAnsiTheme="minorHAnsi" w:cstheme="minorHAnsi"/>
          <w:bCs/>
        </w:rPr>
        <w:t>One-off price increases on 1 October 2022 for PBS medicines with an AEMP of less than $3.50.</w:t>
      </w:r>
      <w:r w:rsidRPr="000F029F">
        <w:rPr>
          <w:rFonts w:asciiTheme="minorHAnsi" w:hAnsiTheme="minorHAnsi" w:cstheme="minorHAnsi"/>
          <w:vertAlign w:val="superscript"/>
        </w:rPr>
        <w:footnoteReference w:id="21"/>
      </w:r>
      <w:r w:rsidRPr="000F029F">
        <w:rPr>
          <w:rFonts w:asciiTheme="minorHAnsi" w:hAnsiTheme="minorHAnsi" w:cstheme="minorHAnsi"/>
        </w:rPr>
        <w:t xml:space="preserve"> The price increases aimed to address viability concerns in the multi-branded market as a root cause of supply disruptions. Approximately 950 brands of pharmaceutical items received a price increase on 1 October 2022, with an average increase to the AEMP of 44%.</w:t>
      </w:r>
    </w:p>
    <w:p w14:paraId="6811C3D1" w14:textId="4C8C29A6" w:rsidR="00060BFF" w:rsidRPr="000F029F" w:rsidRDefault="00060BFF" w:rsidP="00024250">
      <w:pPr>
        <w:numPr>
          <w:ilvl w:val="1"/>
          <w:numId w:val="26"/>
        </w:numPr>
        <w:spacing w:before="120" w:after="120"/>
        <w:jc w:val="both"/>
        <w:rPr>
          <w:rFonts w:asciiTheme="minorHAnsi" w:hAnsiTheme="minorHAnsi" w:cstheme="minorHAnsi"/>
        </w:rPr>
      </w:pPr>
      <w:r w:rsidRPr="000F029F">
        <w:rPr>
          <w:rFonts w:asciiTheme="minorHAnsi" w:hAnsiTheme="minorHAnsi" w:cstheme="minorHAnsi"/>
        </w:rPr>
        <w:t>The continuation of the 30% price disclosure threshold test and addition of the 12.5% averaging threshold test to protect older medicines from unviable price reductions whilst ensuring price reductions still occur where there is ongoing sustained discounting in the market; and</w:t>
      </w:r>
    </w:p>
    <w:p w14:paraId="0CBCFEA3" w14:textId="36F9FE02" w:rsidR="00B65BA2" w:rsidRPr="00B65BA2" w:rsidRDefault="00060BFF" w:rsidP="00024250">
      <w:pPr>
        <w:numPr>
          <w:ilvl w:val="1"/>
          <w:numId w:val="26"/>
        </w:numPr>
        <w:spacing w:before="120" w:after="120"/>
        <w:jc w:val="both"/>
        <w:rPr>
          <w:rFonts w:asciiTheme="minorHAnsi" w:hAnsiTheme="minorHAnsi" w:cstheme="minorHAnsi"/>
        </w:rPr>
      </w:pPr>
      <w:r w:rsidRPr="000F029F">
        <w:rPr>
          <w:rFonts w:asciiTheme="minorHAnsi" w:hAnsiTheme="minorHAnsi" w:cstheme="minorHAnsi"/>
        </w:rPr>
        <w:t xml:space="preserve">The establishment of floor price protections whereby designated brands are not subject to price reductions under the Act, unless the 30% or 12.5% price disclosure threshold is surpassed, in which case any price reduction would not </w:t>
      </w:r>
      <w:r w:rsidRPr="000F029F">
        <w:rPr>
          <w:rFonts w:asciiTheme="minorHAnsi" w:hAnsiTheme="minorHAnsi" w:cstheme="minorHAnsi"/>
          <w:bCs/>
        </w:rPr>
        <w:t>reduce the AEMP any lower than $4.</w:t>
      </w:r>
    </w:p>
    <w:p w14:paraId="5F3D1CCA" w14:textId="4CD9E80A" w:rsidR="00060BFF" w:rsidRPr="00B65BA2" w:rsidRDefault="000563F7" w:rsidP="00B65BA2">
      <w:pPr>
        <w:spacing w:before="120" w:after="120"/>
        <w:rPr>
          <w:rFonts w:asciiTheme="minorHAnsi" w:eastAsia="Calibri" w:hAnsiTheme="minorHAnsi" w:cstheme="minorHAnsi"/>
          <w:b/>
          <w:bCs/>
          <w:color w:val="002060"/>
          <w:szCs w:val="22"/>
        </w:rPr>
      </w:pPr>
      <w:r w:rsidRPr="00B65BA2">
        <w:rPr>
          <w:rFonts w:asciiTheme="minorHAnsi" w:eastAsia="Calibri" w:hAnsiTheme="minorHAnsi" w:cstheme="minorHAnsi"/>
          <w:b/>
          <w:bCs/>
          <w:noProof/>
          <w:color w:val="002060"/>
          <w:szCs w:val="22"/>
        </w:rPr>
        <w:drawing>
          <wp:anchor distT="0" distB="0" distL="114300" distR="114300" simplePos="0" relativeHeight="251664384" behindDoc="1" locked="0" layoutInCell="1" allowOverlap="1" wp14:anchorId="05EE5D9A" wp14:editId="6BF39103">
            <wp:simplePos x="0" y="0"/>
            <wp:positionH relativeFrom="margin">
              <wp:align>left</wp:align>
            </wp:positionH>
            <wp:positionV relativeFrom="paragraph">
              <wp:posOffset>320675</wp:posOffset>
            </wp:positionV>
            <wp:extent cx="5678170" cy="2602865"/>
            <wp:effectExtent l="0" t="0" r="0" b="6985"/>
            <wp:wrapTight wrapText="bothSides">
              <wp:wrapPolygon edited="0">
                <wp:start x="0" y="0"/>
                <wp:lineTo x="0" y="21500"/>
                <wp:lineTo x="21523" y="21500"/>
                <wp:lineTo x="21523" y="0"/>
                <wp:lineTo x="0" y="0"/>
              </wp:wrapPolygon>
            </wp:wrapTight>
            <wp:docPr id="5" name="Picture 5" descr="Graph showing reduction in pricing over time, from 0 years after listing to 20 years after listing.&#10;The pricing reform objectives of the Medicines Supply Security Guarantee are described as:&#10;- Ensure subsidy is adjusted to reflect discounting in the first few years of genuine competition.&#10;- Prevent subsidy going below what is needed for reliable supply.&#10;- Identifying and increasing the prices of medicines that may be below what is needed to ensure reliable supply.&#10;- Ensuring there remains a mechanism for adjustment of PBS subsidy should markets remain or become more competitive.&#10;- Ensure that any additional subsidy paid goes to managing supply chain risk.&#10;The graph shows smaller price reductions at 5 and 10 years and a larger price reduction at 15 years.&#10;A competition period is depicted in which the medicine is subject to price disclosure price reductions and the graph indicates incremental price reductions occurring more frequently during this period based upon discounting which is occurring in the market. The chart shows a floor price for reliable supply, and successive price reductions below that level have been circled in pink (corresponding to the annotation 'Identifying and increasing the prices of medicines that may be below what is needed to ensure reliable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reduction in pricing over time, from 0 years after listing to 20 years after listing.&#10;The pricing reform objectives of the Medicines Supply Security Guarantee are described as:&#10;- Ensure subsidy is adjusted to reflect discounting in the first few years of genuine competition.&#10;- Prevent subsidy going below what is needed for reliable supply.&#10;- Identifying and increasing the prices of medicines that may be below what is needed to ensure reliable supply.&#10;- Ensuring there remains a mechanism for adjustment of PBS subsidy should markets remain or become more competitive.&#10;- Ensure that any additional subsidy paid goes to managing supply chain risk.&#10;The graph shows smaller price reductions at 5 and 10 years and a larger price reduction at 15 years.&#10;A competition period is depicted in which the medicine is subject to price disclosure price reductions and the graph indicates incremental price reductions occurring more frequently during this period based upon discounting which is occurring in the market. The chart shows a floor price for reliable supply, and successive price reductions below that level have been circled in pink (corresponding to the annotation 'Identifying and increasing the prices of medicines that may be below what is needed to ensure reliable supply')."/>
                    <pic:cNvPicPr/>
                  </pic:nvPicPr>
                  <pic:blipFill>
                    <a:blip r:embed="rId45">
                      <a:extLst>
                        <a:ext uri="{28A0092B-C50C-407E-A947-70E740481C1C}">
                          <a14:useLocalDpi xmlns:a14="http://schemas.microsoft.com/office/drawing/2010/main" val="0"/>
                        </a:ext>
                      </a:extLst>
                    </a:blip>
                    <a:stretch>
                      <a:fillRect/>
                    </a:stretch>
                  </pic:blipFill>
                  <pic:spPr>
                    <a:xfrm>
                      <a:off x="0" y="0"/>
                      <a:ext cx="5678170" cy="2602865"/>
                    </a:xfrm>
                    <a:prstGeom prst="rect">
                      <a:avLst/>
                    </a:prstGeom>
                  </pic:spPr>
                </pic:pic>
              </a:graphicData>
            </a:graphic>
            <wp14:sizeRelH relativeFrom="page">
              <wp14:pctWidth>0</wp14:pctWidth>
            </wp14:sizeRelH>
            <wp14:sizeRelV relativeFrom="page">
              <wp14:pctHeight>0</wp14:pctHeight>
            </wp14:sizeRelV>
          </wp:anchor>
        </w:drawing>
      </w:r>
      <w:r w:rsidR="00060BFF" w:rsidRPr="00B65BA2">
        <w:rPr>
          <w:rFonts w:asciiTheme="minorHAnsi" w:eastAsia="Calibri" w:hAnsiTheme="minorHAnsi" w:cstheme="minorHAnsi"/>
          <w:b/>
          <w:bCs/>
          <w:color w:val="002060"/>
          <w:szCs w:val="22"/>
        </w:rPr>
        <w:t xml:space="preserve">Figure </w:t>
      </w:r>
      <w:r>
        <w:rPr>
          <w:rFonts w:asciiTheme="minorHAnsi" w:eastAsia="Calibri" w:hAnsiTheme="minorHAnsi" w:cstheme="minorHAnsi"/>
          <w:b/>
          <w:bCs/>
          <w:color w:val="002060"/>
          <w:szCs w:val="22"/>
        </w:rPr>
        <w:t>3</w:t>
      </w:r>
      <w:r w:rsidR="00060BFF" w:rsidRPr="00B65BA2">
        <w:rPr>
          <w:rFonts w:asciiTheme="minorHAnsi" w:eastAsia="Calibri" w:hAnsiTheme="minorHAnsi" w:cstheme="minorHAnsi"/>
          <w:b/>
          <w:bCs/>
          <w:color w:val="002060"/>
          <w:szCs w:val="22"/>
        </w:rPr>
        <w:t>: pricing reform objectives of the Medicines Supply Security Guarantee</w:t>
      </w:r>
    </w:p>
    <w:sectPr w:rsidR="00060BFF" w:rsidRPr="00B65BA2">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EA24" w14:textId="77777777" w:rsidR="00061719" w:rsidRDefault="00061719" w:rsidP="00D87731">
      <w:r>
        <w:separator/>
      </w:r>
    </w:p>
  </w:endnote>
  <w:endnote w:type="continuationSeparator" w:id="0">
    <w:p w14:paraId="2D3C66FE" w14:textId="77777777" w:rsidR="00061719" w:rsidRDefault="00061719" w:rsidP="00D87731">
      <w:r>
        <w:continuationSeparator/>
      </w:r>
    </w:p>
  </w:endnote>
  <w:endnote w:type="continuationNotice" w:id="1">
    <w:p w14:paraId="3DD5E6F0" w14:textId="77777777" w:rsidR="00061719" w:rsidRDefault="0006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2F42" w14:textId="252CEA2B" w:rsidR="005A36DC" w:rsidRDefault="009425C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4056" w14:textId="77777777" w:rsidR="00672E8B" w:rsidRDefault="00221528">
    <w:pPr>
      <w:pStyle w:val="Footer"/>
      <w:jc w:val="right"/>
    </w:pPr>
    <w:sdt>
      <w:sdtPr>
        <w:id w:val="521749866"/>
        <w:docPartObj>
          <w:docPartGallery w:val="Page Numbers (Bottom of Page)"/>
          <w:docPartUnique/>
        </w:docPartObj>
      </w:sdtPr>
      <w:sdtEndPr/>
      <w:sdtContent>
        <w:sdt>
          <w:sdtPr>
            <w:id w:val="915827016"/>
            <w:docPartObj>
              <w:docPartGallery w:val="Page Numbers (Top of Page)"/>
              <w:docPartUnique/>
            </w:docPartObj>
          </w:sdtPr>
          <w:sdtEndPr/>
          <w:sdtContent>
            <w:sdt>
              <w:sdtPr>
                <w:rPr>
                  <w:rFonts w:asciiTheme="minorHAnsi" w:hAnsiTheme="minorHAnsi" w:cstheme="minorHAnsi"/>
                  <w:szCs w:val="22"/>
                </w:rPr>
                <w:id w:val="958840006"/>
                <w:docPartObj>
                  <w:docPartGallery w:val="Page Numbers (Top of Page)"/>
                  <w:docPartUnique/>
                </w:docPartObj>
              </w:sdtPr>
              <w:sdtEndPr/>
              <w:sdtContent>
                <w:r w:rsidR="00BB3877" w:rsidRPr="006F79B8">
                  <w:rPr>
                    <w:rFonts w:asciiTheme="minorHAnsi" w:hAnsiTheme="minorHAnsi" w:cstheme="minorHAnsi"/>
                    <w:szCs w:val="22"/>
                  </w:rPr>
                  <w:t xml:space="preserve">Page </w:t>
                </w:r>
                <w:r w:rsidR="00BB3877" w:rsidRPr="006F79B8">
                  <w:rPr>
                    <w:rFonts w:asciiTheme="minorHAnsi" w:hAnsiTheme="minorHAnsi" w:cstheme="minorHAnsi"/>
                    <w:szCs w:val="22"/>
                  </w:rPr>
                  <w:fldChar w:fldCharType="begin"/>
                </w:r>
                <w:r w:rsidR="00BB3877" w:rsidRPr="006F79B8">
                  <w:rPr>
                    <w:rFonts w:asciiTheme="minorHAnsi" w:hAnsiTheme="minorHAnsi" w:cstheme="minorHAnsi"/>
                    <w:szCs w:val="22"/>
                  </w:rPr>
                  <w:instrText xml:space="preserve"> PAGE </w:instrText>
                </w:r>
                <w:r w:rsidR="00BB3877" w:rsidRPr="006F79B8">
                  <w:rPr>
                    <w:rFonts w:asciiTheme="minorHAnsi" w:hAnsiTheme="minorHAnsi" w:cstheme="minorHAnsi"/>
                    <w:szCs w:val="22"/>
                  </w:rPr>
                  <w:fldChar w:fldCharType="separate"/>
                </w:r>
                <w:r w:rsidR="00BB3877">
                  <w:rPr>
                    <w:rFonts w:asciiTheme="minorHAnsi" w:hAnsiTheme="minorHAnsi" w:cstheme="minorHAnsi"/>
                    <w:szCs w:val="22"/>
                  </w:rPr>
                  <w:t>20</w:t>
                </w:r>
                <w:r w:rsidR="00BB3877" w:rsidRPr="006F79B8">
                  <w:rPr>
                    <w:rFonts w:asciiTheme="minorHAnsi" w:hAnsiTheme="minorHAnsi" w:cstheme="minorHAnsi"/>
                    <w:szCs w:val="22"/>
                  </w:rPr>
                  <w:fldChar w:fldCharType="end"/>
                </w:r>
              </w:sdtContent>
            </w:sdt>
          </w:sdtContent>
        </w:sdt>
      </w:sdtContent>
    </w:sdt>
  </w:p>
  <w:p w14:paraId="707012F5" w14:textId="77777777" w:rsidR="002947D7" w:rsidRDefault="002947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73FF" w14:textId="3A34DCFA" w:rsidR="005A36DC" w:rsidRDefault="009425C1">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D0EF" w14:textId="6866505A" w:rsidR="00672E8B" w:rsidRDefault="00221528">
    <w:pPr>
      <w:pStyle w:val="Footer"/>
      <w:jc w:val="right"/>
    </w:pPr>
    <w:sdt>
      <w:sdtPr>
        <w:id w:val="-363515565"/>
        <w:docPartObj>
          <w:docPartGallery w:val="Page Numbers (Bottom of Page)"/>
          <w:docPartUnique/>
        </w:docPartObj>
      </w:sdtPr>
      <w:sdtEndPr/>
      <w:sdtContent>
        <w:sdt>
          <w:sdtPr>
            <w:id w:val="1630822695"/>
            <w:docPartObj>
              <w:docPartGallery w:val="Page Numbers (Top of Page)"/>
              <w:docPartUnique/>
            </w:docPartObj>
          </w:sdtPr>
          <w:sdtEndPr/>
          <w:sdtContent>
            <w:sdt>
              <w:sdtPr>
                <w:rPr>
                  <w:rFonts w:asciiTheme="minorHAnsi" w:hAnsiTheme="minorHAnsi" w:cstheme="minorHAnsi"/>
                  <w:szCs w:val="22"/>
                </w:rPr>
                <w:id w:val="578029764"/>
                <w:docPartObj>
                  <w:docPartGallery w:val="Page Numbers (Top of Page)"/>
                  <w:docPartUnique/>
                </w:docPartObj>
              </w:sdtPr>
              <w:sdtEndPr/>
              <w:sdtContent>
                <w:r w:rsidR="00BB3877" w:rsidRPr="006F79B8">
                  <w:rPr>
                    <w:rFonts w:asciiTheme="minorHAnsi" w:hAnsiTheme="minorHAnsi" w:cstheme="minorHAnsi"/>
                    <w:szCs w:val="22"/>
                  </w:rPr>
                  <w:t xml:space="preserve">Page </w:t>
                </w:r>
                <w:r w:rsidR="00BB3877" w:rsidRPr="006F79B8">
                  <w:rPr>
                    <w:rFonts w:asciiTheme="minorHAnsi" w:hAnsiTheme="minorHAnsi" w:cstheme="minorHAnsi"/>
                    <w:szCs w:val="22"/>
                  </w:rPr>
                  <w:fldChar w:fldCharType="begin"/>
                </w:r>
                <w:r w:rsidR="00BB3877" w:rsidRPr="006F79B8">
                  <w:rPr>
                    <w:rFonts w:asciiTheme="minorHAnsi" w:hAnsiTheme="minorHAnsi" w:cstheme="minorHAnsi"/>
                    <w:szCs w:val="22"/>
                  </w:rPr>
                  <w:instrText xml:space="preserve"> PAGE </w:instrText>
                </w:r>
                <w:r w:rsidR="00BB3877" w:rsidRPr="006F79B8">
                  <w:rPr>
                    <w:rFonts w:asciiTheme="minorHAnsi" w:hAnsiTheme="minorHAnsi" w:cstheme="minorHAnsi"/>
                    <w:szCs w:val="22"/>
                  </w:rPr>
                  <w:fldChar w:fldCharType="separate"/>
                </w:r>
                <w:r w:rsidR="00BB3877">
                  <w:rPr>
                    <w:rFonts w:asciiTheme="minorHAnsi" w:hAnsiTheme="minorHAnsi" w:cstheme="minorHAnsi"/>
                    <w:szCs w:val="22"/>
                  </w:rPr>
                  <w:t>20</w:t>
                </w:r>
                <w:r w:rsidR="00BB3877" w:rsidRPr="006F79B8">
                  <w:rPr>
                    <w:rFonts w:asciiTheme="minorHAnsi" w:hAnsiTheme="minorHAnsi" w:cstheme="minorHAnsi"/>
                    <w:szCs w:val="22"/>
                  </w:rPr>
                  <w:fldChar w:fldCharType="end"/>
                </w:r>
              </w:sdtContent>
            </w:sdt>
          </w:sdtContent>
        </w:sdt>
      </w:sdtContent>
    </w:sdt>
  </w:p>
  <w:p w14:paraId="0BB7DB60" w14:textId="77777777" w:rsidR="002947D7" w:rsidRDefault="002947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4A5A" w14:textId="34DF6AEB" w:rsidR="002947D7" w:rsidRDefault="00221528">
    <w:pPr>
      <w:pStyle w:val="Footer"/>
      <w:jc w:val="right"/>
    </w:pPr>
    <w:sdt>
      <w:sdtPr>
        <w:id w:val="-1594467835"/>
        <w:docPartObj>
          <w:docPartGallery w:val="Page Numbers (Bottom of Page)"/>
          <w:docPartUnique/>
        </w:docPartObj>
      </w:sdtPr>
      <w:sdtEndPr>
        <w:rPr>
          <w:noProof/>
        </w:rPr>
      </w:sdtEndPr>
      <w:sdtContent>
        <w:sdt>
          <w:sdtPr>
            <w:id w:val="-1769616900"/>
            <w:docPartObj>
              <w:docPartGallery w:val="Page Numbers (Top of Page)"/>
              <w:docPartUnique/>
            </w:docPartObj>
          </w:sdtPr>
          <w:sdtEndPr/>
          <w:sdtContent>
            <w:sdt>
              <w:sdtPr>
                <w:rPr>
                  <w:rFonts w:asciiTheme="minorHAnsi" w:hAnsiTheme="minorHAnsi" w:cstheme="minorHAnsi"/>
                  <w:szCs w:val="22"/>
                </w:rPr>
                <w:id w:val="-439226490"/>
                <w:docPartObj>
                  <w:docPartGallery w:val="Page Numbers (Top of Page)"/>
                  <w:docPartUnique/>
                </w:docPartObj>
              </w:sdtPr>
              <w:sdtEndPr/>
              <w:sdtContent>
                <w:r w:rsidR="00BB3877" w:rsidRPr="006F79B8">
                  <w:rPr>
                    <w:rFonts w:asciiTheme="minorHAnsi" w:hAnsiTheme="minorHAnsi" w:cstheme="minorHAnsi"/>
                    <w:szCs w:val="22"/>
                  </w:rPr>
                  <w:t xml:space="preserve">Page </w:t>
                </w:r>
                <w:r w:rsidR="00BB3877" w:rsidRPr="006F79B8">
                  <w:rPr>
                    <w:rFonts w:asciiTheme="minorHAnsi" w:hAnsiTheme="minorHAnsi" w:cstheme="minorHAnsi"/>
                    <w:szCs w:val="22"/>
                  </w:rPr>
                  <w:fldChar w:fldCharType="begin"/>
                </w:r>
                <w:r w:rsidR="00BB3877" w:rsidRPr="006F79B8">
                  <w:rPr>
                    <w:rFonts w:asciiTheme="minorHAnsi" w:hAnsiTheme="minorHAnsi" w:cstheme="minorHAnsi"/>
                    <w:szCs w:val="22"/>
                  </w:rPr>
                  <w:instrText xml:space="preserve"> PAGE </w:instrText>
                </w:r>
                <w:r w:rsidR="00BB3877" w:rsidRPr="006F79B8">
                  <w:rPr>
                    <w:rFonts w:asciiTheme="minorHAnsi" w:hAnsiTheme="minorHAnsi" w:cstheme="minorHAnsi"/>
                    <w:szCs w:val="22"/>
                  </w:rPr>
                  <w:fldChar w:fldCharType="separate"/>
                </w:r>
                <w:r w:rsidR="00BB3877">
                  <w:rPr>
                    <w:rFonts w:asciiTheme="minorHAnsi" w:hAnsiTheme="minorHAnsi" w:cstheme="minorHAnsi"/>
                    <w:szCs w:val="22"/>
                  </w:rPr>
                  <w:t>20</w:t>
                </w:r>
                <w:r w:rsidR="00BB3877" w:rsidRPr="006F79B8">
                  <w:rPr>
                    <w:rFonts w:asciiTheme="minorHAnsi" w:hAnsiTheme="minorHAnsi" w:cstheme="minorHAnsi"/>
                    <w:szCs w:val="22"/>
                  </w:rPr>
                  <w:fldChar w:fldCharType="end"/>
                </w:r>
              </w:sdtContent>
            </w:sdt>
          </w:sdtContent>
        </w:sdt>
      </w:sdtContent>
    </w:sdt>
  </w:p>
  <w:p w14:paraId="47B11744" w14:textId="77777777" w:rsidR="002947D7" w:rsidRDefault="002947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642426"/>
      <w:docPartObj>
        <w:docPartGallery w:val="Page Numbers (Bottom of Page)"/>
        <w:docPartUnique/>
      </w:docPartObj>
    </w:sdtPr>
    <w:sdtEndPr>
      <w:rPr>
        <w:rFonts w:asciiTheme="minorHAnsi" w:hAnsiTheme="minorHAnsi" w:cstheme="minorBidi"/>
        <w:noProof/>
      </w:rPr>
    </w:sdtEndPr>
    <w:sdtContent>
      <w:sdt>
        <w:sdtPr>
          <w:rPr>
            <w:rFonts w:asciiTheme="minorHAnsi" w:hAnsiTheme="minorHAnsi" w:cstheme="minorBidi"/>
          </w:rPr>
          <w:id w:val="-367453028"/>
          <w:docPartObj>
            <w:docPartGallery w:val="Page Numbers (Top of Page)"/>
            <w:docPartUnique/>
          </w:docPartObj>
        </w:sdtPr>
        <w:sdtEndPr/>
        <w:sdtContent>
          <w:p w14:paraId="67D1317E" w14:textId="5FBE09AA" w:rsidR="002D2C6E" w:rsidRPr="006F79B8" w:rsidRDefault="000F6F60">
            <w:pPr>
              <w:pStyle w:val="Footer"/>
              <w:jc w:val="right"/>
              <w:rPr>
                <w:rFonts w:asciiTheme="minorHAnsi" w:hAnsiTheme="minorHAnsi" w:cstheme="minorHAnsi"/>
                <w:szCs w:val="22"/>
              </w:rPr>
            </w:pPr>
            <w:r w:rsidRPr="006F79B8">
              <w:rPr>
                <w:rFonts w:asciiTheme="minorHAnsi" w:hAnsiTheme="minorHAnsi" w:cstheme="minorHAnsi"/>
                <w:szCs w:val="22"/>
              </w:rPr>
              <w:t xml:space="preserve">Page </w:t>
            </w:r>
            <w:r w:rsidRPr="006F79B8">
              <w:rPr>
                <w:rFonts w:asciiTheme="minorHAnsi" w:hAnsiTheme="minorHAnsi" w:cstheme="minorHAnsi"/>
                <w:szCs w:val="22"/>
              </w:rPr>
              <w:fldChar w:fldCharType="begin"/>
            </w:r>
            <w:r w:rsidRPr="006F79B8">
              <w:rPr>
                <w:rFonts w:asciiTheme="minorHAnsi" w:hAnsiTheme="minorHAnsi" w:cstheme="minorHAnsi"/>
                <w:szCs w:val="22"/>
              </w:rPr>
              <w:instrText xml:space="preserve"> PAGE </w:instrText>
            </w:r>
            <w:r w:rsidRPr="006F79B8">
              <w:rPr>
                <w:rFonts w:asciiTheme="minorHAnsi" w:hAnsiTheme="minorHAnsi" w:cstheme="minorHAnsi"/>
                <w:szCs w:val="22"/>
              </w:rPr>
              <w:fldChar w:fldCharType="separate"/>
            </w:r>
            <w:r w:rsidRPr="006F79B8">
              <w:rPr>
                <w:rFonts w:asciiTheme="minorHAnsi" w:hAnsiTheme="minorHAnsi" w:cstheme="minorHAnsi"/>
                <w:noProof/>
                <w:szCs w:val="22"/>
              </w:rPr>
              <w:t>2</w:t>
            </w:r>
            <w:r w:rsidRPr="006F79B8">
              <w:rPr>
                <w:rFonts w:asciiTheme="minorHAnsi" w:hAnsiTheme="minorHAnsi" w:cstheme="minorHAnsi"/>
                <w:szCs w:val="22"/>
              </w:rPr>
              <w:fldChar w:fldCharType="end"/>
            </w:r>
          </w:p>
        </w:sdtContent>
      </w:sdt>
    </w:sdtContent>
  </w:sdt>
  <w:p w14:paraId="52ED5BCF" w14:textId="77777777" w:rsidR="002D2C6E" w:rsidRDefault="002D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0837" w14:textId="77777777" w:rsidR="00061719" w:rsidRDefault="00061719" w:rsidP="00D87731">
      <w:r>
        <w:separator/>
      </w:r>
    </w:p>
  </w:footnote>
  <w:footnote w:type="continuationSeparator" w:id="0">
    <w:p w14:paraId="7899B823" w14:textId="77777777" w:rsidR="00061719" w:rsidRDefault="00061719" w:rsidP="00D87731">
      <w:r>
        <w:continuationSeparator/>
      </w:r>
    </w:p>
  </w:footnote>
  <w:footnote w:type="continuationNotice" w:id="1">
    <w:p w14:paraId="19CABB80" w14:textId="77777777" w:rsidR="00061719" w:rsidRDefault="00061719"/>
  </w:footnote>
  <w:footnote w:id="2">
    <w:p w14:paraId="54026B8E" w14:textId="2E533395" w:rsidR="001F7E2F" w:rsidRDefault="001F7E2F">
      <w:pPr>
        <w:pStyle w:val="FootnoteText"/>
      </w:pPr>
      <w:r>
        <w:rPr>
          <w:rStyle w:val="FootnoteReference"/>
        </w:rPr>
        <w:footnoteRef/>
      </w:r>
      <w:r>
        <w:t xml:space="preserve"> </w:t>
      </w:r>
      <w:r w:rsidR="002E1804" w:rsidRPr="00B8379A">
        <w:rPr>
          <w:rFonts w:asciiTheme="minorHAnsi" w:hAnsiTheme="minorHAnsi" w:cstheme="minorHAnsi"/>
          <w:sz w:val="18"/>
          <w:szCs w:val="18"/>
        </w:rPr>
        <w:t>Two stockholding disclosure periods have elapsed to date</w:t>
      </w:r>
      <w:r w:rsidR="00655A3C" w:rsidRPr="00B8379A">
        <w:rPr>
          <w:rFonts w:asciiTheme="minorHAnsi" w:hAnsiTheme="minorHAnsi" w:cstheme="minorHAnsi"/>
          <w:sz w:val="18"/>
          <w:szCs w:val="18"/>
        </w:rPr>
        <w:t xml:space="preserve"> resulting in 9 months of disclosure data</w:t>
      </w:r>
      <w:r w:rsidR="00655A3C">
        <w:rPr>
          <w:rFonts w:asciiTheme="minorHAnsi" w:hAnsiTheme="minorHAnsi" w:cstheme="minorHAnsi"/>
          <w:sz w:val="18"/>
          <w:szCs w:val="18"/>
        </w:rPr>
        <w:t xml:space="preserve"> </w:t>
      </w:r>
      <w:r w:rsidR="00644C2A">
        <w:rPr>
          <w:rFonts w:asciiTheme="minorHAnsi" w:hAnsiTheme="minorHAnsi" w:cstheme="minorHAnsi"/>
          <w:sz w:val="18"/>
          <w:szCs w:val="18"/>
        </w:rPr>
        <w:t xml:space="preserve">available </w:t>
      </w:r>
      <w:r w:rsidR="00177EDE">
        <w:rPr>
          <w:rFonts w:asciiTheme="minorHAnsi" w:hAnsiTheme="minorHAnsi" w:cstheme="minorHAnsi"/>
          <w:sz w:val="18"/>
          <w:szCs w:val="18"/>
        </w:rPr>
        <w:t xml:space="preserve">(1 July 2023 – 31 </w:t>
      </w:r>
      <w:r w:rsidR="00E9671C">
        <w:rPr>
          <w:rFonts w:asciiTheme="minorHAnsi" w:hAnsiTheme="minorHAnsi" w:cstheme="minorHAnsi"/>
          <w:sz w:val="18"/>
          <w:szCs w:val="18"/>
        </w:rPr>
        <w:t>M</w:t>
      </w:r>
      <w:r w:rsidR="00177EDE">
        <w:rPr>
          <w:rFonts w:asciiTheme="minorHAnsi" w:hAnsiTheme="minorHAnsi" w:cstheme="minorHAnsi"/>
          <w:sz w:val="18"/>
          <w:szCs w:val="18"/>
        </w:rPr>
        <w:t>arch 2024)</w:t>
      </w:r>
      <w:r w:rsidR="00655A3C" w:rsidRPr="00B8379A">
        <w:rPr>
          <w:rFonts w:asciiTheme="minorHAnsi" w:hAnsiTheme="minorHAnsi" w:cstheme="minorHAnsi"/>
          <w:sz w:val="18"/>
          <w:szCs w:val="18"/>
        </w:rPr>
        <w:t>.</w:t>
      </w:r>
    </w:p>
  </w:footnote>
  <w:footnote w:id="3">
    <w:p w14:paraId="6DDDA35E" w14:textId="0950C362" w:rsidR="002947D7" w:rsidRDefault="002947D7" w:rsidP="002947D7">
      <w:pPr>
        <w:pStyle w:val="FootnoteText"/>
        <w:jc w:val="both"/>
      </w:pPr>
      <w:r>
        <w:rPr>
          <w:rStyle w:val="FootnoteReference"/>
        </w:rPr>
        <w:footnoteRef/>
      </w:r>
      <w:r w:rsidRPr="00533B7B">
        <w:rPr>
          <w:rFonts w:asciiTheme="minorHAnsi" w:hAnsiTheme="minorHAnsi" w:cstheme="minorHAnsi"/>
          <w:sz w:val="18"/>
          <w:szCs w:val="18"/>
        </w:rPr>
        <w:t xml:space="preserve"> A small number of RPs </w:t>
      </w:r>
      <w:r w:rsidR="00BC22C1">
        <w:rPr>
          <w:rFonts w:asciiTheme="minorHAnsi" w:hAnsiTheme="minorHAnsi" w:cstheme="minorHAnsi"/>
          <w:sz w:val="18"/>
          <w:szCs w:val="18"/>
        </w:rPr>
        <w:t>made their</w:t>
      </w:r>
      <w:r w:rsidR="00BC22C1" w:rsidRPr="00533B7B">
        <w:rPr>
          <w:rFonts w:asciiTheme="minorHAnsi" w:hAnsiTheme="minorHAnsi" w:cstheme="minorHAnsi"/>
          <w:sz w:val="18"/>
          <w:szCs w:val="18"/>
        </w:rPr>
        <w:t xml:space="preserve"> </w:t>
      </w:r>
      <w:r w:rsidRPr="00533B7B">
        <w:rPr>
          <w:rFonts w:asciiTheme="minorHAnsi" w:hAnsiTheme="minorHAnsi" w:cstheme="minorHAnsi"/>
          <w:sz w:val="18"/>
          <w:szCs w:val="18"/>
        </w:rPr>
        <w:t>disclosure</w:t>
      </w:r>
      <w:r w:rsidR="00BC22C1">
        <w:rPr>
          <w:rFonts w:asciiTheme="minorHAnsi" w:hAnsiTheme="minorHAnsi" w:cstheme="minorHAnsi"/>
          <w:sz w:val="18"/>
          <w:szCs w:val="18"/>
        </w:rPr>
        <w:t>s</w:t>
      </w:r>
      <w:r w:rsidRPr="00533B7B">
        <w:rPr>
          <w:rFonts w:asciiTheme="minorHAnsi" w:hAnsiTheme="minorHAnsi" w:cstheme="minorHAnsi"/>
          <w:sz w:val="18"/>
          <w:szCs w:val="18"/>
        </w:rPr>
        <w:t xml:space="preserve"> up to 3 days late </w:t>
      </w:r>
      <w:r w:rsidR="00BC22C1">
        <w:rPr>
          <w:rFonts w:asciiTheme="minorHAnsi" w:hAnsiTheme="minorHAnsi" w:cstheme="minorHAnsi"/>
          <w:sz w:val="18"/>
          <w:szCs w:val="18"/>
        </w:rPr>
        <w:t>for</w:t>
      </w:r>
      <w:r w:rsidR="00BC22C1" w:rsidRPr="00533B7B">
        <w:rPr>
          <w:rFonts w:asciiTheme="minorHAnsi" w:hAnsiTheme="minorHAnsi" w:cstheme="minorHAnsi"/>
          <w:sz w:val="18"/>
          <w:szCs w:val="18"/>
        </w:rPr>
        <w:t xml:space="preserve"> </w:t>
      </w:r>
      <w:r w:rsidRPr="00533B7B">
        <w:rPr>
          <w:rFonts w:asciiTheme="minorHAnsi" w:hAnsiTheme="minorHAnsi" w:cstheme="minorHAnsi"/>
          <w:sz w:val="18"/>
          <w:szCs w:val="18"/>
        </w:rPr>
        <w:t>the second disclosure period, however 100% of RPs did provide the required stockholding disclosure, and there was 100% compliance with both the timing and substance of stockholding disclosure in the first disclosure period.</w:t>
      </w:r>
    </w:p>
  </w:footnote>
  <w:footnote w:id="4">
    <w:p w14:paraId="6AD138D1" w14:textId="77777777" w:rsidR="002947D7" w:rsidRPr="00533B7B" w:rsidRDefault="002947D7" w:rsidP="00AF1D2A">
      <w:pPr>
        <w:pStyle w:val="FootnoteText"/>
        <w:jc w:val="both"/>
        <w:rPr>
          <w:sz w:val="18"/>
          <w:szCs w:val="18"/>
        </w:rPr>
      </w:pPr>
      <w:r>
        <w:rPr>
          <w:rStyle w:val="FootnoteReference"/>
        </w:rPr>
        <w:footnoteRef/>
      </w:r>
      <w:r w:rsidRPr="0A1C59C7">
        <w:rPr>
          <w:rFonts w:eastAsia="Arial" w:cs="Arial"/>
        </w:rPr>
        <w:t xml:space="preserve"> </w:t>
      </w:r>
      <w:r w:rsidRPr="00533B7B">
        <w:rPr>
          <w:rFonts w:ascii="Calibri" w:eastAsia="Calibri" w:hAnsi="Calibri" w:cs="Calibri"/>
          <w:sz w:val="18"/>
          <w:szCs w:val="18"/>
        </w:rPr>
        <w:t>RPs are required to lodge a likely breach notification as soon as they form a belief that they may breach the MSR, and an actual breach notification as soon as practicable after they breach the MSR.</w:t>
      </w:r>
    </w:p>
  </w:footnote>
  <w:footnote w:id="5">
    <w:p w14:paraId="46F23C64" w14:textId="21740422" w:rsidR="00611767" w:rsidRDefault="00611767" w:rsidP="00024250">
      <w:pPr>
        <w:pStyle w:val="FootnoteText"/>
        <w:jc w:val="both"/>
      </w:pPr>
      <w:r>
        <w:rPr>
          <w:rStyle w:val="FootnoteReference"/>
        </w:rPr>
        <w:footnoteRef/>
      </w:r>
      <w:r>
        <w:t xml:space="preserve"> </w:t>
      </w:r>
      <w:r w:rsidRPr="00B8379A">
        <w:rPr>
          <w:rFonts w:ascii="Calibri" w:eastAsia="Calibri" w:hAnsi="Calibri" w:cs="Calibri"/>
          <w:sz w:val="18"/>
          <w:szCs w:val="18"/>
        </w:rPr>
        <w:t>Safety stocks are held to manage disruptions or fluctuations in demand or supply that go beyond the normal market variability.</w:t>
      </w:r>
    </w:p>
  </w:footnote>
  <w:footnote w:id="6">
    <w:p w14:paraId="00CC2094" w14:textId="1BB0D683" w:rsidR="005600BE" w:rsidRDefault="005600BE" w:rsidP="00024250">
      <w:pPr>
        <w:pStyle w:val="FootnoteText"/>
        <w:jc w:val="both"/>
      </w:pPr>
      <w:r>
        <w:rPr>
          <w:rStyle w:val="FootnoteReference"/>
        </w:rPr>
        <w:footnoteRef/>
      </w:r>
      <w:r>
        <w:t xml:space="preserve"> </w:t>
      </w:r>
      <w:r w:rsidR="00D27D15" w:rsidRPr="00DF091B">
        <w:rPr>
          <w:rFonts w:asciiTheme="minorHAnsi" w:hAnsiTheme="minorHAnsi" w:cstheme="minorHAnsi"/>
          <w:sz w:val="18"/>
          <w:szCs w:val="18"/>
        </w:rPr>
        <w:t xml:space="preserve">This </w:t>
      </w:r>
      <w:r w:rsidR="00D27D15">
        <w:rPr>
          <w:rFonts w:asciiTheme="minorHAnsi" w:hAnsiTheme="minorHAnsi" w:cstheme="minorHAnsi"/>
          <w:sz w:val="18"/>
          <w:szCs w:val="18"/>
        </w:rPr>
        <w:t>statistic</w:t>
      </w:r>
      <w:r w:rsidR="00D27D15" w:rsidRPr="00DF091B">
        <w:rPr>
          <w:rFonts w:asciiTheme="minorHAnsi" w:hAnsiTheme="minorHAnsi" w:cstheme="minorHAnsi"/>
          <w:sz w:val="18"/>
          <w:szCs w:val="18"/>
        </w:rPr>
        <w:t xml:space="preserve"> includes medicines which are not listed on the PBS.</w:t>
      </w:r>
    </w:p>
  </w:footnote>
  <w:footnote w:id="7">
    <w:p w14:paraId="0C4A2B39" w14:textId="52DB6A4B" w:rsidR="0059235A" w:rsidRDefault="0059235A" w:rsidP="00024250">
      <w:pPr>
        <w:pStyle w:val="FootnoteText"/>
        <w:jc w:val="both"/>
      </w:pPr>
      <w:r>
        <w:rPr>
          <w:rStyle w:val="FootnoteReference"/>
        </w:rPr>
        <w:footnoteRef/>
      </w:r>
      <w:r>
        <w:t xml:space="preserve"> </w:t>
      </w:r>
      <w:r w:rsidR="00C40165" w:rsidRPr="00797BFF">
        <w:rPr>
          <w:rFonts w:asciiTheme="minorHAnsi" w:hAnsiTheme="minorHAnsi" w:cstheme="minorHAnsi"/>
          <w:sz w:val="18"/>
          <w:szCs w:val="18"/>
        </w:rPr>
        <w:t xml:space="preserve">Including approving the supply of overseas-registered alternative products under section 19A of </w:t>
      </w:r>
      <w:r w:rsidR="00C40165" w:rsidRPr="00797BFF">
        <w:rPr>
          <w:rFonts w:asciiTheme="minorHAnsi" w:hAnsiTheme="minorHAnsi" w:cstheme="minorHAnsi"/>
          <w:i/>
          <w:sz w:val="18"/>
          <w:szCs w:val="18"/>
        </w:rPr>
        <w:t>the Therapeutic Goods Act</w:t>
      </w:r>
      <w:r w:rsidR="001101F3">
        <w:rPr>
          <w:rFonts w:asciiTheme="minorHAnsi" w:hAnsiTheme="minorHAnsi" w:cstheme="minorHAnsi"/>
          <w:i/>
          <w:sz w:val="18"/>
          <w:szCs w:val="18"/>
        </w:rPr>
        <w:t> </w:t>
      </w:r>
      <w:r w:rsidR="00C40165" w:rsidRPr="00797BFF">
        <w:rPr>
          <w:rFonts w:asciiTheme="minorHAnsi" w:hAnsiTheme="minorHAnsi" w:cstheme="minorHAnsi"/>
          <w:i/>
          <w:sz w:val="18"/>
          <w:szCs w:val="18"/>
        </w:rPr>
        <w:t>1989</w:t>
      </w:r>
      <w:r w:rsidR="00C40165" w:rsidRPr="00797BFF">
        <w:rPr>
          <w:rFonts w:asciiTheme="minorHAnsi" w:hAnsiTheme="minorHAnsi" w:cstheme="minorHAnsi"/>
          <w:sz w:val="18"/>
          <w:szCs w:val="18"/>
        </w:rPr>
        <w:t xml:space="preserve"> and allowing pharmacists to dispense certain identified substitute medicines when a medicine is in shortage, by making a Serious Scarcity Substitution Instrument</w:t>
      </w:r>
      <w:r w:rsidR="00C40165">
        <w:rPr>
          <w:rFonts w:asciiTheme="minorHAnsi" w:hAnsiTheme="minorHAnsi" w:cstheme="minorHAnsi"/>
          <w:bCs/>
          <w:sz w:val="18"/>
          <w:szCs w:val="18"/>
        </w:rPr>
        <w:t>.</w:t>
      </w:r>
    </w:p>
  </w:footnote>
  <w:footnote w:id="8">
    <w:p w14:paraId="41DC0C7A" w14:textId="45D5CECF" w:rsidR="00E25343" w:rsidRDefault="00E25343" w:rsidP="00024250">
      <w:pPr>
        <w:pStyle w:val="FootnoteText"/>
        <w:jc w:val="both"/>
      </w:pPr>
      <w:r>
        <w:rPr>
          <w:rStyle w:val="FootnoteReference"/>
        </w:rPr>
        <w:footnoteRef/>
      </w:r>
      <w:r>
        <w:t xml:space="preserve"> </w:t>
      </w:r>
      <w:r w:rsidR="00B0378B" w:rsidRPr="00052C29">
        <w:rPr>
          <w:rFonts w:asciiTheme="minorHAnsi" w:hAnsiTheme="minorHAnsi" w:cstheme="minorHAnsi"/>
          <w:sz w:val="18"/>
          <w:szCs w:val="18"/>
        </w:rPr>
        <w:t xml:space="preserve">Napier, M., D. Kourouklis, A. Cole, and G. Cookson (2024), </w:t>
      </w:r>
      <w:r w:rsidR="00B0378B" w:rsidRPr="00052C29">
        <w:rPr>
          <w:rFonts w:asciiTheme="minorHAnsi" w:hAnsiTheme="minorHAnsi" w:cstheme="minorHAnsi"/>
          <w:i/>
          <w:sz w:val="18"/>
          <w:szCs w:val="18"/>
        </w:rPr>
        <w:t>The Dynamics of Drug Shortages</w:t>
      </w:r>
      <w:r w:rsidR="00B0378B" w:rsidRPr="00052C29">
        <w:rPr>
          <w:rFonts w:asciiTheme="minorHAnsi" w:hAnsiTheme="minorHAnsi" w:cstheme="minorHAnsi"/>
          <w:sz w:val="18"/>
          <w:szCs w:val="18"/>
        </w:rPr>
        <w:t>, Office of Health Economics, Research Report, London.</w:t>
      </w:r>
    </w:p>
  </w:footnote>
  <w:footnote w:id="9">
    <w:p w14:paraId="10F3C96F" w14:textId="6385E19D" w:rsidR="00E27C76" w:rsidRDefault="00E27C76" w:rsidP="00024250">
      <w:pPr>
        <w:pStyle w:val="FootnoteText"/>
        <w:jc w:val="both"/>
      </w:pPr>
      <w:r>
        <w:rPr>
          <w:rStyle w:val="FootnoteReference"/>
        </w:rPr>
        <w:footnoteRef/>
      </w:r>
      <w:r>
        <w:t xml:space="preserve"> </w:t>
      </w:r>
      <w:r w:rsidR="00E6756A" w:rsidRPr="00797BFF">
        <w:rPr>
          <w:rFonts w:asciiTheme="minorHAnsi" w:hAnsiTheme="minorHAnsi" w:cstheme="minorHAnsi"/>
          <w:sz w:val="18"/>
          <w:szCs w:val="18"/>
        </w:rPr>
        <w:t>Quality issues, pressure on prices as well as concentration of manufacturing capacities are most frequently cited as root causes of shortages</w:t>
      </w:r>
      <w:r w:rsidR="00E6756A">
        <w:rPr>
          <w:rFonts w:asciiTheme="minorHAnsi" w:hAnsiTheme="minorHAnsi" w:cstheme="minorHAnsi"/>
          <w:sz w:val="18"/>
          <w:szCs w:val="18"/>
        </w:rPr>
        <w:t>.</w:t>
      </w:r>
    </w:p>
  </w:footnote>
  <w:footnote w:id="10">
    <w:p w14:paraId="06F2F6F2" w14:textId="4572127C" w:rsidR="00DD5E34" w:rsidRDefault="00DD5E34" w:rsidP="00024250">
      <w:pPr>
        <w:pStyle w:val="FootnoteText"/>
        <w:jc w:val="both"/>
      </w:pPr>
      <w:r>
        <w:rPr>
          <w:rStyle w:val="FootnoteReference"/>
        </w:rPr>
        <w:footnoteRef/>
      </w:r>
      <w:r>
        <w:t xml:space="preserve"> </w:t>
      </w:r>
      <w:r w:rsidR="00C66473" w:rsidRPr="006F5CC1">
        <w:rPr>
          <w:rFonts w:asciiTheme="minorHAnsi" w:hAnsiTheme="minorHAnsi" w:cstheme="minorHAnsi"/>
          <w:sz w:val="18"/>
          <w:szCs w:val="18"/>
        </w:rPr>
        <w:t xml:space="preserve">For example, </w:t>
      </w:r>
      <w:r w:rsidR="00C66473">
        <w:rPr>
          <w:rFonts w:asciiTheme="minorHAnsi" w:hAnsiTheme="minorHAnsi" w:cstheme="minorHAnsi"/>
          <w:sz w:val="18"/>
          <w:szCs w:val="18"/>
        </w:rPr>
        <w:t xml:space="preserve">in 2022 these included </w:t>
      </w:r>
      <w:r w:rsidR="00C66473" w:rsidRPr="006F5CC1">
        <w:rPr>
          <w:rFonts w:asciiTheme="minorHAnsi" w:hAnsiTheme="minorHAnsi" w:cstheme="minorHAnsi"/>
          <w:sz w:val="18"/>
          <w:szCs w:val="18"/>
        </w:rPr>
        <w:t>Canada, Denmark, Germany, Finland, Israel, Latvia, Lithuania, Norway, Portugal, Switzerland</w:t>
      </w:r>
      <w:r w:rsidR="00C66473" w:rsidRPr="00797BFF">
        <w:rPr>
          <w:rFonts w:asciiTheme="minorHAnsi" w:hAnsiTheme="minorHAnsi" w:cstheme="minorHAnsi"/>
          <w:sz w:val="18"/>
          <w:szCs w:val="18"/>
        </w:rPr>
        <w:t xml:space="preserve">, </w:t>
      </w:r>
      <w:r w:rsidR="00C66473">
        <w:rPr>
          <w:rFonts w:asciiTheme="minorHAnsi" w:hAnsiTheme="minorHAnsi" w:cstheme="minorHAnsi"/>
          <w:sz w:val="18"/>
          <w:szCs w:val="18"/>
        </w:rPr>
        <w:t xml:space="preserve">and the UK. See OECD (2022), </w:t>
      </w:r>
      <w:r w:rsidR="00C66473">
        <w:rPr>
          <w:rFonts w:asciiTheme="minorHAnsi" w:hAnsiTheme="minorHAnsi" w:cstheme="minorHAnsi"/>
          <w:i/>
          <w:iCs/>
          <w:sz w:val="18"/>
          <w:szCs w:val="18"/>
        </w:rPr>
        <w:t xml:space="preserve">Shortages of medicines in OECD countries, </w:t>
      </w:r>
      <w:r w:rsidR="00C66473">
        <w:rPr>
          <w:rFonts w:asciiTheme="minorHAnsi" w:hAnsiTheme="minorHAnsi" w:cstheme="minorHAnsi"/>
          <w:sz w:val="18"/>
          <w:szCs w:val="18"/>
        </w:rPr>
        <w:t>OECD Health Working Papers No, 137, 22 March 2022.</w:t>
      </w:r>
    </w:p>
  </w:footnote>
  <w:footnote w:id="11">
    <w:p w14:paraId="74EDEEC8" w14:textId="04C48391" w:rsidR="002A7727" w:rsidRDefault="002A7727" w:rsidP="00024250">
      <w:pPr>
        <w:pStyle w:val="FootnoteText"/>
        <w:jc w:val="both"/>
      </w:pPr>
      <w:r>
        <w:rPr>
          <w:rStyle w:val="FootnoteReference"/>
        </w:rPr>
        <w:footnoteRef/>
      </w:r>
      <w:r>
        <w:t xml:space="preserve"> </w:t>
      </w:r>
      <w:r w:rsidR="00D054A5" w:rsidRPr="00797BFF">
        <w:rPr>
          <w:rFonts w:asciiTheme="minorHAnsi" w:hAnsiTheme="minorHAnsi" w:cstheme="minorHAnsi"/>
          <w:sz w:val="18"/>
          <w:szCs w:val="18"/>
        </w:rPr>
        <w:t xml:space="preserve">OECD </w:t>
      </w:r>
      <w:r w:rsidR="00D054A5">
        <w:rPr>
          <w:rFonts w:asciiTheme="minorHAnsi" w:hAnsiTheme="minorHAnsi" w:cstheme="minorHAnsi"/>
          <w:sz w:val="18"/>
          <w:szCs w:val="18"/>
        </w:rPr>
        <w:t xml:space="preserve">(2023), </w:t>
      </w:r>
      <w:r w:rsidR="00D054A5" w:rsidRPr="00F263ED">
        <w:rPr>
          <w:rFonts w:asciiTheme="minorHAnsi" w:hAnsiTheme="minorHAnsi" w:cstheme="minorHAnsi"/>
          <w:i/>
          <w:iCs/>
          <w:sz w:val="18"/>
          <w:szCs w:val="18"/>
        </w:rPr>
        <w:t xml:space="preserve">Strengthening health system resilience by improving medical supply chain </w:t>
      </w:r>
      <w:r w:rsidR="00D054A5" w:rsidRPr="00697453">
        <w:rPr>
          <w:rFonts w:asciiTheme="minorHAnsi" w:hAnsiTheme="minorHAnsi" w:cstheme="minorHAnsi"/>
          <w:i/>
          <w:iCs/>
          <w:sz w:val="18"/>
          <w:szCs w:val="18"/>
        </w:rPr>
        <w:t>security</w:t>
      </w:r>
      <w:r w:rsidR="00D054A5">
        <w:rPr>
          <w:rFonts w:asciiTheme="minorHAnsi" w:hAnsiTheme="minorHAnsi" w:cstheme="minorHAnsi"/>
          <w:i/>
          <w:iCs/>
          <w:sz w:val="18"/>
          <w:szCs w:val="18"/>
        </w:rPr>
        <w:t>:</w:t>
      </w:r>
      <w:r w:rsidR="00D054A5" w:rsidRPr="00697453">
        <w:rPr>
          <w:rFonts w:asciiTheme="minorHAnsi" w:hAnsiTheme="minorHAnsi" w:cstheme="minorHAnsi"/>
          <w:i/>
          <w:iCs/>
          <w:sz w:val="18"/>
          <w:szCs w:val="18"/>
        </w:rPr>
        <w:t xml:space="preserve"> key findings and recommendations</w:t>
      </w:r>
      <w:r w:rsidR="00D054A5">
        <w:rPr>
          <w:rFonts w:asciiTheme="minorHAnsi" w:hAnsiTheme="minorHAnsi" w:cstheme="minorHAnsi"/>
          <w:i/>
          <w:iCs/>
          <w:sz w:val="18"/>
          <w:szCs w:val="18"/>
        </w:rPr>
        <w:t xml:space="preserve">, </w:t>
      </w:r>
      <w:r w:rsidR="00D054A5">
        <w:rPr>
          <w:rFonts w:asciiTheme="minorHAnsi" w:hAnsiTheme="minorHAnsi" w:cstheme="minorHAnsi"/>
          <w:sz w:val="18"/>
          <w:szCs w:val="18"/>
        </w:rPr>
        <w:t>34</w:t>
      </w:r>
      <w:r w:rsidR="00D054A5" w:rsidRPr="00F51DE5">
        <w:rPr>
          <w:rFonts w:asciiTheme="minorHAnsi" w:hAnsiTheme="minorHAnsi" w:cstheme="minorHAnsi"/>
          <w:sz w:val="18"/>
          <w:szCs w:val="18"/>
          <w:vertAlign w:val="superscript"/>
        </w:rPr>
        <w:t>th</w:t>
      </w:r>
      <w:r w:rsidR="00D054A5">
        <w:rPr>
          <w:rFonts w:asciiTheme="minorHAnsi" w:hAnsiTheme="minorHAnsi" w:cstheme="minorHAnsi"/>
          <w:sz w:val="18"/>
          <w:szCs w:val="18"/>
        </w:rPr>
        <w:t xml:space="preserve"> Session of the Health Committee, OECD Conference 2-3 November 2023, pages 23-24.</w:t>
      </w:r>
    </w:p>
  </w:footnote>
  <w:footnote w:id="12">
    <w:p w14:paraId="6130A390" w14:textId="77777777" w:rsidR="002C137F" w:rsidRDefault="002C137F" w:rsidP="00024250">
      <w:pPr>
        <w:pStyle w:val="FootnoteText"/>
        <w:jc w:val="both"/>
      </w:pPr>
      <w:r>
        <w:rPr>
          <w:rStyle w:val="FootnoteReference"/>
        </w:rPr>
        <w:footnoteRef/>
      </w:r>
      <w:r>
        <w:t xml:space="preserve"> </w:t>
      </w:r>
      <w:r w:rsidRPr="00A7C7CE">
        <w:rPr>
          <w:rFonts w:asciiTheme="minorHAnsi" w:hAnsiTheme="minorHAnsi" w:cstheme="minorBidi"/>
          <w:sz w:val="18"/>
          <w:szCs w:val="18"/>
        </w:rPr>
        <w:t xml:space="preserve">The </w:t>
      </w:r>
      <w:r>
        <w:rPr>
          <w:rFonts w:asciiTheme="minorHAnsi" w:hAnsiTheme="minorHAnsi" w:cstheme="minorBidi"/>
          <w:sz w:val="18"/>
          <w:szCs w:val="18"/>
        </w:rPr>
        <w:t>d</w:t>
      </w:r>
      <w:r w:rsidRPr="00A7C7CE">
        <w:rPr>
          <w:rFonts w:asciiTheme="minorHAnsi" w:hAnsiTheme="minorHAnsi" w:cstheme="minorBidi"/>
          <w:sz w:val="18"/>
          <w:szCs w:val="18"/>
        </w:rPr>
        <w:t>epartment and GBMA subsequently agreed to a review delivery date of 31 July 2024.</w:t>
      </w:r>
    </w:p>
  </w:footnote>
  <w:footnote w:id="13">
    <w:p w14:paraId="7DA8DDDA" w14:textId="0DA90746" w:rsidR="00E17F8B" w:rsidRDefault="00E17F8B" w:rsidP="00024250">
      <w:pPr>
        <w:pStyle w:val="FootnoteText"/>
        <w:jc w:val="both"/>
      </w:pPr>
      <w:r>
        <w:rPr>
          <w:rStyle w:val="FootnoteReference"/>
        </w:rPr>
        <w:footnoteRef/>
      </w:r>
      <w:r>
        <w:t xml:space="preserve"> </w:t>
      </w:r>
      <w:r w:rsidR="00B576B6">
        <w:t>‘</w:t>
      </w:r>
      <w:r w:rsidR="00B576B6" w:rsidRPr="00101048">
        <w:rPr>
          <w:rFonts w:asciiTheme="minorHAnsi" w:hAnsiTheme="minorHAnsi" w:cstheme="minorHAnsi"/>
          <w:sz w:val="18"/>
          <w:szCs w:val="18"/>
        </w:rPr>
        <w:t>Pharmaceutical item’ = the combination of a drug, form and manner of administration e.g.</w:t>
      </w:r>
      <w:r w:rsidR="00B576B6">
        <w:rPr>
          <w:rFonts w:asciiTheme="minorHAnsi" w:hAnsiTheme="minorHAnsi" w:cstheme="minorHAnsi"/>
          <w:sz w:val="18"/>
          <w:szCs w:val="18"/>
        </w:rPr>
        <w:t>,</w:t>
      </w:r>
      <w:r w:rsidR="00B576B6" w:rsidRPr="00101048">
        <w:rPr>
          <w:rFonts w:asciiTheme="minorHAnsi" w:hAnsiTheme="minorHAnsi" w:cstheme="minorHAnsi"/>
          <w:sz w:val="18"/>
          <w:szCs w:val="18"/>
        </w:rPr>
        <w:t xml:space="preserve"> paracetamol (drug), 500mg tablets (form), oral (manner of administration).</w:t>
      </w:r>
    </w:p>
  </w:footnote>
  <w:footnote w:id="14">
    <w:p w14:paraId="0A6984A8" w14:textId="59E8132A" w:rsidR="00CC3817" w:rsidRDefault="00CC3817" w:rsidP="00024250">
      <w:pPr>
        <w:pStyle w:val="FootnoteText"/>
        <w:jc w:val="both"/>
      </w:pPr>
      <w:r>
        <w:rPr>
          <w:rStyle w:val="FootnoteReference"/>
        </w:rPr>
        <w:footnoteRef/>
      </w:r>
      <w:r>
        <w:t xml:space="preserve"> </w:t>
      </w:r>
      <w:r w:rsidRPr="00172E43">
        <w:rPr>
          <w:rFonts w:asciiTheme="minorHAnsi" w:hAnsiTheme="minorHAnsi" w:cstheme="minorHAnsi"/>
          <w:sz w:val="18"/>
          <w:szCs w:val="18"/>
        </w:rPr>
        <w:t>Price disclosure data includes the number of packs of a brand which are supplied by an RP during a 6-month data collection period. Refer</w:t>
      </w:r>
      <w:r>
        <w:rPr>
          <w:rFonts w:asciiTheme="minorHAnsi" w:hAnsiTheme="minorHAnsi" w:cstheme="minorHAnsi"/>
          <w:sz w:val="18"/>
          <w:szCs w:val="18"/>
        </w:rPr>
        <w:t xml:space="preserve"> to </w:t>
      </w:r>
      <w:hyperlink w:anchor="_Price_disclosure_(PD)" w:history="1">
        <w:r>
          <w:rPr>
            <w:rStyle w:val="Hyperlink"/>
            <w:rFonts w:asciiTheme="minorHAnsi" w:hAnsiTheme="minorHAnsi" w:cstheme="minorHAnsi"/>
            <w:i/>
            <w:iCs/>
            <w:sz w:val="18"/>
            <w:szCs w:val="18"/>
          </w:rPr>
          <w:t>'Price disclosure' in Attachment 2: PBS Statutory Price Reductions</w:t>
        </w:r>
      </w:hyperlink>
      <w:r w:rsidRPr="00172E43">
        <w:rPr>
          <w:rFonts w:asciiTheme="minorHAnsi" w:hAnsiTheme="minorHAnsi" w:cstheme="minorHAnsi"/>
          <w:sz w:val="18"/>
          <w:szCs w:val="18"/>
        </w:rPr>
        <w:t xml:space="preserve"> for further information.</w:t>
      </w:r>
    </w:p>
  </w:footnote>
  <w:footnote w:id="15">
    <w:p w14:paraId="674401AB" w14:textId="77777777" w:rsidR="00A674EB" w:rsidRDefault="00A674EB" w:rsidP="00024250">
      <w:pPr>
        <w:pStyle w:val="FootnoteText"/>
        <w:jc w:val="both"/>
      </w:pPr>
      <w:r>
        <w:rPr>
          <w:rStyle w:val="FootnoteReference"/>
        </w:rPr>
        <w:footnoteRef/>
      </w:r>
      <w:r>
        <w:t xml:space="preserve"> </w:t>
      </w:r>
      <w:r w:rsidRPr="00172E43">
        <w:rPr>
          <w:rFonts w:asciiTheme="minorHAnsi" w:hAnsiTheme="minorHAnsi" w:cstheme="minorHAnsi"/>
          <w:sz w:val="18"/>
          <w:szCs w:val="18"/>
        </w:rPr>
        <w:t>This power may be exercised by the Minister or their delegate. Subsequent references to the Minister can be taken to be a reference to the Minister or their delegate.</w:t>
      </w:r>
    </w:p>
  </w:footnote>
  <w:footnote w:id="16">
    <w:p w14:paraId="0D12E7EB" w14:textId="77777777" w:rsidR="00CC3817" w:rsidRDefault="00CC3817" w:rsidP="00024250">
      <w:pPr>
        <w:pStyle w:val="FootnoteText"/>
        <w:jc w:val="both"/>
      </w:pPr>
      <w:r>
        <w:rPr>
          <w:rStyle w:val="FootnoteReference"/>
        </w:rPr>
        <w:footnoteRef/>
      </w:r>
      <w:r>
        <w:t xml:space="preserve"> </w:t>
      </w:r>
      <w:r w:rsidRPr="0029024E">
        <w:rPr>
          <w:rFonts w:asciiTheme="minorHAnsi" w:hAnsiTheme="minorHAnsi" w:cstheme="minorHAnsi"/>
        </w:rPr>
        <w:t>‘</w:t>
      </w:r>
      <w:r w:rsidRPr="0051428D">
        <w:rPr>
          <w:rFonts w:asciiTheme="minorHAnsi" w:hAnsiTheme="minorHAnsi" w:cstheme="minorHAnsi"/>
          <w:sz w:val="18"/>
          <w:szCs w:val="18"/>
        </w:rPr>
        <w:t xml:space="preserve">Form a belief’ means as soon as they form a commercial judgement that they are likely to breach. It is different to the technical possibility of a breach being indicated by sales or supply data, if the RP also knows that the possible breach will </w:t>
      </w:r>
      <w:r>
        <w:rPr>
          <w:rFonts w:asciiTheme="minorHAnsi" w:hAnsiTheme="minorHAnsi" w:cstheme="minorHAnsi"/>
          <w:sz w:val="18"/>
          <w:szCs w:val="18"/>
        </w:rPr>
        <w:t>probably</w:t>
      </w:r>
      <w:r w:rsidRPr="0051428D">
        <w:rPr>
          <w:rFonts w:asciiTheme="minorHAnsi" w:hAnsiTheme="minorHAnsi" w:cstheme="minorHAnsi"/>
          <w:sz w:val="18"/>
          <w:szCs w:val="18"/>
        </w:rPr>
        <w:t xml:space="preserve"> be avoided through, for example, a new shipment arriving, the release of a shipment through customs, etc.</w:t>
      </w:r>
      <w:r>
        <w:rPr>
          <w:rFonts w:asciiTheme="minorHAnsi" w:hAnsiTheme="minorHAnsi" w:cstheme="minorHAnsi"/>
          <w:sz w:val="18"/>
          <w:szCs w:val="18"/>
        </w:rPr>
        <w:t xml:space="preserve"> There is an element of judgement required in ‘forming a belief’ – depending on an RP’s experience and expertise, two RPs may form a different belief in response to the same technical data.</w:t>
      </w:r>
    </w:p>
  </w:footnote>
  <w:footnote w:id="17">
    <w:p w14:paraId="2957CF68" w14:textId="77777777" w:rsidR="00CC3817" w:rsidRDefault="00CC3817" w:rsidP="00CC3817">
      <w:pPr>
        <w:pStyle w:val="FootnoteText"/>
      </w:pPr>
      <w:r>
        <w:rPr>
          <w:rStyle w:val="FootnoteReference"/>
        </w:rPr>
        <w:footnoteRef/>
      </w:r>
      <w:r>
        <w:t xml:space="preserve"> </w:t>
      </w:r>
      <w:r w:rsidRPr="00052C29">
        <w:rPr>
          <w:rFonts w:asciiTheme="minorHAnsi" w:hAnsiTheme="minorHAnsi" w:cstheme="minorHAnsi"/>
          <w:sz w:val="18"/>
          <w:szCs w:val="18"/>
        </w:rPr>
        <w:t>The number of designated brands changes over time due to monthly updates to the PBS Schedule (new brand listings and de-listings) as well as new medicines meeting the designated brand criteria in section 99ADHC of the Act. The disclosure data also includes brands that do not meet the legislative criteria but are subject to stockholdings through a Deed of Agreement (thus, the number of brands that have disclosed stockholding data will generally be higher than the number of designated brands).</w:t>
      </w:r>
      <w:r>
        <w:rPr>
          <w:rFonts w:asciiTheme="minorHAnsi" w:hAnsiTheme="minorHAnsi" w:cstheme="minorHAnsi"/>
          <w:sz w:val="18"/>
          <w:szCs w:val="18"/>
        </w:rPr>
        <w:t xml:space="preserve"> The disclosure data currently includes 5 brands subject to stockholdings through a Deed of Agreement.</w:t>
      </w:r>
    </w:p>
  </w:footnote>
  <w:footnote w:id="18">
    <w:p w14:paraId="28BC82A1" w14:textId="77777777" w:rsidR="00CC3817" w:rsidRDefault="00CC3817" w:rsidP="00CC3817">
      <w:pPr>
        <w:pStyle w:val="FootnoteText"/>
        <w:jc w:val="both"/>
      </w:pPr>
      <w:r>
        <w:rPr>
          <w:rStyle w:val="FootnoteReference"/>
        </w:rPr>
        <w:footnoteRef/>
      </w:r>
      <w:r w:rsidRPr="00B42ED3">
        <w:rPr>
          <w:rFonts w:asciiTheme="minorHAnsi" w:hAnsiTheme="minorHAnsi" w:cstheme="minorHAnsi"/>
          <w:sz w:val="18"/>
          <w:szCs w:val="18"/>
        </w:rPr>
        <w:t xml:space="preserve"> </w:t>
      </w:r>
      <w:r>
        <w:rPr>
          <w:rFonts w:asciiTheme="minorHAnsi" w:hAnsiTheme="minorHAnsi" w:cstheme="minorHAnsi"/>
          <w:sz w:val="18"/>
          <w:szCs w:val="18"/>
        </w:rPr>
        <w:t xml:space="preserve">The substantive MSR means </w:t>
      </w:r>
      <w:r w:rsidRPr="00B42ED3">
        <w:rPr>
          <w:rFonts w:asciiTheme="minorHAnsi" w:hAnsiTheme="minorHAnsi" w:cstheme="minorHAnsi"/>
          <w:sz w:val="18"/>
          <w:szCs w:val="18"/>
        </w:rPr>
        <w:t>the requirement to keep</w:t>
      </w:r>
      <w:r>
        <w:rPr>
          <w:rFonts w:asciiTheme="minorHAnsi" w:hAnsiTheme="minorHAnsi" w:cstheme="minorHAnsi"/>
          <w:sz w:val="18"/>
          <w:szCs w:val="18"/>
        </w:rPr>
        <w:t xml:space="preserve"> in stock either</w:t>
      </w:r>
      <w:r w:rsidRPr="00B42ED3">
        <w:rPr>
          <w:rFonts w:asciiTheme="minorHAnsi" w:hAnsiTheme="minorHAnsi" w:cstheme="minorHAnsi"/>
          <w:sz w:val="18"/>
          <w:szCs w:val="18"/>
        </w:rPr>
        <w:t xml:space="preserve"> 4 or 6 months</w:t>
      </w:r>
      <w:r>
        <w:rPr>
          <w:rFonts w:asciiTheme="minorHAnsi" w:hAnsiTheme="minorHAnsi" w:cstheme="minorHAnsi"/>
          <w:sz w:val="18"/>
          <w:szCs w:val="18"/>
        </w:rPr>
        <w:t>’</w:t>
      </w:r>
      <w:r w:rsidRPr="00B42ED3">
        <w:rPr>
          <w:rFonts w:asciiTheme="minorHAnsi" w:hAnsiTheme="minorHAnsi" w:cstheme="minorHAnsi"/>
          <w:sz w:val="18"/>
          <w:szCs w:val="18"/>
        </w:rPr>
        <w:t xml:space="preserve"> stock by reference to usual demand, or another quantity determined by the Minister.</w:t>
      </w:r>
    </w:p>
  </w:footnote>
  <w:footnote w:id="19">
    <w:p w14:paraId="62EC16A7" w14:textId="77777777" w:rsidR="00CC3817" w:rsidRDefault="00CC3817" w:rsidP="00CC3817">
      <w:pPr>
        <w:pStyle w:val="FootnoteText"/>
        <w:jc w:val="both"/>
      </w:pPr>
      <w:r>
        <w:rPr>
          <w:rStyle w:val="FootnoteReference"/>
        </w:rPr>
        <w:footnoteRef/>
      </w:r>
      <w:r>
        <w:t xml:space="preserve"> </w:t>
      </w:r>
      <w:r w:rsidRPr="002146E3">
        <w:rPr>
          <w:rFonts w:asciiTheme="minorHAnsi" w:hAnsiTheme="minorHAnsi" w:cstheme="minorHAnsi"/>
          <w:sz w:val="18"/>
          <w:szCs w:val="18"/>
        </w:rPr>
        <w:t>This power may be exercised by the Minister or their delegate. Subsequent references to the Minister can be taken to be a reference to the Minister or their delegate.</w:t>
      </w:r>
    </w:p>
  </w:footnote>
  <w:footnote w:id="20">
    <w:p w14:paraId="4DC981A5" w14:textId="59104A82" w:rsidR="00060BFF" w:rsidRPr="006169B6" w:rsidRDefault="00060BFF" w:rsidP="00060BFF">
      <w:pPr>
        <w:pStyle w:val="FootnoteText"/>
        <w:jc w:val="both"/>
        <w:rPr>
          <w:rFonts w:asciiTheme="minorHAnsi" w:hAnsiTheme="minorHAnsi" w:cstheme="minorHAnsi"/>
        </w:rPr>
      </w:pPr>
      <w:r>
        <w:rPr>
          <w:rStyle w:val="FootnoteReference"/>
        </w:rPr>
        <w:footnoteRef/>
      </w:r>
      <w:r>
        <w:t xml:space="preserve"> </w:t>
      </w:r>
      <w:r w:rsidRPr="00AF1D2A">
        <w:rPr>
          <w:rFonts w:asciiTheme="minorHAnsi" w:hAnsiTheme="minorHAnsi" w:cstheme="minorHAnsi"/>
          <w:sz w:val="18"/>
          <w:szCs w:val="18"/>
        </w:rPr>
        <w:t>Where Pharmaceutical Item is defined by the drug, the form (e</w:t>
      </w:r>
      <w:r w:rsidR="00B81DDF">
        <w:rPr>
          <w:rFonts w:asciiTheme="minorHAnsi" w:hAnsiTheme="minorHAnsi" w:cstheme="minorHAnsi"/>
          <w:sz w:val="18"/>
          <w:szCs w:val="18"/>
        </w:rPr>
        <w:t>.</w:t>
      </w:r>
      <w:r w:rsidRPr="00AF1D2A">
        <w:rPr>
          <w:rFonts w:asciiTheme="minorHAnsi" w:hAnsiTheme="minorHAnsi" w:cstheme="minorHAnsi"/>
          <w:sz w:val="18"/>
          <w:szCs w:val="18"/>
        </w:rPr>
        <w:t>g</w:t>
      </w:r>
      <w:r w:rsidR="00B81DDF">
        <w:rPr>
          <w:rFonts w:asciiTheme="minorHAnsi" w:hAnsiTheme="minorHAnsi" w:cstheme="minorHAnsi"/>
          <w:sz w:val="18"/>
          <w:szCs w:val="18"/>
        </w:rPr>
        <w:t>.</w:t>
      </w:r>
      <w:r w:rsidRPr="00AF1D2A">
        <w:rPr>
          <w:rFonts w:asciiTheme="minorHAnsi" w:hAnsiTheme="minorHAnsi" w:cstheme="minorHAnsi"/>
          <w:sz w:val="18"/>
          <w:szCs w:val="18"/>
        </w:rPr>
        <w:t xml:space="preserve"> oral solution, pills, injectables) and the manner of administration (e</w:t>
      </w:r>
      <w:r w:rsidR="00B81DDF">
        <w:rPr>
          <w:rFonts w:asciiTheme="minorHAnsi" w:hAnsiTheme="minorHAnsi" w:cstheme="minorHAnsi"/>
          <w:sz w:val="18"/>
          <w:szCs w:val="18"/>
        </w:rPr>
        <w:t>.</w:t>
      </w:r>
      <w:r w:rsidRPr="00AF1D2A">
        <w:rPr>
          <w:rFonts w:asciiTheme="minorHAnsi" w:hAnsiTheme="minorHAnsi" w:cstheme="minorHAnsi"/>
          <w:sz w:val="18"/>
          <w:szCs w:val="18"/>
        </w:rPr>
        <w:t>g</w:t>
      </w:r>
      <w:r w:rsidR="00B81DDF">
        <w:rPr>
          <w:rFonts w:asciiTheme="minorHAnsi" w:hAnsiTheme="minorHAnsi" w:cstheme="minorHAnsi"/>
          <w:sz w:val="18"/>
          <w:szCs w:val="18"/>
        </w:rPr>
        <w:t>.</w:t>
      </w:r>
      <w:r w:rsidRPr="00AF1D2A">
        <w:rPr>
          <w:rFonts w:asciiTheme="minorHAnsi" w:hAnsiTheme="minorHAnsi" w:cstheme="minorHAnsi"/>
          <w:sz w:val="18"/>
          <w:szCs w:val="18"/>
        </w:rPr>
        <w:t xml:space="preserve"> oral, injection).</w:t>
      </w:r>
    </w:p>
  </w:footnote>
  <w:footnote w:id="21">
    <w:p w14:paraId="467F7CC5" w14:textId="77777777" w:rsidR="00060BFF" w:rsidRDefault="00060BFF" w:rsidP="00060BFF">
      <w:pPr>
        <w:pStyle w:val="FootnoteText"/>
        <w:jc w:val="both"/>
      </w:pPr>
      <w:r>
        <w:rPr>
          <w:rStyle w:val="FootnoteReference"/>
        </w:rPr>
        <w:footnoteRef/>
      </w:r>
      <w:r>
        <w:t xml:space="preserve"> </w:t>
      </w:r>
      <w:r w:rsidRPr="00AD2AC0">
        <w:rPr>
          <w:rFonts w:asciiTheme="minorHAnsi" w:hAnsiTheme="minorHAnsi" w:cstheme="minorHAnsi"/>
          <w:sz w:val="18"/>
          <w:szCs w:val="18"/>
        </w:rPr>
        <w:t>Brands with an AEMP of $2.00 or less were increased to $2.50, between $2.00 and $3.00 were increased by $0.50 and more than $3.00 but less than $3.50 received an increase to $3.50.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F6DB" w14:textId="77777777" w:rsidR="005A36DC" w:rsidRDefault="00934FD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9E6C" w14:textId="77777777" w:rsidR="002947D7" w:rsidRDefault="002947D7">
    <w:pPr>
      <w:pStyle w:val="Header"/>
    </w:pPr>
  </w:p>
  <w:p w14:paraId="26FC7632" w14:textId="77777777" w:rsidR="002947D7" w:rsidRDefault="002947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CA5C" w14:textId="472038EE" w:rsidR="005A36DC" w:rsidRDefault="009425C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8E40F6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723046"/>
    <w:multiLevelType w:val="multilevel"/>
    <w:tmpl w:val="7DFC9F88"/>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52C5EC8"/>
    <w:multiLevelType w:val="hybridMultilevel"/>
    <w:tmpl w:val="CD5A8ED4"/>
    <w:lvl w:ilvl="0" w:tplc="F894FDCC">
      <w:start w:val="2"/>
      <w:numFmt w:val="decimal"/>
      <w:lvlText w:val="%1."/>
      <w:lvlJc w:val="left"/>
      <w:pPr>
        <w:ind w:left="720" w:hanging="360"/>
      </w:pPr>
    </w:lvl>
    <w:lvl w:ilvl="1" w:tplc="2ABA8F60">
      <w:start w:val="1"/>
      <w:numFmt w:val="lowerLetter"/>
      <w:lvlText w:val="%2."/>
      <w:lvlJc w:val="left"/>
      <w:pPr>
        <w:ind w:left="1440" w:hanging="360"/>
      </w:pPr>
    </w:lvl>
    <w:lvl w:ilvl="2" w:tplc="EA3E00E0">
      <w:start w:val="1"/>
      <w:numFmt w:val="lowerRoman"/>
      <w:lvlText w:val="%3."/>
      <w:lvlJc w:val="right"/>
      <w:pPr>
        <w:ind w:left="2160" w:hanging="180"/>
      </w:pPr>
    </w:lvl>
    <w:lvl w:ilvl="3" w:tplc="CA68B148">
      <w:start w:val="1"/>
      <w:numFmt w:val="decimal"/>
      <w:lvlText w:val="%4."/>
      <w:lvlJc w:val="left"/>
      <w:pPr>
        <w:ind w:left="2880" w:hanging="360"/>
      </w:pPr>
    </w:lvl>
    <w:lvl w:ilvl="4" w:tplc="A6245DA0">
      <w:start w:val="1"/>
      <w:numFmt w:val="lowerLetter"/>
      <w:lvlText w:val="%5."/>
      <w:lvlJc w:val="left"/>
      <w:pPr>
        <w:ind w:left="3600" w:hanging="360"/>
      </w:pPr>
    </w:lvl>
    <w:lvl w:ilvl="5" w:tplc="306E67EE">
      <w:start w:val="1"/>
      <w:numFmt w:val="lowerRoman"/>
      <w:lvlText w:val="%6."/>
      <w:lvlJc w:val="right"/>
      <w:pPr>
        <w:ind w:left="4320" w:hanging="180"/>
      </w:pPr>
    </w:lvl>
    <w:lvl w:ilvl="6" w:tplc="AE00BE5C">
      <w:start w:val="1"/>
      <w:numFmt w:val="decimal"/>
      <w:lvlText w:val="%7."/>
      <w:lvlJc w:val="left"/>
      <w:pPr>
        <w:ind w:left="5040" w:hanging="360"/>
      </w:pPr>
    </w:lvl>
    <w:lvl w:ilvl="7" w:tplc="59A208E2">
      <w:start w:val="1"/>
      <w:numFmt w:val="lowerLetter"/>
      <w:lvlText w:val="%8."/>
      <w:lvlJc w:val="left"/>
      <w:pPr>
        <w:ind w:left="5760" w:hanging="360"/>
      </w:pPr>
    </w:lvl>
    <w:lvl w:ilvl="8" w:tplc="440E182A">
      <w:start w:val="1"/>
      <w:numFmt w:val="lowerRoman"/>
      <w:lvlText w:val="%9."/>
      <w:lvlJc w:val="right"/>
      <w:pPr>
        <w:ind w:left="6480" w:hanging="180"/>
      </w:pPr>
    </w:lvl>
  </w:abstractNum>
  <w:abstractNum w:abstractNumId="3" w15:restartNumberingAfterBreak="0">
    <w:nsid w:val="074758AD"/>
    <w:multiLevelType w:val="multilevel"/>
    <w:tmpl w:val="3BB05B32"/>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8E44148"/>
    <w:multiLevelType w:val="multilevel"/>
    <w:tmpl w:val="D9DC556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val="0"/>
        <w:bCs w:val="0"/>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0FE74C09"/>
    <w:multiLevelType w:val="multilevel"/>
    <w:tmpl w:val="410A8A5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6" w15:restartNumberingAfterBreak="0">
    <w:nsid w:val="142A35C0"/>
    <w:multiLevelType w:val="multilevel"/>
    <w:tmpl w:val="3956F590"/>
    <w:lvl w:ilvl="0">
      <w:start w:val="1"/>
      <w:numFmt w:val="bullet"/>
      <w:lvlText w:val=""/>
      <w:lvlJc w:val="left"/>
      <w:pPr>
        <w:ind w:left="567" w:hanging="567"/>
      </w:pPr>
      <w:rPr>
        <w:rFonts w:ascii="Symbol" w:hAnsi="Symbol"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15:restartNumberingAfterBreak="0">
    <w:nsid w:val="1AA43BFB"/>
    <w:multiLevelType w:val="multilevel"/>
    <w:tmpl w:val="71C4E82C"/>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1AE21D90"/>
    <w:multiLevelType w:val="hybridMultilevel"/>
    <w:tmpl w:val="57722AD4"/>
    <w:lvl w:ilvl="0" w:tplc="6150D576">
      <w:start w:val="1"/>
      <w:numFmt w:val="bullet"/>
      <w:lvlText w:val="·"/>
      <w:lvlJc w:val="left"/>
      <w:pPr>
        <w:ind w:left="720" w:hanging="360"/>
      </w:pPr>
      <w:rPr>
        <w:rFonts w:ascii="Symbol" w:hAnsi="Symbol" w:hint="default"/>
      </w:rPr>
    </w:lvl>
    <w:lvl w:ilvl="1" w:tplc="BCB4CCEC">
      <w:start w:val="1"/>
      <w:numFmt w:val="bullet"/>
      <w:lvlText w:val="o"/>
      <w:lvlJc w:val="left"/>
      <w:pPr>
        <w:ind w:left="1440" w:hanging="360"/>
      </w:pPr>
      <w:rPr>
        <w:rFonts w:ascii="Courier New" w:hAnsi="Courier New" w:hint="default"/>
      </w:rPr>
    </w:lvl>
    <w:lvl w:ilvl="2" w:tplc="2AE63642">
      <w:start w:val="1"/>
      <w:numFmt w:val="bullet"/>
      <w:lvlText w:val=""/>
      <w:lvlJc w:val="left"/>
      <w:pPr>
        <w:ind w:left="2160" w:hanging="360"/>
      </w:pPr>
      <w:rPr>
        <w:rFonts w:ascii="Wingdings" w:hAnsi="Wingdings" w:hint="default"/>
      </w:rPr>
    </w:lvl>
    <w:lvl w:ilvl="3" w:tplc="D67CD4A4">
      <w:start w:val="1"/>
      <w:numFmt w:val="bullet"/>
      <w:lvlText w:val=""/>
      <w:lvlJc w:val="left"/>
      <w:pPr>
        <w:ind w:left="2880" w:hanging="360"/>
      </w:pPr>
      <w:rPr>
        <w:rFonts w:ascii="Symbol" w:hAnsi="Symbol" w:hint="default"/>
      </w:rPr>
    </w:lvl>
    <w:lvl w:ilvl="4" w:tplc="348AF8B2">
      <w:start w:val="1"/>
      <w:numFmt w:val="bullet"/>
      <w:lvlText w:val="o"/>
      <w:lvlJc w:val="left"/>
      <w:pPr>
        <w:ind w:left="3600" w:hanging="360"/>
      </w:pPr>
      <w:rPr>
        <w:rFonts w:ascii="Courier New" w:hAnsi="Courier New" w:hint="default"/>
      </w:rPr>
    </w:lvl>
    <w:lvl w:ilvl="5" w:tplc="731430B8">
      <w:start w:val="1"/>
      <w:numFmt w:val="bullet"/>
      <w:lvlText w:val=""/>
      <w:lvlJc w:val="left"/>
      <w:pPr>
        <w:ind w:left="4320" w:hanging="360"/>
      </w:pPr>
      <w:rPr>
        <w:rFonts w:ascii="Wingdings" w:hAnsi="Wingdings" w:hint="default"/>
      </w:rPr>
    </w:lvl>
    <w:lvl w:ilvl="6" w:tplc="54605E46">
      <w:start w:val="1"/>
      <w:numFmt w:val="bullet"/>
      <w:lvlText w:val=""/>
      <w:lvlJc w:val="left"/>
      <w:pPr>
        <w:ind w:left="5040" w:hanging="360"/>
      </w:pPr>
      <w:rPr>
        <w:rFonts w:ascii="Symbol" w:hAnsi="Symbol" w:hint="default"/>
      </w:rPr>
    </w:lvl>
    <w:lvl w:ilvl="7" w:tplc="03AE7702">
      <w:start w:val="1"/>
      <w:numFmt w:val="bullet"/>
      <w:lvlText w:val="o"/>
      <w:lvlJc w:val="left"/>
      <w:pPr>
        <w:ind w:left="5760" w:hanging="360"/>
      </w:pPr>
      <w:rPr>
        <w:rFonts w:ascii="Courier New" w:hAnsi="Courier New" w:hint="default"/>
      </w:rPr>
    </w:lvl>
    <w:lvl w:ilvl="8" w:tplc="E2D8FC56">
      <w:start w:val="1"/>
      <w:numFmt w:val="bullet"/>
      <w:lvlText w:val=""/>
      <w:lvlJc w:val="left"/>
      <w:pPr>
        <w:ind w:left="6480" w:hanging="360"/>
      </w:pPr>
      <w:rPr>
        <w:rFonts w:ascii="Wingdings" w:hAnsi="Wingdings" w:hint="default"/>
      </w:rPr>
    </w:lvl>
  </w:abstractNum>
  <w:abstractNum w:abstractNumId="9" w15:restartNumberingAfterBreak="0">
    <w:nsid w:val="1CD12D23"/>
    <w:multiLevelType w:val="multilevel"/>
    <w:tmpl w:val="71C4E82C"/>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5E503FF"/>
    <w:multiLevelType w:val="multilevel"/>
    <w:tmpl w:val="410A8A5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1" w15:restartNumberingAfterBreak="0">
    <w:nsid w:val="270B112A"/>
    <w:multiLevelType w:val="hybridMultilevel"/>
    <w:tmpl w:val="CB9A788E"/>
    <w:lvl w:ilvl="0" w:tplc="52F63BB2">
      <w:start w:val="1"/>
      <w:numFmt w:val="bullet"/>
      <w:lvlText w:val="·"/>
      <w:lvlJc w:val="left"/>
      <w:pPr>
        <w:ind w:left="720" w:hanging="360"/>
      </w:pPr>
      <w:rPr>
        <w:rFonts w:ascii="Symbol" w:hAnsi="Symbol" w:hint="default"/>
      </w:rPr>
    </w:lvl>
    <w:lvl w:ilvl="1" w:tplc="8C36721A">
      <w:start w:val="1"/>
      <w:numFmt w:val="bullet"/>
      <w:lvlText w:val="o"/>
      <w:lvlJc w:val="left"/>
      <w:pPr>
        <w:ind w:left="1440" w:hanging="360"/>
      </w:pPr>
      <w:rPr>
        <w:rFonts w:ascii="Courier New" w:hAnsi="Courier New" w:hint="default"/>
      </w:rPr>
    </w:lvl>
    <w:lvl w:ilvl="2" w:tplc="C3F40FD8">
      <w:start w:val="1"/>
      <w:numFmt w:val="bullet"/>
      <w:lvlText w:val=""/>
      <w:lvlJc w:val="left"/>
      <w:pPr>
        <w:ind w:left="2160" w:hanging="360"/>
      </w:pPr>
      <w:rPr>
        <w:rFonts w:ascii="Wingdings" w:hAnsi="Wingdings" w:hint="default"/>
      </w:rPr>
    </w:lvl>
    <w:lvl w:ilvl="3" w:tplc="316A297E">
      <w:start w:val="1"/>
      <w:numFmt w:val="bullet"/>
      <w:lvlText w:val=""/>
      <w:lvlJc w:val="left"/>
      <w:pPr>
        <w:ind w:left="2880" w:hanging="360"/>
      </w:pPr>
      <w:rPr>
        <w:rFonts w:ascii="Symbol" w:hAnsi="Symbol" w:hint="default"/>
      </w:rPr>
    </w:lvl>
    <w:lvl w:ilvl="4" w:tplc="55783E8A">
      <w:start w:val="1"/>
      <w:numFmt w:val="bullet"/>
      <w:lvlText w:val="o"/>
      <w:lvlJc w:val="left"/>
      <w:pPr>
        <w:ind w:left="3600" w:hanging="360"/>
      </w:pPr>
      <w:rPr>
        <w:rFonts w:ascii="Courier New" w:hAnsi="Courier New" w:hint="default"/>
      </w:rPr>
    </w:lvl>
    <w:lvl w:ilvl="5" w:tplc="BDD2BCCA">
      <w:start w:val="1"/>
      <w:numFmt w:val="bullet"/>
      <w:lvlText w:val=""/>
      <w:lvlJc w:val="left"/>
      <w:pPr>
        <w:ind w:left="4320" w:hanging="360"/>
      </w:pPr>
      <w:rPr>
        <w:rFonts w:ascii="Wingdings" w:hAnsi="Wingdings" w:hint="default"/>
      </w:rPr>
    </w:lvl>
    <w:lvl w:ilvl="6" w:tplc="0D225278">
      <w:start w:val="1"/>
      <w:numFmt w:val="bullet"/>
      <w:lvlText w:val=""/>
      <w:lvlJc w:val="left"/>
      <w:pPr>
        <w:ind w:left="5040" w:hanging="360"/>
      </w:pPr>
      <w:rPr>
        <w:rFonts w:ascii="Symbol" w:hAnsi="Symbol" w:hint="default"/>
      </w:rPr>
    </w:lvl>
    <w:lvl w:ilvl="7" w:tplc="1C7623AA">
      <w:start w:val="1"/>
      <w:numFmt w:val="bullet"/>
      <w:lvlText w:val="o"/>
      <w:lvlJc w:val="left"/>
      <w:pPr>
        <w:ind w:left="5760" w:hanging="360"/>
      </w:pPr>
      <w:rPr>
        <w:rFonts w:ascii="Courier New" w:hAnsi="Courier New" w:hint="default"/>
      </w:rPr>
    </w:lvl>
    <w:lvl w:ilvl="8" w:tplc="A970AB62">
      <w:start w:val="1"/>
      <w:numFmt w:val="bullet"/>
      <w:lvlText w:val=""/>
      <w:lvlJc w:val="left"/>
      <w:pPr>
        <w:ind w:left="6480" w:hanging="360"/>
      </w:pPr>
      <w:rPr>
        <w:rFonts w:ascii="Wingdings" w:hAnsi="Wingdings" w:hint="default"/>
      </w:rPr>
    </w:lvl>
  </w:abstractNum>
  <w:abstractNum w:abstractNumId="12" w15:restartNumberingAfterBreak="0">
    <w:nsid w:val="28B90E20"/>
    <w:multiLevelType w:val="multilevel"/>
    <w:tmpl w:val="71C4E82C"/>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29920E2B"/>
    <w:multiLevelType w:val="hybridMultilevel"/>
    <w:tmpl w:val="F87A11D8"/>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2C7E740C"/>
    <w:multiLevelType w:val="hybridMultilevel"/>
    <w:tmpl w:val="8C1C94B6"/>
    <w:lvl w:ilvl="0" w:tplc="ADBEEBF2">
      <w:start w:val="1"/>
      <w:numFmt w:val="decimal"/>
      <w:lvlText w:val="%1."/>
      <w:lvlJc w:val="left"/>
      <w:pPr>
        <w:ind w:left="720" w:hanging="360"/>
      </w:pPr>
    </w:lvl>
    <w:lvl w:ilvl="1" w:tplc="39FAB954">
      <w:start w:val="1"/>
      <w:numFmt w:val="lowerLetter"/>
      <w:lvlText w:val="%2."/>
      <w:lvlJc w:val="left"/>
      <w:pPr>
        <w:ind w:left="1440" w:hanging="360"/>
      </w:pPr>
    </w:lvl>
    <w:lvl w:ilvl="2" w:tplc="838C01D6">
      <w:start w:val="1"/>
      <w:numFmt w:val="lowerRoman"/>
      <w:lvlText w:val="%3."/>
      <w:lvlJc w:val="right"/>
      <w:pPr>
        <w:ind w:left="2160" w:hanging="180"/>
      </w:pPr>
    </w:lvl>
    <w:lvl w:ilvl="3" w:tplc="C420815A">
      <w:start w:val="1"/>
      <w:numFmt w:val="decimal"/>
      <w:lvlText w:val="%4."/>
      <w:lvlJc w:val="left"/>
      <w:pPr>
        <w:ind w:left="2880" w:hanging="360"/>
      </w:pPr>
    </w:lvl>
    <w:lvl w:ilvl="4" w:tplc="D4F0A1DE">
      <w:start w:val="1"/>
      <w:numFmt w:val="lowerLetter"/>
      <w:lvlText w:val="%5."/>
      <w:lvlJc w:val="left"/>
      <w:pPr>
        <w:ind w:left="3600" w:hanging="360"/>
      </w:pPr>
    </w:lvl>
    <w:lvl w:ilvl="5" w:tplc="6C7E7BB2">
      <w:start w:val="1"/>
      <w:numFmt w:val="lowerRoman"/>
      <w:lvlText w:val="%6."/>
      <w:lvlJc w:val="right"/>
      <w:pPr>
        <w:ind w:left="4320" w:hanging="180"/>
      </w:pPr>
    </w:lvl>
    <w:lvl w:ilvl="6" w:tplc="FE9EA762">
      <w:start w:val="1"/>
      <w:numFmt w:val="decimal"/>
      <w:lvlText w:val="%7."/>
      <w:lvlJc w:val="left"/>
      <w:pPr>
        <w:ind w:left="5040" w:hanging="360"/>
      </w:pPr>
    </w:lvl>
    <w:lvl w:ilvl="7" w:tplc="02E0B7C0">
      <w:start w:val="1"/>
      <w:numFmt w:val="lowerLetter"/>
      <w:lvlText w:val="%8."/>
      <w:lvlJc w:val="left"/>
      <w:pPr>
        <w:ind w:left="5760" w:hanging="360"/>
      </w:pPr>
    </w:lvl>
    <w:lvl w:ilvl="8" w:tplc="D2A0D50A">
      <w:start w:val="1"/>
      <w:numFmt w:val="lowerRoman"/>
      <w:lvlText w:val="%9."/>
      <w:lvlJc w:val="right"/>
      <w:pPr>
        <w:ind w:left="6480" w:hanging="180"/>
      </w:pPr>
    </w:lvl>
  </w:abstractNum>
  <w:abstractNum w:abstractNumId="15" w15:restartNumberingAfterBreak="0">
    <w:nsid w:val="2E984402"/>
    <w:multiLevelType w:val="multilevel"/>
    <w:tmpl w:val="71C4E82C"/>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957070E"/>
    <w:multiLevelType w:val="multilevel"/>
    <w:tmpl w:val="FA50546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7" w15:restartNumberingAfterBreak="0">
    <w:nsid w:val="3D290C10"/>
    <w:multiLevelType w:val="multilevel"/>
    <w:tmpl w:val="8CCE6232"/>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48466333"/>
    <w:multiLevelType w:val="multilevel"/>
    <w:tmpl w:val="410A8A5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19" w15:restartNumberingAfterBreak="0">
    <w:nsid w:val="52252B03"/>
    <w:multiLevelType w:val="multilevel"/>
    <w:tmpl w:val="6CF0928E"/>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0" w15:restartNumberingAfterBreak="0">
    <w:nsid w:val="59014005"/>
    <w:multiLevelType w:val="multilevel"/>
    <w:tmpl w:val="410A8A5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21" w15:restartNumberingAfterBreak="0">
    <w:nsid w:val="5DBB1C6B"/>
    <w:multiLevelType w:val="multilevel"/>
    <w:tmpl w:val="C338DF6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val="0"/>
        <w:bCs w:val="0"/>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639E018B"/>
    <w:multiLevelType w:val="multilevel"/>
    <w:tmpl w:val="8B1079C6"/>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66CB4C9C"/>
    <w:multiLevelType w:val="multilevel"/>
    <w:tmpl w:val="71C4E82C"/>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4" w15:restartNumberingAfterBreak="0">
    <w:nsid w:val="67322637"/>
    <w:multiLevelType w:val="hybridMultilevel"/>
    <w:tmpl w:val="5D56FF4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9036EF8"/>
    <w:multiLevelType w:val="multilevel"/>
    <w:tmpl w:val="71C4E82C"/>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6" w15:restartNumberingAfterBreak="0">
    <w:nsid w:val="6EBF5786"/>
    <w:multiLevelType w:val="multilevel"/>
    <w:tmpl w:val="575CD9C8"/>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F53A3EB"/>
    <w:multiLevelType w:val="hybridMultilevel"/>
    <w:tmpl w:val="653E5AE0"/>
    <w:lvl w:ilvl="0" w:tplc="B1E64E24">
      <w:start w:val="1"/>
      <w:numFmt w:val="bullet"/>
      <w:lvlText w:val="·"/>
      <w:lvlJc w:val="left"/>
      <w:pPr>
        <w:ind w:left="720" w:hanging="360"/>
      </w:pPr>
      <w:rPr>
        <w:rFonts w:ascii="Symbol" w:hAnsi="Symbol" w:hint="default"/>
      </w:rPr>
    </w:lvl>
    <w:lvl w:ilvl="1" w:tplc="4EE41844">
      <w:start w:val="1"/>
      <w:numFmt w:val="bullet"/>
      <w:lvlText w:val="o"/>
      <w:lvlJc w:val="left"/>
      <w:pPr>
        <w:ind w:left="1440" w:hanging="360"/>
      </w:pPr>
      <w:rPr>
        <w:rFonts w:ascii="Courier New" w:hAnsi="Courier New" w:hint="default"/>
      </w:rPr>
    </w:lvl>
    <w:lvl w:ilvl="2" w:tplc="43F6BEF4">
      <w:start w:val="1"/>
      <w:numFmt w:val="bullet"/>
      <w:lvlText w:val=""/>
      <w:lvlJc w:val="left"/>
      <w:pPr>
        <w:ind w:left="2160" w:hanging="360"/>
      </w:pPr>
      <w:rPr>
        <w:rFonts w:ascii="Wingdings" w:hAnsi="Wingdings" w:hint="default"/>
      </w:rPr>
    </w:lvl>
    <w:lvl w:ilvl="3" w:tplc="19BC8814">
      <w:start w:val="1"/>
      <w:numFmt w:val="bullet"/>
      <w:lvlText w:val=""/>
      <w:lvlJc w:val="left"/>
      <w:pPr>
        <w:ind w:left="2880" w:hanging="360"/>
      </w:pPr>
      <w:rPr>
        <w:rFonts w:ascii="Symbol" w:hAnsi="Symbol" w:hint="default"/>
      </w:rPr>
    </w:lvl>
    <w:lvl w:ilvl="4" w:tplc="0AFA5A34">
      <w:start w:val="1"/>
      <w:numFmt w:val="bullet"/>
      <w:lvlText w:val="o"/>
      <w:lvlJc w:val="left"/>
      <w:pPr>
        <w:ind w:left="3600" w:hanging="360"/>
      </w:pPr>
      <w:rPr>
        <w:rFonts w:ascii="Courier New" w:hAnsi="Courier New" w:hint="default"/>
      </w:rPr>
    </w:lvl>
    <w:lvl w:ilvl="5" w:tplc="1466032A">
      <w:start w:val="1"/>
      <w:numFmt w:val="bullet"/>
      <w:lvlText w:val=""/>
      <w:lvlJc w:val="left"/>
      <w:pPr>
        <w:ind w:left="4320" w:hanging="360"/>
      </w:pPr>
      <w:rPr>
        <w:rFonts w:ascii="Wingdings" w:hAnsi="Wingdings" w:hint="default"/>
      </w:rPr>
    </w:lvl>
    <w:lvl w:ilvl="6" w:tplc="D8AAA192">
      <w:start w:val="1"/>
      <w:numFmt w:val="bullet"/>
      <w:lvlText w:val=""/>
      <w:lvlJc w:val="left"/>
      <w:pPr>
        <w:ind w:left="5040" w:hanging="360"/>
      </w:pPr>
      <w:rPr>
        <w:rFonts w:ascii="Symbol" w:hAnsi="Symbol" w:hint="default"/>
      </w:rPr>
    </w:lvl>
    <w:lvl w:ilvl="7" w:tplc="FA5AEAA8">
      <w:start w:val="1"/>
      <w:numFmt w:val="bullet"/>
      <w:lvlText w:val="o"/>
      <w:lvlJc w:val="left"/>
      <w:pPr>
        <w:ind w:left="5760" w:hanging="360"/>
      </w:pPr>
      <w:rPr>
        <w:rFonts w:ascii="Courier New" w:hAnsi="Courier New" w:hint="default"/>
      </w:rPr>
    </w:lvl>
    <w:lvl w:ilvl="8" w:tplc="E1C4BE4C">
      <w:start w:val="1"/>
      <w:numFmt w:val="bullet"/>
      <w:lvlText w:val=""/>
      <w:lvlJc w:val="left"/>
      <w:pPr>
        <w:ind w:left="6480" w:hanging="360"/>
      </w:pPr>
      <w:rPr>
        <w:rFonts w:ascii="Wingdings" w:hAnsi="Wingdings" w:hint="default"/>
      </w:rPr>
    </w:lvl>
  </w:abstractNum>
  <w:abstractNum w:abstractNumId="28" w15:restartNumberingAfterBreak="0">
    <w:nsid w:val="72DDA352"/>
    <w:multiLevelType w:val="multilevel"/>
    <w:tmpl w:val="410A8A5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29" w15:restartNumberingAfterBreak="0">
    <w:nsid w:val="7B9A24FD"/>
    <w:multiLevelType w:val="multilevel"/>
    <w:tmpl w:val="1A3CDEB8"/>
    <w:lvl w:ilvl="0">
      <w:start w:val="1"/>
      <w:numFmt w:val="decimal"/>
      <w:lvlText w:val="%1."/>
      <w:lvlJc w:val="left"/>
      <w:pPr>
        <w:ind w:left="567" w:hanging="567"/>
      </w:pPr>
      <w:rPr>
        <w:rFonts w:hint="default"/>
        <w:b w:val="0"/>
        <w:bCs w:val="0"/>
      </w:rPr>
    </w:lvl>
    <w:lvl w:ilvl="1">
      <w:start w:val="1"/>
      <w:numFmt w:val="lowerLetter"/>
      <w:lvlRestart w:val="0"/>
      <w:lvlText w:val="%2)"/>
      <w:lvlJc w:val="left"/>
      <w:pPr>
        <w:ind w:left="1134" w:hanging="567"/>
      </w:pPr>
      <w:rPr>
        <w:rFonts w:hint="default"/>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7C7313CD"/>
    <w:multiLevelType w:val="multilevel"/>
    <w:tmpl w:val="1CBE1FA0"/>
    <w:lvl w:ilvl="0">
      <w:start w:val="1"/>
      <w:numFmt w:val="decimal"/>
      <w:lvlText w:val="%1."/>
      <w:lvlJc w:val="left"/>
      <w:pPr>
        <w:ind w:left="567" w:hanging="567"/>
      </w:pPr>
      <w:rPr>
        <w:rFonts w:hint="default"/>
      </w:rPr>
    </w:lvl>
    <w:lvl w:ilvl="1">
      <w:start w:val="1"/>
      <w:numFmt w:val="lowerLetter"/>
      <w:lvlRestart w:val="0"/>
      <w:lvlText w:val="%2)"/>
      <w:lvlJc w:val="left"/>
      <w:pPr>
        <w:ind w:left="1134" w:hanging="567"/>
      </w:pPr>
      <w:rPr>
        <w:rFonts w:hint="default"/>
        <w:b w:val="0"/>
        <w:bCs w:val="0"/>
      </w:rPr>
    </w:lvl>
    <w:lvl w:ilvl="2">
      <w:start w:val="1"/>
      <w:numFmt w:val="lowerRoman"/>
      <w:lvlRestart w:val="0"/>
      <w:lvlText w:val="%3)"/>
      <w:lvlJc w:val="left"/>
      <w:pPr>
        <w:ind w:left="1701" w:hanging="567"/>
      </w:pPr>
      <w:rPr>
        <w:rFonts w:hint="default"/>
      </w:rPr>
    </w:lvl>
    <w:lvl w:ilvl="3">
      <w:start w:val="1"/>
      <w:numFmt w:val="decimal"/>
      <w:lvlRestart w:val="0"/>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16cid:durableId="1867788608">
    <w:abstractNumId w:val="0"/>
  </w:num>
  <w:num w:numId="2" w16cid:durableId="1096631031">
    <w:abstractNumId w:val="28"/>
  </w:num>
  <w:num w:numId="3" w16cid:durableId="1225485665">
    <w:abstractNumId w:val="13"/>
  </w:num>
  <w:num w:numId="4" w16cid:durableId="1196041999">
    <w:abstractNumId w:val="24"/>
  </w:num>
  <w:num w:numId="5" w16cid:durableId="1979336789">
    <w:abstractNumId w:val="16"/>
  </w:num>
  <w:num w:numId="6" w16cid:durableId="1873496096">
    <w:abstractNumId w:val="18"/>
  </w:num>
  <w:num w:numId="7" w16cid:durableId="1057241634">
    <w:abstractNumId w:val="29"/>
  </w:num>
  <w:num w:numId="8" w16cid:durableId="981428330">
    <w:abstractNumId w:val="4"/>
  </w:num>
  <w:num w:numId="9" w16cid:durableId="1364096757">
    <w:abstractNumId w:val="21"/>
  </w:num>
  <w:num w:numId="10" w16cid:durableId="2133358326">
    <w:abstractNumId w:val="30"/>
  </w:num>
  <w:num w:numId="11" w16cid:durableId="1535458066">
    <w:abstractNumId w:val="19"/>
  </w:num>
  <w:num w:numId="12" w16cid:durableId="1439060964">
    <w:abstractNumId w:val="3"/>
  </w:num>
  <w:num w:numId="13" w16cid:durableId="641623284">
    <w:abstractNumId w:val="17"/>
  </w:num>
  <w:num w:numId="14" w16cid:durableId="2013483966">
    <w:abstractNumId w:val="26"/>
  </w:num>
  <w:num w:numId="15" w16cid:durableId="1551259349">
    <w:abstractNumId w:val="22"/>
  </w:num>
  <w:num w:numId="16" w16cid:durableId="863250161">
    <w:abstractNumId w:val="6"/>
  </w:num>
  <w:num w:numId="17" w16cid:durableId="1762800545">
    <w:abstractNumId w:val="25"/>
  </w:num>
  <w:num w:numId="18" w16cid:durableId="1272737133">
    <w:abstractNumId w:val="7"/>
  </w:num>
  <w:num w:numId="19" w16cid:durableId="1020662330">
    <w:abstractNumId w:val="1"/>
  </w:num>
  <w:num w:numId="20" w16cid:durableId="2123331613">
    <w:abstractNumId w:val="11"/>
  </w:num>
  <w:num w:numId="21" w16cid:durableId="253443044">
    <w:abstractNumId w:val="27"/>
  </w:num>
  <w:num w:numId="22" w16cid:durableId="147871205">
    <w:abstractNumId w:val="8"/>
  </w:num>
  <w:num w:numId="23" w16cid:durableId="2085057874">
    <w:abstractNumId w:val="2"/>
  </w:num>
  <w:num w:numId="24" w16cid:durableId="1452629044">
    <w:abstractNumId w:val="14"/>
  </w:num>
  <w:num w:numId="25" w16cid:durableId="114831390">
    <w:abstractNumId w:val="12"/>
  </w:num>
  <w:num w:numId="26" w16cid:durableId="844981100">
    <w:abstractNumId w:val="23"/>
  </w:num>
  <w:num w:numId="27" w16cid:durableId="713700847">
    <w:abstractNumId w:val="20"/>
  </w:num>
  <w:num w:numId="28" w16cid:durableId="1681470281">
    <w:abstractNumId w:val="10"/>
  </w:num>
  <w:num w:numId="29" w16cid:durableId="1235774120">
    <w:abstractNumId w:val="5"/>
  </w:num>
  <w:num w:numId="30" w16cid:durableId="1166480438">
    <w:abstractNumId w:val="9"/>
  </w:num>
  <w:num w:numId="31" w16cid:durableId="144422593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MSRreviewtablesty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DB"/>
    <w:rsid w:val="000002FB"/>
    <w:rsid w:val="00000758"/>
    <w:rsid w:val="00000804"/>
    <w:rsid w:val="000009CE"/>
    <w:rsid w:val="00000C36"/>
    <w:rsid w:val="00000E12"/>
    <w:rsid w:val="00000E6A"/>
    <w:rsid w:val="00000EFB"/>
    <w:rsid w:val="00000F45"/>
    <w:rsid w:val="00001023"/>
    <w:rsid w:val="000010EF"/>
    <w:rsid w:val="000011D8"/>
    <w:rsid w:val="00001267"/>
    <w:rsid w:val="000012D5"/>
    <w:rsid w:val="000017CD"/>
    <w:rsid w:val="00001A1D"/>
    <w:rsid w:val="00001A68"/>
    <w:rsid w:val="00001EA5"/>
    <w:rsid w:val="00001F7D"/>
    <w:rsid w:val="00002190"/>
    <w:rsid w:val="000021E1"/>
    <w:rsid w:val="0000224B"/>
    <w:rsid w:val="000022C5"/>
    <w:rsid w:val="000022F3"/>
    <w:rsid w:val="00002337"/>
    <w:rsid w:val="0000265E"/>
    <w:rsid w:val="000026DF"/>
    <w:rsid w:val="000027C9"/>
    <w:rsid w:val="0000290E"/>
    <w:rsid w:val="000029A4"/>
    <w:rsid w:val="00002BC2"/>
    <w:rsid w:val="00002FFB"/>
    <w:rsid w:val="0000321E"/>
    <w:rsid w:val="000033DC"/>
    <w:rsid w:val="00003478"/>
    <w:rsid w:val="000035CE"/>
    <w:rsid w:val="000036BB"/>
    <w:rsid w:val="000036D5"/>
    <w:rsid w:val="0000372F"/>
    <w:rsid w:val="00003907"/>
    <w:rsid w:val="00003987"/>
    <w:rsid w:val="00003C97"/>
    <w:rsid w:val="000040A0"/>
    <w:rsid w:val="0000445E"/>
    <w:rsid w:val="000044C0"/>
    <w:rsid w:val="00004567"/>
    <w:rsid w:val="0000468F"/>
    <w:rsid w:val="0000470C"/>
    <w:rsid w:val="000048B6"/>
    <w:rsid w:val="000049CD"/>
    <w:rsid w:val="00004B23"/>
    <w:rsid w:val="00004C1E"/>
    <w:rsid w:val="00004E7F"/>
    <w:rsid w:val="00005029"/>
    <w:rsid w:val="00005247"/>
    <w:rsid w:val="0000538F"/>
    <w:rsid w:val="0000578C"/>
    <w:rsid w:val="000057DE"/>
    <w:rsid w:val="00005AB2"/>
    <w:rsid w:val="00005C4D"/>
    <w:rsid w:val="00005D80"/>
    <w:rsid w:val="00005EC1"/>
    <w:rsid w:val="00005F2A"/>
    <w:rsid w:val="00005F5D"/>
    <w:rsid w:val="0000686F"/>
    <w:rsid w:val="00006963"/>
    <w:rsid w:val="00006A01"/>
    <w:rsid w:val="00006B65"/>
    <w:rsid w:val="00006C25"/>
    <w:rsid w:val="00006CE6"/>
    <w:rsid w:val="000070FF"/>
    <w:rsid w:val="000071DC"/>
    <w:rsid w:val="000071F9"/>
    <w:rsid w:val="000073DA"/>
    <w:rsid w:val="00007428"/>
    <w:rsid w:val="00007635"/>
    <w:rsid w:val="0000769D"/>
    <w:rsid w:val="000078A5"/>
    <w:rsid w:val="00007BFC"/>
    <w:rsid w:val="00007E1F"/>
    <w:rsid w:val="00007F39"/>
    <w:rsid w:val="000101B0"/>
    <w:rsid w:val="000101EA"/>
    <w:rsid w:val="000102A2"/>
    <w:rsid w:val="000102E0"/>
    <w:rsid w:val="00010395"/>
    <w:rsid w:val="00010690"/>
    <w:rsid w:val="000106D2"/>
    <w:rsid w:val="0001079D"/>
    <w:rsid w:val="000107C9"/>
    <w:rsid w:val="00010900"/>
    <w:rsid w:val="000109F2"/>
    <w:rsid w:val="00010EA8"/>
    <w:rsid w:val="0001117F"/>
    <w:rsid w:val="000112AA"/>
    <w:rsid w:val="00011344"/>
    <w:rsid w:val="00011352"/>
    <w:rsid w:val="000114A6"/>
    <w:rsid w:val="000116A9"/>
    <w:rsid w:val="000117EF"/>
    <w:rsid w:val="00011A7F"/>
    <w:rsid w:val="00011A8A"/>
    <w:rsid w:val="00011B23"/>
    <w:rsid w:val="00011B50"/>
    <w:rsid w:val="00011BE9"/>
    <w:rsid w:val="00011DFA"/>
    <w:rsid w:val="00011EB4"/>
    <w:rsid w:val="00011ED4"/>
    <w:rsid w:val="00011EDC"/>
    <w:rsid w:val="00011F65"/>
    <w:rsid w:val="00011FE0"/>
    <w:rsid w:val="0001218B"/>
    <w:rsid w:val="00012241"/>
    <w:rsid w:val="000122B1"/>
    <w:rsid w:val="00012832"/>
    <w:rsid w:val="0001292A"/>
    <w:rsid w:val="00012C09"/>
    <w:rsid w:val="00012E02"/>
    <w:rsid w:val="00013022"/>
    <w:rsid w:val="000133C1"/>
    <w:rsid w:val="0001378F"/>
    <w:rsid w:val="0001398A"/>
    <w:rsid w:val="000139F4"/>
    <w:rsid w:val="00013D5C"/>
    <w:rsid w:val="00013DAB"/>
    <w:rsid w:val="00014132"/>
    <w:rsid w:val="00014271"/>
    <w:rsid w:val="00014336"/>
    <w:rsid w:val="00014620"/>
    <w:rsid w:val="00014B26"/>
    <w:rsid w:val="00014B99"/>
    <w:rsid w:val="00014E52"/>
    <w:rsid w:val="00014E9C"/>
    <w:rsid w:val="00014F66"/>
    <w:rsid w:val="0001503F"/>
    <w:rsid w:val="0001539F"/>
    <w:rsid w:val="000153E9"/>
    <w:rsid w:val="0001544A"/>
    <w:rsid w:val="0001545F"/>
    <w:rsid w:val="0001562C"/>
    <w:rsid w:val="000156C0"/>
    <w:rsid w:val="000158D2"/>
    <w:rsid w:val="000159EB"/>
    <w:rsid w:val="00015A25"/>
    <w:rsid w:val="00015B10"/>
    <w:rsid w:val="00015CEE"/>
    <w:rsid w:val="00015E97"/>
    <w:rsid w:val="00015EF6"/>
    <w:rsid w:val="00015F51"/>
    <w:rsid w:val="00016251"/>
    <w:rsid w:val="000165A3"/>
    <w:rsid w:val="000165EB"/>
    <w:rsid w:val="0001663B"/>
    <w:rsid w:val="00016648"/>
    <w:rsid w:val="0001665F"/>
    <w:rsid w:val="000167B7"/>
    <w:rsid w:val="000169E3"/>
    <w:rsid w:val="00016A23"/>
    <w:rsid w:val="00016AB1"/>
    <w:rsid w:val="00016C0A"/>
    <w:rsid w:val="00016C1E"/>
    <w:rsid w:val="00016CBB"/>
    <w:rsid w:val="00016F03"/>
    <w:rsid w:val="00016FD5"/>
    <w:rsid w:val="00017000"/>
    <w:rsid w:val="00017068"/>
    <w:rsid w:val="00017444"/>
    <w:rsid w:val="00017549"/>
    <w:rsid w:val="00017553"/>
    <w:rsid w:val="000179C8"/>
    <w:rsid w:val="00017BBA"/>
    <w:rsid w:val="00017D90"/>
    <w:rsid w:val="00017EE0"/>
    <w:rsid w:val="00017F18"/>
    <w:rsid w:val="00020013"/>
    <w:rsid w:val="0002001F"/>
    <w:rsid w:val="000200ED"/>
    <w:rsid w:val="000201C6"/>
    <w:rsid w:val="000203E0"/>
    <w:rsid w:val="00020717"/>
    <w:rsid w:val="000208B9"/>
    <w:rsid w:val="000209A3"/>
    <w:rsid w:val="00020ADA"/>
    <w:rsid w:val="00020B5C"/>
    <w:rsid w:val="00020B9E"/>
    <w:rsid w:val="00020C46"/>
    <w:rsid w:val="00020C55"/>
    <w:rsid w:val="00020FFE"/>
    <w:rsid w:val="000210A2"/>
    <w:rsid w:val="000210A8"/>
    <w:rsid w:val="00021367"/>
    <w:rsid w:val="000216EF"/>
    <w:rsid w:val="0002186E"/>
    <w:rsid w:val="00021A85"/>
    <w:rsid w:val="00021A89"/>
    <w:rsid w:val="00021DBA"/>
    <w:rsid w:val="00021F0C"/>
    <w:rsid w:val="00022077"/>
    <w:rsid w:val="00022219"/>
    <w:rsid w:val="0002234B"/>
    <w:rsid w:val="000228CE"/>
    <w:rsid w:val="00022A70"/>
    <w:rsid w:val="00022C53"/>
    <w:rsid w:val="00022FEA"/>
    <w:rsid w:val="0002309F"/>
    <w:rsid w:val="00023137"/>
    <w:rsid w:val="00023249"/>
    <w:rsid w:val="00023312"/>
    <w:rsid w:val="000234E8"/>
    <w:rsid w:val="000236DC"/>
    <w:rsid w:val="000237E6"/>
    <w:rsid w:val="0002398C"/>
    <w:rsid w:val="00023A98"/>
    <w:rsid w:val="00023DB5"/>
    <w:rsid w:val="00023ED1"/>
    <w:rsid w:val="00023F7A"/>
    <w:rsid w:val="0002403C"/>
    <w:rsid w:val="00024045"/>
    <w:rsid w:val="0002408B"/>
    <w:rsid w:val="0002418D"/>
    <w:rsid w:val="00024250"/>
    <w:rsid w:val="000244A5"/>
    <w:rsid w:val="0002463E"/>
    <w:rsid w:val="00024867"/>
    <w:rsid w:val="00024873"/>
    <w:rsid w:val="00024974"/>
    <w:rsid w:val="000249EC"/>
    <w:rsid w:val="00024A88"/>
    <w:rsid w:val="00024B06"/>
    <w:rsid w:val="00024DC0"/>
    <w:rsid w:val="00024DF6"/>
    <w:rsid w:val="00025087"/>
    <w:rsid w:val="00025300"/>
    <w:rsid w:val="00025363"/>
    <w:rsid w:val="00025382"/>
    <w:rsid w:val="00025835"/>
    <w:rsid w:val="00025861"/>
    <w:rsid w:val="00025907"/>
    <w:rsid w:val="00025914"/>
    <w:rsid w:val="00025A77"/>
    <w:rsid w:val="00025AB6"/>
    <w:rsid w:val="00025BFA"/>
    <w:rsid w:val="00025E99"/>
    <w:rsid w:val="00025EF2"/>
    <w:rsid w:val="00025F2F"/>
    <w:rsid w:val="0002624A"/>
    <w:rsid w:val="000264DA"/>
    <w:rsid w:val="000266E8"/>
    <w:rsid w:val="00026736"/>
    <w:rsid w:val="00026B51"/>
    <w:rsid w:val="00026B61"/>
    <w:rsid w:val="00026DA5"/>
    <w:rsid w:val="00026E53"/>
    <w:rsid w:val="00027098"/>
    <w:rsid w:val="00027129"/>
    <w:rsid w:val="00027249"/>
    <w:rsid w:val="000273DB"/>
    <w:rsid w:val="00027475"/>
    <w:rsid w:val="000274B1"/>
    <w:rsid w:val="00027507"/>
    <w:rsid w:val="000276B3"/>
    <w:rsid w:val="00027773"/>
    <w:rsid w:val="000277C3"/>
    <w:rsid w:val="0002798F"/>
    <w:rsid w:val="00027C01"/>
    <w:rsid w:val="00027CBE"/>
    <w:rsid w:val="00027E39"/>
    <w:rsid w:val="00027F93"/>
    <w:rsid w:val="00030188"/>
    <w:rsid w:val="00030454"/>
    <w:rsid w:val="0003054D"/>
    <w:rsid w:val="00030630"/>
    <w:rsid w:val="000306CA"/>
    <w:rsid w:val="0003082B"/>
    <w:rsid w:val="0003093C"/>
    <w:rsid w:val="00030AD1"/>
    <w:rsid w:val="00030BB4"/>
    <w:rsid w:val="00030D66"/>
    <w:rsid w:val="00030E6A"/>
    <w:rsid w:val="000310D3"/>
    <w:rsid w:val="0003112F"/>
    <w:rsid w:val="000316F3"/>
    <w:rsid w:val="00031976"/>
    <w:rsid w:val="00031978"/>
    <w:rsid w:val="00031BFB"/>
    <w:rsid w:val="00031C8D"/>
    <w:rsid w:val="00031F55"/>
    <w:rsid w:val="000321EF"/>
    <w:rsid w:val="00032538"/>
    <w:rsid w:val="00032604"/>
    <w:rsid w:val="00032942"/>
    <w:rsid w:val="00032FB3"/>
    <w:rsid w:val="000330A7"/>
    <w:rsid w:val="0003333B"/>
    <w:rsid w:val="0003346C"/>
    <w:rsid w:val="00033722"/>
    <w:rsid w:val="0003383C"/>
    <w:rsid w:val="00033AC7"/>
    <w:rsid w:val="00033BC9"/>
    <w:rsid w:val="00033C7F"/>
    <w:rsid w:val="00033CB1"/>
    <w:rsid w:val="00033F2B"/>
    <w:rsid w:val="000342AC"/>
    <w:rsid w:val="000342F7"/>
    <w:rsid w:val="000343F1"/>
    <w:rsid w:val="000343FA"/>
    <w:rsid w:val="0003440F"/>
    <w:rsid w:val="00034864"/>
    <w:rsid w:val="000348EE"/>
    <w:rsid w:val="00034979"/>
    <w:rsid w:val="00034A13"/>
    <w:rsid w:val="00034A8D"/>
    <w:rsid w:val="00034DB4"/>
    <w:rsid w:val="00034EFD"/>
    <w:rsid w:val="0003520F"/>
    <w:rsid w:val="00035217"/>
    <w:rsid w:val="00035675"/>
    <w:rsid w:val="00035D7D"/>
    <w:rsid w:val="00035DCE"/>
    <w:rsid w:val="00035EE0"/>
    <w:rsid w:val="00035FAD"/>
    <w:rsid w:val="00036211"/>
    <w:rsid w:val="0003623C"/>
    <w:rsid w:val="00036265"/>
    <w:rsid w:val="000363CE"/>
    <w:rsid w:val="0003644E"/>
    <w:rsid w:val="000364D9"/>
    <w:rsid w:val="0003653D"/>
    <w:rsid w:val="00036637"/>
    <w:rsid w:val="00036644"/>
    <w:rsid w:val="0003679D"/>
    <w:rsid w:val="00036848"/>
    <w:rsid w:val="0003691B"/>
    <w:rsid w:val="00036942"/>
    <w:rsid w:val="00036CDC"/>
    <w:rsid w:val="00036E43"/>
    <w:rsid w:val="00036ECF"/>
    <w:rsid w:val="00036EE1"/>
    <w:rsid w:val="00036FFB"/>
    <w:rsid w:val="000370DB"/>
    <w:rsid w:val="00037211"/>
    <w:rsid w:val="0003722C"/>
    <w:rsid w:val="0003724F"/>
    <w:rsid w:val="00037632"/>
    <w:rsid w:val="00037689"/>
    <w:rsid w:val="000377E2"/>
    <w:rsid w:val="000377E3"/>
    <w:rsid w:val="000378E8"/>
    <w:rsid w:val="0003795B"/>
    <w:rsid w:val="000379F6"/>
    <w:rsid w:val="00037AE2"/>
    <w:rsid w:val="00037B42"/>
    <w:rsid w:val="00037D2C"/>
    <w:rsid w:val="00037E2F"/>
    <w:rsid w:val="00037EC6"/>
    <w:rsid w:val="00037FA2"/>
    <w:rsid w:val="00037FE6"/>
    <w:rsid w:val="00040009"/>
    <w:rsid w:val="00040019"/>
    <w:rsid w:val="000404E1"/>
    <w:rsid w:val="000408CE"/>
    <w:rsid w:val="000409C2"/>
    <w:rsid w:val="00040A86"/>
    <w:rsid w:val="00040B07"/>
    <w:rsid w:val="00040BD4"/>
    <w:rsid w:val="00040D36"/>
    <w:rsid w:val="00040E49"/>
    <w:rsid w:val="00040E88"/>
    <w:rsid w:val="00040EF8"/>
    <w:rsid w:val="00041161"/>
    <w:rsid w:val="000411EC"/>
    <w:rsid w:val="000412E2"/>
    <w:rsid w:val="00041311"/>
    <w:rsid w:val="0004139F"/>
    <w:rsid w:val="000413C2"/>
    <w:rsid w:val="00041490"/>
    <w:rsid w:val="00041518"/>
    <w:rsid w:val="00041658"/>
    <w:rsid w:val="00041B3D"/>
    <w:rsid w:val="00041B63"/>
    <w:rsid w:val="00041C91"/>
    <w:rsid w:val="00041D63"/>
    <w:rsid w:val="0004202C"/>
    <w:rsid w:val="0004208B"/>
    <w:rsid w:val="000420F4"/>
    <w:rsid w:val="000422E6"/>
    <w:rsid w:val="000423DF"/>
    <w:rsid w:val="000423FD"/>
    <w:rsid w:val="000424FF"/>
    <w:rsid w:val="000425FF"/>
    <w:rsid w:val="000426AA"/>
    <w:rsid w:val="00042716"/>
    <w:rsid w:val="00042AB5"/>
    <w:rsid w:val="00042B7C"/>
    <w:rsid w:val="000430C6"/>
    <w:rsid w:val="00043165"/>
    <w:rsid w:val="000431C7"/>
    <w:rsid w:val="00043211"/>
    <w:rsid w:val="0004380C"/>
    <w:rsid w:val="000438B8"/>
    <w:rsid w:val="0004394F"/>
    <w:rsid w:val="00043C4C"/>
    <w:rsid w:val="00043C78"/>
    <w:rsid w:val="00043C97"/>
    <w:rsid w:val="00043DDC"/>
    <w:rsid w:val="00043F0E"/>
    <w:rsid w:val="00044122"/>
    <w:rsid w:val="000442CC"/>
    <w:rsid w:val="000443FF"/>
    <w:rsid w:val="000445DB"/>
    <w:rsid w:val="000448AA"/>
    <w:rsid w:val="000448BB"/>
    <w:rsid w:val="000448EC"/>
    <w:rsid w:val="00044919"/>
    <w:rsid w:val="00044B98"/>
    <w:rsid w:val="00044D41"/>
    <w:rsid w:val="00044FF3"/>
    <w:rsid w:val="000450CC"/>
    <w:rsid w:val="000451CA"/>
    <w:rsid w:val="00045373"/>
    <w:rsid w:val="00045447"/>
    <w:rsid w:val="000455C8"/>
    <w:rsid w:val="000456CB"/>
    <w:rsid w:val="00045853"/>
    <w:rsid w:val="00045AA3"/>
    <w:rsid w:val="00046089"/>
    <w:rsid w:val="00046272"/>
    <w:rsid w:val="00046373"/>
    <w:rsid w:val="00046512"/>
    <w:rsid w:val="00046692"/>
    <w:rsid w:val="0004691F"/>
    <w:rsid w:val="00046CED"/>
    <w:rsid w:val="00046DB6"/>
    <w:rsid w:val="0004702F"/>
    <w:rsid w:val="00047416"/>
    <w:rsid w:val="00047447"/>
    <w:rsid w:val="0004761F"/>
    <w:rsid w:val="00047ABB"/>
    <w:rsid w:val="00047AE3"/>
    <w:rsid w:val="00047B5E"/>
    <w:rsid w:val="00047B71"/>
    <w:rsid w:val="00047BA3"/>
    <w:rsid w:val="00050002"/>
    <w:rsid w:val="000501E0"/>
    <w:rsid w:val="00050362"/>
    <w:rsid w:val="000504F0"/>
    <w:rsid w:val="0005051E"/>
    <w:rsid w:val="0005086C"/>
    <w:rsid w:val="000508E6"/>
    <w:rsid w:val="00050D12"/>
    <w:rsid w:val="00050E26"/>
    <w:rsid w:val="000512EB"/>
    <w:rsid w:val="00051445"/>
    <w:rsid w:val="000516C8"/>
    <w:rsid w:val="00051766"/>
    <w:rsid w:val="000517FA"/>
    <w:rsid w:val="00051984"/>
    <w:rsid w:val="000519EC"/>
    <w:rsid w:val="00051AE8"/>
    <w:rsid w:val="00051DDB"/>
    <w:rsid w:val="00051F84"/>
    <w:rsid w:val="00052140"/>
    <w:rsid w:val="00052149"/>
    <w:rsid w:val="00052183"/>
    <w:rsid w:val="0005221C"/>
    <w:rsid w:val="0005262E"/>
    <w:rsid w:val="0005283F"/>
    <w:rsid w:val="00052908"/>
    <w:rsid w:val="00052957"/>
    <w:rsid w:val="0005296D"/>
    <w:rsid w:val="00052B4C"/>
    <w:rsid w:val="00052C29"/>
    <w:rsid w:val="0005335C"/>
    <w:rsid w:val="00053425"/>
    <w:rsid w:val="0005350B"/>
    <w:rsid w:val="00053590"/>
    <w:rsid w:val="00053675"/>
    <w:rsid w:val="0005392E"/>
    <w:rsid w:val="00053993"/>
    <w:rsid w:val="00053BF1"/>
    <w:rsid w:val="00053C25"/>
    <w:rsid w:val="00053CD4"/>
    <w:rsid w:val="00053D80"/>
    <w:rsid w:val="00053E74"/>
    <w:rsid w:val="00054238"/>
    <w:rsid w:val="00054289"/>
    <w:rsid w:val="0005479F"/>
    <w:rsid w:val="00054958"/>
    <w:rsid w:val="0005495D"/>
    <w:rsid w:val="00054B01"/>
    <w:rsid w:val="00054CC7"/>
    <w:rsid w:val="00054DA2"/>
    <w:rsid w:val="00054DB3"/>
    <w:rsid w:val="00055000"/>
    <w:rsid w:val="00055024"/>
    <w:rsid w:val="00055129"/>
    <w:rsid w:val="00055166"/>
    <w:rsid w:val="0005538B"/>
    <w:rsid w:val="0005542E"/>
    <w:rsid w:val="0005550C"/>
    <w:rsid w:val="00055612"/>
    <w:rsid w:val="0005588E"/>
    <w:rsid w:val="00055B05"/>
    <w:rsid w:val="00055D5F"/>
    <w:rsid w:val="00055FE1"/>
    <w:rsid w:val="00056060"/>
    <w:rsid w:val="0005614F"/>
    <w:rsid w:val="00056310"/>
    <w:rsid w:val="000563F7"/>
    <w:rsid w:val="00056473"/>
    <w:rsid w:val="000568C3"/>
    <w:rsid w:val="000568ED"/>
    <w:rsid w:val="00056922"/>
    <w:rsid w:val="00056A2F"/>
    <w:rsid w:val="00056D77"/>
    <w:rsid w:val="00056E87"/>
    <w:rsid w:val="000571F9"/>
    <w:rsid w:val="000573DF"/>
    <w:rsid w:val="000575DF"/>
    <w:rsid w:val="0005764E"/>
    <w:rsid w:val="000578D9"/>
    <w:rsid w:val="000579B6"/>
    <w:rsid w:val="00057D6E"/>
    <w:rsid w:val="00057D73"/>
    <w:rsid w:val="00057EB6"/>
    <w:rsid w:val="00057F36"/>
    <w:rsid w:val="00060154"/>
    <w:rsid w:val="0006029F"/>
    <w:rsid w:val="0006043F"/>
    <w:rsid w:val="000606BB"/>
    <w:rsid w:val="000608FA"/>
    <w:rsid w:val="000609DB"/>
    <w:rsid w:val="00060BC2"/>
    <w:rsid w:val="00060BFF"/>
    <w:rsid w:val="00060D43"/>
    <w:rsid w:val="00060DE7"/>
    <w:rsid w:val="00061079"/>
    <w:rsid w:val="000610A0"/>
    <w:rsid w:val="0006120B"/>
    <w:rsid w:val="00061220"/>
    <w:rsid w:val="000612F9"/>
    <w:rsid w:val="0006136C"/>
    <w:rsid w:val="000614F1"/>
    <w:rsid w:val="0006161C"/>
    <w:rsid w:val="00061719"/>
    <w:rsid w:val="000619E2"/>
    <w:rsid w:val="00061BB5"/>
    <w:rsid w:val="00061BF1"/>
    <w:rsid w:val="00061C65"/>
    <w:rsid w:val="00061C8F"/>
    <w:rsid w:val="00061D12"/>
    <w:rsid w:val="00061E03"/>
    <w:rsid w:val="00061EAE"/>
    <w:rsid w:val="00061FD3"/>
    <w:rsid w:val="000624F7"/>
    <w:rsid w:val="000627DE"/>
    <w:rsid w:val="00062976"/>
    <w:rsid w:val="00062BB7"/>
    <w:rsid w:val="00062C6D"/>
    <w:rsid w:val="00062CFB"/>
    <w:rsid w:val="00062F0A"/>
    <w:rsid w:val="00062FBA"/>
    <w:rsid w:val="0006306A"/>
    <w:rsid w:val="00063190"/>
    <w:rsid w:val="000636BC"/>
    <w:rsid w:val="00063741"/>
    <w:rsid w:val="000637FF"/>
    <w:rsid w:val="000638D7"/>
    <w:rsid w:val="00063937"/>
    <w:rsid w:val="0006396B"/>
    <w:rsid w:val="000639FA"/>
    <w:rsid w:val="00063B6C"/>
    <w:rsid w:val="00063E35"/>
    <w:rsid w:val="00063E7A"/>
    <w:rsid w:val="00063F0C"/>
    <w:rsid w:val="000640AC"/>
    <w:rsid w:val="00064112"/>
    <w:rsid w:val="00064244"/>
    <w:rsid w:val="0006430B"/>
    <w:rsid w:val="000644AE"/>
    <w:rsid w:val="00064604"/>
    <w:rsid w:val="000646F8"/>
    <w:rsid w:val="0006475B"/>
    <w:rsid w:val="0006479E"/>
    <w:rsid w:val="00064902"/>
    <w:rsid w:val="0006493C"/>
    <w:rsid w:val="00064A51"/>
    <w:rsid w:val="00064A59"/>
    <w:rsid w:val="00064AF0"/>
    <w:rsid w:val="00064D31"/>
    <w:rsid w:val="00064F63"/>
    <w:rsid w:val="00065233"/>
    <w:rsid w:val="00065257"/>
    <w:rsid w:val="000652DC"/>
    <w:rsid w:val="00065582"/>
    <w:rsid w:val="00065748"/>
    <w:rsid w:val="0006580A"/>
    <w:rsid w:val="000658A9"/>
    <w:rsid w:val="000659A2"/>
    <w:rsid w:val="000659EF"/>
    <w:rsid w:val="00065AC3"/>
    <w:rsid w:val="00065B53"/>
    <w:rsid w:val="00065BC2"/>
    <w:rsid w:val="00065D4C"/>
    <w:rsid w:val="00065E0D"/>
    <w:rsid w:val="00065E1F"/>
    <w:rsid w:val="00065E23"/>
    <w:rsid w:val="00065FA9"/>
    <w:rsid w:val="00066172"/>
    <w:rsid w:val="00066461"/>
    <w:rsid w:val="0006679B"/>
    <w:rsid w:val="000669A6"/>
    <w:rsid w:val="00066B10"/>
    <w:rsid w:val="00066C42"/>
    <w:rsid w:val="00066D88"/>
    <w:rsid w:val="000670AA"/>
    <w:rsid w:val="000670BE"/>
    <w:rsid w:val="000672EA"/>
    <w:rsid w:val="00067346"/>
    <w:rsid w:val="00067530"/>
    <w:rsid w:val="00067556"/>
    <w:rsid w:val="00067564"/>
    <w:rsid w:val="0006758F"/>
    <w:rsid w:val="0006764D"/>
    <w:rsid w:val="0006774D"/>
    <w:rsid w:val="000677B6"/>
    <w:rsid w:val="000677DF"/>
    <w:rsid w:val="0006783C"/>
    <w:rsid w:val="00067864"/>
    <w:rsid w:val="00067EC4"/>
    <w:rsid w:val="00067FAB"/>
    <w:rsid w:val="0007002F"/>
    <w:rsid w:val="00070075"/>
    <w:rsid w:val="00070456"/>
    <w:rsid w:val="00070795"/>
    <w:rsid w:val="00070CCC"/>
    <w:rsid w:val="00070E33"/>
    <w:rsid w:val="00070F3E"/>
    <w:rsid w:val="00070FB9"/>
    <w:rsid w:val="00070FDC"/>
    <w:rsid w:val="0007121C"/>
    <w:rsid w:val="00071564"/>
    <w:rsid w:val="00071678"/>
    <w:rsid w:val="000717AD"/>
    <w:rsid w:val="000719F3"/>
    <w:rsid w:val="00071B41"/>
    <w:rsid w:val="00071C2E"/>
    <w:rsid w:val="00071D10"/>
    <w:rsid w:val="0007215D"/>
    <w:rsid w:val="00072180"/>
    <w:rsid w:val="00072724"/>
    <w:rsid w:val="000727C4"/>
    <w:rsid w:val="000728DC"/>
    <w:rsid w:val="00072904"/>
    <w:rsid w:val="000729B0"/>
    <w:rsid w:val="00072AA0"/>
    <w:rsid w:val="00072C9F"/>
    <w:rsid w:val="00072CC6"/>
    <w:rsid w:val="00072E95"/>
    <w:rsid w:val="000730DB"/>
    <w:rsid w:val="0007330F"/>
    <w:rsid w:val="0007332A"/>
    <w:rsid w:val="00073361"/>
    <w:rsid w:val="00073826"/>
    <w:rsid w:val="0007393A"/>
    <w:rsid w:val="00073AFC"/>
    <w:rsid w:val="00073D0E"/>
    <w:rsid w:val="00073F29"/>
    <w:rsid w:val="00074125"/>
    <w:rsid w:val="0007421B"/>
    <w:rsid w:val="000742C2"/>
    <w:rsid w:val="000742FE"/>
    <w:rsid w:val="00074389"/>
    <w:rsid w:val="000745E8"/>
    <w:rsid w:val="000746C0"/>
    <w:rsid w:val="000746D8"/>
    <w:rsid w:val="000747C7"/>
    <w:rsid w:val="00074DB8"/>
    <w:rsid w:val="00074DDE"/>
    <w:rsid w:val="00074EB8"/>
    <w:rsid w:val="00074F15"/>
    <w:rsid w:val="00074F28"/>
    <w:rsid w:val="00075465"/>
    <w:rsid w:val="000754A9"/>
    <w:rsid w:val="000755F3"/>
    <w:rsid w:val="00075985"/>
    <w:rsid w:val="000759DE"/>
    <w:rsid w:val="00075A00"/>
    <w:rsid w:val="00075A58"/>
    <w:rsid w:val="00075B0D"/>
    <w:rsid w:val="00075F1D"/>
    <w:rsid w:val="00075F9B"/>
    <w:rsid w:val="0007607E"/>
    <w:rsid w:val="000761DD"/>
    <w:rsid w:val="00076426"/>
    <w:rsid w:val="000766A1"/>
    <w:rsid w:val="000767E6"/>
    <w:rsid w:val="00076863"/>
    <w:rsid w:val="00076A51"/>
    <w:rsid w:val="00076C37"/>
    <w:rsid w:val="00077183"/>
    <w:rsid w:val="0007721A"/>
    <w:rsid w:val="00077722"/>
    <w:rsid w:val="00077895"/>
    <w:rsid w:val="00077E5C"/>
    <w:rsid w:val="00080027"/>
    <w:rsid w:val="000800A2"/>
    <w:rsid w:val="000801DE"/>
    <w:rsid w:val="0008042B"/>
    <w:rsid w:val="00080539"/>
    <w:rsid w:val="00080588"/>
    <w:rsid w:val="000805B9"/>
    <w:rsid w:val="0008060A"/>
    <w:rsid w:val="00080871"/>
    <w:rsid w:val="00080989"/>
    <w:rsid w:val="00080BC0"/>
    <w:rsid w:val="00080BE6"/>
    <w:rsid w:val="00080F52"/>
    <w:rsid w:val="000810FE"/>
    <w:rsid w:val="0008117F"/>
    <w:rsid w:val="000811D9"/>
    <w:rsid w:val="0008131C"/>
    <w:rsid w:val="000813DF"/>
    <w:rsid w:val="0008152A"/>
    <w:rsid w:val="00081579"/>
    <w:rsid w:val="00081674"/>
    <w:rsid w:val="0008177F"/>
    <w:rsid w:val="00081922"/>
    <w:rsid w:val="00081C5F"/>
    <w:rsid w:val="00081CFB"/>
    <w:rsid w:val="00081D9B"/>
    <w:rsid w:val="00081D9D"/>
    <w:rsid w:val="00081DB7"/>
    <w:rsid w:val="00081E22"/>
    <w:rsid w:val="00082090"/>
    <w:rsid w:val="000822C1"/>
    <w:rsid w:val="00082307"/>
    <w:rsid w:val="000824CE"/>
    <w:rsid w:val="000825D1"/>
    <w:rsid w:val="000827D6"/>
    <w:rsid w:val="0008290D"/>
    <w:rsid w:val="00082C20"/>
    <w:rsid w:val="00082F13"/>
    <w:rsid w:val="00083106"/>
    <w:rsid w:val="0008312D"/>
    <w:rsid w:val="000833A4"/>
    <w:rsid w:val="000835BB"/>
    <w:rsid w:val="0008372A"/>
    <w:rsid w:val="000839FE"/>
    <w:rsid w:val="00083C64"/>
    <w:rsid w:val="00083C78"/>
    <w:rsid w:val="00084148"/>
    <w:rsid w:val="000843CA"/>
    <w:rsid w:val="000844C5"/>
    <w:rsid w:val="00084643"/>
    <w:rsid w:val="000849F6"/>
    <w:rsid w:val="00084B6E"/>
    <w:rsid w:val="00084BB3"/>
    <w:rsid w:val="00084E2E"/>
    <w:rsid w:val="00085176"/>
    <w:rsid w:val="000852ED"/>
    <w:rsid w:val="000854A0"/>
    <w:rsid w:val="000854DB"/>
    <w:rsid w:val="000856C3"/>
    <w:rsid w:val="00085BB5"/>
    <w:rsid w:val="00085CC7"/>
    <w:rsid w:val="00085D6A"/>
    <w:rsid w:val="00085F4F"/>
    <w:rsid w:val="00085FC2"/>
    <w:rsid w:val="0008601D"/>
    <w:rsid w:val="00086456"/>
    <w:rsid w:val="0008649C"/>
    <w:rsid w:val="000865E3"/>
    <w:rsid w:val="0008664E"/>
    <w:rsid w:val="0008667C"/>
    <w:rsid w:val="0008669F"/>
    <w:rsid w:val="000866AD"/>
    <w:rsid w:val="00086C63"/>
    <w:rsid w:val="00086C96"/>
    <w:rsid w:val="00086CF3"/>
    <w:rsid w:val="00086E11"/>
    <w:rsid w:val="00086F05"/>
    <w:rsid w:val="00086F28"/>
    <w:rsid w:val="0008707B"/>
    <w:rsid w:val="000870FD"/>
    <w:rsid w:val="000873AA"/>
    <w:rsid w:val="0008752F"/>
    <w:rsid w:val="00087C44"/>
    <w:rsid w:val="00087D66"/>
    <w:rsid w:val="00087E27"/>
    <w:rsid w:val="00087EEE"/>
    <w:rsid w:val="00090057"/>
    <w:rsid w:val="00090728"/>
    <w:rsid w:val="000908DA"/>
    <w:rsid w:val="00090939"/>
    <w:rsid w:val="00090AA2"/>
    <w:rsid w:val="00090AA3"/>
    <w:rsid w:val="00090B63"/>
    <w:rsid w:val="00090CD3"/>
    <w:rsid w:val="00090D74"/>
    <w:rsid w:val="00090EBE"/>
    <w:rsid w:val="00090F07"/>
    <w:rsid w:val="00090FF9"/>
    <w:rsid w:val="000911A6"/>
    <w:rsid w:val="00091325"/>
    <w:rsid w:val="00091419"/>
    <w:rsid w:val="00091484"/>
    <w:rsid w:val="0009161E"/>
    <w:rsid w:val="0009168F"/>
    <w:rsid w:val="000917C3"/>
    <w:rsid w:val="00091831"/>
    <w:rsid w:val="00091973"/>
    <w:rsid w:val="000919B2"/>
    <w:rsid w:val="00091A22"/>
    <w:rsid w:val="00091BD4"/>
    <w:rsid w:val="00091BF8"/>
    <w:rsid w:val="00091C20"/>
    <w:rsid w:val="00091DA2"/>
    <w:rsid w:val="00091DBC"/>
    <w:rsid w:val="00091E75"/>
    <w:rsid w:val="00091F8C"/>
    <w:rsid w:val="00092147"/>
    <w:rsid w:val="00092360"/>
    <w:rsid w:val="00092483"/>
    <w:rsid w:val="000924F5"/>
    <w:rsid w:val="00092590"/>
    <w:rsid w:val="0009267A"/>
    <w:rsid w:val="000926A7"/>
    <w:rsid w:val="0009280F"/>
    <w:rsid w:val="0009295D"/>
    <w:rsid w:val="0009297E"/>
    <w:rsid w:val="000929B9"/>
    <w:rsid w:val="000929BF"/>
    <w:rsid w:val="00092BD2"/>
    <w:rsid w:val="00092EBD"/>
    <w:rsid w:val="0009307C"/>
    <w:rsid w:val="00093092"/>
    <w:rsid w:val="0009336C"/>
    <w:rsid w:val="000933AB"/>
    <w:rsid w:val="000934C0"/>
    <w:rsid w:val="000934F6"/>
    <w:rsid w:val="00093615"/>
    <w:rsid w:val="00093756"/>
    <w:rsid w:val="00093968"/>
    <w:rsid w:val="00093B72"/>
    <w:rsid w:val="00093D14"/>
    <w:rsid w:val="00093D53"/>
    <w:rsid w:val="00093DF6"/>
    <w:rsid w:val="00093ED1"/>
    <w:rsid w:val="00093F90"/>
    <w:rsid w:val="00094111"/>
    <w:rsid w:val="000941B0"/>
    <w:rsid w:val="0009431C"/>
    <w:rsid w:val="000944DF"/>
    <w:rsid w:val="000946B3"/>
    <w:rsid w:val="00094887"/>
    <w:rsid w:val="00094B7E"/>
    <w:rsid w:val="00094D30"/>
    <w:rsid w:val="00094F07"/>
    <w:rsid w:val="00095109"/>
    <w:rsid w:val="000951EE"/>
    <w:rsid w:val="0009521B"/>
    <w:rsid w:val="000954F6"/>
    <w:rsid w:val="0009556A"/>
    <w:rsid w:val="0009570C"/>
    <w:rsid w:val="000957CB"/>
    <w:rsid w:val="000957EE"/>
    <w:rsid w:val="00095A5C"/>
    <w:rsid w:val="00095C49"/>
    <w:rsid w:val="00095D8D"/>
    <w:rsid w:val="00095DC4"/>
    <w:rsid w:val="00095E23"/>
    <w:rsid w:val="00095F57"/>
    <w:rsid w:val="0009637E"/>
    <w:rsid w:val="000963E8"/>
    <w:rsid w:val="000963FA"/>
    <w:rsid w:val="0009651A"/>
    <w:rsid w:val="0009653D"/>
    <w:rsid w:val="0009659E"/>
    <w:rsid w:val="000967E0"/>
    <w:rsid w:val="0009694B"/>
    <w:rsid w:val="0009698C"/>
    <w:rsid w:val="00096E74"/>
    <w:rsid w:val="00096EB2"/>
    <w:rsid w:val="00096FCC"/>
    <w:rsid w:val="0009728B"/>
    <w:rsid w:val="000972AF"/>
    <w:rsid w:val="0009738D"/>
    <w:rsid w:val="00097563"/>
    <w:rsid w:val="0009761D"/>
    <w:rsid w:val="00097627"/>
    <w:rsid w:val="00097836"/>
    <w:rsid w:val="0009793F"/>
    <w:rsid w:val="00097B7B"/>
    <w:rsid w:val="00097CFB"/>
    <w:rsid w:val="00097D00"/>
    <w:rsid w:val="00097F9C"/>
    <w:rsid w:val="000A011C"/>
    <w:rsid w:val="000A0522"/>
    <w:rsid w:val="000A05D0"/>
    <w:rsid w:val="000A05EA"/>
    <w:rsid w:val="000A065E"/>
    <w:rsid w:val="000A0BA6"/>
    <w:rsid w:val="000A0BE2"/>
    <w:rsid w:val="000A0DC4"/>
    <w:rsid w:val="000A0E0A"/>
    <w:rsid w:val="000A0EA3"/>
    <w:rsid w:val="000A107F"/>
    <w:rsid w:val="000A13DC"/>
    <w:rsid w:val="000A14DF"/>
    <w:rsid w:val="000A161F"/>
    <w:rsid w:val="000A1720"/>
    <w:rsid w:val="000A17D4"/>
    <w:rsid w:val="000A1A7D"/>
    <w:rsid w:val="000A1AC8"/>
    <w:rsid w:val="000A1CA1"/>
    <w:rsid w:val="000A1D77"/>
    <w:rsid w:val="000A1F1F"/>
    <w:rsid w:val="000A21C9"/>
    <w:rsid w:val="000A256F"/>
    <w:rsid w:val="000A2655"/>
    <w:rsid w:val="000A2675"/>
    <w:rsid w:val="000A272C"/>
    <w:rsid w:val="000A27C4"/>
    <w:rsid w:val="000A28CE"/>
    <w:rsid w:val="000A2908"/>
    <w:rsid w:val="000A299A"/>
    <w:rsid w:val="000A29FF"/>
    <w:rsid w:val="000A2AD7"/>
    <w:rsid w:val="000A2C93"/>
    <w:rsid w:val="000A2D4D"/>
    <w:rsid w:val="000A2F3D"/>
    <w:rsid w:val="000A30E2"/>
    <w:rsid w:val="000A3137"/>
    <w:rsid w:val="000A317F"/>
    <w:rsid w:val="000A31D7"/>
    <w:rsid w:val="000A32C5"/>
    <w:rsid w:val="000A3593"/>
    <w:rsid w:val="000A3689"/>
    <w:rsid w:val="000A388A"/>
    <w:rsid w:val="000A38AD"/>
    <w:rsid w:val="000A3902"/>
    <w:rsid w:val="000A3AD5"/>
    <w:rsid w:val="000A3C98"/>
    <w:rsid w:val="000A3E6F"/>
    <w:rsid w:val="000A3EC4"/>
    <w:rsid w:val="000A3F21"/>
    <w:rsid w:val="000A40B2"/>
    <w:rsid w:val="000A4135"/>
    <w:rsid w:val="000A4153"/>
    <w:rsid w:val="000A4472"/>
    <w:rsid w:val="000A4704"/>
    <w:rsid w:val="000A487B"/>
    <w:rsid w:val="000A49E9"/>
    <w:rsid w:val="000A4C26"/>
    <w:rsid w:val="000A4CDB"/>
    <w:rsid w:val="000A4D78"/>
    <w:rsid w:val="000A4DB1"/>
    <w:rsid w:val="000A4EEB"/>
    <w:rsid w:val="000A51B9"/>
    <w:rsid w:val="000A5242"/>
    <w:rsid w:val="000A527E"/>
    <w:rsid w:val="000A55D2"/>
    <w:rsid w:val="000A5638"/>
    <w:rsid w:val="000A578B"/>
    <w:rsid w:val="000A57F9"/>
    <w:rsid w:val="000A584E"/>
    <w:rsid w:val="000A58DC"/>
    <w:rsid w:val="000A597C"/>
    <w:rsid w:val="000A5A1B"/>
    <w:rsid w:val="000A5BE9"/>
    <w:rsid w:val="000A5BED"/>
    <w:rsid w:val="000A610D"/>
    <w:rsid w:val="000A61CC"/>
    <w:rsid w:val="000A6492"/>
    <w:rsid w:val="000A65CB"/>
    <w:rsid w:val="000A662C"/>
    <w:rsid w:val="000A69BA"/>
    <w:rsid w:val="000A69E0"/>
    <w:rsid w:val="000A6B2F"/>
    <w:rsid w:val="000A6BF4"/>
    <w:rsid w:val="000A6C06"/>
    <w:rsid w:val="000A6C09"/>
    <w:rsid w:val="000A6CAD"/>
    <w:rsid w:val="000A6E95"/>
    <w:rsid w:val="000A7034"/>
    <w:rsid w:val="000A7090"/>
    <w:rsid w:val="000A7173"/>
    <w:rsid w:val="000A71F0"/>
    <w:rsid w:val="000A7205"/>
    <w:rsid w:val="000A728F"/>
    <w:rsid w:val="000A7440"/>
    <w:rsid w:val="000A745A"/>
    <w:rsid w:val="000A75FA"/>
    <w:rsid w:val="000A7684"/>
    <w:rsid w:val="000A7744"/>
    <w:rsid w:val="000A78D1"/>
    <w:rsid w:val="000A7921"/>
    <w:rsid w:val="000A7A46"/>
    <w:rsid w:val="000A7B85"/>
    <w:rsid w:val="000A7BA7"/>
    <w:rsid w:val="000A7BC9"/>
    <w:rsid w:val="000A7E74"/>
    <w:rsid w:val="000A7F2F"/>
    <w:rsid w:val="000B0321"/>
    <w:rsid w:val="000B0B03"/>
    <w:rsid w:val="000B0C31"/>
    <w:rsid w:val="000B0D27"/>
    <w:rsid w:val="000B0E8E"/>
    <w:rsid w:val="000B0EA9"/>
    <w:rsid w:val="000B0F67"/>
    <w:rsid w:val="000B101E"/>
    <w:rsid w:val="000B11DA"/>
    <w:rsid w:val="000B130B"/>
    <w:rsid w:val="000B13DD"/>
    <w:rsid w:val="000B13FD"/>
    <w:rsid w:val="000B1478"/>
    <w:rsid w:val="000B14DF"/>
    <w:rsid w:val="000B1509"/>
    <w:rsid w:val="000B15F6"/>
    <w:rsid w:val="000B1719"/>
    <w:rsid w:val="000B1736"/>
    <w:rsid w:val="000B18CF"/>
    <w:rsid w:val="000B1ACD"/>
    <w:rsid w:val="000B1ADC"/>
    <w:rsid w:val="000B1CD4"/>
    <w:rsid w:val="000B1D91"/>
    <w:rsid w:val="000B1EDF"/>
    <w:rsid w:val="000B1FF6"/>
    <w:rsid w:val="000B258D"/>
    <w:rsid w:val="000B267D"/>
    <w:rsid w:val="000B26F5"/>
    <w:rsid w:val="000B2873"/>
    <w:rsid w:val="000B2885"/>
    <w:rsid w:val="000B28D3"/>
    <w:rsid w:val="000B28FC"/>
    <w:rsid w:val="000B2974"/>
    <w:rsid w:val="000B2994"/>
    <w:rsid w:val="000B2B10"/>
    <w:rsid w:val="000B2E21"/>
    <w:rsid w:val="000B3549"/>
    <w:rsid w:val="000B357A"/>
    <w:rsid w:val="000B359A"/>
    <w:rsid w:val="000B39C4"/>
    <w:rsid w:val="000B3ABA"/>
    <w:rsid w:val="000B3BBA"/>
    <w:rsid w:val="000B3C8B"/>
    <w:rsid w:val="000B3CC8"/>
    <w:rsid w:val="000B3CD8"/>
    <w:rsid w:val="000B3D8B"/>
    <w:rsid w:val="000B3EB7"/>
    <w:rsid w:val="000B3FA4"/>
    <w:rsid w:val="000B3FED"/>
    <w:rsid w:val="000B4032"/>
    <w:rsid w:val="000B417A"/>
    <w:rsid w:val="000B424B"/>
    <w:rsid w:val="000B42CD"/>
    <w:rsid w:val="000B443E"/>
    <w:rsid w:val="000B453F"/>
    <w:rsid w:val="000B46E1"/>
    <w:rsid w:val="000B4878"/>
    <w:rsid w:val="000B4935"/>
    <w:rsid w:val="000B4967"/>
    <w:rsid w:val="000B4986"/>
    <w:rsid w:val="000B49D1"/>
    <w:rsid w:val="000B4A39"/>
    <w:rsid w:val="000B4B98"/>
    <w:rsid w:val="000B511E"/>
    <w:rsid w:val="000B516E"/>
    <w:rsid w:val="000B519B"/>
    <w:rsid w:val="000B5255"/>
    <w:rsid w:val="000B5441"/>
    <w:rsid w:val="000B5547"/>
    <w:rsid w:val="000B5835"/>
    <w:rsid w:val="000B58FC"/>
    <w:rsid w:val="000B5961"/>
    <w:rsid w:val="000B599F"/>
    <w:rsid w:val="000B5A09"/>
    <w:rsid w:val="000B5AF5"/>
    <w:rsid w:val="000B5B61"/>
    <w:rsid w:val="000B5DE1"/>
    <w:rsid w:val="000B5E25"/>
    <w:rsid w:val="000B5E85"/>
    <w:rsid w:val="000B611B"/>
    <w:rsid w:val="000B623D"/>
    <w:rsid w:val="000B6803"/>
    <w:rsid w:val="000B6B2E"/>
    <w:rsid w:val="000B6B7E"/>
    <w:rsid w:val="000B6BC7"/>
    <w:rsid w:val="000B6BE3"/>
    <w:rsid w:val="000B6D1D"/>
    <w:rsid w:val="000B6E72"/>
    <w:rsid w:val="000B6ECE"/>
    <w:rsid w:val="000B6ED8"/>
    <w:rsid w:val="000B6FE2"/>
    <w:rsid w:val="000B7375"/>
    <w:rsid w:val="000B7719"/>
    <w:rsid w:val="000B7872"/>
    <w:rsid w:val="000B795A"/>
    <w:rsid w:val="000B7CD9"/>
    <w:rsid w:val="000B7CF1"/>
    <w:rsid w:val="000B7D30"/>
    <w:rsid w:val="000B7E9E"/>
    <w:rsid w:val="000B7FEA"/>
    <w:rsid w:val="000C0158"/>
    <w:rsid w:val="000C0210"/>
    <w:rsid w:val="000C0238"/>
    <w:rsid w:val="000C0643"/>
    <w:rsid w:val="000C07D7"/>
    <w:rsid w:val="000C0804"/>
    <w:rsid w:val="000C0988"/>
    <w:rsid w:val="000C0A52"/>
    <w:rsid w:val="000C0BD9"/>
    <w:rsid w:val="000C0C24"/>
    <w:rsid w:val="000C0C5A"/>
    <w:rsid w:val="000C0D40"/>
    <w:rsid w:val="000C0DEC"/>
    <w:rsid w:val="000C1540"/>
    <w:rsid w:val="000C16CF"/>
    <w:rsid w:val="000C16DA"/>
    <w:rsid w:val="000C1852"/>
    <w:rsid w:val="000C1F0F"/>
    <w:rsid w:val="000C25CE"/>
    <w:rsid w:val="000C266D"/>
    <w:rsid w:val="000C27CE"/>
    <w:rsid w:val="000C28AB"/>
    <w:rsid w:val="000C2C92"/>
    <w:rsid w:val="000C2CA4"/>
    <w:rsid w:val="000C2E10"/>
    <w:rsid w:val="000C2FFF"/>
    <w:rsid w:val="000C3130"/>
    <w:rsid w:val="000C3949"/>
    <w:rsid w:val="000C3BD2"/>
    <w:rsid w:val="000C3D6B"/>
    <w:rsid w:val="000C3F44"/>
    <w:rsid w:val="000C4642"/>
    <w:rsid w:val="000C469F"/>
    <w:rsid w:val="000C46BF"/>
    <w:rsid w:val="000C4708"/>
    <w:rsid w:val="000C4736"/>
    <w:rsid w:val="000C47C2"/>
    <w:rsid w:val="000C49EB"/>
    <w:rsid w:val="000C4DAC"/>
    <w:rsid w:val="000C4E4D"/>
    <w:rsid w:val="000C4F25"/>
    <w:rsid w:val="000C5020"/>
    <w:rsid w:val="000C55F2"/>
    <w:rsid w:val="000C569E"/>
    <w:rsid w:val="000C571B"/>
    <w:rsid w:val="000C57AD"/>
    <w:rsid w:val="000C57E5"/>
    <w:rsid w:val="000C5889"/>
    <w:rsid w:val="000C5A43"/>
    <w:rsid w:val="000C5AAF"/>
    <w:rsid w:val="000C5B4C"/>
    <w:rsid w:val="000C5E2A"/>
    <w:rsid w:val="000C5E9C"/>
    <w:rsid w:val="000C6269"/>
    <w:rsid w:val="000C64C5"/>
    <w:rsid w:val="000C6526"/>
    <w:rsid w:val="000C6568"/>
    <w:rsid w:val="000C6648"/>
    <w:rsid w:val="000C664E"/>
    <w:rsid w:val="000C6958"/>
    <w:rsid w:val="000C698E"/>
    <w:rsid w:val="000C6E4E"/>
    <w:rsid w:val="000C7272"/>
    <w:rsid w:val="000C7290"/>
    <w:rsid w:val="000C768A"/>
    <w:rsid w:val="000C7708"/>
    <w:rsid w:val="000C7823"/>
    <w:rsid w:val="000C793D"/>
    <w:rsid w:val="000C7954"/>
    <w:rsid w:val="000C79BF"/>
    <w:rsid w:val="000C7A05"/>
    <w:rsid w:val="000C7A76"/>
    <w:rsid w:val="000C7B1F"/>
    <w:rsid w:val="000C7DB3"/>
    <w:rsid w:val="000D005E"/>
    <w:rsid w:val="000D00B9"/>
    <w:rsid w:val="000D00C2"/>
    <w:rsid w:val="000D028B"/>
    <w:rsid w:val="000D037D"/>
    <w:rsid w:val="000D0719"/>
    <w:rsid w:val="000D0785"/>
    <w:rsid w:val="000D07BD"/>
    <w:rsid w:val="000D0914"/>
    <w:rsid w:val="000D0935"/>
    <w:rsid w:val="000D0959"/>
    <w:rsid w:val="000D09A0"/>
    <w:rsid w:val="000D0BC3"/>
    <w:rsid w:val="000D0C6F"/>
    <w:rsid w:val="000D0FAA"/>
    <w:rsid w:val="000D1028"/>
    <w:rsid w:val="000D102A"/>
    <w:rsid w:val="000D10F7"/>
    <w:rsid w:val="000D1232"/>
    <w:rsid w:val="000D1296"/>
    <w:rsid w:val="000D13BA"/>
    <w:rsid w:val="000D1697"/>
    <w:rsid w:val="000D184B"/>
    <w:rsid w:val="000D18FB"/>
    <w:rsid w:val="000D1AFE"/>
    <w:rsid w:val="000D1C16"/>
    <w:rsid w:val="000D1D3E"/>
    <w:rsid w:val="000D1D5C"/>
    <w:rsid w:val="000D1E04"/>
    <w:rsid w:val="000D1ECA"/>
    <w:rsid w:val="000D1FB7"/>
    <w:rsid w:val="000D1FF1"/>
    <w:rsid w:val="000D2218"/>
    <w:rsid w:val="000D221E"/>
    <w:rsid w:val="000D22D4"/>
    <w:rsid w:val="000D26E5"/>
    <w:rsid w:val="000D274E"/>
    <w:rsid w:val="000D2A85"/>
    <w:rsid w:val="000D2B34"/>
    <w:rsid w:val="000D2BF6"/>
    <w:rsid w:val="000D31AD"/>
    <w:rsid w:val="000D322E"/>
    <w:rsid w:val="000D326D"/>
    <w:rsid w:val="000D352A"/>
    <w:rsid w:val="000D3676"/>
    <w:rsid w:val="000D37DC"/>
    <w:rsid w:val="000D39D9"/>
    <w:rsid w:val="000D3A11"/>
    <w:rsid w:val="000D3B5D"/>
    <w:rsid w:val="000D3B9A"/>
    <w:rsid w:val="000D3C9E"/>
    <w:rsid w:val="000D410A"/>
    <w:rsid w:val="000D41C1"/>
    <w:rsid w:val="000D421B"/>
    <w:rsid w:val="000D4634"/>
    <w:rsid w:val="000D4660"/>
    <w:rsid w:val="000D4799"/>
    <w:rsid w:val="000D481A"/>
    <w:rsid w:val="000D482B"/>
    <w:rsid w:val="000D483C"/>
    <w:rsid w:val="000D4959"/>
    <w:rsid w:val="000D4B8F"/>
    <w:rsid w:val="000D4F63"/>
    <w:rsid w:val="000D5312"/>
    <w:rsid w:val="000D5769"/>
    <w:rsid w:val="000D5B41"/>
    <w:rsid w:val="000D5D92"/>
    <w:rsid w:val="000D5ECF"/>
    <w:rsid w:val="000D6085"/>
    <w:rsid w:val="000D60BA"/>
    <w:rsid w:val="000D60D8"/>
    <w:rsid w:val="000D61E0"/>
    <w:rsid w:val="000D61F1"/>
    <w:rsid w:val="000D62AE"/>
    <w:rsid w:val="000D6388"/>
    <w:rsid w:val="000D63A8"/>
    <w:rsid w:val="000D6411"/>
    <w:rsid w:val="000D64B4"/>
    <w:rsid w:val="000D669D"/>
    <w:rsid w:val="000D685C"/>
    <w:rsid w:val="000D6875"/>
    <w:rsid w:val="000D68BC"/>
    <w:rsid w:val="000D6AB0"/>
    <w:rsid w:val="000D6B19"/>
    <w:rsid w:val="000D6E7D"/>
    <w:rsid w:val="000D70AB"/>
    <w:rsid w:val="000D70ED"/>
    <w:rsid w:val="000D7238"/>
    <w:rsid w:val="000D72D6"/>
    <w:rsid w:val="000D72D9"/>
    <w:rsid w:val="000D7389"/>
    <w:rsid w:val="000D7773"/>
    <w:rsid w:val="000D78BB"/>
    <w:rsid w:val="000D7A5C"/>
    <w:rsid w:val="000D7A80"/>
    <w:rsid w:val="000D7D3E"/>
    <w:rsid w:val="000D7FB7"/>
    <w:rsid w:val="000D7FE8"/>
    <w:rsid w:val="000E00CD"/>
    <w:rsid w:val="000E00CE"/>
    <w:rsid w:val="000E04D6"/>
    <w:rsid w:val="000E052B"/>
    <w:rsid w:val="000E0689"/>
    <w:rsid w:val="000E06A1"/>
    <w:rsid w:val="000E06CF"/>
    <w:rsid w:val="000E0840"/>
    <w:rsid w:val="000E0B63"/>
    <w:rsid w:val="000E0DFC"/>
    <w:rsid w:val="000E0F20"/>
    <w:rsid w:val="000E1122"/>
    <w:rsid w:val="000E12FE"/>
    <w:rsid w:val="000E13F4"/>
    <w:rsid w:val="000E1475"/>
    <w:rsid w:val="000E1681"/>
    <w:rsid w:val="000E186A"/>
    <w:rsid w:val="000E1A13"/>
    <w:rsid w:val="000E1C10"/>
    <w:rsid w:val="000E1FE1"/>
    <w:rsid w:val="000E21B1"/>
    <w:rsid w:val="000E2230"/>
    <w:rsid w:val="000E2278"/>
    <w:rsid w:val="000E233B"/>
    <w:rsid w:val="000E242A"/>
    <w:rsid w:val="000E271D"/>
    <w:rsid w:val="000E2732"/>
    <w:rsid w:val="000E2A33"/>
    <w:rsid w:val="000E2BB8"/>
    <w:rsid w:val="000E2C75"/>
    <w:rsid w:val="000E2CD2"/>
    <w:rsid w:val="000E309C"/>
    <w:rsid w:val="000E3221"/>
    <w:rsid w:val="000E3286"/>
    <w:rsid w:val="000E3498"/>
    <w:rsid w:val="000E3536"/>
    <w:rsid w:val="000E366B"/>
    <w:rsid w:val="000E36CA"/>
    <w:rsid w:val="000E37F3"/>
    <w:rsid w:val="000E3883"/>
    <w:rsid w:val="000E397F"/>
    <w:rsid w:val="000E3B5F"/>
    <w:rsid w:val="000E3B9A"/>
    <w:rsid w:val="000E4125"/>
    <w:rsid w:val="000E4329"/>
    <w:rsid w:val="000E4400"/>
    <w:rsid w:val="000E4484"/>
    <w:rsid w:val="000E450B"/>
    <w:rsid w:val="000E45C6"/>
    <w:rsid w:val="000E4656"/>
    <w:rsid w:val="000E4657"/>
    <w:rsid w:val="000E479B"/>
    <w:rsid w:val="000E47DE"/>
    <w:rsid w:val="000E483C"/>
    <w:rsid w:val="000E4932"/>
    <w:rsid w:val="000E4A68"/>
    <w:rsid w:val="000E4B57"/>
    <w:rsid w:val="000E4CB4"/>
    <w:rsid w:val="000E4DC1"/>
    <w:rsid w:val="000E4ED3"/>
    <w:rsid w:val="000E50E9"/>
    <w:rsid w:val="000E51DF"/>
    <w:rsid w:val="000E5394"/>
    <w:rsid w:val="000E53AD"/>
    <w:rsid w:val="000E569A"/>
    <w:rsid w:val="000E5835"/>
    <w:rsid w:val="000E588A"/>
    <w:rsid w:val="000E5951"/>
    <w:rsid w:val="000E5A9E"/>
    <w:rsid w:val="000E5B29"/>
    <w:rsid w:val="000E5BDB"/>
    <w:rsid w:val="000E5CCA"/>
    <w:rsid w:val="000E5D9E"/>
    <w:rsid w:val="000E6003"/>
    <w:rsid w:val="000E617F"/>
    <w:rsid w:val="000E627B"/>
    <w:rsid w:val="000E6AFE"/>
    <w:rsid w:val="000E6C92"/>
    <w:rsid w:val="000E6D9C"/>
    <w:rsid w:val="000E6E26"/>
    <w:rsid w:val="000E6FBB"/>
    <w:rsid w:val="000E70D5"/>
    <w:rsid w:val="000E71A2"/>
    <w:rsid w:val="000E7412"/>
    <w:rsid w:val="000E7483"/>
    <w:rsid w:val="000E7841"/>
    <w:rsid w:val="000E78FE"/>
    <w:rsid w:val="000E792D"/>
    <w:rsid w:val="000E795B"/>
    <w:rsid w:val="000E7BCC"/>
    <w:rsid w:val="000E7CF5"/>
    <w:rsid w:val="000E7DB1"/>
    <w:rsid w:val="000E7E41"/>
    <w:rsid w:val="000E7F27"/>
    <w:rsid w:val="000E7F58"/>
    <w:rsid w:val="000F0263"/>
    <w:rsid w:val="000F029F"/>
    <w:rsid w:val="000F047E"/>
    <w:rsid w:val="000F04A0"/>
    <w:rsid w:val="000F0579"/>
    <w:rsid w:val="000F0850"/>
    <w:rsid w:val="000F0AA4"/>
    <w:rsid w:val="000F0B43"/>
    <w:rsid w:val="000F0CD2"/>
    <w:rsid w:val="000F133D"/>
    <w:rsid w:val="000F145D"/>
    <w:rsid w:val="000F15C4"/>
    <w:rsid w:val="000F1703"/>
    <w:rsid w:val="000F174D"/>
    <w:rsid w:val="000F1762"/>
    <w:rsid w:val="000F18F7"/>
    <w:rsid w:val="000F1A71"/>
    <w:rsid w:val="000F1A9E"/>
    <w:rsid w:val="000F1C47"/>
    <w:rsid w:val="000F2084"/>
    <w:rsid w:val="000F23B6"/>
    <w:rsid w:val="000F251B"/>
    <w:rsid w:val="000F254F"/>
    <w:rsid w:val="000F25B6"/>
    <w:rsid w:val="000F263C"/>
    <w:rsid w:val="000F2672"/>
    <w:rsid w:val="000F26AF"/>
    <w:rsid w:val="000F273C"/>
    <w:rsid w:val="000F2AB9"/>
    <w:rsid w:val="000F2B7C"/>
    <w:rsid w:val="000F2D40"/>
    <w:rsid w:val="000F3247"/>
    <w:rsid w:val="000F343C"/>
    <w:rsid w:val="000F37D6"/>
    <w:rsid w:val="000F38D5"/>
    <w:rsid w:val="000F3937"/>
    <w:rsid w:val="000F393E"/>
    <w:rsid w:val="000F3B95"/>
    <w:rsid w:val="000F3CF5"/>
    <w:rsid w:val="000F3D2D"/>
    <w:rsid w:val="000F3E0A"/>
    <w:rsid w:val="000F3E54"/>
    <w:rsid w:val="000F3EE6"/>
    <w:rsid w:val="000F40CF"/>
    <w:rsid w:val="000F419F"/>
    <w:rsid w:val="000F4250"/>
    <w:rsid w:val="000F43C6"/>
    <w:rsid w:val="000F444E"/>
    <w:rsid w:val="000F4586"/>
    <w:rsid w:val="000F46C3"/>
    <w:rsid w:val="000F46C9"/>
    <w:rsid w:val="000F4877"/>
    <w:rsid w:val="000F4A09"/>
    <w:rsid w:val="000F4C8D"/>
    <w:rsid w:val="000F5147"/>
    <w:rsid w:val="000F51CD"/>
    <w:rsid w:val="000F5516"/>
    <w:rsid w:val="000F57A4"/>
    <w:rsid w:val="000F5817"/>
    <w:rsid w:val="000F5AC2"/>
    <w:rsid w:val="000F5DD9"/>
    <w:rsid w:val="000F5F2F"/>
    <w:rsid w:val="000F5FC5"/>
    <w:rsid w:val="000F6409"/>
    <w:rsid w:val="000F65AB"/>
    <w:rsid w:val="000F6733"/>
    <w:rsid w:val="000F673D"/>
    <w:rsid w:val="000F6C85"/>
    <w:rsid w:val="000F6D65"/>
    <w:rsid w:val="000F6E4C"/>
    <w:rsid w:val="000F6E93"/>
    <w:rsid w:val="000F6F60"/>
    <w:rsid w:val="000F7256"/>
    <w:rsid w:val="000F72C2"/>
    <w:rsid w:val="000F7470"/>
    <w:rsid w:val="000F7597"/>
    <w:rsid w:val="000F75B3"/>
    <w:rsid w:val="000F78C1"/>
    <w:rsid w:val="000F7937"/>
    <w:rsid w:val="000F796A"/>
    <w:rsid w:val="000F79F3"/>
    <w:rsid w:val="000F7BBB"/>
    <w:rsid w:val="000F7E15"/>
    <w:rsid w:val="000F7E66"/>
    <w:rsid w:val="000F7EBB"/>
    <w:rsid w:val="000F7F24"/>
    <w:rsid w:val="001000C9"/>
    <w:rsid w:val="00100207"/>
    <w:rsid w:val="00100231"/>
    <w:rsid w:val="00100506"/>
    <w:rsid w:val="00100695"/>
    <w:rsid w:val="0010089B"/>
    <w:rsid w:val="00100A0D"/>
    <w:rsid w:val="00100A5D"/>
    <w:rsid w:val="00100AE7"/>
    <w:rsid w:val="00100E05"/>
    <w:rsid w:val="00100E08"/>
    <w:rsid w:val="00100FCE"/>
    <w:rsid w:val="00101048"/>
    <w:rsid w:val="001010CE"/>
    <w:rsid w:val="0010157C"/>
    <w:rsid w:val="00101635"/>
    <w:rsid w:val="00101643"/>
    <w:rsid w:val="001017E8"/>
    <w:rsid w:val="001019B6"/>
    <w:rsid w:val="00101B24"/>
    <w:rsid w:val="00101C21"/>
    <w:rsid w:val="00101CAB"/>
    <w:rsid w:val="00101D2A"/>
    <w:rsid w:val="00101EFE"/>
    <w:rsid w:val="00102323"/>
    <w:rsid w:val="00102564"/>
    <w:rsid w:val="00102678"/>
    <w:rsid w:val="0010277F"/>
    <w:rsid w:val="00102AF2"/>
    <w:rsid w:val="00102B56"/>
    <w:rsid w:val="00102C3F"/>
    <w:rsid w:val="00102D54"/>
    <w:rsid w:val="00102D7D"/>
    <w:rsid w:val="00103203"/>
    <w:rsid w:val="001032E5"/>
    <w:rsid w:val="00103859"/>
    <w:rsid w:val="001038B7"/>
    <w:rsid w:val="00103A90"/>
    <w:rsid w:val="00103A91"/>
    <w:rsid w:val="00103AA3"/>
    <w:rsid w:val="00103AE2"/>
    <w:rsid w:val="00103B68"/>
    <w:rsid w:val="00103BB7"/>
    <w:rsid w:val="00103F66"/>
    <w:rsid w:val="001040CB"/>
    <w:rsid w:val="00104112"/>
    <w:rsid w:val="00104670"/>
    <w:rsid w:val="0010473B"/>
    <w:rsid w:val="00104958"/>
    <w:rsid w:val="00104B8D"/>
    <w:rsid w:val="00104C27"/>
    <w:rsid w:val="00104D34"/>
    <w:rsid w:val="00104DF4"/>
    <w:rsid w:val="00104EEB"/>
    <w:rsid w:val="00104FA1"/>
    <w:rsid w:val="0010518C"/>
    <w:rsid w:val="001051EC"/>
    <w:rsid w:val="00105727"/>
    <w:rsid w:val="0010591F"/>
    <w:rsid w:val="00105AB7"/>
    <w:rsid w:val="00105E6D"/>
    <w:rsid w:val="00105EF8"/>
    <w:rsid w:val="001061BD"/>
    <w:rsid w:val="0010620F"/>
    <w:rsid w:val="00106407"/>
    <w:rsid w:val="001064C0"/>
    <w:rsid w:val="001068C1"/>
    <w:rsid w:val="0010691F"/>
    <w:rsid w:val="0010697A"/>
    <w:rsid w:val="0010697B"/>
    <w:rsid w:val="001069B0"/>
    <w:rsid w:val="00106D19"/>
    <w:rsid w:val="00106E8C"/>
    <w:rsid w:val="0010703E"/>
    <w:rsid w:val="001070F6"/>
    <w:rsid w:val="0010718E"/>
    <w:rsid w:val="00107321"/>
    <w:rsid w:val="001078AC"/>
    <w:rsid w:val="00107A12"/>
    <w:rsid w:val="00107C46"/>
    <w:rsid w:val="00107DBF"/>
    <w:rsid w:val="00107F28"/>
    <w:rsid w:val="0011008F"/>
    <w:rsid w:val="001101F3"/>
    <w:rsid w:val="0011024F"/>
    <w:rsid w:val="001102F5"/>
    <w:rsid w:val="001103DC"/>
    <w:rsid w:val="00110828"/>
    <w:rsid w:val="00110836"/>
    <w:rsid w:val="001108F7"/>
    <w:rsid w:val="00110BCD"/>
    <w:rsid w:val="00110BDE"/>
    <w:rsid w:val="00110D62"/>
    <w:rsid w:val="00110F9B"/>
    <w:rsid w:val="0011100D"/>
    <w:rsid w:val="0011112C"/>
    <w:rsid w:val="001111F6"/>
    <w:rsid w:val="001112AC"/>
    <w:rsid w:val="001115A6"/>
    <w:rsid w:val="00111605"/>
    <w:rsid w:val="0011173D"/>
    <w:rsid w:val="00111C8B"/>
    <w:rsid w:val="00111CE9"/>
    <w:rsid w:val="00111D6C"/>
    <w:rsid w:val="001122DD"/>
    <w:rsid w:val="00112581"/>
    <w:rsid w:val="001128C2"/>
    <w:rsid w:val="00112E11"/>
    <w:rsid w:val="00112E8F"/>
    <w:rsid w:val="0011313C"/>
    <w:rsid w:val="00113276"/>
    <w:rsid w:val="001132B5"/>
    <w:rsid w:val="0011373F"/>
    <w:rsid w:val="00113820"/>
    <w:rsid w:val="00113842"/>
    <w:rsid w:val="00113964"/>
    <w:rsid w:val="00113BF5"/>
    <w:rsid w:val="00113C6E"/>
    <w:rsid w:val="00113D43"/>
    <w:rsid w:val="00113D7C"/>
    <w:rsid w:val="0011442C"/>
    <w:rsid w:val="001144BC"/>
    <w:rsid w:val="001145E7"/>
    <w:rsid w:val="00114710"/>
    <w:rsid w:val="00114786"/>
    <w:rsid w:val="00114A68"/>
    <w:rsid w:val="00114D2C"/>
    <w:rsid w:val="0011521B"/>
    <w:rsid w:val="00115442"/>
    <w:rsid w:val="001156BF"/>
    <w:rsid w:val="0011582E"/>
    <w:rsid w:val="00115C4B"/>
    <w:rsid w:val="00115C4F"/>
    <w:rsid w:val="00115D35"/>
    <w:rsid w:val="00115F7C"/>
    <w:rsid w:val="00116203"/>
    <w:rsid w:val="0011626B"/>
    <w:rsid w:val="0011680D"/>
    <w:rsid w:val="001168E0"/>
    <w:rsid w:val="001168F0"/>
    <w:rsid w:val="00116945"/>
    <w:rsid w:val="00116C2A"/>
    <w:rsid w:val="00116CC7"/>
    <w:rsid w:val="00116D18"/>
    <w:rsid w:val="00116D4F"/>
    <w:rsid w:val="001171F2"/>
    <w:rsid w:val="0011739F"/>
    <w:rsid w:val="001173B2"/>
    <w:rsid w:val="001174D0"/>
    <w:rsid w:val="001174F9"/>
    <w:rsid w:val="0011750C"/>
    <w:rsid w:val="0011761F"/>
    <w:rsid w:val="00117866"/>
    <w:rsid w:val="00117AC8"/>
    <w:rsid w:val="00117AFB"/>
    <w:rsid w:val="00117C03"/>
    <w:rsid w:val="00117DDE"/>
    <w:rsid w:val="0012037B"/>
    <w:rsid w:val="0012051E"/>
    <w:rsid w:val="00120DD5"/>
    <w:rsid w:val="00120E82"/>
    <w:rsid w:val="0012120B"/>
    <w:rsid w:val="00121304"/>
    <w:rsid w:val="0012141A"/>
    <w:rsid w:val="00121462"/>
    <w:rsid w:val="0012146A"/>
    <w:rsid w:val="001217DA"/>
    <w:rsid w:val="00121920"/>
    <w:rsid w:val="0012193B"/>
    <w:rsid w:val="00121A32"/>
    <w:rsid w:val="00121B6B"/>
    <w:rsid w:val="00121C8F"/>
    <w:rsid w:val="00121D20"/>
    <w:rsid w:val="00121F11"/>
    <w:rsid w:val="0012231B"/>
    <w:rsid w:val="001223AE"/>
    <w:rsid w:val="00122BBE"/>
    <w:rsid w:val="00122C5D"/>
    <w:rsid w:val="00122E51"/>
    <w:rsid w:val="00122EC3"/>
    <w:rsid w:val="00123070"/>
    <w:rsid w:val="0012361E"/>
    <w:rsid w:val="00123893"/>
    <w:rsid w:val="00123ACE"/>
    <w:rsid w:val="00123C79"/>
    <w:rsid w:val="00123E98"/>
    <w:rsid w:val="00124112"/>
    <w:rsid w:val="001242A8"/>
    <w:rsid w:val="00124551"/>
    <w:rsid w:val="001245E5"/>
    <w:rsid w:val="001246AD"/>
    <w:rsid w:val="001248C4"/>
    <w:rsid w:val="00124995"/>
    <w:rsid w:val="00124ED9"/>
    <w:rsid w:val="001251FB"/>
    <w:rsid w:val="0012522B"/>
    <w:rsid w:val="00125605"/>
    <w:rsid w:val="00125669"/>
    <w:rsid w:val="00125751"/>
    <w:rsid w:val="0012576E"/>
    <w:rsid w:val="001258F7"/>
    <w:rsid w:val="00125CCC"/>
    <w:rsid w:val="00125E92"/>
    <w:rsid w:val="001261DA"/>
    <w:rsid w:val="001261EB"/>
    <w:rsid w:val="001262D3"/>
    <w:rsid w:val="0012649D"/>
    <w:rsid w:val="0012666F"/>
    <w:rsid w:val="00126A7D"/>
    <w:rsid w:val="00126B02"/>
    <w:rsid w:val="00126B27"/>
    <w:rsid w:val="00126B94"/>
    <w:rsid w:val="00126C30"/>
    <w:rsid w:val="00126D36"/>
    <w:rsid w:val="00126DAC"/>
    <w:rsid w:val="00126DD3"/>
    <w:rsid w:val="00126F69"/>
    <w:rsid w:val="0012720B"/>
    <w:rsid w:val="0012752A"/>
    <w:rsid w:val="0012756B"/>
    <w:rsid w:val="0012758F"/>
    <w:rsid w:val="00127A2B"/>
    <w:rsid w:val="00127ABC"/>
    <w:rsid w:val="00127C4F"/>
    <w:rsid w:val="00127CE9"/>
    <w:rsid w:val="00127E2C"/>
    <w:rsid w:val="00127E2E"/>
    <w:rsid w:val="0013002C"/>
    <w:rsid w:val="0013024B"/>
    <w:rsid w:val="00130329"/>
    <w:rsid w:val="001303ED"/>
    <w:rsid w:val="001303F7"/>
    <w:rsid w:val="001305B9"/>
    <w:rsid w:val="001305D0"/>
    <w:rsid w:val="0013064A"/>
    <w:rsid w:val="00130704"/>
    <w:rsid w:val="00130914"/>
    <w:rsid w:val="00130A03"/>
    <w:rsid w:val="00130B38"/>
    <w:rsid w:val="00130C06"/>
    <w:rsid w:val="00130C8E"/>
    <w:rsid w:val="00130D56"/>
    <w:rsid w:val="00130D76"/>
    <w:rsid w:val="00130DA0"/>
    <w:rsid w:val="00130DCC"/>
    <w:rsid w:val="00130FB6"/>
    <w:rsid w:val="00131259"/>
    <w:rsid w:val="0013153A"/>
    <w:rsid w:val="00131554"/>
    <w:rsid w:val="00131C5B"/>
    <w:rsid w:val="00131E05"/>
    <w:rsid w:val="00132070"/>
    <w:rsid w:val="00132133"/>
    <w:rsid w:val="001321DF"/>
    <w:rsid w:val="001323C5"/>
    <w:rsid w:val="001325C2"/>
    <w:rsid w:val="0013264B"/>
    <w:rsid w:val="001326E7"/>
    <w:rsid w:val="00132A49"/>
    <w:rsid w:val="00132CCE"/>
    <w:rsid w:val="00133084"/>
    <w:rsid w:val="001332A1"/>
    <w:rsid w:val="001332C9"/>
    <w:rsid w:val="00133620"/>
    <w:rsid w:val="001338CC"/>
    <w:rsid w:val="001338D5"/>
    <w:rsid w:val="001339E3"/>
    <w:rsid w:val="00133CF1"/>
    <w:rsid w:val="00134045"/>
    <w:rsid w:val="001341AF"/>
    <w:rsid w:val="001342EE"/>
    <w:rsid w:val="001343C2"/>
    <w:rsid w:val="001343EC"/>
    <w:rsid w:val="00134974"/>
    <w:rsid w:val="00134BCA"/>
    <w:rsid w:val="00134EC9"/>
    <w:rsid w:val="00134F25"/>
    <w:rsid w:val="00135257"/>
    <w:rsid w:val="00135287"/>
    <w:rsid w:val="001352A3"/>
    <w:rsid w:val="00135324"/>
    <w:rsid w:val="0013554C"/>
    <w:rsid w:val="00135745"/>
    <w:rsid w:val="00135980"/>
    <w:rsid w:val="00135E30"/>
    <w:rsid w:val="00135EB8"/>
    <w:rsid w:val="00136063"/>
    <w:rsid w:val="00136218"/>
    <w:rsid w:val="00136234"/>
    <w:rsid w:val="00136270"/>
    <w:rsid w:val="00136278"/>
    <w:rsid w:val="001362C1"/>
    <w:rsid w:val="0013630A"/>
    <w:rsid w:val="00136333"/>
    <w:rsid w:val="0013642B"/>
    <w:rsid w:val="00136490"/>
    <w:rsid w:val="00136A63"/>
    <w:rsid w:val="00136AC7"/>
    <w:rsid w:val="00136BA2"/>
    <w:rsid w:val="00136D39"/>
    <w:rsid w:val="00136EDB"/>
    <w:rsid w:val="00136F92"/>
    <w:rsid w:val="00137119"/>
    <w:rsid w:val="00137213"/>
    <w:rsid w:val="001375DD"/>
    <w:rsid w:val="001377F7"/>
    <w:rsid w:val="00137C76"/>
    <w:rsid w:val="00137CF9"/>
    <w:rsid w:val="00137D40"/>
    <w:rsid w:val="00137D95"/>
    <w:rsid w:val="00137DB5"/>
    <w:rsid w:val="00137E04"/>
    <w:rsid w:val="00137FB2"/>
    <w:rsid w:val="00140545"/>
    <w:rsid w:val="001405B9"/>
    <w:rsid w:val="001406FE"/>
    <w:rsid w:val="00140A84"/>
    <w:rsid w:val="00140AB2"/>
    <w:rsid w:val="00140AC7"/>
    <w:rsid w:val="00140B6D"/>
    <w:rsid w:val="00140D03"/>
    <w:rsid w:val="00140E68"/>
    <w:rsid w:val="00140EFA"/>
    <w:rsid w:val="00140F8F"/>
    <w:rsid w:val="0014119E"/>
    <w:rsid w:val="00141295"/>
    <w:rsid w:val="001412E5"/>
    <w:rsid w:val="00141310"/>
    <w:rsid w:val="00141369"/>
    <w:rsid w:val="00141484"/>
    <w:rsid w:val="001414C9"/>
    <w:rsid w:val="00141693"/>
    <w:rsid w:val="001416AC"/>
    <w:rsid w:val="00141B47"/>
    <w:rsid w:val="00141BCE"/>
    <w:rsid w:val="00141F43"/>
    <w:rsid w:val="001422D3"/>
    <w:rsid w:val="001423C1"/>
    <w:rsid w:val="001428D6"/>
    <w:rsid w:val="00142AC8"/>
    <w:rsid w:val="00142ADE"/>
    <w:rsid w:val="00142B23"/>
    <w:rsid w:val="00142C8C"/>
    <w:rsid w:val="00142E85"/>
    <w:rsid w:val="00142E9B"/>
    <w:rsid w:val="00142F1D"/>
    <w:rsid w:val="0014300E"/>
    <w:rsid w:val="00143028"/>
    <w:rsid w:val="001434F5"/>
    <w:rsid w:val="001437F9"/>
    <w:rsid w:val="00143A34"/>
    <w:rsid w:val="00143E13"/>
    <w:rsid w:val="001442FE"/>
    <w:rsid w:val="00144337"/>
    <w:rsid w:val="00144387"/>
    <w:rsid w:val="00144497"/>
    <w:rsid w:val="00144866"/>
    <w:rsid w:val="0014490C"/>
    <w:rsid w:val="00144A91"/>
    <w:rsid w:val="00144BA4"/>
    <w:rsid w:val="00144D9C"/>
    <w:rsid w:val="00144E41"/>
    <w:rsid w:val="00144FFC"/>
    <w:rsid w:val="00145049"/>
    <w:rsid w:val="0014509B"/>
    <w:rsid w:val="0014511E"/>
    <w:rsid w:val="00145123"/>
    <w:rsid w:val="0014532E"/>
    <w:rsid w:val="0014533A"/>
    <w:rsid w:val="0014556C"/>
    <w:rsid w:val="00145599"/>
    <w:rsid w:val="00145737"/>
    <w:rsid w:val="001459A0"/>
    <w:rsid w:val="001459A1"/>
    <w:rsid w:val="00145E98"/>
    <w:rsid w:val="00145EEC"/>
    <w:rsid w:val="00146336"/>
    <w:rsid w:val="00146588"/>
    <w:rsid w:val="001465DD"/>
    <w:rsid w:val="00146658"/>
    <w:rsid w:val="00146665"/>
    <w:rsid w:val="00146A82"/>
    <w:rsid w:val="00146A9C"/>
    <w:rsid w:val="00146AE3"/>
    <w:rsid w:val="00146B26"/>
    <w:rsid w:val="00146D62"/>
    <w:rsid w:val="00146E48"/>
    <w:rsid w:val="00146E89"/>
    <w:rsid w:val="0014732F"/>
    <w:rsid w:val="00147379"/>
    <w:rsid w:val="0014746A"/>
    <w:rsid w:val="0014758E"/>
    <w:rsid w:val="00147713"/>
    <w:rsid w:val="00147916"/>
    <w:rsid w:val="001479FF"/>
    <w:rsid w:val="00147D64"/>
    <w:rsid w:val="00147E06"/>
    <w:rsid w:val="00147E76"/>
    <w:rsid w:val="001505AF"/>
    <w:rsid w:val="001506EB"/>
    <w:rsid w:val="0015076A"/>
    <w:rsid w:val="00150969"/>
    <w:rsid w:val="00150AC8"/>
    <w:rsid w:val="00150BEE"/>
    <w:rsid w:val="00150D8B"/>
    <w:rsid w:val="00150D9D"/>
    <w:rsid w:val="00150EDF"/>
    <w:rsid w:val="00151041"/>
    <w:rsid w:val="001511F4"/>
    <w:rsid w:val="001514BD"/>
    <w:rsid w:val="00151843"/>
    <w:rsid w:val="00151B66"/>
    <w:rsid w:val="00151C8D"/>
    <w:rsid w:val="00151FBC"/>
    <w:rsid w:val="0015208A"/>
    <w:rsid w:val="00152146"/>
    <w:rsid w:val="0015216E"/>
    <w:rsid w:val="00152189"/>
    <w:rsid w:val="0015241C"/>
    <w:rsid w:val="00152550"/>
    <w:rsid w:val="00152A83"/>
    <w:rsid w:val="00152AA5"/>
    <w:rsid w:val="00152B76"/>
    <w:rsid w:val="00152BAA"/>
    <w:rsid w:val="00152D0D"/>
    <w:rsid w:val="001531AE"/>
    <w:rsid w:val="00153531"/>
    <w:rsid w:val="00153536"/>
    <w:rsid w:val="001537CA"/>
    <w:rsid w:val="00153803"/>
    <w:rsid w:val="00153828"/>
    <w:rsid w:val="00153977"/>
    <w:rsid w:val="00153A1B"/>
    <w:rsid w:val="00153A93"/>
    <w:rsid w:val="00153C5A"/>
    <w:rsid w:val="00153E8D"/>
    <w:rsid w:val="00153FAD"/>
    <w:rsid w:val="00153FE3"/>
    <w:rsid w:val="0015401C"/>
    <w:rsid w:val="00154104"/>
    <w:rsid w:val="00154324"/>
    <w:rsid w:val="001543DD"/>
    <w:rsid w:val="001543F1"/>
    <w:rsid w:val="00154494"/>
    <w:rsid w:val="001545E3"/>
    <w:rsid w:val="0015464E"/>
    <w:rsid w:val="001546B2"/>
    <w:rsid w:val="001547FF"/>
    <w:rsid w:val="00154844"/>
    <w:rsid w:val="00154A2F"/>
    <w:rsid w:val="00154AA2"/>
    <w:rsid w:val="00154E8A"/>
    <w:rsid w:val="00154EFA"/>
    <w:rsid w:val="00154FD5"/>
    <w:rsid w:val="00154FEB"/>
    <w:rsid w:val="00155056"/>
    <w:rsid w:val="001551A3"/>
    <w:rsid w:val="00155205"/>
    <w:rsid w:val="00155553"/>
    <w:rsid w:val="001556CB"/>
    <w:rsid w:val="00155893"/>
    <w:rsid w:val="00155B0E"/>
    <w:rsid w:val="00155D1E"/>
    <w:rsid w:val="00155F21"/>
    <w:rsid w:val="00156165"/>
    <w:rsid w:val="00156296"/>
    <w:rsid w:val="001562AC"/>
    <w:rsid w:val="001565AE"/>
    <w:rsid w:val="00156887"/>
    <w:rsid w:val="001569A6"/>
    <w:rsid w:val="00156AF3"/>
    <w:rsid w:val="00156B33"/>
    <w:rsid w:val="00156C9C"/>
    <w:rsid w:val="00156DFD"/>
    <w:rsid w:val="00156E2E"/>
    <w:rsid w:val="00156F5F"/>
    <w:rsid w:val="00157050"/>
    <w:rsid w:val="0015707B"/>
    <w:rsid w:val="001570EC"/>
    <w:rsid w:val="0015721A"/>
    <w:rsid w:val="00157317"/>
    <w:rsid w:val="00157341"/>
    <w:rsid w:val="0015744F"/>
    <w:rsid w:val="00157597"/>
    <w:rsid w:val="00157665"/>
    <w:rsid w:val="0015790B"/>
    <w:rsid w:val="00157A8B"/>
    <w:rsid w:val="00157ADB"/>
    <w:rsid w:val="00157BFC"/>
    <w:rsid w:val="0016000D"/>
    <w:rsid w:val="00160038"/>
    <w:rsid w:val="00160275"/>
    <w:rsid w:val="00160410"/>
    <w:rsid w:val="00160527"/>
    <w:rsid w:val="001605C8"/>
    <w:rsid w:val="001606F3"/>
    <w:rsid w:val="0016074A"/>
    <w:rsid w:val="00160A16"/>
    <w:rsid w:val="00160BE1"/>
    <w:rsid w:val="00160DE0"/>
    <w:rsid w:val="00160F3A"/>
    <w:rsid w:val="00160F4C"/>
    <w:rsid w:val="001613BC"/>
    <w:rsid w:val="001613F4"/>
    <w:rsid w:val="0016162D"/>
    <w:rsid w:val="001616A0"/>
    <w:rsid w:val="001616AF"/>
    <w:rsid w:val="00161ACF"/>
    <w:rsid w:val="00161B8C"/>
    <w:rsid w:val="00161BC5"/>
    <w:rsid w:val="00161E8C"/>
    <w:rsid w:val="001620FF"/>
    <w:rsid w:val="0016214C"/>
    <w:rsid w:val="00162181"/>
    <w:rsid w:val="001621C2"/>
    <w:rsid w:val="001621CE"/>
    <w:rsid w:val="001621EE"/>
    <w:rsid w:val="00162247"/>
    <w:rsid w:val="001622C8"/>
    <w:rsid w:val="001622F8"/>
    <w:rsid w:val="00162443"/>
    <w:rsid w:val="00162575"/>
    <w:rsid w:val="00162633"/>
    <w:rsid w:val="001627D0"/>
    <w:rsid w:val="00162820"/>
    <w:rsid w:val="0016289F"/>
    <w:rsid w:val="00162904"/>
    <w:rsid w:val="00162BDD"/>
    <w:rsid w:val="00162C32"/>
    <w:rsid w:val="00162C4D"/>
    <w:rsid w:val="00163004"/>
    <w:rsid w:val="00163406"/>
    <w:rsid w:val="001636BC"/>
    <w:rsid w:val="0016382D"/>
    <w:rsid w:val="00163846"/>
    <w:rsid w:val="00163898"/>
    <w:rsid w:val="00163ACF"/>
    <w:rsid w:val="00163B8E"/>
    <w:rsid w:val="00163DF9"/>
    <w:rsid w:val="00164044"/>
    <w:rsid w:val="00164126"/>
    <w:rsid w:val="0016416A"/>
    <w:rsid w:val="001641DE"/>
    <w:rsid w:val="00164236"/>
    <w:rsid w:val="00164696"/>
    <w:rsid w:val="0016473E"/>
    <w:rsid w:val="001647BB"/>
    <w:rsid w:val="001648C9"/>
    <w:rsid w:val="00164E65"/>
    <w:rsid w:val="00164EDD"/>
    <w:rsid w:val="00164F61"/>
    <w:rsid w:val="00164F75"/>
    <w:rsid w:val="00165275"/>
    <w:rsid w:val="001653BC"/>
    <w:rsid w:val="001656CC"/>
    <w:rsid w:val="001657C9"/>
    <w:rsid w:val="00165993"/>
    <w:rsid w:val="001659E3"/>
    <w:rsid w:val="00165AF4"/>
    <w:rsid w:val="00165BD6"/>
    <w:rsid w:val="001662AD"/>
    <w:rsid w:val="001662CA"/>
    <w:rsid w:val="001666C7"/>
    <w:rsid w:val="001666D2"/>
    <w:rsid w:val="00166932"/>
    <w:rsid w:val="00166983"/>
    <w:rsid w:val="0016699E"/>
    <w:rsid w:val="00166B36"/>
    <w:rsid w:val="00166B3F"/>
    <w:rsid w:val="00166BDF"/>
    <w:rsid w:val="00166C37"/>
    <w:rsid w:val="00166E91"/>
    <w:rsid w:val="00166ED4"/>
    <w:rsid w:val="00166ED6"/>
    <w:rsid w:val="00166F99"/>
    <w:rsid w:val="001670A9"/>
    <w:rsid w:val="001671F5"/>
    <w:rsid w:val="001675B5"/>
    <w:rsid w:val="001675FF"/>
    <w:rsid w:val="0016783D"/>
    <w:rsid w:val="00167A4F"/>
    <w:rsid w:val="00167AD8"/>
    <w:rsid w:val="00167CDC"/>
    <w:rsid w:val="00167D47"/>
    <w:rsid w:val="00167D97"/>
    <w:rsid w:val="00167DC1"/>
    <w:rsid w:val="00167E50"/>
    <w:rsid w:val="0016F8BC"/>
    <w:rsid w:val="0017003C"/>
    <w:rsid w:val="0017008D"/>
    <w:rsid w:val="0017014F"/>
    <w:rsid w:val="00170207"/>
    <w:rsid w:val="00170564"/>
    <w:rsid w:val="00170682"/>
    <w:rsid w:val="0017077D"/>
    <w:rsid w:val="00170926"/>
    <w:rsid w:val="00170ACD"/>
    <w:rsid w:val="00170BCC"/>
    <w:rsid w:val="00170C06"/>
    <w:rsid w:val="00170D48"/>
    <w:rsid w:val="00170FAE"/>
    <w:rsid w:val="001710DA"/>
    <w:rsid w:val="001712D1"/>
    <w:rsid w:val="001714AF"/>
    <w:rsid w:val="0017161D"/>
    <w:rsid w:val="0017181E"/>
    <w:rsid w:val="00171851"/>
    <w:rsid w:val="00171B11"/>
    <w:rsid w:val="00171BD3"/>
    <w:rsid w:val="00171D6E"/>
    <w:rsid w:val="00171E60"/>
    <w:rsid w:val="00171E75"/>
    <w:rsid w:val="00171E7F"/>
    <w:rsid w:val="00171F2F"/>
    <w:rsid w:val="001720BF"/>
    <w:rsid w:val="0017217B"/>
    <w:rsid w:val="0017230F"/>
    <w:rsid w:val="0017237B"/>
    <w:rsid w:val="00172694"/>
    <w:rsid w:val="001726E5"/>
    <w:rsid w:val="0017279C"/>
    <w:rsid w:val="00172AC4"/>
    <w:rsid w:val="00172E43"/>
    <w:rsid w:val="00172F23"/>
    <w:rsid w:val="00173412"/>
    <w:rsid w:val="001734F4"/>
    <w:rsid w:val="00173728"/>
    <w:rsid w:val="00173A49"/>
    <w:rsid w:val="00173AF8"/>
    <w:rsid w:val="00173B08"/>
    <w:rsid w:val="00173BA6"/>
    <w:rsid w:val="00173C37"/>
    <w:rsid w:val="00173D8D"/>
    <w:rsid w:val="00173F17"/>
    <w:rsid w:val="00173F6A"/>
    <w:rsid w:val="0017420E"/>
    <w:rsid w:val="00174262"/>
    <w:rsid w:val="00174601"/>
    <w:rsid w:val="0017461A"/>
    <w:rsid w:val="00174975"/>
    <w:rsid w:val="00174B17"/>
    <w:rsid w:val="00174D4C"/>
    <w:rsid w:val="00174F8C"/>
    <w:rsid w:val="0017506C"/>
    <w:rsid w:val="00175093"/>
    <w:rsid w:val="0017509C"/>
    <w:rsid w:val="001751A0"/>
    <w:rsid w:val="0017554D"/>
    <w:rsid w:val="00175615"/>
    <w:rsid w:val="001756C4"/>
    <w:rsid w:val="00175A25"/>
    <w:rsid w:val="00175B86"/>
    <w:rsid w:val="00175D3E"/>
    <w:rsid w:val="00175D5F"/>
    <w:rsid w:val="00175E7A"/>
    <w:rsid w:val="00175E81"/>
    <w:rsid w:val="00175EE9"/>
    <w:rsid w:val="001760AC"/>
    <w:rsid w:val="001760B2"/>
    <w:rsid w:val="00176199"/>
    <w:rsid w:val="0017686A"/>
    <w:rsid w:val="00176AC1"/>
    <w:rsid w:val="00176C5F"/>
    <w:rsid w:val="001770CC"/>
    <w:rsid w:val="00177147"/>
    <w:rsid w:val="00177150"/>
    <w:rsid w:val="001772E4"/>
    <w:rsid w:val="00177306"/>
    <w:rsid w:val="0017741C"/>
    <w:rsid w:val="00177431"/>
    <w:rsid w:val="00177710"/>
    <w:rsid w:val="001778FA"/>
    <w:rsid w:val="00177C20"/>
    <w:rsid w:val="00177C58"/>
    <w:rsid w:val="00177C87"/>
    <w:rsid w:val="00177E40"/>
    <w:rsid w:val="00177ED6"/>
    <w:rsid w:val="00177EDE"/>
    <w:rsid w:val="00177F42"/>
    <w:rsid w:val="0018012C"/>
    <w:rsid w:val="001801E4"/>
    <w:rsid w:val="001801F5"/>
    <w:rsid w:val="001802DE"/>
    <w:rsid w:val="0018034B"/>
    <w:rsid w:val="00180360"/>
    <w:rsid w:val="00180530"/>
    <w:rsid w:val="001807FA"/>
    <w:rsid w:val="00180827"/>
    <w:rsid w:val="001808A7"/>
    <w:rsid w:val="00180992"/>
    <w:rsid w:val="001809C3"/>
    <w:rsid w:val="00180A54"/>
    <w:rsid w:val="00180DBA"/>
    <w:rsid w:val="00180F53"/>
    <w:rsid w:val="0018102D"/>
    <w:rsid w:val="001810A0"/>
    <w:rsid w:val="00181237"/>
    <w:rsid w:val="001812B4"/>
    <w:rsid w:val="00181456"/>
    <w:rsid w:val="001814C5"/>
    <w:rsid w:val="001815E0"/>
    <w:rsid w:val="00181773"/>
    <w:rsid w:val="00181806"/>
    <w:rsid w:val="00181ADA"/>
    <w:rsid w:val="00181C57"/>
    <w:rsid w:val="001821F6"/>
    <w:rsid w:val="00182250"/>
    <w:rsid w:val="0018251A"/>
    <w:rsid w:val="001825C9"/>
    <w:rsid w:val="00182A51"/>
    <w:rsid w:val="00182C37"/>
    <w:rsid w:val="00182D63"/>
    <w:rsid w:val="00182DCE"/>
    <w:rsid w:val="00182E1B"/>
    <w:rsid w:val="00183156"/>
    <w:rsid w:val="001834EB"/>
    <w:rsid w:val="0018355D"/>
    <w:rsid w:val="0018358B"/>
    <w:rsid w:val="0018363F"/>
    <w:rsid w:val="001837EF"/>
    <w:rsid w:val="0018389B"/>
    <w:rsid w:val="0018392C"/>
    <w:rsid w:val="0018396D"/>
    <w:rsid w:val="001839D1"/>
    <w:rsid w:val="00183AED"/>
    <w:rsid w:val="00183B45"/>
    <w:rsid w:val="00183CA0"/>
    <w:rsid w:val="00183D9B"/>
    <w:rsid w:val="00183E22"/>
    <w:rsid w:val="00183E9E"/>
    <w:rsid w:val="001841D0"/>
    <w:rsid w:val="0018420B"/>
    <w:rsid w:val="001842D5"/>
    <w:rsid w:val="001846CC"/>
    <w:rsid w:val="001847F3"/>
    <w:rsid w:val="00184A65"/>
    <w:rsid w:val="00184AC8"/>
    <w:rsid w:val="00184B87"/>
    <w:rsid w:val="00184C20"/>
    <w:rsid w:val="00184D32"/>
    <w:rsid w:val="00184D7D"/>
    <w:rsid w:val="00184F14"/>
    <w:rsid w:val="001850A5"/>
    <w:rsid w:val="00185217"/>
    <w:rsid w:val="00185557"/>
    <w:rsid w:val="00185808"/>
    <w:rsid w:val="001858CE"/>
    <w:rsid w:val="00185BBB"/>
    <w:rsid w:val="00185D4D"/>
    <w:rsid w:val="00185F55"/>
    <w:rsid w:val="0018613C"/>
    <w:rsid w:val="001861FE"/>
    <w:rsid w:val="00186241"/>
    <w:rsid w:val="0018653F"/>
    <w:rsid w:val="00186547"/>
    <w:rsid w:val="0018659C"/>
    <w:rsid w:val="0018674A"/>
    <w:rsid w:val="00186964"/>
    <w:rsid w:val="0018699D"/>
    <w:rsid w:val="00186C31"/>
    <w:rsid w:val="00186D46"/>
    <w:rsid w:val="00186D4A"/>
    <w:rsid w:val="00186DDF"/>
    <w:rsid w:val="00186F3A"/>
    <w:rsid w:val="00187006"/>
    <w:rsid w:val="0018710F"/>
    <w:rsid w:val="00187138"/>
    <w:rsid w:val="0018714E"/>
    <w:rsid w:val="00187268"/>
    <w:rsid w:val="00187510"/>
    <w:rsid w:val="00187982"/>
    <w:rsid w:val="001879F8"/>
    <w:rsid w:val="00187ABF"/>
    <w:rsid w:val="00187EC8"/>
    <w:rsid w:val="00187ECE"/>
    <w:rsid w:val="00187F7D"/>
    <w:rsid w:val="00190069"/>
    <w:rsid w:val="0019015A"/>
    <w:rsid w:val="001902B9"/>
    <w:rsid w:val="001903B4"/>
    <w:rsid w:val="00190821"/>
    <w:rsid w:val="00190C93"/>
    <w:rsid w:val="00190CA4"/>
    <w:rsid w:val="00191050"/>
    <w:rsid w:val="00191055"/>
    <w:rsid w:val="00191062"/>
    <w:rsid w:val="00191337"/>
    <w:rsid w:val="001913E0"/>
    <w:rsid w:val="001915C9"/>
    <w:rsid w:val="001915CC"/>
    <w:rsid w:val="001916DD"/>
    <w:rsid w:val="00191769"/>
    <w:rsid w:val="00191A93"/>
    <w:rsid w:val="00191D45"/>
    <w:rsid w:val="00191E68"/>
    <w:rsid w:val="00191F58"/>
    <w:rsid w:val="00192080"/>
    <w:rsid w:val="00192421"/>
    <w:rsid w:val="00192742"/>
    <w:rsid w:val="00192BAF"/>
    <w:rsid w:val="00192D11"/>
    <w:rsid w:val="00192DCA"/>
    <w:rsid w:val="00192FE3"/>
    <w:rsid w:val="001933CF"/>
    <w:rsid w:val="001935A5"/>
    <w:rsid w:val="001937A6"/>
    <w:rsid w:val="00193862"/>
    <w:rsid w:val="0019394B"/>
    <w:rsid w:val="00193A1F"/>
    <w:rsid w:val="00193BF4"/>
    <w:rsid w:val="00193CBA"/>
    <w:rsid w:val="00193CF3"/>
    <w:rsid w:val="00193F4F"/>
    <w:rsid w:val="00194679"/>
    <w:rsid w:val="001946FB"/>
    <w:rsid w:val="001946FC"/>
    <w:rsid w:val="00194B37"/>
    <w:rsid w:val="00194B57"/>
    <w:rsid w:val="00194B64"/>
    <w:rsid w:val="00194BBA"/>
    <w:rsid w:val="00194CF4"/>
    <w:rsid w:val="00194D0B"/>
    <w:rsid w:val="00194D15"/>
    <w:rsid w:val="00194D22"/>
    <w:rsid w:val="00194E0A"/>
    <w:rsid w:val="00194F79"/>
    <w:rsid w:val="00195000"/>
    <w:rsid w:val="001950E8"/>
    <w:rsid w:val="001950FE"/>
    <w:rsid w:val="001951C1"/>
    <w:rsid w:val="0019551C"/>
    <w:rsid w:val="00195585"/>
    <w:rsid w:val="00195609"/>
    <w:rsid w:val="00195688"/>
    <w:rsid w:val="00195A4F"/>
    <w:rsid w:val="00195A98"/>
    <w:rsid w:val="00195CE2"/>
    <w:rsid w:val="00195E80"/>
    <w:rsid w:val="00195EC8"/>
    <w:rsid w:val="00195FC3"/>
    <w:rsid w:val="001960D8"/>
    <w:rsid w:val="00196213"/>
    <w:rsid w:val="001965BF"/>
    <w:rsid w:val="00196A61"/>
    <w:rsid w:val="00197095"/>
    <w:rsid w:val="00197634"/>
    <w:rsid w:val="001976A4"/>
    <w:rsid w:val="001978E8"/>
    <w:rsid w:val="0019793F"/>
    <w:rsid w:val="00197943"/>
    <w:rsid w:val="00197DF6"/>
    <w:rsid w:val="00197F8E"/>
    <w:rsid w:val="00197FB7"/>
    <w:rsid w:val="001A001E"/>
    <w:rsid w:val="001A021E"/>
    <w:rsid w:val="001A02EC"/>
    <w:rsid w:val="001A033F"/>
    <w:rsid w:val="001A0370"/>
    <w:rsid w:val="001A0530"/>
    <w:rsid w:val="001A0778"/>
    <w:rsid w:val="001A07C5"/>
    <w:rsid w:val="001A0BA9"/>
    <w:rsid w:val="001A0C6D"/>
    <w:rsid w:val="001A0CFE"/>
    <w:rsid w:val="001A0DCD"/>
    <w:rsid w:val="001A0DCF"/>
    <w:rsid w:val="001A0E52"/>
    <w:rsid w:val="001A0EF2"/>
    <w:rsid w:val="001A10C3"/>
    <w:rsid w:val="001A1265"/>
    <w:rsid w:val="001A12F0"/>
    <w:rsid w:val="001A1476"/>
    <w:rsid w:val="001A15A3"/>
    <w:rsid w:val="001A16B7"/>
    <w:rsid w:val="001A177B"/>
    <w:rsid w:val="001A1893"/>
    <w:rsid w:val="001A1A25"/>
    <w:rsid w:val="001A1CCC"/>
    <w:rsid w:val="001A1CD7"/>
    <w:rsid w:val="001A1D3C"/>
    <w:rsid w:val="001A1DF7"/>
    <w:rsid w:val="001A1F7F"/>
    <w:rsid w:val="001A20E8"/>
    <w:rsid w:val="001A214F"/>
    <w:rsid w:val="001A23EA"/>
    <w:rsid w:val="001A24B3"/>
    <w:rsid w:val="001A2885"/>
    <w:rsid w:val="001A298C"/>
    <w:rsid w:val="001A299B"/>
    <w:rsid w:val="001A2A6D"/>
    <w:rsid w:val="001A2ADB"/>
    <w:rsid w:val="001A2BED"/>
    <w:rsid w:val="001A2CB8"/>
    <w:rsid w:val="001A2FC8"/>
    <w:rsid w:val="001A3200"/>
    <w:rsid w:val="001A367E"/>
    <w:rsid w:val="001A38B9"/>
    <w:rsid w:val="001A3A04"/>
    <w:rsid w:val="001A3DAD"/>
    <w:rsid w:val="001A429A"/>
    <w:rsid w:val="001A42D6"/>
    <w:rsid w:val="001A45FB"/>
    <w:rsid w:val="001A46C9"/>
    <w:rsid w:val="001A471A"/>
    <w:rsid w:val="001A4749"/>
    <w:rsid w:val="001A4878"/>
    <w:rsid w:val="001A48A2"/>
    <w:rsid w:val="001A491A"/>
    <w:rsid w:val="001A4975"/>
    <w:rsid w:val="001A49E8"/>
    <w:rsid w:val="001A4B74"/>
    <w:rsid w:val="001A4D5C"/>
    <w:rsid w:val="001A4F30"/>
    <w:rsid w:val="001A5006"/>
    <w:rsid w:val="001A51C6"/>
    <w:rsid w:val="001A533E"/>
    <w:rsid w:val="001A5438"/>
    <w:rsid w:val="001A551A"/>
    <w:rsid w:val="001A56AE"/>
    <w:rsid w:val="001A57A4"/>
    <w:rsid w:val="001A57CA"/>
    <w:rsid w:val="001A583E"/>
    <w:rsid w:val="001A586F"/>
    <w:rsid w:val="001A5D03"/>
    <w:rsid w:val="001A6122"/>
    <w:rsid w:val="001A6221"/>
    <w:rsid w:val="001A6264"/>
    <w:rsid w:val="001A6301"/>
    <w:rsid w:val="001A641E"/>
    <w:rsid w:val="001A6504"/>
    <w:rsid w:val="001A6513"/>
    <w:rsid w:val="001A65D3"/>
    <w:rsid w:val="001A6772"/>
    <w:rsid w:val="001A69C5"/>
    <w:rsid w:val="001A69CB"/>
    <w:rsid w:val="001A6B0D"/>
    <w:rsid w:val="001A6E6C"/>
    <w:rsid w:val="001A7008"/>
    <w:rsid w:val="001A706A"/>
    <w:rsid w:val="001A7286"/>
    <w:rsid w:val="001A72EB"/>
    <w:rsid w:val="001A74C4"/>
    <w:rsid w:val="001A74F5"/>
    <w:rsid w:val="001A75D9"/>
    <w:rsid w:val="001A78EF"/>
    <w:rsid w:val="001A791E"/>
    <w:rsid w:val="001A7983"/>
    <w:rsid w:val="001A7C71"/>
    <w:rsid w:val="001A7D10"/>
    <w:rsid w:val="001A7D38"/>
    <w:rsid w:val="001A7D73"/>
    <w:rsid w:val="001A7DB9"/>
    <w:rsid w:val="001A7E93"/>
    <w:rsid w:val="001B0255"/>
    <w:rsid w:val="001B03B2"/>
    <w:rsid w:val="001B040B"/>
    <w:rsid w:val="001B0571"/>
    <w:rsid w:val="001B097A"/>
    <w:rsid w:val="001B09DF"/>
    <w:rsid w:val="001B0A47"/>
    <w:rsid w:val="001B0A77"/>
    <w:rsid w:val="001B0A82"/>
    <w:rsid w:val="001B0BA3"/>
    <w:rsid w:val="001B0D7B"/>
    <w:rsid w:val="001B0E28"/>
    <w:rsid w:val="001B0ECC"/>
    <w:rsid w:val="001B0F5E"/>
    <w:rsid w:val="001B117E"/>
    <w:rsid w:val="001B1819"/>
    <w:rsid w:val="001B18C0"/>
    <w:rsid w:val="001B19A7"/>
    <w:rsid w:val="001B1C5D"/>
    <w:rsid w:val="001B1DB3"/>
    <w:rsid w:val="001B1F54"/>
    <w:rsid w:val="001B22C0"/>
    <w:rsid w:val="001B239C"/>
    <w:rsid w:val="001B2536"/>
    <w:rsid w:val="001B25D7"/>
    <w:rsid w:val="001B25E4"/>
    <w:rsid w:val="001B25F0"/>
    <w:rsid w:val="001B2770"/>
    <w:rsid w:val="001B2916"/>
    <w:rsid w:val="001B2A2B"/>
    <w:rsid w:val="001B2AAA"/>
    <w:rsid w:val="001B2C1B"/>
    <w:rsid w:val="001B2F55"/>
    <w:rsid w:val="001B30E8"/>
    <w:rsid w:val="001B310A"/>
    <w:rsid w:val="001B31BD"/>
    <w:rsid w:val="001B3282"/>
    <w:rsid w:val="001B332F"/>
    <w:rsid w:val="001B34EE"/>
    <w:rsid w:val="001B356F"/>
    <w:rsid w:val="001B35B5"/>
    <w:rsid w:val="001B361A"/>
    <w:rsid w:val="001B37A3"/>
    <w:rsid w:val="001B37BC"/>
    <w:rsid w:val="001B3828"/>
    <w:rsid w:val="001B38E4"/>
    <w:rsid w:val="001B3B91"/>
    <w:rsid w:val="001B3E9F"/>
    <w:rsid w:val="001B3FAA"/>
    <w:rsid w:val="001B4034"/>
    <w:rsid w:val="001B44AC"/>
    <w:rsid w:val="001B45C4"/>
    <w:rsid w:val="001B4731"/>
    <w:rsid w:val="001B489F"/>
    <w:rsid w:val="001B48EF"/>
    <w:rsid w:val="001B49CE"/>
    <w:rsid w:val="001B4AF3"/>
    <w:rsid w:val="001B4B7A"/>
    <w:rsid w:val="001B4DC2"/>
    <w:rsid w:val="001B4F44"/>
    <w:rsid w:val="001B50A8"/>
    <w:rsid w:val="001B51DC"/>
    <w:rsid w:val="001B54EA"/>
    <w:rsid w:val="001B552E"/>
    <w:rsid w:val="001B55B3"/>
    <w:rsid w:val="001B5701"/>
    <w:rsid w:val="001B58F5"/>
    <w:rsid w:val="001B5BD7"/>
    <w:rsid w:val="001B5C8F"/>
    <w:rsid w:val="001B5FA8"/>
    <w:rsid w:val="001B6062"/>
    <w:rsid w:val="001B623C"/>
    <w:rsid w:val="001B62EB"/>
    <w:rsid w:val="001B63C3"/>
    <w:rsid w:val="001B6448"/>
    <w:rsid w:val="001B6661"/>
    <w:rsid w:val="001B678D"/>
    <w:rsid w:val="001B6861"/>
    <w:rsid w:val="001B6E12"/>
    <w:rsid w:val="001B6F10"/>
    <w:rsid w:val="001B747F"/>
    <w:rsid w:val="001B74DE"/>
    <w:rsid w:val="001B75F9"/>
    <w:rsid w:val="001B7660"/>
    <w:rsid w:val="001B7761"/>
    <w:rsid w:val="001B78C2"/>
    <w:rsid w:val="001B79FC"/>
    <w:rsid w:val="001B7C41"/>
    <w:rsid w:val="001B7DC2"/>
    <w:rsid w:val="001B7E72"/>
    <w:rsid w:val="001B7EE1"/>
    <w:rsid w:val="001B7FC9"/>
    <w:rsid w:val="001C000C"/>
    <w:rsid w:val="001C0090"/>
    <w:rsid w:val="001C0183"/>
    <w:rsid w:val="001C0213"/>
    <w:rsid w:val="001C027B"/>
    <w:rsid w:val="001C0354"/>
    <w:rsid w:val="001C0824"/>
    <w:rsid w:val="001C091E"/>
    <w:rsid w:val="001C0B4F"/>
    <w:rsid w:val="001C0C47"/>
    <w:rsid w:val="001C0E12"/>
    <w:rsid w:val="001C0F2B"/>
    <w:rsid w:val="001C13C9"/>
    <w:rsid w:val="001C13EF"/>
    <w:rsid w:val="001C1423"/>
    <w:rsid w:val="001C1444"/>
    <w:rsid w:val="001C1593"/>
    <w:rsid w:val="001C163C"/>
    <w:rsid w:val="001C17EB"/>
    <w:rsid w:val="001C1991"/>
    <w:rsid w:val="001C1C55"/>
    <w:rsid w:val="001C1C87"/>
    <w:rsid w:val="001C1CAF"/>
    <w:rsid w:val="001C1CE9"/>
    <w:rsid w:val="001C1D7D"/>
    <w:rsid w:val="001C1FAA"/>
    <w:rsid w:val="001C2262"/>
    <w:rsid w:val="001C2380"/>
    <w:rsid w:val="001C247D"/>
    <w:rsid w:val="001C26F9"/>
    <w:rsid w:val="001C2707"/>
    <w:rsid w:val="001C2787"/>
    <w:rsid w:val="001C27AE"/>
    <w:rsid w:val="001C29B4"/>
    <w:rsid w:val="001C2B08"/>
    <w:rsid w:val="001C2CA2"/>
    <w:rsid w:val="001C2D6F"/>
    <w:rsid w:val="001C2E7C"/>
    <w:rsid w:val="001C2E86"/>
    <w:rsid w:val="001C2ED0"/>
    <w:rsid w:val="001C2F0D"/>
    <w:rsid w:val="001C2F5B"/>
    <w:rsid w:val="001C3044"/>
    <w:rsid w:val="001C311D"/>
    <w:rsid w:val="001C32EB"/>
    <w:rsid w:val="001C3360"/>
    <w:rsid w:val="001C3479"/>
    <w:rsid w:val="001C3517"/>
    <w:rsid w:val="001C3822"/>
    <w:rsid w:val="001C3AAA"/>
    <w:rsid w:val="001C3BE3"/>
    <w:rsid w:val="001C3C61"/>
    <w:rsid w:val="001C402A"/>
    <w:rsid w:val="001C404B"/>
    <w:rsid w:val="001C43B5"/>
    <w:rsid w:val="001C442E"/>
    <w:rsid w:val="001C45F7"/>
    <w:rsid w:val="001C461A"/>
    <w:rsid w:val="001C46A4"/>
    <w:rsid w:val="001C4856"/>
    <w:rsid w:val="001C4A40"/>
    <w:rsid w:val="001C4A8C"/>
    <w:rsid w:val="001C4BDB"/>
    <w:rsid w:val="001C4D47"/>
    <w:rsid w:val="001C4D57"/>
    <w:rsid w:val="001C4DA0"/>
    <w:rsid w:val="001C4EEA"/>
    <w:rsid w:val="001C4F1B"/>
    <w:rsid w:val="001C4F31"/>
    <w:rsid w:val="001C4FC1"/>
    <w:rsid w:val="001C5297"/>
    <w:rsid w:val="001C5538"/>
    <w:rsid w:val="001C57F1"/>
    <w:rsid w:val="001C59E5"/>
    <w:rsid w:val="001C59EB"/>
    <w:rsid w:val="001C5F70"/>
    <w:rsid w:val="001C66B0"/>
    <w:rsid w:val="001C66C0"/>
    <w:rsid w:val="001C66C1"/>
    <w:rsid w:val="001C6B5F"/>
    <w:rsid w:val="001C6BC2"/>
    <w:rsid w:val="001C6C1D"/>
    <w:rsid w:val="001C6D1C"/>
    <w:rsid w:val="001C6D2F"/>
    <w:rsid w:val="001C6DAD"/>
    <w:rsid w:val="001C6ED4"/>
    <w:rsid w:val="001C6F26"/>
    <w:rsid w:val="001C6F59"/>
    <w:rsid w:val="001C704F"/>
    <w:rsid w:val="001C70C9"/>
    <w:rsid w:val="001C7126"/>
    <w:rsid w:val="001C7141"/>
    <w:rsid w:val="001C7363"/>
    <w:rsid w:val="001C76FC"/>
    <w:rsid w:val="001C7806"/>
    <w:rsid w:val="001C7824"/>
    <w:rsid w:val="001C78D3"/>
    <w:rsid w:val="001C79FD"/>
    <w:rsid w:val="001C7A56"/>
    <w:rsid w:val="001C7BC9"/>
    <w:rsid w:val="001C7C9F"/>
    <w:rsid w:val="001C7D22"/>
    <w:rsid w:val="001C7D35"/>
    <w:rsid w:val="001C7DCA"/>
    <w:rsid w:val="001D01CD"/>
    <w:rsid w:val="001D0253"/>
    <w:rsid w:val="001D0296"/>
    <w:rsid w:val="001D0318"/>
    <w:rsid w:val="001D0451"/>
    <w:rsid w:val="001D0621"/>
    <w:rsid w:val="001D065F"/>
    <w:rsid w:val="001D0673"/>
    <w:rsid w:val="001D0681"/>
    <w:rsid w:val="001D0C93"/>
    <w:rsid w:val="001D0CC4"/>
    <w:rsid w:val="001D0E1F"/>
    <w:rsid w:val="001D0EDF"/>
    <w:rsid w:val="001D0F89"/>
    <w:rsid w:val="001D10BD"/>
    <w:rsid w:val="001D1123"/>
    <w:rsid w:val="001D12F7"/>
    <w:rsid w:val="001D1398"/>
    <w:rsid w:val="001D1421"/>
    <w:rsid w:val="001D188A"/>
    <w:rsid w:val="001D1CF9"/>
    <w:rsid w:val="001D1FDD"/>
    <w:rsid w:val="001D2085"/>
    <w:rsid w:val="001D20C6"/>
    <w:rsid w:val="001D2334"/>
    <w:rsid w:val="001D2362"/>
    <w:rsid w:val="001D23EB"/>
    <w:rsid w:val="001D23F9"/>
    <w:rsid w:val="001D2453"/>
    <w:rsid w:val="001D24C0"/>
    <w:rsid w:val="001D257F"/>
    <w:rsid w:val="001D2678"/>
    <w:rsid w:val="001D267D"/>
    <w:rsid w:val="001D27A7"/>
    <w:rsid w:val="001D28E8"/>
    <w:rsid w:val="001D298D"/>
    <w:rsid w:val="001D2BC8"/>
    <w:rsid w:val="001D2C8F"/>
    <w:rsid w:val="001D2D16"/>
    <w:rsid w:val="001D2F30"/>
    <w:rsid w:val="001D304C"/>
    <w:rsid w:val="001D34A6"/>
    <w:rsid w:val="001D366E"/>
    <w:rsid w:val="001D3806"/>
    <w:rsid w:val="001D3B00"/>
    <w:rsid w:val="001D3B0E"/>
    <w:rsid w:val="001D3B1F"/>
    <w:rsid w:val="001D3E68"/>
    <w:rsid w:val="001D3F24"/>
    <w:rsid w:val="001D3FB6"/>
    <w:rsid w:val="001D405D"/>
    <w:rsid w:val="001D4412"/>
    <w:rsid w:val="001D473F"/>
    <w:rsid w:val="001D480C"/>
    <w:rsid w:val="001D481B"/>
    <w:rsid w:val="001D4838"/>
    <w:rsid w:val="001D4869"/>
    <w:rsid w:val="001D48A7"/>
    <w:rsid w:val="001D494F"/>
    <w:rsid w:val="001D4A46"/>
    <w:rsid w:val="001D4B1B"/>
    <w:rsid w:val="001D4B5F"/>
    <w:rsid w:val="001D4C5C"/>
    <w:rsid w:val="001D4DD4"/>
    <w:rsid w:val="001D4EB1"/>
    <w:rsid w:val="001D4F55"/>
    <w:rsid w:val="001D50E9"/>
    <w:rsid w:val="001D51EC"/>
    <w:rsid w:val="001D540B"/>
    <w:rsid w:val="001D5552"/>
    <w:rsid w:val="001D559F"/>
    <w:rsid w:val="001D5634"/>
    <w:rsid w:val="001D566D"/>
    <w:rsid w:val="001D56DE"/>
    <w:rsid w:val="001D5808"/>
    <w:rsid w:val="001D58F7"/>
    <w:rsid w:val="001D590C"/>
    <w:rsid w:val="001D5AB8"/>
    <w:rsid w:val="001D5B7D"/>
    <w:rsid w:val="001D5E73"/>
    <w:rsid w:val="001D5E98"/>
    <w:rsid w:val="001D5E9D"/>
    <w:rsid w:val="001D5EA6"/>
    <w:rsid w:val="001D5EDC"/>
    <w:rsid w:val="001D6260"/>
    <w:rsid w:val="001D635A"/>
    <w:rsid w:val="001D652A"/>
    <w:rsid w:val="001D66E0"/>
    <w:rsid w:val="001D695F"/>
    <w:rsid w:val="001D69BE"/>
    <w:rsid w:val="001D69E9"/>
    <w:rsid w:val="001D6B15"/>
    <w:rsid w:val="001D6B4A"/>
    <w:rsid w:val="001D6DB4"/>
    <w:rsid w:val="001D7260"/>
    <w:rsid w:val="001D72E3"/>
    <w:rsid w:val="001D73CA"/>
    <w:rsid w:val="001D7460"/>
    <w:rsid w:val="001D755C"/>
    <w:rsid w:val="001D75A6"/>
    <w:rsid w:val="001D7754"/>
    <w:rsid w:val="001D7832"/>
    <w:rsid w:val="001D78AA"/>
    <w:rsid w:val="001D7A3D"/>
    <w:rsid w:val="001D7BB0"/>
    <w:rsid w:val="001D7BE2"/>
    <w:rsid w:val="001D7C49"/>
    <w:rsid w:val="001D7CD4"/>
    <w:rsid w:val="001D7ED5"/>
    <w:rsid w:val="001E0005"/>
    <w:rsid w:val="001E0166"/>
    <w:rsid w:val="001E0546"/>
    <w:rsid w:val="001E05D4"/>
    <w:rsid w:val="001E0649"/>
    <w:rsid w:val="001E06BA"/>
    <w:rsid w:val="001E0827"/>
    <w:rsid w:val="001E097A"/>
    <w:rsid w:val="001E0D7E"/>
    <w:rsid w:val="001E0F24"/>
    <w:rsid w:val="001E1076"/>
    <w:rsid w:val="001E1210"/>
    <w:rsid w:val="001E12F8"/>
    <w:rsid w:val="001E1412"/>
    <w:rsid w:val="001E14DD"/>
    <w:rsid w:val="001E19D0"/>
    <w:rsid w:val="001E1B45"/>
    <w:rsid w:val="001E1D10"/>
    <w:rsid w:val="001E21B9"/>
    <w:rsid w:val="001E221F"/>
    <w:rsid w:val="001E2419"/>
    <w:rsid w:val="001E24DC"/>
    <w:rsid w:val="001E2831"/>
    <w:rsid w:val="001E28E8"/>
    <w:rsid w:val="001E29D8"/>
    <w:rsid w:val="001E29E7"/>
    <w:rsid w:val="001E2F1E"/>
    <w:rsid w:val="001E300D"/>
    <w:rsid w:val="001E305C"/>
    <w:rsid w:val="001E3378"/>
    <w:rsid w:val="001E3390"/>
    <w:rsid w:val="001E3563"/>
    <w:rsid w:val="001E362B"/>
    <w:rsid w:val="001E3B5D"/>
    <w:rsid w:val="001E3E63"/>
    <w:rsid w:val="001E3F71"/>
    <w:rsid w:val="001E3FBC"/>
    <w:rsid w:val="001E405D"/>
    <w:rsid w:val="001E40DF"/>
    <w:rsid w:val="001E4269"/>
    <w:rsid w:val="001E43DD"/>
    <w:rsid w:val="001E44A1"/>
    <w:rsid w:val="001E452A"/>
    <w:rsid w:val="001E47B5"/>
    <w:rsid w:val="001E4F25"/>
    <w:rsid w:val="001E4FF4"/>
    <w:rsid w:val="001E505E"/>
    <w:rsid w:val="001E5244"/>
    <w:rsid w:val="001E52F4"/>
    <w:rsid w:val="001E576B"/>
    <w:rsid w:val="001E57FA"/>
    <w:rsid w:val="001E581E"/>
    <w:rsid w:val="001E5BE1"/>
    <w:rsid w:val="001E5C45"/>
    <w:rsid w:val="001E5D9D"/>
    <w:rsid w:val="001E5E5D"/>
    <w:rsid w:val="001E5E5E"/>
    <w:rsid w:val="001E63AF"/>
    <w:rsid w:val="001E6549"/>
    <w:rsid w:val="001E65DF"/>
    <w:rsid w:val="001E664C"/>
    <w:rsid w:val="001E6666"/>
    <w:rsid w:val="001E6737"/>
    <w:rsid w:val="001E6767"/>
    <w:rsid w:val="001E68C0"/>
    <w:rsid w:val="001E695F"/>
    <w:rsid w:val="001E6A67"/>
    <w:rsid w:val="001E6A6D"/>
    <w:rsid w:val="001E6C7D"/>
    <w:rsid w:val="001E6D57"/>
    <w:rsid w:val="001E6E7F"/>
    <w:rsid w:val="001E6F31"/>
    <w:rsid w:val="001E6F89"/>
    <w:rsid w:val="001E6FA8"/>
    <w:rsid w:val="001E6FFC"/>
    <w:rsid w:val="001E715E"/>
    <w:rsid w:val="001E740C"/>
    <w:rsid w:val="001E7C74"/>
    <w:rsid w:val="001E7C7D"/>
    <w:rsid w:val="001E7DC5"/>
    <w:rsid w:val="001E7F68"/>
    <w:rsid w:val="001F02B0"/>
    <w:rsid w:val="001F02F5"/>
    <w:rsid w:val="001F0418"/>
    <w:rsid w:val="001F049D"/>
    <w:rsid w:val="001F0647"/>
    <w:rsid w:val="001F065A"/>
    <w:rsid w:val="001F0680"/>
    <w:rsid w:val="001F0870"/>
    <w:rsid w:val="001F0983"/>
    <w:rsid w:val="001F0A73"/>
    <w:rsid w:val="001F0AAC"/>
    <w:rsid w:val="001F0B39"/>
    <w:rsid w:val="001F0B3B"/>
    <w:rsid w:val="001F0C23"/>
    <w:rsid w:val="001F0D84"/>
    <w:rsid w:val="001F0FD0"/>
    <w:rsid w:val="001F13F5"/>
    <w:rsid w:val="001F1639"/>
    <w:rsid w:val="001F17A1"/>
    <w:rsid w:val="001F17C5"/>
    <w:rsid w:val="001F17E7"/>
    <w:rsid w:val="001F17FC"/>
    <w:rsid w:val="001F18E1"/>
    <w:rsid w:val="001F1A8F"/>
    <w:rsid w:val="001F1AA4"/>
    <w:rsid w:val="001F1B54"/>
    <w:rsid w:val="001F1EC2"/>
    <w:rsid w:val="001F2068"/>
    <w:rsid w:val="001F2098"/>
    <w:rsid w:val="001F22D5"/>
    <w:rsid w:val="001F22E3"/>
    <w:rsid w:val="001F2700"/>
    <w:rsid w:val="001F2797"/>
    <w:rsid w:val="001F2950"/>
    <w:rsid w:val="001F29CB"/>
    <w:rsid w:val="001F2BF3"/>
    <w:rsid w:val="001F2C1C"/>
    <w:rsid w:val="001F2F13"/>
    <w:rsid w:val="001F3166"/>
    <w:rsid w:val="001F3196"/>
    <w:rsid w:val="001F3301"/>
    <w:rsid w:val="001F3649"/>
    <w:rsid w:val="001F38FE"/>
    <w:rsid w:val="001F3CBA"/>
    <w:rsid w:val="001F3D2C"/>
    <w:rsid w:val="001F3D51"/>
    <w:rsid w:val="001F3F1E"/>
    <w:rsid w:val="001F3FDF"/>
    <w:rsid w:val="001F428B"/>
    <w:rsid w:val="001F42C7"/>
    <w:rsid w:val="001F4318"/>
    <w:rsid w:val="001F439B"/>
    <w:rsid w:val="001F4410"/>
    <w:rsid w:val="001F47AD"/>
    <w:rsid w:val="001F48F0"/>
    <w:rsid w:val="001F4DF0"/>
    <w:rsid w:val="001F4FA1"/>
    <w:rsid w:val="001F5253"/>
    <w:rsid w:val="001F528A"/>
    <w:rsid w:val="001F5487"/>
    <w:rsid w:val="001F559B"/>
    <w:rsid w:val="001F5651"/>
    <w:rsid w:val="001F57F0"/>
    <w:rsid w:val="001F59F0"/>
    <w:rsid w:val="001F5BD8"/>
    <w:rsid w:val="001F5F30"/>
    <w:rsid w:val="001F5FAB"/>
    <w:rsid w:val="001F6161"/>
    <w:rsid w:val="001F638B"/>
    <w:rsid w:val="001F641D"/>
    <w:rsid w:val="001F684E"/>
    <w:rsid w:val="001F68CC"/>
    <w:rsid w:val="001F68F9"/>
    <w:rsid w:val="001F6A34"/>
    <w:rsid w:val="001F6A41"/>
    <w:rsid w:val="001F6B07"/>
    <w:rsid w:val="001F6B6D"/>
    <w:rsid w:val="001F6B8A"/>
    <w:rsid w:val="001F6CA6"/>
    <w:rsid w:val="001F6CEB"/>
    <w:rsid w:val="001F6DB8"/>
    <w:rsid w:val="001F6F60"/>
    <w:rsid w:val="001F6F65"/>
    <w:rsid w:val="001F6FD8"/>
    <w:rsid w:val="001F73EB"/>
    <w:rsid w:val="001F73F1"/>
    <w:rsid w:val="001F752E"/>
    <w:rsid w:val="001F75AD"/>
    <w:rsid w:val="001F7659"/>
    <w:rsid w:val="001F76C2"/>
    <w:rsid w:val="001F7A54"/>
    <w:rsid w:val="001F7BAF"/>
    <w:rsid w:val="001F7D74"/>
    <w:rsid w:val="001F7DDC"/>
    <w:rsid w:val="001F7E2F"/>
    <w:rsid w:val="001F7EDC"/>
    <w:rsid w:val="0020011C"/>
    <w:rsid w:val="002001AD"/>
    <w:rsid w:val="002002FA"/>
    <w:rsid w:val="002003B5"/>
    <w:rsid w:val="002003CE"/>
    <w:rsid w:val="00200437"/>
    <w:rsid w:val="002006A6"/>
    <w:rsid w:val="002006B5"/>
    <w:rsid w:val="00200706"/>
    <w:rsid w:val="0020100E"/>
    <w:rsid w:val="00201045"/>
    <w:rsid w:val="0020104C"/>
    <w:rsid w:val="00201055"/>
    <w:rsid w:val="00201279"/>
    <w:rsid w:val="002012EA"/>
    <w:rsid w:val="00201511"/>
    <w:rsid w:val="00201644"/>
    <w:rsid w:val="0020178C"/>
    <w:rsid w:val="00201886"/>
    <w:rsid w:val="00201A97"/>
    <w:rsid w:val="00201B5F"/>
    <w:rsid w:val="00201B81"/>
    <w:rsid w:val="00201BA5"/>
    <w:rsid w:val="00201C0F"/>
    <w:rsid w:val="00201C45"/>
    <w:rsid w:val="00201CDF"/>
    <w:rsid w:val="00201E28"/>
    <w:rsid w:val="00201F7A"/>
    <w:rsid w:val="0020210A"/>
    <w:rsid w:val="0020210B"/>
    <w:rsid w:val="0020221D"/>
    <w:rsid w:val="00202226"/>
    <w:rsid w:val="00202344"/>
    <w:rsid w:val="0020251A"/>
    <w:rsid w:val="00202924"/>
    <w:rsid w:val="00202C2F"/>
    <w:rsid w:val="00202FE0"/>
    <w:rsid w:val="002032DE"/>
    <w:rsid w:val="0020331D"/>
    <w:rsid w:val="00203468"/>
    <w:rsid w:val="002035BB"/>
    <w:rsid w:val="002035ED"/>
    <w:rsid w:val="0020447A"/>
    <w:rsid w:val="002044B7"/>
    <w:rsid w:val="002044BD"/>
    <w:rsid w:val="00204587"/>
    <w:rsid w:val="002045AF"/>
    <w:rsid w:val="00204721"/>
    <w:rsid w:val="00204896"/>
    <w:rsid w:val="00204D56"/>
    <w:rsid w:val="00204EBB"/>
    <w:rsid w:val="00204FAF"/>
    <w:rsid w:val="00205198"/>
    <w:rsid w:val="002055D7"/>
    <w:rsid w:val="0020599E"/>
    <w:rsid w:val="002059A0"/>
    <w:rsid w:val="00205B4E"/>
    <w:rsid w:val="00205BDF"/>
    <w:rsid w:val="00205BF3"/>
    <w:rsid w:val="00205E7D"/>
    <w:rsid w:val="00205F20"/>
    <w:rsid w:val="00205FCF"/>
    <w:rsid w:val="00206180"/>
    <w:rsid w:val="0020619B"/>
    <w:rsid w:val="002061A6"/>
    <w:rsid w:val="002063C9"/>
    <w:rsid w:val="002066B5"/>
    <w:rsid w:val="002069B8"/>
    <w:rsid w:val="00206A96"/>
    <w:rsid w:val="00206B0C"/>
    <w:rsid w:val="00206BAC"/>
    <w:rsid w:val="00206F4D"/>
    <w:rsid w:val="0020720B"/>
    <w:rsid w:val="00207390"/>
    <w:rsid w:val="0020752E"/>
    <w:rsid w:val="0020765A"/>
    <w:rsid w:val="002076D9"/>
    <w:rsid w:val="0020779B"/>
    <w:rsid w:val="002077EB"/>
    <w:rsid w:val="00207D38"/>
    <w:rsid w:val="00207E5F"/>
    <w:rsid w:val="002101EB"/>
    <w:rsid w:val="00210229"/>
    <w:rsid w:val="00210538"/>
    <w:rsid w:val="002105F5"/>
    <w:rsid w:val="00210863"/>
    <w:rsid w:val="0021087C"/>
    <w:rsid w:val="002108A4"/>
    <w:rsid w:val="00210947"/>
    <w:rsid w:val="00210AF8"/>
    <w:rsid w:val="00210BD3"/>
    <w:rsid w:val="00210DD3"/>
    <w:rsid w:val="00210E0C"/>
    <w:rsid w:val="00210E7D"/>
    <w:rsid w:val="00210E9B"/>
    <w:rsid w:val="00210F0E"/>
    <w:rsid w:val="00210FF2"/>
    <w:rsid w:val="00211239"/>
    <w:rsid w:val="00211983"/>
    <w:rsid w:val="00211997"/>
    <w:rsid w:val="002119BF"/>
    <w:rsid w:val="00211A12"/>
    <w:rsid w:val="00211A17"/>
    <w:rsid w:val="00211B19"/>
    <w:rsid w:val="00211C85"/>
    <w:rsid w:val="00211EBF"/>
    <w:rsid w:val="002122B1"/>
    <w:rsid w:val="0021235D"/>
    <w:rsid w:val="00212424"/>
    <w:rsid w:val="00212560"/>
    <w:rsid w:val="00212640"/>
    <w:rsid w:val="0021273B"/>
    <w:rsid w:val="00212799"/>
    <w:rsid w:val="002129B9"/>
    <w:rsid w:val="00212A7C"/>
    <w:rsid w:val="00212C87"/>
    <w:rsid w:val="00212D62"/>
    <w:rsid w:val="00212D90"/>
    <w:rsid w:val="00212DA0"/>
    <w:rsid w:val="00212E60"/>
    <w:rsid w:val="00212FAF"/>
    <w:rsid w:val="00212FE6"/>
    <w:rsid w:val="002130A1"/>
    <w:rsid w:val="002130FA"/>
    <w:rsid w:val="002131D3"/>
    <w:rsid w:val="00213489"/>
    <w:rsid w:val="00213777"/>
    <w:rsid w:val="00213848"/>
    <w:rsid w:val="00213A28"/>
    <w:rsid w:val="00213B55"/>
    <w:rsid w:val="00213B56"/>
    <w:rsid w:val="00213BA2"/>
    <w:rsid w:val="00213EA5"/>
    <w:rsid w:val="0021403A"/>
    <w:rsid w:val="002143D9"/>
    <w:rsid w:val="002145E4"/>
    <w:rsid w:val="0021491C"/>
    <w:rsid w:val="00214B9A"/>
    <w:rsid w:val="00214BAD"/>
    <w:rsid w:val="00214C2C"/>
    <w:rsid w:val="00214CCD"/>
    <w:rsid w:val="00214F49"/>
    <w:rsid w:val="0021509E"/>
    <w:rsid w:val="00215170"/>
    <w:rsid w:val="002151B7"/>
    <w:rsid w:val="00215238"/>
    <w:rsid w:val="00215286"/>
    <w:rsid w:val="0021542F"/>
    <w:rsid w:val="002155D7"/>
    <w:rsid w:val="0021582C"/>
    <w:rsid w:val="00215B3A"/>
    <w:rsid w:val="00215C3F"/>
    <w:rsid w:val="00215D0A"/>
    <w:rsid w:val="00216080"/>
    <w:rsid w:val="00216094"/>
    <w:rsid w:val="00216255"/>
    <w:rsid w:val="002162E7"/>
    <w:rsid w:val="00216332"/>
    <w:rsid w:val="002163C2"/>
    <w:rsid w:val="002166BD"/>
    <w:rsid w:val="002167F8"/>
    <w:rsid w:val="00216B0C"/>
    <w:rsid w:val="00216D81"/>
    <w:rsid w:val="00216E7A"/>
    <w:rsid w:val="00216EC4"/>
    <w:rsid w:val="00216EC7"/>
    <w:rsid w:val="00216FAA"/>
    <w:rsid w:val="00216FC8"/>
    <w:rsid w:val="002170B4"/>
    <w:rsid w:val="002171BA"/>
    <w:rsid w:val="00217299"/>
    <w:rsid w:val="00217330"/>
    <w:rsid w:val="0021742B"/>
    <w:rsid w:val="00217467"/>
    <w:rsid w:val="002175E2"/>
    <w:rsid w:val="00217A04"/>
    <w:rsid w:val="00217A45"/>
    <w:rsid w:val="00217A63"/>
    <w:rsid w:val="00217AD2"/>
    <w:rsid w:val="00217BB9"/>
    <w:rsid w:val="00217EF1"/>
    <w:rsid w:val="00217F89"/>
    <w:rsid w:val="00220081"/>
    <w:rsid w:val="00220191"/>
    <w:rsid w:val="00220385"/>
    <w:rsid w:val="00220585"/>
    <w:rsid w:val="00220803"/>
    <w:rsid w:val="00220A12"/>
    <w:rsid w:val="002213BB"/>
    <w:rsid w:val="00221528"/>
    <w:rsid w:val="002216A2"/>
    <w:rsid w:val="002216CE"/>
    <w:rsid w:val="0022179E"/>
    <w:rsid w:val="00221811"/>
    <w:rsid w:val="00221B2A"/>
    <w:rsid w:val="00221B47"/>
    <w:rsid w:val="00221F5A"/>
    <w:rsid w:val="002220EC"/>
    <w:rsid w:val="0022211B"/>
    <w:rsid w:val="00222135"/>
    <w:rsid w:val="002223B0"/>
    <w:rsid w:val="00222406"/>
    <w:rsid w:val="002224E3"/>
    <w:rsid w:val="0022264B"/>
    <w:rsid w:val="002226F3"/>
    <w:rsid w:val="002228BE"/>
    <w:rsid w:val="00222904"/>
    <w:rsid w:val="00222A15"/>
    <w:rsid w:val="00222F32"/>
    <w:rsid w:val="00222FAF"/>
    <w:rsid w:val="00223187"/>
    <w:rsid w:val="00223234"/>
    <w:rsid w:val="002232DF"/>
    <w:rsid w:val="002234BE"/>
    <w:rsid w:val="0022365E"/>
    <w:rsid w:val="0022396B"/>
    <w:rsid w:val="00223A2E"/>
    <w:rsid w:val="00223C5B"/>
    <w:rsid w:val="00223D14"/>
    <w:rsid w:val="00223DC7"/>
    <w:rsid w:val="00223E34"/>
    <w:rsid w:val="002240F3"/>
    <w:rsid w:val="002241B5"/>
    <w:rsid w:val="002241E0"/>
    <w:rsid w:val="0022426A"/>
    <w:rsid w:val="0022448E"/>
    <w:rsid w:val="0022453F"/>
    <w:rsid w:val="002245A6"/>
    <w:rsid w:val="00224607"/>
    <w:rsid w:val="0022467F"/>
    <w:rsid w:val="002246D5"/>
    <w:rsid w:val="002247C6"/>
    <w:rsid w:val="0022494D"/>
    <w:rsid w:val="00224B1E"/>
    <w:rsid w:val="00225025"/>
    <w:rsid w:val="0022506B"/>
    <w:rsid w:val="00225201"/>
    <w:rsid w:val="00225308"/>
    <w:rsid w:val="0022532A"/>
    <w:rsid w:val="002253E8"/>
    <w:rsid w:val="002255D3"/>
    <w:rsid w:val="00225808"/>
    <w:rsid w:val="0022580C"/>
    <w:rsid w:val="002259D3"/>
    <w:rsid w:val="00225A79"/>
    <w:rsid w:val="00225A94"/>
    <w:rsid w:val="00225AE6"/>
    <w:rsid w:val="00225B66"/>
    <w:rsid w:val="00225B8E"/>
    <w:rsid w:val="0022605E"/>
    <w:rsid w:val="00226130"/>
    <w:rsid w:val="002262AD"/>
    <w:rsid w:val="0022646B"/>
    <w:rsid w:val="00226661"/>
    <w:rsid w:val="00226748"/>
    <w:rsid w:val="00226CC8"/>
    <w:rsid w:val="00226D95"/>
    <w:rsid w:val="00226EC0"/>
    <w:rsid w:val="00226ED6"/>
    <w:rsid w:val="00226F09"/>
    <w:rsid w:val="00227004"/>
    <w:rsid w:val="00227421"/>
    <w:rsid w:val="00227499"/>
    <w:rsid w:val="00227625"/>
    <w:rsid w:val="002276FE"/>
    <w:rsid w:val="00227832"/>
    <w:rsid w:val="00227A31"/>
    <w:rsid w:val="00227BB0"/>
    <w:rsid w:val="00227C0C"/>
    <w:rsid w:val="00227FB5"/>
    <w:rsid w:val="00230007"/>
    <w:rsid w:val="002301CA"/>
    <w:rsid w:val="00230517"/>
    <w:rsid w:val="00230571"/>
    <w:rsid w:val="00230634"/>
    <w:rsid w:val="002306DE"/>
    <w:rsid w:val="002307BF"/>
    <w:rsid w:val="00230883"/>
    <w:rsid w:val="002308E5"/>
    <w:rsid w:val="00230BCE"/>
    <w:rsid w:val="00230C01"/>
    <w:rsid w:val="00230FD7"/>
    <w:rsid w:val="002313E5"/>
    <w:rsid w:val="002316B7"/>
    <w:rsid w:val="00231885"/>
    <w:rsid w:val="00231AE6"/>
    <w:rsid w:val="00231D08"/>
    <w:rsid w:val="00231EAF"/>
    <w:rsid w:val="00232200"/>
    <w:rsid w:val="0023220C"/>
    <w:rsid w:val="0023241C"/>
    <w:rsid w:val="00232732"/>
    <w:rsid w:val="00232ABD"/>
    <w:rsid w:val="00232C75"/>
    <w:rsid w:val="0023302D"/>
    <w:rsid w:val="002331D7"/>
    <w:rsid w:val="00233399"/>
    <w:rsid w:val="002335A3"/>
    <w:rsid w:val="00233CB8"/>
    <w:rsid w:val="00233F1E"/>
    <w:rsid w:val="00233F3C"/>
    <w:rsid w:val="00234238"/>
    <w:rsid w:val="00234325"/>
    <w:rsid w:val="00234357"/>
    <w:rsid w:val="002343C4"/>
    <w:rsid w:val="00234429"/>
    <w:rsid w:val="002344D3"/>
    <w:rsid w:val="0023450B"/>
    <w:rsid w:val="00234835"/>
    <w:rsid w:val="00234B7A"/>
    <w:rsid w:val="00234C34"/>
    <w:rsid w:val="00234C74"/>
    <w:rsid w:val="00234D2E"/>
    <w:rsid w:val="00234D7C"/>
    <w:rsid w:val="00234F64"/>
    <w:rsid w:val="002356BD"/>
    <w:rsid w:val="00235832"/>
    <w:rsid w:val="00235973"/>
    <w:rsid w:val="0023599C"/>
    <w:rsid w:val="00235A41"/>
    <w:rsid w:val="00235A7E"/>
    <w:rsid w:val="00235AFB"/>
    <w:rsid w:val="00235B3D"/>
    <w:rsid w:val="00235B63"/>
    <w:rsid w:val="00235B8F"/>
    <w:rsid w:val="00236280"/>
    <w:rsid w:val="00236954"/>
    <w:rsid w:val="002369F4"/>
    <w:rsid w:val="00236A8B"/>
    <w:rsid w:val="00236BD7"/>
    <w:rsid w:val="00236EDE"/>
    <w:rsid w:val="002371BD"/>
    <w:rsid w:val="0023731E"/>
    <w:rsid w:val="00237343"/>
    <w:rsid w:val="00237485"/>
    <w:rsid w:val="00237505"/>
    <w:rsid w:val="00237537"/>
    <w:rsid w:val="00237803"/>
    <w:rsid w:val="002378BE"/>
    <w:rsid w:val="00237ABF"/>
    <w:rsid w:val="00237C5E"/>
    <w:rsid w:val="00237C70"/>
    <w:rsid w:val="00237E3E"/>
    <w:rsid w:val="00237EA8"/>
    <w:rsid w:val="00237EEC"/>
    <w:rsid w:val="00237F27"/>
    <w:rsid w:val="00237FAA"/>
    <w:rsid w:val="00237FB0"/>
    <w:rsid w:val="00240398"/>
    <w:rsid w:val="00240472"/>
    <w:rsid w:val="0024058A"/>
    <w:rsid w:val="00240618"/>
    <w:rsid w:val="002407A7"/>
    <w:rsid w:val="00240939"/>
    <w:rsid w:val="00240B46"/>
    <w:rsid w:val="00240BEC"/>
    <w:rsid w:val="00240CE6"/>
    <w:rsid w:val="00240E29"/>
    <w:rsid w:val="00240E79"/>
    <w:rsid w:val="00240FCD"/>
    <w:rsid w:val="00241445"/>
    <w:rsid w:val="00241451"/>
    <w:rsid w:val="00241528"/>
    <w:rsid w:val="0024154D"/>
    <w:rsid w:val="002415E1"/>
    <w:rsid w:val="0024164F"/>
    <w:rsid w:val="00241744"/>
    <w:rsid w:val="002419AF"/>
    <w:rsid w:val="00241A80"/>
    <w:rsid w:val="00241B91"/>
    <w:rsid w:val="00241BDA"/>
    <w:rsid w:val="00241C21"/>
    <w:rsid w:val="00241DE5"/>
    <w:rsid w:val="00242417"/>
    <w:rsid w:val="00242433"/>
    <w:rsid w:val="00242457"/>
    <w:rsid w:val="00242568"/>
    <w:rsid w:val="002425C4"/>
    <w:rsid w:val="0024270B"/>
    <w:rsid w:val="00242781"/>
    <w:rsid w:val="00242855"/>
    <w:rsid w:val="002428AF"/>
    <w:rsid w:val="00242CA5"/>
    <w:rsid w:val="00242D6B"/>
    <w:rsid w:val="00243119"/>
    <w:rsid w:val="00243282"/>
    <w:rsid w:val="00243668"/>
    <w:rsid w:val="002436F9"/>
    <w:rsid w:val="00243842"/>
    <w:rsid w:val="002439BE"/>
    <w:rsid w:val="00243A06"/>
    <w:rsid w:val="00243B41"/>
    <w:rsid w:val="00243E2A"/>
    <w:rsid w:val="00243FF4"/>
    <w:rsid w:val="0024435F"/>
    <w:rsid w:val="00244361"/>
    <w:rsid w:val="002444C7"/>
    <w:rsid w:val="002444DA"/>
    <w:rsid w:val="002445E7"/>
    <w:rsid w:val="00244660"/>
    <w:rsid w:val="00244811"/>
    <w:rsid w:val="00244814"/>
    <w:rsid w:val="0024483F"/>
    <w:rsid w:val="002449A9"/>
    <w:rsid w:val="00244C6C"/>
    <w:rsid w:val="00244D0F"/>
    <w:rsid w:val="00244E67"/>
    <w:rsid w:val="00244EF3"/>
    <w:rsid w:val="00244F19"/>
    <w:rsid w:val="00245271"/>
    <w:rsid w:val="00245280"/>
    <w:rsid w:val="002452C0"/>
    <w:rsid w:val="002453B1"/>
    <w:rsid w:val="00245419"/>
    <w:rsid w:val="0024577F"/>
    <w:rsid w:val="002457B7"/>
    <w:rsid w:val="00245804"/>
    <w:rsid w:val="002459A0"/>
    <w:rsid w:val="00245BD9"/>
    <w:rsid w:val="00245CB1"/>
    <w:rsid w:val="00245CC3"/>
    <w:rsid w:val="00245DD5"/>
    <w:rsid w:val="00245E56"/>
    <w:rsid w:val="00245F8A"/>
    <w:rsid w:val="002462D8"/>
    <w:rsid w:val="00246391"/>
    <w:rsid w:val="002463F6"/>
    <w:rsid w:val="002464B6"/>
    <w:rsid w:val="00246694"/>
    <w:rsid w:val="0024676D"/>
    <w:rsid w:val="002467CA"/>
    <w:rsid w:val="00246B2B"/>
    <w:rsid w:val="00246BC8"/>
    <w:rsid w:val="00246C0D"/>
    <w:rsid w:val="00246C3F"/>
    <w:rsid w:val="00246D0B"/>
    <w:rsid w:val="00246D88"/>
    <w:rsid w:val="00246EEC"/>
    <w:rsid w:val="00246F51"/>
    <w:rsid w:val="00247129"/>
    <w:rsid w:val="00247253"/>
    <w:rsid w:val="0024739D"/>
    <w:rsid w:val="00247434"/>
    <w:rsid w:val="0024750B"/>
    <w:rsid w:val="00247766"/>
    <w:rsid w:val="0024778C"/>
    <w:rsid w:val="002477F1"/>
    <w:rsid w:val="002478D9"/>
    <w:rsid w:val="00247A46"/>
    <w:rsid w:val="00247B06"/>
    <w:rsid w:val="00247BB1"/>
    <w:rsid w:val="00247BFB"/>
    <w:rsid w:val="00247C4E"/>
    <w:rsid w:val="00247CCE"/>
    <w:rsid w:val="00247ECB"/>
    <w:rsid w:val="00247EE4"/>
    <w:rsid w:val="0025001E"/>
    <w:rsid w:val="00250359"/>
    <w:rsid w:val="002503E8"/>
    <w:rsid w:val="00250549"/>
    <w:rsid w:val="00250689"/>
    <w:rsid w:val="0025070F"/>
    <w:rsid w:val="00250863"/>
    <w:rsid w:val="00250999"/>
    <w:rsid w:val="00250C8D"/>
    <w:rsid w:val="00250DF5"/>
    <w:rsid w:val="00251446"/>
    <w:rsid w:val="0025166C"/>
    <w:rsid w:val="002516BE"/>
    <w:rsid w:val="002516D6"/>
    <w:rsid w:val="002517C2"/>
    <w:rsid w:val="00251A9E"/>
    <w:rsid w:val="00251B5F"/>
    <w:rsid w:val="00251F2F"/>
    <w:rsid w:val="00252090"/>
    <w:rsid w:val="00252358"/>
    <w:rsid w:val="002524B6"/>
    <w:rsid w:val="00252542"/>
    <w:rsid w:val="00252563"/>
    <w:rsid w:val="002526CE"/>
    <w:rsid w:val="0025277A"/>
    <w:rsid w:val="00252C48"/>
    <w:rsid w:val="00252E99"/>
    <w:rsid w:val="00253740"/>
    <w:rsid w:val="002537AF"/>
    <w:rsid w:val="00253881"/>
    <w:rsid w:val="00253E1B"/>
    <w:rsid w:val="002540C2"/>
    <w:rsid w:val="002540D0"/>
    <w:rsid w:val="00254133"/>
    <w:rsid w:val="00254172"/>
    <w:rsid w:val="002541A3"/>
    <w:rsid w:val="00254257"/>
    <w:rsid w:val="002543FA"/>
    <w:rsid w:val="00254574"/>
    <w:rsid w:val="00254614"/>
    <w:rsid w:val="0025463D"/>
    <w:rsid w:val="0025470A"/>
    <w:rsid w:val="00254880"/>
    <w:rsid w:val="002548A0"/>
    <w:rsid w:val="002548BE"/>
    <w:rsid w:val="00254A5B"/>
    <w:rsid w:val="00254A98"/>
    <w:rsid w:val="00254B7B"/>
    <w:rsid w:val="00254BE8"/>
    <w:rsid w:val="00254D1B"/>
    <w:rsid w:val="00254DE5"/>
    <w:rsid w:val="00254E5D"/>
    <w:rsid w:val="00254E82"/>
    <w:rsid w:val="00254FF0"/>
    <w:rsid w:val="0025504C"/>
    <w:rsid w:val="002551F8"/>
    <w:rsid w:val="0025583B"/>
    <w:rsid w:val="0025596B"/>
    <w:rsid w:val="00255C0B"/>
    <w:rsid w:val="00255D09"/>
    <w:rsid w:val="00255DAD"/>
    <w:rsid w:val="00255FD9"/>
    <w:rsid w:val="002560B1"/>
    <w:rsid w:val="002563C1"/>
    <w:rsid w:val="002563D6"/>
    <w:rsid w:val="0025640D"/>
    <w:rsid w:val="00256433"/>
    <w:rsid w:val="00256CB8"/>
    <w:rsid w:val="00256EBF"/>
    <w:rsid w:val="002570F7"/>
    <w:rsid w:val="0025711E"/>
    <w:rsid w:val="00257141"/>
    <w:rsid w:val="00257537"/>
    <w:rsid w:val="00257C71"/>
    <w:rsid w:val="00257CAA"/>
    <w:rsid w:val="00257D46"/>
    <w:rsid w:val="00257E7F"/>
    <w:rsid w:val="002607F0"/>
    <w:rsid w:val="00260842"/>
    <w:rsid w:val="002609D0"/>
    <w:rsid w:val="00260B56"/>
    <w:rsid w:val="00260DBC"/>
    <w:rsid w:val="002610A3"/>
    <w:rsid w:val="002611D6"/>
    <w:rsid w:val="00261285"/>
    <w:rsid w:val="00261305"/>
    <w:rsid w:val="00261617"/>
    <w:rsid w:val="00261690"/>
    <w:rsid w:val="002619BC"/>
    <w:rsid w:val="00261A5B"/>
    <w:rsid w:val="00261B4E"/>
    <w:rsid w:val="00261C91"/>
    <w:rsid w:val="00261FEB"/>
    <w:rsid w:val="00262357"/>
    <w:rsid w:val="0026261D"/>
    <w:rsid w:val="00262A1B"/>
    <w:rsid w:val="00262A1C"/>
    <w:rsid w:val="00262A80"/>
    <w:rsid w:val="00262C0C"/>
    <w:rsid w:val="00262CCC"/>
    <w:rsid w:val="00262E62"/>
    <w:rsid w:val="0026352A"/>
    <w:rsid w:val="002635FE"/>
    <w:rsid w:val="0026363A"/>
    <w:rsid w:val="002636E6"/>
    <w:rsid w:val="00263813"/>
    <w:rsid w:val="002639B3"/>
    <w:rsid w:val="002639BD"/>
    <w:rsid w:val="00263AC2"/>
    <w:rsid w:val="00263ED5"/>
    <w:rsid w:val="00263EFC"/>
    <w:rsid w:val="002640C5"/>
    <w:rsid w:val="002641FC"/>
    <w:rsid w:val="00264426"/>
    <w:rsid w:val="00264455"/>
    <w:rsid w:val="0026463D"/>
    <w:rsid w:val="002648BF"/>
    <w:rsid w:val="00264965"/>
    <w:rsid w:val="002649A3"/>
    <w:rsid w:val="00264A98"/>
    <w:rsid w:val="00264D32"/>
    <w:rsid w:val="00265122"/>
    <w:rsid w:val="0026519B"/>
    <w:rsid w:val="002651D5"/>
    <w:rsid w:val="00265253"/>
    <w:rsid w:val="00265494"/>
    <w:rsid w:val="002654ED"/>
    <w:rsid w:val="002658CB"/>
    <w:rsid w:val="00265945"/>
    <w:rsid w:val="00265981"/>
    <w:rsid w:val="00265A1D"/>
    <w:rsid w:val="00265AFE"/>
    <w:rsid w:val="00265C4B"/>
    <w:rsid w:val="00265F01"/>
    <w:rsid w:val="002660EA"/>
    <w:rsid w:val="0026630A"/>
    <w:rsid w:val="00266358"/>
    <w:rsid w:val="0026635B"/>
    <w:rsid w:val="002663F8"/>
    <w:rsid w:val="0026653B"/>
    <w:rsid w:val="0026660D"/>
    <w:rsid w:val="00266625"/>
    <w:rsid w:val="00266793"/>
    <w:rsid w:val="00266AEF"/>
    <w:rsid w:val="00266B7D"/>
    <w:rsid w:val="00266CB8"/>
    <w:rsid w:val="00266EDD"/>
    <w:rsid w:val="00266EF4"/>
    <w:rsid w:val="00266EF6"/>
    <w:rsid w:val="00266F1D"/>
    <w:rsid w:val="00266FB7"/>
    <w:rsid w:val="0026701E"/>
    <w:rsid w:val="0026715F"/>
    <w:rsid w:val="002672EF"/>
    <w:rsid w:val="002672F9"/>
    <w:rsid w:val="0026741E"/>
    <w:rsid w:val="00267582"/>
    <w:rsid w:val="002676D2"/>
    <w:rsid w:val="00267B3E"/>
    <w:rsid w:val="00267BF2"/>
    <w:rsid w:val="00267E28"/>
    <w:rsid w:val="00267E68"/>
    <w:rsid w:val="00270211"/>
    <w:rsid w:val="00270363"/>
    <w:rsid w:val="002703BE"/>
    <w:rsid w:val="002703DD"/>
    <w:rsid w:val="002705C7"/>
    <w:rsid w:val="002706AC"/>
    <w:rsid w:val="002706DB"/>
    <w:rsid w:val="00270741"/>
    <w:rsid w:val="00270A0F"/>
    <w:rsid w:val="00270A82"/>
    <w:rsid w:val="00270C46"/>
    <w:rsid w:val="00270D32"/>
    <w:rsid w:val="00270DEE"/>
    <w:rsid w:val="00270E00"/>
    <w:rsid w:val="00270F5B"/>
    <w:rsid w:val="00271403"/>
    <w:rsid w:val="002714D1"/>
    <w:rsid w:val="002717D4"/>
    <w:rsid w:val="00271C33"/>
    <w:rsid w:val="00271E6D"/>
    <w:rsid w:val="00271EEC"/>
    <w:rsid w:val="00271F83"/>
    <w:rsid w:val="002721BC"/>
    <w:rsid w:val="002721E8"/>
    <w:rsid w:val="00272288"/>
    <w:rsid w:val="002722EA"/>
    <w:rsid w:val="0027244F"/>
    <w:rsid w:val="00272627"/>
    <w:rsid w:val="00272705"/>
    <w:rsid w:val="002727A6"/>
    <w:rsid w:val="0027281C"/>
    <w:rsid w:val="00272A66"/>
    <w:rsid w:val="00272E13"/>
    <w:rsid w:val="00272E8E"/>
    <w:rsid w:val="0027302A"/>
    <w:rsid w:val="00273076"/>
    <w:rsid w:val="0027325F"/>
    <w:rsid w:val="00273273"/>
    <w:rsid w:val="0027349B"/>
    <w:rsid w:val="002734B0"/>
    <w:rsid w:val="0027356F"/>
    <w:rsid w:val="00273654"/>
    <w:rsid w:val="002738E2"/>
    <w:rsid w:val="002738F4"/>
    <w:rsid w:val="00273B3C"/>
    <w:rsid w:val="00273D7C"/>
    <w:rsid w:val="00273DDC"/>
    <w:rsid w:val="00273E5C"/>
    <w:rsid w:val="00273ECC"/>
    <w:rsid w:val="00273EEA"/>
    <w:rsid w:val="00273F16"/>
    <w:rsid w:val="00273F33"/>
    <w:rsid w:val="002742FE"/>
    <w:rsid w:val="0027439B"/>
    <w:rsid w:val="002743A9"/>
    <w:rsid w:val="00274603"/>
    <w:rsid w:val="00274672"/>
    <w:rsid w:val="0027467F"/>
    <w:rsid w:val="002746D2"/>
    <w:rsid w:val="00274772"/>
    <w:rsid w:val="00274881"/>
    <w:rsid w:val="00274A82"/>
    <w:rsid w:val="00274B7A"/>
    <w:rsid w:val="002751A4"/>
    <w:rsid w:val="002753E2"/>
    <w:rsid w:val="00275478"/>
    <w:rsid w:val="002754CB"/>
    <w:rsid w:val="0027577B"/>
    <w:rsid w:val="002757BF"/>
    <w:rsid w:val="00275818"/>
    <w:rsid w:val="0027587C"/>
    <w:rsid w:val="002758CA"/>
    <w:rsid w:val="00275C4D"/>
    <w:rsid w:val="00275C94"/>
    <w:rsid w:val="00275CCF"/>
    <w:rsid w:val="00275DDB"/>
    <w:rsid w:val="00275F48"/>
    <w:rsid w:val="002760E0"/>
    <w:rsid w:val="002763DE"/>
    <w:rsid w:val="0027658F"/>
    <w:rsid w:val="00276674"/>
    <w:rsid w:val="00276753"/>
    <w:rsid w:val="00276A74"/>
    <w:rsid w:val="00276AEB"/>
    <w:rsid w:val="00276D16"/>
    <w:rsid w:val="00276E87"/>
    <w:rsid w:val="00276F30"/>
    <w:rsid w:val="002770F3"/>
    <w:rsid w:val="002772D0"/>
    <w:rsid w:val="00277495"/>
    <w:rsid w:val="00277725"/>
    <w:rsid w:val="00277915"/>
    <w:rsid w:val="00277981"/>
    <w:rsid w:val="00277D49"/>
    <w:rsid w:val="00277DD4"/>
    <w:rsid w:val="00277F71"/>
    <w:rsid w:val="00280050"/>
    <w:rsid w:val="002801DC"/>
    <w:rsid w:val="0028048C"/>
    <w:rsid w:val="00280527"/>
    <w:rsid w:val="0028056A"/>
    <w:rsid w:val="002806DB"/>
    <w:rsid w:val="002809AB"/>
    <w:rsid w:val="00280AD4"/>
    <w:rsid w:val="00280BFF"/>
    <w:rsid w:val="00280C8B"/>
    <w:rsid w:val="00280CF4"/>
    <w:rsid w:val="00280EFB"/>
    <w:rsid w:val="00280FCB"/>
    <w:rsid w:val="002810D1"/>
    <w:rsid w:val="00281284"/>
    <w:rsid w:val="002812D2"/>
    <w:rsid w:val="00281387"/>
    <w:rsid w:val="002817EA"/>
    <w:rsid w:val="00281965"/>
    <w:rsid w:val="002819A7"/>
    <w:rsid w:val="00281A2A"/>
    <w:rsid w:val="00281AC4"/>
    <w:rsid w:val="00281C00"/>
    <w:rsid w:val="00281DAD"/>
    <w:rsid w:val="00282007"/>
    <w:rsid w:val="00282230"/>
    <w:rsid w:val="0028223E"/>
    <w:rsid w:val="0028225D"/>
    <w:rsid w:val="0028227A"/>
    <w:rsid w:val="00282443"/>
    <w:rsid w:val="002825CB"/>
    <w:rsid w:val="00282678"/>
    <w:rsid w:val="002826F0"/>
    <w:rsid w:val="00282933"/>
    <w:rsid w:val="00282CE7"/>
    <w:rsid w:val="00282D98"/>
    <w:rsid w:val="00282E3E"/>
    <w:rsid w:val="00282E40"/>
    <w:rsid w:val="00282ED8"/>
    <w:rsid w:val="00283171"/>
    <w:rsid w:val="002831EA"/>
    <w:rsid w:val="002833CA"/>
    <w:rsid w:val="00283E2D"/>
    <w:rsid w:val="00283EE7"/>
    <w:rsid w:val="00284087"/>
    <w:rsid w:val="00284188"/>
    <w:rsid w:val="002841A5"/>
    <w:rsid w:val="002841FA"/>
    <w:rsid w:val="0028424E"/>
    <w:rsid w:val="0028487C"/>
    <w:rsid w:val="0028489F"/>
    <w:rsid w:val="002849E7"/>
    <w:rsid w:val="00284A33"/>
    <w:rsid w:val="00285292"/>
    <w:rsid w:val="0028543D"/>
    <w:rsid w:val="00285523"/>
    <w:rsid w:val="00285576"/>
    <w:rsid w:val="00285735"/>
    <w:rsid w:val="00285818"/>
    <w:rsid w:val="0028586A"/>
    <w:rsid w:val="00285B43"/>
    <w:rsid w:val="002860BB"/>
    <w:rsid w:val="0028618A"/>
    <w:rsid w:val="00286326"/>
    <w:rsid w:val="00286551"/>
    <w:rsid w:val="0028655F"/>
    <w:rsid w:val="00286640"/>
    <w:rsid w:val="00286AD6"/>
    <w:rsid w:val="00286C6C"/>
    <w:rsid w:val="00286CC5"/>
    <w:rsid w:val="00286D91"/>
    <w:rsid w:val="00286EDE"/>
    <w:rsid w:val="00286F4E"/>
    <w:rsid w:val="00286FAF"/>
    <w:rsid w:val="00287073"/>
    <w:rsid w:val="002870D0"/>
    <w:rsid w:val="002871AC"/>
    <w:rsid w:val="0028727C"/>
    <w:rsid w:val="002872B1"/>
    <w:rsid w:val="00287492"/>
    <w:rsid w:val="002878BE"/>
    <w:rsid w:val="0028798D"/>
    <w:rsid w:val="00287A12"/>
    <w:rsid w:val="00287A82"/>
    <w:rsid w:val="00287AE1"/>
    <w:rsid w:val="00287CC1"/>
    <w:rsid w:val="00287D4E"/>
    <w:rsid w:val="00287D55"/>
    <w:rsid w:val="00287F94"/>
    <w:rsid w:val="00287FC9"/>
    <w:rsid w:val="00290096"/>
    <w:rsid w:val="0029024E"/>
    <w:rsid w:val="002902E7"/>
    <w:rsid w:val="0029092A"/>
    <w:rsid w:val="0029096D"/>
    <w:rsid w:val="00290B39"/>
    <w:rsid w:val="00290EF5"/>
    <w:rsid w:val="00291051"/>
    <w:rsid w:val="0029121A"/>
    <w:rsid w:val="0029164B"/>
    <w:rsid w:val="0029193F"/>
    <w:rsid w:val="00291A25"/>
    <w:rsid w:val="00291A32"/>
    <w:rsid w:val="00291A6D"/>
    <w:rsid w:val="00291B76"/>
    <w:rsid w:val="00291BFF"/>
    <w:rsid w:val="00291C11"/>
    <w:rsid w:val="00291E2B"/>
    <w:rsid w:val="002920F7"/>
    <w:rsid w:val="002927D5"/>
    <w:rsid w:val="0029297F"/>
    <w:rsid w:val="00292AA2"/>
    <w:rsid w:val="00292AA5"/>
    <w:rsid w:val="00292AFE"/>
    <w:rsid w:val="00292B93"/>
    <w:rsid w:val="00292BB0"/>
    <w:rsid w:val="00292D9D"/>
    <w:rsid w:val="00292EB6"/>
    <w:rsid w:val="00292FEC"/>
    <w:rsid w:val="0029302F"/>
    <w:rsid w:val="0029325C"/>
    <w:rsid w:val="002934BC"/>
    <w:rsid w:val="00293694"/>
    <w:rsid w:val="00293931"/>
    <w:rsid w:val="00293AB0"/>
    <w:rsid w:val="00293AB2"/>
    <w:rsid w:val="00293B14"/>
    <w:rsid w:val="00293CD4"/>
    <w:rsid w:val="00293F43"/>
    <w:rsid w:val="00293FFC"/>
    <w:rsid w:val="00294066"/>
    <w:rsid w:val="0029407D"/>
    <w:rsid w:val="0029438B"/>
    <w:rsid w:val="00294526"/>
    <w:rsid w:val="002947D7"/>
    <w:rsid w:val="0029482A"/>
    <w:rsid w:val="00294972"/>
    <w:rsid w:val="00294A56"/>
    <w:rsid w:val="00294A86"/>
    <w:rsid w:val="00294B82"/>
    <w:rsid w:val="00294E05"/>
    <w:rsid w:val="00295069"/>
    <w:rsid w:val="00295083"/>
    <w:rsid w:val="00295162"/>
    <w:rsid w:val="00295208"/>
    <w:rsid w:val="002954E2"/>
    <w:rsid w:val="00295558"/>
    <w:rsid w:val="0029599F"/>
    <w:rsid w:val="0029629C"/>
    <w:rsid w:val="002964A8"/>
    <w:rsid w:val="00296506"/>
    <w:rsid w:val="00296807"/>
    <w:rsid w:val="00296829"/>
    <w:rsid w:val="002969C7"/>
    <w:rsid w:val="00296A5E"/>
    <w:rsid w:val="00296ACD"/>
    <w:rsid w:val="00296ADC"/>
    <w:rsid w:val="00297191"/>
    <w:rsid w:val="00297244"/>
    <w:rsid w:val="00297246"/>
    <w:rsid w:val="00297285"/>
    <w:rsid w:val="002972E3"/>
    <w:rsid w:val="002973C2"/>
    <w:rsid w:val="00297641"/>
    <w:rsid w:val="0029771F"/>
    <w:rsid w:val="00297763"/>
    <w:rsid w:val="002977EC"/>
    <w:rsid w:val="00297AB3"/>
    <w:rsid w:val="00297C7A"/>
    <w:rsid w:val="00297EBC"/>
    <w:rsid w:val="002A01D9"/>
    <w:rsid w:val="002A0434"/>
    <w:rsid w:val="002A05BE"/>
    <w:rsid w:val="002A06C7"/>
    <w:rsid w:val="002A08CE"/>
    <w:rsid w:val="002A0A5E"/>
    <w:rsid w:val="002A0B20"/>
    <w:rsid w:val="002A0D5B"/>
    <w:rsid w:val="002A0FA5"/>
    <w:rsid w:val="002A10B1"/>
    <w:rsid w:val="002A1373"/>
    <w:rsid w:val="002A14A9"/>
    <w:rsid w:val="002A150A"/>
    <w:rsid w:val="002A1606"/>
    <w:rsid w:val="002A1685"/>
    <w:rsid w:val="002A169F"/>
    <w:rsid w:val="002A1793"/>
    <w:rsid w:val="002A1794"/>
    <w:rsid w:val="002A18F2"/>
    <w:rsid w:val="002A19CD"/>
    <w:rsid w:val="002A1A7B"/>
    <w:rsid w:val="002A1AC7"/>
    <w:rsid w:val="002A1B6A"/>
    <w:rsid w:val="002A1BDE"/>
    <w:rsid w:val="002A1DD0"/>
    <w:rsid w:val="002A1DF3"/>
    <w:rsid w:val="002A1EDE"/>
    <w:rsid w:val="002A1F4A"/>
    <w:rsid w:val="002A1F8F"/>
    <w:rsid w:val="002A1FC3"/>
    <w:rsid w:val="002A2037"/>
    <w:rsid w:val="002A20B4"/>
    <w:rsid w:val="002A2266"/>
    <w:rsid w:val="002A229E"/>
    <w:rsid w:val="002A236B"/>
    <w:rsid w:val="002A24B8"/>
    <w:rsid w:val="002A24BD"/>
    <w:rsid w:val="002A257A"/>
    <w:rsid w:val="002A2590"/>
    <w:rsid w:val="002A2603"/>
    <w:rsid w:val="002A26DF"/>
    <w:rsid w:val="002A2AC8"/>
    <w:rsid w:val="002A2BF7"/>
    <w:rsid w:val="002A2DDD"/>
    <w:rsid w:val="002A2E83"/>
    <w:rsid w:val="002A2F05"/>
    <w:rsid w:val="002A2FFB"/>
    <w:rsid w:val="002A320E"/>
    <w:rsid w:val="002A3294"/>
    <w:rsid w:val="002A341D"/>
    <w:rsid w:val="002A3486"/>
    <w:rsid w:val="002A34BF"/>
    <w:rsid w:val="002A3558"/>
    <w:rsid w:val="002A361E"/>
    <w:rsid w:val="002A3761"/>
    <w:rsid w:val="002A3B14"/>
    <w:rsid w:val="002A3D36"/>
    <w:rsid w:val="002A3F2B"/>
    <w:rsid w:val="002A42B0"/>
    <w:rsid w:val="002A4474"/>
    <w:rsid w:val="002A45CF"/>
    <w:rsid w:val="002A4722"/>
    <w:rsid w:val="002A4848"/>
    <w:rsid w:val="002A494A"/>
    <w:rsid w:val="002A4A81"/>
    <w:rsid w:val="002A4B3D"/>
    <w:rsid w:val="002A4BA0"/>
    <w:rsid w:val="002A4DD1"/>
    <w:rsid w:val="002A4E78"/>
    <w:rsid w:val="002A50D8"/>
    <w:rsid w:val="002A513B"/>
    <w:rsid w:val="002A5203"/>
    <w:rsid w:val="002A5210"/>
    <w:rsid w:val="002A550E"/>
    <w:rsid w:val="002A5DDA"/>
    <w:rsid w:val="002A5FB5"/>
    <w:rsid w:val="002A6687"/>
    <w:rsid w:val="002A6776"/>
    <w:rsid w:val="002A678E"/>
    <w:rsid w:val="002A688B"/>
    <w:rsid w:val="002A68E6"/>
    <w:rsid w:val="002A68EB"/>
    <w:rsid w:val="002A68F6"/>
    <w:rsid w:val="002A6F65"/>
    <w:rsid w:val="002A6F85"/>
    <w:rsid w:val="002A7035"/>
    <w:rsid w:val="002A7243"/>
    <w:rsid w:val="002A72B0"/>
    <w:rsid w:val="002A7659"/>
    <w:rsid w:val="002A7727"/>
    <w:rsid w:val="002A7802"/>
    <w:rsid w:val="002A7A26"/>
    <w:rsid w:val="002A7B61"/>
    <w:rsid w:val="002A7E17"/>
    <w:rsid w:val="002B00FB"/>
    <w:rsid w:val="002B013D"/>
    <w:rsid w:val="002B01FB"/>
    <w:rsid w:val="002B0264"/>
    <w:rsid w:val="002B02B4"/>
    <w:rsid w:val="002B032D"/>
    <w:rsid w:val="002B0550"/>
    <w:rsid w:val="002B07D3"/>
    <w:rsid w:val="002B07F9"/>
    <w:rsid w:val="002B0DB6"/>
    <w:rsid w:val="002B1032"/>
    <w:rsid w:val="002B104A"/>
    <w:rsid w:val="002B10A3"/>
    <w:rsid w:val="002B122C"/>
    <w:rsid w:val="002B125F"/>
    <w:rsid w:val="002B1449"/>
    <w:rsid w:val="002B16DD"/>
    <w:rsid w:val="002B1A89"/>
    <w:rsid w:val="002B1AB0"/>
    <w:rsid w:val="002B1C89"/>
    <w:rsid w:val="002B1E7B"/>
    <w:rsid w:val="002B1F83"/>
    <w:rsid w:val="002B23DC"/>
    <w:rsid w:val="002B282D"/>
    <w:rsid w:val="002B2B0F"/>
    <w:rsid w:val="002B2C36"/>
    <w:rsid w:val="002B2DDE"/>
    <w:rsid w:val="002B30FE"/>
    <w:rsid w:val="002B3316"/>
    <w:rsid w:val="002B33BE"/>
    <w:rsid w:val="002B35DC"/>
    <w:rsid w:val="002B36D5"/>
    <w:rsid w:val="002B3719"/>
    <w:rsid w:val="002B3B48"/>
    <w:rsid w:val="002B3CAC"/>
    <w:rsid w:val="002B3FC5"/>
    <w:rsid w:val="002B409D"/>
    <w:rsid w:val="002B4316"/>
    <w:rsid w:val="002B4436"/>
    <w:rsid w:val="002B4525"/>
    <w:rsid w:val="002B4563"/>
    <w:rsid w:val="002B476B"/>
    <w:rsid w:val="002B4846"/>
    <w:rsid w:val="002B4B20"/>
    <w:rsid w:val="002B4BAE"/>
    <w:rsid w:val="002B4BB8"/>
    <w:rsid w:val="002B4BFB"/>
    <w:rsid w:val="002B4C5A"/>
    <w:rsid w:val="002B4C86"/>
    <w:rsid w:val="002B4CAC"/>
    <w:rsid w:val="002B4DA6"/>
    <w:rsid w:val="002B503D"/>
    <w:rsid w:val="002B50F5"/>
    <w:rsid w:val="002B5301"/>
    <w:rsid w:val="002B535B"/>
    <w:rsid w:val="002B5433"/>
    <w:rsid w:val="002B54F3"/>
    <w:rsid w:val="002B5652"/>
    <w:rsid w:val="002B5658"/>
    <w:rsid w:val="002B56D0"/>
    <w:rsid w:val="002B5838"/>
    <w:rsid w:val="002B5A2A"/>
    <w:rsid w:val="002B5C5C"/>
    <w:rsid w:val="002B5EB6"/>
    <w:rsid w:val="002B6075"/>
    <w:rsid w:val="002B6223"/>
    <w:rsid w:val="002B6323"/>
    <w:rsid w:val="002B637D"/>
    <w:rsid w:val="002B6486"/>
    <w:rsid w:val="002B6540"/>
    <w:rsid w:val="002B6702"/>
    <w:rsid w:val="002B6755"/>
    <w:rsid w:val="002B68C9"/>
    <w:rsid w:val="002B691C"/>
    <w:rsid w:val="002B6A7D"/>
    <w:rsid w:val="002B6ACB"/>
    <w:rsid w:val="002B6CD5"/>
    <w:rsid w:val="002B6E14"/>
    <w:rsid w:val="002B6EF2"/>
    <w:rsid w:val="002B6FA9"/>
    <w:rsid w:val="002B717A"/>
    <w:rsid w:val="002B740E"/>
    <w:rsid w:val="002B7472"/>
    <w:rsid w:val="002B77D0"/>
    <w:rsid w:val="002B77F2"/>
    <w:rsid w:val="002B77F3"/>
    <w:rsid w:val="002B7817"/>
    <w:rsid w:val="002B783C"/>
    <w:rsid w:val="002B7A29"/>
    <w:rsid w:val="002B7B02"/>
    <w:rsid w:val="002B7BF4"/>
    <w:rsid w:val="002B7CAE"/>
    <w:rsid w:val="002B7FB4"/>
    <w:rsid w:val="002C0058"/>
    <w:rsid w:val="002C04DD"/>
    <w:rsid w:val="002C05FC"/>
    <w:rsid w:val="002C06FB"/>
    <w:rsid w:val="002C0820"/>
    <w:rsid w:val="002C0887"/>
    <w:rsid w:val="002C0925"/>
    <w:rsid w:val="002C09E6"/>
    <w:rsid w:val="002C0C77"/>
    <w:rsid w:val="002C0D1E"/>
    <w:rsid w:val="002C0F68"/>
    <w:rsid w:val="002C129D"/>
    <w:rsid w:val="002C129E"/>
    <w:rsid w:val="002C137F"/>
    <w:rsid w:val="002C1457"/>
    <w:rsid w:val="002C16E9"/>
    <w:rsid w:val="002C188B"/>
    <w:rsid w:val="002C1ADF"/>
    <w:rsid w:val="002C1DD5"/>
    <w:rsid w:val="002C2324"/>
    <w:rsid w:val="002C24E8"/>
    <w:rsid w:val="002C2679"/>
    <w:rsid w:val="002C2AF0"/>
    <w:rsid w:val="002C2BE9"/>
    <w:rsid w:val="002C2FB0"/>
    <w:rsid w:val="002C3094"/>
    <w:rsid w:val="002C3243"/>
    <w:rsid w:val="002C32B9"/>
    <w:rsid w:val="002C3498"/>
    <w:rsid w:val="002C377F"/>
    <w:rsid w:val="002C3975"/>
    <w:rsid w:val="002C39F0"/>
    <w:rsid w:val="002C3B0E"/>
    <w:rsid w:val="002C3BEC"/>
    <w:rsid w:val="002C3CD1"/>
    <w:rsid w:val="002C3DA5"/>
    <w:rsid w:val="002C3DAB"/>
    <w:rsid w:val="002C4047"/>
    <w:rsid w:val="002C4199"/>
    <w:rsid w:val="002C4321"/>
    <w:rsid w:val="002C43C5"/>
    <w:rsid w:val="002C4428"/>
    <w:rsid w:val="002C44CC"/>
    <w:rsid w:val="002C44EA"/>
    <w:rsid w:val="002C45C1"/>
    <w:rsid w:val="002C4855"/>
    <w:rsid w:val="002C4A59"/>
    <w:rsid w:val="002C4C2F"/>
    <w:rsid w:val="002C4D02"/>
    <w:rsid w:val="002C5024"/>
    <w:rsid w:val="002C50D9"/>
    <w:rsid w:val="002C51C9"/>
    <w:rsid w:val="002C5208"/>
    <w:rsid w:val="002C52BA"/>
    <w:rsid w:val="002C5466"/>
    <w:rsid w:val="002C54F4"/>
    <w:rsid w:val="002C5538"/>
    <w:rsid w:val="002C5820"/>
    <w:rsid w:val="002C595B"/>
    <w:rsid w:val="002C5976"/>
    <w:rsid w:val="002C5B69"/>
    <w:rsid w:val="002C5DFF"/>
    <w:rsid w:val="002C5E6C"/>
    <w:rsid w:val="002C5EAF"/>
    <w:rsid w:val="002C5FB5"/>
    <w:rsid w:val="002C60D4"/>
    <w:rsid w:val="002C6148"/>
    <w:rsid w:val="002C615B"/>
    <w:rsid w:val="002C6305"/>
    <w:rsid w:val="002C63E0"/>
    <w:rsid w:val="002C6670"/>
    <w:rsid w:val="002C67C3"/>
    <w:rsid w:val="002C6895"/>
    <w:rsid w:val="002C68D9"/>
    <w:rsid w:val="002C6993"/>
    <w:rsid w:val="002C69EB"/>
    <w:rsid w:val="002C6A1F"/>
    <w:rsid w:val="002C6D5B"/>
    <w:rsid w:val="002C6F57"/>
    <w:rsid w:val="002C703C"/>
    <w:rsid w:val="002C70E0"/>
    <w:rsid w:val="002C71E8"/>
    <w:rsid w:val="002C737B"/>
    <w:rsid w:val="002C75C5"/>
    <w:rsid w:val="002C7A9B"/>
    <w:rsid w:val="002C7B6F"/>
    <w:rsid w:val="002C7BF5"/>
    <w:rsid w:val="002C7BFF"/>
    <w:rsid w:val="002C7EB0"/>
    <w:rsid w:val="002C7F49"/>
    <w:rsid w:val="002D01AA"/>
    <w:rsid w:val="002D0223"/>
    <w:rsid w:val="002D0372"/>
    <w:rsid w:val="002D04A5"/>
    <w:rsid w:val="002D080C"/>
    <w:rsid w:val="002D09A2"/>
    <w:rsid w:val="002D0A86"/>
    <w:rsid w:val="002D0B5F"/>
    <w:rsid w:val="002D0C5F"/>
    <w:rsid w:val="002D0CA6"/>
    <w:rsid w:val="002D0F20"/>
    <w:rsid w:val="002D1013"/>
    <w:rsid w:val="002D108C"/>
    <w:rsid w:val="002D10B2"/>
    <w:rsid w:val="002D12B2"/>
    <w:rsid w:val="002D1301"/>
    <w:rsid w:val="002D1305"/>
    <w:rsid w:val="002D13D9"/>
    <w:rsid w:val="002D1484"/>
    <w:rsid w:val="002D1513"/>
    <w:rsid w:val="002D153E"/>
    <w:rsid w:val="002D15A4"/>
    <w:rsid w:val="002D1B21"/>
    <w:rsid w:val="002D1C29"/>
    <w:rsid w:val="002D1D80"/>
    <w:rsid w:val="002D1FED"/>
    <w:rsid w:val="002D2457"/>
    <w:rsid w:val="002D29BF"/>
    <w:rsid w:val="002D2A95"/>
    <w:rsid w:val="002D2BE7"/>
    <w:rsid w:val="002D2C6E"/>
    <w:rsid w:val="002D2CEF"/>
    <w:rsid w:val="002D2D8F"/>
    <w:rsid w:val="002D2DB3"/>
    <w:rsid w:val="002D2EBC"/>
    <w:rsid w:val="002D2FA6"/>
    <w:rsid w:val="002D2FD8"/>
    <w:rsid w:val="002D33F7"/>
    <w:rsid w:val="002D345A"/>
    <w:rsid w:val="002D37AE"/>
    <w:rsid w:val="002D391B"/>
    <w:rsid w:val="002D3BF9"/>
    <w:rsid w:val="002D3CC1"/>
    <w:rsid w:val="002D3F1C"/>
    <w:rsid w:val="002D3F2C"/>
    <w:rsid w:val="002D3F66"/>
    <w:rsid w:val="002D4221"/>
    <w:rsid w:val="002D4335"/>
    <w:rsid w:val="002D4409"/>
    <w:rsid w:val="002D4510"/>
    <w:rsid w:val="002D46B3"/>
    <w:rsid w:val="002D47D0"/>
    <w:rsid w:val="002D4841"/>
    <w:rsid w:val="002D4933"/>
    <w:rsid w:val="002D4A20"/>
    <w:rsid w:val="002D4BC3"/>
    <w:rsid w:val="002D4BD8"/>
    <w:rsid w:val="002D4E8D"/>
    <w:rsid w:val="002D4E99"/>
    <w:rsid w:val="002D4ED9"/>
    <w:rsid w:val="002D4F7E"/>
    <w:rsid w:val="002D4FDC"/>
    <w:rsid w:val="002D51DE"/>
    <w:rsid w:val="002D5215"/>
    <w:rsid w:val="002D5275"/>
    <w:rsid w:val="002D56AC"/>
    <w:rsid w:val="002D5795"/>
    <w:rsid w:val="002D5828"/>
    <w:rsid w:val="002D5B06"/>
    <w:rsid w:val="002D5BFA"/>
    <w:rsid w:val="002D5C1C"/>
    <w:rsid w:val="002D5E61"/>
    <w:rsid w:val="002D60A4"/>
    <w:rsid w:val="002D60CC"/>
    <w:rsid w:val="002D61FD"/>
    <w:rsid w:val="002D62C2"/>
    <w:rsid w:val="002D6509"/>
    <w:rsid w:val="002D657D"/>
    <w:rsid w:val="002D6677"/>
    <w:rsid w:val="002D674F"/>
    <w:rsid w:val="002D6960"/>
    <w:rsid w:val="002D6BDE"/>
    <w:rsid w:val="002D6D9E"/>
    <w:rsid w:val="002D725C"/>
    <w:rsid w:val="002D738D"/>
    <w:rsid w:val="002D739B"/>
    <w:rsid w:val="002D7458"/>
    <w:rsid w:val="002D7594"/>
    <w:rsid w:val="002D7650"/>
    <w:rsid w:val="002D766C"/>
    <w:rsid w:val="002D7745"/>
    <w:rsid w:val="002D7806"/>
    <w:rsid w:val="002D783E"/>
    <w:rsid w:val="002D7898"/>
    <w:rsid w:val="002D79B8"/>
    <w:rsid w:val="002D7D1D"/>
    <w:rsid w:val="002D7DE4"/>
    <w:rsid w:val="002E0349"/>
    <w:rsid w:val="002E03FD"/>
    <w:rsid w:val="002E04F2"/>
    <w:rsid w:val="002E0509"/>
    <w:rsid w:val="002E07C6"/>
    <w:rsid w:val="002E0878"/>
    <w:rsid w:val="002E0E45"/>
    <w:rsid w:val="002E0ED8"/>
    <w:rsid w:val="002E0EEA"/>
    <w:rsid w:val="002E1028"/>
    <w:rsid w:val="002E1133"/>
    <w:rsid w:val="002E123B"/>
    <w:rsid w:val="002E12A2"/>
    <w:rsid w:val="002E13C4"/>
    <w:rsid w:val="002E14BC"/>
    <w:rsid w:val="002E1545"/>
    <w:rsid w:val="002E1560"/>
    <w:rsid w:val="002E173A"/>
    <w:rsid w:val="002E1798"/>
    <w:rsid w:val="002E1804"/>
    <w:rsid w:val="002E18EE"/>
    <w:rsid w:val="002E1BE0"/>
    <w:rsid w:val="002E1C30"/>
    <w:rsid w:val="002E1C6A"/>
    <w:rsid w:val="002E1E31"/>
    <w:rsid w:val="002E1EB9"/>
    <w:rsid w:val="002E221A"/>
    <w:rsid w:val="002E2350"/>
    <w:rsid w:val="002E251D"/>
    <w:rsid w:val="002E2686"/>
    <w:rsid w:val="002E2794"/>
    <w:rsid w:val="002E29CD"/>
    <w:rsid w:val="002E2C5E"/>
    <w:rsid w:val="002E2CCA"/>
    <w:rsid w:val="002E2DAF"/>
    <w:rsid w:val="002E2E37"/>
    <w:rsid w:val="002E2F76"/>
    <w:rsid w:val="002E3129"/>
    <w:rsid w:val="002E3167"/>
    <w:rsid w:val="002E3582"/>
    <w:rsid w:val="002E35B3"/>
    <w:rsid w:val="002E3877"/>
    <w:rsid w:val="002E38AA"/>
    <w:rsid w:val="002E3AAA"/>
    <w:rsid w:val="002E3ABD"/>
    <w:rsid w:val="002E3C9E"/>
    <w:rsid w:val="002E3E15"/>
    <w:rsid w:val="002E3E27"/>
    <w:rsid w:val="002E3E86"/>
    <w:rsid w:val="002E4027"/>
    <w:rsid w:val="002E4189"/>
    <w:rsid w:val="002E427B"/>
    <w:rsid w:val="002E4339"/>
    <w:rsid w:val="002E457E"/>
    <w:rsid w:val="002E470E"/>
    <w:rsid w:val="002E47F5"/>
    <w:rsid w:val="002E4A8D"/>
    <w:rsid w:val="002E4FD5"/>
    <w:rsid w:val="002E543E"/>
    <w:rsid w:val="002E5A1F"/>
    <w:rsid w:val="002E5B02"/>
    <w:rsid w:val="002E5B28"/>
    <w:rsid w:val="002E5E21"/>
    <w:rsid w:val="002E5ED4"/>
    <w:rsid w:val="002E6169"/>
    <w:rsid w:val="002E6365"/>
    <w:rsid w:val="002E64D1"/>
    <w:rsid w:val="002E6586"/>
    <w:rsid w:val="002E6776"/>
    <w:rsid w:val="002E6838"/>
    <w:rsid w:val="002E688C"/>
    <w:rsid w:val="002E6950"/>
    <w:rsid w:val="002E6964"/>
    <w:rsid w:val="002E6A7A"/>
    <w:rsid w:val="002E6B23"/>
    <w:rsid w:val="002E6B5C"/>
    <w:rsid w:val="002E6BE2"/>
    <w:rsid w:val="002E6F84"/>
    <w:rsid w:val="002E6F8D"/>
    <w:rsid w:val="002E7048"/>
    <w:rsid w:val="002E704C"/>
    <w:rsid w:val="002E7380"/>
    <w:rsid w:val="002E73C4"/>
    <w:rsid w:val="002E73DF"/>
    <w:rsid w:val="002E757A"/>
    <w:rsid w:val="002E75CB"/>
    <w:rsid w:val="002E7CD3"/>
    <w:rsid w:val="002E7EE6"/>
    <w:rsid w:val="002F0373"/>
    <w:rsid w:val="002F0434"/>
    <w:rsid w:val="002F0567"/>
    <w:rsid w:val="002F087C"/>
    <w:rsid w:val="002F09C5"/>
    <w:rsid w:val="002F0C92"/>
    <w:rsid w:val="002F0D3D"/>
    <w:rsid w:val="002F0DCD"/>
    <w:rsid w:val="002F0DEB"/>
    <w:rsid w:val="002F0EE5"/>
    <w:rsid w:val="002F0EF5"/>
    <w:rsid w:val="002F0FD7"/>
    <w:rsid w:val="002F1289"/>
    <w:rsid w:val="002F1448"/>
    <w:rsid w:val="002F17BA"/>
    <w:rsid w:val="002F198B"/>
    <w:rsid w:val="002F19CC"/>
    <w:rsid w:val="002F1A3F"/>
    <w:rsid w:val="002F1B2C"/>
    <w:rsid w:val="002F1C69"/>
    <w:rsid w:val="002F1E9E"/>
    <w:rsid w:val="002F21A6"/>
    <w:rsid w:val="002F2201"/>
    <w:rsid w:val="002F25B7"/>
    <w:rsid w:val="002F25FA"/>
    <w:rsid w:val="002F263A"/>
    <w:rsid w:val="002F2872"/>
    <w:rsid w:val="002F2A66"/>
    <w:rsid w:val="002F2BB5"/>
    <w:rsid w:val="002F2CF4"/>
    <w:rsid w:val="002F2F49"/>
    <w:rsid w:val="002F3038"/>
    <w:rsid w:val="002F30E3"/>
    <w:rsid w:val="002F313E"/>
    <w:rsid w:val="002F3250"/>
    <w:rsid w:val="002F3494"/>
    <w:rsid w:val="002F3647"/>
    <w:rsid w:val="002F36DF"/>
    <w:rsid w:val="002F3785"/>
    <w:rsid w:val="002F38BE"/>
    <w:rsid w:val="002F3A8B"/>
    <w:rsid w:val="002F3B9C"/>
    <w:rsid w:val="002F3C9D"/>
    <w:rsid w:val="002F3D6C"/>
    <w:rsid w:val="002F3E44"/>
    <w:rsid w:val="002F3F62"/>
    <w:rsid w:val="002F3FE9"/>
    <w:rsid w:val="002F43B8"/>
    <w:rsid w:val="002F44E4"/>
    <w:rsid w:val="002F465F"/>
    <w:rsid w:val="002F47A5"/>
    <w:rsid w:val="002F4AE2"/>
    <w:rsid w:val="002F4B21"/>
    <w:rsid w:val="002F4E9D"/>
    <w:rsid w:val="002F4F3A"/>
    <w:rsid w:val="002F4F88"/>
    <w:rsid w:val="002F505D"/>
    <w:rsid w:val="002F51F6"/>
    <w:rsid w:val="002F5269"/>
    <w:rsid w:val="002F529A"/>
    <w:rsid w:val="002F5421"/>
    <w:rsid w:val="002F5A25"/>
    <w:rsid w:val="002F5AF8"/>
    <w:rsid w:val="002F5DD5"/>
    <w:rsid w:val="002F5F58"/>
    <w:rsid w:val="002F614D"/>
    <w:rsid w:val="002F6213"/>
    <w:rsid w:val="002F624B"/>
    <w:rsid w:val="002F6405"/>
    <w:rsid w:val="002F6660"/>
    <w:rsid w:val="002F683B"/>
    <w:rsid w:val="002F6A80"/>
    <w:rsid w:val="002F6A9E"/>
    <w:rsid w:val="002F6B77"/>
    <w:rsid w:val="002F6D82"/>
    <w:rsid w:val="002F6E29"/>
    <w:rsid w:val="002F76C6"/>
    <w:rsid w:val="002F76FE"/>
    <w:rsid w:val="002F78DC"/>
    <w:rsid w:val="002F7988"/>
    <w:rsid w:val="002F7C41"/>
    <w:rsid w:val="002F7D4B"/>
    <w:rsid w:val="002F7E85"/>
    <w:rsid w:val="002F7F04"/>
    <w:rsid w:val="002F7FCA"/>
    <w:rsid w:val="003003ED"/>
    <w:rsid w:val="00300447"/>
    <w:rsid w:val="0030046C"/>
    <w:rsid w:val="003004D8"/>
    <w:rsid w:val="0030075A"/>
    <w:rsid w:val="003007EB"/>
    <w:rsid w:val="003009B4"/>
    <w:rsid w:val="00300BD0"/>
    <w:rsid w:val="00300BF8"/>
    <w:rsid w:val="00300D29"/>
    <w:rsid w:val="00300F0F"/>
    <w:rsid w:val="0030101E"/>
    <w:rsid w:val="003011D8"/>
    <w:rsid w:val="0030168F"/>
    <w:rsid w:val="003017E2"/>
    <w:rsid w:val="003017E9"/>
    <w:rsid w:val="003019AA"/>
    <w:rsid w:val="00301A0E"/>
    <w:rsid w:val="00301E49"/>
    <w:rsid w:val="003022EB"/>
    <w:rsid w:val="00302352"/>
    <w:rsid w:val="003023AD"/>
    <w:rsid w:val="003023C8"/>
    <w:rsid w:val="00302407"/>
    <w:rsid w:val="00302540"/>
    <w:rsid w:val="00302726"/>
    <w:rsid w:val="0030277A"/>
    <w:rsid w:val="00302A25"/>
    <w:rsid w:val="00302A8F"/>
    <w:rsid w:val="00302B51"/>
    <w:rsid w:val="00302BE2"/>
    <w:rsid w:val="00302CB0"/>
    <w:rsid w:val="00302F12"/>
    <w:rsid w:val="003030A4"/>
    <w:rsid w:val="003031C3"/>
    <w:rsid w:val="003034EA"/>
    <w:rsid w:val="0030368B"/>
    <w:rsid w:val="003036EF"/>
    <w:rsid w:val="00303821"/>
    <w:rsid w:val="00303823"/>
    <w:rsid w:val="00303B6E"/>
    <w:rsid w:val="00303BBB"/>
    <w:rsid w:val="00303D88"/>
    <w:rsid w:val="00303F1B"/>
    <w:rsid w:val="00303FE7"/>
    <w:rsid w:val="00304027"/>
    <w:rsid w:val="0030420F"/>
    <w:rsid w:val="0030437E"/>
    <w:rsid w:val="00304461"/>
    <w:rsid w:val="003044BD"/>
    <w:rsid w:val="003048CB"/>
    <w:rsid w:val="0030490B"/>
    <w:rsid w:val="00304BFB"/>
    <w:rsid w:val="003051C9"/>
    <w:rsid w:val="003053C2"/>
    <w:rsid w:val="0030550F"/>
    <w:rsid w:val="00305756"/>
    <w:rsid w:val="00305A17"/>
    <w:rsid w:val="00305B90"/>
    <w:rsid w:val="00305BEF"/>
    <w:rsid w:val="00305C76"/>
    <w:rsid w:val="00305DAB"/>
    <w:rsid w:val="00306065"/>
    <w:rsid w:val="0030622B"/>
    <w:rsid w:val="003063BF"/>
    <w:rsid w:val="00306585"/>
    <w:rsid w:val="00306890"/>
    <w:rsid w:val="0030689C"/>
    <w:rsid w:val="00306940"/>
    <w:rsid w:val="0030705C"/>
    <w:rsid w:val="003070EB"/>
    <w:rsid w:val="003071E3"/>
    <w:rsid w:val="003072A2"/>
    <w:rsid w:val="0030753B"/>
    <w:rsid w:val="003077E3"/>
    <w:rsid w:val="00307804"/>
    <w:rsid w:val="003079E3"/>
    <w:rsid w:val="00307CAB"/>
    <w:rsid w:val="00307E7E"/>
    <w:rsid w:val="0031000B"/>
    <w:rsid w:val="00310066"/>
    <w:rsid w:val="003100AF"/>
    <w:rsid w:val="003102BE"/>
    <w:rsid w:val="00310463"/>
    <w:rsid w:val="00310498"/>
    <w:rsid w:val="003104FA"/>
    <w:rsid w:val="003105D5"/>
    <w:rsid w:val="00310853"/>
    <w:rsid w:val="00310968"/>
    <w:rsid w:val="00310BF0"/>
    <w:rsid w:val="00310BF4"/>
    <w:rsid w:val="00310BFE"/>
    <w:rsid w:val="00310CCE"/>
    <w:rsid w:val="00310F0E"/>
    <w:rsid w:val="003111AC"/>
    <w:rsid w:val="003112CB"/>
    <w:rsid w:val="003113E1"/>
    <w:rsid w:val="0031149E"/>
    <w:rsid w:val="00311970"/>
    <w:rsid w:val="003119B9"/>
    <w:rsid w:val="00311A51"/>
    <w:rsid w:val="00311C82"/>
    <w:rsid w:val="00311E48"/>
    <w:rsid w:val="00311EC5"/>
    <w:rsid w:val="00311F92"/>
    <w:rsid w:val="00311FDF"/>
    <w:rsid w:val="00311FFC"/>
    <w:rsid w:val="00312140"/>
    <w:rsid w:val="00312206"/>
    <w:rsid w:val="003123DC"/>
    <w:rsid w:val="003125BA"/>
    <w:rsid w:val="00312603"/>
    <w:rsid w:val="0031265F"/>
    <w:rsid w:val="0031271F"/>
    <w:rsid w:val="003127A2"/>
    <w:rsid w:val="00312A24"/>
    <w:rsid w:val="00312A3D"/>
    <w:rsid w:val="00312AF8"/>
    <w:rsid w:val="00312B21"/>
    <w:rsid w:val="00312BED"/>
    <w:rsid w:val="00312CA1"/>
    <w:rsid w:val="00312D6B"/>
    <w:rsid w:val="00312DCB"/>
    <w:rsid w:val="00312ECE"/>
    <w:rsid w:val="00312F15"/>
    <w:rsid w:val="00312F41"/>
    <w:rsid w:val="00312FDB"/>
    <w:rsid w:val="003130C3"/>
    <w:rsid w:val="00313116"/>
    <w:rsid w:val="00313305"/>
    <w:rsid w:val="00313630"/>
    <w:rsid w:val="00313A4F"/>
    <w:rsid w:val="00313AFA"/>
    <w:rsid w:val="00313B0A"/>
    <w:rsid w:val="00313B57"/>
    <w:rsid w:val="00313C3C"/>
    <w:rsid w:val="00313FD2"/>
    <w:rsid w:val="003141EC"/>
    <w:rsid w:val="0031441B"/>
    <w:rsid w:val="003145F8"/>
    <w:rsid w:val="00314828"/>
    <w:rsid w:val="003148CD"/>
    <w:rsid w:val="0031497A"/>
    <w:rsid w:val="00314A40"/>
    <w:rsid w:val="00314D0B"/>
    <w:rsid w:val="0031533D"/>
    <w:rsid w:val="00315371"/>
    <w:rsid w:val="003153B0"/>
    <w:rsid w:val="0031557C"/>
    <w:rsid w:val="003156B5"/>
    <w:rsid w:val="003158F4"/>
    <w:rsid w:val="00315A13"/>
    <w:rsid w:val="00315A25"/>
    <w:rsid w:val="00315A74"/>
    <w:rsid w:val="00315BFF"/>
    <w:rsid w:val="00315CEB"/>
    <w:rsid w:val="0031607B"/>
    <w:rsid w:val="003163C7"/>
    <w:rsid w:val="003164A0"/>
    <w:rsid w:val="00316697"/>
    <w:rsid w:val="00316719"/>
    <w:rsid w:val="00316A3D"/>
    <w:rsid w:val="00316A48"/>
    <w:rsid w:val="00316B51"/>
    <w:rsid w:val="00316C00"/>
    <w:rsid w:val="00316C3C"/>
    <w:rsid w:val="00316C9A"/>
    <w:rsid w:val="00317128"/>
    <w:rsid w:val="003174A4"/>
    <w:rsid w:val="003174C8"/>
    <w:rsid w:val="003175DF"/>
    <w:rsid w:val="00317601"/>
    <w:rsid w:val="00317768"/>
    <w:rsid w:val="00317A41"/>
    <w:rsid w:val="00317AC5"/>
    <w:rsid w:val="00317B23"/>
    <w:rsid w:val="00317DDC"/>
    <w:rsid w:val="00317FA2"/>
    <w:rsid w:val="003200B9"/>
    <w:rsid w:val="00320A7B"/>
    <w:rsid w:val="00320B1F"/>
    <w:rsid w:val="00320BED"/>
    <w:rsid w:val="00320EC4"/>
    <w:rsid w:val="00320FE8"/>
    <w:rsid w:val="003212BB"/>
    <w:rsid w:val="0032138F"/>
    <w:rsid w:val="0032140D"/>
    <w:rsid w:val="0032141F"/>
    <w:rsid w:val="003214C7"/>
    <w:rsid w:val="0032167F"/>
    <w:rsid w:val="003216FA"/>
    <w:rsid w:val="003219D0"/>
    <w:rsid w:val="00321A0A"/>
    <w:rsid w:val="00321A18"/>
    <w:rsid w:val="00321A1D"/>
    <w:rsid w:val="00321C38"/>
    <w:rsid w:val="0032202F"/>
    <w:rsid w:val="003225E2"/>
    <w:rsid w:val="00322651"/>
    <w:rsid w:val="0032275A"/>
    <w:rsid w:val="003227DB"/>
    <w:rsid w:val="0032296F"/>
    <w:rsid w:val="003229F6"/>
    <w:rsid w:val="00322DAC"/>
    <w:rsid w:val="00322E21"/>
    <w:rsid w:val="00322F64"/>
    <w:rsid w:val="00322FB6"/>
    <w:rsid w:val="003230F2"/>
    <w:rsid w:val="00323153"/>
    <w:rsid w:val="003232D0"/>
    <w:rsid w:val="0032340E"/>
    <w:rsid w:val="003234A5"/>
    <w:rsid w:val="003235A4"/>
    <w:rsid w:val="003236DE"/>
    <w:rsid w:val="00323783"/>
    <w:rsid w:val="00323852"/>
    <w:rsid w:val="0032385C"/>
    <w:rsid w:val="00323966"/>
    <w:rsid w:val="00323A3D"/>
    <w:rsid w:val="00323BEC"/>
    <w:rsid w:val="00323CFB"/>
    <w:rsid w:val="00323D84"/>
    <w:rsid w:val="00323D96"/>
    <w:rsid w:val="0032418A"/>
    <w:rsid w:val="003241C1"/>
    <w:rsid w:val="003241EE"/>
    <w:rsid w:val="00324254"/>
    <w:rsid w:val="00324508"/>
    <w:rsid w:val="00324545"/>
    <w:rsid w:val="0032469C"/>
    <w:rsid w:val="003247B7"/>
    <w:rsid w:val="003248EA"/>
    <w:rsid w:val="003249D4"/>
    <w:rsid w:val="00324CFD"/>
    <w:rsid w:val="00324D54"/>
    <w:rsid w:val="00324E3A"/>
    <w:rsid w:val="00324E5A"/>
    <w:rsid w:val="00325187"/>
    <w:rsid w:val="003253D9"/>
    <w:rsid w:val="00325536"/>
    <w:rsid w:val="0032582F"/>
    <w:rsid w:val="00325926"/>
    <w:rsid w:val="003259F9"/>
    <w:rsid w:val="00325DC5"/>
    <w:rsid w:val="00325F17"/>
    <w:rsid w:val="0032604B"/>
    <w:rsid w:val="00326125"/>
    <w:rsid w:val="0032616D"/>
    <w:rsid w:val="003261A0"/>
    <w:rsid w:val="003262AF"/>
    <w:rsid w:val="003262CF"/>
    <w:rsid w:val="0032639E"/>
    <w:rsid w:val="00326486"/>
    <w:rsid w:val="003264EB"/>
    <w:rsid w:val="00326585"/>
    <w:rsid w:val="00326660"/>
    <w:rsid w:val="0032666F"/>
    <w:rsid w:val="0032679A"/>
    <w:rsid w:val="00326ACB"/>
    <w:rsid w:val="00326B3E"/>
    <w:rsid w:val="00326C0D"/>
    <w:rsid w:val="00326F08"/>
    <w:rsid w:val="00327092"/>
    <w:rsid w:val="0032719B"/>
    <w:rsid w:val="00327363"/>
    <w:rsid w:val="0032736B"/>
    <w:rsid w:val="003273EE"/>
    <w:rsid w:val="00327428"/>
    <w:rsid w:val="003275E1"/>
    <w:rsid w:val="003275E2"/>
    <w:rsid w:val="0032763C"/>
    <w:rsid w:val="003276FC"/>
    <w:rsid w:val="0032773E"/>
    <w:rsid w:val="00327A9E"/>
    <w:rsid w:val="00327CB9"/>
    <w:rsid w:val="00327DB2"/>
    <w:rsid w:val="00327F63"/>
    <w:rsid w:val="0033007C"/>
    <w:rsid w:val="00330268"/>
    <w:rsid w:val="003303F3"/>
    <w:rsid w:val="0033042A"/>
    <w:rsid w:val="00330761"/>
    <w:rsid w:val="003307E5"/>
    <w:rsid w:val="003308A6"/>
    <w:rsid w:val="00330954"/>
    <w:rsid w:val="00330A76"/>
    <w:rsid w:val="00330B40"/>
    <w:rsid w:val="00330D55"/>
    <w:rsid w:val="00330F59"/>
    <w:rsid w:val="00330FDA"/>
    <w:rsid w:val="003310ED"/>
    <w:rsid w:val="0033114C"/>
    <w:rsid w:val="00331521"/>
    <w:rsid w:val="0033188A"/>
    <w:rsid w:val="003319FA"/>
    <w:rsid w:val="00331A53"/>
    <w:rsid w:val="00331B0F"/>
    <w:rsid w:val="00331C4D"/>
    <w:rsid w:val="00331CA3"/>
    <w:rsid w:val="00331CDB"/>
    <w:rsid w:val="00331E93"/>
    <w:rsid w:val="00331F40"/>
    <w:rsid w:val="00332049"/>
    <w:rsid w:val="0033207D"/>
    <w:rsid w:val="00332300"/>
    <w:rsid w:val="003323EF"/>
    <w:rsid w:val="003324D9"/>
    <w:rsid w:val="003325ED"/>
    <w:rsid w:val="003327C3"/>
    <w:rsid w:val="003328FD"/>
    <w:rsid w:val="003329BA"/>
    <w:rsid w:val="00332B2C"/>
    <w:rsid w:val="00332D6B"/>
    <w:rsid w:val="00332D95"/>
    <w:rsid w:val="00333000"/>
    <w:rsid w:val="0033310C"/>
    <w:rsid w:val="00333117"/>
    <w:rsid w:val="003332CB"/>
    <w:rsid w:val="0033352F"/>
    <w:rsid w:val="0033392F"/>
    <w:rsid w:val="00333B7E"/>
    <w:rsid w:val="00333DF8"/>
    <w:rsid w:val="00333E35"/>
    <w:rsid w:val="0033432B"/>
    <w:rsid w:val="003345EE"/>
    <w:rsid w:val="00334648"/>
    <w:rsid w:val="0033476A"/>
    <w:rsid w:val="0033479E"/>
    <w:rsid w:val="003348A7"/>
    <w:rsid w:val="00334A0B"/>
    <w:rsid w:val="00334BC1"/>
    <w:rsid w:val="00334BFA"/>
    <w:rsid w:val="00334FE8"/>
    <w:rsid w:val="00335000"/>
    <w:rsid w:val="003356CA"/>
    <w:rsid w:val="003358BB"/>
    <w:rsid w:val="003358CF"/>
    <w:rsid w:val="00335933"/>
    <w:rsid w:val="00335B3F"/>
    <w:rsid w:val="00335C40"/>
    <w:rsid w:val="00335D19"/>
    <w:rsid w:val="00335EC7"/>
    <w:rsid w:val="00335F0F"/>
    <w:rsid w:val="00335F85"/>
    <w:rsid w:val="0033623F"/>
    <w:rsid w:val="003362C7"/>
    <w:rsid w:val="00336452"/>
    <w:rsid w:val="003365A0"/>
    <w:rsid w:val="003365A8"/>
    <w:rsid w:val="00336F7A"/>
    <w:rsid w:val="00336FF4"/>
    <w:rsid w:val="003370FC"/>
    <w:rsid w:val="0033777D"/>
    <w:rsid w:val="00337CA5"/>
    <w:rsid w:val="00337E42"/>
    <w:rsid w:val="00337E4C"/>
    <w:rsid w:val="00337F3D"/>
    <w:rsid w:val="0034044E"/>
    <w:rsid w:val="0034090B"/>
    <w:rsid w:val="00340A52"/>
    <w:rsid w:val="00340ABB"/>
    <w:rsid w:val="00340B00"/>
    <w:rsid w:val="00340F56"/>
    <w:rsid w:val="00341076"/>
    <w:rsid w:val="003410B2"/>
    <w:rsid w:val="0034112D"/>
    <w:rsid w:val="0034116D"/>
    <w:rsid w:val="003413D5"/>
    <w:rsid w:val="003414E9"/>
    <w:rsid w:val="003414FF"/>
    <w:rsid w:val="003415EF"/>
    <w:rsid w:val="0034178F"/>
    <w:rsid w:val="00341B20"/>
    <w:rsid w:val="00341F88"/>
    <w:rsid w:val="00342043"/>
    <w:rsid w:val="003421DD"/>
    <w:rsid w:val="00342294"/>
    <w:rsid w:val="003425AE"/>
    <w:rsid w:val="00342849"/>
    <w:rsid w:val="003428C3"/>
    <w:rsid w:val="00342942"/>
    <w:rsid w:val="00342A32"/>
    <w:rsid w:val="00342DA2"/>
    <w:rsid w:val="003434EF"/>
    <w:rsid w:val="00343682"/>
    <w:rsid w:val="00343890"/>
    <w:rsid w:val="00343A15"/>
    <w:rsid w:val="00343BF7"/>
    <w:rsid w:val="00343BFF"/>
    <w:rsid w:val="00343C57"/>
    <w:rsid w:val="00343EEB"/>
    <w:rsid w:val="00343F0A"/>
    <w:rsid w:val="00343F1C"/>
    <w:rsid w:val="0034419D"/>
    <w:rsid w:val="003442EC"/>
    <w:rsid w:val="00344541"/>
    <w:rsid w:val="00344783"/>
    <w:rsid w:val="003447E1"/>
    <w:rsid w:val="0034482C"/>
    <w:rsid w:val="00344B05"/>
    <w:rsid w:val="00344CF9"/>
    <w:rsid w:val="00344D78"/>
    <w:rsid w:val="00344DF5"/>
    <w:rsid w:val="00345111"/>
    <w:rsid w:val="003451AF"/>
    <w:rsid w:val="003453BB"/>
    <w:rsid w:val="003455FE"/>
    <w:rsid w:val="003456F0"/>
    <w:rsid w:val="003456FB"/>
    <w:rsid w:val="00345CC9"/>
    <w:rsid w:val="00345F69"/>
    <w:rsid w:val="0034607F"/>
    <w:rsid w:val="003460B4"/>
    <w:rsid w:val="003461D1"/>
    <w:rsid w:val="0034624A"/>
    <w:rsid w:val="00346422"/>
    <w:rsid w:val="00346439"/>
    <w:rsid w:val="00346503"/>
    <w:rsid w:val="00346568"/>
    <w:rsid w:val="003465F7"/>
    <w:rsid w:val="0034694E"/>
    <w:rsid w:val="00346BA9"/>
    <w:rsid w:val="00346CAD"/>
    <w:rsid w:val="00346D72"/>
    <w:rsid w:val="003470B8"/>
    <w:rsid w:val="00347117"/>
    <w:rsid w:val="0034744C"/>
    <w:rsid w:val="0034758C"/>
    <w:rsid w:val="003476DB"/>
    <w:rsid w:val="00347988"/>
    <w:rsid w:val="003479C5"/>
    <w:rsid w:val="00347D30"/>
    <w:rsid w:val="00347D55"/>
    <w:rsid w:val="00347DFD"/>
    <w:rsid w:val="00347F27"/>
    <w:rsid w:val="00347F38"/>
    <w:rsid w:val="0035016D"/>
    <w:rsid w:val="003501CF"/>
    <w:rsid w:val="00350476"/>
    <w:rsid w:val="003504F4"/>
    <w:rsid w:val="003508ED"/>
    <w:rsid w:val="0035099E"/>
    <w:rsid w:val="00350C12"/>
    <w:rsid w:val="00350ED1"/>
    <w:rsid w:val="00350EE0"/>
    <w:rsid w:val="00350FB9"/>
    <w:rsid w:val="003510C9"/>
    <w:rsid w:val="003511FE"/>
    <w:rsid w:val="00351227"/>
    <w:rsid w:val="00351396"/>
    <w:rsid w:val="00351458"/>
    <w:rsid w:val="0035152D"/>
    <w:rsid w:val="003516AF"/>
    <w:rsid w:val="0035184F"/>
    <w:rsid w:val="003518F4"/>
    <w:rsid w:val="00351C87"/>
    <w:rsid w:val="00351D49"/>
    <w:rsid w:val="00351F5F"/>
    <w:rsid w:val="0035202F"/>
    <w:rsid w:val="0035231D"/>
    <w:rsid w:val="0035244C"/>
    <w:rsid w:val="00352579"/>
    <w:rsid w:val="003525B2"/>
    <w:rsid w:val="00352661"/>
    <w:rsid w:val="00352693"/>
    <w:rsid w:val="003526DB"/>
    <w:rsid w:val="003527B6"/>
    <w:rsid w:val="003528AD"/>
    <w:rsid w:val="00352C07"/>
    <w:rsid w:val="00352CBA"/>
    <w:rsid w:val="0035319D"/>
    <w:rsid w:val="003531A8"/>
    <w:rsid w:val="003536CC"/>
    <w:rsid w:val="003536FF"/>
    <w:rsid w:val="0035376F"/>
    <w:rsid w:val="003538BE"/>
    <w:rsid w:val="003538FA"/>
    <w:rsid w:val="00353AAF"/>
    <w:rsid w:val="00353BB3"/>
    <w:rsid w:val="00353D0E"/>
    <w:rsid w:val="00353D64"/>
    <w:rsid w:val="00353E11"/>
    <w:rsid w:val="00353E20"/>
    <w:rsid w:val="00353EB0"/>
    <w:rsid w:val="00353FC3"/>
    <w:rsid w:val="00354049"/>
    <w:rsid w:val="003541A7"/>
    <w:rsid w:val="0035444B"/>
    <w:rsid w:val="00354514"/>
    <w:rsid w:val="00354922"/>
    <w:rsid w:val="00354CCE"/>
    <w:rsid w:val="003550A0"/>
    <w:rsid w:val="003550EC"/>
    <w:rsid w:val="00355193"/>
    <w:rsid w:val="00355208"/>
    <w:rsid w:val="00355294"/>
    <w:rsid w:val="00355300"/>
    <w:rsid w:val="0035562A"/>
    <w:rsid w:val="00355841"/>
    <w:rsid w:val="00355891"/>
    <w:rsid w:val="0035598A"/>
    <w:rsid w:val="00355A78"/>
    <w:rsid w:val="00355A8C"/>
    <w:rsid w:val="00355ACD"/>
    <w:rsid w:val="00355AEC"/>
    <w:rsid w:val="00355BFC"/>
    <w:rsid w:val="00355CE7"/>
    <w:rsid w:val="00355D1D"/>
    <w:rsid w:val="00355E47"/>
    <w:rsid w:val="00355F8B"/>
    <w:rsid w:val="003561E8"/>
    <w:rsid w:val="00356201"/>
    <w:rsid w:val="00356238"/>
    <w:rsid w:val="0035632C"/>
    <w:rsid w:val="0035633E"/>
    <w:rsid w:val="003565E2"/>
    <w:rsid w:val="00356855"/>
    <w:rsid w:val="00356B21"/>
    <w:rsid w:val="00356E1E"/>
    <w:rsid w:val="0035703E"/>
    <w:rsid w:val="0035707D"/>
    <w:rsid w:val="00357097"/>
    <w:rsid w:val="003571FF"/>
    <w:rsid w:val="00357294"/>
    <w:rsid w:val="003572EE"/>
    <w:rsid w:val="00357535"/>
    <w:rsid w:val="00357640"/>
    <w:rsid w:val="0035779C"/>
    <w:rsid w:val="0035781B"/>
    <w:rsid w:val="00357992"/>
    <w:rsid w:val="00357C33"/>
    <w:rsid w:val="00357CAD"/>
    <w:rsid w:val="00357F5B"/>
    <w:rsid w:val="00357FDB"/>
    <w:rsid w:val="00357FFB"/>
    <w:rsid w:val="00360041"/>
    <w:rsid w:val="003600C0"/>
    <w:rsid w:val="003600FC"/>
    <w:rsid w:val="0036041F"/>
    <w:rsid w:val="003604CB"/>
    <w:rsid w:val="0036059E"/>
    <w:rsid w:val="00360603"/>
    <w:rsid w:val="003608D5"/>
    <w:rsid w:val="00360A62"/>
    <w:rsid w:val="00360B58"/>
    <w:rsid w:val="00360D0B"/>
    <w:rsid w:val="00360E71"/>
    <w:rsid w:val="00360E9E"/>
    <w:rsid w:val="00360F11"/>
    <w:rsid w:val="00360FF2"/>
    <w:rsid w:val="00361096"/>
    <w:rsid w:val="00361194"/>
    <w:rsid w:val="00361262"/>
    <w:rsid w:val="003612AC"/>
    <w:rsid w:val="00361347"/>
    <w:rsid w:val="00361371"/>
    <w:rsid w:val="003617C6"/>
    <w:rsid w:val="00361814"/>
    <w:rsid w:val="0036192C"/>
    <w:rsid w:val="00361A82"/>
    <w:rsid w:val="00361CCC"/>
    <w:rsid w:val="00361CE8"/>
    <w:rsid w:val="00361D23"/>
    <w:rsid w:val="00361E1F"/>
    <w:rsid w:val="00362077"/>
    <w:rsid w:val="00362227"/>
    <w:rsid w:val="003623AA"/>
    <w:rsid w:val="0036246C"/>
    <w:rsid w:val="0036250E"/>
    <w:rsid w:val="00362870"/>
    <w:rsid w:val="003628AA"/>
    <w:rsid w:val="00362AE1"/>
    <w:rsid w:val="00362DB7"/>
    <w:rsid w:val="00362DBD"/>
    <w:rsid w:val="00362F7A"/>
    <w:rsid w:val="00362FF2"/>
    <w:rsid w:val="00363011"/>
    <w:rsid w:val="003635FF"/>
    <w:rsid w:val="003637FC"/>
    <w:rsid w:val="003638A3"/>
    <w:rsid w:val="003638C2"/>
    <w:rsid w:val="00363A13"/>
    <w:rsid w:val="00363B3A"/>
    <w:rsid w:val="00363B57"/>
    <w:rsid w:val="00363BA2"/>
    <w:rsid w:val="00363BF4"/>
    <w:rsid w:val="00363C3F"/>
    <w:rsid w:val="00363DF0"/>
    <w:rsid w:val="00363ECD"/>
    <w:rsid w:val="00364198"/>
    <w:rsid w:val="0036427C"/>
    <w:rsid w:val="00364372"/>
    <w:rsid w:val="00364581"/>
    <w:rsid w:val="003649B4"/>
    <w:rsid w:val="00364A3C"/>
    <w:rsid w:val="00364E87"/>
    <w:rsid w:val="00364EC9"/>
    <w:rsid w:val="003651A0"/>
    <w:rsid w:val="003653BD"/>
    <w:rsid w:val="003656E2"/>
    <w:rsid w:val="0036574B"/>
    <w:rsid w:val="00365B18"/>
    <w:rsid w:val="00365C96"/>
    <w:rsid w:val="00365CE1"/>
    <w:rsid w:val="00365F32"/>
    <w:rsid w:val="00366121"/>
    <w:rsid w:val="00366383"/>
    <w:rsid w:val="00366451"/>
    <w:rsid w:val="00366DC9"/>
    <w:rsid w:val="00366F04"/>
    <w:rsid w:val="003670E2"/>
    <w:rsid w:val="003671E9"/>
    <w:rsid w:val="003671FF"/>
    <w:rsid w:val="00367428"/>
    <w:rsid w:val="0036742D"/>
    <w:rsid w:val="00367747"/>
    <w:rsid w:val="0036784C"/>
    <w:rsid w:val="003678B3"/>
    <w:rsid w:val="00367920"/>
    <w:rsid w:val="00367990"/>
    <w:rsid w:val="00367C0F"/>
    <w:rsid w:val="00367CF1"/>
    <w:rsid w:val="00367EF3"/>
    <w:rsid w:val="0037007A"/>
    <w:rsid w:val="00370402"/>
    <w:rsid w:val="00370813"/>
    <w:rsid w:val="00370905"/>
    <w:rsid w:val="00370B65"/>
    <w:rsid w:val="00370E49"/>
    <w:rsid w:val="00370EC3"/>
    <w:rsid w:val="00370FB1"/>
    <w:rsid w:val="00370FD6"/>
    <w:rsid w:val="0037114D"/>
    <w:rsid w:val="00371158"/>
    <w:rsid w:val="0037118C"/>
    <w:rsid w:val="003711C2"/>
    <w:rsid w:val="0037123C"/>
    <w:rsid w:val="00371260"/>
    <w:rsid w:val="00371266"/>
    <w:rsid w:val="00371401"/>
    <w:rsid w:val="003717AD"/>
    <w:rsid w:val="003717F5"/>
    <w:rsid w:val="00371B44"/>
    <w:rsid w:val="00371BBB"/>
    <w:rsid w:val="00371DB0"/>
    <w:rsid w:val="003720DE"/>
    <w:rsid w:val="00372363"/>
    <w:rsid w:val="0037236F"/>
    <w:rsid w:val="003724DC"/>
    <w:rsid w:val="003727CF"/>
    <w:rsid w:val="003729F6"/>
    <w:rsid w:val="00372A4E"/>
    <w:rsid w:val="00372DC8"/>
    <w:rsid w:val="00372E20"/>
    <w:rsid w:val="00372EA4"/>
    <w:rsid w:val="0037300E"/>
    <w:rsid w:val="003731D4"/>
    <w:rsid w:val="00373779"/>
    <w:rsid w:val="00373879"/>
    <w:rsid w:val="00373A6C"/>
    <w:rsid w:val="00373B3B"/>
    <w:rsid w:val="00373D32"/>
    <w:rsid w:val="00373E3D"/>
    <w:rsid w:val="00373F80"/>
    <w:rsid w:val="00373FA2"/>
    <w:rsid w:val="0037467A"/>
    <w:rsid w:val="003746E3"/>
    <w:rsid w:val="00374B59"/>
    <w:rsid w:val="00374D4C"/>
    <w:rsid w:val="00374D7B"/>
    <w:rsid w:val="00375084"/>
    <w:rsid w:val="00375126"/>
    <w:rsid w:val="003751A5"/>
    <w:rsid w:val="0037534C"/>
    <w:rsid w:val="00375373"/>
    <w:rsid w:val="0037546D"/>
    <w:rsid w:val="003756AC"/>
    <w:rsid w:val="00375743"/>
    <w:rsid w:val="00375846"/>
    <w:rsid w:val="00375AB2"/>
    <w:rsid w:val="00375C0B"/>
    <w:rsid w:val="00375CD4"/>
    <w:rsid w:val="00375E69"/>
    <w:rsid w:val="00375FD6"/>
    <w:rsid w:val="00376146"/>
    <w:rsid w:val="0037649F"/>
    <w:rsid w:val="00376501"/>
    <w:rsid w:val="003766B2"/>
    <w:rsid w:val="0037671E"/>
    <w:rsid w:val="003767B0"/>
    <w:rsid w:val="0037691F"/>
    <w:rsid w:val="00376AD0"/>
    <w:rsid w:val="00376C53"/>
    <w:rsid w:val="00376D62"/>
    <w:rsid w:val="00376D83"/>
    <w:rsid w:val="00376D99"/>
    <w:rsid w:val="00376F3B"/>
    <w:rsid w:val="003771FF"/>
    <w:rsid w:val="003776DD"/>
    <w:rsid w:val="003779E0"/>
    <w:rsid w:val="00377AC0"/>
    <w:rsid w:val="00377B40"/>
    <w:rsid w:val="00377C11"/>
    <w:rsid w:val="00377E55"/>
    <w:rsid w:val="00377ECF"/>
    <w:rsid w:val="003801F9"/>
    <w:rsid w:val="00380202"/>
    <w:rsid w:val="0038032C"/>
    <w:rsid w:val="003803EF"/>
    <w:rsid w:val="00380576"/>
    <w:rsid w:val="00380592"/>
    <w:rsid w:val="00380644"/>
    <w:rsid w:val="00380645"/>
    <w:rsid w:val="00380729"/>
    <w:rsid w:val="0038072D"/>
    <w:rsid w:val="00380970"/>
    <w:rsid w:val="00380CA5"/>
    <w:rsid w:val="00380CCA"/>
    <w:rsid w:val="00381063"/>
    <w:rsid w:val="003810F0"/>
    <w:rsid w:val="00381124"/>
    <w:rsid w:val="00381207"/>
    <w:rsid w:val="00381304"/>
    <w:rsid w:val="00381407"/>
    <w:rsid w:val="003814BB"/>
    <w:rsid w:val="00381CBB"/>
    <w:rsid w:val="00381F33"/>
    <w:rsid w:val="00382038"/>
    <w:rsid w:val="00382568"/>
    <w:rsid w:val="003828CF"/>
    <w:rsid w:val="00382919"/>
    <w:rsid w:val="00382B07"/>
    <w:rsid w:val="00382C7E"/>
    <w:rsid w:val="00382F01"/>
    <w:rsid w:val="00382F34"/>
    <w:rsid w:val="00382F96"/>
    <w:rsid w:val="0038306B"/>
    <w:rsid w:val="00383121"/>
    <w:rsid w:val="00383155"/>
    <w:rsid w:val="00383215"/>
    <w:rsid w:val="003833D3"/>
    <w:rsid w:val="00383556"/>
    <w:rsid w:val="00383604"/>
    <w:rsid w:val="00383619"/>
    <w:rsid w:val="003836F2"/>
    <w:rsid w:val="00383868"/>
    <w:rsid w:val="00383CBF"/>
    <w:rsid w:val="00383CD3"/>
    <w:rsid w:val="00383DB7"/>
    <w:rsid w:val="0038400A"/>
    <w:rsid w:val="003842BD"/>
    <w:rsid w:val="00384354"/>
    <w:rsid w:val="00384518"/>
    <w:rsid w:val="00384788"/>
    <w:rsid w:val="00384A20"/>
    <w:rsid w:val="00384CE4"/>
    <w:rsid w:val="00384EF9"/>
    <w:rsid w:val="00384F14"/>
    <w:rsid w:val="003850AD"/>
    <w:rsid w:val="003850CF"/>
    <w:rsid w:val="003851C8"/>
    <w:rsid w:val="0038525E"/>
    <w:rsid w:val="00385439"/>
    <w:rsid w:val="003855B2"/>
    <w:rsid w:val="00385945"/>
    <w:rsid w:val="0038596B"/>
    <w:rsid w:val="00385A32"/>
    <w:rsid w:val="00385A5C"/>
    <w:rsid w:val="00385AE8"/>
    <w:rsid w:val="00385B24"/>
    <w:rsid w:val="00385B38"/>
    <w:rsid w:val="00385B7E"/>
    <w:rsid w:val="00385C31"/>
    <w:rsid w:val="00385D0C"/>
    <w:rsid w:val="00385DCA"/>
    <w:rsid w:val="00385E3E"/>
    <w:rsid w:val="00385E7E"/>
    <w:rsid w:val="00385F1F"/>
    <w:rsid w:val="0038651C"/>
    <w:rsid w:val="003865BB"/>
    <w:rsid w:val="00386658"/>
    <w:rsid w:val="003866AE"/>
    <w:rsid w:val="0038691E"/>
    <w:rsid w:val="00386A09"/>
    <w:rsid w:val="00386A3A"/>
    <w:rsid w:val="00386B3D"/>
    <w:rsid w:val="00386B7E"/>
    <w:rsid w:val="00386BB9"/>
    <w:rsid w:val="00386BC1"/>
    <w:rsid w:val="00386BE2"/>
    <w:rsid w:val="00386C63"/>
    <w:rsid w:val="00386E9A"/>
    <w:rsid w:val="00386F71"/>
    <w:rsid w:val="00386FC0"/>
    <w:rsid w:val="00387285"/>
    <w:rsid w:val="0038735A"/>
    <w:rsid w:val="0038739C"/>
    <w:rsid w:val="003873FC"/>
    <w:rsid w:val="0038743C"/>
    <w:rsid w:val="0038768D"/>
    <w:rsid w:val="003876F6"/>
    <w:rsid w:val="00387B74"/>
    <w:rsid w:val="00387C26"/>
    <w:rsid w:val="00387C73"/>
    <w:rsid w:val="00387D3A"/>
    <w:rsid w:val="00390249"/>
    <w:rsid w:val="0039043D"/>
    <w:rsid w:val="0039048D"/>
    <w:rsid w:val="00390636"/>
    <w:rsid w:val="0039068D"/>
    <w:rsid w:val="00390765"/>
    <w:rsid w:val="00390AC8"/>
    <w:rsid w:val="00390BA7"/>
    <w:rsid w:val="00390BD9"/>
    <w:rsid w:val="00390D3B"/>
    <w:rsid w:val="00390D4B"/>
    <w:rsid w:val="00390D70"/>
    <w:rsid w:val="00391206"/>
    <w:rsid w:val="003918A2"/>
    <w:rsid w:val="0039198D"/>
    <w:rsid w:val="00391AFF"/>
    <w:rsid w:val="00391BB3"/>
    <w:rsid w:val="00391BCA"/>
    <w:rsid w:val="003922EC"/>
    <w:rsid w:val="003925A3"/>
    <w:rsid w:val="003925EE"/>
    <w:rsid w:val="0039260F"/>
    <w:rsid w:val="00392833"/>
    <w:rsid w:val="003928E5"/>
    <w:rsid w:val="00392B04"/>
    <w:rsid w:val="00392BB5"/>
    <w:rsid w:val="00392F4C"/>
    <w:rsid w:val="00392F9F"/>
    <w:rsid w:val="0039315E"/>
    <w:rsid w:val="00393166"/>
    <w:rsid w:val="0039320D"/>
    <w:rsid w:val="0039324E"/>
    <w:rsid w:val="0039334F"/>
    <w:rsid w:val="00393627"/>
    <w:rsid w:val="003936D3"/>
    <w:rsid w:val="003939E2"/>
    <w:rsid w:val="00393B1F"/>
    <w:rsid w:val="00393B2B"/>
    <w:rsid w:val="00393CA9"/>
    <w:rsid w:val="00393CBA"/>
    <w:rsid w:val="00393DAA"/>
    <w:rsid w:val="00393F54"/>
    <w:rsid w:val="00393FA3"/>
    <w:rsid w:val="0039409E"/>
    <w:rsid w:val="003941DA"/>
    <w:rsid w:val="003944F0"/>
    <w:rsid w:val="00394562"/>
    <w:rsid w:val="003945CD"/>
    <w:rsid w:val="003946D0"/>
    <w:rsid w:val="00394774"/>
    <w:rsid w:val="00394952"/>
    <w:rsid w:val="00394A22"/>
    <w:rsid w:val="00394AA1"/>
    <w:rsid w:val="00394BCC"/>
    <w:rsid w:val="00394F62"/>
    <w:rsid w:val="0039505C"/>
    <w:rsid w:val="00395265"/>
    <w:rsid w:val="003952C9"/>
    <w:rsid w:val="003952E3"/>
    <w:rsid w:val="00395380"/>
    <w:rsid w:val="0039543E"/>
    <w:rsid w:val="0039562E"/>
    <w:rsid w:val="00395680"/>
    <w:rsid w:val="0039598B"/>
    <w:rsid w:val="003959B9"/>
    <w:rsid w:val="00395A50"/>
    <w:rsid w:val="00395E05"/>
    <w:rsid w:val="00395FD1"/>
    <w:rsid w:val="0039604A"/>
    <w:rsid w:val="003961DA"/>
    <w:rsid w:val="00396200"/>
    <w:rsid w:val="003962E3"/>
    <w:rsid w:val="003962F3"/>
    <w:rsid w:val="0039631B"/>
    <w:rsid w:val="00396336"/>
    <w:rsid w:val="00396338"/>
    <w:rsid w:val="00396388"/>
    <w:rsid w:val="0039638D"/>
    <w:rsid w:val="003963BD"/>
    <w:rsid w:val="003965D4"/>
    <w:rsid w:val="003965E5"/>
    <w:rsid w:val="0039686B"/>
    <w:rsid w:val="0039695B"/>
    <w:rsid w:val="00396B48"/>
    <w:rsid w:val="00396D5F"/>
    <w:rsid w:val="003972E6"/>
    <w:rsid w:val="003974EB"/>
    <w:rsid w:val="0039755D"/>
    <w:rsid w:val="00397569"/>
    <w:rsid w:val="0039775C"/>
    <w:rsid w:val="003977F2"/>
    <w:rsid w:val="00397944"/>
    <w:rsid w:val="003979B0"/>
    <w:rsid w:val="00397AFC"/>
    <w:rsid w:val="00397B17"/>
    <w:rsid w:val="00397BC9"/>
    <w:rsid w:val="00397C8F"/>
    <w:rsid w:val="00397DB4"/>
    <w:rsid w:val="003A0309"/>
    <w:rsid w:val="003A03A0"/>
    <w:rsid w:val="003A07E0"/>
    <w:rsid w:val="003A0990"/>
    <w:rsid w:val="003A09BF"/>
    <w:rsid w:val="003A0B37"/>
    <w:rsid w:val="003A0B8B"/>
    <w:rsid w:val="003A0C36"/>
    <w:rsid w:val="003A0D94"/>
    <w:rsid w:val="003A0DB6"/>
    <w:rsid w:val="003A0DB7"/>
    <w:rsid w:val="003A0E68"/>
    <w:rsid w:val="003A0F1A"/>
    <w:rsid w:val="003A140B"/>
    <w:rsid w:val="003A1474"/>
    <w:rsid w:val="003A1876"/>
    <w:rsid w:val="003A187A"/>
    <w:rsid w:val="003A194F"/>
    <w:rsid w:val="003A1CD4"/>
    <w:rsid w:val="003A1D08"/>
    <w:rsid w:val="003A1DB4"/>
    <w:rsid w:val="003A1E58"/>
    <w:rsid w:val="003A24D9"/>
    <w:rsid w:val="003A250B"/>
    <w:rsid w:val="003A252F"/>
    <w:rsid w:val="003A2613"/>
    <w:rsid w:val="003A2728"/>
    <w:rsid w:val="003A27E0"/>
    <w:rsid w:val="003A2933"/>
    <w:rsid w:val="003A29DB"/>
    <w:rsid w:val="003A2BD4"/>
    <w:rsid w:val="003A2EBE"/>
    <w:rsid w:val="003A2F7C"/>
    <w:rsid w:val="003A2F8C"/>
    <w:rsid w:val="003A3257"/>
    <w:rsid w:val="003A3429"/>
    <w:rsid w:val="003A344C"/>
    <w:rsid w:val="003A34CB"/>
    <w:rsid w:val="003A387C"/>
    <w:rsid w:val="003A38FD"/>
    <w:rsid w:val="003A3908"/>
    <w:rsid w:val="003A3B85"/>
    <w:rsid w:val="003A3E3F"/>
    <w:rsid w:val="003A3E70"/>
    <w:rsid w:val="003A3E91"/>
    <w:rsid w:val="003A3ED4"/>
    <w:rsid w:val="003A3F1F"/>
    <w:rsid w:val="003A3FE8"/>
    <w:rsid w:val="003A40A2"/>
    <w:rsid w:val="003A40BD"/>
    <w:rsid w:val="003A4113"/>
    <w:rsid w:val="003A4281"/>
    <w:rsid w:val="003A434A"/>
    <w:rsid w:val="003A43BA"/>
    <w:rsid w:val="003A4461"/>
    <w:rsid w:val="003A4462"/>
    <w:rsid w:val="003A4557"/>
    <w:rsid w:val="003A45C3"/>
    <w:rsid w:val="003A4681"/>
    <w:rsid w:val="003A490F"/>
    <w:rsid w:val="003A4BB2"/>
    <w:rsid w:val="003A4CF8"/>
    <w:rsid w:val="003A4F05"/>
    <w:rsid w:val="003A502B"/>
    <w:rsid w:val="003A50AA"/>
    <w:rsid w:val="003A53F0"/>
    <w:rsid w:val="003A58ED"/>
    <w:rsid w:val="003A5AD9"/>
    <w:rsid w:val="003A5CDC"/>
    <w:rsid w:val="003A5E51"/>
    <w:rsid w:val="003A6158"/>
    <w:rsid w:val="003A61A7"/>
    <w:rsid w:val="003A632E"/>
    <w:rsid w:val="003A6391"/>
    <w:rsid w:val="003A651C"/>
    <w:rsid w:val="003A69BF"/>
    <w:rsid w:val="003A6B3D"/>
    <w:rsid w:val="003A6D92"/>
    <w:rsid w:val="003A6E9F"/>
    <w:rsid w:val="003A70B5"/>
    <w:rsid w:val="003A7164"/>
    <w:rsid w:val="003A718A"/>
    <w:rsid w:val="003A7343"/>
    <w:rsid w:val="003A734A"/>
    <w:rsid w:val="003A73B6"/>
    <w:rsid w:val="003A7444"/>
    <w:rsid w:val="003A7541"/>
    <w:rsid w:val="003A76E7"/>
    <w:rsid w:val="003A78BD"/>
    <w:rsid w:val="003A79B3"/>
    <w:rsid w:val="003A7C5A"/>
    <w:rsid w:val="003A7D0E"/>
    <w:rsid w:val="003A7DFC"/>
    <w:rsid w:val="003A7E2E"/>
    <w:rsid w:val="003A7F6A"/>
    <w:rsid w:val="003B0188"/>
    <w:rsid w:val="003B021C"/>
    <w:rsid w:val="003B0589"/>
    <w:rsid w:val="003B07D7"/>
    <w:rsid w:val="003B0E3C"/>
    <w:rsid w:val="003B11E5"/>
    <w:rsid w:val="003B12CB"/>
    <w:rsid w:val="003B13C3"/>
    <w:rsid w:val="003B15C5"/>
    <w:rsid w:val="003B15C6"/>
    <w:rsid w:val="003B1755"/>
    <w:rsid w:val="003B17AC"/>
    <w:rsid w:val="003B17C7"/>
    <w:rsid w:val="003B1A1E"/>
    <w:rsid w:val="003B1A37"/>
    <w:rsid w:val="003B1A44"/>
    <w:rsid w:val="003B1B83"/>
    <w:rsid w:val="003B1CDF"/>
    <w:rsid w:val="003B1DA2"/>
    <w:rsid w:val="003B1E14"/>
    <w:rsid w:val="003B1EAD"/>
    <w:rsid w:val="003B24F0"/>
    <w:rsid w:val="003B24F3"/>
    <w:rsid w:val="003B2775"/>
    <w:rsid w:val="003B2B39"/>
    <w:rsid w:val="003B2B4F"/>
    <w:rsid w:val="003B2C8B"/>
    <w:rsid w:val="003B2D76"/>
    <w:rsid w:val="003B2E75"/>
    <w:rsid w:val="003B3003"/>
    <w:rsid w:val="003B36A2"/>
    <w:rsid w:val="003B379F"/>
    <w:rsid w:val="003B3822"/>
    <w:rsid w:val="003B38BF"/>
    <w:rsid w:val="003B39A6"/>
    <w:rsid w:val="003B3B11"/>
    <w:rsid w:val="003B3C0D"/>
    <w:rsid w:val="003B3D7C"/>
    <w:rsid w:val="003B3F7D"/>
    <w:rsid w:val="003B409A"/>
    <w:rsid w:val="003B4180"/>
    <w:rsid w:val="003B455F"/>
    <w:rsid w:val="003B4624"/>
    <w:rsid w:val="003B4728"/>
    <w:rsid w:val="003B47BD"/>
    <w:rsid w:val="003B480F"/>
    <w:rsid w:val="003B4867"/>
    <w:rsid w:val="003B4B63"/>
    <w:rsid w:val="003B4B9A"/>
    <w:rsid w:val="003B4E2F"/>
    <w:rsid w:val="003B4E31"/>
    <w:rsid w:val="003B4EC4"/>
    <w:rsid w:val="003B4EC6"/>
    <w:rsid w:val="003B4F65"/>
    <w:rsid w:val="003B4FDD"/>
    <w:rsid w:val="003B507C"/>
    <w:rsid w:val="003B50BE"/>
    <w:rsid w:val="003B5165"/>
    <w:rsid w:val="003B529C"/>
    <w:rsid w:val="003B52AE"/>
    <w:rsid w:val="003B5552"/>
    <w:rsid w:val="003B5B07"/>
    <w:rsid w:val="003B5B6C"/>
    <w:rsid w:val="003B5D20"/>
    <w:rsid w:val="003B5D92"/>
    <w:rsid w:val="003B5F58"/>
    <w:rsid w:val="003B6004"/>
    <w:rsid w:val="003B61B7"/>
    <w:rsid w:val="003B6223"/>
    <w:rsid w:val="003B6596"/>
    <w:rsid w:val="003B677D"/>
    <w:rsid w:val="003B6919"/>
    <w:rsid w:val="003B6AF8"/>
    <w:rsid w:val="003B6C98"/>
    <w:rsid w:val="003B6E1B"/>
    <w:rsid w:val="003B7450"/>
    <w:rsid w:val="003B75E0"/>
    <w:rsid w:val="003B75E8"/>
    <w:rsid w:val="003B77AA"/>
    <w:rsid w:val="003B788D"/>
    <w:rsid w:val="003B7A89"/>
    <w:rsid w:val="003B7AE6"/>
    <w:rsid w:val="003B7B57"/>
    <w:rsid w:val="003B7C4C"/>
    <w:rsid w:val="003B7EBE"/>
    <w:rsid w:val="003B7F9C"/>
    <w:rsid w:val="003C00F0"/>
    <w:rsid w:val="003C0203"/>
    <w:rsid w:val="003C03AD"/>
    <w:rsid w:val="003C06C3"/>
    <w:rsid w:val="003C0700"/>
    <w:rsid w:val="003C0811"/>
    <w:rsid w:val="003C0945"/>
    <w:rsid w:val="003C0B6C"/>
    <w:rsid w:val="003C0ED1"/>
    <w:rsid w:val="003C0F06"/>
    <w:rsid w:val="003C102B"/>
    <w:rsid w:val="003C11F6"/>
    <w:rsid w:val="003C133E"/>
    <w:rsid w:val="003C14FA"/>
    <w:rsid w:val="003C156B"/>
    <w:rsid w:val="003C15C5"/>
    <w:rsid w:val="003C17F6"/>
    <w:rsid w:val="003C18DC"/>
    <w:rsid w:val="003C18FB"/>
    <w:rsid w:val="003C197B"/>
    <w:rsid w:val="003C1CB1"/>
    <w:rsid w:val="003C1CD8"/>
    <w:rsid w:val="003C1FD1"/>
    <w:rsid w:val="003C1FF1"/>
    <w:rsid w:val="003C210F"/>
    <w:rsid w:val="003C21D9"/>
    <w:rsid w:val="003C21EB"/>
    <w:rsid w:val="003C2235"/>
    <w:rsid w:val="003C2309"/>
    <w:rsid w:val="003C2882"/>
    <w:rsid w:val="003C29BD"/>
    <w:rsid w:val="003C2A2E"/>
    <w:rsid w:val="003C2A75"/>
    <w:rsid w:val="003C2ACA"/>
    <w:rsid w:val="003C2ADD"/>
    <w:rsid w:val="003C2BEC"/>
    <w:rsid w:val="003C2C01"/>
    <w:rsid w:val="003C2CC5"/>
    <w:rsid w:val="003C2DB3"/>
    <w:rsid w:val="003C2E28"/>
    <w:rsid w:val="003C2F5B"/>
    <w:rsid w:val="003C311E"/>
    <w:rsid w:val="003C3283"/>
    <w:rsid w:val="003C336C"/>
    <w:rsid w:val="003C336E"/>
    <w:rsid w:val="003C3457"/>
    <w:rsid w:val="003C346D"/>
    <w:rsid w:val="003C363B"/>
    <w:rsid w:val="003C36B5"/>
    <w:rsid w:val="003C370D"/>
    <w:rsid w:val="003C376F"/>
    <w:rsid w:val="003C3797"/>
    <w:rsid w:val="003C37E0"/>
    <w:rsid w:val="003C3825"/>
    <w:rsid w:val="003C38B5"/>
    <w:rsid w:val="003C39F6"/>
    <w:rsid w:val="003C401B"/>
    <w:rsid w:val="003C4247"/>
    <w:rsid w:val="003C4328"/>
    <w:rsid w:val="003C461F"/>
    <w:rsid w:val="003C479C"/>
    <w:rsid w:val="003C4818"/>
    <w:rsid w:val="003C48CA"/>
    <w:rsid w:val="003C4C12"/>
    <w:rsid w:val="003C4EF9"/>
    <w:rsid w:val="003C4F35"/>
    <w:rsid w:val="003C5517"/>
    <w:rsid w:val="003C5552"/>
    <w:rsid w:val="003C5692"/>
    <w:rsid w:val="003C5699"/>
    <w:rsid w:val="003C59CF"/>
    <w:rsid w:val="003C59E0"/>
    <w:rsid w:val="003C5A1C"/>
    <w:rsid w:val="003C5A66"/>
    <w:rsid w:val="003C5B23"/>
    <w:rsid w:val="003C5EEB"/>
    <w:rsid w:val="003C608F"/>
    <w:rsid w:val="003C66FB"/>
    <w:rsid w:val="003C6838"/>
    <w:rsid w:val="003C6ADA"/>
    <w:rsid w:val="003C6DA9"/>
    <w:rsid w:val="003C6FD1"/>
    <w:rsid w:val="003C714E"/>
    <w:rsid w:val="003C7340"/>
    <w:rsid w:val="003C7554"/>
    <w:rsid w:val="003C7789"/>
    <w:rsid w:val="003C7804"/>
    <w:rsid w:val="003C7948"/>
    <w:rsid w:val="003C7C35"/>
    <w:rsid w:val="003C7C70"/>
    <w:rsid w:val="003C7C8F"/>
    <w:rsid w:val="003C7CA0"/>
    <w:rsid w:val="003C7F1C"/>
    <w:rsid w:val="003D016C"/>
    <w:rsid w:val="003D046E"/>
    <w:rsid w:val="003D054E"/>
    <w:rsid w:val="003D0626"/>
    <w:rsid w:val="003D0B96"/>
    <w:rsid w:val="003D0D04"/>
    <w:rsid w:val="003D0DC5"/>
    <w:rsid w:val="003D1252"/>
    <w:rsid w:val="003D140F"/>
    <w:rsid w:val="003D14CD"/>
    <w:rsid w:val="003D16E9"/>
    <w:rsid w:val="003D1792"/>
    <w:rsid w:val="003D1862"/>
    <w:rsid w:val="003D1C46"/>
    <w:rsid w:val="003D1C47"/>
    <w:rsid w:val="003D1EC0"/>
    <w:rsid w:val="003D2357"/>
    <w:rsid w:val="003D25D6"/>
    <w:rsid w:val="003D279B"/>
    <w:rsid w:val="003D2929"/>
    <w:rsid w:val="003D29AD"/>
    <w:rsid w:val="003D2B42"/>
    <w:rsid w:val="003D2C15"/>
    <w:rsid w:val="003D2CD1"/>
    <w:rsid w:val="003D2CDE"/>
    <w:rsid w:val="003D2D86"/>
    <w:rsid w:val="003D2DDB"/>
    <w:rsid w:val="003D30C2"/>
    <w:rsid w:val="003D30DC"/>
    <w:rsid w:val="003D32BC"/>
    <w:rsid w:val="003D3303"/>
    <w:rsid w:val="003D3329"/>
    <w:rsid w:val="003D3467"/>
    <w:rsid w:val="003D349E"/>
    <w:rsid w:val="003D3522"/>
    <w:rsid w:val="003D361B"/>
    <w:rsid w:val="003D36F2"/>
    <w:rsid w:val="003D37BE"/>
    <w:rsid w:val="003D3B6F"/>
    <w:rsid w:val="003D3BCD"/>
    <w:rsid w:val="003D3C71"/>
    <w:rsid w:val="003D3E42"/>
    <w:rsid w:val="003D4024"/>
    <w:rsid w:val="003D41AA"/>
    <w:rsid w:val="003D44C2"/>
    <w:rsid w:val="003D4522"/>
    <w:rsid w:val="003D45F0"/>
    <w:rsid w:val="003D463E"/>
    <w:rsid w:val="003D47A9"/>
    <w:rsid w:val="003D47ED"/>
    <w:rsid w:val="003D48B4"/>
    <w:rsid w:val="003D48B5"/>
    <w:rsid w:val="003D48F6"/>
    <w:rsid w:val="003D492A"/>
    <w:rsid w:val="003D492F"/>
    <w:rsid w:val="003D4BBF"/>
    <w:rsid w:val="003D4C6D"/>
    <w:rsid w:val="003D4C82"/>
    <w:rsid w:val="003D4C83"/>
    <w:rsid w:val="003D4CDB"/>
    <w:rsid w:val="003D4D1D"/>
    <w:rsid w:val="003D4ECE"/>
    <w:rsid w:val="003D4F77"/>
    <w:rsid w:val="003D5363"/>
    <w:rsid w:val="003D54C8"/>
    <w:rsid w:val="003D57E5"/>
    <w:rsid w:val="003D585A"/>
    <w:rsid w:val="003D587A"/>
    <w:rsid w:val="003D5B38"/>
    <w:rsid w:val="003D5C1E"/>
    <w:rsid w:val="003D5CD4"/>
    <w:rsid w:val="003D5CE4"/>
    <w:rsid w:val="003D5D04"/>
    <w:rsid w:val="003D5F41"/>
    <w:rsid w:val="003D5FC8"/>
    <w:rsid w:val="003D63C4"/>
    <w:rsid w:val="003D6660"/>
    <w:rsid w:val="003D675D"/>
    <w:rsid w:val="003D6892"/>
    <w:rsid w:val="003D68A3"/>
    <w:rsid w:val="003D69AE"/>
    <w:rsid w:val="003D69F7"/>
    <w:rsid w:val="003D6BFD"/>
    <w:rsid w:val="003D6C2F"/>
    <w:rsid w:val="003D6E8A"/>
    <w:rsid w:val="003D7022"/>
    <w:rsid w:val="003D705B"/>
    <w:rsid w:val="003D7148"/>
    <w:rsid w:val="003D7236"/>
    <w:rsid w:val="003D72DE"/>
    <w:rsid w:val="003D7422"/>
    <w:rsid w:val="003D77F5"/>
    <w:rsid w:val="003D7C9D"/>
    <w:rsid w:val="003D7CD0"/>
    <w:rsid w:val="003D7DCB"/>
    <w:rsid w:val="003D7DFB"/>
    <w:rsid w:val="003D7E63"/>
    <w:rsid w:val="003D7F15"/>
    <w:rsid w:val="003D7F67"/>
    <w:rsid w:val="003E0615"/>
    <w:rsid w:val="003E0730"/>
    <w:rsid w:val="003E07E1"/>
    <w:rsid w:val="003E0889"/>
    <w:rsid w:val="003E089E"/>
    <w:rsid w:val="003E08BB"/>
    <w:rsid w:val="003E0A36"/>
    <w:rsid w:val="003E0A84"/>
    <w:rsid w:val="003E0B0E"/>
    <w:rsid w:val="003E0C5D"/>
    <w:rsid w:val="003E0D5E"/>
    <w:rsid w:val="003E12E3"/>
    <w:rsid w:val="003E1306"/>
    <w:rsid w:val="003E1599"/>
    <w:rsid w:val="003E1727"/>
    <w:rsid w:val="003E1842"/>
    <w:rsid w:val="003E1871"/>
    <w:rsid w:val="003E19E4"/>
    <w:rsid w:val="003E1C0C"/>
    <w:rsid w:val="003E1F70"/>
    <w:rsid w:val="003E22F4"/>
    <w:rsid w:val="003E2421"/>
    <w:rsid w:val="003E2889"/>
    <w:rsid w:val="003E29C5"/>
    <w:rsid w:val="003E2B31"/>
    <w:rsid w:val="003E2D06"/>
    <w:rsid w:val="003E2D2E"/>
    <w:rsid w:val="003E3026"/>
    <w:rsid w:val="003E30C3"/>
    <w:rsid w:val="003E33E6"/>
    <w:rsid w:val="003E346F"/>
    <w:rsid w:val="003E3636"/>
    <w:rsid w:val="003E3A20"/>
    <w:rsid w:val="003E3A36"/>
    <w:rsid w:val="003E3A4F"/>
    <w:rsid w:val="003E3A7C"/>
    <w:rsid w:val="003E3B93"/>
    <w:rsid w:val="003E3C20"/>
    <w:rsid w:val="003E3D6B"/>
    <w:rsid w:val="003E3FD8"/>
    <w:rsid w:val="003E40EE"/>
    <w:rsid w:val="003E43E6"/>
    <w:rsid w:val="003E44BA"/>
    <w:rsid w:val="003E4612"/>
    <w:rsid w:val="003E498C"/>
    <w:rsid w:val="003E4A69"/>
    <w:rsid w:val="003E4BE1"/>
    <w:rsid w:val="003E4C34"/>
    <w:rsid w:val="003E4F8B"/>
    <w:rsid w:val="003E4F9A"/>
    <w:rsid w:val="003E523B"/>
    <w:rsid w:val="003E5394"/>
    <w:rsid w:val="003E53AA"/>
    <w:rsid w:val="003E544D"/>
    <w:rsid w:val="003E5B1E"/>
    <w:rsid w:val="003E5C7D"/>
    <w:rsid w:val="003E5E39"/>
    <w:rsid w:val="003E5E95"/>
    <w:rsid w:val="003E601B"/>
    <w:rsid w:val="003E6097"/>
    <w:rsid w:val="003E60BD"/>
    <w:rsid w:val="003E6116"/>
    <w:rsid w:val="003E620C"/>
    <w:rsid w:val="003E64C3"/>
    <w:rsid w:val="003E659B"/>
    <w:rsid w:val="003E65AC"/>
    <w:rsid w:val="003E678C"/>
    <w:rsid w:val="003E68CB"/>
    <w:rsid w:val="003E6A53"/>
    <w:rsid w:val="003E6B9D"/>
    <w:rsid w:val="003E6C9F"/>
    <w:rsid w:val="003E6F23"/>
    <w:rsid w:val="003E6FAF"/>
    <w:rsid w:val="003E714B"/>
    <w:rsid w:val="003E7202"/>
    <w:rsid w:val="003E738E"/>
    <w:rsid w:val="003E7815"/>
    <w:rsid w:val="003E7926"/>
    <w:rsid w:val="003E7AE3"/>
    <w:rsid w:val="003E7C65"/>
    <w:rsid w:val="003E7D57"/>
    <w:rsid w:val="003E7E61"/>
    <w:rsid w:val="003F001F"/>
    <w:rsid w:val="003F0069"/>
    <w:rsid w:val="003F01BE"/>
    <w:rsid w:val="003F0415"/>
    <w:rsid w:val="003F045A"/>
    <w:rsid w:val="003F04E2"/>
    <w:rsid w:val="003F06C5"/>
    <w:rsid w:val="003F098C"/>
    <w:rsid w:val="003F0B51"/>
    <w:rsid w:val="003F0BCC"/>
    <w:rsid w:val="003F0D25"/>
    <w:rsid w:val="003F0F49"/>
    <w:rsid w:val="003F0F9B"/>
    <w:rsid w:val="003F11BC"/>
    <w:rsid w:val="003F11CC"/>
    <w:rsid w:val="003F14CB"/>
    <w:rsid w:val="003F15F5"/>
    <w:rsid w:val="003F1730"/>
    <w:rsid w:val="003F17B0"/>
    <w:rsid w:val="003F1815"/>
    <w:rsid w:val="003F1869"/>
    <w:rsid w:val="003F1985"/>
    <w:rsid w:val="003F19D0"/>
    <w:rsid w:val="003F19E9"/>
    <w:rsid w:val="003F1A3D"/>
    <w:rsid w:val="003F2177"/>
    <w:rsid w:val="003F22AA"/>
    <w:rsid w:val="003F245B"/>
    <w:rsid w:val="003F2523"/>
    <w:rsid w:val="003F2FF6"/>
    <w:rsid w:val="003F31CD"/>
    <w:rsid w:val="003F31E3"/>
    <w:rsid w:val="003F3DA5"/>
    <w:rsid w:val="003F3DD0"/>
    <w:rsid w:val="003F3E8F"/>
    <w:rsid w:val="003F3EE6"/>
    <w:rsid w:val="003F3FE7"/>
    <w:rsid w:val="003F42F8"/>
    <w:rsid w:val="003F4436"/>
    <w:rsid w:val="003F4583"/>
    <w:rsid w:val="003F4713"/>
    <w:rsid w:val="003F486C"/>
    <w:rsid w:val="003F48F2"/>
    <w:rsid w:val="003F49E1"/>
    <w:rsid w:val="003F4BBD"/>
    <w:rsid w:val="003F4BE9"/>
    <w:rsid w:val="003F4C39"/>
    <w:rsid w:val="003F4D74"/>
    <w:rsid w:val="003F4D92"/>
    <w:rsid w:val="003F4DAF"/>
    <w:rsid w:val="003F4F41"/>
    <w:rsid w:val="003F4FD2"/>
    <w:rsid w:val="003F5385"/>
    <w:rsid w:val="003F5489"/>
    <w:rsid w:val="003F5497"/>
    <w:rsid w:val="003F555A"/>
    <w:rsid w:val="003F5563"/>
    <w:rsid w:val="003F56A9"/>
    <w:rsid w:val="003F56FF"/>
    <w:rsid w:val="003F5B51"/>
    <w:rsid w:val="003F5E4B"/>
    <w:rsid w:val="003F5F94"/>
    <w:rsid w:val="003F6099"/>
    <w:rsid w:val="003F60C5"/>
    <w:rsid w:val="003F61D9"/>
    <w:rsid w:val="003F64BA"/>
    <w:rsid w:val="003F65DD"/>
    <w:rsid w:val="003F65ED"/>
    <w:rsid w:val="003F66C4"/>
    <w:rsid w:val="003F6857"/>
    <w:rsid w:val="003F68C5"/>
    <w:rsid w:val="003F68CF"/>
    <w:rsid w:val="003F6A59"/>
    <w:rsid w:val="003F6B88"/>
    <w:rsid w:val="003F6C71"/>
    <w:rsid w:val="003F6EBB"/>
    <w:rsid w:val="003F6F7C"/>
    <w:rsid w:val="003F7410"/>
    <w:rsid w:val="003F743F"/>
    <w:rsid w:val="003F774D"/>
    <w:rsid w:val="003F78D0"/>
    <w:rsid w:val="003F7917"/>
    <w:rsid w:val="003F7C6B"/>
    <w:rsid w:val="00400164"/>
    <w:rsid w:val="004003D3"/>
    <w:rsid w:val="0040066E"/>
    <w:rsid w:val="004006A1"/>
    <w:rsid w:val="0040075E"/>
    <w:rsid w:val="00400C30"/>
    <w:rsid w:val="00400E70"/>
    <w:rsid w:val="00400F90"/>
    <w:rsid w:val="00400FB6"/>
    <w:rsid w:val="00401114"/>
    <w:rsid w:val="00401264"/>
    <w:rsid w:val="004014CD"/>
    <w:rsid w:val="00401B05"/>
    <w:rsid w:val="00401D80"/>
    <w:rsid w:val="00401E5F"/>
    <w:rsid w:val="00401E6E"/>
    <w:rsid w:val="00401E9A"/>
    <w:rsid w:val="00401FE6"/>
    <w:rsid w:val="0040213C"/>
    <w:rsid w:val="004024FB"/>
    <w:rsid w:val="004025BF"/>
    <w:rsid w:val="00402A0A"/>
    <w:rsid w:val="00402D05"/>
    <w:rsid w:val="00402E79"/>
    <w:rsid w:val="00402F53"/>
    <w:rsid w:val="00402FB0"/>
    <w:rsid w:val="00403028"/>
    <w:rsid w:val="004030CA"/>
    <w:rsid w:val="004031D7"/>
    <w:rsid w:val="00403375"/>
    <w:rsid w:val="00403576"/>
    <w:rsid w:val="00403639"/>
    <w:rsid w:val="00403952"/>
    <w:rsid w:val="00403A82"/>
    <w:rsid w:val="00403C0E"/>
    <w:rsid w:val="00403D15"/>
    <w:rsid w:val="00403E71"/>
    <w:rsid w:val="00403FC8"/>
    <w:rsid w:val="004040F5"/>
    <w:rsid w:val="004041D5"/>
    <w:rsid w:val="0040420A"/>
    <w:rsid w:val="00404247"/>
    <w:rsid w:val="00404299"/>
    <w:rsid w:val="00404427"/>
    <w:rsid w:val="004045F6"/>
    <w:rsid w:val="00404833"/>
    <w:rsid w:val="004048DC"/>
    <w:rsid w:val="00404A81"/>
    <w:rsid w:val="00404AC7"/>
    <w:rsid w:val="00404E33"/>
    <w:rsid w:val="00404F70"/>
    <w:rsid w:val="00405082"/>
    <w:rsid w:val="004050D8"/>
    <w:rsid w:val="004051C6"/>
    <w:rsid w:val="00405936"/>
    <w:rsid w:val="00405B9B"/>
    <w:rsid w:val="00405BFC"/>
    <w:rsid w:val="00405CCA"/>
    <w:rsid w:val="00405D8B"/>
    <w:rsid w:val="00405EE5"/>
    <w:rsid w:val="00405FFD"/>
    <w:rsid w:val="0040618F"/>
    <w:rsid w:val="004063B0"/>
    <w:rsid w:val="004064FC"/>
    <w:rsid w:val="00406522"/>
    <w:rsid w:val="004065FA"/>
    <w:rsid w:val="004066C6"/>
    <w:rsid w:val="00406D4E"/>
    <w:rsid w:val="00406D9D"/>
    <w:rsid w:val="00406DB4"/>
    <w:rsid w:val="00406F8B"/>
    <w:rsid w:val="00407842"/>
    <w:rsid w:val="00407918"/>
    <w:rsid w:val="00407BC6"/>
    <w:rsid w:val="00407DBE"/>
    <w:rsid w:val="00407FB4"/>
    <w:rsid w:val="00407FF3"/>
    <w:rsid w:val="004100FA"/>
    <w:rsid w:val="0041013B"/>
    <w:rsid w:val="0041036B"/>
    <w:rsid w:val="004104A6"/>
    <w:rsid w:val="004106E0"/>
    <w:rsid w:val="004106F2"/>
    <w:rsid w:val="0041082F"/>
    <w:rsid w:val="00410956"/>
    <w:rsid w:val="00410A46"/>
    <w:rsid w:val="00410BA0"/>
    <w:rsid w:val="00410C28"/>
    <w:rsid w:val="00410C3F"/>
    <w:rsid w:val="00410C84"/>
    <w:rsid w:val="00411007"/>
    <w:rsid w:val="0041106E"/>
    <w:rsid w:val="00411106"/>
    <w:rsid w:val="004111B7"/>
    <w:rsid w:val="00411293"/>
    <w:rsid w:val="004112F4"/>
    <w:rsid w:val="00411449"/>
    <w:rsid w:val="0041176F"/>
    <w:rsid w:val="00411812"/>
    <w:rsid w:val="0041191E"/>
    <w:rsid w:val="00411A8D"/>
    <w:rsid w:val="00411C31"/>
    <w:rsid w:val="00411D85"/>
    <w:rsid w:val="0041254C"/>
    <w:rsid w:val="00412878"/>
    <w:rsid w:val="0041287F"/>
    <w:rsid w:val="004128E6"/>
    <w:rsid w:val="00412994"/>
    <w:rsid w:val="00412A62"/>
    <w:rsid w:val="00412A71"/>
    <w:rsid w:val="00412E72"/>
    <w:rsid w:val="004131B0"/>
    <w:rsid w:val="004133BD"/>
    <w:rsid w:val="00413602"/>
    <w:rsid w:val="00413861"/>
    <w:rsid w:val="0041390B"/>
    <w:rsid w:val="00413928"/>
    <w:rsid w:val="00413961"/>
    <w:rsid w:val="00413DDE"/>
    <w:rsid w:val="00413E19"/>
    <w:rsid w:val="004140F6"/>
    <w:rsid w:val="0041420E"/>
    <w:rsid w:val="0041423B"/>
    <w:rsid w:val="004142F4"/>
    <w:rsid w:val="00414674"/>
    <w:rsid w:val="00414916"/>
    <w:rsid w:val="004149BC"/>
    <w:rsid w:val="004149BD"/>
    <w:rsid w:val="00414A82"/>
    <w:rsid w:val="00414A95"/>
    <w:rsid w:val="00414AB3"/>
    <w:rsid w:val="00414B97"/>
    <w:rsid w:val="00414BBC"/>
    <w:rsid w:val="00414F66"/>
    <w:rsid w:val="0041547C"/>
    <w:rsid w:val="0041564C"/>
    <w:rsid w:val="00415679"/>
    <w:rsid w:val="0041569E"/>
    <w:rsid w:val="004158FE"/>
    <w:rsid w:val="00415BA8"/>
    <w:rsid w:val="00415C8D"/>
    <w:rsid w:val="00415E2D"/>
    <w:rsid w:val="00415F31"/>
    <w:rsid w:val="00415FB3"/>
    <w:rsid w:val="004160AF"/>
    <w:rsid w:val="00416119"/>
    <w:rsid w:val="004163AF"/>
    <w:rsid w:val="004164A6"/>
    <w:rsid w:val="004164B2"/>
    <w:rsid w:val="00416520"/>
    <w:rsid w:val="004168A1"/>
    <w:rsid w:val="00416B28"/>
    <w:rsid w:val="00416BB6"/>
    <w:rsid w:val="00416DF6"/>
    <w:rsid w:val="00416E49"/>
    <w:rsid w:val="00417113"/>
    <w:rsid w:val="004172AE"/>
    <w:rsid w:val="004172C5"/>
    <w:rsid w:val="004173BC"/>
    <w:rsid w:val="0041741E"/>
    <w:rsid w:val="00417486"/>
    <w:rsid w:val="004174C8"/>
    <w:rsid w:val="004175B4"/>
    <w:rsid w:val="00417766"/>
    <w:rsid w:val="00417813"/>
    <w:rsid w:val="0041790B"/>
    <w:rsid w:val="0041794C"/>
    <w:rsid w:val="00417AB3"/>
    <w:rsid w:val="00417B5B"/>
    <w:rsid w:val="00417C12"/>
    <w:rsid w:val="00417E78"/>
    <w:rsid w:val="00417F2C"/>
    <w:rsid w:val="00420106"/>
    <w:rsid w:val="00420153"/>
    <w:rsid w:val="00420214"/>
    <w:rsid w:val="0042030E"/>
    <w:rsid w:val="00420801"/>
    <w:rsid w:val="004209DF"/>
    <w:rsid w:val="00420AD2"/>
    <w:rsid w:val="00421065"/>
    <w:rsid w:val="004212EA"/>
    <w:rsid w:val="004213C6"/>
    <w:rsid w:val="0042146E"/>
    <w:rsid w:val="00421487"/>
    <w:rsid w:val="004214BC"/>
    <w:rsid w:val="004217F8"/>
    <w:rsid w:val="00421A3F"/>
    <w:rsid w:val="00421AE2"/>
    <w:rsid w:val="00421E49"/>
    <w:rsid w:val="004221EB"/>
    <w:rsid w:val="004224F3"/>
    <w:rsid w:val="004225F8"/>
    <w:rsid w:val="0042277E"/>
    <w:rsid w:val="0042293E"/>
    <w:rsid w:val="004229BE"/>
    <w:rsid w:val="00422BB7"/>
    <w:rsid w:val="00422C60"/>
    <w:rsid w:val="00422D90"/>
    <w:rsid w:val="00422E28"/>
    <w:rsid w:val="0042317E"/>
    <w:rsid w:val="00423234"/>
    <w:rsid w:val="00423266"/>
    <w:rsid w:val="004233C4"/>
    <w:rsid w:val="00423601"/>
    <w:rsid w:val="00423924"/>
    <w:rsid w:val="00423B63"/>
    <w:rsid w:val="00423BD9"/>
    <w:rsid w:val="00423C95"/>
    <w:rsid w:val="00423CDE"/>
    <w:rsid w:val="00423D5F"/>
    <w:rsid w:val="00424284"/>
    <w:rsid w:val="004245AB"/>
    <w:rsid w:val="004246A9"/>
    <w:rsid w:val="0042484A"/>
    <w:rsid w:val="004249BA"/>
    <w:rsid w:val="00424A73"/>
    <w:rsid w:val="00424B43"/>
    <w:rsid w:val="00424B8F"/>
    <w:rsid w:val="00424C68"/>
    <w:rsid w:val="00424CFA"/>
    <w:rsid w:val="00424E05"/>
    <w:rsid w:val="00424E6E"/>
    <w:rsid w:val="00424F15"/>
    <w:rsid w:val="00425580"/>
    <w:rsid w:val="00425607"/>
    <w:rsid w:val="004256A1"/>
    <w:rsid w:val="00425753"/>
    <w:rsid w:val="0042584C"/>
    <w:rsid w:val="004258A6"/>
    <w:rsid w:val="0042592F"/>
    <w:rsid w:val="00425964"/>
    <w:rsid w:val="00425C51"/>
    <w:rsid w:val="00425E69"/>
    <w:rsid w:val="00425F10"/>
    <w:rsid w:val="00425FCD"/>
    <w:rsid w:val="00425FDF"/>
    <w:rsid w:val="00426161"/>
    <w:rsid w:val="00426287"/>
    <w:rsid w:val="004263B4"/>
    <w:rsid w:val="00426405"/>
    <w:rsid w:val="004264D7"/>
    <w:rsid w:val="004264E1"/>
    <w:rsid w:val="00426732"/>
    <w:rsid w:val="004267DB"/>
    <w:rsid w:val="00426AAE"/>
    <w:rsid w:val="00426B67"/>
    <w:rsid w:val="00427071"/>
    <w:rsid w:val="00427077"/>
    <w:rsid w:val="0042710B"/>
    <w:rsid w:val="004271C3"/>
    <w:rsid w:val="004272F2"/>
    <w:rsid w:val="004274AC"/>
    <w:rsid w:val="00427702"/>
    <w:rsid w:val="004277C3"/>
    <w:rsid w:val="00427807"/>
    <w:rsid w:val="004278DB"/>
    <w:rsid w:val="004279D6"/>
    <w:rsid w:val="00427C06"/>
    <w:rsid w:val="00427F00"/>
    <w:rsid w:val="00427FAB"/>
    <w:rsid w:val="00427FB0"/>
    <w:rsid w:val="00427FFB"/>
    <w:rsid w:val="00430097"/>
    <w:rsid w:val="00430152"/>
    <w:rsid w:val="004301B7"/>
    <w:rsid w:val="0043033F"/>
    <w:rsid w:val="004303A3"/>
    <w:rsid w:val="004303E9"/>
    <w:rsid w:val="00430419"/>
    <w:rsid w:val="004305B9"/>
    <w:rsid w:val="004305CF"/>
    <w:rsid w:val="004306B7"/>
    <w:rsid w:val="00430757"/>
    <w:rsid w:val="00430760"/>
    <w:rsid w:val="0043077B"/>
    <w:rsid w:val="004307DE"/>
    <w:rsid w:val="00430AEB"/>
    <w:rsid w:val="00430D2C"/>
    <w:rsid w:val="00430DD3"/>
    <w:rsid w:val="00430E2B"/>
    <w:rsid w:val="0043111A"/>
    <w:rsid w:val="00431125"/>
    <w:rsid w:val="00431188"/>
    <w:rsid w:val="0043123F"/>
    <w:rsid w:val="004312AE"/>
    <w:rsid w:val="0043139C"/>
    <w:rsid w:val="00431555"/>
    <w:rsid w:val="00431814"/>
    <w:rsid w:val="00431CB0"/>
    <w:rsid w:val="00431D01"/>
    <w:rsid w:val="00431E8D"/>
    <w:rsid w:val="00431FCE"/>
    <w:rsid w:val="00431FD4"/>
    <w:rsid w:val="00432253"/>
    <w:rsid w:val="00432306"/>
    <w:rsid w:val="004323BF"/>
    <w:rsid w:val="00432457"/>
    <w:rsid w:val="004325CE"/>
    <w:rsid w:val="0043267D"/>
    <w:rsid w:val="00432868"/>
    <w:rsid w:val="00432BA1"/>
    <w:rsid w:val="00432D83"/>
    <w:rsid w:val="00432F3E"/>
    <w:rsid w:val="004330CB"/>
    <w:rsid w:val="00433175"/>
    <w:rsid w:val="00433263"/>
    <w:rsid w:val="00433338"/>
    <w:rsid w:val="00433792"/>
    <w:rsid w:val="00433870"/>
    <w:rsid w:val="00433B3E"/>
    <w:rsid w:val="00433B72"/>
    <w:rsid w:val="00433CB9"/>
    <w:rsid w:val="00433D60"/>
    <w:rsid w:val="00434415"/>
    <w:rsid w:val="0043457C"/>
    <w:rsid w:val="00434604"/>
    <w:rsid w:val="004346C8"/>
    <w:rsid w:val="004346CC"/>
    <w:rsid w:val="00434AC5"/>
    <w:rsid w:val="00434AF6"/>
    <w:rsid w:val="00434C0F"/>
    <w:rsid w:val="00434D28"/>
    <w:rsid w:val="00434DC7"/>
    <w:rsid w:val="00435060"/>
    <w:rsid w:val="00435374"/>
    <w:rsid w:val="004357A5"/>
    <w:rsid w:val="00435B08"/>
    <w:rsid w:val="00435B2B"/>
    <w:rsid w:val="00435CAB"/>
    <w:rsid w:val="00435D36"/>
    <w:rsid w:val="00435FFF"/>
    <w:rsid w:val="00436353"/>
    <w:rsid w:val="004364E5"/>
    <w:rsid w:val="004366B7"/>
    <w:rsid w:val="0043689F"/>
    <w:rsid w:val="00436CB2"/>
    <w:rsid w:val="00436EA0"/>
    <w:rsid w:val="00436F66"/>
    <w:rsid w:val="004372CE"/>
    <w:rsid w:val="0043736B"/>
    <w:rsid w:val="004373A6"/>
    <w:rsid w:val="004373EF"/>
    <w:rsid w:val="00437430"/>
    <w:rsid w:val="004375F1"/>
    <w:rsid w:val="00437614"/>
    <w:rsid w:val="00437A8F"/>
    <w:rsid w:val="00437CCB"/>
    <w:rsid w:val="00437EAE"/>
    <w:rsid w:val="00437F63"/>
    <w:rsid w:val="0044000E"/>
    <w:rsid w:val="00440010"/>
    <w:rsid w:val="004400B2"/>
    <w:rsid w:val="00440131"/>
    <w:rsid w:val="0044016C"/>
    <w:rsid w:val="004401AB"/>
    <w:rsid w:val="004402C7"/>
    <w:rsid w:val="004402E6"/>
    <w:rsid w:val="0044048F"/>
    <w:rsid w:val="0044073D"/>
    <w:rsid w:val="00440A70"/>
    <w:rsid w:val="00440B06"/>
    <w:rsid w:val="00440B23"/>
    <w:rsid w:val="00440B9F"/>
    <w:rsid w:val="00440D9A"/>
    <w:rsid w:val="00440E2A"/>
    <w:rsid w:val="00440E91"/>
    <w:rsid w:val="00440F71"/>
    <w:rsid w:val="004410F5"/>
    <w:rsid w:val="004411D0"/>
    <w:rsid w:val="0044122D"/>
    <w:rsid w:val="004412D8"/>
    <w:rsid w:val="0044165B"/>
    <w:rsid w:val="004416CC"/>
    <w:rsid w:val="0044174F"/>
    <w:rsid w:val="00441A1F"/>
    <w:rsid w:val="00441E59"/>
    <w:rsid w:val="00442010"/>
    <w:rsid w:val="004421BC"/>
    <w:rsid w:val="004421E8"/>
    <w:rsid w:val="00442335"/>
    <w:rsid w:val="004423A6"/>
    <w:rsid w:val="004424BD"/>
    <w:rsid w:val="004424FF"/>
    <w:rsid w:val="00442587"/>
    <w:rsid w:val="0044262F"/>
    <w:rsid w:val="0044273F"/>
    <w:rsid w:val="00442A66"/>
    <w:rsid w:val="00442B0A"/>
    <w:rsid w:val="00442C50"/>
    <w:rsid w:val="00442FD3"/>
    <w:rsid w:val="00443286"/>
    <w:rsid w:val="004432C7"/>
    <w:rsid w:val="00443394"/>
    <w:rsid w:val="00443439"/>
    <w:rsid w:val="00443522"/>
    <w:rsid w:val="0044352D"/>
    <w:rsid w:val="00443910"/>
    <w:rsid w:val="00443A71"/>
    <w:rsid w:val="00443D34"/>
    <w:rsid w:val="00443FB9"/>
    <w:rsid w:val="004440C6"/>
    <w:rsid w:val="0044431C"/>
    <w:rsid w:val="00444F16"/>
    <w:rsid w:val="00444F51"/>
    <w:rsid w:val="00445136"/>
    <w:rsid w:val="004454E8"/>
    <w:rsid w:val="0044561C"/>
    <w:rsid w:val="00445791"/>
    <w:rsid w:val="004459B2"/>
    <w:rsid w:val="00445C68"/>
    <w:rsid w:val="00445D35"/>
    <w:rsid w:val="00445E03"/>
    <w:rsid w:val="0044617B"/>
    <w:rsid w:val="004463E4"/>
    <w:rsid w:val="00446490"/>
    <w:rsid w:val="004465F4"/>
    <w:rsid w:val="004466F9"/>
    <w:rsid w:val="0044674D"/>
    <w:rsid w:val="00446827"/>
    <w:rsid w:val="004469A6"/>
    <w:rsid w:val="00446A4E"/>
    <w:rsid w:val="004471BD"/>
    <w:rsid w:val="00447269"/>
    <w:rsid w:val="004472A5"/>
    <w:rsid w:val="0044738C"/>
    <w:rsid w:val="004477DA"/>
    <w:rsid w:val="004478A6"/>
    <w:rsid w:val="00447A2B"/>
    <w:rsid w:val="00447BAA"/>
    <w:rsid w:val="00447C46"/>
    <w:rsid w:val="00447F89"/>
    <w:rsid w:val="00450174"/>
    <w:rsid w:val="00450267"/>
    <w:rsid w:val="0045039B"/>
    <w:rsid w:val="004508F7"/>
    <w:rsid w:val="00450AFB"/>
    <w:rsid w:val="00450BA7"/>
    <w:rsid w:val="00450BDE"/>
    <w:rsid w:val="00450CEA"/>
    <w:rsid w:val="00450DC9"/>
    <w:rsid w:val="00450E5E"/>
    <w:rsid w:val="00450EBE"/>
    <w:rsid w:val="00450F21"/>
    <w:rsid w:val="00450FD9"/>
    <w:rsid w:val="0045100A"/>
    <w:rsid w:val="00451013"/>
    <w:rsid w:val="00451041"/>
    <w:rsid w:val="0045113F"/>
    <w:rsid w:val="0045145C"/>
    <w:rsid w:val="004514CE"/>
    <w:rsid w:val="004515F4"/>
    <w:rsid w:val="0045193C"/>
    <w:rsid w:val="00451AB4"/>
    <w:rsid w:val="00451B44"/>
    <w:rsid w:val="00451C85"/>
    <w:rsid w:val="004520CF"/>
    <w:rsid w:val="004520E6"/>
    <w:rsid w:val="004524CB"/>
    <w:rsid w:val="0045280F"/>
    <w:rsid w:val="004528B7"/>
    <w:rsid w:val="0045293A"/>
    <w:rsid w:val="00452B19"/>
    <w:rsid w:val="00452B1B"/>
    <w:rsid w:val="00452B3F"/>
    <w:rsid w:val="00452D5D"/>
    <w:rsid w:val="0045309B"/>
    <w:rsid w:val="004532BB"/>
    <w:rsid w:val="004536D0"/>
    <w:rsid w:val="00453BC6"/>
    <w:rsid w:val="00453BC9"/>
    <w:rsid w:val="00453CE7"/>
    <w:rsid w:val="00453DFB"/>
    <w:rsid w:val="00454558"/>
    <w:rsid w:val="0045479F"/>
    <w:rsid w:val="00454A24"/>
    <w:rsid w:val="00454B1B"/>
    <w:rsid w:val="00454CED"/>
    <w:rsid w:val="00454D3A"/>
    <w:rsid w:val="00454E5C"/>
    <w:rsid w:val="00454FCD"/>
    <w:rsid w:val="0045518D"/>
    <w:rsid w:val="004552C6"/>
    <w:rsid w:val="004552F3"/>
    <w:rsid w:val="00455675"/>
    <w:rsid w:val="004557C4"/>
    <w:rsid w:val="00455854"/>
    <w:rsid w:val="004558CF"/>
    <w:rsid w:val="00455929"/>
    <w:rsid w:val="004559F9"/>
    <w:rsid w:val="00455A03"/>
    <w:rsid w:val="00455BBB"/>
    <w:rsid w:val="00455C96"/>
    <w:rsid w:val="00455D9E"/>
    <w:rsid w:val="00455E10"/>
    <w:rsid w:val="00455E73"/>
    <w:rsid w:val="00456054"/>
    <w:rsid w:val="004561B8"/>
    <w:rsid w:val="00456259"/>
    <w:rsid w:val="0045647A"/>
    <w:rsid w:val="004564DE"/>
    <w:rsid w:val="0045678D"/>
    <w:rsid w:val="004567EE"/>
    <w:rsid w:val="00456CBF"/>
    <w:rsid w:val="00456D70"/>
    <w:rsid w:val="00456EE0"/>
    <w:rsid w:val="0045724A"/>
    <w:rsid w:val="00457557"/>
    <w:rsid w:val="004575C8"/>
    <w:rsid w:val="00457687"/>
    <w:rsid w:val="00457BE4"/>
    <w:rsid w:val="00457EC3"/>
    <w:rsid w:val="00460029"/>
    <w:rsid w:val="00460072"/>
    <w:rsid w:val="004600B0"/>
    <w:rsid w:val="00460371"/>
    <w:rsid w:val="004606F7"/>
    <w:rsid w:val="00460707"/>
    <w:rsid w:val="004608CA"/>
    <w:rsid w:val="004608DF"/>
    <w:rsid w:val="004609AA"/>
    <w:rsid w:val="00460E3F"/>
    <w:rsid w:val="00460E8A"/>
    <w:rsid w:val="0046131E"/>
    <w:rsid w:val="00461730"/>
    <w:rsid w:val="00461A23"/>
    <w:rsid w:val="00461A4F"/>
    <w:rsid w:val="00462302"/>
    <w:rsid w:val="0046233B"/>
    <w:rsid w:val="00462383"/>
    <w:rsid w:val="00462407"/>
    <w:rsid w:val="00462476"/>
    <w:rsid w:val="004624DB"/>
    <w:rsid w:val="00462509"/>
    <w:rsid w:val="00462510"/>
    <w:rsid w:val="004625E1"/>
    <w:rsid w:val="0046261A"/>
    <w:rsid w:val="00462675"/>
    <w:rsid w:val="00462736"/>
    <w:rsid w:val="00462A33"/>
    <w:rsid w:val="00462A50"/>
    <w:rsid w:val="00462BD5"/>
    <w:rsid w:val="00462E3F"/>
    <w:rsid w:val="00463076"/>
    <w:rsid w:val="0046317C"/>
    <w:rsid w:val="0046334C"/>
    <w:rsid w:val="0046346D"/>
    <w:rsid w:val="00463602"/>
    <w:rsid w:val="00463624"/>
    <w:rsid w:val="004637FD"/>
    <w:rsid w:val="0046397E"/>
    <w:rsid w:val="004639AB"/>
    <w:rsid w:val="00463B7F"/>
    <w:rsid w:val="00463C61"/>
    <w:rsid w:val="004640F8"/>
    <w:rsid w:val="00464268"/>
    <w:rsid w:val="004647A8"/>
    <w:rsid w:val="00464839"/>
    <w:rsid w:val="00464B68"/>
    <w:rsid w:val="00464C6A"/>
    <w:rsid w:val="00464D4D"/>
    <w:rsid w:val="00464D65"/>
    <w:rsid w:val="00464DF7"/>
    <w:rsid w:val="00465053"/>
    <w:rsid w:val="004651E2"/>
    <w:rsid w:val="0046536B"/>
    <w:rsid w:val="00465585"/>
    <w:rsid w:val="00465642"/>
    <w:rsid w:val="00465682"/>
    <w:rsid w:val="004656C4"/>
    <w:rsid w:val="004657CF"/>
    <w:rsid w:val="00465815"/>
    <w:rsid w:val="00465A03"/>
    <w:rsid w:val="00465A27"/>
    <w:rsid w:val="00465B66"/>
    <w:rsid w:val="00465DB9"/>
    <w:rsid w:val="00466175"/>
    <w:rsid w:val="00466537"/>
    <w:rsid w:val="00466695"/>
    <w:rsid w:val="004666BC"/>
    <w:rsid w:val="00466A7E"/>
    <w:rsid w:val="00466CE2"/>
    <w:rsid w:val="00466D02"/>
    <w:rsid w:val="00466EC9"/>
    <w:rsid w:val="0046704D"/>
    <w:rsid w:val="0046749E"/>
    <w:rsid w:val="004676CF"/>
    <w:rsid w:val="00467CA8"/>
    <w:rsid w:val="00467E22"/>
    <w:rsid w:val="00467F8E"/>
    <w:rsid w:val="004700E2"/>
    <w:rsid w:val="00470372"/>
    <w:rsid w:val="004703E9"/>
    <w:rsid w:val="004704AA"/>
    <w:rsid w:val="00470642"/>
    <w:rsid w:val="0047065B"/>
    <w:rsid w:val="004706B1"/>
    <w:rsid w:val="004706B7"/>
    <w:rsid w:val="00470729"/>
    <w:rsid w:val="004708C4"/>
    <w:rsid w:val="004708CB"/>
    <w:rsid w:val="0047094B"/>
    <w:rsid w:val="0047099A"/>
    <w:rsid w:val="00470CDA"/>
    <w:rsid w:val="00470DCF"/>
    <w:rsid w:val="00470E06"/>
    <w:rsid w:val="00470F3A"/>
    <w:rsid w:val="00470F5D"/>
    <w:rsid w:val="004711D7"/>
    <w:rsid w:val="004711DA"/>
    <w:rsid w:val="004711DC"/>
    <w:rsid w:val="0047120A"/>
    <w:rsid w:val="0047151E"/>
    <w:rsid w:val="0047162E"/>
    <w:rsid w:val="004717FF"/>
    <w:rsid w:val="00471869"/>
    <w:rsid w:val="00471AFD"/>
    <w:rsid w:val="00471D5A"/>
    <w:rsid w:val="00471EB2"/>
    <w:rsid w:val="004725EC"/>
    <w:rsid w:val="00472634"/>
    <w:rsid w:val="00472936"/>
    <w:rsid w:val="00472D0D"/>
    <w:rsid w:val="00472D98"/>
    <w:rsid w:val="00472F07"/>
    <w:rsid w:val="00472F5E"/>
    <w:rsid w:val="00473087"/>
    <w:rsid w:val="004730D8"/>
    <w:rsid w:val="00473100"/>
    <w:rsid w:val="0047311F"/>
    <w:rsid w:val="0047336E"/>
    <w:rsid w:val="004735F8"/>
    <w:rsid w:val="00473747"/>
    <w:rsid w:val="00473920"/>
    <w:rsid w:val="00473A85"/>
    <w:rsid w:val="00473E71"/>
    <w:rsid w:val="00473EAE"/>
    <w:rsid w:val="00474090"/>
    <w:rsid w:val="00474115"/>
    <w:rsid w:val="00474288"/>
    <w:rsid w:val="004743CA"/>
    <w:rsid w:val="00474712"/>
    <w:rsid w:val="004747A8"/>
    <w:rsid w:val="004748E9"/>
    <w:rsid w:val="004748EA"/>
    <w:rsid w:val="00474D5A"/>
    <w:rsid w:val="00474D63"/>
    <w:rsid w:val="0047520B"/>
    <w:rsid w:val="0047541D"/>
    <w:rsid w:val="004754A9"/>
    <w:rsid w:val="00475532"/>
    <w:rsid w:val="00475544"/>
    <w:rsid w:val="0047560D"/>
    <w:rsid w:val="00475712"/>
    <w:rsid w:val="00475811"/>
    <w:rsid w:val="00475A54"/>
    <w:rsid w:val="00475BCB"/>
    <w:rsid w:val="00475D6C"/>
    <w:rsid w:val="00475E9D"/>
    <w:rsid w:val="00475EE7"/>
    <w:rsid w:val="00476055"/>
    <w:rsid w:val="00476162"/>
    <w:rsid w:val="00476394"/>
    <w:rsid w:val="00476423"/>
    <w:rsid w:val="004764C5"/>
    <w:rsid w:val="0047653E"/>
    <w:rsid w:val="00476561"/>
    <w:rsid w:val="004765B6"/>
    <w:rsid w:val="00477118"/>
    <w:rsid w:val="004772A5"/>
    <w:rsid w:val="004772D7"/>
    <w:rsid w:val="00477369"/>
    <w:rsid w:val="0047736F"/>
    <w:rsid w:val="004773D9"/>
    <w:rsid w:val="004774A2"/>
    <w:rsid w:val="00477666"/>
    <w:rsid w:val="004776BD"/>
    <w:rsid w:val="00477738"/>
    <w:rsid w:val="004779AF"/>
    <w:rsid w:val="00477A14"/>
    <w:rsid w:val="00477A61"/>
    <w:rsid w:val="00477BB9"/>
    <w:rsid w:val="00477D90"/>
    <w:rsid w:val="00477F07"/>
    <w:rsid w:val="00480019"/>
    <w:rsid w:val="00480186"/>
    <w:rsid w:val="0048019C"/>
    <w:rsid w:val="004802D5"/>
    <w:rsid w:val="004803FB"/>
    <w:rsid w:val="00480484"/>
    <w:rsid w:val="00480647"/>
    <w:rsid w:val="004806E7"/>
    <w:rsid w:val="0048080D"/>
    <w:rsid w:val="0048088A"/>
    <w:rsid w:val="00480927"/>
    <w:rsid w:val="00480C8B"/>
    <w:rsid w:val="00481185"/>
    <w:rsid w:val="004812FB"/>
    <w:rsid w:val="00481393"/>
    <w:rsid w:val="004813BA"/>
    <w:rsid w:val="0048141B"/>
    <w:rsid w:val="0048157F"/>
    <w:rsid w:val="00481774"/>
    <w:rsid w:val="0048179A"/>
    <w:rsid w:val="004818F1"/>
    <w:rsid w:val="004819D9"/>
    <w:rsid w:val="00481CFF"/>
    <w:rsid w:val="00481E6B"/>
    <w:rsid w:val="00482122"/>
    <w:rsid w:val="00482138"/>
    <w:rsid w:val="00482237"/>
    <w:rsid w:val="0048237D"/>
    <w:rsid w:val="004825E5"/>
    <w:rsid w:val="0048266E"/>
    <w:rsid w:val="0048267F"/>
    <w:rsid w:val="0048279D"/>
    <w:rsid w:val="00482872"/>
    <w:rsid w:val="0048290C"/>
    <w:rsid w:val="00482AC0"/>
    <w:rsid w:val="00482B20"/>
    <w:rsid w:val="00482F2A"/>
    <w:rsid w:val="0048319C"/>
    <w:rsid w:val="004833DA"/>
    <w:rsid w:val="00483440"/>
    <w:rsid w:val="0048346B"/>
    <w:rsid w:val="00483667"/>
    <w:rsid w:val="0048366C"/>
    <w:rsid w:val="0048378A"/>
    <w:rsid w:val="004837FE"/>
    <w:rsid w:val="00483948"/>
    <w:rsid w:val="00483BAE"/>
    <w:rsid w:val="00483DC8"/>
    <w:rsid w:val="00484147"/>
    <w:rsid w:val="00484174"/>
    <w:rsid w:val="004841A7"/>
    <w:rsid w:val="00484260"/>
    <w:rsid w:val="00484731"/>
    <w:rsid w:val="00484867"/>
    <w:rsid w:val="004848E6"/>
    <w:rsid w:val="00484913"/>
    <w:rsid w:val="00484A39"/>
    <w:rsid w:val="00484BEA"/>
    <w:rsid w:val="00484BFA"/>
    <w:rsid w:val="00484E04"/>
    <w:rsid w:val="00484F45"/>
    <w:rsid w:val="0048503A"/>
    <w:rsid w:val="0048506E"/>
    <w:rsid w:val="004850B3"/>
    <w:rsid w:val="0048513F"/>
    <w:rsid w:val="00485222"/>
    <w:rsid w:val="0048525C"/>
    <w:rsid w:val="00485467"/>
    <w:rsid w:val="004856D9"/>
    <w:rsid w:val="0048571F"/>
    <w:rsid w:val="0048572F"/>
    <w:rsid w:val="004858F4"/>
    <w:rsid w:val="004859F0"/>
    <w:rsid w:val="00485A4E"/>
    <w:rsid w:val="00485A7B"/>
    <w:rsid w:val="00485B66"/>
    <w:rsid w:val="00485C32"/>
    <w:rsid w:val="00485DED"/>
    <w:rsid w:val="00485DF2"/>
    <w:rsid w:val="0048602F"/>
    <w:rsid w:val="0048606D"/>
    <w:rsid w:val="0048626F"/>
    <w:rsid w:val="004866F5"/>
    <w:rsid w:val="00486723"/>
    <w:rsid w:val="0048675C"/>
    <w:rsid w:val="004868DD"/>
    <w:rsid w:val="00486B65"/>
    <w:rsid w:val="00486DAD"/>
    <w:rsid w:val="00486FF7"/>
    <w:rsid w:val="0048701B"/>
    <w:rsid w:val="00487024"/>
    <w:rsid w:val="00487133"/>
    <w:rsid w:val="00487261"/>
    <w:rsid w:val="00487395"/>
    <w:rsid w:val="004873A0"/>
    <w:rsid w:val="004873B0"/>
    <w:rsid w:val="00487814"/>
    <w:rsid w:val="00487865"/>
    <w:rsid w:val="004879AF"/>
    <w:rsid w:val="00487AAF"/>
    <w:rsid w:val="00487D4F"/>
    <w:rsid w:val="00487F1D"/>
    <w:rsid w:val="00487F67"/>
    <w:rsid w:val="004901EF"/>
    <w:rsid w:val="00490314"/>
    <w:rsid w:val="004903E4"/>
    <w:rsid w:val="004904E6"/>
    <w:rsid w:val="00490623"/>
    <w:rsid w:val="00490903"/>
    <w:rsid w:val="00490B81"/>
    <w:rsid w:val="00490B91"/>
    <w:rsid w:val="00490D20"/>
    <w:rsid w:val="00490E0B"/>
    <w:rsid w:val="00490E98"/>
    <w:rsid w:val="00490F75"/>
    <w:rsid w:val="00491273"/>
    <w:rsid w:val="00491775"/>
    <w:rsid w:val="00491987"/>
    <w:rsid w:val="00491999"/>
    <w:rsid w:val="004919C9"/>
    <w:rsid w:val="00491C73"/>
    <w:rsid w:val="00492262"/>
    <w:rsid w:val="00492339"/>
    <w:rsid w:val="004923A1"/>
    <w:rsid w:val="004924B7"/>
    <w:rsid w:val="004926FA"/>
    <w:rsid w:val="004931C1"/>
    <w:rsid w:val="004931EA"/>
    <w:rsid w:val="00493202"/>
    <w:rsid w:val="004932C0"/>
    <w:rsid w:val="0049331A"/>
    <w:rsid w:val="0049335A"/>
    <w:rsid w:val="004933D8"/>
    <w:rsid w:val="00493544"/>
    <w:rsid w:val="00493576"/>
    <w:rsid w:val="004935A9"/>
    <w:rsid w:val="004935E1"/>
    <w:rsid w:val="004935E6"/>
    <w:rsid w:val="00493913"/>
    <w:rsid w:val="0049396A"/>
    <w:rsid w:val="00493BE9"/>
    <w:rsid w:val="00493C22"/>
    <w:rsid w:val="00493DED"/>
    <w:rsid w:val="00493E67"/>
    <w:rsid w:val="00493FB8"/>
    <w:rsid w:val="004940AC"/>
    <w:rsid w:val="0049417E"/>
    <w:rsid w:val="00494452"/>
    <w:rsid w:val="00494499"/>
    <w:rsid w:val="004944D8"/>
    <w:rsid w:val="00494585"/>
    <w:rsid w:val="00494A18"/>
    <w:rsid w:val="00494A4E"/>
    <w:rsid w:val="00494AB0"/>
    <w:rsid w:val="00494AE1"/>
    <w:rsid w:val="00494AF8"/>
    <w:rsid w:val="00494B45"/>
    <w:rsid w:val="00494D82"/>
    <w:rsid w:val="00494E04"/>
    <w:rsid w:val="00494F83"/>
    <w:rsid w:val="0049544F"/>
    <w:rsid w:val="004954FC"/>
    <w:rsid w:val="00495BDF"/>
    <w:rsid w:val="00495C92"/>
    <w:rsid w:val="00495DF0"/>
    <w:rsid w:val="00495EC6"/>
    <w:rsid w:val="00496025"/>
    <w:rsid w:val="0049606A"/>
    <w:rsid w:val="00496154"/>
    <w:rsid w:val="00496196"/>
    <w:rsid w:val="00496638"/>
    <w:rsid w:val="00496792"/>
    <w:rsid w:val="00496CEA"/>
    <w:rsid w:val="00496E46"/>
    <w:rsid w:val="00496F75"/>
    <w:rsid w:val="00496FC2"/>
    <w:rsid w:val="00497101"/>
    <w:rsid w:val="004971B3"/>
    <w:rsid w:val="0049728A"/>
    <w:rsid w:val="00497439"/>
    <w:rsid w:val="00497543"/>
    <w:rsid w:val="004977A8"/>
    <w:rsid w:val="0049787D"/>
    <w:rsid w:val="0049788A"/>
    <w:rsid w:val="004979B2"/>
    <w:rsid w:val="00497AC3"/>
    <w:rsid w:val="00497BF5"/>
    <w:rsid w:val="00497BFD"/>
    <w:rsid w:val="004A0264"/>
    <w:rsid w:val="004A0306"/>
    <w:rsid w:val="004A0514"/>
    <w:rsid w:val="004A08DE"/>
    <w:rsid w:val="004A09DA"/>
    <w:rsid w:val="004A0A20"/>
    <w:rsid w:val="004A0B62"/>
    <w:rsid w:val="004A0BE0"/>
    <w:rsid w:val="004A0CCB"/>
    <w:rsid w:val="004A0D9F"/>
    <w:rsid w:val="004A0F32"/>
    <w:rsid w:val="004A0FAF"/>
    <w:rsid w:val="004A0FCE"/>
    <w:rsid w:val="004A1256"/>
    <w:rsid w:val="004A1281"/>
    <w:rsid w:val="004A12D8"/>
    <w:rsid w:val="004A139F"/>
    <w:rsid w:val="004A145F"/>
    <w:rsid w:val="004A15BD"/>
    <w:rsid w:val="004A1644"/>
    <w:rsid w:val="004A16B5"/>
    <w:rsid w:val="004A1B47"/>
    <w:rsid w:val="004A1D37"/>
    <w:rsid w:val="004A1EE3"/>
    <w:rsid w:val="004A1F37"/>
    <w:rsid w:val="004A207B"/>
    <w:rsid w:val="004A20CF"/>
    <w:rsid w:val="004A21AF"/>
    <w:rsid w:val="004A243F"/>
    <w:rsid w:val="004A25F7"/>
    <w:rsid w:val="004A2607"/>
    <w:rsid w:val="004A2672"/>
    <w:rsid w:val="004A2914"/>
    <w:rsid w:val="004A2A70"/>
    <w:rsid w:val="004A2D29"/>
    <w:rsid w:val="004A2F40"/>
    <w:rsid w:val="004A3036"/>
    <w:rsid w:val="004A3234"/>
    <w:rsid w:val="004A32C4"/>
    <w:rsid w:val="004A32F4"/>
    <w:rsid w:val="004A333A"/>
    <w:rsid w:val="004A33C9"/>
    <w:rsid w:val="004A340F"/>
    <w:rsid w:val="004A3684"/>
    <w:rsid w:val="004A3AA4"/>
    <w:rsid w:val="004A3BB4"/>
    <w:rsid w:val="004A3BF9"/>
    <w:rsid w:val="004A3CB8"/>
    <w:rsid w:val="004A3DF9"/>
    <w:rsid w:val="004A3E8B"/>
    <w:rsid w:val="004A3EE8"/>
    <w:rsid w:val="004A3FBE"/>
    <w:rsid w:val="004A4006"/>
    <w:rsid w:val="004A403B"/>
    <w:rsid w:val="004A42DA"/>
    <w:rsid w:val="004A43BB"/>
    <w:rsid w:val="004A43E0"/>
    <w:rsid w:val="004A4510"/>
    <w:rsid w:val="004A4739"/>
    <w:rsid w:val="004A4B24"/>
    <w:rsid w:val="004A4CD5"/>
    <w:rsid w:val="004A4E3E"/>
    <w:rsid w:val="004A4FE4"/>
    <w:rsid w:val="004A515F"/>
    <w:rsid w:val="004A51D3"/>
    <w:rsid w:val="004A531C"/>
    <w:rsid w:val="004A535D"/>
    <w:rsid w:val="004A5411"/>
    <w:rsid w:val="004A5701"/>
    <w:rsid w:val="004A5941"/>
    <w:rsid w:val="004A5979"/>
    <w:rsid w:val="004A5B3A"/>
    <w:rsid w:val="004A5BD7"/>
    <w:rsid w:val="004A5C43"/>
    <w:rsid w:val="004A5C46"/>
    <w:rsid w:val="004A5C9E"/>
    <w:rsid w:val="004A5D71"/>
    <w:rsid w:val="004A5D82"/>
    <w:rsid w:val="004A60AE"/>
    <w:rsid w:val="004A6334"/>
    <w:rsid w:val="004A6472"/>
    <w:rsid w:val="004A64BE"/>
    <w:rsid w:val="004A68C2"/>
    <w:rsid w:val="004A6978"/>
    <w:rsid w:val="004A6B71"/>
    <w:rsid w:val="004A6BED"/>
    <w:rsid w:val="004A6E47"/>
    <w:rsid w:val="004A6EBC"/>
    <w:rsid w:val="004A6F60"/>
    <w:rsid w:val="004A7058"/>
    <w:rsid w:val="004A705C"/>
    <w:rsid w:val="004A705E"/>
    <w:rsid w:val="004A70B0"/>
    <w:rsid w:val="004A7105"/>
    <w:rsid w:val="004A728A"/>
    <w:rsid w:val="004A730B"/>
    <w:rsid w:val="004A7769"/>
    <w:rsid w:val="004A788E"/>
    <w:rsid w:val="004A78F9"/>
    <w:rsid w:val="004A7952"/>
    <w:rsid w:val="004A7C98"/>
    <w:rsid w:val="004A7E4D"/>
    <w:rsid w:val="004B0432"/>
    <w:rsid w:val="004B04E9"/>
    <w:rsid w:val="004B052C"/>
    <w:rsid w:val="004B05D2"/>
    <w:rsid w:val="004B0646"/>
    <w:rsid w:val="004B0B47"/>
    <w:rsid w:val="004B0D14"/>
    <w:rsid w:val="004B0E96"/>
    <w:rsid w:val="004B12E0"/>
    <w:rsid w:val="004B13E2"/>
    <w:rsid w:val="004B1443"/>
    <w:rsid w:val="004B170B"/>
    <w:rsid w:val="004B1731"/>
    <w:rsid w:val="004B1834"/>
    <w:rsid w:val="004B19D7"/>
    <w:rsid w:val="004B1B7E"/>
    <w:rsid w:val="004B1B98"/>
    <w:rsid w:val="004B1CB8"/>
    <w:rsid w:val="004B1CD8"/>
    <w:rsid w:val="004B1ED4"/>
    <w:rsid w:val="004B20CC"/>
    <w:rsid w:val="004B2118"/>
    <w:rsid w:val="004B215D"/>
    <w:rsid w:val="004B237A"/>
    <w:rsid w:val="004B262F"/>
    <w:rsid w:val="004B28C8"/>
    <w:rsid w:val="004B2B2D"/>
    <w:rsid w:val="004B2BB0"/>
    <w:rsid w:val="004B2ED0"/>
    <w:rsid w:val="004B3112"/>
    <w:rsid w:val="004B3253"/>
    <w:rsid w:val="004B32CB"/>
    <w:rsid w:val="004B331F"/>
    <w:rsid w:val="004B3753"/>
    <w:rsid w:val="004B3873"/>
    <w:rsid w:val="004B3AE9"/>
    <w:rsid w:val="004B3B4A"/>
    <w:rsid w:val="004B3D27"/>
    <w:rsid w:val="004B3EA7"/>
    <w:rsid w:val="004B3FCF"/>
    <w:rsid w:val="004B4089"/>
    <w:rsid w:val="004B4166"/>
    <w:rsid w:val="004B41D3"/>
    <w:rsid w:val="004B4224"/>
    <w:rsid w:val="004B44A5"/>
    <w:rsid w:val="004B456F"/>
    <w:rsid w:val="004B4A40"/>
    <w:rsid w:val="004B4A96"/>
    <w:rsid w:val="004B4C5D"/>
    <w:rsid w:val="004B4D1B"/>
    <w:rsid w:val="004B4D79"/>
    <w:rsid w:val="004B5015"/>
    <w:rsid w:val="004B511A"/>
    <w:rsid w:val="004B5464"/>
    <w:rsid w:val="004B5AC3"/>
    <w:rsid w:val="004B5BC1"/>
    <w:rsid w:val="004B5DFA"/>
    <w:rsid w:val="004B5F02"/>
    <w:rsid w:val="004B64DC"/>
    <w:rsid w:val="004B6504"/>
    <w:rsid w:val="004B6531"/>
    <w:rsid w:val="004B662C"/>
    <w:rsid w:val="004B6640"/>
    <w:rsid w:val="004B664E"/>
    <w:rsid w:val="004B6932"/>
    <w:rsid w:val="004B698E"/>
    <w:rsid w:val="004B69C6"/>
    <w:rsid w:val="004B6A0C"/>
    <w:rsid w:val="004B6CF4"/>
    <w:rsid w:val="004B6D66"/>
    <w:rsid w:val="004B7A62"/>
    <w:rsid w:val="004B7B6B"/>
    <w:rsid w:val="004B7C35"/>
    <w:rsid w:val="004B7DFB"/>
    <w:rsid w:val="004C013E"/>
    <w:rsid w:val="004C01AF"/>
    <w:rsid w:val="004C05A1"/>
    <w:rsid w:val="004C06B9"/>
    <w:rsid w:val="004C07A9"/>
    <w:rsid w:val="004C0BEE"/>
    <w:rsid w:val="004C0DDE"/>
    <w:rsid w:val="004C0E4D"/>
    <w:rsid w:val="004C0E6D"/>
    <w:rsid w:val="004C0EBA"/>
    <w:rsid w:val="004C1036"/>
    <w:rsid w:val="004C129C"/>
    <w:rsid w:val="004C1528"/>
    <w:rsid w:val="004C169E"/>
    <w:rsid w:val="004C16AA"/>
    <w:rsid w:val="004C1771"/>
    <w:rsid w:val="004C198B"/>
    <w:rsid w:val="004C19F0"/>
    <w:rsid w:val="004C1A07"/>
    <w:rsid w:val="004C1D2A"/>
    <w:rsid w:val="004C1E55"/>
    <w:rsid w:val="004C1EBD"/>
    <w:rsid w:val="004C1EDC"/>
    <w:rsid w:val="004C1F36"/>
    <w:rsid w:val="004C253B"/>
    <w:rsid w:val="004C2735"/>
    <w:rsid w:val="004C2739"/>
    <w:rsid w:val="004C27AC"/>
    <w:rsid w:val="004C2942"/>
    <w:rsid w:val="004C3160"/>
    <w:rsid w:val="004C320D"/>
    <w:rsid w:val="004C338B"/>
    <w:rsid w:val="004C33DC"/>
    <w:rsid w:val="004C35FF"/>
    <w:rsid w:val="004C370B"/>
    <w:rsid w:val="004C38A1"/>
    <w:rsid w:val="004C3A26"/>
    <w:rsid w:val="004C3BEB"/>
    <w:rsid w:val="004C3C19"/>
    <w:rsid w:val="004C3D1E"/>
    <w:rsid w:val="004C3DA5"/>
    <w:rsid w:val="004C3EF4"/>
    <w:rsid w:val="004C3FD0"/>
    <w:rsid w:val="004C407E"/>
    <w:rsid w:val="004C4234"/>
    <w:rsid w:val="004C436E"/>
    <w:rsid w:val="004C439C"/>
    <w:rsid w:val="004C43F8"/>
    <w:rsid w:val="004C44CF"/>
    <w:rsid w:val="004C4505"/>
    <w:rsid w:val="004C47BA"/>
    <w:rsid w:val="004C48E5"/>
    <w:rsid w:val="004C4981"/>
    <w:rsid w:val="004C4C37"/>
    <w:rsid w:val="004C4D62"/>
    <w:rsid w:val="004C4E22"/>
    <w:rsid w:val="004C4E40"/>
    <w:rsid w:val="004C502D"/>
    <w:rsid w:val="004C54B7"/>
    <w:rsid w:val="004C54E3"/>
    <w:rsid w:val="004C5725"/>
    <w:rsid w:val="004C573F"/>
    <w:rsid w:val="004C5B55"/>
    <w:rsid w:val="004C5D1F"/>
    <w:rsid w:val="004C5DDB"/>
    <w:rsid w:val="004C5EB4"/>
    <w:rsid w:val="004C5F1E"/>
    <w:rsid w:val="004C61C9"/>
    <w:rsid w:val="004C662D"/>
    <w:rsid w:val="004C664A"/>
    <w:rsid w:val="004C666B"/>
    <w:rsid w:val="004C67C8"/>
    <w:rsid w:val="004C67E3"/>
    <w:rsid w:val="004C681B"/>
    <w:rsid w:val="004C6A1B"/>
    <w:rsid w:val="004C6DEF"/>
    <w:rsid w:val="004C6E2B"/>
    <w:rsid w:val="004C6E3A"/>
    <w:rsid w:val="004C6EF0"/>
    <w:rsid w:val="004C6F39"/>
    <w:rsid w:val="004C7040"/>
    <w:rsid w:val="004C7062"/>
    <w:rsid w:val="004C725B"/>
    <w:rsid w:val="004C7304"/>
    <w:rsid w:val="004C780C"/>
    <w:rsid w:val="004C7864"/>
    <w:rsid w:val="004C791C"/>
    <w:rsid w:val="004C7A2D"/>
    <w:rsid w:val="004C7C8C"/>
    <w:rsid w:val="004C7D3C"/>
    <w:rsid w:val="004C7E4D"/>
    <w:rsid w:val="004D00E7"/>
    <w:rsid w:val="004D03BA"/>
    <w:rsid w:val="004D04BE"/>
    <w:rsid w:val="004D054E"/>
    <w:rsid w:val="004D0757"/>
    <w:rsid w:val="004D0827"/>
    <w:rsid w:val="004D1055"/>
    <w:rsid w:val="004D10AD"/>
    <w:rsid w:val="004D124A"/>
    <w:rsid w:val="004D1419"/>
    <w:rsid w:val="004D16AE"/>
    <w:rsid w:val="004D1710"/>
    <w:rsid w:val="004D1735"/>
    <w:rsid w:val="004D17E8"/>
    <w:rsid w:val="004D189E"/>
    <w:rsid w:val="004D19C5"/>
    <w:rsid w:val="004D1EA9"/>
    <w:rsid w:val="004D1FFD"/>
    <w:rsid w:val="004D2109"/>
    <w:rsid w:val="004D22B3"/>
    <w:rsid w:val="004D22E2"/>
    <w:rsid w:val="004D234F"/>
    <w:rsid w:val="004D23D6"/>
    <w:rsid w:val="004D2646"/>
    <w:rsid w:val="004D278C"/>
    <w:rsid w:val="004D2BA2"/>
    <w:rsid w:val="004D2BD3"/>
    <w:rsid w:val="004D2C25"/>
    <w:rsid w:val="004D2EE4"/>
    <w:rsid w:val="004D3013"/>
    <w:rsid w:val="004D32B8"/>
    <w:rsid w:val="004D32EE"/>
    <w:rsid w:val="004D36CE"/>
    <w:rsid w:val="004D378D"/>
    <w:rsid w:val="004D38A6"/>
    <w:rsid w:val="004D38DD"/>
    <w:rsid w:val="004D3AFA"/>
    <w:rsid w:val="004D3DC3"/>
    <w:rsid w:val="004D408B"/>
    <w:rsid w:val="004D4197"/>
    <w:rsid w:val="004D4305"/>
    <w:rsid w:val="004D4430"/>
    <w:rsid w:val="004D448C"/>
    <w:rsid w:val="004D44A0"/>
    <w:rsid w:val="004D4664"/>
    <w:rsid w:val="004D46B2"/>
    <w:rsid w:val="004D4940"/>
    <w:rsid w:val="004D4C41"/>
    <w:rsid w:val="004D4D7D"/>
    <w:rsid w:val="004D4F57"/>
    <w:rsid w:val="004D4FBD"/>
    <w:rsid w:val="004D5061"/>
    <w:rsid w:val="004D51CA"/>
    <w:rsid w:val="004D548F"/>
    <w:rsid w:val="004D5744"/>
    <w:rsid w:val="004D5A00"/>
    <w:rsid w:val="004D603F"/>
    <w:rsid w:val="004D6148"/>
    <w:rsid w:val="004D6543"/>
    <w:rsid w:val="004D67DD"/>
    <w:rsid w:val="004D68DB"/>
    <w:rsid w:val="004D6DB5"/>
    <w:rsid w:val="004D6E91"/>
    <w:rsid w:val="004D6F31"/>
    <w:rsid w:val="004D7253"/>
    <w:rsid w:val="004D72DA"/>
    <w:rsid w:val="004D7473"/>
    <w:rsid w:val="004D7509"/>
    <w:rsid w:val="004D7B4F"/>
    <w:rsid w:val="004D7D91"/>
    <w:rsid w:val="004D7EC4"/>
    <w:rsid w:val="004D7F19"/>
    <w:rsid w:val="004E0171"/>
    <w:rsid w:val="004E023C"/>
    <w:rsid w:val="004E07BD"/>
    <w:rsid w:val="004E0A96"/>
    <w:rsid w:val="004E0C23"/>
    <w:rsid w:val="004E0C70"/>
    <w:rsid w:val="004E0C8F"/>
    <w:rsid w:val="004E0E61"/>
    <w:rsid w:val="004E0F01"/>
    <w:rsid w:val="004E142C"/>
    <w:rsid w:val="004E14D2"/>
    <w:rsid w:val="004E1668"/>
    <w:rsid w:val="004E16FC"/>
    <w:rsid w:val="004E1807"/>
    <w:rsid w:val="004E186A"/>
    <w:rsid w:val="004E1C64"/>
    <w:rsid w:val="004E1E64"/>
    <w:rsid w:val="004E2109"/>
    <w:rsid w:val="004E2170"/>
    <w:rsid w:val="004E2634"/>
    <w:rsid w:val="004E2862"/>
    <w:rsid w:val="004E2933"/>
    <w:rsid w:val="004E294C"/>
    <w:rsid w:val="004E2C3A"/>
    <w:rsid w:val="004E2C41"/>
    <w:rsid w:val="004E2E15"/>
    <w:rsid w:val="004E301C"/>
    <w:rsid w:val="004E3023"/>
    <w:rsid w:val="004E30F7"/>
    <w:rsid w:val="004E330B"/>
    <w:rsid w:val="004E346A"/>
    <w:rsid w:val="004E356A"/>
    <w:rsid w:val="004E3605"/>
    <w:rsid w:val="004E36C2"/>
    <w:rsid w:val="004E38E6"/>
    <w:rsid w:val="004E3BAB"/>
    <w:rsid w:val="004E3C83"/>
    <w:rsid w:val="004E3D99"/>
    <w:rsid w:val="004E3DDD"/>
    <w:rsid w:val="004E3EED"/>
    <w:rsid w:val="004E3F0E"/>
    <w:rsid w:val="004E4016"/>
    <w:rsid w:val="004E4233"/>
    <w:rsid w:val="004E452A"/>
    <w:rsid w:val="004E45A9"/>
    <w:rsid w:val="004E4678"/>
    <w:rsid w:val="004E4690"/>
    <w:rsid w:val="004E46B4"/>
    <w:rsid w:val="004E46E5"/>
    <w:rsid w:val="004E47B7"/>
    <w:rsid w:val="004E4D04"/>
    <w:rsid w:val="004E511C"/>
    <w:rsid w:val="004E5151"/>
    <w:rsid w:val="004E523C"/>
    <w:rsid w:val="004E5276"/>
    <w:rsid w:val="004E52C8"/>
    <w:rsid w:val="004E5381"/>
    <w:rsid w:val="004E56D9"/>
    <w:rsid w:val="004E575E"/>
    <w:rsid w:val="004E5912"/>
    <w:rsid w:val="004E59B2"/>
    <w:rsid w:val="004E5B3F"/>
    <w:rsid w:val="004E5BE2"/>
    <w:rsid w:val="004E5DF0"/>
    <w:rsid w:val="004E5F79"/>
    <w:rsid w:val="004E5FF8"/>
    <w:rsid w:val="004E63D1"/>
    <w:rsid w:val="004E63FF"/>
    <w:rsid w:val="004E66B3"/>
    <w:rsid w:val="004E66D5"/>
    <w:rsid w:val="004E69E2"/>
    <w:rsid w:val="004E6AE4"/>
    <w:rsid w:val="004E6B60"/>
    <w:rsid w:val="004E6C67"/>
    <w:rsid w:val="004E6DEB"/>
    <w:rsid w:val="004E6E2A"/>
    <w:rsid w:val="004E71C6"/>
    <w:rsid w:val="004E740B"/>
    <w:rsid w:val="004E74AE"/>
    <w:rsid w:val="004E776C"/>
    <w:rsid w:val="004E79ED"/>
    <w:rsid w:val="004E7A38"/>
    <w:rsid w:val="004E7B8F"/>
    <w:rsid w:val="004E7C20"/>
    <w:rsid w:val="004E7D62"/>
    <w:rsid w:val="004E7D67"/>
    <w:rsid w:val="004E7ECC"/>
    <w:rsid w:val="004E7F7F"/>
    <w:rsid w:val="004E7FA1"/>
    <w:rsid w:val="004F00D2"/>
    <w:rsid w:val="004F010A"/>
    <w:rsid w:val="004F04FD"/>
    <w:rsid w:val="004F05B0"/>
    <w:rsid w:val="004F0668"/>
    <w:rsid w:val="004F085B"/>
    <w:rsid w:val="004F093E"/>
    <w:rsid w:val="004F0A0B"/>
    <w:rsid w:val="004F0B15"/>
    <w:rsid w:val="004F0B5C"/>
    <w:rsid w:val="004F0DCC"/>
    <w:rsid w:val="004F0F09"/>
    <w:rsid w:val="004F0F19"/>
    <w:rsid w:val="004F1053"/>
    <w:rsid w:val="004F139F"/>
    <w:rsid w:val="004F14BD"/>
    <w:rsid w:val="004F16D8"/>
    <w:rsid w:val="004F1735"/>
    <w:rsid w:val="004F1912"/>
    <w:rsid w:val="004F1A17"/>
    <w:rsid w:val="004F1D44"/>
    <w:rsid w:val="004F1DAD"/>
    <w:rsid w:val="004F1DED"/>
    <w:rsid w:val="004F2277"/>
    <w:rsid w:val="004F2497"/>
    <w:rsid w:val="004F255E"/>
    <w:rsid w:val="004F26AF"/>
    <w:rsid w:val="004F2774"/>
    <w:rsid w:val="004F2C97"/>
    <w:rsid w:val="004F2D44"/>
    <w:rsid w:val="004F2FC1"/>
    <w:rsid w:val="004F3076"/>
    <w:rsid w:val="004F3672"/>
    <w:rsid w:val="004F385D"/>
    <w:rsid w:val="004F38C9"/>
    <w:rsid w:val="004F3931"/>
    <w:rsid w:val="004F3A96"/>
    <w:rsid w:val="004F3B0E"/>
    <w:rsid w:val="004F3B6A"/>
    <w:rsid w:val="004F3B93"/>
    <w:rsid w:val="004F3CD3"/>
    <w:rsid w:val="004F3D56"/>
    <w:rsid w:val="004F4008"/>
    <w:rsid w:val="004F409D"/>
    <w:rsid w:val="004F4139"/>
    <w:rsid w:val="004F44FB"/>
    <w:rsid w:val="004F477E"/>
    <w:rsid w:val="004F4788"/>
    <w:rsid w:val="004F48ED"/>
    <w:rsid w:val="004F4A3B"/>
    <w:rsid w:val="004F4AC6"/>
    <w:rsid w:val="004F4C35"/>
    <w:rsid w:val="004F4D1B"/>
    <w:rsid w:val="004F500B"/>
    <w:rsid w:val="004F52D1"/>
    <w:rsid w:val="004F5316"/>
    <w:rsid w:val="004F533A"/>
    <w:rsid w:val="004F5479"/>
    <w:rsid w:val="004F572A"/>
    <w:rsid w:val="004F5AEF"/>
    <w:rsid w:val="004F5AF0"/>
    <w:rsid w:val="004F5BF8"/>
    <w:rsid w:val="004F5C63"/>
    <w:rsid w:val="004F5E0A"/>
    <w:rsid w:val="004F5F27"/>
    <w:rsid w:val="004F6113"/>
    <w:rsid w:val="004F61A2"/>
    <w:rsid w:val="004F6260"/>
    <w:rsid w:val="004F6358"/>
    <w:rsid w:val="004F6362"/>
    <w:rsid w:val="004F66DC"/>
    <w:rsid w:val="004F6706"/>
    <w:rsid w:val="004F678F"/>
    <w:rsid w:val="004F6791"/>
    <w:rsid w:val="004F67E4"/>
    <w:rsid w:val="004F6839"/>
    <w:rsid w:val="004F68D6"/>
    <w:rsid w:val="004F68D9"/>
    <w:rsid w:val="004F6D60"/>
    <w:rsid w:val="004F6DA5"/>
    <w:rsid w:val="004F6E3E"/>
    <w:rsid w:val="004F726C"/>
    <w:rsid w:val="004F7391"/>
    <w:rsid w:val="004F7480"/>
    <w:rsid w:val="004F7915"/>
    <w:rsid w:val="004F79C9"/>
    <w:rsid w:val="004F7C11"/>
    <w:rsid w:val="004F7ED2"/>
    <w:rsid w:val="004F7FF7"/>
    <w:rsid w:val="00500022"/>
    <w:rsid w:val="005001B7"/>
    <w:rsid w:val="0050050D"/>
    <w:rsid w:val="0050051A"/>
    <w:rsid w:val="0050055F"/>
    <w:rsid w:val="00500682"/>
    <w:rsid w:val="005006CE"/>
    <w:rsid w:val="0050075E"/>
    <w:rsid w:val="005009FA"/>
    <w:rsid w:val="00500A63"/>
    <w:rsid w:val="00500A69"/>
    <w:rsid w:val="00500BE1"/>
    <w:rsid w:val="00500CB0"/>
    <w:rsid w:val="00500F3E"/>
    <w:rsid w:val="00500FA6"/>
    <w:rsid w:val="00500FBE"/>
    <w:rsid w:val="005010FA"/>
    <w:rsid w:val="005011FF"/>
    <w:rsid w:val="0050150D"/>
    <w:rsid w:val="00501529"/>
    <w:rsid w:val="005015B7"/>
    <w:rsid w:val="005016AA"/>
    <w:rsid w:val="005016BA"/>
    <w:rsid w:val="005016DE"/>
    <w:rsid w:val="005017FA"/>
    <w:rsid w:val="005019F5"/>
    <w:rsid w:val="00501A9C"/>
    <w:rsid w:val="00501DAB"/>
    <w:rsid w:val="0050202E"/>
    <w:rsid w:val="00502371"/>
    <w:rsid w:val="0050242E"/>
    <w:rsid w:val="005024C3"/>
    <w:rsid w:val="00502651"/>
    <w:rsid w:val="005027A3"/>
    <w:rsid w:val="005027F6"/>
    <w:rsid w:val="005028B7"/>
    <w:rsid w:val="00502B4C"/>
    <w:rsid w:val="00502BEA"/>
    <w:rsid w:val="0050306C"/>
    <w:rsid w:val="005030A2"/>
    <w:rsid w:val="005030C6"/>
    <w:rsid w:val="00503502"/>
    <w:rsid w:val="005035E3"/>
    <w:rsid w:val="00503706"/>
    <w:rsid w:val="0050379F"/>
    <w:rsid w:val="00503C61"/>
    <w:rsid w:val="00503CC0"/>
    <w:rsid w:val="00503D53"/>
    <w:rsid w:val="00503DE4"/>
    <w:rsid w:val="00503E6F"/>
    <w:rsid w:val="00503EC7"/>
    <w:rsid w:val="005042B5"/>
    <w:rsid w:val="005042C8"/>
    <w:rsid w:val="005044AF"/>
    <w:rsid w:val="0050481B"/>
    <w:rsid w:val="005048A7"/>
    <w:rsid w:val="005048C0"/>
    <w:rsid w:val="0050494B"/>
    <w:rsid w:val="00504952"/>
    <w:rsid w:val="00504AE8"/>
    <w:rsid w:val="00504C97"/>
    <w:rsid w:val="00504D68"/>
    <w:rsid w:val="00504EFF"/>
    <w:rsid w:val="00504FD5"/>
    <w:rsid w:val="00505098"/>
    <w:rsid w:val="00505290"/>
    <w:rsid w:val="0050533A"/>
    <w:rsid w:val="00505367"/>
    <w:rsid w:val="00505431"/>
    <w:rsid w:val="00505AAC"/>
    <w:rsid w:val="00505CB4"/>
    <w:rsid w:val="00505D4D"/>
    <w:rsid w:val="00506039"/>
    <w:rsid w:val="005060D8"/>
    <w:rsid w:val="00506132"/>
    <w:rsid w:val="00506430"/>
    <w:rsid w:val="005066CA"/>
    <w:rsid w:val="00506783"/>
    <w:rsid w:val="0050678B"/>
    <w:rsid w:val="0050686C"/>
    <w:rsid w:val="00506A1C"/>
    <w:rsid w:val="00506A46"/>
    <w:rsid w:val="00506A65"/>
    <w:rsid w:val="00506BB0"/>
    <w:rsid w:val="00506C31"/>
    <w:rsid w:val="00506D75"/>
    <w:rsid w:val="00506F2C"/>
    <w:rsid w:val="00506F31"/>
    <w:rsid w:val="00506F5B"/>
    <w:rsid w:val="00506F8E"/>
    <w:rsid w:val="00507075"/>
    <w:rsid w:val="00507431"/>
    <w:rsid w:val="00507821"/>
    <w:rsid w:val="005078F1"/>
    <w:rsid w:val="005078F6"/>
    <w:rsid w:val="00507E1E"/>
    <w:rsid w:val="00510082"/>
    <w:rsid w:val="00510382"/>
    <w:rsid w:val="0051049B"/>
    <w:rsid w:val="00510635"/>
    <w:rsid w:val="00510709"/>
    <w:rsid w:val="00510B01"/>
    <w:rsid w:val="00510C0F"/>
    <w:rsid w:val="00510C24"/>
    <w:rsid w:val="00510C7E"/>
    <w:rsid w:val="0051106D"/>
    <w:rsid w:val="0051115B"/>
    <w:rsid w:val="005112CB"/>
    <w:rsid w:val="00511352"/>
    <w:rsid w:val="00511526"/>
    <w:rsid w:val="005116CF"/>
    <w:rsid w:val="00511763"/>
    <w:rsid w:val="005119E2"/>
    <w:rsid w:val="00511CB9"/>
    <w:rsid w:val="00512255"/>
    <w:rsid w:val="0051253A"/>
    <w:rsid w:val="00512655"/>
    <w:rsid w:val="00512A1E"/>
    <w:rsid w:val="00512BA6"/>
    <w:rsid w:val="005130B3"/>
    <w:rsid w:val="005133E5"/>
    <w:rsid w:val="00513405"/>
    <w:rsid w:val="005137C7"/>
    <w:rsid w:val="00513818"/>
    <w:rsid w:val="00513935"/>
    <w:rsid w:val="00513991"/>
    <w:rsid w:val="005139D2"/>
    <w:rsid w:val="00513C39"/>
    <w:rsid w:val="00513E24"/>
    <w:rsid w:val="00513EDB"/>
    <w:rsid w:val="00513FFD"/>
    <w:rsid w:val="0051428D"/>
    <w:rsid w:val="00514431"/>
    <w:rsid w:val="00514673"/>
    <w:rsid w:val="0051472D"/>
    <w:rsid w:val="005148A5"/>
    <w:rsid w:val="005148D4"/>
    <w:rsid w:val="00514923"/>
    <w:rsid w:val="0051493E"/>
    <w:rsid w:val="005149C4"/>
    <w:rsid w:val="00514AF6"/>
    <w:rsid w:val="00514B64"/>
    <w:rsid w:val="00514EC0"/>
    <w:rsid w:val="00514FF9"/>
    <w:rsid w:val="00515022"/>
    <w:rsid w:val="005150D9"/>
    <w:rsid w:val="00515842"/>
    <w:rsid w:val="00515A90"/>
    <w:rsid w:val="00515CBA"/>
    <w:rsid w:val="00515FC4"/>
    <w:rsid w:val="00515FC5"/>
    <w:rsid w:val="0051606B"/>
    <w:rsid w:val="005160A8"/>
    <w:rsid w:val="005160B9"/>
    <w:rsid w:val="005160C8"/>
    <w:rsid w:val="00516217"/>
    <w:rsid w:val="00516290"/>
    <w:rsid w:val="00516298"/>
    <w:rsid w:val="00516387"/>
    <w:rsid w:val="00516399"/>
    <w:rsid w:val="005165C8"/>
    <w:rsid w:val="00516883"/>
    <w:rsid w:val="005168FF"/>
    <w:rsid w:val="00516B6D"/>
    <w:rsid w:val="00516B8D"/>
    <w:rsid w:val="00516D94"/>
    <w:rsid w:val="00516E9D"/>
    <w:rsid w:val="00516ECB"/>
    <w:rsid w:val="00516F02"/>
    <w:rsid w:val="00516F2A"/>
    <w:rsid w:val="0051702F"/>
    <w:rsid w:val="005172FB"/>
    <w:rsid w:val="0051739E"/>
    <w:rsid w:val="005173D6"/>
    <w:rsid w:val="0051740D"/>
    <w:rsid w:val="00517556"/>
    <w:rsid w:val="00517A53"/>
    <w:rsid w:val="00517B1A"/>
    <w:rsid w:val="00517BBC"/>
    <w:rsid w:val="00517C51"/>
    <w:rsid w:val="00517CA5"/>
    <w:rsid w:val="00517D80"/>
    <w:rsid w:val="00517DF8"/>
    <w:rsid w:val="00517E58"/>
    <w:rsid w:val="00517EC1"/>
    <w:rsid w:val="00520146"/>
    <w:rsid w:val="0052030D"/>
    <w:rsid w:val="00520497"/>
    <w:rsid w:val="00520801"/>
    <w:rsid w:val="0052092E"/>
    <w:rsid w:val="00520A3C"/>
    <w:rsid w:val="00520C89"/>
    <w:rsid w:val="00520EC4"/>
    <w:rsid w:val="00520F88"/>
    <w:rsid w:val="0052115D"/>
    <w:rsid w:val="005213DE"/>
    <w:rsid w:val="00521450"/>
    <w:rsid w:val="0052168A"/>
    <w:rsid w:val="005218D3"/>
    <w:rsid w:val="00521A36"/>
    <w:rsid w:val="00521A7A"/>
    <w:rsid w:val="00521AE6"/>
    <w:rsid w:val="00521D70"/>
    <w:rsid w:val="00521FC7"/>
    <w:rsid w:val="00522015"/>
    <w:rsid w:val="0052203E"/>
    <w:rsid w:val="005223CE"/>
    <w:rsid w:val="00522576"/>
    <w:rsid w:val="00522856"/>
    <w:rsid w:val="00522935"/>
    <w:rsid w:val="00522B82"/>
    <w:rsid w:val="00522DF9"/>
    <w:rsid w:val="00522ECC"/>
    <w:rsid w:val="00522EEA"/>
    <w:rsid w:val="00522FEC"/>
    <w:rsid w:val="00523246"/>
    <w:rsid w:val="0052333A"/>
    <w:rsid w:val="005233E4"/>
    <w:rsid w:val="00523451"/>
    <w:rsid w:val="005234B9"/>
    <w:rsid w:val="00523594"/>
    <w:rsid w:val="0052369F"/>
    <w:rsid w:val="005237D5"/>
    <w:rsid w:val="005237DB"/>
    <w:rsid w:val="005237EA"/>
    <w:rsid w:val="005239A0"/>
    <w:rsid w:val="00523A7C"/>
    <w:rsid w:val="00523B26"/>
    <w:rsid w:val="00523CFA"/>
    <w:rsid w:val="00523DB0"/>
    <w:rsid w:val="00523EFA"/>
    <w:rsid w:val="0052400B"/>
    <w:rsid w:val="0052402C"/>
    <w:rsid w:val="0052403B"/>
    <w:rsid w:val="00524078"/>
    <w:rsid w:val="005246F9"/>
    <w:rsid w:val="005247CB"/>
    <w:rsid w:val="00524A2E"/>
    <w:rsid w:val="00524A35"/>
    <w:rsid w:val="00524B00"/>
    <w:rsid w:val="00524BD1"/>
    <w:rsid w:val="00524D74"/>
    <w:rsid w:val="00524DCA"/>
    <w:rsid w:val="00524E6C"/>
    <w:rsid w:val="00524ED3"/>
    <w:rsid w:val="00524F6C"/>
    <w:rsid w:val="00525223"/>
    <w:rsid w:val="00525451"/>
    <w:rsid w:val="00525604"/>
    <w:rsid w:val="00525715"/>
    <w:rsid w:val="005258B8"/>
    <w:rsid w:val="00525B4D"/>
    <w:rsid w:val="00525C53"/>
    <w:rsid w:val="00525C78"/>
    <w:rsid w:val="00525DBF"/>
    <w:rsid w:val="00525DCA"/>
    <w:rsid w:val="00525EB6"/>
    <w:rsid w:val="00526328"/>
    <w:rsid w:val="0052654F"/>
    <w:rsid w:val="00526738"/>
    <w:rsid w:val="00526986"/>
    <w:rsid w:val="00526DC9"/>
    <w:rsid w:val="00526EC9"/>
    <w:rsid w:val="00527035"/>
    <w:rsid w:val="0052706B"/>
    <w:rsid w:val="0052719B"/>
    <w:rsid w:val="0052746A"/>
    <w:rsid w:val="00527498"/>
    <w:rsid w:val="00527578"/>
    <w:rsid w:val="005275B0"/>
    <w:rsid w:val="005275F1"/>
    <w:rsid w:val="0052774B"/>
    <w:rsid w:val="00527889"/>
    <w:rsid w:val="00527A9B"/>
    <w:rsid w:val="00527B7C"/>
    <w:rsid w:val="00527C56"/>
    <w:rsid w:val="00527F0E"/>
    <w:rsid w:val="005300A3"/>
    <w:rsid w:val="0053024A"/>
    <w:rsid w:val="00530279"/>
    <w:rsid w:val="005303AD"/>
    <w:rsid w:val="005303FA"/>
    <w:rsid w:val="0053054D"/>
    <w:rsid w:val="005307EF"/>
    <w:rsid w:val="00530C6A"/>
    <w:rsid w:val="00530E13"/>
    <w:rsid w:val="00530ECB"/>
    <w:rsid w:val="00531208"/>
    <w:rsid w:val="0053140B"/>
    <w:rsid w:val="005315E5"/>
    <w:rsid w:val="005316F7"/>
    <w:rsid w:val="00531795"/>
    <w:rsid w:val="00531916"/>
    <w:rsid w:val="00531966"/>
    <w:rsid w:val="00531AD4"/>
    <w:rsid w:val="00531C28"/>
    <w:rsid w:val="00531CC1"/>
    <w:rsid w:val="00531D79"/>
    <w:rsid w:val="00531F7F"/>
    <w:rsid w:val="00531F9B"/>
    <w:rsid w:val="005322A6"/>
    <w:rsid w:val="005322A9"/>
    <w:rsid w:val="0053258C"/>
    <w:rsid w:val="005325E1"/>
    <w:rsid w:val="005327DC"/>
    <w:rsid w:val="00532835"/>
    <w:rsid w:val="00532A37"/>
    <w:rsid w:val="00532A46"/>
    <w:rsid w:val="00532ADF"/>
    <w:rsid w:val="00532EFC"/>
    <w:rsid w:val="00533047"/>
    <w:rsid w:val="00533209"/>
    <w:rsid w:val="00533244"/>
    <w:rsid w:val="00533287"/>
    <w:rsid w:val="005334B9"/>
    <w:rsid w:val="005335AE"/>
    <w:rsid w:val="005335FA"/>
    <w:rsid w:val="005338A7"/>
    <w:rsid w:val="0053398A"/>
    <w:rsid w:val="00534078"/>
    <w:rsid w:val="00534086"/>
    <w:rsid w:val="005340B2"/>
    <w:rsid w:val="005340CE"/>
    <w:rsid w:val="00534131"/>
    <w:rsid w:val="0053427B"/>
    <w:rsid w:val="00534318"/>
    <w:rsid w:val="0053452E"/>
    <w:rsid w:val="00534549"/>
    <w:rsid w:val="005346DD"/>
    <w:rsid w:val="005351EE"/>
    <w:rsid w:val="005352CA"/>
    <w:rsid w:val="0053538A"/>
    <w:rsid w:val="0053563E"/>
    <w:rsid w:val="00535C69"/>
    <w:rsid w:val="00535EE8"/>
    <w:rsid w:val="00536156"/>
    <w:rsid w:val="00536327"/>
    <w:rsid w:val="00536476"/>
    <w:rsid w:val="0053652E"/>
    <w:rsid w:val="00536830"/>
    <w:rsid w:val="00536883"/>
    <w:rsid w:val="0053693A"/>
    <w:rsid w:val="00536AA6"/>
    <w:rsid w:val="00536AC7"/>
    <w:rsid w:val="00536B61"/>
    <w:rsid w:val="00536B9B"/>
    <w:rsid w:val="00536C31"/>
    <w:rsid w:val="00536E00"/>
    <w:rsid w:val="00536ED6"/>
    <w:rsid w:val="00537549"/>
    <w:rsid w:val="00537598"/>
    <w:rsid w:val="00537A0F"/>
    <w:rsid w:val="00537D95"/>
    <w:rsid w:val="00540073"/>
    <w:rsid w:val="0054023E"/>
    <w:rsid w:val="00540497"/>
    <w:rsid w:val="0054053E"/>
    <w:rsid w:val="005409C8"/>
    <w:rsid w:val="00540C4F"/>
    <w:rsid w:val="00540CA5"/>
    <w:rsid w:val="00540EF8"/>
    <w:rsid w:val="00540F01"/>
    <w:rsid w:val="00541014"/>
    <w:rsid w:val="00541032"/>
    <w:rsid w:val="00541082"/>
    <w:rsid w:val="00541087"/>
    <w:rsid w:val="005410C1"/>
    <w:rsid w:val="005412C0"/>
    <w:rsid w:val="005415B0"/>
    <w:rsid w:val="005415D7"/>
    <w:rsid w:val="005415E6"/>
    <w:rsid w:val="005417C0"/>
    <w:rsid w:val="00541868"/>
    <w:rsid w:val="005418AB"/>
    <w:rsid w:val="005418EF"/>
    <w:rsid w:val="00541AE9"/>
    <w:rsid w:val="00542489"/>
    <w:rsid w:val="005424EF"/>
    <w:rsid w:val="00542BAE"/>
    <w:rsid w:val="00542CE9"/>
    <w:rsid w:val="00542DBE"/>
    <w:rsid w:val="00542DE7"/>
    <w:rsid w:val="00542F3F"/>
    <w:rsid w:val="00542FF2"/>
    <w:rsid w:val="00543167"/>
    <w:rsid w:val="00543496"/>
    <w:rsid w:val="00543570"/>
    <w:rsid w:val="005437B0"/>
    <w:rsid w:val="0054387C"/>
    <w:rsid w:val="00543A14"/>
    <w:rsid w:val="00543A64"/>
    <w:rsid w:val="00543CC8"/>
    <w:rsid w:val="00543F4F"/>
    <w:rsid w:val="00543F71"/>
    <w:rsid w:val="0054439F"/>
    <w:rsid w:val="005445DF"/>
    <w:rsid w:val="005448C6"/>
    <w:rsid w:val="0054495E"/>
    <w:rsid w:val="00544991"/>
    <w:rsid w:val="00544C92"/>
    <w:rsid w:val="00544E24"/>
    <w:rsid w:val="00544E30"/>
    <w:rsid w:val="00544E7E"/>
    <w:rsid w:val="00544EFC"/>
    <w:rsid w:val="00544F5E"/>
    <w:rsid w:val="00545696"/>
    <w:rsid w:val="005456E6"/>
    <w:rsid w:val="00545716"/>
    <w:rsid w:val="00545B31"/>
    <w:rsid w:val="00545DA7"/>
    <w:rsid w:val="00545EA3"/>
    <w:rsid w:val="005460B0"/>
    <w:rsid w:val="005461FC"/>
    <w:rsid w:val="005462A9"/>
    <w:rsid w:val="00546368"/>
    <w:rsid w:val="00546531"/>
    <w:rsid w:val="005465DD"/>
    <w:rsid w:val="0054666B"/>
    <w:rsid w:val="00546782"/>
    <w:rsid w:val="00546939"/>
    <w:rsid w:val="00546B11"/>
    <w:rsid w:val="00546C69"/>
    <w:rsid w:val="00546CBF"/>
    <w:rsid w:val="00546D37"/>
    <w:rsid w:val="00546E43"/>
    <w:rsid w:val="00546F09"/>
    <w:rsid w:val="00547004"/>
    <w:rsid w:val="00547026"/>
    <w:rsid w:val="00547162"/>
    <w:rsid w:val="005471B6"/>
    <w:rsid w:val="00547260"/>
    <w:rsid w:val="0054757D"/>
    <w:rsid w:val="005475D3"/>
    <w:rsid w:val="00547796"/>
    <w:rsid w:val="005478A7"/>
    <w:rsid w:val="00547B72"/>
    <w:rsid w:val="00550014"/>
    <w:rsid w:val="00550390"/>
    <w:rsid w:val="005505AB"/>
    <w:rsid w:val="0055068D"/>
    <w:rsid w:val="00550943"/>
    <w:rsid w:val="005510C3"/>
    <w:rsid w:val="005510E0"/>
    <w:rsid w:val="00551106"/>
    <w:rsid w:val="005511D0"/>
    <w:rsid w:val="005511E8"/>
    <w:rsid w:val="00551253"/>
    <w:rsid w:val="0055125E"/>
    <w:rsid w:val="0055131E"/>
    <w:rsid w:val="00551400"/>
    <w:rsid w:val="005514E0"/>
    <w:rsid w:val="005514E8"/>
    <w:rsid w:val="00551530"/>
    <w:rsid w:val="00551686"/>
    <w:rsid w:val="005516BA"/>
    <w:rsid w:val="005518C8"/>
    <w:rsid w:val="00551A3C"/>
    <w:rsid w:val="00551BA5"/>
    <w:rsid w:val="00551CAD"/>
    <w:rsid w:val="00551FA4"/>
    <w:rsid w:val="005522B2"/>
    <w:rsid w:val="00552310"/>
    <w:rsid w:val="00552319"/>
    <w:rsid w:val="0055237F"/>
    <w:rsid w:val="00552395"/>
    <w:rsid w:val="005523AC"/>
    <w:rsid w:val="0055246A"/>
    <w:rsid w:val="0055283F"/>
    <w:rsid w:val="005528C0"/>
    <w:rsid w:val="00552A12"/>
    <w:rsid w:val="00552C6F"/>
    <w:rsid w:val="00552CB8"/>
    <w:rsid w:val="00552CDD"/>
    <w:rsid w:val="00552D6E"/>
    <w:rsid w:val="00552EA2"/>
    <w:rsid w:val="00552EF9"/>
    <w:rsid w:val="00552F16"/>
    <w:rsid w:val="00553176"/>
    <w:rsid w:val="005533BD"/>
    <w:rsid w:val="0055368B"/>
    <w:rsid w:val="0055377B"/>
    <w:rsid w:val="0055381D"/>
    <w:rsid w:val="005539C4"/>
    <w:rsid w:val="00553A25"/>
    <w:rsid w:val="00553DB7"/>
    <w:rsid w:val="00553DDC"/>
    <w:rsid w:val="00553EB8"/>
    <w:rsid w:val="00553FFD"/>
    <w:rsid w:val="00554009"/>
    <w:rsid w:val="00554052"/>
    <w:rsid w:val="0055407C"/>
    <w:rsid w:val="005540B3"/>
    <w:rsid w:val="005542EA"/>
    <w:rsid w:val="0055478D"/>
    <w:rsid w:val="005548E0"/>
    <w:rsid w:val="00554DA7"/>
    <w:rsid w:val="00554E0C"/>
    <w:rsid w:val="00555030"/>
    <w:rsid w:val="005550B1"/>
    <w:rsid w:val="00555259"/>
    <w:rsid w:val="00555345"/>
    <w:rsid w:val="005553C9"/>
    <w:rsid w:val="00555634"/>
    <w:rsid w:val="00555797"/>
    <w:rsid w:val="0055579F"/>
    <w:rsid w:val="005559AA"/>
    <w:rsid w:val="005559EE"/>
    <w:rsid w:val="005559FE"/>
    <w:rsid w:val="00555B65"/>
    <w:rsid w:val="00555BE5"/>
    <w:rsid w:val="00555CB1"/>
    <w:rsid w:val="0055601F"/>
    <w:rsid w:val="0055607E"/>
    <w:rsid w:val="0055610E"/>
    <w:rsid w:val="00556143"/>
    <w:rsid w:val="005561CB"/>
    <w:rsid w:val="00556269"/>
    <w:rsid w:val="005563F4"/>
    <w:rsid w:val="00556565"/>
    <w:rsid w:val="005565E3"/>
    <w:rsid w:val="00556960"/>
    <w:rsid w:val="0055697F"/>
    <w:rsid w:val="005569FA"/>
    <w:rsid w:val="00556AFF"/>
    <w:rsid w:val="00556B00"/>
    <w:rsid w:val="00556BBE"/>
    <w:rsid w:val="00557111"/>
    <w:rsid w:val="005574E2"/>
    <w:rsid w:val="005575B4"/>
    <w:rsid w:val="00557887"/>
    <w:rsid w:val="00557A3C"/>
    <w:rsid w:val="00557B14"/>
    <w:rsid w:val="00557E70"/>
    <w:rsid w:val="00557E94"/>
    <w:rsid w:val="0056008C"/>
    <w:rsid w:val="005600BE"/>
    <w:rsid w:val="00560115"/>
    <w:rsid w:val="00560128"/>
    <w:rsid w:val="00560299"/>
    <w:rsid w:val="005603C5"/>
    <w:rsid w:val="0056049C"/>
    <w:rsid w:val="00560629"/>
    <w:rsid w:val="005606DF"/>
    <w:rsid w:val="00560766"/>
    <w:rsid w:val="00560775"/>
    <w:rsid w:val="00560932"/>
    <w:rsid w:val="00560D7A"/>
    <w:rsid w:val="00560E84"/>
    <w:rsid w:val="00560F04"/>
    <w:rsid w:val="00561028"/>
    <w:rsid w:val="00561087"/>
    <w:rsid w:val="0056109A"/>
    <w:rsid w:val="005611C3"/>
    <w:rsid w:val="005615EA"/>
    <w:rsid w:val="0056160B"/>
    <w:rsid w:val="005617B0"/>
    <w:rsid w:val="00561901"/>
    <w:rsid w:val="00561952"/>
    <w:rsid w:val="00561E62"/>
    <w:rsid w:val="00561E96"/>
    <w:rsid w:val="00561F7C"/>
    <w:rsid w:val="005620CB"/>
    <w:rsid w:val="00562159"/>
    <w:rsid w:val="00562160"/>
    <w:rsid w:val="0056225A"/>
    <w:rsid w:val="00562311"/>
    <w:rsid w:val="00562565"/>
    <w:rsid w:val="005627A7"/>
    <w:rsid w:val="005627D1"/>
    <w:rsid w:val="005627E5"/>
    <w:rsid w:val="00562C4A"/>
    <w:rsid w:val="00562D95"/>
    <w:rsid w:val="00562DEE"/>
    <w:rsid w:val="00562E0B"/>
    <w:rsid w:val="00562FE4"/>
    <w:rsid w:val="0056307F"/>
    <w:rsid w:val="00563097"/>
    <w:rsid w:val="005631D8"/>
    <w:rsid w:val="0056335A"/>
    <w:rsid w:val="005633EF"/>
    <w:rsid w:val="0056342C"/>
    <w:rsid w:val="005634A9"/>
    <w:rsid w:val="005635A6"/>
    <w:rsid w:val="00563683"/>
    <w:rsid w:val="00563813"/>
    <w:rsid w:val="00563D77"/>
    <w:rsid w:val="00563EC5"/>
    <w:rsid w:val="00563EE1"/>
    <w:rsid w:val="00563F0A"/>
    <w:rsid w:val="00563FB5"/>
    <w:rsid w:val="0056425E"/>
    <w:rsid w:val="00564367"/>
    <w:rsid w:val="0056458B"/>
    <w:rsid w:val="005648A8"/>
    <w:rsid w:val="005649B4"/>
    <w:rsid w:val="00564AB6"/>
    <w:rsid w:val="00564F0C"/>
    <w:rsid w:val="00564F10"/>
    <w:rsid w:val="00564F62"/>
    <w:rsid w:val="005651EF"/>
    <w:rsid w:val="005652FD"/>
    <w:rsid w:val="00565383"/>
    <w:rsid w:val="00565507"/>
    <w:rsid w:val="0056551B"/>
    <w:rsid w:val="0056562F"/>
    <w:rsid w:val="00565835"/>
    <w:rsid w:val="00565843"/>
    <w:rsid w:val="00565920"/>
    <w:rsid w:val="005659BC"/>
    <w:rsid w:val="00565AA1"/>
    <w:rsid w:val="00565BD0"/>
    <w:rsid w:val="00565BD2"/>
    <w:rsid w:val="00565D54"/>
    <w:rsid w:val="00565E09"/>
    <w:rsid w:val="00566439"/>
    <w:rsid w:val="005664EF"/>
    <w:rsid w:val="005665B2"/>
    <w:rsid w:val="00567035"/>
    <w:rsid w:val="00567147"/>
    <w:rsid w:val="00567178"/>
    <w:rsid w:val="00567588"/>
    <w:rsid w:val="00567CF2"/>
    <w:rsid w:val="00567D0F"/>
    <w:rsid w:val="00567EE7"/>
    <w:rsid w:val="00567F51"/>
    <w:rsid w:val="00567F63"/>
    <w:rsid w:val="00567F70"/>
    <w:rsid w:val="00567FD9"/>
    <w:rsid w:val="00567FEF"/>
    <w:rsid w:val="00570087"/>
    <w:rsid w:val="0057023B"/>
    <w:rsid w:val="0057037C"/>
    <w:rsid w:val="005705BD"/>
    <w:rsid w:val="005706A3"/>
    <w:rsid w:val="0057095D"/>
    <w:rsid w:val="00570DFC"/>
    <w:rsid w:val="005711C5"/>
    <w:rsid w:val="0057127C"/>
    <w:rsid w:val="005712DB"/>
    <w:rsid w:val="00571308"/>
    <w:rsid w:val="005714E3"/>
    <w:rsid w:val="0057176F"/>
    <w:rsid w:val="0057186F"/>
    <w:rsid w:val="00571A91"/>
    <w:rsid w:val="00571E39"/>
    <w:rsid w:val="00571EC1"/>
    <w:rsid w:val="00572054"/>
    <w:rsid w:val="005720AF"/>
    <w:rsid w:val="00572304"/>
    <w:rsid w:val="005723B6"/>
    <w:rsid w:val="0057245C"/>
    <w:rsid w:val="005725BA"/>
    <w:rsid w:val="00572862"/>
    <w:rsid w:val="005728D3"/>
    <w:rsid w:val="00572AC3"/>
    <w:rsid w:val="00572B78"/>
    <w:rsid w:val="00572EBC"/>
    <w:rsid w:val="00572F67"/>
    <w:rsid w:val="00573127"/>
    <w:rsid w:val="00573271"/>
    <w:rsid w:val="00573478"/>
    <w:rsid w:val="0057351A"/>
    <w:rsid w:val="00573569"/>
    <w:rsid w:val="00573594"/>
    <w:rsid w:val="005735C2"/>
    <w:rsid w:val="005735D4"/>
    <w:rsid w:val="005735E1"/>
    <w:rsid w:val="00573700"/>
    <w:rsid w:val="0057379D"/>
    <w:rsid w:val="005737D0"/>
    <w:rsid w:val="00573930"/>
    <w:rsid w:val="0057394C"/>
    <w:rsid w:val="005739F8"/>
    <w:rsid w:val="00573A7D"/>
    <w:rsid w:val="00573D5D"/>
    <w:rsid w:val="00573D8F"/>
    <w:rsid w:val="00573DF7"/>
    <w:rsid w:val="00573FF8"/>
    <w:rsid w:val="005741DA"/>
    <w:rsid w:val="00574304"/>
    <w:rsid w:val="0057439B"/>
    <w:rsid w:val="005746C7"/>
    <w:rsid w:val="00574743"/>
    <w:rsid w:val="005747CD"/>
    <w:rsid w:val="00574A41"/>
    <w:rsid w:val="00574BEC"/>
    <w:rsid w:val="00574DA5"/>
    <w:rsid w:val="00574F6D"/>
    <w:rsid w:val="0057503D"/>
    <w:rsid w:val="0057518D"/>
    <w:rsid w:val="005754EC"/>
    <w:rsid w:val="005755BA"/>
    <w:rsid w:val="0057561B"/>
    <w:rsid w:val="00575650"/>
    <w:rsid w:val="0057588A"/>
    <w:rsid w:val="005758C3"/>
    <w:rsid w:val="005759B8"/>
    <w:rsid w:val="005759EA"/>
    <w:rsid w:val="00575A9C"/>
    <w:rsid w:val="00575AE1"/>
    <w:rsid w:val="00575B0C"/>
    <w:rsid w:val="00575BEF"/>
    <w:rsid w:val="00575CF1"/>
    <w:rsid w:val="00575D19"/>
    <w:rsid w:val="00575D1C"/>
    <w:rsid w:val="00575E4C"/>
    <w:rsid w:val="005761CF"/>
    <w:rsid w:val="0057621C"/>
    <w:rsid w:val="00576292"/>
    <w:rsid w:val="005766A2"/>
    <w:rsid w:val="0057674E"/>
    <w:rsid w:val="00576819"/>
    <w:rsid w:val="00576830"/>
    <w:rsid w:val="00576A62"/>
    <w:rsid w:val="00576B23"/>
    <w:rsid w:val="00576ED0"/>
    <w:rsid w:val="0057701F"/>
    <w:rsid w:val="00577311"/>
    <w:rsid w:val="00577522"/>
    <w:rsid w:val="00577679"/>
    <w:rsid w:val="005776E0"/>
    <w:rsid w:val="00577B2F"/>
    <w:rsid w:val="00577D52"/>
    <w:rsid w:val="00577DD1"/>
    <w:rsid w:val="00577E30"/>
    <w:rsid w:val="00577F30"/>
    <w:rsid w:val="005804C1"/>
    <w:rsid w:val="005804D2"/>
    <w:rsid w:val="005808B0"/>
    <w:rsid w:val="0058093F"/>
    <w:rsid w:val="00580D37"/>
    <w:rsid w:val="00580F0F"/>
    <w:rsid w:val="00580FF1"/>
    <w:rsid w:val="0058112C"/>
    <w:rsid w:val="005811DB"/>
    <w:rsid w:val="0058128F"/>
    <w:rsid w:val="00581306"/>
    <w:rsid w:val="00581366"/>
    <w:rsid w:val="005813EE"/>
    <w:rsid w:val="005813F2"/>
    <w:rsid w:val="0058165C"/>
    <w:rsid w:val="00581660"/>
    <w:rsid w:val="005817F7"/>
    <w:rsid w:val="00581A7E"/>
    <w:rsid w:val="00581AEE"/>
    <w:rsid w:val="00581B47"/>
    <w:rsid w:val="00581CFE"/>
    <w:rsid w:val="00581E3A"/>
    <w:rsid w:val="005820F0"/>
    <w:rsid w:val="005821B7"/>
    <w:rsid w:val="00582329"/>
    <w:rsid w:val="0058262F"/>
    <w:rsid w:val="00582862"/>
    <w:rsid w:val="0058296E"/>
    <w:rsid w:val="00582B5E"/>
    <w:rsid w:val="00582C54"/>
    <w:rsid w:val="00582C5E"/>
    <w:rsid w:val="00582F2A"/>
    <w:rsid w:val="00582F8E"/>
    <w:rsid w:val="00582FE0"/>
    <w:rsid w:val="005830D3"/>
    <w:rsid w:val="00583286"/>
    <w:rsid w:val="0058355F"/>
    <w:rsid w:val="0058366D"/>
    <w:rsid w:val="00583824"/>
    <w:rsid w:val="00583838"/>
    <w:rsid w:val="00583926"/>
    <w:rsid w:val="00583C47"/>
    <w:rsid w:val="00583C7F"/>
    <w:rsid w:val="00583CE1"/>
    <w:rsid w:val="00584128"/>
    <w:rsid w:val="00584176"/>
    <w:rsid w:val="005841C8"/>
    <w:rsid w:val="00584543"/>
    <w:rsid w:val="00584548"/>
    <w:rsid w:val="00584611"/>
    <w:rsid w:val="005846FF"/>
    <w:rsid w:val="00584868"/>
    <w:rsid w:val="00584A22"/>
    <w:rsid w:val="00584BFD"/>
    <w:rsid w:val="00584C18"/>
    <w:rsid w:val="00584C46"/>
    <w:rsid w:val="00584E3B"/>
    <w:rsid w:val="00584F10"/>
    <w:rsid w:val="0058526F"/>
    <w:rsid w:val="0058532C"/>
    <w:rsid w:val="00585395"/>
    <w:rsid w:val="0058539A"/>
    <w:rsid w:val="005853DA"/>
    <w:rsid w:val="0058540C"/>
    <w:rsid w:val="005854C6"/>
    <w:rsid w:val="005854E0"/>
    <w:rsid w:val="005855C3"/>
    <w:rsid w:val="005856F4"/>
    <w:rsid w:val="0058571B"/>
    <w:rsid w:val="00585846"/>
    <w:rsid w:val="00585A9D"/>
    <w:rsid w:val="00585AC5"/>
    <w:rsid w:val="00585C89"/>
    <w:rsid w:val="00585CC4"/>
    <w:rsid w:val="00585FDC"/>
    <w:rsid w:val="0058601B"/>
    <w:rsid w:val="00586137"/>
    <w:rsid w:val="0058624F"/>
    <w:rsid w:val="00586317"/>
    <w:rsid w:val="00586850"/>
    <w:rsid w:val="005868CD"/>
    <w:rsid w:val="005869C7"/>
    <w:rsid w:val="00586D43"/>
    <w:rsid w:val="00586D7A"/>
    <w:rsid w:val="00586FBB"/>
    <w:rsid w:val="005870DA"/>
    <w:rsid w:val="00587379"/>
    <w:rsid w:val="00587441"/>
    <w:rsid w:val="00587623"/>
    <w:rsid w:val="005876E4"/>
    <w:rsid w:val="00587715"/>
    <w:rsid w:val="0058774A"/>
    <w:rsid w:val="005878B4"/>
    <w:rsid w:val="00587B15"/>
    <w:rsid w:val="00587B23"/>
    <w:rsid w:val="00587C12"/>
    <w:rsid w:val="00587CB8"/>
    <w:rsid w:val="00587E93"/>
    <w:rsid w:val="00587F05"/>
    <w:rsid w:val="00587F20"/>
    <w:rsid w:val="00587F9A"/>
    <w:rsid w:val="005900BD"/>
    <w:rsid w:val="00590173"/>
    <w:rsid w:val="00590342"/>
    <w:rsid w:val="0059037F"/>
    <w:rsid w:val="0059044D"/>
    <w:rsid w:val="00590512"/>
    <w:rsid w:val="00590576"/>
    <w:rsid w:val="00590740"/>
    <w:rsid w:val="005907B9"/>
    <w:rsid w:val="005908C8"/>
    <w:rsid w:val="00590BC5"/>
    <w:rsid w:val="00590D7E"/>
    <w:rsid w:val="00590DB4"/>
    <w:rsid w:val="00590DD3"/>
    <w:rsid w:val="00590F9F"/>
    <w:rsid w:val="00590FFA"/>
    <w:rsid w:val="00591032"/>
    <w:rsid w:val="00591034"/>
    <w:rsid w:val="0059105A"/>
    <w:rsid w:val="005916AF"/>
    <w:rsid w:val="00591808"/>
    <w:rsid w:val="0059184E"/>
    <w:rsid w:val="00591A14"/>
    <w:rsid w:val="00591C28"/>
    <w:rsid w:val="00591C67"/>
    <w:rsid w:val="00591D04"/>
    <w:rsid w:val="00591D67"/>
    <w:rsid w:val="00591F2A"/>
    <w:rsid w:val="0059235A"/>
    <w:rsid w:val="00592476"/>
    <w:rsid w:val="005925D0"/>
    <w:rsid w:val="005926C5"/>
    <w:rsid w:val="005927B9"/>
    <w:rsid w:val="005929A9"/>
    <w:rsid w:val="005929D0"/>
    <w:rsid w:val="00592A61"/>
    <w:rsid w:val="00592C97"/>
    <w:rsid w:val="00592D51"/>
    <w:rsid w:val="00592D77"/>
    <w:rsid w:val="00592E55"/>
    <w:rsid w:val="00592FF0"/>
    <w:rsid w:val="005931DE"/>
    <w:rsid w:val="00593525"/>
    <w:rsid w:val="0059375E"/>
    <w:rsid w:val="005937B3"/>
    <w:rsid w:val="00593844"/>
    <w:rsid w:val="005939D4"/>
    <w:rsid w:val="00593A9F"/>
    <w:rsid w:val="00593AFB"/>
    <w:rsid w:val="00593C5A"/>
    <w:rsid w:val="00593CDE"/>
    <w:rsid w:val="00593DAC"/>
    <w:rsid w:val="005941D8"/>
    <w:rsid w:val="0059476B"/>
    <w:rsid w:val="0059479B"/>
    <w:rsid w:val="0059489C"/>
    <w:rsid w:val="005949E2"/>
    <w:rsid w:val="00594CB2"/>
    <w:rsid w:val="00594F4B"/>
    <w:rsid w:val="0059514A"/>
    <w:rsid w:val="0059523B"/>
    <w:rsid w:val="00595460"/>
    <w:rsid w:val="005955D0"/>
    <w:rsid w:val="005956D0"/>
    <w:rsid w:val="005958DE"/>
    <w:rsid w:val="00595ACE"/>
    <w:rsid w:val="00595B35"/>
    <w:rsid w:val="00595DFE"/>
    <w:rsid w:val="00595E5E"/>
    <w:rsid w:val="00595F5B"/>
    <w:rsid w:val="0059618B"/>
    <w:rsid w:val="005961F4"/>
    <w:rsid w:val="005962CC"/>
    <w:rsid w:val="0059655B"/>
    <w:rsid w:val="0059669F"/>
    <w:rsid w:val="005967B5"/>
    <w:rsid w:val="0059693C"/>
    <w:rsid w:val="0059699A"/>
    <w:rsid w:val="00596B2F"/>
    <w:rsid w:val="00596C49"/>
    <w:rsid w:val="00596E78"/>
    <w:rsid w:val="00597116"/>
    <w:rsid w:val="005972BE"/>
    <w:rsid w:val="005972E5"/>
    <w:rsid w:val="00597398"/>
    <w:rsid w:val="0059753F"/>
    <w:rsid w:val="005975FA"/>
    <w:rsid w:val="00597993"/>
    <w:rsid w:val="00597B09"/>
    <w:rsid w:val="00597B15"/>
    <w:rsid w:val="00597B2F"/>
    <w:rsid w:val="00597DAC"/>
    <w:rsid w:val="00597E65"/>
    <w:rsid w:val="005A0003"/>
    <w:rsid w:val="005A00A2"/>
    <w:rsid w:val="005A0183"/>
    <w:rsid w:val="005A018E"/>
    <w:rsid w:val="005A0225"/>
    <w:rsid w:val="005A0528"/>
    <w:rsid w:val="005A071F"/>
    <w:rsid w:val="005A0824"/>
    <w:rsid w:val="005A098C"/>
    <w:rsid w:val="005A0A7A"/>
    <w:rsid w:val="005A0B13"/>
    <w:rsid w:val="005A0D6A"/>
    <w:rsid w:val="005A0FD9"/>
    <w:rsid w:val="005A11B1"/>
    <w:rsid w:val="005A126E"/>
    <w:rsid w:val="005A12C4"/>
    <w:rsid w:val="005A1391"/>
    <w:rsid w:val="005A1402"/>
    <w:rsid w:val="005A1404"/>
    <w:rsid w:val="005A14DB"/>
    <w:rsid w:val="005A15C2"/>
    <w:rsid w:val="005A15C6"/>
    <w:rsid w:val="005A17FA"/>
    <w:rsid w:val="005A1887"/>
    <w:rsid w:val="005A19CD"/>
    <w:rsid w:val="005A1AFA"/>
    <w:rsid w:val="005A1CA2"/>
    <w:rsid w:val="005A206B"/>
    <w:rsid w:val="005A214E"/>
    <w:rsid w:val="005A2424"/>
    <w:rsid w:val="005A25F2"/>
    <w:rsid w:val="005A276E"/>
    <w:rsid w:val="005A2795"/>
    <w:rsid w:val="005A2A1A"/>
    <w:rsid w:val="005A2A68"/>
    <w:rsid w:val="005A2A6A"/>
    <w:rsid w:val="005A3017"/>
    <w:rsid w:val="005A308A"/>
    <w:rsid w:val="005A30AF"/>
    <w:rsid w:val="005A30E6"/>
    <w:rsid w:val="005A3215"/>
    <w:rsid w:val="005A33C8"/>
    <w:rsid w:val="005A3502"/>
    <w:rsid w:val="005A356D"/>
    <w:rsid w:val="005A35D2"/>
    <w:rsid w:val="005A35FF"/>
    <w:rsid w:val="005A36A2"/>
    <w:rsid w:val="005A36DC"/>
    <w:rsid w:val="005A3913"/>
    <w:rsid w:val="005A39D3"/>
    <w:rsid w:val="005A39F5"/>
    <w:rsid w:val="005A3D93"/>
    <w:rsid w:val="005A3F64"/>
    <w:rsid w:val="005A3FA4"/>
    <w:rsid w:val="005A40D3"/>
    <w:rsid w:val="005A4159"/>
    <w:rsid w:val="005A4283"/>
    <w:rsid w:val="005A42BD"/>
    <w:rsid w:val="005A42EE"/>
    <w:rsid w:val="005A4478"/>
    <w:rsid w:val="005A45B4"/>
    <w:rsid w:val="005A45CC"/>
    <w:rsid w:val="005A4701"/>
    <w:rsid w:val="005A4946"/>
    <w:rsid w:val="005A4BD6"/>
    <w:rsid w:val="005A4CE8"/>
    <w:rsid w:val="005A4DEA"/>
    <w:rsid w:val="005A4E25"/>
    <w:rsid w:val="005A4E7C"/>
    <w:rsid w:val="005A4FD9"/>
    <w:rsid w:val="005A5038"/>
    <w:rsid w:val="005A511C"/>
    <w:rsid w:val="005A524A"/>
    <w:rsid w:val="005A5274"/>
    <w:rsid w:val="005A562F"/>
    <w:rsid w:val="005A56AE"/>
    <w:rsid w:val="005A58D7"/>
    <w:rsid w:val="005A58EC"/>
    <w:rsid w:val="005A592B"/>
    <w:rsid w:val="005A5A7D"/>
    <w:rsid w:val="005A5E23"/>
    <w:rsid w:val="005A5F51"/>
    <w:rsid w:val="005A6159"/>
    <w:rsid w:val="005A6341"/>
    <w:rsid w:val="005A648E"/>
    <w:rsid w:val="005A64C6"/>
    <w:rsid w:val="005A64CD"/>
    <w:rsid w:val="005A6559"/>
    <w:rsid w:val="005A69A0"/>
    <w:rsid w:val="005A69F4"/>
    <w:rsid w:val="005A6C74"/>
    <w:rsid w:val="005A6E92"/>
    <w:rsid w:val="005A6F1C"/>
    <w:rsid w:val="005A7088"/>
    <w:rsid w:val="005A7224"/>
    <w:rsid w:val="005A7233"/>
    <w:rsid w:val="005A726A"/>
    <w:rsid w:val="005A730E"/>
    <w:rsid w:val="005A7343"/>
    <w:rsid w:val="005A755A"/>
    <w:rsid w:val="005A7868"/>
    <w:rsid w:val="005A79CF"/>
    <w:rsid w:val="005A7B6C"/>
    <w:rsid w:val="005A7C8D"/>
    <w:rsid w:val="005B0437"/>
    <w:rsid w:val="005B0629"/>
    <w:rsid w:val="005B073B"/>
    <w:rsid w:val="005B082A"/>
    <w:rsid w:val="005B0892"/>
    <w:rsid w:val="005B0FF4"/>
    <w:rsid w:val="005B10E9"/>
    <w:rsid w:val="005B115C"/>
    <w:rsid w:val="005B11F9"/>
    <w:rsid w:val="005B123E"/>
    <w:rsid w:val="005B1284"/>
    <w:rsid w:val="005B1286"/>
    <w:rsid w:val="005B1358"/>
    <w:rsid w:val="005B137E"/>
    <w:rsid w:val="005B13CE"/>
    <w:rsid w:val="005B1598"/>
    <w:rsid w:val="005B1623"/>
    <w:rsid w:val="005B17AE"/>
    <w:rsid w:val="005B1958"/>
    <w:rsid w:val="005B1B98"/>
    <w:rsid w:val="005B1BB2"/>
    <w:rsid w:val="005B1CA7"/>
    <w:rsid w:val="005B1F7A"/>
    <w:rsid w:val="005B204B"/>
    <w:rsid w:val="005B244B"/>
    <w:rsid w:val="005B286B"/>
    <w:rsid w:val="005B2926"/>
    <w:rsid w:val="005B29E1"/>
    <w:rsid w:val="005B2B50"/>
    <w:rsid w:val="005B2ED7"/>
    <w:rsid w:val="005B2F8A"/>
    <w:rsid w:val="005B2FC7"/>
    <w:rsid w:val="005B30FF"/>
    <w:rsid w:val="005B32F3"/>
    <w:rsid w:val="005B3362"/>
    <w:rsid w:val="005B3750"/>
    <w:rsid w:val="005B3772"/>
    <w:rsid w:val="005B3789"/>
    <w:rsid w:val="005B389F"/>
    <w:rsid w:val="005B38E1"/>
    <w:rsid w:val="005B3A0D"/>
    <w:rsid w:val="005B3A65"/>
    <w:rsid w:val="005B3B49"/>
    <w:rsid w:val="005B3D22"/>
    <w:rsid w:val="005B4140"/>
    <w:rsid w:val="005B4159"/>
    <w:rsid w:val="005B41D7"/>
    <w:rsid w:val="005B420D"/>
    <w:rsid w:val="005B4438"/>
    <w:rsid w:val="005B4443"/>
    <w:rsid w:val="005B444A"/>
    <w:rsid w:val="005B44A2"/>
    <w:rsid w:val="005B44EC"/>
    <w:rsid w:val="005B48A1"/>
    <w:rsid w:val="005B4A06"/>
    <w:rsid w:val="005B4C1F"/>
    <w:rsid w:val="005B4C30"/>
    <w:rsid w:val="005B4DA1"/>
    <w:rsid w:val="005B4E3C"/>
    <w:rsid w:val="005B4F0C"/>
    <w:rsid w:val="005B4F4A"/>
    <w:rsid w:val="005B50A6"/>
    <w:rsid w:val="005B537B"/>
    <w:rsid w:val="005B5614"/>
    <w:rsid w:val="005B5766"/>
    <w:rsid w:val="005B57CC"/>
    <w:rsid w:val="005B5857"/>
    <w:rsid w:val="005B58BA"/>
    <w:rsid w:val="005B59F7"/>
    <w:rsid w:val="005B5B44"/>
    <w:rsid w:val="005B5EF3"/>
    <w:rsid w:val="005B5F59"/>
    <w:rsid w:val="005B61FA"/>
    <w:rsid w:val="005B6267"/>
    <w:rsid w:val="005B62E6"/>
    <w:rsid w:val="005B655F"/>
    <w:rsid w:val="005B65A8"/>
    <w:rsid w:val="005B6611"/>
    <w:rsid w:val="005B66CD"/>
    <w:rsid w:val="005B6733"/>
    <w:rsid w:val="005B674C"/>
    <w:rsid w:val="005B68B9"/>
    <w:rsid w:val="005B6A1F"/>
    <w:rsid w:val="005B6E75"/>
    <w:rsid w:val="005B6FB5"/>
    <w:rsid w:val="005B7071"/>
    <w:rsid w:val="005B719F"/>
    <w:rsid w:val="005B7293"/>
    <w:rsid w:val="005B7298"/>
    <w:rsid w:val="005B72F9"/>
    <w:rsid w:val="005B740C"/>
    <w:rsid w:val="005B78B5"/>
    <w:rsid w:val="005B79AB"/>
    <w:rsid w:val="005B7A02"/>
    <w:rsid w:val="005B7A97"/>
    <w:rsid w:val="005B7B98"/>
    <w:rsid w:val="005B7DFA"/>
    <w:rsid w:val="005B7E3D"/>
    <w:rsid w:val="005C046B"/>
    <w:rsid w:val="005C0613"/>
    <w:rsid w:val="005C0659"/>
    <w:rsid w:val="005C0852"/>
    <w:rsid w:val="005C0861"/>
    <w:rsid w:val="005C08DA"/>
    <w:rsid w:val="005C09B1"/>
    <w:rsid w:val="005C0D9E"/>
    <w:rsid w:val="005C0F5C"/>
    <w:rsid w:val="005C0F84"/>
    <w:rsid w:val="005C0FDF"/>
    <w:rsid w:val="005C1148"/>
    <w:rsid w:val="005C1309"/>
    <w:rsid w:val="005C1385"/>
    <w:rsid w:val="005C1564"/>
    <w:rsid w:val="005C168C"/>
    <w:rsid w:val="005C16FE"/>
    <w:rsid w:val="005C1A03"/>
    <w:rsid w:val="005C1ACB"/>
    <w:rsid w:val="005C1DB5"/>
    <w:rsid w:val="005C1E93"/>
    <w:rsid w:val="005C1F53"/>
    <w:rsid w:val="005C22C3"/>
    <w:rsid w:val="005C25EE"/>
    <w:rsid w:val="005C2726"/>
    <w:rsid w:val="005C280D"/>
    <w:rsid w:val="005C2844"/>
    <w:rsid w:val="005C2870"/>
    <w:rsid w:val="005C2A72"/>
    <w:rsid w:val="005C2B61"/>
    <w:rsid w:val="005C2B79"/>
    <w:rsid w:val="005C2D99"/>
    <w:rsid w:val="005C2E2E"/>
    <w:rsid w:val="005C304F"/>
    <w:rsid w:val="005C30E9"/>
    <w:rsid w:val="005C3127"/>
    <w:rsid w:val="005C3138"/>
    <w:rsid w:val="005C329B"/>
    <w:rsid w:val="005C344E"/>
    <w:rsid w:val="005C34DC"/>
    <w:rsid w:val="005C34F4"/>
    <w:rsid w:val="005C3642"/>
    <w:rsid w:val="005C37D7"/>
    <w:rsid w:val="005C380E"/>
    <w:rsid w:val="005C3836"/>
    <w:rsid w:val="005C3B5F"/>
    <w:rsid w:val="005C3C8A"/>
    <w:rsid w:val="005C3F3E"/>
    <w:rsid w:val="005C4141"/>
    <w:rsid w:val="005C42DB"/>
    <w:rsid w:val="005C4385"/>
    <w:rsid w:val="005C4659"/>
    <w:rsid w:val="005C4820"/>
    <w:rsid w:val="005C4B57"/>
    <w:rsid w:val="005C4B9B"/>
    <w:rsid w:val="005C4BA9"/>
    <w:rsid w:val="005C4BB6"/>
    <w:rsid w:val="005C4EF6"/>
    <w:rsid w:val="005C4F3C"/>
    <w:rsid w:val="005C500A"/>
    <w:rsid w:val="005C5121"/>
    <w:rsid w:val="005C519B"/>
    <w:rsid w:val="005C5223"/>
    <w:rsid w:val="005C5319"/>
    <w:rsid w:val="005C5326"/>
    <w:rsid w:val="005C5367"/>
    <w:rsid w:val="005C56E6"/>
    <w:rsid w:val="005C58CD"/>
    <w:rsid w:val="005C598C"/>
    <w:rsid w:val="005C5C72"/>
    <w:rsid w:val="005C5EF9"/>
    <w:rsid w:val="005C607F"/>
    <w:rsid w:val="005C6178"/>
    <w:rsid w:val="005C6191"/>
    <w:rsid w:val="005C61B6"/>
    <w:rsid w:val="005C624D"/>
    <w:rsid w:val="005C6280"/>
    <w:rsid w:val="005C635B"/>
    <w:rsid w:val="005C651B"/>
    <w:rsid w:val="005C67C3"/>
    <w:rsid w:val="005C6899"/>
    <w:rsid w:val="005C6AF7"/>
    <w:rsid w:val="005C6BB6"/>
    <w:rsid w:val="005C6BD3"/>
    <w:rsid w:val="005C6BDB"/>
    <w:rsid w:val="005C70EE"/>
    <w:rsid w:val="005C723C"/>
    <w:rsid w:val="005C7281"/>
    <w:rsid w:val="005C72C9"/>
    <w:rsid w:val="005C7489"/>
    <w:rsid w:val="005C76D2"/>
    <w:rsid w:val="005C798E"/>
    <w:rsid w:val="005C79CE"/>
    <w:rsid w:val="005C7CEB"/>
    <w:rsid w:val="005C7DD9"/>
    <w:rsid w:val="005C7FB3"/>
    <w:rsid w:val="005D012A"/>
    <w:rsid w:val="005D040A"/>
    <w:rsid w:val="005D043C"/>
    <w:rsid w:val="005D06D1"/>
    <w:rsid w:val="005D06F6"/>
    <w:rsid w:val="005D07ED"/>
    <w:rsid w:val="005D087D"/>
    <w:rsid w:val="005D0CA7"/>
    <w:rsid w:val="005D0E20"/>
    <w:rsid w:val="005D0ED0"/>
    <w:rsid w:val="005D0FA3"/>
    <w:rsid w:val="005D13AC"/>
    <w:rsid w:val="005D143A"/>
    <w:rsid w:val="005D14D9"/>
    <w:rsid w:val="005D19F8"/>
    <w:rsid w:val="005D1EA8"/>
    <w:rsid w:val="005D200A"/>
    <w:rsid w:val="005D235A"/>
    <w:rsid w:val="005D2661"/>
    <w:rsid w:val="005D28A6"/>
    <w:rsid w:val="005D2EF4"/>
    <w:rsid w:val="005D2F7A"/>
    <w:rsid w:val="005D3113"/>
    <w:rsid w:val="005D3183"/>
    <w:rsid w:val="005D3347"/>
    <w:rsid w:val="005D3419"/>
    <w:rsid w:val="005D3498"/>
    <w:rsid w:val="005D349F"/>
    <w:rsid w:val="005D36C5"/>
    <w:rsid w:val="005D3717"/>
    <w:rsid w:val="005D380A"/>
    <w:rsid w:val="005D39B5"/>
    <w:rsid w:val="005D3CAB"/>
    <w:rsid w:val="005D3E40"/>
    <w:rsid w:val="005D3ECC"/>
    <w:rsid w:val="005D4019"/>
    <w:rsid w:val="005D426D"/>
    <w:rsid w:val="005D4326"/>
    <w:rsid w:val="005D438D"/>
    <w:rsid w:val="005D44F0"/>
    <w:rsid w:val="005D456F"/>
    <w:rsid w:val="005D46FB"/>
    <w:rsid w:val="005D4AD6"/>
    <w:rsid w:val="005D4DAB"/>
    <w:rsid w:val="005D4F5B"/>
    <w:rsid w:val="005D5244"/>
    <w:rsid w:val="005D536B"/>
    <w:rsid w:val="005D5371"/>
    <w:rsid w:val="005D5373"/>
    <w:rsid w:val="005D54A2"/>
    <w:rsid w:val="005D558E"/>
    <w:rsid w:val="005D5642"/>
    <w:rsid w:val="005D5733"/>
    <w:rsid w:val="005D5831"/>
    <w:rsid w:val="005D5915"/>
    <w:rsid w:val="005D59A2"/>
    <w:rsid w:val="005D59E2"/>
    <w:rsid w:val="005D5BAE"/>
    <w:rsid w:val="005D5C4B"/>
    <w:rsid w:val="005D5D09"/>
    <w:rsid w:val="005D5F4A"/>
    <w:rsid w:val="005D61D2"/>
    <w:rsid w:val="005D62DB"/>
    <w:rsid w:val="005D66BC"/>
    <w:rsid w:val="005D6734"/>
    <w:rsid w:val="005D6739"/>
    <w:rsid w:val="005D68DA"/>
    <w:rsid w:val="005D6B11"/>
    <w:rsid w:val="005D6D9E"/>
    <w:rsid w:val="005D6DF5"/>
    <w:rsid w:val="005D707F"/>
    <w:rsid w:val="005D70AF"/>
    <w:rsid w:val="005D73BD"/>
    <w:rsid w:val="005D7488"/>
    <w:rsid w:val="005D7A1D"/>
    <w:rsid w:val="005D7B06"/>
    <w:rsid w:val="005D7CE8"/>
    <w:rsid w:val="005D7D74"/>
    <w:rsid w:val="005D7E9D"/>
    <w:rsid w:val="005D7ED2"/>
    <w:rsid w:val="005E003B"/>
    <w:rsid w:val="005E00DF"/>
    <w:rsid w:val="005E04B7"/>
    <w:rsid w:val="005E06A9"/>
    <w:rsid w:val="005E06FB"/>
    <w:rsid w:val="005E0AEF"/>
    <w:rsid w:val="005E0B98"/>
    <w:rsid w:val="005E0BA6"/>
    <w:rsid w:val="005E0BFD"/>
    <w:rsid w:val="005E0D39"/>
    <w:rsid w:val="005E0DA4"/>
    <w:rsid w:val="005E0DC9"/>
    <w:rsid w:val="005E0FF8"/>
    <w:rsid w:val="005E10F7"/>
    <w:rsid w:val="005E140A"/>
    <w:rsid w:val="005E1534"/>
    <w:rsid w:val="005E15A9"/>
    <w:rsid w:val="005E1633"/>
    <w:rsid w:val="005E16E4"/>
    <w:rsid w:val="005E188C"/>
    <w:rsid w:val="005E1891"/>
    <w:rsid w:val="005E1BA2"/>
    <w:rsid w:val="005E1D47"/>
    <w:rsid w:val="005E1D77"/>
    <w:rsid w:val="005E1F96"/>
    <w:rsid w:val="005E2059"/>
    <w:rsid w:val="005E209C"/>
    <w:rsid w:val="005E2377"/>
    <w:rsid w:val="005E23AD"/>
    <w:rsid w:val="005E2405"/>
    <w:rsid w:val="005E24C7"/>
    <w:rsid w:val="005E2657"/>
    <w:rsid w:val="005E26EE"/>
    <w:rsid w:val="005E2AB4"/>
    <w:rsid w:val="005E2AC2"/>
    <w:rsid w:val="005E2B71"/>
    <w:rsid w:val="005E2EE3"/>
    <w:rsid w:val="005E3195"/>
    <w:rsid w:val="005E3207"/>
    <w:rsid w:val="005E3285"/>
    <w:rsid w:val="005E3389"/>
    <w:rsid w:val="005E3510"/>
    <w:rsid w:val="005E36A7"/>
    <w:rsid w:val="005E382B"/>
    <w:rsid w:val="005E3938"/>
    <w:rsid w:val="005E3F13"/>
    <w:rsid w:val="005E3F83"/>
    <w:rsid w:val="005E40F8"/>
    <w:rsid w:val="005E414E"/>
    <w:rsid w:val="005E41E6"/>
    <w:rsid w:val="005E4366"/>
    <w:rsid w:val="005E4399"/>
    <w:rsid w:val="005E44B7"/>
    <w:rsid w:val="005E45C7"/>
    <w:rsid w:val="005E4839"/>
    <w:rsid w:val="005E4A32"/>
    <w:rsid w:val="005E4A49"/>
    <w:rsid w:val="005E4B71"/>
    <w:rsid w:val="005E4BF0"/>
    <w:rsid w:val="005E4C0B"/>
    <w:rsid w:val="005E4CE4"/>
    <w:rsid w:val="005E4FA1"/>
    <w:rsid w:val="005E5006"/>
    <w:rsid w:val="005E50C1"/>
    <w:rsid w:val="005E555C"/>
    <w:rsid w:val="005E5572"/>
    <w:rsid w:val="005E55F4"/>
    <w:rsid w:val="005E5707"/>
    <w:rsid w:val="005E5A06"/>
    <w:rsid w:val="005E5BD6"/>
    <w:rsid w:val="005E5C45"/>
    <w:rsid w:val="005E5E37"/>
    <w:rsid w:val="005E5E52"/>
    <w:rsid w:val="005E5EEF"/>
    <w:rsid w:val="005E6024"/>
    <w:rsid w:val="005E6285"/>
    <w:rsid w:val="005E62A3"/>
    <w:rsid w:val="005E63A5"/>
    <w:rsid w:val="005E64BA"/>
    <w:rsid w:val="005E661B"/>
    <w:rsid w:val="005E6695"/>
    <w:rsid w:val="005E67A8"/>
    <w:rsid w:val="005E6814"/>
    <w:rsid w:val="005E6857"/>
    <w:rsid w:val="005E69F6"/>
    <w:rsid w:val="005E6B9B"/>
    <w:rsid w:val="005E6C0D"/>
    <w:rsid w:val="005E6D6E"/>
    <w:rsid w:val="005E6FF0"/>
    <w:rsid w:val="005E70ED"/>
    <w:rsid w:val="005E73EB"/>
    <w:rsid w:val="005E7602"/>
    <w:rsid w:val="005E7998"/>
    <w:rsid w:val="005E7CA0"/>
    <w:rsid w:val="005E7D1A"/>
    <w:rsid w:val="005E7E91"/>
    <w:rsid w:val="005E7FA8"/>
    <w:rsid w:val="005F0142"/>
    <w:rsid w:val="005F01C9"/>
    <w:rsid w:val="005F0478"/>
    <w:rsid w:val="005F0500"/>
    <w:rsid w:val="005F05D6"/>
    <w:rsid w:val="005F0684"/>
    <w:rsid w:val="005F06D6"/>
    <w:rsid w:val="005F0929"/>
    <w:rsid w:val="005F0A95"/>
    <w:rsid w:val="005F0B42"/>
    <w:rsid w:val="005F0BCC"/>
    <w:rsid w:val="005F0CE0"/>
    <w:rsid w:val="005F0D32"/>
    <w:rsid w:val="005F0F4F"/>
    <w:rsid w:val="005F1043"/>
    <w:rsid w:val="005F107F"/>
    <w:rsid w:val="005F117A"/>
    <w:rsid w:val="005F13E9"/>
    <w:rsid w:val="005F143B"/>
    <w:rsid w:val="005F1629"/>
    <w:rsid w:val="005F1811"/>
    <w:rsid w:val="005F1834"/>
    <w:rsid w:val="005F1B57"/>
    <w:rsid w:val="005F1FD7"/>
    <w:rsid w:val="005F1FF9"/>
    <w:rsid w:val="005F2138"/>
    <w:rsid w:val="005F2333"/>
    <w:rsid w:val="005F2498"/>
    <w:rsid w:val="005F249C"/>
    <w:rsid w:val="005F2554"/>
    <w:rsid w:val="005F25FF"/>
    <w:rsid w:val="005F2785"/>
    <w:rsid w:val="005F29B1"/>
    <w:rsid w:val="005F2AC6"/>
    <w:rsid w:val="005F2E3D"/>
    <w:rsid w:val="005F2E7C"/>
    <w:rsid w:val="005F2F23"/>
    <w:rsid w:val="005F2F27"/>
    <w:rsid w:val="005F328D"/>
    <w:rsid w:val="005F3318"/>
    <w:rsid w:val="005F3438"/>
    <w:rsid w:val="005F343D"/>
    <w:rsid w:val="005F34A9"/>
    <w:rsid w:val="005F36E2"/>
    <w:rsid w:val="005F39F5"/>
    <w:rsid w:val="005F3B7B"/>
    <w:rsid w:val="005F3BBD"/>
    <w:rsid w:val="005F3D62"/>
    <w:rsid w:val="005F3E0F"/>
    <w:rsid w:val="005F3E1A"/>
    <w:rsid w:val="005F3E66"/>
    <w:rsid w:val="005F3F13"/>
    <w:rsid w:val="005F3F63"/>
    <w:rsid w:val="005F421B"/>
    <w:rsid w:val="005F426E"/>
    <w:rsid w:val="005F42D5"/>
    <w:rsid w:val="005F42E3"/>
    <w:rsid w:val="005F43A6"/>
    <w:rsid w:val="005F43DB"/>
    <w:rsid w:val="005F4614"/>
    <w:rsid w:val="005F4823"/>
    <w:rsid w:val="005F483A"/>
    <w:rsid w:val="005F483C"/>
    <w:rsid w:val="005F484F"/>
    <w:rsid w:val="005F49EF"/>
    <w:rsid w:val="005F4B05"/>
    <w:rsid w:val="005F4BB1"/>
    <w:rsid w:val="005F4C71"/>
    <w:rsid w:val="005F4DAF"/>
    <w:rsid w:val="005F4EB3"/>
    <w:rsid w:val="005F5019"/>
    <w:rsid w:val="005F515F"/>
    <w:rsid w:val="005F5245"/>
    <w:rsid w:val="005F5744"/>
    <w:rsid w:val="005F576C"/>
    <w:rsid w:val="005F58AF"/>
    <w:rsid w:val="005F5B3A"/>
    <w:rsid w:val="005F5DC9"/>
    <w:rsid w:val="005F5F45"/>
    <w:rsid w:val="005F6398"/>
    <w:rsid w:val="005F691E"/>
    <w:rsid w:val="005F6968"/>
    <w:rsid w:val="005F6BA0"/>
    <w:rsid w:val="005F6D01"/>
    <w:rsid w:val="005F6DDF"/>
    <w:rsid w:val="005F6F23"/>
    <w:rsid w:val="005F6F2E"/>
    <w:rsid w:val="005F70FF"/>
    <w:rsid w:val="005F7136"/>
    <w:rsid w:val="005F72FD"/>
    <w:rsid w:val="005F73B0"/>
    <w:rsid w:val="005F75B9"/>
    <w:rsid w:val="005F75BA"/>
    <w:rsid w:val="005F7681"/>
    <w:rsid w:val="005F7816"/>
    <w:rsid w:val="005F789C"/>
    <w:rsid w:val="005F7AAB"/>
    <w:rsid w:val="005F7C30"/>
    <w:rsid w:val="005F7EA3"/>
    <w:rsid w:val="005F7F7F"/>
    <w:rsid w:val="00600003"/>
    <w:rsid w:val="00600145"/>
    <w:rsid w:val="00600181"/>
    <w:rsid w:val="006001E0"/>
    <w:rsid w:val="006002E9"/>
    <w:rsid w:val="006004DA"/>
    <w:rsid w:val="0060051A"/>
    <w:rsid w:val="0060052D"/>
    <w:rsid w:val="0060067D"/>
    <w:rsid w:val="00600818"/>
    <w:rsid w:val="006008D5"/>
    <w:rsid w:val="00600921"/>
    <w:rsid w:val="00600997"/>
    <w:rsid w:val="00600A20"/>
    <w:rsid w:val="00600D0B"/>
    <w:rsid w:val="00600FD4"/>
    <w:rsid w:val="00601037"/>
    <w:rsid w:val="0060104E"/>
    <w:rsid w:val="0060114E"/>
    <w:rsid w:val="006011C2"/>
    <w:rsid w:val="006011F1"/>
    <w:rsid w:val="00601296"/>
    <w:rsid w:val="006012C5"/>
    <w:rsid w:val="006012CC"/>
    <w:rsid w:val="00601346"/>
    <w:rsid w:val="00601443"/>
    <w:rsid w:val="00601504"/>
    <w:rsid w:val="0060159A"/>
    <w:rsid w:val="0060199D"/>
    <w:rsid w:val="00601C0A"/>
    <w:rsid w:val="00601EEF"/>
    <w:rsid w:val="0060202A"/>
    <w:rsid w:val="00602046"/>
    <w:rsid w:val="006021A8"/>
    <w:rsid w:val="0060224A"/>
    <w:rsid w:val="0060224E"/>
    <w:rsid w:val="006027B7"/>
    <w:rsid w:val="0060289A"/>
    <w:rsid w:val="00602B70"/>
    <w:rsid w:val="00602CCD"/>
    <w:rsid w:val="00602CDB"/>
    <w:rsid w:val="00602D5C"/>
    <w:rsid w:val="00602DD3"/>
    <w:rsid w:val="006030FA"/>
    <w:rsid w:val="006031C7"/>
    <w:rsid w:val="006032C4"/>
    <w:rsid w:val="00603570"/>
    <w:rsid w:val="0060362C"/>
    <w:rsid w:val="0060381C"/>
    <w:rsid w:val="0060394A"/>
    <w:rsid w:val="00603D4B"/>
    <w:rsid w:val="00603EE0"/>
    <w:rsid w:val="00603EFC"/>
    <w:rsid w:val="00604022"/>
    <w:rsid w:val="00604024"/>
    <w:rsid w:val="006041EA"/>
    <w:rsid w:val="00604233"/>
    <w:rsid w:val="0060466B"/>
    <w:rsid w:val="006048B5"/>
    <w:rsid w:val="006049CB"/>
    <w:rsid w:val="00604A6A"/>
    <w:rsid w:val="00604D7B"/>
    <w:rsid w:val="00604D9A"/>
    <w:rsid w:val="0060508D"/>
    <w:rsid w:val="006054CD"/>
    <w:rsid w:val="006054EE"/>
    <w:rsid w:val="0060557B"/>
    <w:rsid w:val="006058CD"/>
    <w:rsid w:val="00605924"/>
    <w:rsid w:val="00605A85"/>
    <w:rsid w:val="00605B5C"/>
    <w:rsid w:val="00605B94"/>
    <w:rsid w:val="00606004"/>
    <w:rsid w:val="00606099"/>
    <w:rsid w:val="006060E6"/>
    <w:rsid w:val="0060629E"/>
    <w:rsid w:val="0060638D"/>
    <w:rsid w:val="0060654D"/>
    <w:rsid w:val="006065B9"/>
    <w:rsid w:val="006065BD"/>
    <w:rsid w:val="0060665C"/>
    <w:rsid w:val="00606662"/>
    <w:rsid w:val="00606701"/>
    <w:rsid w:val="006067AC"/>
    <w:rsid w:val="00606887"/>
    <w:rsid w:val="0060688B"/>
    <w:rsid w:val="0060689A"/>
    <w:rsid w:val="00606904"/>
    <w:rsid w:val="00606E4E"/>
    <w:rsid w:val="00606E56"/>
    <w:rsid w:val="00607580"/>
    <w:rsid w:val="0060759D"/>
    <w:rsid w:val="006077A1"/>
    <w:rsid w:val="00607884"/>
    <w:rsid w:val="006078C2"/>
    <w:rsid w:val="00607AEB"/>
    <w:rsid w:val="00607DD9"/>
    <w:rsid w:val="00607DF0"/>
    <w:rsid w:val="00607E6A"/>
    <w:rsid w:val="0061005D"/>
    <w:rsid w:val="00610258"/>
    <w:rsid w:val="006102E3"/>
    <w:rsid w:val="00610794"/>
    <w:rsid w:val="006107FD"/>
    <w:rsid w:val="00610A63"/>
    <w:rsid w:val="00610A8D"/>
    <w:rsid w:val="00610EE4"/>
    <w:rsid w:val="0061101C"/>
    <w:rsid w:val="00611119"/>
    <w:rsid w:val="00611261"/>
    <w:rsid w:val="006112A9"/>
    <w:rsid w:val="006114E3"/>
    <w:rsid w:val="0061151A"/>
    <w:rsid w:val="00611767"/>
    <w:rsid w:val="00611882"/>
    <w:rsid w:val="00611CBC"/>
    <w:rsid w:val="00611FB8"/>
    <w:rsid w:val="00612095"/>
    <w:rsid w:val="006120E4"/>
    <w:rsid w:val="006121AB"/>
    <w:rsid w:val="00612640"/>
    <w:rsid w:val="006126A5"/>
    <w:rsid w:val="00612769"/>
    <w:rsid w:val="00612B80"/>
    <w:rsid w:val="00612CA4"/>
    <w:rsid w:val="00612CB4"/>
    <w:rsid w:val="00612E04"/>
    <w:rsid w:val="006131BC"/>
    <w:rsid w:val="006132D5"/>
    <w:rsid w:val="006133CB"/>
    <w:rsid w:val="0061341C"/>
    <w:rsid w:val="006135AC"/>
    <w:rsid w:val="006138C2"/>
    <w:rsid w:val="00613B42"/>
    <w:rsid w:val="00613BBE"/>
    <w:rsid w:val="00613C0D"/>
    <w:rsid w:val="00613EF5"/>
    <w:rsid w:val="00613F82"/>
    <w:rsid w:val="00613FB6"/>
    <w:rsid w:val="00614093"/>
    <w:rsid w:val="0061422D"/>
    <w:rsid w:val="006142F5"/>
    <w:rsid w:val="0061437B"/>
    <w:rsid w:val="00614396"/>
    <w:rsid w:val="006143DF"/>
    <w:rsid w:val="00614409"/>
    <w:rsid w:val="00614579"/>
    <w:rsid w:val="006146A1"/>
    <w:rsid w:val="006148A9"/>
    <w:rsid w:val="00614977"/>
    <w:rsid w:val="00614A83"/>
    <w:rsid w:val="00614BAA"/>
    <w:rsid w:val="00614DAD"/>
    <w:rsid w:val="00614EA0"/>
    <w:rsid w:val="00615075"/>
    <w:rsid w:val="00615096"/>
    <w:rsid w:val="00615307"/>
    <w:rsid w:val="00615805"/>
    <w:rsid w:val="00615A3F"/>
    <w:rsid w:val="00615B58"/>
    <w:rsid w:val="00616007"/>
    <w:rsid w:val="0061600B"/>
    <w:rsid w:val="00616093"/>
    <w:rsid w:val="00616094"/>
    <w:rsid w:val="00616113"/>
    <w:rsid w:val="00616163"/>
    <w:rsid w:val="0061617F"/>
    <w:rsid w:val="0061648C"/>
    <w:rsid w:val="006166F9"/>
    <w:rsid w:val="006168B4"/>
    <w:rsid w:val="00616A02"/>
    <w:rsid w:val="00616A5E"/>
    <w:rsid w:val="00616A94"/>
    <w:rsid w:val="00616C8F"/>
    <w:rsid w:val="00616C95"/>
    <w:rsid w:val="00616C97"/>
    <w:rsid w:val="0061707F"/>
    <w:rsid w:val="006172BB"/>
    <w:rsid w:val="0061730F"/>
    <w:rsid w:val="0061733B"/>
    <w:rsid w:val="0061752F"/>
    <w:rsid w:val="0061761B"/>
    <w:rsid w:val="0061782B"/>
    <w:rsid w:val="00617A61"/>
    <w:rsid w:val="00617AFC"/>
    <w:rsid w:val="00617C80"/>
    <w:rsid w:val="00617D35"/>
    <w:rsid w:val="00617D38"/>
    <w:rsid w:val="00617FBE"/>
    <w:rsid w:val="00617FC7"/>
    <w:rsid w:val="00620207"/>
    <w:rsid w:val="00620261"/>
    <w:rsid w:val="00620B54"/>
    <w:rsid w:val="00620D43"/>
    <w:rsid w:val="00620D66"/>
    <w:rsid w:val="00620E0A"/>
    <w:rsid w:val="0062119F"/>
    <w:rsid w:val="00621260"/>
    <w:rsid w:val="00621261"/>
    <w:rsid w:val="006219D7"/>
    <w:rsid w:val="006219EA"/>
    <w:rsid w:val="00621A1C"/>
    <w:rsid w:val="00621A21"/>
    <w:rsid w:val="00621AFC"/>
    <w:rsid w:val="00621B48"/>
    <w:rsid w:val="00621E0B"/>
    <w:rsid w:val="00621FE7"/>
    <w:rsid w:val="00622123"/>
    <w:rsid w:val="00622132"/>
    <w:rsid w:val="00622150"/>
    <w:rsid w:val="0062233F"/>
    <w:rsid w:val="006223D5"/>
    <w:rsid w:val="006226C3"/>
    <w:rsid w:val="006226D5"/>
    <w:rsid w:val="00622B2E"/>
    <w:rsid w:val="00622D08"/>
    <w:rsid w:val="00622D6D"/>
    <w:rsid w:val="00622DFC"/>
    <w:rsid w:val="00622E76"/>
    <w:rsid w:val="00622F35"/>
    <w:rsid w:val="00622F3C"/>
    <w:rsid w:val="0062316A"/>
    <w:rsid w:val="006232BB"/>
    <w:rsid w:val="00623331"/>
    <w:rsid w:val="0062336A"/>
    <w:rsid w:val="0062340A"/>
    <w:rsid w:val="0062343E"/>
    <w:rsid w:val="00623663"/>
    <w:rsid w:val="006237B7"/>
    <w:rsid w:val="00623940"/>
    <w:rsid w:val="00623C0B"/>
    <w:rsid w:val="00623C47"/>
    <w:rsid w:val="00623C7B"/>
    <w:rsid w:val="00623D1C"/>
    <w:rsid w:val="00624062"/>
    <w:rsid w:val="0062407B"/>
    <w:rsid w:val="0062407C"/>
    <w:rsid w:val="006241C2"/>
    <w:rsid w:val="00624246"/>
    <w:rsid w:val="006242B8"/>
    <w:rsid w:val="006243F0"/>
    <w:rsid w:val="00624432"/>
    <w:rsid w:val="0062449C"/>
    <w:rsid w:val="00624936"/>
    <w:rsid w:val="00624943"/>
    <w:rsid w:val="00624A2A"/>
    <w:rsid w:val="00624BC3"/>
    <w:rsid w:val="00624C90"/>
    <w:rsid w:val="00624C9D"/>
    <w:rsid w:val="00624CDA"/>
    <w:rsid w:val="00624FB0"/>
    <w:rsid w:val="00625016"/>
    <w:rsid w:val="00625199"/>
    <w:rsid w:val="00625479"/>
    <w:rsid w:val="006255D9"/>
    <w:rsid w:val="0062561C"/>
    <w:rsid w:val="0062578C"/>
    <w:rsid w:val="006258B3"/>
    <w:rsid w:val="0062599F"/>
    <w:rsid w:val="006259DD"/>
    <w:rsid w:val="00625A14"/>
    <w:rsid w:val="00625AA5"/>
    <w:rsid w:val="00625B09"/>
    <w:rsid w:val="00625C75"/>
    <w:rsid w:val="00625D2D"/>
    <w:rsid w:val="00625D59"/>
    <w:rsid w:val="00625D83"/>
    <w:rsid w:val="00625FFE"/>
    <w:rsid w:val="00626209"/>
    <w:rsid w:val="00626242"/>
    <w:rsid w:val="0062648A"/>
    <w:rsid w:val="0062693C"/>
    <w:rsid w:val="006269A6"/>
    <w:rsid w:val="00626C33"/>
    <w:rsid w:val="00626D52"/>
    <w:rsid w:val="00626E50"/>
    <w:rsid w:val="00626FD5"/>
    <w:rsid w:val="00626FDF"/>
    <w:rsid w:val="006270C0"/>
    <w:rsid w:val="006270D3"/>
    <w:rsid w:val="006273AF"/>
    <w:rsid w:val="00627AF1"/>
    <w:rsid w:val="00627C41"/>
    <w:rsid w:val="00627DFD"/>
    <w:rsid w:val="00627F39"/>
    <w:rsid w:val="00630038"/>
    <w:rsid w:val="00630621"/>
    <w:rsid w:val="006307E0"/>
    <w:rsid w:val="006309F7"/>
    <w:rsid w:val="00630A20"/>
    <w:rsid w:val="00631069"/>
    <w:rsid w:val="00631198"/>
    <w:rsid w:val="00631249"/>
    <w:rsid w:val="006313ED"/>
    <w:rsid w:val="00631531"/>
    <w:rsid w:val="00631617"/>
    <w:rsid w:val="0063163D"/>
    <w:rsid w:val="006316EF"/>
    <w:rsid w:val="00631874"/>
    <w:rsid w:val="006318F8"/>
    <w:rsid w:val="00631A27"/>
    <w:rsid w:val="00631A7C"/>
    <w:rsid w:val="00631C9C"/>
    <w:rsid w:val="00631D46"/>
    <w:rsid w:val="006322A6"/>
    <w:rsid w:val="006324A8"/>
    <w:rsid w:val="006326B9"/>
    <w:rsid w:val="0063284A"/>
    <w:rsid w:val="006328B6"/>
    <w:rsid w:val="00632916"/>
    <w:rsid w:val="0063292C"/>
    <w:rsid w:val="00632A53"/>
    <w:rsid w:val="00632AC9"/>
    <w:rsid w:val="00632B74"/>
    <w:rsid w:val="00632C19"/>
    <w:rsid w:val="00632DC5"/>
    <w:rsid w:val="00632FB9"/>
    <w:rsid w:val="00632FDE"/>
    <w:rsid w:val="0063315A"/>
    <w:rsid w:val="0063325C"/>
    <w:rsid w:val="006332E0"/>
    <w:rsid w:val="0063351D"/>
    <w:rsid w:val="0063361C"/>
    <w:rsid w:val="00633804"/>
    <w:rsid w:val="0063394E"/>
    <w:rsid w:val="00633991"/>
    <w:rsid w:val="00633FC1"/>
    <w:rsid w:val="00634044"/>
    <w:rsid w:val="006340A7"/>
    <w:rsid w:val="006341C4"/>
    <w:rsid w:val="00634280"/>
    <w:rsid w:val="006342B6"/>
    <w:rsid w:val="00634365"/>
    <w:rsid w:val="0063460A"/>
    <w:rsid w:val="00634673"/>
    <w:rsid w:val="006347EB"/>
    <w:rsid w:val="00634B2F"/>
    <w:rsid w:val="00634C03"/>
    <w:rsid w:val="00634DC6"/>
    <w:rsid w:val="00634E4B"/>
    <w:rsid w:val="00635064"/>
    <w:rsid w:val="00635260"/>
    <w:rsid w:val="006352B6"/>
    <w:rsid w:val="006352EB"/>
    <w:rsid w:val="0063545E"/>
    <w:rsid w:val="0063548E"/>
    <w:rsid w:val="006354D3"/>
    <w:rsid w:val="00635734"/>
    <w:rsid w:val="00635822"/>
    <w:rsid w:val="0063582F"/>
    <w:rsid w:val="006358C6"/>
    <w:rsid w:val="00635A6E"/>
    <w:rsid w:val="00635FF3"/>
    <w:rsid w:val="00636074"/>
    <w:rsid w:val="00636107"/>
    <w:rsid w:val="00636145"/>
    <w:rsid w:val="0063623F"/>
    <w:rsid w:val="006362E5"/>
    <w:rsid w:val="006364A8"/>
    <w:rsid w:val="00636520"/>
    <w:rsid w:val="00636866"/>
    <w:rsid w:val="006369AF"/>
    <w:rsid w:val="00636CC8"/>
    <w:rsid w:val="00636CF6"/>
    <w:rsid w:val="00636D45"/>
    <w:rsid w:val="0063705E"/>
    <w:rsid w:val="0063706E"/>
    <w:rsid w:val="00637078"/>
    <w:rsid w:val="006370A5"/>
    <w:rsid w:val="006370BF"/>
    <w:rsid w:val="0063745B"/>
    <w:rsid w:val="0063749D"/>
    <w:rsid w:val="0063761C"/>
    <w:rsid w:val="0063798F"/>
    <w:rsid w:val="00637A5E"/>
    <w:rsid w:val="00637A77"/>
    <w:rsid w:val="00637DF6"/>
    <w:rsid w:val="00637E8F"/>
    <w:rsid w:val="00640028"/>
    <w:rsid w:val="006400A1"/>
    <w:rsid w:val="00640197"/>
    <w:rsid w:val="00640199"/>
    <w:rsid w:val="0064019A"/>
    <w:rsid w:val="00640280"/>
    <w:rsid w:val="006403C3"/>
    <w:rsid w:val="00640610"/>
    <w:rsid w:val="006407CE"/>
    <w:rsid w:val="00640994"/>
    <w:rsid w:val="00640A11"/>
    <w:rsid w:val="00640AF6"/>
    <w:rsid w:val="00640C53"/>
    <w:rsid w:val="00640DE8"/>
    <w:rsid w:val="00640EB2"/>
    <w:rsid w:val="00640F1C"/>
    <w:rsid w:val="006410A8"/>
    <w:rsid w:val="006411FD"/>
    <w:rsid w:val="0064122B"/>
    <w:rsid w:val="006412DC"/>
    <w:rsid w:val="006413AA"/>
    <w:rsid w:val="00641423"/>
    <w:rsid w:val="00641492"/>
    <w:rsid w:val="006418CE"/>
    <w:rsid w:val="00641944"/>
    <w:rsid w:val="006419AC"/>
    <w:rsid w:val="00641AC5"/>
    <w:rsid w:val="00641BAC"/>
    <w:rsid w:val="00641C2D"/>
    <w:rsid w:val="00641D2E"/>
    <w:rsid w:val="00642166"/>
    <w:rsid w:val="00642197"/>
    <w:rsid w:val="00642681"/>
    <w:rsid w:val="00642703"/>
    <w:rsid w:val="006429B4"/>
    <w:rsid w:val="006429D3"/>
    <w:rsid w:val="00642A76"/>
    <w:rsid w:val="00642E29"/>
    <w:rsid w:val="00643097"/>
    <w:rsid w:val="0064326B"/>
    <w:rsid w:val="0064335D"/>
    <w:rsid w:val="006434D3"/>
    <w:rsid w:val="0064356F"/>
    <w:rsid w:val="0064362A"/>
    <w:rsid w:val="00643630"/>
    <w:rsid w:val="0064369D"/>
    <w:rsid w:val="00643A8D"/>
    <w:rsid w:val="00643AC8"/>
    <w:rsid w:val="00643B61"/>
    <w:rsid w:val="00643C0E"/>
    <w:rsid w:val="00643C1E"/>
    <w:rsid w:val="00643C9A"/>
    <w:rsid w:val="00643F2D"/>
    <w:rsid w:val="00644039"/>
    <w:rsid w:val="006440E0"/>
    <w:rsid w:val="006441DF"/>
    <w:rsid w:val="00644390"/>
    <w:rsid w:val="006444DB"/>
    <w:rsid w:val="0064477D"/>
    <w:rsid w:val="0064497A"/>
    <w:rsid w:val="00644C2A"/>
    <w:rsid w:val="00644F3B"/>
    <w:rsid w:val="00644F60"/>
    <w:rsid w:val="00644FA3"/>
    <w:rsid w:val="00645145"/>
    <w:rsid w:val="006453B5"/>
    <w:rsid w:val="006453E1"/>
    <w:rsid w:val="00645447"/>
    <w:rsid w:val="0064551C"/>
    <w:rsid w:val="006455E5"/>
    <w:rsid w:val="00645764"/>
    <w:rsid w:val="00645910"/>
    <w:rsid w:val="00645961"/>
    <w:rsid w:val="006459D9"/>
    <w:rsid w:val="00645A1A"/>
    <w:rsid w:val="00645A60"/>
    <w:rsid w:val="00645AA1"/>
    <w:rsid w:val="00645B0E"/>
    <w:rsid w:val="00645C79"/>
    <w:rsid w:val="00645D3B"/>
    <w:rsid w:val="00645DCB"/>
    <w:rsid w:val="00646204"/>
    <w:rsid w:val="006464C4"/>
    <w:rsid w:val="006465B3"/>
    <w:rsid w:val="0064668F"/>
    <w:rsid w:val="006467B3"/>
    <w:rsid w:val="00646A36"/>
    <w:rsid w:val="00646ADF"/>
    <w:rsid w:val="00646B62"/>
    <w:rsid w:val="00646C63"/>
    <w:rsid w:val="00646CB4"/>
    <w:rsid w:val="00646D46"/>
    <w:rsid w:val="00646DDF"/>
    <w:rsid w:val="00646FFE"/>
    <w:rsid w:val="006471AE"/>
    <w:rsid w:val="00647475"/>
    <w:rsid w:val="0064757C"/>
    <w:rsid w:val="0064786F"/>
    <w:rsid w:val="00647B75"/>
    <w:rsid w:val="00647B97"/>
    <w:rsid w:val="00647B99"/>
    <w:rsid w:val="00647BBD"/>
    <w:rsid w:val="00647D4E"/>
    <w:rsid w:val="00647D76"/>
    <w:rsid w:val="00647DD9"/>
    <w:rsid w:val="00650072"/>
    <w:rsid w:val="006501B1"/>
    <w:rsid w:val="006501D3"/>
    <w:rsid w:val="006501D4"/>
    <w:rsid w:val="006501F2"/>
    <w:rsid w:val="00650282"/>
    <w:rsid w:val="0065054A"/>
    <w:rsid w:val="0065073B"/>
    <w:rsid w:val="00650A3C"/>
    <w:rsid w:val="00650CD9"/>
    <w:rsid w:val="00650D6D"/>
    <w:rsid w:val="00650E23"/>
    <w:rsid w:val="00651021"/>
    <w:rsid w:val="0065116F"/>
    <w:rsid w:val="0065117F"/>
    <w:rsid w:val="00651248"/>
    <w:rsid w:val="00651479"/>
    <w:rsid w:val="006514AE"/>
    <w:rsid w:val="006517E1"/>
    <w:rsid w:val="00651861"/>
    <w:rsid w:val="006518C8"/>
    <w:rsid w:val="006518D4"/>
    <w:rsid w:val="00651953"/>
    <w:rsid w:val="00651D23"/>
    <w:rsid w:val="00651F5E"/>
    <w:rsid w:val="00651F68"/>
    <w:rsid w:val="00651FD8"/>
    <w:rsid w:val="00651FFB"/>
    <w:rsid w:val="00652064"/>
    <w:rsid w:val="00652205"/>
    <w:rsid w:val="0065227F"/>
    <w:rsid w:val="0065233C"/>
    <w:rsid w:val="00652541"/>
    <w:rsid w:val="00652562"/>
    <w:rsid w:val="006525D6"/>
    <w:rsid w:val="0065263F"/>
    <w:rsid w:val="0065269D"/>
    <w:rsid w:val="006526DB"/>
    <w:rsid w:val="00652703"/>
    <w:rsid w:val="00652964"/>
    <w:rsid w:val="006529DD"/>
    <w:rsid w:val="00652A56"/>
    <w:rsid w:val="00652AE5"/>
    <w:rsid w:val="00652DE4"/>
    <w:rsid w:val="00652E66"/>
    <w:rsid w:val="00652ED2"/>
    <w:rsid w:val="00652F4C"/>
    <w:rsid w:val="00653008"/>
    <w:rsid w:val="00653026"/>
    <w:rsid w:val="0065304D"/>
    <w:rsid w:val="00653063"/>
    <w:rsid w:val="006530FB"/>
    <w:rsid w:val="00653381"/>
    <w:rsid w:val="00653391"/>
    <w:rsid w:val="00653401"/>
    <w:rsid w:val="0065357C"/>
    <w:rsid w:val="00653594"/>
    <w:rsid w:val="00653973"/>
    <w:rsid w:val="00653A7D"/>
    <w:rsid w:val="00653D8C"/>
    <w:rsid w:val="00654102"/>
    <w:rsid w:val="00654185"/>
    <w:rsid w:val="006541AF"/>
    <w:rsid w:val="006541C5"/>
    <w:rsid w:val="006542E4"/>
    <w:rsid w:val="006544FF"/>
    <w:rsid w:val="00654509"/>
    <w:rsid w:val="00654641"/>
    <w:rsid w:val="00654648"/>
    <w:rsid w:val="0065469B"/>
    <w:rsid w:val="006547BC"/>
    <w:rsid w:val="00654815"/>
    <w:rsid w:val="00654C1A"/>
    <w:rsid w:val="0065563F"/>
    <w:rsid w:val="006559E4"/>
    <w:rsid w:val="00655A3C"/>
    <w:rsid w:val="00655D9A"/>
    <w:rsid w:val="006561F7"/>
    <w:rsid w:val="0065631B"/>
    <w:rsid w:val="0065636D"/>
    <w:rsid w:val="00656763"/>
    <w:rsid w:val="006569F4"/>
    <w:rsid w:val="00656B98"/>
    <w:rsid w:val="00656D48"/>
    <w:rsid w:val="00656E4B"/>
    <w:rsid w:val="00656F99"/>
    <w:rsid w:val="0065714F"/>
    <w:rsid w:val="00657184"/>
    <w:rsid w:val="006572DD"/>
    <w:rsid w:val="006573DA"/>
    <w:rsid w:val="00657B3E"/>
    <w:rsid w:val="00657C8F"/>
    <w:rsid w:val="00657CF8"/>
    <w:rsid w:val="0066006A"/>
    <w:rsid w:val="00660161"/>
    <w:rsid w:val="00660264"/>
    <w:rsid w:val="00660437"/>
    <w:rsid w:val="00660521"/>
    <w:rsid w:val="00660688"/>
    <w:rsid w:val="006606AD"/>
    <w:rsid w:val="006609A1"/>
    <w:rsid w:val="00660B55"/>
    <w:rsid w:val="00660F49"/>
    <w:rsid w:val="00661231"/>
    <w:rsid w:val="006612BF"/>
    <w:rsid w:val="006614BE"/>
    <w:rsid w:val="0066153A"/>
    <w:rsid w:val="0066155A"/>
    <w:rsid w:val="00661754"/>
    <w:rsid w:val="0066188A"/>
    <w:rsid w:val="00661918"/>
    <w:rsid w:val="006619D0"/>
    <w:rsid w:val="00661A0D"/>
    <w:rsid w:val="00661BA8"/>
    <w:rsid w:val="00661CDF"/>
    <w:rsid w:val="00662308"/>
    <w:rsid w:val="00662359"/>
    <w:rsid w:val="0066239B"/>
    <w:rsid w:val="006623C2"/>
    <w:rsid w:val="0066286C"/>
    <w:rsid w:val="00662934"/>
    <w:rsid w:val="0066294E"/>
    <w:rsid w:val="00662DD5"/>
    <w:rsid w:val="00662EDD"/>
    <w:rsid w:val="0066346A"/>
    <w:rsid w:val="006634E0"/>
    <w:rsid w:val="006636B0"/>
    <w:rsid w:val="0066385C"/>
    <w:rsid w:val="00663D5C"/>
    <w:rsid w:val="00663DEC"/>
    <w:rsid w:val="00663E04"/>
    <w:rsid w:val="00663F06"/>
    <w:rsid w:val="0066426E"/>
    <w:rsid w:val="00664352"/>
    <w:rsid w:val="0066440A"/>
    <w:rsid w:val="00664860"/>
    <w:rsid w:val="00664C7A"/>
    <w:rsid w:val="00664FD8"/>
    <w:rsid w:val="00665058"/>
    <w:rsid w:val="0066520A"/>
    <w:rsid w:val="00665419"/>
    <w:rsid w:val="006654D7"/>
    <w:rsid w:val="006656E0"/>
    <w:rsid w:val="0066576C"/>
    <w:rsid w:val="00665C3D"/>
    <w:rsid w:val="00665DE5"/>
    <w:rsid w:val="006662C3"/>
    <w:rsid w:val="00666399"/>
    <w:rsid w:val="00666537"/>
    <w:rsid w:val="006665CF"/>
    <w:rsid w:val="006665DA"/>
    <w:rsid w:val="0066666D"/>
    <w:rsid w:val="006666AB"/>
    <w:rsid w:val="0066678F"/>
    <w:rsid w:val="00666920"/>
    <w:rsid w:val="00666A30"/>
    <w:rsid w:val="00666AD3"/>
    <w:rsid w:val="00666B8E"/>
    <w:rsid w:val="00666E76"/>
    <w:rsid w:val="00667024"/>
    <w:rsid w:val="006672FD"/>
    <w:rsid w:val="0066733C"/>
    <w:rsid w:val="00667399"/>
    <w:rsid w:val="00667516"/>
    <w:rsid w:val="006675C7"/>
    <w:rsid w:val="00667643"/>
    <w:rsid w:val="006676F9"/>
    <w:rsid w:val="006678DA"/>
    <w:rsid w:val="0066795B"/>
    <w:rsid w:val="00667A3C"/>
    <w:rsid w:val="00667A86"/>
    <w:rsid w:val="00667CC7"/>
    <w:rsid w:val="00667DC6"/>
    <w:rsid w:val="00667E14"/>
    <w:rsid w:val="00667EE6"/>
    <w:rsid w:val="00670028"/>
    <w:rsid w:val="00670069"/>
    <w:rsid w:val="00670395"/>
    <w:rsid w:val="006704A1"/>
    <w:rsid w:val="0067061A"/>
    <w:rsid w:val="0067070F"/>
    <w:rsid w:val="0067077E"/>
    <w:rsid w:val="006707C1"/>
    <w:rsid w:val="0067099B"/>
    <w:rsid w:val="006709A1"/>
    <w:rsid w:val="00670B91"/>
    <w:rsid w:val="00670C1E"/>
    <w:rsid w:val="00670D4E"/>
    <w:rsid w:val="00670D53"/>
    <w:rsid w:val="00670D65"/>
    <w:rsid w:val="00670DA9"/>
    <w:rsid w:val="00671031"/>
    <w:rsid w:val="006712F7"/>
    <w:rsid w:val="006713B1"/>
    <w:rsid w:val="0067144B"/>
    <w:rsid w:val="00671645"/>
    <w:rsid w:val="006717FB"/>
    <w:rsid w:val="00671901"/>
    <w:rsid w:val="00671B5B"/>
    <w:rsid w:val="00671BB4"/>
    <w:rsid w:val="00671C11"/>
    <w:rsid w:val="00671CCB"/>
    <w:rsid w:val="00671CCE"/>
    <w:rsid w:val="00671FC0"/>
    <w:rsid w:val="006720A2"/>
    <w:rsid w:val="0067224C"/>
    <w:rsid w:val="006722B1"/>
    <w:rsid w:val="006724F3"/>
    <w:rsid w:val="0067251C"/>
    <w:rsid w:val="00672521"/>
    <w:rsid w:val="0067257D"/>
    <w:rsid w:val="006728F1"/>
    <w:rsid w:val="00672B7C"/>
    <w:rsid w:val="00672BFA"/>
    <w:rsid w:val="00672C59"/>
    <w:rsid w:val="00672E8B"/>
    <w:rsid w:val="00672ED9"/>
    <w:rsid w:val="00672EE8"/>
    <w:rsid w:val="00673150"/>
    <w:rsid w:val="0067337C"/>
    <w:rsid w:val="00673588"/>
    <w:rsid w:val="00673663"/>
    <w:rsid w:val="00673710"/>
    <w:rsid w:val="00673773"/>
    <w:rsid w:val="00673775"/>
    <w:rsid w:val="0067384D"/>
    <w:rsid w:val="00673E33"/>
    <w:rsid w:val="00673E71"/>
    <w:rsid w:val="00673EAF"/>
    <w:rsid w:val="00673ED4"/>
    <w:rsid w:val="00674174"/>
    <w:rsid w:val="006741C4"/>
    <w:rsid w:val="006742A2"/>
    <w:rsid w:val="00674514"/>
    <w:rsid w:val="006745C7"/>
    <w:rsid w:val="00674788"/>
    <w:rsid w:val="006748E8"/>
    <w:rsid w:val="0067495C"/>
    <w:rsid w:val="00674A48"/>
    <w:rsid w:val="00674C3D"/>
    <w:rsid w:val="00674D29"/>
    <w:rsid w:val="00674EDB"/>
    <w:rsid w:val="00674F12"/>
    <w:rsid w:val="006751E6"/>
    <w:rsid w:val="0067556D"/>
    <w:rsid w:val="0067564F"/>
    <w:rsid w:val="006756A6"/>
    <w:rsid w:val="00675901"/>
    <w:rsid w:val="00675BAF"/>
    <w:rsid w:val="00675C74"/>
    <w:rsid w:val="006760FA"/>
    <w:rsid w:val="00676101"/>
    <w:rsid w:val="006761E9"/>
    <w:rsid w:val="00676303"/>
    <w:rsid w:val="00676551"/>
    <w:rsid w:val="006765CD"/>
    <w:rsid w:val="00676614"/>
    <w:rsid w:val="0067667B"/>
    <w:rsid w:val="0067673E"/>
    <w:rsid w:val="006767DD"/>
    <w:rsid w:val="00676872"/>
    <w:rsid w:val="00676881"/>
    <w:rsid w:val="006768BC"/>
    <w:rsid w:val="00676959"/>
    <w:rsid w:val="00676A4B"/>
    <w:rsid w:val="00676A96"/>
    <w:rsid w:val="00676C6B"/>
    <w:rsid w:val="00676EEA"/>
    <w:rsid w:val="00676FB4"/>
    <w:rsid w:val="00677076"/>
    <w:rsid w:val="006770F4"/>
    <w:rsid w:val="0067722B"/>
    <w:rsid w:val="00677512"/>
    <w:rsid w:val="0067755F"/>
    <w:rsid w:val="006775EE"/>
    <w:rsid w:val="00677623"/>
    <w:rsid w:val="0067772C"/>
    <w:rsid w:val="00677ABF"/>
    <w:rsid w:val="00677D64"/>
    <w:rsid w:val="00677D6C"/>
    <w:rsid w:val="006800FF"/>
    <w:rsid w:val="006801DE"/>
    <w:rsid w:val="00680754"/>
    <w:rsid w:val="006807EC"/>
    <w:rsid w:val="0068082B"/>
    <w:rsid w:val="00680EED"/>
    <w:rsid w:val="0068127D"/>
    <w:rsid w:val="0068155D"/>
    <w:rsid w:val="0068163C"/>
    <w:rsid w:val="006817CE"/>
    <w:rsid w:val="00681C25"/>
    <w:rsid w:val="00681C7A"/>
    <w:rsid w:val="00681CE9"/>
    <w:rsid w:val="00681F43"/>
    <w:rsid w:val="00682050"/>
    <w:rsid w:val="00682066"/>
    <w:rsid w:val="006821D8"/>
    <w:rsid w:val="00682832"/>
    <w:rsid w:val="00682918"/>
    <w:rsid w:val="00682AB1"/>
    <w:rsid w:val="00682B93"/>
    <w:rsid w:val="00682DD4"/>
    <w:rsid w:val="00682E0B"/>
    <w:rsid w:val="00682E6C"/>
    <w:rsid w:val="00682E99"/>
    <w:rsid w:val="00682FEB"/>
    <w:rsid w:val="00683057"/>
    <w:rsid w:val="00683271"/>
    <w:rsid w:val="00683337"/>
    <w:rsid w:val="006833D1"/>
    <w:rsid w:val="00683407"/>
    <w:rsid w:val="006836CB"/>
    <w:rsid w:val="00683809"/>
    <w:rsid w:val="0068382F"/>
    <w:rsid w:val="006838A5"/>
    <w:rsid w:val="00683AC7"/>
    <w:rsid w:val="00683CF2"/>
    <w:rsid w:val="00683E82"/>
    <w:rsid w:val="00683EBC"/>
    <w:rsid w:val="00684095"/>
    <w:rsid w:val="006841F8"/>
    <w:rsid w:val="00684208"/>
    <w:rsid w:val="00684246"/>
    <w:rsid w:val="0068465D"/>
    <w:rsid w:val="00684787"/>
    <w:rsid w:val="006848D7"/>
    <w:rsid w:val="00684971"/>
    <w:rsid w:val="00684B24"/>
    <w:rsid w:val="00684BCE"/>
    <w:rsid w:val="00684C15"/>
    <w:rsid w:val="00684C49"/>
    <w:rsid w:val="00684EB5"/>
    <w:rsid w:val="00684F12"/>
    <w:rsid w:val="00684F65"/>
    <w:rsid w:val="006851E9"/>
    <w:rsid w:val="0068535A"/>
    <w:rsid w:val="006853AD"/>
    <w:rsid w:val="00685551"/>
    <w:rsid w:val="0068557B"/>
    <w:rsid w:val="006856DF"/>
    <w:rsid w:val="00685926"/>
    <w:rsid w:val="00685999"/>
    <w:rsid w:val="006859FD"/>
    <w:rsid w:val="00685A11"/>
    <w:rsid w:val="00685B2A"/>
    <w:rsid w:val="00685F3D"/>
    <w:rsid w:val="00685F7B"/>
    <w:rsid w:val="00686056"/>
    <w:rsid w:val="00686329"/>
    <w:rsid w:val="00686521"/>
    <w:rsid w:val="006866B7"/>
    <w:rsid w:val="00686BFB"/>
    <w:rsid w:val="00686CA8"/>
    <w:rsid w:val="00686D90"/>
    <w:rsid w:val="00686DCC"/>
    <w:rsid w:val="00686DF3"/>
    <w:rsid w:val="00686F44"/>
    <w:rsid w:val="006871CE"/>
    <w:rsid w:val="00687213"/>
    <w:rsid w:val="00687BF7"/>
    <w:rsid w:val="00687F19"/>
    <w:rsid w:val="00687FF5"/>
    <w:rsid w:val="00690012"/>
    <w:rsid w:val="00690054"/>
    <w:rsid w:val="0069006A"/>
    <w:rsid w:val="0069029C"/>
    <w:rsid w:val="0069051C"/>
    <w:rsid w:val="0069064D"/>
    <w:rsid w:val="006907BC"/>
    <w:rsid w:val="00690927"/>
    <w:rsid w:val="00690931"/>
    <w:rsid w:val="0069096C"/>
    <w:rsid w:val="00690E5B"/>
    <w:rsid w:val="006910EE"/>
    <w:rsid w:val="00691116"/>
    <w:rsid w:val="00691159"/>
    <w:rsid w:val="0069127B"/>
    <w:rsid w:val="006913C3"/>
    <w:rsid w:val="00691543"/>
    <w:rsid w:val="00691651"/>
    <w:rsid w:val="006917E9"/>
    <w:rsid w:val="00691B7B"/>
    <w:rsid w:val="00691D6F"/>
    <w:rsid w:val="00691E58"/>
    <w:rsid w:val="00691F05"/>
    <w:rsid w:val="006921D4"/>
    <w:rsid w:val="00692276"/>
    <w:rsid w:val="0069230E"/>
    <w:rsid w:val="00692342"/>
    <w:rsid w:val="006925C6"/>
    <w:rsid w:val="00692708"/>
    <w:rsid w:val="00692952"/>
    <w:rsid w:val="00692B98"/>
    <w:rsid w:val="00692D43"/>
    <w:rsid w:val="00692D8F"/>
    <w:rsid w:val="00693114"/>
    <w:rsid w:val="006931F0"/>
    <w:rsid w:val="00693410"/>
    <w:rsid w:val="0069366E"/>
    <w:rsid w:val="006937A1"/>
    <w:rsid w:val="00693886"/>
    <w:rsid w:val="00693916"/>
    <w:rsid w:val="0069394A"/>
    <w:rsid w:val="00693A37"/>
    <w:rsid w:val="00693A55"/>
    <w:rsid w:val="00693B5E"/>
    <w:rsid w:val="00693BAC"/>
    <w:rsid w:val="00693CF1"/>
    <w:rsid w:val="00693D57"/>
    <w:rsid w:val="00693E0F"/>
    <w:rsid w:val="00693E3C"/>
    <w:rsid w:val="00693EB3"/>
    <w:rsid w:val="00693ECB"/>
    <w:rsid w:val="00694037"/>
    <w:rsid w:val="00694111"/>
    <w:rsid w:val="006942BE"/>
    <w:rsid w:val="006945C6"/>
    <w:rsid w:val="006947B5"/>
    <w:rsid w:val="006948E2"/>
    <w:rsid w:val="00694983"/>
    <w:rsid w:val="00694A1F"/>
    <w:rsid w:val="00694A4C"/>
    <w:rsid w:val="00694C29"/>
    <w:rsid w:val="00694CDA"/>
    <w:rsid w:val="00694D24"/>
    <w:rsid w:val="00694D90"/>
    <w:rsid w:val="00694DD5"/>
    <w:rsid w:val="006950F6"/>
    <w:rsid w:val="00695213"/>
    <w:rsid w:val="0069545E"/>
    <w:rsid w:val="006954E1"/>
    <w:rsid w:val="0069551C"/>
    <w:rsid w:val="00695663"/>
    <w:rsid w:val="006956C2"/>
    <w:rsid w:val="0069573A"/>
    <w:rsid w:val="006957A3"/>
    <w:rsid w:val="006958B5"/>
    <w:rsid w:val="00695B7B"/>
    <w:rsid w:val="00695D6E"/>
    <w:rsid w:val="00695DB4"/>
    <w:rsid w:val="00695E94"/>
    <w:rsid w:val="0069622C"/>
    <w:rsid w:val="00696568"/>
    <w:rsid w:val="00696630"/>
    <w:rsid w:val="006966CC"/>
    <w:rsid w:val="0069670D"/>
    <w:rsid w:val="00696759"/>
    <w:rsid w:val="006967C2"/>
    <w:rsid w:val="0069683A"/>
    <w:rsid w:val="006968A2"/>
    <w:rsid w:val="006968DF"/>
    <w:rsid w:val="00696972"/>
    <w:rsid w:val="00696F7E"/>
    <w:rsid w:val="00697143"/>
    <w:rsid w:val="006972F4"/>
    <w:rsid w:val="006973DB"/>
    <w:rsid w:val="00697453"/>
    <w:rsid w:val="00697497"/>
    <w:rsid w:val="00697507"/>
    <w:rsid w:val="0069754C"/>
    <w:rsid w:val="006975E6"/>
    <w:rsid w:val="00697653"/>
    <w:rsid w:val="00697690"/>
    <w:rsid w:val="006976CA"/>
    <w:rsid w:val="006977BA"/>
    <w:rsid w:val="00697839"/>
    <w:rsid w:val="00697921"/>
    <w:rsid w:val="00697B90"/>
    <w:rsid w:val="00697E35"/>
    <w:rsid w:val="00697E8B"/>
    <w:rsid w:val="006A013B"/>
    <w:rsid w:val="006A0189"/>
    <w:rsid w:val="006A0217"/>
    <w:rsid w:val="006A047F"/>
    <w:rsid w:val="006A0507"/>
    <w:rsid w:val="006A069B"/>
    <w:rsid w:val="006A0792"/>
    <w:rsid w:val="006A0A7B"/>
    <w:rsid w:val="006A0B3C"/>
    <w:rsid w:val="006A0C69"/>
    <w:rsid w:val="006A0EE9"/>
    <w:rsid w:val="006A1259"/>
    <w:rsid w:val="006A131D"/>
    <w:rsid w:val="006A1339"/>
    <w:rsid w:val="006A1340"/>
    <w:rsid w:val="006A1348"/>
    <w:rsid w:val="006A14C4"/>
    <w:rsid w:val="006A14E3"/>
    <w:rsid w:val="006A1621"/>
    <w:rsid w:val="006A16ED"/>
    <w:rsid w:val="006A172F"/>
    <w:rsid w:val="006A1AC1"/>
    <w:rsid w:val="006A1BE5"/>
    <w:rsid w:val="006A1C58"/>
    <w:rsid w:val="006A1D25"/>
    <w:rsid w:val="006A1E29"/>
    <w:rsid w:val="006A1F09"/>
    <w:rsid w:val="006A1F47"/>
    <w:rsid w:val="006A2016"/>
    <w:rsid w:val="006A2029"/>
    <w:rsid w:val="006A205C"/>
    <w:rsid w:val="006A243F"/>
    <w:rsid w:val="006A2629"/>
    <w:rsid w:val="006A26F8"/>
    <w:rsid w:val="006A2904"/>
    <w:rsid w:val="006A290F"/>
    <w:rsid w:val="006A2CCD"/>
    <w:rsid w:val="006A2EA2"/>
    <w:rsid w:val="006A2EF3"/>
    <w:rsid w:val="006A2FF0"/>
    <w:rsid w:val="006A2FF7"/>
    <w:rsid w:val="006A3015"/>
    <w:rsid w:val="006A3060"/>
    <w:rsid w:val="006A3120"/>
    <w:rsid w:val="006A33C4"/>
    <w:rsid w:val="006A3572"/>
    <w:rsid w:val="006A358B"/>
    <w:rsid w:val="006A36C7"/>
    <w:rsid w:val="006A378F"/>
    <w:rsid w:val="006A383D"/>
    <w:rsid w:val="006A39C5"/>
    <w:rsid w:val="006A3C48"/>
    <w:rsid w:val="006A3E21"/>
    <w:rsid w:val="006A4007"/>
    <w:rsid w:val="006A4086"/>
    <w:rsid w:val="006A4200"/>
    <w:rsid w:val="006A4243"/>
    <w:rsid w:val="006A4323"/>
    <w:rsid w:val="006A4383"/>
    <w:rsid w:val="006A448C"/>
    <w:rsid w:val="006A45F8"/>
    <w:rsid w:val="006A46D8"/>
    <w:rsid w:val="006A4A1A"/>
    <w:rsid w:val="006A4C0F"/>
    <w:rsid w:val="006A4C36"/>
    <w:rsid w:val="006A50CC"/>
    <w:rsid w:val="006A5200"/>
    <w:rsid w:val="006A5213"/>
    <w:rsid w:val="006A551D"/>
    <w:rsid w:val="006A55E0"/>
    <w:rsid w:val="006A5751"/>
    <w:rsid w:val="006A586C"/>
    <w:rsid w:val="006A5C69"/>
    <w:rsid w:val="006A5E7E"/>
    <w:rsid w:val="006A5F29"/>
    <w:rsid w:val="006A5F2D"/>
    <w:rsid w:val="006A6026"/>
    <w:rsid w:val="006A618A"/>
    <w:rsid w:val="006A6284"/>
    <w:rsid w:val="006A6310"/>
    <w:rsid w:val="006A6410"/>
    <w:rsid w:val="006A653D"/>
    <w:rsid w:val="006A6612"/>
    <w:rsid w:val="006A665D"/>
    <w:rsid w:val="006A670F"/>
    <w:rsid w:val="006A6852"/>
    <w:rsid w:val="006A6A2D"/>
    <w:rsid w:val="006A6A47"/>
    <w:rsid w:val="006A6C5D"/>
    <w:rsid w:val="006A6E1F"/>
    <w:rsid w:val="006A6E3B"/>
    <w:rsid w:val="006A6E79"/>
    <w:rsid w:val="006A6FC4"/>
    <w:rsid w:val="006A7049"/>
    <w:rsid w:val="006A756F"/>
    <w:rsid w:val="006A770F"/>
    <w:rsid w:val="006A7752"/>
    <w:rsid w:val="006A7858"/>
    <w:rsid w:val="006A78D7"/>
    <w:rsid w:val="006A7973"/>
    <w:rsid w:val="006A7EDF"/>
    <w:rsid w:val="006B0438"/>
    <w:rsid w:val="006B0525"/>
    <w:rsid w:val="006B0800"/>
    <w:rsid w:val="006B0986"/>
    <w:rsid w:val="006B0AD2"/>
    <w:rsid w:val="006B0B3E"/>
    <w:rsid w:val="006B0BA1"/>
    <w:rsid w:val="006B0CF0"/>
    <w:rsid w:val="006B0DA7"/>
    <w:rsid w:val="006B1031"/>
    <w:rsid w:val="006B104E"/>
    <w:rsid w:val="006B1126"/>
    <w:rsid w:val="006B1467"/>
    <w:rsid w:val="006B1857"/>
    <w:rsid w:val="006B19C9"/>
    <w:rsid w:val="006B1A97"/>
    <w:rsid w:val="006B1C71"/>
    <w:rsid w:val="006B1CD8"/>
    <w:rsid w:val="006B1F84"/>
    <w:rsid w:val="006B2051"/>
    <w:rsid w:val="006B20BB"/>
    <w:rsid w:val="006B21D2"/>
    <w:rsid w:val="006B21D3"/>
    <w:rsid w:val="006B2676"/>
    <w:rsid w:val="006B27BE"/>
    <w:rsid w:val="006B293E"/>
    <w:rsid w:val="006B2A1B"/>
    <w:rsid w:val="006B2CF4"/>
    <w:rsid w:val="006B2D6E"/>
    <w:rsid w:val="006B3204"/>
    <w:rsid w:val="006B33A4"/>
    <w:rsid w:val="006B3570"/>
    <w:rsid w:val="006B376B"/>
    <w:rsid w:val="006B3966"/>
    <w:rsid w:val="006B3987"/>
    <w:rsid w:val="006B3A12"/>
    <w:rsid w:val="006B3A14"/>
    <w:rsid w:val="006B3A2C"/>
    <w:rsid w:val="006B3D5E"/>
    <w:rsid w:val="006B3E77"/>
    <w:rsid w:val="006B3F19"/>
    <w:rsid w:val="006B429B"/>
    <w:rsid w:val="006B4495"/>
    <w:rsid w:val="006B4550"/>
    <w:rsid w:val="006B4666"/>
    <w:rsid w:val="006B466E"/>
    <w:rsid w:val="006B475E"/>
    <w:rsid w:val="006B4792"/>
    <w:rsid w:val="006B488D"/>
    <w:rsid w:val="006B4937"/>
    <w:rsid w:val="006B4BA4"/>
    <w:rsid w:val="006B4C63"/>
    <w:rsid w:val="006B4E6B"/>
    <w:rsid w:val="006B4FD8"/>
    <w:rsid w:val="006B5063"/>
    <w:rsid w:val="006B5066"/>
    <w:rsid w:val="006B5136"/>
    <w:rsid w:val="006B5203"/>
    <w:rsid w:val="006B521F"/>
    <w:rsid w:val="006B5230"/>
    <w:rsid w:val="006B5242"/>
    <w:rsid w:val="006B52BF"/>
    <w:rsid w:val="006B56C0"/>
    <w:rsid w:val="006B571C"/>
    <w:rsid w:val="006B5A08"/>
    <w:rsid w:val="006B5A4A"/>
    <w:rsid w:val="006B5ADE"/>
    <w:rsid w:val="006B5B90"/>
    <w:rsid w:val="006B5BF2"/>
    <w:rsid w:val="006B5F96"/>
    <w:rsid w:val="006B5FF1"/>
    <w:rsid w:val="006B6120"/>
    <w:rsid w:val="006B6193"/>
    <w:rsid w:val="006B63B2"/>
    <w:rsid w:val="006B63DB"/>
    <w:rsid w:val="006B6474"/>
    <w:rsid w:val="006B680D"/>
    <w:rsid w:val="006B68C7"/>
    <w:rsid w:val="006B6943"/>
    <w:rsid w:val="006B6A71"/>
    <w:rsid w:val="006B6C94"/>
    <w:rsid w:val="006B6CF6"/>
    <w:rsid w:val="006B6EA7"/>
    <w:rsid w:val="006B707F"/>
    <w:rsid w:val="006B7301"/>
    <w:rsid w:val="006B730C"/>
    <w:rsid w:val="006B7369"/>
    <w:rsid w:val="006B7392"/>
    <w:rsid w:val="006B76F4"/>
    <w:rsid w:val="006B7875"/>
    <w:rsid w:val="006B78A1"/>
    <w:rsid w:val="006B79D9"/>
    <w:rsid w:val="006B7C08"/>
    <w:rsid w:val="006B7C9F"/>
    <w:rsid w:val="006B7D9A"/>
    <w:rsid w:val="006B7F0B"/>
    <w:rsid w:val="006B7F65"/>
    <w:rsid w:val="006B7F84"/>
    <w:rsid w:val="006C0140"/>
    <w:rsid w:val="006C01BE"/>
    <w:rsid w:val="006C0456"/>
    <w:rsid w:val="006C0642"/>
    <w:rsid w:val="006C0665"/>
    <w:rsid w:val="006C06A5"/>
    <w:rsid w:val="006C0773"/>
    <w:rsid w:val="006C0982"/>
    <w:rsid w:val="006C0ABB"/>
    <w:rsid w:val="006C0BEA"/>
    <w:rsid w:val="006C0C1A"/>
    <w:rsid w:val="006C0CAA"/>
    <w:rsid w:val="006C0D99"/>
    <w:rsid w:val="006C0EC6"/>
    <w:rsid w:val="006C0F7C"/>
    <w:rsid w:val="006C1159"/>
    <w:rsid w:val="006C14F1"/>
    <w:rsid w:val="006C1627"/>
    <w:rsid w:val="006C1697"/>
    <w:rsid w:val="006C1ACB"/>
    <w:rsid w:val="006C1E34"/>
    <w:rsid w:val="006C1EE6"/>
    <w:rsid w:val="006C2185"/>
    <w:rsid w:val="006C2187"/>
    <w:rsid w:val="006C2429"/>
    <w:rsid w:val="006C2933"/>
    <w:rsid w:val="006C2967"/>
    <w:rsid w:val="006C2C6C"/>
    <w:rsid w:val="006C2E4A"/>
    <w:rsid w:val="006C2E5A"/>
    <w:rsid w:val="006C2FD9"/>
    <w:rsid w:val="006C31D2"/>
    <w:rsid w:val="006C323A"/>
    <w:rsid w:val="006C347B"/>
    <w:rsid w:val="006C371B"/>
    <w:rsid w:val="006C3834"/>
    <w:rsid w:val="006C3D76"/>
    <w:rsid w:val="006C40C8"/>
    <w:rsid w:val="006C45AF"/>
    <w:rsid w:val="006C460B"/>
    <w:rsid w:val="006C48A9"/>
    <w:rsid w:val="006C4A39"/>
    <w:rsid w:val="006C4A54"/>
    <w:rsid w:val="006C4AF5"/>
    <w:rsid w:val="006C4B93"/>
    <w:rsid w:val="006C4CFD"/>
    <w:rsid w:val="006C4D8B"/>
    <w:rsid w:val="006C4DF4"/>
    <w:rsid w:val="006C5723"/>
    <w:rsid w:val="006C5731"/>
    <w:rsid w:val="006C59E3"/>
    <w:rsid w:val="006C5A40"/>
    <w:rsid w:val="006C5A9D"/>
    <w:rsid w:val="006C5D2D"/>
    <w:rsid w:val="006C5D44"/>
    <w:rsid w:val="006C5E1E"/>
    <w:rsid w:val="006C5E39"/>
    <w:rsid w:val="006C5E74"/>
    <w:rsid w:val="006C6049"/>
    <w:rsid w:val="006C60F5"/>
    <w:rsid w:val="006C615B"/>
    <w:rsid w:val="006C618A"/>
    <w:rsid w:val="006C61ED"/>
    <w:rsid w:val="006C62BF"/>
    <w:rsid w:val="006C62C1"/>
    <w:rsid w:val="006C634B"/>
    <w:rsid w:val="006C63B6"/>
    <w:rsid w:val="006C645A"/>
    <w:rsid w:val="006C6532"/>
    <w:rsid w:val="006C665F"/>
    <w:rsid w:val="006C6929"/>
    <w:rsid w:val="006C6B64"/>
    <w:rsid w:val="006C6D1A"/>
    <w:rsid w:val="006C6F21"/>
    <w:rsid w:val="006C701F"/>
    <w:rsid w:val="006C7092"/>
    <w:rsid w:val="006C7305"/>
    <w:rsid w:val="006C7376"/>
    <w:rsid w:val="006C74AA"/>
    <w:rsid w:val="006C75D7"/>
    <w:rsid w:val="006C7712"/>
    <w:rsid w:val="006C7A77"/>
    <w:rsid w:val="006C7B96"/>
    <w:rsid w:val="006C7DCE"/>
    <w:rsid w:val="006C7E1D"/>
    <w:rsid w:val="006C7EA6"/>
    <w:rsid w:val="006C7F43"/>
    <w:rsid w:val="006C7FC5"/>
    <w:rsid w:val="006C7FD0"/>
    <w:rsid w:val="006D02C0"/>
    <w:rsid w:val="006D02E2"/>
    <w:rsid w:val="006D0327"/>
    <w:rsid w:val="006D061C"/>
    <w:rsid w:val="006D061E"/>
    <w:rsid w:val="006D0A7D"/>
    <w:rsid w:val="006D0C02"/>
    <w:rsid w:val="006D0C65"/>
    <w:rsid w:val="006D0D5A"/>
    <w:rsid w:val="006D10E3"/>
    <w:rsid w:val="006D126E"/>
    <w:rsid w:val="006D1283"/>
    <w:rsid w:val="006D12F5"/>
    <w:rsid w:val="006D13B9"/>
    <w:rsid w:val="006D170C"/>
    <w:rsid w:val="006D171A"/>
    <w:rsid w:val="006D1740"/>
    <w:rsid w:val="006D19E0"/>
    <w:rsid w:val="006D19E3"/>
    <w:rsid w:val="006D1BA4"/>
    <w:rsid w:val="006D1ED0"/>
    <w:rsid w:val="006D1FEA"/>
    <w:rsid w:val="006D20A5"/>
    <w:rsid w:val="006D2508"/>
    <w:rsid w:val="006D2676"/>
    <w:rsid w:val="006D2802"/>
    <w:rsid w:val="006D2A97"/>
    <w:rsid w:val="006D2CFB"/>
    <w:rsid w:val="006D2D99"/>
    <w:rsid w:val="006D2F58"/>
    <w:rsid w:val="006D2F5E"/>
    <w:rsid w:val="006D2F61"/>
    <w:rsid w:val="006D3092"/>
    <w:rsid w:val="006D3218"/>
    <w:rsid w:val="006D329B"/>
    <w:rsid w:val="006D3644"/>
    <w:rsid w:val="006D3736"/>
    <w:rsid w:val="006D3BF6"/>
    <w:rsid w:val="006D3D5E"/>
    <w:rsid w:val="006D3D72"/>
    <w:rsid w:val="006D4096"/>
    <w:rsid w:val="006D4227"/>
    <w:rsid w:val="006D42E9"/>
    <w:rsid w:val="006D438B"/>
    <w:rsid w:val="006D4390"/>
    <w:rsid w:val="006D4430"/>
    <w:rsid w:val="006D44A2"/>
    <w:rsid w:val="006D45A6"/>
    <w:rsid w:val="006D4628"/>
    <w:rsid w:val="006D463E"/>
    <w:rsid w:val="006D46A6"/>
    <w:rsid w:val="006D47D0"/>
    <w:rsid w:val="006D47D3"/>
    <w:rsid w:val="006D4963"/>
    <w:rsid w:val="006D49FE"/>
    <w:rsid w:val="006D4AFD"/>
    <w:rsid w:val="006D4EB9"/>
    <w:rsid w:val="006D4FFC"/>
    <w:rsid w:val="006D5167"/>
    <w:rsid w:val="006D5435"/>
    <w:rsid w:val="006D557E"/>
    <w:rsid w:val="006D5584"/>
    <w:rsid w:val="006D563E"/>
    <w:rsid w:val="006D56BD"/>
    <w:rsid w:val="006D5A6B"/>
    <w:rsid w:val="006D5A98"/>
    <w:rsid w:val="006D5BC0"/>
    <w:rsid w:val="006D5C5E"/>
    <w:rsid w:val="006D5C63"/>
    <w:rsid w:val="006D5C81"/>
    <w:rsid w:val="006D5CC7"/>
    <w:rsid w:val="006D5CD7"/>
    <w:rsid w:val="006D5FCB"/>
    <w:rsid w:val="006D6023"/>
    <w:rsid w:val="006D61C9"/>
    <w:rsid w:val="006D632C"/>
    <w:rsid w:val="006D63A0"/>
    <w:rsid w:val="006D63FC"/>
    <w:rsid w:val="006D6422"/>
    <w:rsid w:val="006D66A5"/>
    <w:rsid w:val="006D671C"/>
    <w:rsid w:val="006D673F"/>
    <w:rsid w:val="006D67A4"/>
    <w:rsid w:val="006D689C"/>
    <w:rsid w:val="006D692A"/>
    <w:rsid w:val="006D6A6F"/>
    <w:rsid w:val="006D6D09"/>
    <w:rsid w:val="006D6D2C"/>
    <w:rsid w:val="006D6ECF"/>
    <w:rsid w:val="006D6EED"/>
    <w:rsid w:val="006D7108"/>
    <w:rsid w:val="006D725A"/>
    <w:rsid w:val="006D788D"/>
    <w:rsid w:val="006D78FC"/>
    <w:rsid w:val="006D7A16"/>
    <w:rsid w:val="006D7A48"/>
    <w:rsid w:val="006D7A86"/>
    <w:rsid w:val="006D7C43"/>
    <w:rsid w:val="006D7C7A"/>
    <w:rsid w:val="006D7CA0"/>
    <w:rsid w:val="006D7CB1"/>
    <w:rsid w:val="006D7D81"/>
    <w:rsid w:val="006D7F5B"/>
    <w:rsid w:val="006D7FFA"/>
    <w:rsid w:val="006E0154"/>
    <w:rsid w:val="006E0252"/>
    <w:rsid w:val="006E047D"/>
    <w:rsid w:val="006E056E"/>
    <w:rsid w:val="006E075B"/>
    <w:rsid w:val="006E087F"/>
    <w:rsid w:val="006E09AB"/>
    <w:rsid w:val="006E0B06"/>
    <w:rsid w:val="006E0B9B"/>
    <w:rsid w:val="006E0E19"/>
    <w:rsid w:val="006E0E24"/>
    <w:rsid w:val="006E0F30"/>
    <w:rsid w:val="006E12AB"/>
    <w:rsid w:val="006E1419"/>
    <w:rsid w:val="006E1713"/>
    <w:rsid w:val="006E17C6"/>
    <w:rsid w:val="006E1A7E"/>
    <w:rsid w:val="006E1C30"/>
    <w:rsid w:val="006E2051"/>
    <w:rsid w:val="006E2238"/>
    <w:rsid w:val="006E227C"/>
    <w:rsid w:val="006E22C0"/>
    <w:rsid w:val="006E23A0"/>
    <w:rsid w:val="006E23A7"/>
    <w:rsid w:val="006E2563"/>
    <w:rsid w:val="006E257D"/>
    <w:rsid w:val="006E264D"/>
    <w:rsid w:val="006E266E"/>
    <w:rsid w:val="006E2676"/>
    <w:rsid w:val="006E27C9"/>
    <w:rsid w:val="006E29F1"/>
    <w:rsid w:val="006E2A29"/>
    <w:rsid w:val="006E2A69"/>
    <w:rsid w:val="006E2D1F"/>
    <w:rsid w:val="006E2D62"/>
    <w:rsid w:val="006E3126"/>
    <w:rsid w:val="006E3251"/>
    <w:rsid w:val="006E326C"/>
    <w:rsid w:val="006E3318"/>
    <w:rsid w:val="006E333E"/>
    <w:rsid w:val="006E33B4"/>
    <w:rsid w:val="006E34B3"/>
    <w:rsid w:val="006E35F7"/>
    <w:rsid w:val="006E37A6"/>
    <w:rsid w:val="006E39C5"/>
    <w:rsid w:val="006E3ADB"/>
    <w:rsid w:val="006E3D79"/>
    <w:rsid w:val="006E422F"/>
    <w:rsid w:val="006E4231"/>
    <w:rsid w:val="006E42AE"/>
    <w:rsid w:val="006E42CD"/>
    <w:rsid w:val="006E4709"/>
    <w:rsid w:val="006E475A"/>
    <w:rsid w:val="006E4832"/>
    <w:rsid w:val="006E48FA"/>
    <w:rsid w:val="006E4AE9"/>
    <w:rsid w:val="006E4E80"/>
    <w:rsid w:val="006E4F3C"/>
    <w:rsid w:val="006E51B6"/>
    <w:rsid w:val="006E5427"/>
    <w:rsid w:val="006E54F2"/>
    <w:rsid w:val="006E56DD"/>
    <w:rsid w:val="006E5831"/>
    <w:rsid w:val="006E5A2A"/>
    <w:rsid w:val="006E5ADD"/>
    <w:rsid w:val="006E5D72"/>
    <w:rsid w:val="006E5F8E"/>
    <w:rsid w:val="006E5FC4"/>
    <w:rsid w:val="006E5FF0"/>
    <w:rsid w:val="006E612F"/>
    <w:rsid w:val="006E613E"/>
    <w:rsid w:val="006E6168"/>
    <w:rsid w:val="006E665C"/>
    <w:rsid w:val="006E67B2"/>
    <w:rsid w:val="006E6849"/>
    <w:rsid w:val="006E6B6C"/>
    <w:rsid w:val="006E6C9D"/>
    <w:rsid w:val="006E6F82"/>
    <w:rsid w:val="006E6FA6"/>
    <w:rsid w:val="006E6FB0"/>
    <w:rsid w:val="006E714C"/>
    <w:rsid w:val="006E71F2"/>
    <w:rsid w:val="006E7264"/>
    <w:rsid w:val="006E75FD"/>
    <w:rsid w:val="006E79F0"/>
    <w:rsid w:val="006E7A35"/>
    <w:rsid w:val="006E7ABB"/>
    <w:rsid w:val="006E7C3A"/>
    <w:rsid w:val="006E7CCA"/>
    <w:rsid w:val="006E7E48"/>
    <w:rsid w:val="006E7EF3"/>
    <w:rsid w:val="006E7FF3"/>
    <w:rsid w:val="006F0183"/>
    <w:rsid w:val="006F03C6"/>
    <w:rsid w:val="006F0429"/>
    <w:rsid w:val="006F06A3"/>
    <w:rsid w:val="006F07FD"/>
    <w:rsid w:val="006F090A"/>
    <w:rsid w:val="006F0930"/>
    <w:rsid w:val="006F0C1F"/>
    <w:rsid w:val="006F103F"/>
    <w:rsid w:val="006F1192"/>
    <w:rsid w:val="006F1499"/>
    <w:rsid w:val="006F15E0"/>
    <w:rsid w:val="006F15EF"/>
    <w:rsid w:val="006F17ED"/>
    <w:rsid w:val="006F1807"/>
    <w:rsid w:val="006F195C"/>
    <w:rsid w:val="006F1CAA"/>
    <w:rsid w:val="006F1E0D"/>
    <w:rsid w:val="006F1F7C"/>
    <w:rsid w:val="006F214C"/>
    <w:rsid w:val="006F2168"/>
    <w:rsid w:val="006F27D5"/>
    <w:rsid w:val="006F2924"/>
    <w:rsid w:val="006F29FB"/>
    <w:rsid w:val="006F2A8B"/>
    <w:rsid w:val="006F2C85"/>
    <w:rsid w:val="006F2E58"/>
    <w:rsid w:val="006F300E"/>
    <w:rsid w:val="006F3011"/>
    <w:rsid w:val="006F3119"/>
    <w:rsid w:val="006F3215"/>
    <w:rsid w:val="006F3252"/>
    <w:rsid w:val="006F331B"/>
    <w:rsid w:val="006F3415"/>
    <w:rsid w:val="006F3498"/>
    <w:rsid w:val="006F34AE"/>
    <w:rsid w:val="006F351D"/>
    <w:rsid w:val="006F364D"/>
    <w:rsid w:val="006F37CF"/>
    <w:rsid w:val="006F393E"/>
    <w:rsid w:val="006F3A2D"/>
    <w:rsid w:val="006F3AD8"/>
    <w:rsid w:val="006F3BE4"/>
    <w:rsid w:val="006F3D37"/>
    <w:rsid w:val="006F3F6B"/>
    <w:rsid w:val="006F424A"/>
    <w:rsid w:val="006F4581"/>
    <w:rsid w:val="006F4688"/>
    <w:rsid w:val="006F4739"/>
    <w:rsid w:val="006F4936"/>
    <w:rsid w:val="006F4A51"/>
    <w:rsid w:val="006F4ABE"/>
    <w:rsid w:val="006F4AF1"/>
    <w:rsid w:val="006F4BC1"/>
    <w:rsid w:val="006F4E8A"/>
    <w:rsid w:val="006F4FB6"/>
    <w:rsid w:val="006F552C"/>
    <w:rsid w:val="006F56E6"/>
    <w:rsid w:val="006F5767"/>
    <w:rsid w:val="006F5788"/>
    <w:rsid w:val="006F585B"/>
    <w:rsid w:val="006F58A0"/>
    <w:rsid w:val="006F59D3"/>
    <w:rsid w:val="006F5CC1"/>
    <w:rsid w:val="006F5D3C"/>
    <w:rsid w:val="006F604D"/>
    <w:rsid w:val="006F6058"/>
    <w:rsid w:val="006F608C"/>
    <w:rsid w:val="006F60A6"/>
    <w:rsid w:val="006F6351"/>
    <w:rsid w:val="006F6389"/>
    <w:rsid w:val="006F63BE"/>
    <w:rsid w:val="006F63EC"/>
    <w:rsid w:val="006F63FA"/>
    <w:rsid w:val="006F6443"/>
    <w:rsid w:val="006F6453"/>
    <w:rsid w:val="006F6533"/>
    <w:rsid w:val="006F6762"/>
    <w:rsid w:val="006F6830"/>
    <w:rsid w:val="006F68F3"/>
    <w:rsid w:val="006F6ABE"/>
    <w:rsid w:val="006F6CD6"/>
    <w:rsid w:val="006F6D48"/>
    <w:rsid w:val="006F6DF1"/>
    <w:rsid w:val="006F6E12"/>
    <w:rsid w:val="006F6FFF"/>
    <w:rsid w:val="006F7069"/>
    <w:rsid w:val="006F717A"/>
    <w:rsid w:val="006F7440"/>
    <w:rsid w:val="006F79B8"/>
    <w:rsid w:val="006F79BE"/>
    <w:rsid w:val="006F7B28"/>
    <w:rsid w:val="006F7B2A"/>
    <w:rsid w:val="006F7CAF"/>
    <w:rsid w:val="006F7CCA"/>
    <w:rsid w:val="006F7D3E"/>
    <w:rsid w:val="006F7EED"/>
    <w:rsid w:val="007001DC"/>
    <w:rsid w:val="0070021C"/>
    <w:rsid w:val="00700378"/>
    <w:rsid w:val="00700400"/>
    <w:rsid w:val="00700716"/>
    <w:rsid w:val="007007C3"/>
    <w:rsid w:val="007007D3"/>
    <w:rsid w:val="00700918"/>
    <w:rsid w:val="00700974"/>
    <w:rsid w:val="007009E3"/>
    <w:rsid w:val="00700BAE"/>
    <w:rsid w:val="00700C66"/>
    <w:rsid w:val="00700CD6"/>
    <w:rsid w:val="00700D5B"/>
    <w:rsid w:val="00700DEE"/>
    <w:rsid w:val="007011CF"/>
    <w:rsid w:val="007015FF"/>
    <w:rsid w:val="00701825"/>
    <w:rsid w:val="0070190D"/>
    <w:rsid w:val="00701A83"/>
    <w:rsid w:val="00701BCC"/>
    <w:rsid w:val="00701C15"/>
    <w:rsid w:val="00701DA5"/>
    <w:rsid w:val="00701DBE"/>
    <w:rsid w:val="00701DF1"/>
    <w:rsid w:val="00701E0F"/>
    <w:rsid w:val="00701E58"/>
    <w:rsid w:val="0070204C"/>
    <w:rsid w:val="0070209A"/>
    <w:rsid w:val="0070231A"/>
    <w:rsid w:val="007023B5"/>
    <w:rsid w:val="00702417"/>
    <w:rsid w:val="00702531"/>
    <w:rsid w:val="00702854"/>
    <w:rsid w:val="00702882"/>
    <w:rsid w:val="00702938"/>
    <w:rsid w:val="00702995"/>
    <w:rsid w:val="007029B4"/>
    <w:rsid w:val="00702C48"/>
    <w:rsid w:val="00702CAD"/>
    <w:rsid w:val="00702CE8"/>
    <w:rsid w:val="007035A3"/>
    <w:rsid w:val="00703667"/>
    <w:rsid w:val="007036B4"/>
    <w:rsid w:val="007037E1"/>
    <w:rsid w:val="00703815"/>
    <w:rsid w:val="00703979"/>
    <w:rsid w:val="00703C4D"/>
    <w:rsid w:val="00703DD7"/>
    <w:rsid w:val="0070407D"/>
    <w:rsid w:val="007040D4"/>
    <w:rsid w:val="0070420C"/>
    <w:rsid w:val="00704430"/>
    <w:rsid w:val="007044AE"/>
    <w:rsid w:val="007047D6"/>
    <w:rsid w:val="00704832"/>
    <w:rsid w:val="0070489F"/>
    <w:rsid w:val="007048E3"/>
    <w:rsid w:val="00704A13"/>
    <w:rsid w:val="00704B13"/>
    <w:rsid w:val="00704B3C"/>
    <w:rsid w:val="00704BA3"/>
    <w:rsid w:val="00704BF9"/>
    <w:rsid w:val="0070506D"/>
    <w:rsid w:val="007050A8"/>
    <w:rsid w:val="00705264"/>
    <w:rsid w:val="00705290"/>
    <w:rsid w:val="00705326"/>
    <w:rsid w:val="00705372"/>
    <w:rsid w:val="00705638"/>
    <w:rsid w:val="0070567B"/>
    <w:rsid w:val="0070569C"/>
    <w:rsid w:val="0070585D"/>
    <w:rsid w:val="00705874"/>
    <w:rsid w:val="00705881"/>
    <w:rsid w:val="007058A6"/>
    <w:rsid w:val="0070598E"/>
    <w:rsid w:val="00705B86"/>
    <w:rsid w:val="00705D38"/>
    <w:rsid w:val="00705EF6"/>
    <w:rsid w:val="00705FA3"/>
    <w:rsid w:val="00706325"/>
    <w:rsid w:val="00706844"/>
    <w:rsid w:val="00706AA4"/>
    <w:rsid w:val="00706B21"/>
    <w:rsid w:val="00706C99"/>
    <w:rsid w:val="00706CD2"/>
    <w:rsid w:val="00706D6E"/>
    <w:rsid w:val="0070750E"/>
    <w:rsid w:val="00707648"/>
    <w:rsid w:val="0070787D"/>
    <w:rsid w:val="00707A27"/>
    <w:rsid w:val="00707B3C"/>
    <w:rsid w:val="00710285"/>
    <w:rsid w:val="007102D7"/>
    <w:rsid w:val="0071041F"/>
    <w:rsid w:val="007105D5"/>
    <w:rsid w:val="00710C35"/>
    <w:rsid w:val="00710D17"/>
    <w:rsid w:val="00711089"/>
    <w:rsid w:val="00711155"/>
    <w:rsid w:val="00711162"/>
    <w:rsid w:val="0071117B"/>
    <w:rsid w:val="00711304"/>
    <w:rsid w:val="00711307"/>
    <w:rsid w:val="007113AD"/>
    <w:rsid w:val="007115E0"/>
    <w:rsid w:val="0071165D"/>
    <w:rsid w:val="0071168A"/>
    <w:rsid w:val="007118EB"/>
    <w:rsid w:val="00711ABF"/>
    <w:rsid w:val="00711AF4"/>
    <w:rsid w:val="00711B59"/>
    <w:rsid w:val="00712227"/>
    <w:rsid w:val="0071230A"/>
    <w:rsid w:val="00712337"/>
    <w:rsid w:val="007125CA"/>
    <w:rsid w:val="007127AE"/>
    <w:rsid w:val="007128C6"/>
    <w:rsid w:val="007129B5"/>
    <w:rsid w:val="00712A15"/>
    <w:rsid w:val="00712B98"/>
    <w:rsid w:val="00712C39"/>
    <w:rsid w:val="00712E4A"/>
    <w:rsid w:val="00712EEE"/>
    <w:rsid w:val="00712F1C"/>
    <w:rsid w:val="00712FCA"/>
    <w:rsid w:val="0071301D"/>
    <w:rsid w:val="00713195"/>
    <w:rsid w:val="00713683"/>
    <w:rsid w:val="00713AA1"/>
    <w:rsid w:val="00713CDA"/>
    <w:rsid w:val="00713E92"/>
    <w:rsid w:val="00713F00"/>
    <w:rsid w:val="007142D5"/>
    <w:rsid w:val="00714343"/>
    <w:rsid w:val="00714419"/>
    <w:rsid w:val="0071465A"/>
    <w:rsid w:val="007146BB"/>
    <w:rsid w:val="007147E3"/>
    <w:rsid w:val="007148C2"/>
    <w:rsid w:val="00714AC2"/>
    <w:rsid w:val="00714C6E"/>
    <w:rsid w:val="00714CAA"/>
    <w:rsid w:val="00714CE4"/>
    <w:rsid w:val="00714D46"/>
    <w:rsid w:val="00714D53"/>
    <w:rsid w:val="00714DC9"/>
    <w:rsid w:val="00714E58"/>
    <w:rsid w:val="00714FD3"/>
    <w:rsid w:val="00715163"/>
    <w:rsid w:val="007152DE"/>
    <w:rsid w:val="007152EB"/>
    <w:rsid w:val="007154CC"/>
    <w:rsid w:val="00715525"/>
    <w:rsid w:val="00715656"/>
    <w:rsid w:val="007156BA"/>
    <w:rsid w:val="0071582C"/>
    <w:rsid w:val="00715B81"/>
    <w:rsid w:val="00715D17"/>
    <w:rsid w:val="00715DAC"/>
    <w:rsid w:val="00715DF0"/>
    <w:rsid w:val="00715ED1"/>
    <w:rsid w:val="007160D2"/>
    <w:rsid w:val="007162C9"/>
    <w:rsid w:val="00716539"/>
    <w:rsid w:val="00716733"/>
    <w:rsid w:val="00716A7A"/>
    <w:rsid w:val="00716C92"/>
    <w:rsid w:val="007175D4"/>
    <w:rsid w:val="0071763B"/>
    <w:rsid w:val="00717785"/>
    <w:rsid w:val="007177B1"/>
    <w:rsid w:val="0071784D"/>
    <w:rsid w:val="007178FB"/>
    <w:rsid w:val="0071791F"/>
    <w:rsid w:val="00717986"/>
    <w:rsid w:val="007179EC"/>
    <w:rsid w:val="00717AF9"/>
    <w:rsid w:val="00717C97"/>
    <w:rsid w:val="00720501"/>
    <w:rsid w:val="007207E5"/>
    <w:rsid w:val="0072090F"/>
    <w:rsid w:val="00720AC3"/>
    <w:rsid w:val="00720CC4"/>
    <w:rsid w:val="00720F04"/>
    <w:rsid w:val="00720FF2"/>
    <w:rsid w:val="00721136"/>
    <w:rsid w:val="0072117A"/>
    <w:rsid w:val="007211B7"/>
    <w:rsid w:val="007211D3"/>
    <w:rsid w:val="00721419"/>
    <w:rsid w:val="007214B8"/>
    <w:rsid w:val="007214BE"/>
    <w:rsid w:val="00721570"/>
    <w:rsid w:val="0072168F"/>
    <w:rsid w:val="00721781"/>
    <w:rsid w:val="0072179D"/>
    <w:rsid w:val="00721924"/>
    <w:rsid w:val="00721A23"/>
    <w:rsid w:val="00721AF6"/>
    <w:rsid w:val="00721B5C"/>
    <w:rsid w:val="00721C01"/>
    <w:rsid w:val="00721E30"/>
    <w:rsid w:val="00722140"/>
    <w:rsid w:val="00722179"/>
    <w:rsid w:val="0072221F"/>
    <w:rsid w:val="007224AC"/>
    <w:rsid w:val="0072264D"/>
    <w:rsid w:val="0072266D"/>
    <w:rsid w:val="007226C6"/>
    <w:rsid w:val="007226D9"/>
    <w:rsid w:val="00722A20"/>
    <w:rsid w:val="00722ACE"/>
    <w:rsid w:val="00722AF7"/>
    <w:rsid w:val="00722B46"/>
    <w:rsid w:val="00722D00"/>
    <w:rsid w:val="00723004"/>
    <w:rsid w:val="0072305D"/>
    <w:rsid w:val="00723120"/>
    <w:rsid w:val="0072317D"/>
    <w:rsid w:val="0072320A"/>
    <w:rsid w:val="007235D5"/>
    <w:rsid w:val="007235E3"/>
    <w:rsid w:val="00723625"/>
    <w:rsid w:val="0072367A"/>
    <w:rsid w:val="0072376A"/>
    <w:rsid w:val="00723848"/>
    <w:rsid w:val="007239BA"/>
    <w:rsid w:val="00723A18"/>
    <w:rsid w:val="00723D6A"/>
    <w:rsid w:val="00723DDF"/>
    <w:rsid w:val="00723EEB"/>
    <w:rsid w:val="00724069"/>
    <w:rsid w:val="00724261"/>
    <w:rsid w:val="00724284"/>
    <w:rsid w:val="007242ED"/>
    <w:rsid w:val="00724338"/>
    <w:rsid w:val="007243D1"/>
    <w:rsid w:val="007244EC"/>
    <w:rsid w:val="00724620"/>
    <w:rsid w:val="00724734"/>
    <w:rsid w:val="007248A2"/>
    <w:rsid w:val="00724A1B"/>
    <w:rsid w:val="00724B52"/>
    <w:rsid w:val="00724B7D"/>
    <w:rsid w:val="00724B97"/>
    <w:rsid w:val="00724CDB"/>
    <w:rsid w:val="00724D50"/>
    <w:rsid w:val="00724E70"/>
    <w:rsid w:val="00724EF6"/>
    <w:rsid w:val="00725314"/>
    <w:rsid w:val="007253A5"/>
    <w:rsid w:val="007255F0"/>
    <w:rsid w:val="00725633"/>
    <w:rsid w:val="007258FD"/>
    <w:rsid w:val="00725A38"/>
    <w:rsid w:val="00725CDB"/>
    <w:rsid w:val="00725D1D"/>
    <w:rsid w:val="00725DD0"/>
    <w:rsid w:val="00725E36"/>
    <w:rsid w:val="00725E75"/>
    <w:rsid w:val="00725EE3"/>
    <w:rsid w:val="00725F4E"/>
    <w:rsid w:val="00725FA2"/>
    <w:rsid w:val="007260C1"/>
    <w:rsid w:val="00726190"/>
    <w:rsid w:val="0072623D"/>
    <w:rsid w:val="00726324"/>
    <w:rsid w:val="0072672F"/>
    <w:rsid w:val="0072673D"/>
    <w:rsid w:val="00726868"/>
    <w:rsid w:val="007268C2"/>
    <w:rsid w:val="00726A3C"/>
    <w:rsid w:val="00726ADD"/>
    <w:rsid w:val="00726C07"/>
    <w:rsid w:val="00726F35"/>
    <w:rsid w:val="00727040"/>
    <w:rsid w:val="007271AD"/>
    <w:rsid w:val="00727253"/>
    <w:rsid w:val="00727348"/>
    <w:rsid w:val="00727C0E"/>
    <w:rsid w:val="00727C69"/>
    <w:rsid w:val="00727DFB"/>
    <w:rsid w:val="00727F5C"/>
    <w:rsid w:val="007301B5"/>
    <w:rsid w:val="00730298"/>
    <w:rsid w:val="007303C5"/>
    <w:rsid w:val="007305D5"/>
    <w:rsid w:val="00730676"/>
    <w:rsid w:val="007309D7"/>
    <w:rsid w:val="00730DBF"/>
    <w:rsid w:val="00730ECB"/>
    <w:rsid w:val="00730F64"/>
    <w:rsid w:val="00731084"/>
    <w:rsid w:val="00731094"/>
    <w:rsid w:val="007312BC"/>
    <w:rsid w:val="0073143F"/>
    <w:rsid w:val="00731551"/>
    <w:rsid w:val="00731718"/>
    <w:rsid w:val="00731788"/>
    <w:rsid w:val="0073190B"/>
    <w:rsid w:val="00731AC6"/>
    <w:rsid w:val="00731B46"/>
    <w:rsid w:val="00731B84"/>
    <w:rsid w:val="00731C6F"/>
    <w:rsid w:val="00731E0C"/>
    <w:rsid w:val="00731EE0"/>
    <w:rsid w:val="007320B5"/>
    <w:rsid w:val="007320E9"/>
    <w:rsid w:val="007322B4"/>
    <w:rsid w:val="0073290E"/>
    <w:rsid w:val="00732955"/>
    <w:rsid w:val="00732AF3"/>
    <w:rsid w:val="00732AFC"/>
    <w:rsid w:val="00732E4D"/>
    <w:rsid w:val="00732FB5"/>
    <w:rsid w:val="00732FDB"/>
    <w:rsid w:val="0073307F"/>
    <w:rsid w:val="00733098"/>
    <w:rsid w:val="0073332A"/>
    <w:rsid w:val="00733728"/>
    <w:rsid w:val="00733B57"/>
    <w:rsid w:val="00733BBA"/>
    <w:rsid w:val="00733BDF"/>
    <w:rsid w:val="00733E35"/>
    <w:rsid w:val="00733F32"/>
    <w:rsid w:val="00734198"/>
    <w:rsid w:val="007343F8"/>
    <w:rsid w:val="007347C0"/>
    <w:rsid w:val="00734992"/>
    <w:rsid w:val="00734B99"/>
    <w:rsid w:val="00734C8E"/>
    <w:rsid w:val="00734D13"/>
    <w:rsid w:val="00734F95"/>
    <w:rsid w:val="00734FF5"/>
    <w:rsid w:val="00735003"/>
    <w:rsid w:val="007351BB"/>
    <w:rsid w:val="007353B3"/>
    <w:rsid w:val="0073541E"/>
    <w:rsid w:val="00735582"/>
    <w:rsid w:val="00735586"/>
    <w:rsid w:val="007358A2"/>
    <w:rsid w:val="007358E6"/>
    <w:rsid w:val="00735D55"/>
    <w:rsid w:val="00735EC7"/>
    <w:rsid w:val="00736010"/>
    <w:rsid w:val="00736033"/>
    <w:rsid w:val="0073630D"/>
    <w:rsid w:val="007364EF"/>
    <w:rsid w:val="00736B16"/>
    <w:rsid w:val="00737320"/>
    <w:rsid w:val="00737441"/>
    <w:rsid w:val="007376AE"/>
    <w:rsid w:val="007376B2"/>
    <w:rsid w:val="007377D2"/>
    <w:rsid w:val="00737800"/>
    <w:rsid w:val="00737BF6"/>
    <w:rsid w:val="00737E66"/>
    <w:rsid w:val="00737EC2"/>
    <w:rsid w:val="007402F5"/>
    <w:rsid w:val="00740565"/>
    <w:rsid w:val="007406AE"/>
    <w:rsid w:val="007407E6"/>
    <w:rsid w:val="0074088E"/>
    <w:rsid w:val="00740DA8"/>
    <w:rsid w:val="00740E25"/>
    <w:rsid w:val="00740FC3"/>
    <w:rsid w:val="007410FB"/>
    <w:rsid w:val="007412FB"/>
    <w:rsid w:val="007413A8"/>
    <w:rsid w:val="007414DD"/>
    <w:rsid w:val="00741659"/>
    <w:rsid w:val="007417C4"/>
    <w:rsid w:val="007417FB"/>
    <w:rsid w:val="00741936"/>
    <w:rsid w:val="0074195E"/>
    <w:rsid w:val="00741B37"/>
    <w:rsid w:val="00741D04"/>
    <w:rsid w:val="00741D33"/>
    <w:rsid w:val="00741DBE"/>
    <w:rsid w:val="00741DF0"/>
    <w:rsid w:val="00741E82"/>
    <w:rsid w:val="00741E8C"/>
    <w:rsid w:val="00741EFA"/>
    <w:rsid w:val="0074205F"/>
    <w:rsid w:val="007423BB"/>
    <w:rsid w:val="00742436"/>
    <w:rsid w:val="00742542"/>
    <w:rsid w:val="00742546"/>
    <w:rsid w:val="007426C7"/>
    <w:rsid w:val="007427BF"/>
    <w:rsid w:val="00742AE9"/>
    <w:rsid w:val="00742CB1"/>
    <w:rsid w:val="00742DE9"/>
    <w:rsid w:val="00742E4C"/>
    <w:rsid w:val="007431C5"/>
    <w:rsid w:val="007435EC"/>
    <w:rsid w:val="0074384C"/>
    <w:rsid w:val="00743862"/>
    <w:rsid w:val="00743965"/>
    <w:rsid w:val="00743B27"/>
    <w:rsid w:val="007440D8"/>
    <w:rsid w:val="0074417C"/>
    <w:rsid w:val="00744200"/>
    <w:rsid w:val="00744374"/>
    <w:rsid w:val="0074452E"/>
    <w:rsid w:val="0074473D"/>
    <w:rsid w:val="00744982"/>
    <w:rsid w:val="007449A7"/>
    <w:rsid w:val="00744A0E"/>
    <w:rsid w:val="00744BAA"/>
    <w:rsid w:val="00744E69"/>
    <w:rsid w:val="00744F1B"/>
    <w:rsid w:val="00745102"/>
    <w:rsid w:val="007452EF"/>
    <w:rsid w:val="0074545A"/>
    <w:rsid w:val="007455AD"/>
    <w:rsid w:val="00745607"/>
    <w:rsid w:val="0074565F"/>
    <w:rsid w:val="0074567E"/>
    <w:rsid w:val="0074581F"/>
    <w:rsid w:val="0074598B"/>
    <w:rsid w:val="00745A2D"/>
    <w:rsid w:val="00745B2C"/>
    <w:rsid w:val="00745FD9"/>
    <w:rsid w:val="0074632F"/>
    <w:rsid w:val="0074640E"/>
    <w:rsid w:val="00746460"/>
    <w:rsid w:val="007465F4"/>
    <w:rsid w:val="00746975"/>
    <w:rsid w:val="00746B87"/>
    <w:rsid w:val="00746F4A"/>
    <w:rsid w:val="00746F86"/>
    <w:rsid w:val="00746FDC"/>
    <w:rsid w:val="007471F8"/>
    <w:rsid w:val="007473E0"/>
    <w:rsid w:val="007473EA"/>
    <w:rsid w:val="00747688"/>
    <w:rsid w:val="007476D5"/>
    <w:rsid w:val="00747815"/>
    <w:rsid w:val="007479F7"/>
    <w:rsid w:val="00747AE9"/>
    <w:rsid w:val="00747B7E"/>
    <w:rsid w:val="00747ED8"/>
    <w:rsid w:val="00747F17"/>
    <w:rsid w:val="00750044"/>
    <w:rsid w:val="00750093"/>
    <w:rsid w:val="0075010C"/>
    <w:rsid w:val="007503AA"/>
    <w:rsid w:val="007506D6"/>
    <w:rsid w:val="0075091B"/>
    <w:rsid w:val="007509C6"/>
    <w:rsid w:val="00750ADB"/>
    <w:rsid w:val="00750B1D"/>
    <w:rsid w:val="00750DF9"/>
    <w:rsid w:val="00750EBF"/>
    <w:rsid w:val="00750F2C"/>
    <w:rsid w:val="00751275"/>
    <w:rsid w:val="007512B1"/>
    <w:rsid w:val="007514BF"/>
    <w:rsid w:val="007519E5"/>
    <w:rsid w:val="00751B05"/>
    <w:rsid w:val="00751B16"/>
    <w:rsid w:val="00751E7D"/>
    <w:rsid w:val="00751F3A"/>
    <w:rsid w:val="007520E4"/>
    <w:rsid w:val="00752185"/>
    <w:rsid w:val="0075229D"/>
    <w:rsid w:val="00752629"/>
    <w:rsid w:val="007527E5"/>
    <w:rsid w:val="0075298C"/>
    <w:rsid w:val="007529C5"/>
    <w:rsid w:val="00752BB9"/>
    <w:rsid w:val="00752F39"/>
    <w:rsid w:val="00753115"/>
    <w:rsid w:val="00753132"/>
    <w:rsid w:val="00753230"/>
    <w:rsid w:val="00753283"/>
    <w:rsid w:val="0075351F"/>
    <w:rsid w:val="00753851"/>
    <w:rsid w:val="0075399B"/>
    <w:rsid w:val="007539A1"/>
    <w:rsid w:val="007539DA"/>
    <w:rsid w:val="007539F6"/>
    <w:rsid w:val="00753B6E"/>
    <w:rsid w:val="00753BE4"/>
    <w:rsid w:val="00753CE9"/>
    <w:rsid w:val="00753D49"/>
    <w:rsid w:val="00753D7C"/>
    <w:rsid w:val="00753E5C"/>
    <w:rsid w:val="0075403C"/>
    <w:rsid w:val="007540FA"/>
    <w:rsid w:val="00754116"/>
    <w:rsid w:val="00754148"/>
    <w:rsid w:val="007541E6"/>
    <w:rsid w:val="00754281"/>
    <w:rsid w:val="007542AF"/>
    <w:rsid w:val="007544EA"/>
    <w:rsid w:val="00754833"/>
    <w:rsid w:val="007548D1"/>
    <w:rsid w:val="00754AEC"/>
    <w:rsid w:val="00754AF6"/>
    <w:rsid w:val="00754DD2"/>
    <w:rsid w:val="00754FFB"/>
    <w:rsid w:val="00755168"/>
    <w:rsid w:val="007552BF"/>
    <w:rsid w:val="0075545D"/>
    <w:rsid w:val="00755658"/>
    <w:rsid w:val="00755925"/>
    <w:rsid w:val="00755A58"/>
    <w:rsid w:val="00755A6F"/>
    <w:rsid w:val="00755DEE"/>
    <w:rsid w:val="00755FB5"/>
    <w:rsid w:val="007560BA"/>
    <w:rsid w:val="00756257"/>
    <w:rsid w:val="007562EE"/>
    <w:rsid w:val="00756493"/>
    <w:rsid w:val="0075649B"/>
    <w:rsid w:val="00756534"/>
    <w:rsid w:val="00756544"/>
    <w:rsid w:val="007565B0"/>
    <w:rsid w:val="0075661A"/>
    <w:rsid w:val="007568F4"/>
    <w:rsid w:val="0075697B"/>
    <w:rsid w:val="00756DE6"/>
    <w:rsid w:val="00756E02"/>
    <w:rsid w:val="00757032"/>
    <w:rsid w:val="0075724C"/>
    <w:rsid w:val="00757253"/>
    <w:rsid w:val="0075745D"/>
    <w:rsid w:val="00757648"/>
    <w:rsid w:val="00757AC3"/>
    <w:rsid w:val="00757C16"/>
    <w:rsid w:val="00757C90"/>
    <w:rsid w:val="00757C96"/>
    <w:rsid w:val="00757CC2"/>
    <w:rsid w:val="00760272"/>
    <w:rsid w:val="007602FB"/>
    <w:rsid w:val="0076058C"/>
    <w:rsid w:val="00760892"/>
    <w:rsid w:val="00760A03"/>
    <w:rsid w:val="00760AB4"/>
    <w:rsid w:val="00760B9A"/>
    <w:rsid w:val="00760BE7"/>
    <w:rsid w:val="00760EA4"/>
    <w:rsid w:val="007610B6"/>
    <w:rsid w:val="007610DC"/>
    <w:rsid w:val="0076138C"/>
    <w:rsid w:val="007615DC"/>
    <w:rsid w:val="00761982"/>
    <w:rsid w:val="007619EA"/>
    <w:rsid w:val="00761BC3"/>
    <w:rsid w:val="00761D8F"/>
    <w:rsid w:val="00762104"/>
    <w:rsid w:val="007621EF"/>
    <w:rsid w:val="00762356"/>
    <w:rsid w:val="00762364"/>
    <w:rsid w:val="0076279E"/>
    <w:rsid w:val="00762911"/>
    <w:rsid w:val="00762A78"/>
    <w:rsid w:val="00762AD9"/>
    <w:rsid w:val="00762B02"/>
    <w:rsid w:val="00762BAF"/>
    <w:rsid w:val="00762BBC"/>
    <w:rsid w:val="00762C02"/>
    <w:rsid w:val="00762C19"/>
    <w:rsid w:val="00762C90"/>
    <w:rsid w:val="00762D59"/>
    <w:rsid w:val="00762DEE"/>
    <w:rsid w:val="00762FEF"/>
    <w:rsid w:val="007630B7"/>
    <w:rsid w:val="007633A1"/>
    <w:rsid w:val="00763525"/>
    <w:rsid w:val="0076355E"/>
    <w:rsid w:val="00763705"/>
    <w:rsid w:val="0076379E"/>
    <w:rsid w:val="007637E2"/>
    <w:rsid w:val="007638D6"/>
    <w:rsid w:val="00763B0B"/>
    <w:rsid w:val="00763BCE"/>
    <w:rsid w:val="00763C89"/>
    <w:rsid w:val="00763FE6"/>
    <w:rsid w:val="007640A6"/>
    <w:rsid w:val="007641E3"/>
    <w:rsid w:val="00764232"/>
    <w:rsid w:val="007642D2"/>
    <w:rsid w:val="00764694"/>
    <w:rsid w:val="00764703"/>
    <w:rsid w:val="00764B12"/>
    <w:rsid w:val="00764D16"/>
    <w:rsid w:val="00764DFD"/>
    <w:rsid w:val="00764E39"/>
    <w:rsid w:val="00764F92"/>
    <w:rsid w:val="0076545C"/>
    <w:rsid w:val="00765498"/>
    <w:rsid w:val="00765724"/>
    <w:rsid w:val="00765780"/>
    <w:rsid w:val="00765835"/>
    <w:rsid w:val="00765A30"/>
    <w:rsid w:val="00765D8F"/>
    <w:rsid w:val="00765EA7"/>
    <w:rsid w:val="00765F8B"/>
    <w:rsid w:val="00766130"/>
    <w:rsid w:val="00766151"/>
    <w:rsid w:val="007663FB"/>
    <w:rsid w:val="00766676"/>
    <w:rsid w:val="007666D1"/>
    <w:rsid w:val="007666DE"/>
    <w:rsid w:val="007669B8"/>
    <w:rsid w:val="00766AC6"/>
    <w:rsid w:val="00766C99"/>
    <w:rsid w:val="00766DD9"/>
    <w:rsid w:val="00766DF2"/>
    <w:rsid w:val="00766F86"/>
    <w:rsid w:val="007670C9"/>
    <w:rsid w:val="0076712B"/>
    <w:rsid w:val="00767339"/>
    <w:rsid w:val="00767468"/>
    <w:rsid w:val="007675DA"/>
    <w:rsid w:val="0076762F"/>
    <w:rsid w:val="00767AD8"/>
    <w:rsid w:val="00767C1B"/>
    <w:rsid w:val="00767DD6"/>
    <w:rsid w:val="00767F8D"/>
    <w:rsid w:val="00770211"/>
    <w:rsid w:val="00770241"/>
    <w:rsid w:val="0077049C"/>
    <w:rsid w:val="007705B5"/>
    <w:rsid w:val="00770A2B"/>
    <w:rsid w:val="00770A7F"/>
    <w:rsid w:val="00770ABC"/>
    <w:rsid w:val="00770B14"/>
    <w:rsid w:val="00770C6A"/>
    <w:rsid w:val="00770D2A"/>
    <w:rsid w:val="00770DAE"/>
    <w:rsid w:val="00770E75"/>
    <w:rsid w:val="00771094"/>
    <w:rsid w:val="00771195"/>
    <w:rsid w:val="00771467"/>
    <w:rsid w:val="00771651"/>
    <w:rsid w:val="00771827"/>
    <w:rsid w:val="0077186A"/>
    <w:rsid w:val="00771943"/>
    <w:rsid w:val="00771D5F"/>
    <w:rsid w:val="00771DC8"/>
    <w:rsid w:val="00771EE7"/>
    <w:rsid w:val="0077209D"/>
    <w:rsid w:val="00772181"/>
    <w:rsid w:val="007721A3"/>
    <w:rsid w:val="0077221B"/>
    <w:rsid w:val="00772324"/>
    <w:rsid w:val="00772556"/>
    <w:rsid w:val="00772714"/>
    <w:rsid w:val="0077272D"/>
    <w:rsid w:val="00772767"/>
    <w:rsid w:val="00772839"/>
    <w:rsid w:val="00772A57"/>
    <w:rsid w:val="0077317C"/>
    <w:rsid w:val="00773311"/>
    <w:rsid w:val="0077332B"/>
    <w:rsid w:val="00773A36"/>
    <w:rsid w:val="00773E5D"/>
    <w:rsid w:val="00773EFE"/>
    <w:rsid w:val="007741CD"/>
    <w:rsid w:val="00774204"/>
    <w:rsid w:val="007742C6"/>
    <w:rsid w:val="00774820"/>
    <w:rsid w:val="007748C6"/>
    <w:rsid w:val="007749AF"/>
    <w:rsid w:val="007749F7"/>
    <w:rsid w:val="00774FE6"/>
    <w:rsid w:val="007752F2"/>
    <w:rsid w:val="0077544D"/>
    <w:rsid w:val="007754CC"/>
    <w:rsid w:val="007755DC"/>
    <w:rsid w:val="007755E4"/>
    <w:rsid w:val="007756BE"/>
    <w:rsid w:val="007757BA"/>
    <w:rsid w:val="00775A76"/>
    <w:rsid w:val="00775C1A"/>
    <w:rsid w:val="00775D3E"/>
    <w:rsid w:val="00775D56"/>
    <w:rsid w:val="00776002"/>
    <w:rsid w:val="00776008"/>
    <w:rsid w:val="007761C1"/>
    <w:rsid w:val="007761EA"/>
    <w:rsid w:val="007763F3"/>
    <w:rsid w:val="00776666"/>
    <w:rsid w:val="007769DF"/>
    <w:rsid w:val="00776B0E"/>
    <w:rsid w:val="00776BD7"/>
    <w:rsid w:val="00776E64"/>
    <w:rsid w:val="00776E6A"/>
    <w:rsid w:val="00776EF4"/>
    <w:rsid w:val="00777249"/>
    <w:rsid w:val="007772CA"/>
    <w:rsid w:val="007774C9"/>
    <w:rsid w:val="0077755C"/>
    <w:rsid w:val="00777913"/>
    <w:rsid w:val="00777CF7"/>
    <w:rsid w:val="00777D74"/>
    <w:rsid w:val="00777EE2"/>
    <w:rsid w:val="00777F82"/>
    <w:rsid w:val="00780192"/>
    <w:rsid w:val="007803CE"/>
    <w:rsid w:val="007803F0"/>
    <w:rsid w:val="00780460"/>
    <w:rsid w:val="00780D08"/>
    <w:rsid w:val="00780F32"/>
    <w:rsid w:val="00781134"/>
    <w:rsid w:val="00781214"/>
    <w:rsid w:val="007813DE"/>
    <w:rsid w:val="007813FA"/>
    <w:rsid w:val="0078176D"/>
    <w:rsid w:val="007817D8"/>
    <w:rsid w:val="007817EE"/>
    <w:rsid w:val="00781AFC"/>
    <w:rsid w:val="00781C05"/>
    <w:rsid w:val="00781C27"/>
    <w:rsid w:val="00781D4C"/>
    <w:rsid w:val="00781EA4"/>
    <w:rsid w:val="00781FC0"/>
    <w:rsid w:val="007821FA"/>
    <w:rsid w:val="0078225D"/>
    <w:rsid w:val="007823FE"/>
    <w:rsid w:val="007826C5"/>
    <w:rsid w:val="0078292D"/>
    <w:rsid w:val="00782A3C"/>
    <w:rsid w:val="00782BBF"/>
    <w:rsid w:val="00782C08"/>
    <w:rsid w:val="00782C58"/>
    <w:rsid w:val="00782DFF"/>
    <w:rsid w:val="00782EA0"/>
    <w:rsid w:val="00782EAD"/>
    <w:rsid w:val="00783342"/>
    <w:rsid w:val="007833A2"/>
    <w:rsid w:val="007834B0"/>
    <w:rsid w:val="00783500"/>
    <w:rsid w:val="00783530"/>
    <w:rsid w:val="00783906"/>
    <w:rsid w:val="007839B7"/>
    <w:rsid w:val="007839DB"/>
    <w:rsid w:val="00783AB7"/>
    <w:rsid w:val="00783B6A"/>
    <w:rsid w:val="00783C5E"/>
    <w:rsid w:val="00783EDC"/>
    <w:rsid w:val="00784044"/>
    <w:rsid w:val="00784150"/>
    <w:rsid w:val="0078425A"/>
    <w:rsid w:val="00784348"/>
    <w:rsid w:val="00784424"/>
    <w:rsid w:val="007846D3"/>
    <w:rsid w:val="00784961"/>
    <w:rsid w:val="00784F72"/>
    <w:rsid w:val="00785157"/>
    <w:rsid w:val="007852AE"/>
    <w:rsid w:val="0078533C"/>
    <w:rsid w:val="007854D8"/>
    <w:rsid w:val="007855A6"/>
    <w:rsid w:val="007855D4"/>
    <w:rsid w:val="0078574E"/>
    <w:rsid w:val="007857A5"/>
    <w:rsid w:val="00785832"/>
    <w:rsid w:val="00785937"/>
    <w:rsid w:val="00785985"/>
    <w:rsid w:val="007859CC"/>
    <w:rsid w:val="00785B5E"/>
    <w:rsid w:val="00785D1B"/>
    <w:rsid w:val="00785EB4"/>
    <w:rsid w:val="00785F3D"/>
    <w:rsid w:val="00785F47"/>
    <w:rsid w:val="007864B4"/>
    <w:rsid w:val="00786616"/>
    <w:rsid w:val="0078662E"/>
    <w:rsid w:val="007867E5"/>
    <w:rsid w:val="00786B70"/>
    <w:rsid w:val="007870B0"/>
    <w:rsid w:val="00787183"/>
    <w:rsid w:val="00787448"/>
    <w:rsid w:val="0078760B"/>
    <w:rsid w:val="0078774A"/>
    <w:rsid w:val="00787762"/>
    <w:rsid w:val="007878C4"/>
    <w:rsid w:val="0078792A"/>
    <w:rsid w:val="00787A57"/>
    <w:rsid w:val="00787D43"/>
    <w:rsid w:val="007901D8"/>
    <w:rsid w:val="00790226"/>
    <w:rsid w:val="00790248"/>
    <w:rsid w:val="00790403"/>
    <w:rsid w:val="007904A2"/>
    <w:rsid w:val="007904B1"/>
    <w:rsid w:val="007907E2"/>
    <w:rsid w:val="00790ACA"/>
    <w:rsid w:val="00790E45"/>
    <w:rsid w:val="00791072"/>
    <w:rsid w:val="00791150"/>
    <w:rsid w:val="00791622"/>
    <w:rsid w:val="00791660"/>
    <w:rsid w:val="00791822"/>
    <w:rsid w:val="00791900"/>
    <w:rsid w:val="007919D8"/>
    <w:rsid w:val="00791A9D"/>
    <w:rsid w:val="00791BB1"/>
    <w:rsid w:val="00791C39"/>
    <w:rsid w:val="00791CD7"/>
    <w:rsid w:val="00791D75"/>
    <w:rsid w:val="00791DB6"/>
    <w:rsid w:val="00791F3A"/>
    <w:rsid w:val="007920C2"/>
    <w:rsid w:val="007921F2"/>
    <w:rsid w:val="00792237"/>
    <w:rsid w:val="007922C0"/>
    <w:rsid w:val="0079239A"/>
    <w:rsid w:val="007923E9"/>
    <w:rsid w:val="007924C0"/>
    <w:rsid w:val="0079256E"/>
    <w:rsid w:val="00792593"/>
    <w:rsid w:val="0079270C"/>
    <w:rsid w:val="00792775"/>
    <w:rsid w:val="0079290B"/>
    <w:rsid w:val="00792A3B"/>
    <w:rsid w:val="00792A7E"/>
    <w:rsid w:val="00792B06"/>
    <w:rsid w:val="00792D4D"/>
    <w:rsid w:val="00792D5A"/>
    <w:rsid w:val="00792ECF"/>
    <w:rsid w:val="00792F53"/>
    <w:rsid w:val="00793045"/>
    <w:rsid w:val="00793067"/>
    <w:rsid w:val="0079309A"/>
    <w:rsid w:val="00793107"/>
    <w:rsid w:val="007935FB"/>
    <w:rsid w:val="0079375C"/>
    <w:rsid w:val="0079392E"/>
    <w:rsid w:val="00793B0E"/>
    <w:rsid w:val="00793C11"/>
    <w:rsid w:val="00793CD8"/>
    <w:rsid w:val="00793D73"/>
    <w:rsid w:val="00794010"/>
    <w:rsid w:val="0079417E"/>
    <w:rsid w:val="00794218"/>
    <w:rsid w:val="007942C4"/>
    <w:rsid w:val="007943F2"/>
    <w:rsid w:val="00794727"/>
    <w:rsid w:val="007947F3"/>
    <w:rsid w:val="0079486D"/>
    <w:rsid w:val="00794AC9"/>
    <w:rsid w:val="00794D5B"/>
    <w:rsid w:val="00794DF6"/>
    <w:rsid w:val="00794FB5"/>
    <w:rsid w:val="00795042"/>
    <w:rsid w:val="00795055"/>
    <w:rsid w:val="007950C3"/>
    <w:rsid w:val="00795300"/>
    <w:rsid w:val="00795331"/>
    <w:rsid w:val="0079537B"/>
    <w:rsid w:val="00795462"/>
    <w:rsid w:val="007954C9"/>
    <w:rsid w:val="0079551D"/>
    <w:rsid w:val="0079557E"/>
    <w:rsid w:val="00795728"/>
    <w:rsid w:val="0079573A"/>
    <w:rsid w:val="0079574B"/>
    <w:rsid w:val="00795790"/>
    <w:rsid w:val="007959C4"/>
    <w:rsid w:val="00795B00"/>
    <w:rsid w:val="00795B12"/>
    <w:rsid w:val="00795C69"/>
    <w:rsid w:val="00795C87"/>
    <w:rsid w:val="00795CF5"/>
    <w:rsid w:val="00795D2D"/>
    <w:rsid w:val="00795EEF"/>
    <w:rsid w:val="007960D4"/>
    <w:rsid w:val="00796177"/>
    <w:rsid w:val="0079624F"/>
    <w:rsid w:val="0079654A"/>
    <w:rsid w:val="00796A72"/>
    <w:rsid w:val="00796B98"/>
    <w:rsid w:val="00796CD1"/>
    <w:rsid w:val="00797141"/>
    <w:rsid w:val="00797223"/>
    <w:rsid w:val="00797269"/>
    <w:rsid w:val="0079740D"/>
    <w:rsid w:val="007974B8"/>
    <w:rsid w:val="007974D7"/>
    <w:rsid w:val="0079752A"/>
    <w:rsid w:val="00797750"/>
    <w:rsid w:val="00797BFF"/>
    <w:rsid w:val="00797C67"/>
    <w:rsid w:val="00797CA2"/>
    <w:rsid w:val="00797DAD"/>
    <w:rsid w:val="00797E71"/>
    <w:rsid w:val="00797F55"/>
    <w:rsid w:val="007A005B"/>
    <w:rsid w:val="007A0424"/>
    <w:rsid w:val="007A0967"/>
    <w:rsid w:val="007A0A13"/>
    <w:rsid w:val="007A0C22"/>
    <w:rsid w:val="007A0D30"/>
    <w:rsid w:val="007A0DF6"/>
    <w:rsid w:val="007A1112"/>
    <w:rsid w:val="007A1284"/>
    <w:rsid w:val="007A1549"/>
    <w:rsid w:val="007A160D"/>
    <w:rsid w:val="007A16C6"/>
    <w:rsid w:val="007A17C4"/>
    <w:rsid w:val="007A187B"/>
    <w:rsid w:val="007A19A6"/>
    <w:rsid w:val="007A1BB2"/>
    <w:rsid w:val="007A1CBF"/>
    <w:rsid w:val="007A1DE2"/>
    <w:rsid w:val="007A1EFE"/>
    <w:rsid w:val="007A1F31"/>
    <w:rsid w:val="007A2115"/>
    <w:rsid w:val="007A24D9"/>
    <w:rsid w:val="007A2544"/>
    <w:rsid w:val="007A25CE"/>
    <w:rsid w:val="007A26EA"/>
    <w:rsid w:val="007A2826"/>
    <w:rsid w:val="007A2A4D"/>
    <w:rsid w:val="007A2C91"/>
    <w:rsid w:val="007A2CA4"/>
    <w:rsid w:val="007A2D36"/>
    <w:rsid w:val="007A2E35"/>
    <w:rsid w:val="007A3099"/>
    <w:rsid w:val="007A31D4"/>
    <w:rsid w:val="007A31F6"/>
    <w:rsid w:val="007A33D2"/>
    <w:rsid w:val="007A33D6"/>
    <w:rsid w:val="007A351A"/>
    <w:rsid w:val="007A3553"/>
    <w:rsid w:val="007A362F"/>
    <w:rsid w:val="007A3711"/>
    <w:rsid w:val="007A3A65"/>
    <w:rsid w:val="007A3A9B"/>
    <w:rsid w:val="007A3DB1"/>
    <w:rsid w:val="007A3EF7"/>
    <w:rsid w:val="007A3F2E"/>
    <w:rsid w:val="007A3F4A"/>
    <w:rsid w:val="007A4043"/>
    <w:rsid w:val="007A4508"/>
    <w:rsid w:val="007A4536"/>
    <w:rsid w:val="007A4626"/>
    <w:rsid w:val="007A46A1"/>
    <w:rsid w:val="007A4732"/>
    <w:rsid w:val="007A4872"/>
    <w:rsid w:val="007A48CA"/>
    <w:rsid w:val="007A494A"/>
    <w:rsid w:val="007A4A03"/>
    <w:rsid w:val="007A4A9B"/>
    <w:rsid w:val="007A4CE1"/>
    <w:rsid w:val="007A4CF0"/>
    <w:rsid w:val="007A4D9C"/>
    <w:rsid w:val="007A4E05"/>
    <w:rsid w:val="007A4E82"/>
    <w:rsid w:val="007A51EA"/>
    <w:rsid w:val="007A5316"/>
    <w:rsid w:val="007A5375"/>
    <w:rsid w:val="007A54EA"/>
    <w:rsid w:val="007A5521"/>
    <w:rsid w:val="007A56CE"/>
    <w:rsid w:val="007A57A5"/>
    <w:rsid w:val="007A5B92"/>
    <w:rsid w:val="007A5BDE"/>
    <w:rsid w:val="007A5C33"/>
    <w:rsid w:val="007A5CEF"/>
    <w:rsid w:val="007A5F38"/>
    <w:rsid w:val="007A603A"/>
    <w:rsid w:val="007A6429"/>
    <w:rsid w:val="007A661B"/>
    <w:rsid w:val="007A66B4"/>
    <w:rsid w:val="007A67BF"/>
    <w:rsid w:val="007A6945"/>
    <w:rsid w:val="007A694E"/>
    <w:rsid w:val="007A69CC"/>
    <w:rsid w:val="007A6BD1"/>
    <w:rsid w:val="007A6C1F"/>
    <w:rsid w:val="007A738F"/>
    <w:rsid w:val="007A73D4"/>
    <w:rsid w:val="007A73D5"/>
    <w:rsid w:val="007A74B3"/>
    <w:rsid w:val="007A75AF"/>
    <w:rsid w:val="007A7B9B"/>
    <w:rsid w:val="007A7BB2"/>
    <w:rsid w:val="007A7BCB"/>
    <w:rsid w:val="007A7DB3"/>
    <w:rsid w:val="007A7FE6"/>
    <w:rsid w:val="007B015D"/>
    <w:rsid w:val="007B0241"/>
    <w:rsid w:val="007B04C6"/>
    <w:rsid w:val="007B04CE"/>
    <w:rsid w:val="007B04EB"/>
    <w:rsid w:val="007B0507"/>
    <w:rsid w:val="007B0547"/>
    <w:rsid w:val="007B093E"/>
    <w:rsid w:val="007B0BC6"/>
    <w:rsid w:val="007B1085"/>
    <w:rsid w:val="007B1623"/>
    <w:rsid w:val="007B1756"/>
    <w:rsid w:val="007B1866"/>
    <w:rsid w:val="007B1CD9"/>
    <w:rsid w:val="007B1F94"/>
    <w:rsid w:val="007B1FD9"/>
    <w:rsid w:val="007B20AB"/>
    <w:rsid w:val="007B20B5"/>
    <w:rsid w:val="007B218D"/>
    <w:rsid w:val="007B22A9"/>
    <w:rsid w:val="007B23A9"/>
    <w:rsid w:val="007B253A"/>
    <w:rsid w:val="007B26B3"/>
    <w:rsid w:val="007B2716"/>
    <w:rsid w:val="007B2799"/>
    <w:rsid w:val="007B2A18"/>
    <w:rsid w:val="007B2B8F"/>
    <w:rsid w:val="007B31E0"/>
    <w:rsid w:val="007B31F2"/>
    <w:rsid w:val="007B34A8"/>
    <w:rsid w:val="007B3625"/>
    <w:rsid w:val="007B3685"/>
    <w:rsid w:val="007B3841"/>
    <w:rsid w:val="007B3875"/>
    <w:rsid w:val="007B3A94"/>
    <w:rsid w:val="007B3DE8"/>
    <w:rsid w:val="007B3FC0"/>
    <w:rsid w:val="007B4053"/>
    <w:rsid w:val="007B4347"/>
    <w:rsid w:val="007B43FF"/>
    <w:rsid w:val="007B4433"/>
    <w:rsid w:val="007B45CB"/>
    <w:rsid w:val="007B46FB"/>
    <w:rsid w:val="007B4878"/>
    <w:rsid w:val="007B4914"/>
    <w:rsid w:val="007B4A2F"/>
    <w:rsid w:val="007B4A8A"/>
    <w:rsid w:val="007B4B14"/>
    <w:rsid w:val="007B4C75"/>
    <w:rsid w:val="007B5303"/>
    <w:rsid w:val="007B5510"/>
    <w:rsid w:val="007B55AF"/>
    <w:rsid w:val="007B5827"/>
    <w:rsid w:val="007B5876"/>
    <w:rsid w:val="007B597D"/>
    <w:rsid w:val="007B5C11"/>
    <w:rsid w:val="007B5C57"/>
    <w:rsid w:val="007B5CC5"/>
    <w:rsid w:val="007B5E65"/>
    <w:rsid w:val="007B6167"/>
    <w:rsid w:val="007B62CD"/>
    <w:rsid w:val="007B6457"/>
    <w:rsid w:val="007B656D"/>
    <w:rsid w:val="007B6594"/>
    <w:rsid w:val="007B6682"/>
    <w:rsid w:val="007B6A0C"/>
    <w:rsid w:val="007B6A1F"/>
    <w:rsid w:val="007B6C8F"/>
    <w:rsid w:val="007B6CA0"/>
    <w:rsid w:val="007B6CFB"/>
    <w:rsid w:val="007B6D6D"/>
    <w:rsid w:val="007B709C"/>
    <w:rsid w:val="007B7116"/>
    <w:rsid w:val="007B71AD"/>
    <w:rsid w:val="007B71C7"/>
    <w:rsid w:val="007B77FA"/>
    <w:rsid w:val="007B7877"/>
    <w:rsid w:val="007B7BF8"/>
    <w:rsid w:val="007B7C3F"/>
    <w:rsid w:val="007B7E0A"/>
    <w:rsid w:val="007C00E3"/>
    <w:rsid w:val="007C011A"/>
    <w:rsid w:val="007C0408"/>
    <w:rsid w:val="007C057E"/>
    <w:rsid w:val="007C05CD"/>
    <w:rsid w:val="007C05E9"/>
    <w:rsid w:val="007C06B6"/>
    <w:rsid w:val="007C08CD"/>
    <w:rsid w:val="007C0D7A"/>
    <w:rsid w:val="007C0F03"/>
    <w:rsid w:val="007C0FA4"/>
    <w:rsid w:val="007C0FF7"/>
    <w:rsid w:val="007C100D"/>
    <w:rsid w:val="007C17EB"/>
    <w:rsid w:val="007C19B4"/>
    <w:rsid w:val="007C1CD1"/>
    <w:rsid w:val="007C1D07"/>
    <w:rsid w:val="007C1D3D"/>
    <w:rsid w:val="007C1E68"/>
    <w:rsid w:val="007C1E6A"/>
    <w:rsid w:val="007C1E9B"/>
    <w:rsid w:val="007C1FBD"/>
    <w:rsid w:val="007C2066"/>
    <w:rsid w:val="007C2099"/>
    <w:rsid w:val="007C22C9"/>
    <w:rsid w:val="007C2646"/>
    <w:rsid w:val="007C278E"/>
    <w:rsid w:val="007C29B7"/>
    <w:rsid w:val="007C2CA6"/>
    <w:rsid w:val="007C2CEF"/>
    <w:rsid w:val="007C30D7"/>
    <w:rsid w:val="007C355C"/>
    <w:rsid w:val="007C3782"/>
    <w:rsid w:val="007C389C"/>
    <w:rsid w:val="007C392E"/>
    <w:rsid w:val="007C3A32"/>
    <w:rsid w:val="007C3BB9"/>
    <w:rsid w:val="007C3BD7"/>
    <w:rsid w:val="007C3C65"/>
    <w:rsid w:val="007C4058"/>
    <w:rsid w:val="007C4089"/>
    <w:rsid w:val="007C4461"/>
    <w:rsid w:val="007C4731"/>
    <w:rsid w:val="007C479F"/>
    <w:rsid w:val="007C4879"/>
    <w:rsid w:val="007C4EB2"/>
    <w:rsid w:val="007C4EED"/>
    <w:rsid w:val="007C5393"/>
    <w:rsid w:val="007C58C4"/>
    <w:rsid w:val="007C5973"/>
    <w:rsid w:val="007C5C3C"/>
    <w:rsid w:val="007C5CDD"/>
    <w:rsid w:val="007C5D23"/>
    <w:rsid w:val="007C6043"/>
    <w:rsid w:val="007C60AB"/>
    <w:rsid w:val="007C611F"/>
    <w:rsid w:val="007C612B"/>
    <w:rsid w:val="007C6232"/>
    <w:rsid w:val="007C6245"/>
    <w:rsid w:val="007C64F2"/>
    <w:rsid w:val="007C6B83"/>
    <w:rsid w:val="007C6B94"/>
    <w:rsid w:val="007C6E5E"/>
    <w:rsid w:val="007C713D"/>
    <w:rsid w:val="007C71B6"/>
    <w:rsid w:val="007C7200"/>
    <w:rsid w:val="007C7296"/>
    <w:rsid w:val="007C753C"/>
    <w:rsid w:val="007C7547"/>
    <w:rsid w:val="007C756D"/>
    <w:rsid w:val="007C75C4"/>
    <w:rsid w:val="007C75DF"/>
    <w:rsid w:val="007C763D"/>
    <w:rsid w:val="007C7736"/>
    <w:rsid w:val="007C7990"/>
    <w:rsid w:val="007C7A8E"/>
    <w:rsid w:val="007C7D12"/>
    <w:rsid w:val="007C7DD4"/>
    <w:rsid w:val="007C7F7F"/>
    <w:rsid w:val="007C7FAE"/>
    <w:rsid w:val="007D000B"/>
    <w:rsid w:val="007D024E"/>
    <w:rsid w:val="007D03A0"/>
    <w:rsid w:val="007D04B1"/>
    <w:rsid w:val="007D0651"/>
    <w:rsid w:val="007D070A"/>
    <w:rsid w:val="007D08BF"/>
    <w:rsid w:val="007D08FC"/>
    <w:rsid w:val="007D094A"/>
    <w:rsid w:val="007D097D"/>
    <w:rsid w:val="007D0C55"/>
    <w:rsid w:val="007D0CCB"/>
    <w:rsid w:val="007D0E4D"/>
    <w:rsid w:val="007D0EAA"/>
    <w:rsid w:val="007D0FCA"/>
    <w:rsid w:val="007D126F"/>
    <w:rsid w:val="007D1515"/>
    <w:rsid w:val="007D16D2"/>
    <w:rsid w:val="007D17A2"/>
    <w:rsid w:val="007D185B"/>
    <w:rsid w:val="007D1918"/>
    <w:rsid w:val="007D19AB"/>
    <w:rsid w:val="007D1D10"/>
    <w:rsid w:val="007D2008"/>
    <w:rsid w:val="007D21BF"/>
    <w:rsid w:val="007D21C8"/>
    <w:rsid w:val="007D23AE"/>
    <w:rsid w:val="007D2C82"/>
    <w:rsid w:val="007D2CA6"/>
    <w:rsid w:val="007D2D7C"/>
    <w:rsid w:val="007D2E3D"/>
    <w:rsid w:val="007D3103"/>
    <w:rsid w:val="007D31C9"/>
    <w:rsid w:val="007D356B"/>
    <w:rsid w:val="007D363F"/>
    <w:rsid w:val="007D3B51"/>
    <w:rsid w:val="007D3B67"/>
    <w:rsid w:val="007D3D05"/>
    <w:rsid w:val="007D3D21"/>
    <w:rsid w:val="007D3E33"/>
    <w:rsid w:val="007D3F8A"/>
    <w:rsid w:val="007D415F"/>
    <w:rsid w:val="007D432E"/>
    <w:rsid w:val="007D436E"/>
    <w:rsid w:val="007D43BB"/>
    <w:rsid w:val="007D440D"/>
    <w:rsid w:val="007D44A7"/>
    <w:rsid w:val="007D4664"/>
    <w:rsid w:val="007D474C"/>
    <w:rsid w:val="007D4C74"/>
    <w:rsid w:val="007D5145"/>
    <w:rsid w:val="007D54B2"/>
    <w:rsid w:val="007D5912"/>
    <w:rsid w:val="007D5B44"/>
    <w:rsid w:val="007D5BAB"/>
    <w:rsid w:val="007D5C15"/>
    <w:rsid w:val="007D5C61"/>
    <w:rsid w:val="007D5CBB"/>
    <w:rsid w:val="007D5CC1"/>
    <w:rsid w:val="007D5DF5"/>
    <w:rsid w:val="007D5E51"/>
    <w:rsid w:val="007D5F17"/>
    <w:rsid w:val="007D62F9"/>
    <w:rsid w:val="007D6335"/>
    <w:rsid w:val="007D682D"/>
    <w:rsid w:val="007D6839"/>
    <w:rsid w:val="007D6DFA"/>
    <w:rsid w:val="007D6F6B"/>
    <w:rsid w:val="007D703A"/>
    <w:rsid w:val="007D71A5"/>
    <w:rsid w:val="007D7316"/>
    <w:rsid w:val="007D7434"/>
    <w:rsid w:val="007D7715"/>
    <w:rsid w:val="007D7983"/>
    <w:rsid w:val="007D7C46"/>
    <w:rsid w:val="007D7D40"/>
    <w:rsid w:val="007D7D51"/>
    <w:rsid w:val="007D7E6C"/>
    <w:rsid w:val="007D7EC0"/>
    <w:rsid w:val="007D7EC1"/>
    <w:rsid w:val="007E015C"/>
    <w:rsid w:val="007E0182"/>
    <w:rsid w:val="007E0228"/>
    <w:rsid w:val="007E0464"/>
    <w:rsid w:val="007E04F9"/>
    <w:rsid w:val="007E0948"/>
    <w:rsid w:val="007E09DC"/>
    <w:rsid w:val="007E0A97"/>
    <w:rsid w:val="007E0C35"/>
    <w:rsid w:val="007E0C6C"/>
    <w:rsid w:val="007E0EEB"/>
    <w:rsid w:val="007E12F5"/>
    <w:rsid w:val="007E134F"/>
    <w:rsid w:val="007E14F3"/>
    <w:rsid w:val="007E15F2"/>
    <w:rsid w:val="007E18E8"/>
    <w:rsid w:val="007E1AE0"/>
    <w:rsid w:val="007E1B14"/>
    <w:rsid w:val="007E1C85"/>
    <w:rsid w:val="007E1CC9"/>
    <w:rsid w:val="007E1E5A"/>
    <w:rsid w:val="007E1E5E"/>
    <w:rsid w:val="007E201C"/>
    <w:rsid w:val="007E213D"/>
    <w:rsid w:val="007E2723"/>
    <w:rsid w:val="007E2757"/>
    <w:rsid w:val="007E2BE5"/>
    <w:rsid w:val="007E2D16"/>
    <w:rsid w:val="007E2F3F"/>
    <w:rsid w:val="007E2F51"/>
    <w:rsid w:val="007E30B1"/>
    <w:rsid w:val="007E3168"/>
    <w:rsid w:val="007E3290"/>
    <w:rsid w:val="007E3539"/>
    <w:rsid w:val="007E368E"/>
    <w:rsid w:val="007E381A"/>
    <w:rsid w:val="007E39C7"/>
    <w:rsid w:val="007E3AE6"/>
    <w:rsid w:val="007E3C38"/>
    <w:rsid w:val="007E3F7D"/>
    <w:rsid w:val="007E45ED"/>
    <w:rsid w:val="007E47B4"/>
    <w:rsid w:val="007E47EA"/>
    <w:rsid w:val="007E47F1"/>
    <w:rsid w:val="007E4945"/>
    <w:rsid w:val="007E498E"/>
    <w:rsid w:val="007E49E7"/>
    <w:rsid w:val="007E4AAC"/>
    <w:rsid w:val="007E4D1D"/>
    <w:rsid w:val="007E4D3F"/>
    <w:rsid w:val="007E4E2B"/>
    <w:rsid w:val="007E4E67"/>
    <w:rsid w:val="007E4F7E"/>
    <w:rsid w:val="007E50EF"/>
    <w:rsid w:val="007E51C0"/>
    <w:rsid w:val="007E5371"/>
    <w:rsid w:val="007E53B8"/>
    <w:rsid w:val="007E5776"/>
    <w:rsid w:val="007E5E29"/>
    <w:rsid w:val="007E6082"/>
    <w:rsid w:val="007E626A"/>
    <w:rsid w:val="007E62CA"/>
    <w:rsid w:val="007E64F7"/>
    <w:rsid w:val="007E673B"/>
    <w:rsid w:val="007E69DC"/>
    <w:rsid w:val="007E6A72"/>
    <w:rsid w:val="007E6E17"/>
    <w:rsid w:val="007E6E5C"/>
    <w:rsid w:val="007E6F83"/>
    <w:rsid w:val="007E6FDB"/>
    <w:rsid w:val="007E70A9"/>
    <w:rsid w:val="007E712C"/>
    <w:rsid w:val="007E71E0"/>
    <w:rsid w:val="007E743F"/>
    <w:rsid w:val="007E78F1"/>
    <w:rsid w:val="007E7B62"/>
    <w:rsid w:val="007F001E"/>
    <w:rsid w:val="007F018F"/>
    <w:rsid w:val="007F0217"/>
    <w:rsid w:val="007F02E0"/>
    <w:rsid w:val="007F034E"/>
    <w:rsid w:val="007F034F"/>
    <w:rsid w:val="007F0572"/>
    <w:rsid w:val="007F05A7"/>
    <w:rsid w:val="007F05E5"/>
    <w:rsid w:val="007F0700"/>
    <w:rsid w:val="007F0B37"/>
    <w:rsid w:val="007F0BF3"/>
    <w:rsid w:val="007F0D6F"/>
    <w:rsid w:val="007F0DB3"/>
    <w:rsid w:val="007F0E3A"/>
    <w:rsid w:val="007F0FD3"/>
    <w:rsid w:val="007F0FF9"/>
    <w:rsid w:val="007F1543"/>
    <w:rsid w:val="007F170F"/>
    <w:rsid w:val="007F1898"/>
    <w:rsid w:val="007F1F24"/>
    <w:rsid w:val="007F1FF3"/>
    <w:rsid w:val="007F2191"/>
    <w:rsid w:val="007F2282"/>
    <w:rsid w:val="007F277F"/>
    <w:rsid w:val="007F2920"/>
    <w:rsid w:val="007F2980"/>
    <w:rsid w:val="007F2B2A"/>
    <w:rsid w:val="007F2B2C"/>
    <w:rsid w:val="007F2BF8"/>
    <w:rsid w:val="007F30DF"/>
    <w:rsid w:val="007F33DF"/>
    <w:rsid w:val="007F366A"/>
    <w:rsid w:val="007F3791"/>
    <w:rsid w:val="007F3879"/>
    <w:rsid w:val="007F38B6"/>
    <w:rsid w:val="007F3A33"/>
    <w:rsid w:val="007F3C7A"/>
    <w:rsid w:val="007F3CC1"/>
    <w:rsid w:val="007F3CE9"/>
    <w:rsid w:val="007F3D9A"/>
    <w:rsid w:val="007F405E"/>
    <w:rsid w:val="007F4066"/>
    <w:rsid w:val="007F41FD"/>
    <w:rsid w:val="007F451A"/>
    <w:rsid w:val="007F45A0"/>
    <w:rsid w:val="007F45BC"/>
    <w:rsid w:val="007F4612"/>
    <w:rsid w:val="007F48E1"/>
    <w:rsid w:val="007F492B"/>
    <w:rsid w:val="007F4EE0"/>
    <w:rsid w:val="007F50F7"/>
    <w:rsid w:val="007F537C"/>
    <w:rsid w:val="007F5454"/>
    <w:rsid w:val="007F5580"/>
    <w:rsid w:val="007F5832"/>
    <w:rsid w:val="007F5C4F"/>
    <w:rsid w:val="007F5C8B"/>
    <w:rsid w:val="007F5DED"/>
    <w:rsid w:val="007F5FC4"/>
    <w:rsid w:val="007F6020"/>
    <w:rsid w:val="007F6034"/>
    <w:rsid w:val="007F6077"/>
    <w:rsid w:val="007F6132"/>
    <w:rsid w:val="007F6178"/>
    <w:rsid w:val="007F61AE"/>
    <w:rsid w:val="007F638B"/>
    <w:rsid w:val="007F64CF"/>
    <w:rsid w:val="007F665A"/>
    <w:rsid w:val="007F6661"/>
    <w:rsid w:val="007F6E59"/>
    <w:rsid w:val="007F6E70"/>
    <w:rsid w:val="007F6E7C"/>
    <w:rsid w:val="007F6EBB"/>
    <w:rsid w:val="007F71AF"/>
    <w:rsid w:val="007F72AE"/>
    <w:rsid w:val="007F72DA"/>
    <w:rsid w:val="007F74F0"/>
    <w:rsid w:val="007F7624"/>
    <w:rsid w:val="007F76C2"/>
    <w:rsid w:val="007F7713"/>
    <w:rsid w:val="007F7723"/>
    <w:rsid w:val="007F788A"/>
    <w:rsid w:val="007F7995"/>
    <w:rsid w:val="007F7B7B"/>
    <w:rsid w:val="007F7C4F"/>
    <w:rsid w:val="007F7CA6"/>
    <w:rsid w:val="007F7F41"/>
    <w:rsid w:val="007F7FA8"/>
    <w:rsid w:val="00800118"/>
    <w:rsid w:val="00800280"/>
    <w:rsid w:val="008002CC"/>
    <w:rsid w:val="00800383"/>
    <w:rsid w:val="00800435"/>
    <w:rsid w:val="00800477"/>
    <w:rsid w:val="0080048A"/>
    <w:rsid w:val="0080053C"/>
    <w:rsid w:val="00800800"/>
    <w:rsid w:val="008009FF"/>
    <w:rsid w:val="00800A50"/>
    <w:rsid w:val="00800C4C"/>
    <w:rsid w:val="00800C73"/>
    <w:rsid w:val="00800FB5"/>
    <w:rsid w:val="0080102F"/>
    <w:rsid w:val="00801292"/>
    <w:rsid w:val="008012A3"/>
    <w:rsid w:val="008014F3"/>
    <w:rsid w:val="00801827"/>
    <w:rsid w:val="00801C93"/>
    <w:rsid w:val="00801CB7"/>
    <w:rsid w:val="00801DB1"/>
    <w:rsid w:val="00801DF2"/>
    <w:rsid w:val="00801DF8"/>
    <w:rsid w:val="00801F83"/>
    <w:rsid w:val="00801FEF"/>
    <w:rsid w:val="0080203C"/>
    <w:rsid w:val="00802171"/>
    <w:rsid w:val="00802488"/>
    <w:rsid w:val="00802A4D"/>
    <w:rsid w:val="00802D16"/>
    <w:rsid w:val="00802F29"/>
    <w:rsid w:val="00803207"/>
    <w:rsid w:val="00803245"/>
    <w:rsid w:val="0080349C"/>
    <w:rsid w:val="0080363D"/>
    <w:rsid w:val="008038C5"/>
    <w:rsid w:val="008039D7"/>
    <w:rsid w:val="00803B38"/>
    <w:rsid w:val="00803CE3"/>
    <w:rsid w:val="00803E5A"/>
    <w:rsid w:val="008040E3"/>
    <w:rsid w:val="008040F5"/>
    <w:rsid w:val="008041E6"/>
    <w:rsid w:val="00804563"/>
    <w:rsid w:val="00804920"/>
    <w:rsid w:val="00804DA4"/>
    <w:rsid w:val="00804FC6"/>
    <w:rsid w:val="00805083"/>
    <w:rsid w:val="00805597"/>
    <w:rsid w:val="00805607"/>
    <w:rsid w:val="00805651"/>
    <w:rsid w:val="008056A9"/>
    <w:rsid w:val="00805743"/>
    <w:rsid w:val="00805EC7"/>
    <w:rsid w:val="008061CC"/>
    <w:rsid w:val="0080624B"/>
    <w:rsid w:val="0080658B"/>
    <w:rsid w:val="008066ED"/>
    <w:rsid w:val="00806DE6"/>
    <w:rsid w:val="00806EC8"/>
    <w:rsid w:val="00806FCA"/>
    <w:rsid w:val="00807163"/>
    <w:rsid w:val="00807353"/>
    <w:rsid w:val="00807617"/>
    <w:rsid w:val="00807644"/>
    <w:rsid w:val="00807659"/>
    <w:rsid w:val="008076FA"/>
    <w:rsid w:val="008079AF"/>
    <w:rsid w:val="00807BE5"/>
    <w:rsid w:val="00807C1A"/>
    <w:rsid w:val="00807D75"/>
    <w:rsid w:val="00807DE6"/>
    <w:rsid w:val="0081013F"/>
    <w:rsid w:val="008101D7"/>
    <w:rsid w:val="008102AC"/>
    <w:rsid w:val="00810382"/>
    <w:rsid w:val="008104E9"/>
    <w:rsid w:val="008105EA"/>
    <w:rsid w:val="00810705"/>
    <w:rsid w:val="00810B0E"/>
    <w:rsid w:val="00810BDA"/>
    <w:rsid w:val="00810D89"/>
    <w:rsid w:val="00810DEB"/>
    <w:rsid w:val="0081110A"/>
    <w:rsid w:val="00811143"/>
    <w:rsid w:val="00811AC6"/>
    <w:rsid w:val="00811C8D"/>
    <w:rsid w:val="00811E86"/>
    <w:rsid w:val="00811F8D"/>
    <w:rsid w:val="0081212F"/>
    <w:rsid w:val="008123A3"/>
    <w:rsid w:val="00812507"/>
    <w:rsid w:val="0081255A"/>
    <w:rsid w:val="00812782"/>
    <w:rsid w:val="0081294D"/>
    <w:rsid w:val="00812B68"/>
    <w:rsid w:val="00812B96"/>
    <w:rsid w:val="00812F9B"/>
    <w:rsid w:val="008132D7"/>
    <w:rsid w:val="0081334C"/>
    <w:rsid w:val="008133D2"/>
    <w:rsid w:val="008133F1"/>
    <w:rsid w:val="0081348F"/>
    <w:rsid w:val="0081357E"/>
    <w:rsid w:val="0081361D"/>
    <w:rsid w:val="00813732"/>
    <w:rsid w:val="00813847"/>
    <w:rsid w:val="0081394C"/>
    <w:rsid w:val="00813A1F"/>
    <w:rsid w:val="00813B97"/>
    <w:rsid w:val="00813C5B"/>
    <w:rsid w:val="0081411F"/>
    <w:rsid w:val="0081438B"/>
    <w:rsid w:val="00814673"/>
    <w:rsid w:val="008146A3"/>
    <w:rsid w:val="00814726"/>
    <w:rsid w:val="00814753"/>
    <w:rsid w:val="00814A3A"/>
    <w:rsid w:val="00814A3C"/>
    <w:rsid w:val="00814AD1"/>
    <w:rsid w:val="00814AE5"/>
    <w:rsid w:val="00814AF8"/>
    <w:rsid w:val="00814AFF"/>
    <w:rsid w:val="00814C8A"/>
    <w:rsid w:val="0081504C"/>
    <w:rsid w:val="008152E2"/>
    <w:rsid w:val="008155D8"/>
    <w:rsid w:val="00815709"/>
    <w:rsid w:val="0081580E"/>
    <w:rsid w:val="00815950"/>
    <w:rsid w:val="00815A0C"/>
    <w:rsid w:val="00815A1D"/>
    <w:rsid w:val="00815AED"/>
    <w:rsid w:val="00815BB5"/>
    <w:rsid w:val="00815BE8"/>
    <w:rsid w:val="00815BED"/>
    <w:rsid w:val="00815D69"/>
    <w:rsid w:val="00815DD8"/>
    <w:rsid w:val="00815E09"/>
    <w:rsid w:val="00815F0D"/>
    <w:rsid w:val="00816070"/>
    <w:rsid w:val="008160BB"/>
    <w:rsid w:val="00816359"/>
    <w:rsid w:val="0081654B"/>
    <w:rsid w:val="008165C0"/>
    <w:rsid w:val="00816819"/>
    <w:rsid w:val="0081685E"/>
    <w:rsid w:val="008168E6"/>
    <w:rsid w:val="00816907"/>
    <w:rsid w:val="008169F2"/>
    <w:rsid w:val="00816D1D"/>
    <w:rsid w:val="00816DA7"/>
    <w:rsid w:val="00816FAB"/>
    <w:rsid w:val="00817013"/>
    <w:rsid w:val="00817060"/>
    <w:rsid w:val="00817177"/>
    <w:rsid w:val="008172A9"/>
    <w:rsid w:val="00817440"/>
    <w:rsid w:val="00817451"/>
    <w:rsid w:val="0081760A"/>
    <w:rsid w:val="0081763F"/>
    <w:rsid w:val="0081795C"/>
    <w:rsid w:val="008200C3"/>
    <w:rsid w:val="00820250"/>
    <w:rsid w:val="008202BF"/>
    <w:rsid w:val="008202E2"/>
    <w:rsid w:val="00820989"/>
    <w:rsid w:val="00820A0E"/>
    <w:rsid w:val="00820A47"/>
    <w:rsid w:val="00820A49"/>
    <w:rsid w:val="00820CA7"/>
    <w:rsid w:val="00820D4D"/>
    <w:rsid w:val="00820F71"/>
    <w:rsid w:val="0082152F"/>
    <w:rsid w:val="008216E6"/>
    <w:rsid w:val="008216EE"/>
    <w:rsid w:val="008217D9"/>
    <w:rsid w:val="008218DC"/>
    <w:rsid w:val="00821960"/>
    <w:rsid w:val="00821AB4"/>
    <w:rsid w:val="00821C44"/>
    <w:rsid w:val="00821E17"/>
    <w:rsid w:val="00821E68"/>
    <w:rsid w:val="00822068"/>
    <w:rsid w:val="00822092"/>
    <w:rsid w:val="008220AA"/>
    <w:rsid w:val="008221DB"/>
    <w:rsid w:val="008221F6"/>
    <w:rsid w:val="00822375"/>
    <w:rsid w:val="008223D5"/>
    <w:rsid w:val="008226F0"/>
    <w:rsid w:val="00822719"/>
    <w:rsid w:val="00822729"/>
    <w:rsid w:val="00822792"/>
    <w:rsid w:val="00822B38"/>
    <w:rsid w:val="00822D61"/>
    <w:rsid w:val="00822E84"/>
    <w:rsid w:val="0082302A"/>
    <w:rsid w:val="0082309B"/>
    <w:rsid w:val="0082332F"/>
    <w:rsid w:val="008233AC"/>
    <w:rsid w:val="00823417"/>
    <w:rsid w:val="0082355D"/>
    <w:rsid w:val="008239C3"/>
    <w:rsid w:val="00823A28"/>
    <w:rsid w:val="00823E50"/>
    <w:rsid w:val="00823EB5"/>
    <w:rsid w:val="00823FD4"/>
    <w:rsid w:val="008241B1"/>
    <w:rsid w:val="008241C2"/>
    <w:rsid w:val="00824245"/>
    <w:rsid w:val="008242C1"/>
    <w:rsid w:val="00824432"/>
    <w:rsid w:val="008247C9"/>
    <w:rsid w:val="00824B0D"/>
    <w:rsid w:val="00824B7E"/>
    <w:rsid w:val="00825122"/>
    <w:rsid w:val="0082525A"/>
    <w:rsid w:val="008252A9"/>
    <w:rsid w:val="00825662"/>
    <w:rsid w:val="00825669"/>
    <w:rsid w:val="008256BB"/>
    <w:rsid w:val="00825886"/>
    <w:rsid w:val="00825962"/>
    <w:rsid w:val="00825AB1"/>
    <w:rsid w:val="00825C9C"/>
    <w:rsid w:val="00825D30"/>
    <w:rsid w:val="00825DA0"/>
    <w:rsid w:val="008260E7"/>
    <w:rsid w:val="008261D7"/>
    <w:rsid w:val="00826242"/>
    <w:rsid w:val="00826315"/>
    <w:rsid w:val="00826334"/>
    <w:rsid w:val="00826434"/>
    <w:rsid w:val="008264BB"/>
    <w:rsid w:val="008266AE"/>
    <w:rsid w:val="0082677E"/>
    <w:rsid w:val="00826B32"/>
    <w:rsid w:val="00826CE9"/>
    <w:rsid w:val="00826D55"/>
    <w:rsid w:val="00826E6B"/>
    <w:rsid w:val="00826F3F"/>
    <w:rsid w:val="00826FA8"/>
    <w:rsid w:val="0082711A"/>
    <w:rsid w:val="00827554"/>
    <w:rsid w:val="00827728"/>
    <w:rsid w:val="0082775B"/>
    <w:rsid w:val="00827882"/>
    <w:rsid w:val="00827988"/>
    <w:rsid w:val="00827A59"/>
    <w:rsid w:val="00827C3C"/>
    <w:rsid w:val="00827DF2"/>
    <w:rsid w:val="00827FD1"/>
    <w:rsid w:val="00830322"/>
    <w:rsid w:val="0083038F"/>
    <w:rsid w:val="0083041F"/>
    <w:rsid w:val="008305C3"/>
    <w:rsid w:val="008305E4"/>
    <w:rsid w:val="00830783"/>
    <w:rsid w:val="008308D0"/>
    <w:rsid w:val="00830E5D"/>
    <w:rsid w:val="00830EB5"/>
    <w:rsid w:val="00830EB9"/>
    <w:rsid w:val="00830F09"/>
    <w:rsid w:val="00830F85"/>
    <w:rsid w:val="00830FEA"/>
    <w:rsid w:val="008310BB"/>
    <w:rsid w:val="008314D8"/>
    <w:rsid w:val="0083172B"/>
    <w:rsid w:val="008317F1"/>
    <w:rsid w:val="00831818"/>
    <w:rsid w:val="00831900"/>
    <w:rsid w:val="0083195C"/>
    <w:rsid w:val="00831EE5"/>
    <w:rsid w:val="00832013"/>
    <w:rsid w:val="00832289"/>
    <w:rsid w:val="008322EC"/>
    <w:rsid w:val="008323B4"/>
    <w:rsid w:val="008324AE"/>
    <w:rsid w:val="0083273B"/>
    <w:rsid w:val="00832782"/>
    <w:rsid w:val="00832784"/>
    <w:rsid w:val="0083292E"/>
    <w:rsid w:val="00832A64"/>
    <w:rsid w:val="00832C5B"/>
    <w:rsid w:val="00832E2D"/>
    <w:rsid w:val="00832F5B"/>
    <w:rsid w:val="00833033"/>
    <w:rsid w:val="0083316D"/>
    <w:rsid w:val="00833241"/>
    <w:rsid w:val="0083325B"/>
    <w:rsid w:val="00833335"/>
    <w:rsid w:val="008333C0"/>
    <w:rsid w:val="00833729"/>
    <w:rsid w:val="0083379A"/>
    <w:rsid w:val="0083385B"/>
    <w:rsid w:val="00833C26"/>
    <w:rsid w:val="00833D83"/>
    <w:rsid w:val="00833F5F"/>
    <w:rsid w:val="0083427F"/>
    <w:rsid w:val="008342CC"/>
    <w:rsid w:val="008343DF"/>
    <w:rsid w:val="00834508"/>
    <w:rsid w:val="00834695"/>
    <w:rsid w:val="00834789"/>
    <w:rsid w:val="008347ED"/>
    <w:rsid w:val="00834865"/>
    <w:rsid w:val="008349D9"/>
    <w:rsid w:val="00834A60"/>
    <w:rsid w:val="00834D82"/>
    <w:rsid w:val="00834DA4"/>
    <w:rsid w:val="00834E7B"/>
    <w:rsid w:val="00835048"/>
    <w:rsid w:val="008351F9"/>
    <w:rsid w:val="0083531A"/>
    <w:rsid w:val="00835489"/>
    <w:rsid w:val="008354D4"/>
    <w:rsid w:val="00835614"/>
    <w:rsid w:val="008356B1"/>
    <w:rsid w:val="008356D2"/>
    <w:rsid w:val="0083572A"/>
    <w:rsid w:val="00835748"/>
    <w:rsid w:val="0083580A"/>
    <w:rsid w:val="00835A42"/>
    <w:rsid w:val="00835D7E"/>
    <w:rsid w:val="00835DBA"/>
    <w:rsid w:val="00835F9F"/>
    <w:rsid w:val="0083619D"/>
    <w:rsid w:val="0083619F"/>
    <w:rsid w:val="008361CE"/>
    <w:rsid w:val="00836213"/>
    <w:rsid w:val="008362B9"/>
    <w:rsid w:val="00836606"/>
    <w:rsid w:val="00836789"/>
    <w:rsid w:val="00836947"/>
    <w:rsid w:val="00836A77"/>
    <w:rsid w:val="00836DBF"/>
    <w:rsid w:val="00836DF5"/>
    <w:rsid w:val="00836E09"/>
    <w:rsid w:val="00836F39"/>
    <w:rsid w:val="00836F5A"/>
    <w:rsid w:val="00836FA4"/>
    <w:rsid w:val="00837248"/>
    <w:rsid w:val="0083736F"/>
    <w:rsid w:val="008376B8"/>
    <w:rsid w:val="008376BE"/>
    <w:rsid w:val="008376CB"/>
    <w:rsid w:val="00837783"/>
    <w:rsid w:val="00837C9C"/>
    <w:rsid w:val="00837F00"/>
    <w:rsid w:val="00837F18"/>
    <w:rsid w:val="00837F88"/>
    <w:rsid w:val="008400F3"/>
    <w:rsid w:val="008402DC"/>
    <w:rsid w:val="008403CD"/>
    <w:rsid w:val="0084043A"/>
    <w:rsid w:val="00840474"/>
    <w:rsid w:val="00840637"/>
    <w:rsid w:val="00840740"/>
    <w:rsid w:val="008408D5"/>
    <w:rsid w:val="00840982"/>
    <w:rsid w:val="00840AD6"/>
    <w:rsid w:val="00840E7A"/>
    <w:rsid w:val="00841111"/>
    <w:rsid w:val="008413BD"/>
    <w:rsid w:val="008414C3"/>
    <w:rsid w:val="0084154F"/>
    <w:rsid w:val="0084166A"/>
    <w:rsid w:val="00841682"/>
    <w:rsid w:val="0084168A"/>
    <w:rsid w:val="00841720"/>
    <w:rsid w:val="00841774"/>
    <w:rsid w:val="00841904"/>
    <w:rsid w:val="00841CC6"/>
    <w:rsid w:val="00841E67"/>
    <w:rsid w:val="00841FA9"/>
    <w:rsid w:val="0084201C"/>
    <w:rsid w:val="0084261C"/>
    <w:rsid w:val="008427FB"/>
    <w:rsid w:val="00842AA3"/>
    <w:rsid w:val="00842B2C"/>
    <w:rsid w:val="00842BC2"/>
    <w:rsid w:val="00842E84"/>
    <w:rsid w:val="00842F0C"/>
    <w:rsid w:val="0084314A"/>
    <w:rsid w:val="00843272"/>
    <w:rsid w:val="0084352D"/>
    <w:rsid w:val="00843665"/>
    <w:rsid w:val="0084368D"/>
    <w:rsid w:val="008437B1"/>
    <w:rsid w:val="00843B46"/>
    <w:rsid w:val="00843C05"/>
    <w:rsid w:val="00843EBF"/>
    <w:rsid w:val="00844092"/>
    <w:rsid w:val="008441C1"/>
    <w:rsid w:val="00844279"/>
    <w:rsid w:val="00844961"/>
    <w:rsid w:val="00844AAE"/>
    <w:rsid w:val="00844BA6"/>
    <w:rsid w:val="00844C9B"/>
    <w:rsid w:val="00844CDB"/>
    <w:rsid w:val="00844D27"/>
    <w:rsid w:val="00845017"/>
    <w:rsid w:val="00845104"/>
    <w:rsid w:val="00845340"/>
    <w:rsid w:val="00845472"/>
    <w:rsid w:val="008458F7"/>
    <w:rsid w:val="008459D2"/>
    <w:rsid w:val="00845B4A"/>
    <w:rsid w:val="00845CEE"/>
    <w:rsid w:val="00845D18"/>
    <w:rsid w:val="00845E1A"/>
    <w:rsid w:val="00845E6E"/>
    <w:rsid w:val="00846309"/>
    <w:rsid w:val="008468C8"/>
    <w:rsid w:val="0084695A"/>
    <w:rsid w:val="00846A3C"/>
    <w:rsid w:val="00846AEC"/>
    <w:rsid w:val="00846BB2"/>
    <w:rsid w:val="00846C44"/>
    <w:rsid w:val="00846DD6"/>
    <w:rsid w:val="00846EBF"/>
    <w:rsid w:val="008473DA"/>
    <w:rsid w:val="00847429"/>
    <w:rsid w:val="008477BB"/>
    <w:rsid w:val="00847809"/>
    <w:rsid w:val="00847AA0"/>
    <w:rsid w:val="00847F03"/>
    <w:rsid w:val="00850069"/>
    <w:rsid w:val="00850184"/>
    <w:rsid w:val="008501A8"/>
    <w:rsid w:val="0085028C"/>
    <w:rsid w:val="008502F4"/>
    <w:rsid w:val="008504D9"/>
    <w:rsid w:val="008505B7"/>
    <w:rsid w:val="00850792"/>
    <w:rsid w:val="00850B9A"/>
    <w:rsid w:val="00850C0D"/>
    <w:rsid w:val="00850C5F"/>
    <w:rsid w:val="00850DC2"/>
    <w:rsid w:val="00850E7A"/>
    <w:rsid w:val="00850E7E"/>
    <w:rsid w:val="00851060"/>
    <w:rsid w:val="0085115C"/>
    <w:rsid w:val="00851211"/>
    <w:rsid w:val="008513E1"/>
    <w:rsid w:val="008515BE"/>
    <w:rsid w:val="0085164A"/>
    <w:rsid w:val="008516F6"/>
    <w:rsid w:val="00851795"/>
    <w:rsid w:val="00851838"/>
    <w:rsid w:val="00851900"/>
    <w:rsid w:val="00851B86"/>
    <w:rsid w:val="00851FED"/>
    <w:rsid w:val="00852182"/>
    <w:rsid w:val="008522A6"/>
    <w:rsid w:val="00852346"/>
    <w:rsid w:val="0085238F"/>
    <w:rsid w:val="00852431"/>
    <w:rsid w:val="00852437"/>
    <w:rsid w:val="00852475"/>
    <w:rsid w:val="008525BD"/>
    <w:rsid w:val="00852601"/>
    <w:rsid w:val="00852637"/>
    <w:rsid w:val="00852AE1"/>
    <w:rsid w:val="00852AE2"/>
    <w:rsid w:val="00852B37"/>
    <w:rsid w:val="00852BD0"/>
    <w:rsid w:val="00852C91"/>
    <w:rsid w:val="00852D7A"/>
    <w:rsid w:val="00852F76"/>
    <w:rsid w:val="00852FD6"/>
    <w:rsid w:val="008530F1"/>
    <w:rsid w:val="008530FC"/>
    <w:rsid w:val="008532CE"/>
    <w:rsid w:val="008533E5"/>
    <w:rsid w:val="0085353C"/>
    <w:rsid w:val="00853780"/>
    <w:rsid w:val="00853C4C"/>
    <w:rsid w:val="00853C5C"/>
    <w:rsid w:val="00853ECD"/>
    <w:rsid w:val="00854092"/>
    <w:rsid w:val="008541B4"/>
    <w:rsid w:val="0085438C"/>
    <w:rsid w:val="008544E6"/>
    <w:rsid w:val="0085462E"/>
    <w:rsid w:val="00854676"/>
    <w:rsid w:val="00854735"/>
    <w:rsid w:val="0085487E"/>
    <w:rsid w:val="00854A20"/>
    <w:rsid w:val="00854A95"/>
    <w:rsid w:val="00854EB0"/>
    <w:rsid w:val="00854F2D"/>
    <w:rsid w:val="008551D5"/>
    <w:rsid w:val="00855880"/>
    <w:rsid w:val="008558EF"/>
    <w:rsid w:val="0085594B"/>
    <w:rsid w:val="00855F84"/>
    <w:rsid w:val="00855FC7"/>
    <w:rsid w:val="008560AF"/>
    <w:rsid w:val="00856188"/>
    <w:rsid w:val="0085694F"/>
    <w:rsid w:val="00856C10"/>
    <w:rsid w:val="00856CBB"/>
    <w:rsid w:val="00856CEE"/>
    <w:rsid w:val="00856DA7"/>
    <w:rsid w:val="00856E62"/>
    <w:rsid w:val="00856F2E"/>
    <w:rsid w:val="00857091"/>
    <w:rsid w:val="008573EC"/>
    <w:rsid w:val="0085772D"/>
    <w:rsid w:val="00857767"/>
    <w:rsid w:val="00857AE5"/>
    <w:rsid w:val="00857B42"/>
    <w:rsid w:val="00857D39"/>
    <w:rsid w:val="00857DED"/>
    <w:rsid w:val="00857F8D"/>
    <w:rsid w:val="0086017C"/>
    <w:rsid w:val="008601C9"/>
    <w:rsid w:val="008603AB"/>
    <w:rsid w:val="00860686"/>
    <w:rsid w:val="00860B53"/>
    <w:rsid w:val="00860ED7"/>
    <w:rsid w:val="00861027"/>
    <w:rsid w:val="008610D2"/>
    <w:rsid w:val="008611F0"/>
    <w:rsid w:val="0086126D"/>
    <w:rsid w:val="0086154B"/>
    <w:rsid w:val="00861620"/>
    <w:rsid w:val="00861634"/>
    <w:rsid w:val="0086182B"/>
    <w:rsid w:val="00861A58"/>
    <w:rsid w:val="00861A7F"/>
    <w:rsid w:val="00861A9C"/>
    <w:rsid w:val="00861A9F"/>
    <w:rsid w:val="00861BEF"/>
    <w:rsid w:val="00861C0E"/>
    <w:rsid w:val="008621D4"/>
    <w:rsid w:val="008624DD"/>
    <w:rsid w:val="0086273E"/>
    <w:rsid w:val="008627D3"/>
    <w:rsid w:val="00862894"/>
    <w:rsid w:val="00862918"/>
    <w:rsid w:val="0086292C"/>
    <w:rsid w:val="00862AC9"/>
    <w:rsid w:val="00862ADA"/>
    <w:rsid w:val="00862BA4"/>
    <w:rsid w:val="00862C3C"/>
    <w:rsid w:val="00862D16"/>
    <w:rsid w:val="00862DE5"/>
    <w:rsid w:val="00863527"/>
    <w:rsid w:val="0086368D"/>
    <w:rsid w:val="00863779"/>
    <w:rsid w:val="00863782"/>
    <w:rsid w:val="00863A8C"/>
    <w:rsid w:val="00863CDE"/>
    <w:rsid w:val="00863E1D"/>
    <w:rsid w:val="00863EB2"/>
    <w:rsid w:val="00863F7C"/>
    <w:rsid w:val="00863FE1"/>
    <w:rsid w:val="00864003"/>
    <w:rsid w:val="008640F4"/>
    <w:rsid w:val="0086420F"/>
    <w:rsid w:val="0086452A"/>
    <w:rsid w:val="008645F4"/>
    <w:rsid w:val="008647BB"/>
    <w:rsid w:val="00864E55"/>
    <w:rsid w:val="00864ECC"/>
    <w:rsid w:val="008651D6"/>
    <w:rsid w:val="008651E0"/>
    <w:rsid w:val="0086533A"/>
    <w:rsid w:val="00865374"/>
    <w:rsid w:val="00865474"/>
    <w:rsid w:val="0086563A"/>
    <w:rsid w:val="0086595F"/>
    <w:rsid w:val="0086598E"/>
    <w:rsid w:val="008659F4"/>
    <w:rsid w:val="00865B0B"/>
    <w:rsid w:val="00865BF3"/>
    <w:rsid w:val="00865BFE"/>
    <w:rsid w:val="00865C6C"/>
    <w:rsid w:val="00865D97"/>
    <w:rsid w:val="00865FD4"/>
    <w:rsid w:val="0086606C"/>
    <w:rsid w:val="008660B3"/>
    <w:rsid w:val="008660E4"/>
    <w:rsid w:val="008664A5"/>
    <w:rsid w:val="00866641"/>
    <w:rsid w:val="00866664"/>
    <w:rsid w:val="00866849"/>
    <w:rsid w:val="00866953"/>
    <w:rsid w:val="00866BAE"/>
    <w:rsid w:val="00866C51"/>
    <w:rsid w:val="00866C92"/>
    <w:rsid w:val="00866CC2"/>
    <w:rsid w:val="00866D19"/>
    <w:rsid w:val="008670B8"/>
    <w:rsid w:val="00867106"/>
    <w:rsid w:val="008672C1"/>
    <w:rsid w:val="008676B2"/>
    <w:rsid w:val="00867785"/>
    <w:rsid w:val="00867A07"/>
    <w:rsid w:val="0087012C"/>
    <w:rsid w:val="00870342"/>
    <w:rsid w:val="00870469"/>
    <w:rsid w:val="008704C0"/>
    <w:rsid w:val="0087055D"/>
    <w:rsid w:val="0087092A"/>
    <w:rsid w:val="008709AD"/>
    <w:rsid w:val="00870B3F"/>
    <w:rsid w:val="00870B52"/>
    <w:rsid w:val="00870DB9"/>
    <w:rsid w:val="00870ED2"/>
    <w:rsid w:val="0087104A"/>
    <w:rsid w:val="008711FC"/>
    <w:rsid w:val="00871248"/>
    <w:rsid w:val="00871460"/>
    <w:rsid w:val="008714E6"/>
    <w:rsid w:val="00871A43"/>
    <w:rsid w:val="00871ABF"/>
    <w:rsid w:val="00871D0E"/>
    <w:rsid w:val="00871D5C"/>
    <w:rsid w:val="00871D81"/>
    <w:rsid w:val="00871FE4"/>
    <w:rsid w:val="00872070"/>
    <w:rsid w:val="0087216E"/>
    <w:rsid w:val="008722A8"/>
    <w:rsid w:val="00872394"/>
    <w:rsid w:val="008723B8"/>
    <w:rsid w:val="0087241B"/>
    <w:rsid w:val="00872744"/>
    <w:rsid w:val="0087276B"/>
    <w:rsid w:val="00872959"/>
    <w:rsid w:val="008729FB"/>
    <w:rsid w:val="00872BB8"/>
    <w:rsid w:val="00872D0B"/>
    <w:rsid w:val="00872F1A"/>
    <w:rsid w:val="00872F8A"/>
    <w:rsid w:val="00873140"/>
    <w:rsid w:val="00873355"/>
    <w:rsid w:val="008733C9"/>
    <w:rsid w:val="0087342F"/>
    <w:rsid w:val="00873640"/>
    <w:rsid w:val="0087367F"/>
    <w:rsid w:val="008738F0"/>
    <w:rsid w:val="0087393E"/>
    <w:rsid w:val="0087397A"/>
    <w:rsid w:val="00873C66"/>
    <w:rsid w:val="00873C71"/>
    <w:rsid w:val="00873EC3"/>
    <w:rsid w:val="008740E2"/>
    <w:rsid w:val="00874226"/>
    <w:rsid w:val="00874257"/>
    <w:rsid w:val="008742BF"/>
    <w:rsid w:val="00874813"/>
    <w:rsid w:val="00874892"/>
    <w:rsid w:val="00874A47"/>
    <w:rsid w:val="00874C1A"/>
    <w:rsid w:val="00874FBC"/>
    <w:rsid w:val="008751ED"/>
    <w:rsid w:val="0087526A"/>
    <w:rsid w:val="00875390"/>
    <w:rsid w:val="0087551D"/>
    <w:rsid w:val="00875970"/>
    <w:rsid w:val="00875A1C"/>
    <w:rsid w:val="00875ACC"/>
    <w:rsid w:val="00875BA1"/>
    <w:rsid w:val="00875BB7"/>
    <w:rsid w:val="00875BDA"/>
    <w:rsid w:val="00875D7B"/>
    <w:rsid w:val="00875DEB"/>
    <w:rsid w:val="00875DEE"/>
    <w:rsid w:val="00876074"/>
    <w:rsid w:val="008761C3"/>
    <w:rsid w:val="0087620C"/>
    <w:rsid w:val="008765B6"/>
    <w:rsid w:val="008765D7"/>
    <w:rsid w:val="0087668B"/>
    <w:rsid w:val="008766DF"/>
    <w:rsid w:val="00876794"/>
    <w:rsid w:val="008767CF"/>
    <w:rsid w:val="00876B30"/>
    <w:rsid w:val="00876B76"/>
    <w:rsid w:val="00876C5A"/>
    <w:rsid w:val="00876D3C"/>
    <w:rsid w:val="00876D63"/>
    <w:rsid w:val="00876E41"/>
    <w:rsid w:val="00876EE7"/>
    <w:rsid w:val="00876F73"/>
    <w:rsid w:val="00877035"/>
    <w:rsid w:val="008770FC"/>
    <w:rsid w:val="008773B1"/>
    <w:rsid w:val="00877484"/>
    <w:rsid w:val="008774CB"/>
    <w:rsid w:val="0087761F"/>
    <w:rsid w:val="00877861"/>
    <w:rsid w:val="00877988"/>
    <w:rsid w:val="00877C77"/>
    <w:rsid w:val="00877C7B"/>
    <w:rsid w:val="00877D5D"/>
    <w:rsid w:val="00877EC2"/>
    <w:rsid w:val="00877F89"/>
    <w:rsid w:val="00880136"/>
    <w:rsid w:val="0088042E"/>
    <w:rsid w:val="0088048A"/>
    <w:rsid w:val="008807BD"/>
    <w:rsid w:val="00880814"/>
    <w:rsid w:val="008808E4"/>
    <w:rsid w:val="008809EB"/>
    <w:rsid w:val="00880CD8"/>
    <w:rsid w:val="008810C5"/>
    <w:rsid w:val="008810E9"/>
    <w:rsid w:val="008810F0"/>
    <w:rsid w:val="00881340"/>
    <w:rsid w:val="008813FB"/>
    <w:rsid w:val="00881438"/>
    <w:rsid w:val="00881457"/>
    <w:rsid w:val="0088177E"/>
    <w:rsid w:val="00881841"/>
    <w:rsid w:val="00881912"/>
    <w:rsid w:val="00881E8D"/>
    <w:rsid w:val="00881EEA"/>
    <w:rsid w:val="008820C2"/>
    <w:rsid w:val="00882259"/>
    <w:rsid w:val="00882396"/>
    <w:rsid w:val="00882495"/>
    <w:rsid w:val="00882698"/>
    <w:rsid w:val="00882709"/>
    <w:rsid w:val="008827C2"/>
    <w:rsid w:val="00882848"/>
    <w:rsid w:val="008828EF"/>
    <w:rsid w:val="008829AA"/>
    <w:rsid w:val="00882B2B"/>
    <w:rsid w:val="00882BDD"/>
    <w:rsid w:val="00882DD1"/>
    <w:rsid w:val="00882EFD"/>
    <w:rsid w:val="008831B1"/>
    <w:rsid w:val="00883311"/>
    <w:rsid w:val="0088340F"/>
    <w:rsid w:val="00883440"/>
    <w:rsid w:val="008834F8"/>
    <w:rsid w:val="008836BC"/>
    <w:rsid w:val="008836F7"/>
    <w:rsid w:val="00883740"/>
    <w:rsid w:val="008837CC"/>
    <w:rsid w:val="00883827"/>
    <w:rsid w:val="00883925"/>
    <w:rsid w:val="00883AA5"/>
    <w:rsid w:val="00883BB8"/>
    <w:rsid w:val="00883E74"/>
    <w:rsid w:val="00883F3B"/>
    <w:rsid w:val="00884017"/>
    <w:rsid w:val="00884199"/>
    <w:rsid w:val="0088420F"/>
    <w:rsid w:val="00884251"/>
    <w:rsid w:val="0088438D"/>
    <w:rsid w:val="00884665"/>
    <w:rsid w:val="0088467D"/>
    <w:rsid w:val="00884696"/>
    <w:rsid w:val="00884745"/>
    <w:rsid w:val="008847E2"/>
    <w:rsid w:val="00884960"/>
    <w:rsid w:val="008849D1"/>
    <w:rsid w:val="00884A0C"/>
    <w:rsid w:val="00884AB6"/>
    <w:rsid w:val="00884C1C"/>
    <w:rsid w:val="00884DDF"/>
    <w:rsid w:val="00884EDF"/>
    <w:rsid w:val="0088504E"/>
    <w:rsid w:val="008850BC"/>
    <w:rsid w:val="0088514E"/>
    <w:rsid w:val="00885193"/>
    <w:rsid w:val="008851BE"/>
    <w:rsid w:val="00885429"/>
    <w:rsid w:val="008856E6"/>
    <w:rsid w:val="0088570E"/>
    <w:rsid w:val="0088581D"/>
    <w:rsid w:val="00885867"/>
    <w:rsid w:val="00885947"/>
    <w:rsid w:val="00885990"/>
    <w:rsid w:val="00885C2F"/>
    <w:rsid w:val="00885DAF"/>
    <w:rsid w:val="00886092"/>
    <w:rsid w:val="00886268"/>
    <w:rsid w:val="0088647C"/>
    <w:rsid w:val="008864FA"/>
    <w:rsid w:val="0088661A"/>
    <w:rsid w:val="00886634"/>
    <w:rsid w:val="00886A85"/>
    <w:rsid w:val="00886BC8"/>
    <w:rsid w:val="00886E4B"/>
    <w:rsid w:val="00886EE6"/>
    <w:rsid w:val="0088705B"/>
    <w:rsid w:val="008871ED"/>
    <w:rsid w:val="008872BF"/>
    <w:rsid w:val="00887466"/>
    <w:rsid w:val="0088751F"/>
    <w:rsid w:val="00887646"/>
    <w:rsid w:val="0088764C"/>
    <w:rsid w:val="0088775F"/>
    <w:rsid w:val="00887984"/>
    <w:rsid w:val="00887A98"/>
    <w:rsid w:val="00887B63"/>
    <w:rsid w:val="00887D2F"/>
    <w:rsid w:val="008900A0"/>
    <w:rsid w:val="008900C7"/>
    <w:rsid w:val="00890142"/>
    <w:rsid w:val="00890393"/>
    <w:rsid w:val="0089044D"/>
    <w:rsid w:val="0089055A"/>
    <w:rsid w:val="00890593"/>
    <w:rsid w:val="008905D1"/>
    <w:rsid w:val="008907E9"/>
    <w:rsid w:val="00890947"/>
    <w:rsid w:val="00890A0F"/>
    <w:rsid w:val="00890B91"/>
    <w:rsid w:val="00890C7F"/>
    <w:rsid w:val="00890CB4"/>
    <w:rsid w:val="00890CC9"/>
    <w:rsid w:val="00890DA5"/>
    <w:rsid w:val="008913C6"/>
    <w:rsid w:val="00891565"/>
    <w:rsid w:val="0089180F"/>
    <w:rsid w:val="008918F8"/>
    <w:rsid w:val="00891939"/>
    <w:rsid w:val="00891AAC"/>
    <w:rsid w:val="00891C09"/>
    <w:rsid w:val="00891EF1"/>
    <w:rsid w:val="0089217C"/>
    <w:rsid w:val="00892254"/>
    <w:rsid w:val="008924AD"/>
    <w:rsid w:val="0089259C"/>
    <w:rsid w:val="00892925"/>
    <w:rsid w:val="00892B0D"/>
    <w:rsid w:val="00892B4E"/>
    <w:rsid w:val="00892E24"/>
    <w:rsid w:val="00892E49"/>
    <w:rsid w:val="00892F41"/>
    <w:rsid w:val="00892F91"/>
    <w:rsid w:val="008930BD"/>
    <w:rsid w:val="0089319D"/>
    <w:rsid w:val="008931F9"/>
    <w:rsid w:val="00893642"/>
    <w:rsid w:val="00893768"/>
    <w:rsid w:val="0089377F"/>
    <w:rsid w:val="00893A19"/>
    <w:rsid w:val="00893AEE"/>
    <w:rsid w:val="00893B2B"/>
    <w:rsid w:val="00893B74"/>
    <w:rsid w:val="00893BE2"/>
    <w:rsid w:val="00893C1E"/>
    <w:rsid w:val="00893E03"/>
    <w:rsid w:val="00893E13"/>
    <w:rsid w:val="00893E7F"/>
    <w:rsid w:val="00893EA4"/>
    <w:rsid w:val="00893FD6"/>
    <w:rsid w:val="00894018"/>
    <w:rsid w:val="0089409F"/>
    <w:rsid w:val="0089441A"/>
    <w:rsid w:val="0089459E"/>
    <w:rsid w:val="008947C5"/>
    <w:rsid w:val="00894BED"/>
    <w:rsid w:val="00894C6C"/>
    <w:rsid w:val="00894C8F"/>
    <w:rsid w:val="00894D8D"/>
    <w:rsid w:val="00894E32"/>
    <w:rsid w:val="00894E81"/>
    <w:rsid w:val="00894F0C"/>
    <w:rsid w:val="00894F6F"/>
    <w:rsid w:val="008950D1"/>
    <w:rsid w:val="00895234"/>
    <w:rsid w:val="0089534D"/>
    <w:rsid w:val="00895362"/>
    <w:rsid w:val="008953DB"/>
    <w:rsid w:val="00895543"/>
    <w:rsid w:val="00895790"/>
    <w:rsid w:val="008957C5"/>
    <w:rsid w:val="00895910"/>
    <w:rsid w:val="00895AD2"/>
    <w:rsid w:val="00895C76"/>
    <w:rsid w:val="00895E42"/>
    <w:rsid w:val="00895FD6"/>
    <w:rsid w:val="0089600A"/>
    <w:rsid w:val="008964E6"/>
    <w:rsid w:val="0089653C"/>
    <w:rsid w:val="008966B2"/>
    <w:rsid w:val="00896A57"/>
    <w:rsid w:val="00896B71"/>
    <w:rsid w:val="00896E0E"/>
    <w:rsid w:val="00896F56"/>
    <w:rsid w:val="00897047"/>
    <w:rsid w:val="008971AE"/>
    <w:rsid w:val="0089725D"/>
    <w:rsid w:val="00897269"/>
    <w:rsid w:val="008972B1"/>
    <w:rsid w:val="008973D8"/>
    <w:rsid w:val="008973DF"/>
    <w:rsid w:val="00897BD5"/>
    <w:rsid w:val="00897CC9"/>
    <w:rsid w:val="00897EB3"/>
    <w:rsid w:val="008A0626"/>
    <w:rsid w:val="008A062B"/>
    <w:rsid w:val="008A0925"/>
    <w:rsid w:val="008A0C6B"/>
    <w:rsid w:val="008A1152"/>
    <w:rsid w:val="008A1243"/>
    <w:rsid w:val="008A139B"/>
    <w:rsid w:val="008A14F6"/>
    <w:rsid w:val="008A1690"/>
    <w:rsid w:val="008A16D1"/>
    <w:rsid w:val="008A1724"/>
    <w:rsid w:val="008A1994"/>
    <w:rsid w:val="008A19F5"/>
    <w:rsid w:val="008A1AC3"/>
    <w:rsid w:val="008A1B18"/>
    <w:rsid w:val="008A1DB6"/>
    <w:rsid w:val="008A1EDF"/>
    <w:rsid w:val="008A1EFD"/>
    <w:rsid w:val="008A1F3D"/>
    <w:rsid w:val="008A22E3"/>
    <w:rsid w:val="008A232C"/>
    <w:rsid w:val="008A2351"/>
    <w:rsid w:val="008A23AF"/>
    <w:rsid w:val="008A248C"/>
    <w:rsid w:val="008A25AC"/>
    <w:rsid w:val="008A2611"/>
    <w:rsid w:val="008A271D"/>
    <w:rsid w:val="008A2747"/>
    <w:rsid w:val="008A28B7"/>
    <w:rsid w:val="008A28EE"/>
    <w:rsid w:val="008A29AA"/>
    <w:rsid w:val="008A2BB6"/>
    <w:rsid w:val="008A2E04"/>
    <w:rsid w:val="008A30AA"/>
    <w:rsid w:val="008A31A5"/>
    <w:rsid w:val="008A3400"/>
    <w:rsid w:val="008A34AB"/>
    <w:rsid w:val="008A351D"/>
    <w:rsid w:val="008A3716"/>
    <w:rsid w:val="008A37A2"/>
    <w:rsid w:val="008A3823"/>
    <w:rsid w:val="008A39D0"/>
    <w:rsid w:val="008A3ACB"/>
    <w:rsid w:val="008A3E7E"/>
    <w:rsid w:val="008A3F5C"/>
    <w:rsid w:val="008A47D0"/>
    <w:rsid w:val="008A47FA"/>
    <w:rsid w:val="008A4943"/>
    <w:rsid w:val="008A4ACF"/>
    <w:rsid w:val="008A4B2E"/>
    <w:rsid w:val="008A4C39"/>
    <w:rsid w:val="008A4E00"/>
    <w:rsid w:val="008A51A5"/>
    <w:rsid w:val="008A5227"/>
    <w:rsid w:val="008A56CE"/>
    <w:rsid w:val="008A5799"/>
    <w:rsid w:val="008A57D8"/>
    <w:rsid w:val="008A59F8"/>
    <w:rsid w:val="008A5AE4"/>
    <w:rsid w:val="008A5BBB"/>
    <w:rsid w:val="008A5C87"/>
    <w:rsid w:val="008A5DEE"/>
    <w:rsid w:val="008A5E2E"/>
    <w:rsid w:val="008A5EE8"/>
    <w:rsid w:val="008A5FFE"/>
    <w:rsid w:val="008A6123"/>
    <w:rsid w:val="008A6259"/>
    <w:rsid w:val="008A62DE"/>
    <w:rsid w:val="008A6523"/>
    <w:rsid w:val="008A6834"/>
    <w:rsid w:val="008A68C8"/>
    <w:rsid w:val="008A6ACB"/>
    <w:rsid w:val="008A6BBA"/>
    <w:rsid w:val="008A6EE4"/>
    <w:rsid w:val="008A70AD"/>
    <w:rsid w:val="008A70B3"/>
    <w:rsid w:val="008A7794"/>
    <w:rsid w:val="008A78C4"/>
    <w:rsid w:val="008A7C74"/>
    <w:rsid w:val="008A7FB3"/>
    <w:rsid w:val="008B00C4"/>
    <w:rsid w:val="008B018D"/>
    <w:rsid w:val="008B05AE"/>
    <w:rsid w:val="008B0A69"/>
    <w:rsid w:val="008B0B66"/>
    <w:rsid w:val="008B0C03"/>
    <w:rsid w:val="008B0F8B"/>
    <w:rsid w:val="008B11A4"/>
    <w:rsid w:val="008B1227"/>
    <w:rsid w:val="008B14BD"/>
    <w:rsid w:val="008B14F5"/>
    <w:rsid w:val="008B1607"/>
    <w:rsid w:val="008B189F"/>
    <w:rsid w:val="008B18D4"/>
    <w:rsid w:val="008B18DA"/>
    <w:rsid w:val="008B1981"/>
    <w:rsid w:val="008B1B1C"/>
    <w:rsid w:val="008B1D72"/>
    <w:rsid w:val="008B1D79"/>
    <w:rsid w:val="008B1DA5"/>
    <w:rsid w:val="008B1FEE"/>
    <w:rsid w:val="008B20B7"/>
    <w:rsid w:val="008B218B"/>
    <w:rsid w:val="008B239C"/>
    <w:rsid w:val="008B2403"/>
    <w:rsid w:val="008B24E6"/>
    <w:rsid w:val="008B2550"/>
    <w:rsid w:val="008B2891"/>
    <w:rsid w:val="008B2C35"/>
    <w:rsid w:val="008B2CD7"/>
    <w:rsid w:val="008B2D3A"/>
    <w:rsid w:val="008B2E43"/>
    <w:rsid w:val="008B2EAF"/>
    <w:rsid w:val="008B303A"/>
    <w:rsid w:val="008B318A"/>
    <w:rsid w:val="008B3190"/>
    <w:rsid w:val="008B32D2"/>
    <w:rsid w:val="008B3664"/>
    <w:rsid w:val="008B3683"/>
    <w:rsid w:val="008B3860"/>
    <w:rsid w:val="008B38CE"/>
    <w:rsid w:val="008B3BE6"/>
    <w:rsid w:val="008B3CA3"/>
    <w:rsid w:val="008B3F71"/>
    <w:rsid w:val="008B3F72"/>
    <w:rsid w:val="008B4148"/>
    <w:rsid w:val="008B4157"/>
    <w:rsid w:val="008B45E6"/>
    <w:rsid w:val="008B4643"/>
    <w:rsid w:val="008B4649"/>
    <w:rsid w:val="008B4866"/>
    <w:rsid w:val="008B4999"/>
    <w:rsid w:val="008B4EFB"/>
    <w:rsid w:val="008B509B"/>
    <w:rsid w:val="008B5195"/>
    <w:rsid w:val="008B523B"/>
    <w:rsid w:val="008B52A4"/>
    <w:rsid w:val="008B54AF"/>
    <w:rsid w:val="008B5785"/>
    <w:rsid w:val="008B5922"/>
    <w:rsid w:val="008B596C"/>
    <w:rsid w:val="008B5A07"/>
    <w:rsid w:val="008B5A83"/>
    <w:rsid w:val="008B5C8B"/>
    <w:rsid w:val="008B5CAE"/>
    <w:rsid w:val="008B5D28"/>
    <w:rsid w:val="008B5D3A"/>
    <w:rsid w:val="008B5D44"/>
    <w:rsid w:val="008B5D6E"/>
    <w:rsid w:val="008B5EA0"/>
    <w:rsid w:val="008B5F39"/>
    <w:rsid w:val="008B6171"/>
    <w:rsid w:val="008B61DC"/>
    <w:rsid w:val="008B632E"/>
    <w:rsid w:val="008B651E"/>
    <w:rsid w:val="008B6771"/>
    <w:rsid w:val="008B681B"/>
    <w:rsid w:val="008B68E9"/>
    <w:rsid w:val="008B6983"/>
    <w:rsid w:val="008B6B59"/>
    <w:rsid w:val="008B6C1B"/>
    <w:rsid w:val="008B705B"/>
    <w:rsid w:val="008B7381"/>
    <w:rsid w:val="008B7898"/>
    <w:rsid w:val="008B78FD"/>
    <w:rsid w:val="008B78FF"/>
    <w:rsid w:val="008B7F18"/>
    <w:rsid w:val="008B7F6E"/>
    <w:rsid w:val="008C008D"/>
    <w:rsid w:val="008C01CC"/>
    <w:rsid w:val="008C043E"/>
    <w:rsid w:val="008C044E"/>
    <w:rsid w:val="008C0693"/>
    <w:rsid w:val="008C071A"/>
    <w:rsid w:val="008C073A"/>
    <w:rsid w:val="008C0740"/>
    <w:rsid w:val="008C077A"/>
    <w:rsid w:val="008C08B2"/>
    <w:rsid w:val="008C0934"/>
    <w:rsid w:val="008C0A2D"/>
    <w:rsid w:val="008C0A57"/>
    <w:rsid w:val="008C1086"/>
    <w:rsid w:val="008C1107"/>
    <w:rsid w:val="008C1251"/>
    <w:rsid w:val="008C12A5"/>
    <w:rsid w:val="008C131B"/>
    <w:rsid w:val="008C1320"/>
    <w:rsid w:val="008C156E"/>
    <w:rsid w:val="008C160F"/>
    <w:rsid w:val="008C16B9"/>
    <w:rsid w:val="008C19B4"/>
    <w:rsid w:val="008C1CA3"/>
    <w:rsid w:val="008C1CAC"/>
    <w:rsid w:val="008C1CB2"/>
    <w:rsid w:val="008C1E1C"/>
    <w:rsid w:val="008C1E64"/>
    <w:rsid w:val="008C2164"/>
    <w:rsid w:val="008C21D0"/>
    <w:rsid w:val="008C23DF"/>
    <w:rsid w:val="008C240A"/>
    <w:rsid w:val="008C261B"/>
    <w:rsid w:val="008C27B8"/>
    <w:rsid w:val="008C28FE"/>
    <w:rsid w:val="008C2C91"/>
    <w:rsid w:val="008C2EE3"/>
    <w:rsid w:val="008C2F84"/>
    <w:rsid w:val="008C2F94"/>
    <w:rsid w:val="008C30BF"/>
    <w:rsid w:val="008C3278"/>
    <w:rsid w:val="008C3302"/>
    <w:rsid w:val="008C33E8"/>
    <w:rsid w:val="008C35BD"/>
    <w:rsid w:val="008C361C"/>
    <w:rsid w:val="008C38AE"/>
    <w:rsid w:val="008C3B88"/>
    <w:rsid w:val="008C3BCC"/>
    <w:rsid w:val="008C3DFC"/>
    <w:rsid w:val="008C3ED1"/>
    <w:rsid w:val="008C401A"/>
    <w:rsid w:val="008C40EC"/>
    <w:rsid w:val="008C418D"/>
    <w:rsid w:val="008C4271"/>
    <w:rsid w:val="008C42DF"/>
    <w:rsid w:val="008C44D8"/>
    <w:rsid w:val="008C45AE"/>
    <w:rsid w:val="008C46E4"/>
    <w:rsid w:val="008C4A6B"/>
    <w:rsid w:val="008C4B8A"/>
    <w:rsid w:val="008C4D84"/>
    <w:rsid w:val="008C4DB2"/>
    <w:rsid w:val="008C5493"/>
    <w:rsid w:val="008C554D"/>
    <w:rsid w:val="008C5589"/>
    <w:rsid w:val="008C5840"/>
    <w:rsid w:val="008C58AE"/>
    <w:rsid w:val="008C5B1A"/>
    <w:rsid w:val="008C5B22"/>
    <w:rsid w:val="008C5BAF"/>
    <w:rsid w:val="008C5CE4"/>
    <w:rsid w:val="008C5E5C"/>
    <w:rsid w:val="008C5E9E"/>
    <w:rsid w:val="008C60BB"/>
    <w:rsid w:val="008C61BA"/>
    <w:rsid w:val="008C61F4"/>
    <w:rsid w:val="008C645E"/>
    <w:rsid w:val="008C6468"/>
    <w:rsid w:val="008C64FE"/>
    <w:rsid w:val="008C6546"/>
    <w:rsid w:val="008C65B1"/>
    <w:rsid w:val="008C6A83"/>
    <w:rsid w:val="008C6AB8"/>
    <w:rsid w:val="008C6AF6"/>
    <w:rsid w:val="008C6CCA"/>
    <w:rsid w:val="008C6E08"/>
    <w:rsid w:val="008C70B9"/>
    <w:rsid w:val="008C7114"/>
    <w:rsid w:val="008C72F3"/>
    <w:rsid w:val="008C7686"/>
    <w:rsid w:val="008C76D4"/>
    <w:rsid w:val="008C76D8"/>
    <w:rsid w:val="008C7722"/>
    <w:rsid w:val="008C77DC"/>
    <w:rsid w:val="008C7804"/>
    <w:rsid w:val="008C78CD"/>
    <w:rsid w:val="008C79F5"/>
    <w:rsid w:val="008C7A2B"/>
    <w:rsid w:val="008C7E57"/>
    <w:rsid w:val="008C7EB6"/>
    <w:rsid w:val="008D00B3"/>
    <w:rsid w:val="008D035D"/>
    <w:rsid w:val="008D03A4"/>
    <w:rsid w:val="008D0477"/>
    <w:rsid w:val="008D053A"/>
    <w:rsid w:val="008D059D"/>
    <w:rsid w:val="008D05F6"/>
    <w:rsid w:val="008D0602"/>
    <w:rsid w:val="008D0900"/>
    <w:rsid w:val="008D0B45"/>
    <w:rsid w:val="008D0BF9"/>
    <w:rsid w:val="008D0C02"/>
    <w:rsid w:val="008D0D6A"/>
    <w:rsid w:val="008D0EBE"/>
    <w:rsid w:val="008D1058"/>
    <w:rsid w:val="008D1116"/>
    <w:rsid w:val="008D1166"/>
    <w:rsid w:val="008D12FA"/>
    <w:rsid w:val="008D1470"/>
    <w:rsid w:val="008D1700"/>
    <w:rsid w:val="008D1895"/>
    <w:rsid w:val="008D18E1"/>
    <w:rsid w:val="008D1917"/>
    <w:rsid w:val="008D1B14"/>
    <w:rsid w:val="008D1BFE"/>
    <w:rsid w:val="008D1CCC"/>
    <w:rsid w:val="008D1F20"/>
    <w:rsid w:val="008D2402"/>
    <w:rsid w:val="008D25E2"/>
    <w:rsid w:val="008D2692"/>
    <w:rsid w:val="008D26A4"/>
    <w:rsid w:val="008D287B"/>
    <w:rsid w:val="008D2AC1"/>
    <w:rsid w:val="008D2B3D"/>
    <w:rsid w:val="008D2B64"/>
    <w:rsid w:val="008D35A2"/>
    <w:rsid w:val="008D3634"/>
    <w:rsid w:val="008D38CC"/>
    <w:rsid w:val="008D38D2"/>
    <w:rsid w:val="008D3A65"/>
    <w:rsid w:val="008D3AEE"/>
    <w:rsid w:val="008D3DC8"/>
    <w:rsid w:val="008D3F19"/>
    <w:rsid w:val="008D40D6"/>
    <w:rsid w:val="008D41C2"/>
    <w:rsid w:val="008D42EE"/>
    <w:rsid w:val="008D42F6"/>
    <w:rsid w:val="008D45A0"/>
    <w:rsid w:val="008D4660"/>
    <w:rsid w:val="008D468D"/>
    <w:rsid w:val="008D46A6"/>
    <w:rsid w:val="008D48D8"/>
    <w:rsid w:val="008D49AB"/>
    <w:rsid w:val="008D4CAA"/>
    <w:rsid w:val="008D4D20"/>
    <w:rsid w:val="008D4D27"/>
    <w:rsid w:val="008D4D79"/>
    <w:rsid w:val="008D4F3F"/>
    <w:rsid w:val="008D4F5A"/>
    <w:rsid w:val="008D4FB7"/>
    <w:rsid w:val="008D50F3"/>
    <w:rsid w:val="008D530C"/>
    <w:rsid w:val="008D5350"/>
    <w:rsid w:val="008D5357"/>
    <w:rsid w:val="008D537A"/>
    <w:rsid w:val="008D5605"/>
    <w:rsid w:val="008D5848"/>
    <w:rsid w:val="008D5967"/>
    <w:rsid w:val="008D5CD1"/>
    <w:rsid w:val="008D5FE6"/>
    <w:rsid w:val="008D6112"/>
    <w:rsid w:val="008D625F"/>
    <w:rsid w:val="008D640C"/>
    <w:rsid w:val="008D6462"/>
    <w:rsid w:val="008D68B3"/>
    <w:rsid w:val="008D6A6D"/>
    <w:rsid w:val="008D6DA3"/>
    <w:rsid w:val="008D6E04"/>
    <w:rsid w:val="008D6EA8"/>
    <w:rsid w:val="008D6FA7"/>
    <w:rsid w:val="008D701F"/>
    <w:rsid w:val="008D70A2"/>
    <w:rsid w:val="008D7526"/>
    <w:rsid w:val="008D7604"/>
    <w:rsid w:val="008D7649"/>
    <w:rsid w:val="008D769C"/>
    <w:rsid w:val="008D7D56"/>
    <w:rsid w:val="008D7D57"/>
    <w:rsid w:val="008D7E08"/>
    <w:rsid w:val="008D7EA8"/>
    <w:rsid w:val="008D7F02"/>
    <w:rsid w:val="008E008A"/>
    <w:rsid w:val="008E010D"/>
    <w:rsid w:val="008E0118"/>
    <w:rsid w:val="008E01FE"/>
    <w:rsid w:val="008E023B"/>
    <w:rsid w:val="008E03C9"/>
    <w:rsid w:val="008E0773"/>
    <w:rsid w:val="008E0A3C"/>
    <w:rsid w:val="008E0B5D"/>
    <w:rsid w:val="008E0BC6"/>
    <w:rsid w:val="008E0C43"/>
    <w:rsid w:val="008E0CC9"/>
    <w:rsid w:val="008E1352"/>
    <w:rsid w:val="008E14AB"/>
    <w:rsid w:val="008E14CE"/>
    <w:rsid w:val="008E1596"/>
    <w:rsid w:val="008E161C"/>
    <w:rsid w:val="008E17C0"/>
    <w:rsid w:val="008E1857"/>
    <w:rsid w:val="008E1929"/>
    <w:rsid w:val="008E1965"/>
    <w:rsid w:val="008E1A20"/>
    <w:rsid w:val="008E1AD4"/>
    <w:rsid w:val="008E1F9C"/>
    <w:rsid w:val="008E2000"/>
    <w:rsid w:val="008E20DE"/>
    <w:rsid w:val="008E2346"/>
    <w:rsid w:val="008E27DD"/>
    <w:rsid w:val="008E2B9E"/>
    <w:rsid w:val="008E2F1E"/>
    <w:rsid w:val="008E2F67"/>
    <w:rsid w:val="008E3000"/>
    <w:rsid w:val="008E324F"/>
    <w:rsid w:val="008E32B1"/>
    <w:rsid w:val="008E33FE"/>
    <w:rsid w:val="008E360E"/>
    <w:rsid w:val="008E3616"/>
    <w:rsid w:val="008E361E"/>
    <w:rsid w:val="008E363F"/>
    <w:rsid w:val="008E373C"/>
    <w:rsid w:val="008E3896"/>
    <w:rsid w:val="008E3B5F"/>
    <w:rsid w:val="008E3BB6"/>
    <w:rsid w:val="008E3D2F"/>
    <w:rsid w:val="008E4015"/>
    <w:rsid w:val="008E40C1"/>
    <w:rsid w:val="008E40D6"/>
    <w:rsid w:val="008E463F"/>
    <w:rsid w:val="008E46C0"/>
    <w:rsid w:val="008E4729"/>
    <w:rsid w:val="008E481C"/>
    <w:rsid w:val="008E4929"/>
    <w:rsid w:val="008E4B1F"/>
    <w:rsid w:val="008E4CC3"/>
    <w:rsid w:val="008E4DD8"/>
    <w:rsid w:val="008E4DEF"/>
    <w:rsid w:val="008E4EB3"/>
    <w:rsid w:val="008E5028"/>
    <w:rsid w:val="008E502C"/>
    <w:rsid w:val="008E5614"/>
    <w:rsid w:val="008E5705"/>
    <w:rsid w:val="008E57B5"/>
    <w:rsid w:val="008E580F"/>
    <w:rsid w:val="008E5951"/>
    <w:rsid w:val="008E5B49"/>
    <w:rsid w:val="008E5DA8"/>
    <w:rsid w:val="008E63D6"/>
    <w:rsid w:val="008E63DA"/>
    <w:rsid w:val="008E6481"/>
    <w:rsid w:val="008E64A4"/>
    <w:rsid w:val="008E658C"/>
    <w:rsid w:val="008E6605"/>
    <w:rsid w:val="008E674A"/>
    <w:rsid w:val="008E67CA"/>
    <w:rsid w:val="008E6B76"/>
    <w:rsid w:val="008E6E1B"/>
    <w:rsid w:val="008E6E9D"/>
    <w:rsid w:val="008E6EEB"/>
    <w:rsid w:val="008E6F77"/>
    <w:rsid w:val="008E6F7A"/>
    <w:rsid w:val="008E7140"/>
    <w:rsid w:val="008E7550"/>
    <w:rsid w:val="008E76B3"/>
    <w:rsid w:val="008E7725"/>
    <w:rsid w:val="008E7B33"/>
    <w:rsid w:val="008E7C75"/>
    <w:rsid w:val="008E7DFB"/>
    <w:rsid w:val="008E7F12"/>
    <w:rsid w:val="008E7F80"/>
    <w:rsid w:val="008E7FAD"/>
    <w:rsid w:val="008F00AE"/>
    <w:rsid w:val="008F02C9"/>
    <w:rsid w:val="008F0573"/>
    <w:rsid w:val="008F073A"/>
    <w:rsid w:val="008F07B8"/>
    <w:rsid w:val="008F0ADE"/>
    <w:rsid w:val="008F0C9C"/>
    <w:rsid w:val="008F0D0D"/>
    <w:rsid w:val="008F0DCB"/>
    <w:rsid w:val="008F0DE7"/>
    <w:rsid w:val="008F0F5E"/>
    <w:rsid w:val="008F12F9"/>
    <w:rsid w:val="008F1731"/>
    <w:rsid w:val="008F17C9"/>
    <w:rsid w:val="008F17FE"/>
    <w:rsid w:val="008F1AEB"/>
    <w:rsid w:val="008F1DC7"/>
    <w:rsid w:val="008F225E"/>
    <w:rsid w:val="008F2296"/>
    <w:rsid w:val="008F2388"/>
    <w:rsid w:val="008F245B"/>
    <w:rsid w:val="008F2800"/>
    <w:rsid w:val="008F2946"/>
    <w:rsid w:val="008F2A7E"/>
    <w:rsid w:val="008F2B7B"/>
    <w:rsid w:val="008F2F16"/>
    <w:rsid w:val="008F3064"/>
    <w:rsid w:val="008F37B9"/>
    <w:rsid w:val="008F38D8"/>
    <w:rsid w:val="008F3F88"/>
    <w:rsid w:val="008F3F8E"/>
    <w:rsid w:val="008F40F4"/>
    <w:rsid w:val="008F43D0"/>
    <w:rsid w:val="008F4436"/>
    <w:rsid w:val="008F44D4"/>
    <w:rsid w:val="008F47F1"/>
    <w:rsid w:val="008F48C3"/>
    <w:rsid w:val="008F491D"/>
    <w:rsid w:val="008F4A42"/>
    <w:rsid w:val="008F4C48"/>
    <w:rsid w:val="008F4C81"/>
    <w:rsid w:val="008F50C4"/>
    <w:rsid w:val="008F515F"/>
    <w:rsid w:val="008F51C1"/>
    <w:rsid w:val="008F5207"/>
    <w:rsid w:val="008F520A"/>
    <w:rsid w:val="008F52E4"/>
    <w:rsid w:val="008F5312"/>
    <w:rsid w:val="008F5615"/>
    <w:rsid w:val="008F5697"/>
    <w:rsid w:val="008F59C0"/>
    <w:rsid w:val="008F5B8B"/>
    <w:rsid w:val="008F5D08"/>
    <w:rsid w:val="008F5D65"/>
    <w:rsid w:val="008F6021"/>
    <w:rsid w:val="008F606F"/>
    <w:rsid w:val="008F62F8"/>
    <w:rsid w:val="008F641A"/>
    <w:rsid w:val="008F643C"/>
    <w:rsid w:val="008F6597"/>
    <w:rsid w:val="008F6728"/>
    <w:rsid w:val="008F6B00"/>
    <w:rsid w:val="008F6D74"/>
    <w:rsid w:val="008F6E7C"/>
    <w:rsid w:val="008F7095"/>
    <w:rsid w:val="008F71CF"/>
    <w:rsid w:val="008F7265"/>
    <w:rsid w:val="008F72FC"/>
    <w:rsid w:val="008F7676"/>
    <w:rsid w:val="008F76A2"/>
    <w:rsid w:val="008F7858"/>
    <w:rsid w:val="008F793B"/>
    <w:rsid w:val="008F79BB"/>
    <w:rsid w:val="008F7A59"/>
    <w:rsid w:val="008F7A92"/>
    <w:rsid w:val="008F7B41"/>
    <w:rsid w:val="008F7B48"/>
    <w:rsid w:val="008F7BC4"/>
    <w:rsid w:val="008F7ED8"/>
    <w:rsid w:val="008F7FFA"/>
    <w:rsid w:val="00900172"/>
    <w:rsid w:val="00900209"/>
    <w:rsid w:val="009003A0"/>
    <w:rsid w:val="0090050E"/>
    <w:rsid w:val="009005B5"/>
    <w:rsid w:val="009006E9"/>
    <w:rsid w:val="009007D6"/>
    <w:rsid w:val="00900851"/>
    <w:rsid w:val="00900A8F"/>
    <w:rsid w:val="00900AFD"/>
    <w:rsid w:val="00900C65"/>
    <w:rsid w:val="00900FAC"/>
    <w:rsid w:val="0090103F"/>
    <w:rsid w:val="00901100"/>
    <w:rsid w:val="009013D0"/>
    <w:rsid w:val="00901631"/>
    <w:rsid w:val="00901637"/>
    <w:rsid w:val="00901683"/>
    <w:rsid w:val="00901E5D"/>
    <w:rsid w:val="0090201F"/>
    <w:rsid w:val="0090206C"/>
    <w:rsid w:val="009020A4"/>
    <w:rsid w:val="00902104"/>
    <w:rsid w:val="00902181"/>
    <w:rsid w:val="0090261A"/>
    <w:rsid w:val="0090269D"/>
    <w:rsid w:val="00902840"/>
    <w:rsid w:val="009028FA"/>
    <w:rsid w:val="0090295C"/>
    <w:rsid w:val="009029E6"/>
    <w:rsid w:val="009029EE"/>
    <w:rsid w:val="00902C8D"/>
    <w:rsid w:val="00902CA1"/>
    <w:rsid w:val="00902CAC"/>
    <w:rsid w:val="00902DFA"/>
    <w:rsid w:val="00902F55"/>
    <w:rsid w:val="009030F6"/>
    <w:rsid w:val="009032C2"/>
    <w:rsid w:val="009032EB"/>
    <w:rsid w:val="009035AA"/>
    <w:rsid w:val="00903972"/>
    <w:rsid w:val="00903B44"/>
    <w:rsid w:val="00903D0F"/>
    <w:rsid w:val="00903D43"/>
    <w:rsid w:val="00903D44"/>
    <w:rsid w:val="00903EA0"/>
    <w:rsid w:val="00903FA2"/>
    <w:rsid w:val="00904179"/>
    <w:rsid w:val="00904220"/>
    <w:rsid w:val="00904393"/>
    <w:rsid w:val="009044D4"/>
    <w:rsid w:val="0090456C"/>
    <w:rsid w:val="00904819"/>
    <w:rsid w:val="009048E0"/>
    <w:rsid w:val="009049B3"/>
    <w:rsid w:val="00904A42"/>
    <w:rsid w:val="00904EDE"/>
    <w:rsid w:val="009050DE"/>
    <w:rsid w:val="009051B2"/>
    <w:rsid w:val="0090527B"/>
    <w:rsid w:val="00905500"/>
    <w:rsid w:val="0090556D"/>
    <w:rsid w:val="009058B5"/>
    <w:rsid w:val="009058C5"/>
    <w:rsid w:val="00905B80"/>
    <w:rsid w:val="00905C10"/>
    <w:rsid w:val="00905C23"/>
    <w:rsid w:val="00905D90"/>
    <w:rsid w:val="00906006"/>
    <w:rsid w:val="00906238"/>
    <w:rsid w:val="009062F7"/>
    <w:rsid w:val="009062FE"/>
    <w:rsid w:val="00906603"/>
    <w:rsid w:val="00906717"/>
    <w:rsid w:val="009067D0"/>
    <w:rsid w:val="00906807"/>
    <w:rsid w:val="009068EA"/>
    <w:rsid w:val="00906A9D"/>
    <w:rsid w:val="00906CAD"/>
    <w:rsid w:val="00906D21"/>
    <w:rsid w:val="00906EF9"/>
    <w:rsid w:val="00906F41"/>
    <w:rsid w:val="00907178"/>
    <w:rsid w:val="0090718E"/>
    <w:rsid w:val="009072EC"/>
    <w:rsid w:val="00907624"/>
    <w:rsid w:val="00907626"/>
    <w:rsid w:val="00907A31"/>
    <w:rsid w:val="00907AD4"/>
    <w:rsid w:val="00907BE0"/>
    <w:rsid w:val="00907D49"/>
    <w:rsid w:val="00907D98"/>
    <w:rsid w:val="0091019B"/>
    <w:rsid w:val="009101DD"/>
    <w:rsid w:val="00910668"/>
    <w:rsid w:val="009107FA"/>
    <w:rsid w:val="009109D6"/>
    <w:rsid w:val="00910A6B"/>
    <w:rsid w:val="00910AF0"/>
    <w:rsid w:val="00910EB0"/>
    <w:rsid w:val="00910F3F"/>
    <w:rsid w:val="00910FF5"/>
    <w:rsid w:val="009111BD"/>
    <w:rsid w:val="00911235"/>
    <w:rsid w:val="009112E6"/>
    <w:rsid w:val="00911425"/>
    <w:rsid w:val="00911583"/>
    <w:rsid w:val="009118D9"/>
    <w:rsid w:val="00911A41"/>
    <w:rsid w:val="00911AE0"/>
    <w:rsid w:val="00911B43"/>
    <w:rsid w:val="00911B52"/>
    <w:rsid w:val="00911B75"/>
    <w:rsid w:val="00911C09"/>
    <w:rsid w:val="00911C86"/>
    <w:rsid w:val="00911D2E"/>
    <w:rsid w:val="00911EAC"/>
    <w:rsid w:val="0091215D"/>
    <w:rsid w:val="00912237"/>
    <w:rsid w:val="0091230C"/>
    <w:rsid w:val="00912471"/>
    <w:rsid w:val="00912575"/>
    <w:rsid w:val="0091273C"/>
    <w:rsid w:val="009127A2"/>
    <w:rsid w:val="00912951"/>
    <w:rsid w:val="009129FF"/>
    <w:rsid w:val="00912BED"/>
    <w:rsid w:val="00912DAB"/>
    <w:rsid w:val="0091301E"/>
    <w:rsid w:val="0091320E"/>
    <w:rsid w:val="00913342"/>
    <w:rsid w:val="00913446"/>
    <w:rsid w:val="009136C4"/>
    <w:rsid w:val="0091393D"/>
    <w:rsid w:val="009139A0"/>
    <w:rsid w:val="00913A5A"/>
    <w:rsid w:val="00913A81"/>
    <w:rsid w:val="00913AC2"/>
    <w:rsid w:val="00913CCD"/>
    <w:rsid w:val="00913F84"/>
    <w:rsid w:val="009140F0"/>
    <w:rsid w:val="00914130"/>
    <w:rsid w:val="009143CD"/>
    <w:rsid w:val="0091465C"/>
    <w:rsid w:val="00914683"/>
    <w:rsid w:val="00914719"/>
    <w:rsid w:val="00914938"/>
    <w:rsid w:val="00914AFE"/>
    <w:rsid w:val="00914D76"/>
    <w:rsid w:val="00914E56"/>
    <w:rsid w:val="00914FC0"/>
    <w:rsid w:val="00915099"/>
    <w:rsid w:val="009150F7"/>
    <w:rsid w:val="0091518D"/>
    <w:rsid w:val="009152BE"/>
    <w:rsid w:val="0091567E"/>
    <w:rsid w:val="00915733"/>
    <w:rsid w:val="009157A0"/>
    <w:rsid w:val="00915992"/>
    <w:rsid w:val="009159CA"/>
    <w:rsid w:val="009159CE"/>
    <w:rsid w:val="00915B27"/>
    <w:rsid w:val="00915D52"/>
    <w:rsid w:val="00915EAD"/>
    <w:rsid w:val="00915EE4"/>
    <w:rsid w:val="00915FB1"/>
    <w:rsid w:val="00916149"/>
    <w:rsid w:val="0091648E"/>
    <w:rsid w:val="009168D9"/>
    <w:rsid w:val="00916EAB"/>
    <w:rsid w:val="00916EE9"/>
    <w:rsid w:val="00916F36"/>
    <w:rsid w:val="00917079"/>
    <w:rsid w:val="0091724B"/>
    <w:rsid w:val="00917330"/>
    <w:rsid w:val="00917589"/>
    <w:rsid w:val="009177BA"/>
    <w:rsid w:val="009177D4"/>
    <w:rsid w:val="009178B8"/>
    <w:rsid w:val="00917D1D"/>
    <w:rsid w:val="00917F52"/>
    <w:rsid w:val="00920017"/>
    <w:rsid w:val="00920187"/>
    <w:rsid w:val="00920258"/>
    <w:rsid w:val="00920348"/>
    <w:rsid w:val="00920474"/>
    <w:rsid w:val="00920918"/>
    <w:rsid w:val="00920930"/>
    <w:rsid w:val="00920C0C"/>
    <w:rsid w:val="00920CE8"/>
    <w:rsid w:val="00920FF4"/>
    <w:rsid w:val="0092109D"/>
    <w:rsid w:val="009210F6"/>
    <w:rsid w:val="0092125E"/>
    <w:rsid w:val="009212A6"/>
    <w:rsid w:val="00921927"/>
    <w:rsid w:val="00921A56"/>
    <w:rsid w:val="00921C4A"/>
    <w:rsid w:val="00921D05"/>
    <w:rsid w:val="00921E9B"/>
    <w:rsid w:val="00921EF3"/>
    <w:rsid w:val="00922029"/>
    <w:rsid w:val="0092234E"/>
    <w:rsid w:val="00922356"/>
    <w:rsid w:val="00922409"/>
    <w:rsid w:val="009229EC"/>
    <w:rsid w:val="00922EDE"/>
    <w:rsid w:val="00922F45"/>
    <w:rsid w:val="00922F47"/>
    <w:rsid w:val="009231F0"/>
    <w:rsid w:val="0092327D"/>
    <w:rsid w:val="00923438"/>
    <w:rsid w:val="009237CE"/>
    <w:rsid w:val="009237D2"/>
    <w:rsid w:val="00923903"/>
    <w:rsid w:val="00923B23"/>
    <w:rsid w:val="00923BD2"/>
    <w:rsid w:val="009240EC"/>
    <w:rsid w:val="00924347"/>
    <w:rsid w:val="009243A9"/>
    <w:rsid w:val="00924467"/>
    <w:rsid w:val="009244E8"/>
    <w:rsid w:val="00924698"/>
    <w:rsid w:val="00924917"/>
    <w:rsid w:val="00924963"/>
    <w:rsid w:val="00924B57"/>
    <w:rsid w:val="00924D07"/>
    <w:rsid w:val="00924D76"/>
    <w:rsid w:val="00924E30"/>
    <w:rsid w:val="00924ED2"/>
    <w:rsid w:val="00924F0F"/>
    <w:rsid w:val="00924FD9"/>
    <w:rsid w:val="009255E2"/>
    <w:rsid w:val="009257D3"/>
    <w:rsid w:val="00925849"/>
    <w:rsid w:val="00925925"/>
    <w:rsid w:val="00925936"/>
    <w:rsid w:val="009259BF"/>
    <w:rsid w:val="00925D13"/>
    <w:rsid w:val="00925D68"/>
    <w:rsid w:val="00925D70"/>
    <w:rsid w:val="00925F0F"/>
    <w:rsid w:val="00926050"/>
    <w:rsid w:val="00926320"/>
    <w:rsid w:val="00926460"/>
    <w:rsid w:val="00926619"/>
    <w:rsid w:val="00926639"/>
    <w:rsid w:val="0092688A"/>
    <w:rsid w:val="00926A19"/>
    <w:rsid w:val="00926A76"/>
    <w:rsid w:val="00926A8C"/>
    <w:rsid w:val="00926C8B"/>
    <w:rsid w:val="00926D4A"/>
    <w:rsid w:val="00926DBB"/>
    <w:rsid w:val="00926EC7"/>
    <w:rsid w:val="009271E7"/>
    <w:rsid w:val="00927352"/>
    <w:rsid w:val="0092752F"/>
    <w:rsid w:val="009275B1"/>
    <w:rsid w:val="009275B2"/>
    <w:rsid w:val="0092769B"/>
    <w:rsid w:val="00927776"/>
    <w:rsid w:val="009277BE"/>
    <w:rsid w:val="009278CA"/>
    <w:rsid w:val="0092794B"/>
    <w:rsid w:val="009279E1"/>
    <w:rsid w:val="00927AA8"/>
    <w:rsid w:val="00927B80"/>
    <w:rsid w:val="00927C66"/>
    <w:rsid w:val="00927CBA"/>
    <w:rsid w:val="00927F9E"/>
    <w:rsid w:val="00930292"/>
    <w:rsid w:val="009302DA"/>
    <w:rsid w:val="009303DC"/>
    <w:rsid w:val="009305A8"/>
    <w:rsid w:val="0093066F"/>
    <w:rsid w:val="00930B69"/>
    <w:rsid w:val="00930CAB"/>
    <w:rsid w:val="00930D64"/>
    <w:rsid w:val="00930D6E"/>
    <w:rsid w:val="00931199"/>
    <w:rsid w:val="009319A0"/>
    <w:rsid w:val="00931A15"/>
    <w:rsid w:val="00931CF7"/>
    <w:rsid w:val="00931F7E"/>
    <w:rsid w:val="0093206A"/>
    <w:rsid w:val="009320FD"/>
    <w:rsid w:val="0093219A"/>
    <w:rsid w:val="009323A7"/>
    <w:rsid w:val="00932659"/>
    <w:rsid w:val="00932736"/>
    <w:rsid w:val="00932748"/>
    <w:rsid w:val="00932A3D"/>
    <w:rsid w:val="00932B80"/>
    <w:rsid w:val="00932BAD"/>
    <w:rsid w:val="00932CEC"/>
    <w:rsid w:val="00932D82"/>
    <w:rsid w:val="00933131"/>
    <w:rsid w:val="0093313F"/>
    <w:rsid w:val="009331D1"/>
    <w:rsid w:val="009333C0"/>
    <w:rsid w:val="00933961"/>
    <w:rsid w:val="00933967"/>
    <w:rsid w:val="00933AE6"/>
    <w:rsid w:val="00933B5F"/>
    <w:rsid w:val="00933C72"/>
    <w:rsid w:val="00933F65"/>
    <w:rsid w:val="00934178"/>
    <w:rsid w:val="009342AF"/>
    <w:rsid w:val="00934392"/>
    <w:rsid w:val="009346D1"/>
    <w:rsid w:val="009346DF"/>
    <w:rsid w:val="0093485D"/>
    <w:rsid w:val="00934B0F"/>
    <w:rsid w:val="00934B72"/>
    <w:rsid w:val="00934C1A"/>
    <w:rsid w:val="00934EEB"/>
    <w:rsid w:val="00934FD4"/>
    <w:rsid w:val="00934FE4"/>
    <w:rsid w:val="00935021"/>
    <w:rsid w:val="0093502B"/>
    <w:rsid w:val="009352D0"/>
    <w:rsid w:val="009353F3"/>
    <w:rsid w:val="00935425"/>
    <w:rsid w:val="009356DA"/>
    <w:rsid w:val="0093589A"/>
    <w:rsid w:val="00935B3E"/>
    <w:rsid w:val="00935B45"/>
    <w:rsid w:val="00935DAA"/>
    <w:rsid w:val="00935F41"/>
    <w:rsid w:val="0093604A"/>
    <w:rsid w:val="00936095"/>
    <w:rsid w:val="00936387"/>
    <w:rsid w:val="009363EE"/>
    <w:rsid w:val="009364C2"/>
    <w:rsid w:val="00936548"/>
    <w:rsid w:val="0093669D"/>
    <w:rsid w:val="00936E3B"/>
    <w:rsid w:val="0093706E"/>
    <w:rsid w:val="00937261"/>
    <w:rsid w:val="009373B5"/>
    <w:rsid w:val="0093756D"/>
    <w:rsid w:val="00937629"/>
    <w:rsid w:val="0093766A"/>
    <w:rsid w:val="00937680"/>
    <w:rsid w:val="00937719"/>
    <w:rsid w:val="00937799"/>
    <w:rsid w:val="00937838"/>
    <w:rsid w:val="009378CA"/>
    <w:rsid w:val="009379F0"/>
    <w:rsid w:val="00937ACA"/>
    <w:rsid w:val="00937B30"/>
    <w:rsid w:val="00937B5B"/>
    <w:rsid w:val="00937D0C"/>
    <w:rsid w:val="009401C5"/>
    <w:rsid w:val="00940356"/>
    <w:rsid w:val="009405E9"/>
    <w:rsid w:val="009405FF"/>
    <w:rsid w:val="00940643"/>
    <w:rsid w:val="0094097D"/>
    <w:rsid w:val="00940B67"/>
    <w:rsid w:val="00940BF8"/>
    <w:rsid w:val="00940F5E"/>
    <w:rsid w:val="009410CD"/>
    <w:rsid w:val="00941184"/>
    <w:rsid w:val="009411F0"/>
    <w:rsid w:val="0094145E"/>
    <w:rsid w:val="00941528"/>
    <w:rsid w:val="00941665"/>
    <w:rsid w:val="0094168C"/>
    <w:rsid w:val="009417A8"/>
    <w:rsid w:val="00941841"/>
    <w:rsid w:val="00941A06"/>
    <w:rsid w:val="00941A0D"/>
    <w:rsid w:val="00941B99"/>
    <w:rsid w:val="00941F14"/>
    <w:rsid w:val="00942058"/>
    <w:rsid w:val="009421CA"/>
    <w:rsid w:val="009425C1"/>
    <w:rsid w:val="00942665"/>
    <w:rsid w:val="00942754"/>
    <w:rsid w:val="00942881"/>
    <w:rsid w:val="00942AD1"/>
    <w:rsid w:val="00942B42"/>
    <w:rsid w:val="00942D88"/>
    <w:rsid w:val="00942D8B"/>
    <w:rsid w:val="00942F3C"/>
    <w:rsid w:val="00942FB6"/>
    <w:rsid w:val="00943122"/>
    <w:rsid w:val="00943193"/>
    <w:rsid w:val="009432F2"/>
    <w:rsid w:val="00943730"/>
    <w:rsid w:val="00943AEA"/>
    <w:rsid w:val="00943D3A"/>
    <w:rsid w:val="00943EA6"/>
    <w:rsid w:val="00944084"/>
    <w:rsid w:val="009440D2"/>
    <w:rsid w:val="009440DB"/>
    <w:rsid w:val="0094441D"/>
    <w:rsid w:val="009444BF"/>
    <w:rsid w:val="00944546"/>
    <w:rsid w:val="00944A8D"/>
    <w:rsid w:val="00944ABE"/>
    <w:rsid w:val="00944B16"/>
    <w:rsid w:val="00944C73"/>
    <w:rsid w:val="00944CAE"/>
    <w:rsid w:val="00944CD3"/>
    <w:rsid w:val="00945225"/>
    <w:rsid w:val="00945535"/>
    <w:rsid w:val="009455AF"/>
    <w:rsid w:val="009456AA"/>
    <w:rsid w:val="0094580B"/>
    <w:rsid w:val="009458B2"/>
    <w:rsid w:val="00945C89"/>
    <w:rsid w:val="00945CC1"/>
    <w:rsid w:val="00945E2B"/>
    <w:rsid w:val="00945F72"/>
    <w:rsid w:val="00945FB8"/>
    <w:rsid w:val="009460AC"/>
    <w:rsid w:val="009460AD"/>
    <w:rsid w:val="00946159"/>
    <w:rsid w:val="00946380"/>
    <w:rsid w:val="0094639C"/>
    <w:rsid w:val="009463E6"/>
    <w:rsid w:val="009465A9"/>
    <w:rsid w:val="009465BC"/>
    <w:rsid w:val="0094668C"/>
    <w:rsid w:val="009468BC"/>
    <w:rsid w:val="009469A0"/>
    <w:rsid w:val="00946BCD"/>
    <w:rsid w:val="00946DB1"/>
    <w:rsid w:val="00946E76"/>
    <w:rsid w:val="00946E83"/>
    <w:rsid w:val="00947028"/>
    <w:rsid w:val="009470D8"/>
    <w:rsid w:val="00947168"/>
    <w:rsid w:val="00947322"/>
    <w:rsid w:val="009473CF"/>
    <w:rsid w:val="009474AB"/>
    <w:rsid w:val="00947558"/>
    <w:rsid w:val="00947AC5"/>
    <w:rsid w:val="00947D69"/>
    <w:rsid w:val="00950320"/>
    <w:rsid w:val="00950567"/>
    <w:rsid w:val="009507BB"/>
    <w:rsid w:val="009507EB"/>
    <w:rsid w:val="009507F5"/>
    <w:rsid w:val="009508A9"/>
    <w:rsid w:val="00950A6E"/>
    <w:rsid w:val="00950C0E"/>
    <w:rsid w:val="00950D45"/>
    <w:rsid w:val="00950DE6"/>
    <w:rsid w:val="00950FEC"/>
    <w:rsid w:val="009513C0"/>
    <w:rsid w:val="00951403"/>
    <w:rsid w:val="00951605"/>
    <w:rsid w:val="0095168C"/>
    <w:rsid w:val="00951823"/>
    <w:rsid w:val="0095184C"/>
    <w:rsid w:val="00951970"/>
    <w:rsid w:val="00951B6F"/>
    <w:rsid w:val="00951E18"/>
    <w:rsid w:val="00951FD5"/>
    <w:rsid w:val="009521CE"/>
    <w:rsid w:val="0095223B"/>
    <w:rsid w:val="0095227A"/>
    <w:rsid w:val="00952395"/>
    <w:rsid w:val="00952509"/>
    <w:rsid w:val="00952906"/>
    <w:rsid w:val="00952A4A"/>
    <w:rsid w:val="00952B34"/>
    <w:rsid w:val="00952B68"/>
    <w:rsid w:val="00952C66"/>
    <w:rsid w:val="00952C95"/>
    <w:rsid w:val="00952D93"/>
    <w:rsid w:val="00952E18"/>
    <w:rsid w:val="009530DB"/>
    <w:rsid w:val="009530EE"/>
    <w:rsid w:val="00953209"/>
    <w:rsid w:val="00953297"/>
    <w:rsid w:val="0095337C"/>
    <w:rsid w:val="00953432"/>
    <w:rsid w:val="00953463"/>
    <w:rsid w:val="00953950"/>
    <w:rsid w:val="00953997"/>
    <w:rsid w:val="009539E4"/>
    <w:rsid w:val="00953C76"/>
    <w:rsid w:val="00953D1A"/>
    <w:rsid w:val="00953DD2"/>
    <w:rsid w:val="00953E70"/>
    <w:rsid w:val="00953E8B"/>
    <w:rsid w:val="00953E92"/>
    <w:rsid w:val="00954428"/>
    <w:rsid w:val="0095458B"/>
    <w:rsid w:val="009546F4"/>
    <w:rsid w:val="009547F7"/>
    <w:rsid w:val="00954910"/>
    <w:rsid w:val="00954B41"/>
    <w:rsid w:val="00954C37"/>
    <w:rsid w:val="00954C63"/>
    <w:rsid w:val="00954CF3"/>
    <w:rsid w:val="00954DD5"/>
    <w:rsid w:val="00954EB9"/>
    <w:rsid w:val="009551D1"/>
    <w:rsid w:val="00955417"/>
    <w:rsid w:val="009554CF"/>
    <w:rsid w:val="00955765"/>
    <w:rsid w:val="00955894"/>
    <w:rsid w:val="00955946"/>
    <w:rsid w:val="00955B2F"/>
    <w:rsid w:val="00955B48"/>
    <w:rsid w:val="00955D60"/>
    <w:rsid w:val="00955D75"/>
    <w:rsid w:val="00956025"/>
    <w:rsid w:val="00956053"/>
    <w:rsid w:val="009560A9"/>
    <w:rsid w:val="00956147"/>
    <w:rsid w:val="00956245"/>
    <w:rsid w:val="00956464"/>
    <w:rsid w:val="00956530"/>
    <w:rsid w:val="00956601"/>
    <w:rsid w:val="00956628"/>
    <w:rsid w:val="00956723"/>
    <w:rsid w:val="0095675C"/>
    <w:rsid w:val="009567CC"/>
    <w:rsid w:val="00956814"/>
    <w:rsid w:val="0095687F"/>
    <w:rsid w:val="0095698A"/>
    <w:rsid w:val="00956B91"/>
    <w:rsid w:val="00956BAF"/>
    <w:rsid w:val="00956C3E"/>
    <w:rsid w:val="00956FE8"/>
    <w:rsid w:val="00957144"/>
    <w:rsid w:val="00957160"/>
    <w:rsid w:val="00957311"/>
    <w:rsid w:val="009574C1"/>
    <w:rsid w:val="0095751E"/>
    <w:rsid w:val="00957664"/>
    <w:rsid w:val="009578C2"/>
    <w:rsid w:val="0096020C"/>
    <w:rsid w:val="009603E9"/>
    <w:rsid w:val="00960594"/>
    <w:rsid w:val="009605F5"/>
    <w:rsid w:val="009607D9"/>
    <w:rsid w:val="00960915"/>
    <w:rsid w:val="00960A6C"/>
    <w:rsid w:val="00960B68"/>
    <w:rsid w:val="00960BA6"/>
    <w:rsid w:val="00960C77"/>
    <w:rsid w:val="00960CA7"/>
    <w:rsid w:val="00960D7E"/>
    <w:rsid w:val="00960DCF"/>
    <w:rsid w:val="00960DE9"/>
    <w:rsid w:val="00960F4A"/>
    <w:rsid w:val="00961119"/>
    <w:rsid w:val="009612A8"/>
    <w:rsid w:val="009615F5"/>
    <w:rsid w:val="0096187C"/>
    <w:rsid w:val="0096189D"/>
    <w:rsid w:val="00961911"/>
    <w:rsid w:val="00961929"/>
    <w:rsid w:val="00961DD7"/>
    <w:rsid w:val="00961E1C"/>
    <w:rsid w:val="00961E3A"/>
    <w:rsid w:val="00961F74"/>
    <w:rsid w:val="00962023"/>
    <w:rsid w:val="00962093"/>
    <w:rsid w:val="009621B5"/>
    <w:rsid w:val="009623FC"/>
    <w:rsid w:val="0096243D"/>
    <w:rsid w:val="009624CA"/>
    <w:rsid w:val="00962748"/>
    <w:rsid w:val="0096289C"/>
    <w:rsid w:val="00962CEF"/>
    <w:rsid w:val="00962D82"/>
    <w:rsid w:val="00962DE4"/>
    <w:rsid w:val="00962E24"/>
    <w:rsid w:val="00962F04"/>
    <w:rsid w:val="009631F0"/>
    <w:rsid w:val="00963421"/>
    <w:rsid w:val="0096362E"/>
    <w:rsid w:val="00963D33"/>
    <w:rsid w:val="00963D9D"/>
    <w:rsid w:val="00963E0C"/>
    <w:rsid w:val="00963F7A"/>
    <w:rsid w:val="009642D3"/>
    <w:rsid w:val="009642E4"/>
    <w:rsid w:val="00964300"/>
    <w:rsid w:val="00964352"/>
    <w:rsid w:val="00964372"/>
    <w:rsid w:val="009643DD"/>
    <w:rsid w:val="00964A01"/>
    <w:rsid w:val="00964E5F"/>
    <w:rsid w:val="0096521F"/>
    <w:rsid w:val="00965918"/>
    <w:rsid w:val="00965E54"/>
    <w:rsid w:val="009664BF"/>
    <w:rsid w:val="00966587"/>
    <w:rsid w:val="009665E0"/>
    <w:rsid w:val="00966759"/>
    <w:rsid w:val="009667A7"/>
    <w:rsid w:val="009667AE"/>
    <w:rsid w:val="00966D6A"/>
    <w:rsid w:val="00967172"/>
    <w:rsid w:val="009673D4"/>
    <w:rsid w:val="0096745D"/>
    <w:rsid w:val="009674CE"/>
    <w:rsid w:val="00967712"/>
    <w:rsid w:val="00967721"/>
    <w:rsid w:val="0096773A"/>
    <w:rsid w:val="009677BF"/>
    <w:rsid w:val="009678B7"/>
    <w:rsid w:val="00967AC1"/>
    <w:rsid w:val="00967D58"/>
    <w:rsid w:val="00970001"/>
    <w:rsid w:val="0097028C"/>
    <w:rsid w:val="009702B6"/>
    <w:rsid w:val="00970443"/>
    <w:rsid w:val="009705EF"/>
    <w:rsid w:val="009705FF"/>
    <w:rsid w:val="009706CA"/>
    <w:rsid w:val="0097071C"/>
    <w:rsid w:val="00970751"/>
    <w:rsid w:val="00970793"/>
    <w:rsid w:val="00970901"/>
    <w:rsid w:val="009709B7"/>
    <w:rsid w:val="00970A2B"/>
    <w:rsid w:val="00970C1F"/>
    <w:rsid w:val="00970CDB"/>
    <w:rsid w:val="00970E2A"/>
    <w:rsid w:val="00970F83"/>
    <w:rsid w:val="00970F9D"/>
    <w:rsid w:val="0097131F"/>
    <w:rsid w:val="0097158B"/>
    <w:rsid w:val="009716E2"/>
    <w:rsid w:val="009718A1"/>
    <w:rsid w:val="009718B4"/>
    <w:rsid w:val="00971994"/>
    <w:rsid w:val="00971A71"/>
    <w:rsid w:val="00971E88"/>
    <w:rsid w:val="00971ED1"/>
    <w:rsid w:val="00971FC5"/>
    <w:rsid w:val="00972146"/>
    <w:rsid w:val="00972164"/>
    <w:rsid w:val="009724E2"/>
    <w:rsid w:val="00972511"/>
    <w:rsid w:val="009725DF"/>
    <w:rsid w:val="0097276A"/>
    <w:rsid w:val="0097283A"/>
    <w:rsid w:val="00972BAB"/>
    <w:rsid w:val="00972BE8"/>
    <w:rsid w:val="00972C8D"/>
    <w:rsid w:val="00972E24"/>
    <w:rsid w:val="00972E89"/>
    <w:rsid w:val="00973113"/>
    <w:rsid w:val="00973229"/>
    <w:rsid w:val="0097367F"/>
    <w:rsid w:val="00973728"/>
    <w:rsid w:val="00973756"/>
    <w:rsid w:val="00973882"/>
    <w:rsid w:val="009739DD"/>
    <w:rsid w:val="00973A41"/>
    <w:rsid w:val="00973AA1"/>
    <w:rsid w:val="00973DE1"/>
    <w:rsid w:val="00973F83"/>
    <w:rsid w:val="00974032"/>
    <w:rsid w:val="009740DA"/>
    <w:rsid w:val="009742D0"/>
    <w:rsid w:val="0097435D"/>
    <w:rsid w:val="00974596"/>
    <w:rsid w:val="009746C2"/>
    <w:rsid w:val="009747F2"/>
    <w:rsid w:val="00974AB0"/>
    <w:rsid w:val="00974BCF"/>
    <w:rsid w:val="00974D84"/>
    <w:rsid w:val="00974DC8"/>
    <w:rsid w:val="00974DE6"/>
    <w:rsid w:val="00974EA2"/>
    <w:rsid w:val="0097502D"/>
    <w:rsid w:val="009751C2"/>
    <w:rsid w:val="009751C5"/>
    <w:rsid w:val="0097543F"/>
    <w:rsid w:val="009755B4"/>
    <w:rsid w:val="009755B8"/>
    <w:rsid w:val="009755FA"/>
    <w:rsid w:val="00975659"/>
    <w:rsid w:val="009757F1"/>
    <w:rsid w:val="00975986"/>
    <w:rsid w:val="00975AF0"/>
    <w:rsid w:val="00975DFA"/>
    <w:rsid w:val="00975E27"/>
    <w:rsid w:val="00976038"/>
    <w:rsid w:val="00976141"/>
    <w:rsid w:val="0097638B"/>
    <w:rsid w:val="00976558"/>
    <w:rsid w:val="00976586"/>
    <w:rsid w:val="009768CF"/>
    <w:rsid w:val="00976948"/>
    <w:rsid w:val="00976B4E"/>
    <w:rsid w:val="00976E2D"/>
    <w:rsid w:val="00976E59"/>
    <w:rsid w:val="00976F21"/>
    <w:rsid w:val="00977272"/>
    <w:rsid w:val="0097755C"/>
    <w:rsid w:val="00977AF0"/>
    <w:rsid w:val="00977BC5"/>
    <w:rsid w:val="00977DBB"/>
    <w:rsid w:val="009802C6"/>
    <w:rsid w:val="00980337"/>
    <w:rsid w:val="009803A0"/>
    <w:rsid w:val="009804E6"/>
    <w:rsid w:val="0098050D"/>
    <w:rsid w:val="009806D7"/>
    <w:rsid w:val="009806DF"/>
    <w:rsid w:val="009806E8"/>
    <w:rsid w:val="0098094A"/>
    <w:rsid w:val="00980AD2"/>
    <w:rsid w:val="00980AE7"/>
    <w:rsid w:val="00980AE9"/>
    <w:rsid w:val="00981053"/>
    <w:rsid w:val="009811B7"/>
    <w:rsid w:val="00981474"/>
    <w:rsid w:val="00981819"/>
    <w:rsid w:val="00981835"/>
    <w:rsid w:val="00981943"/>
    <w:rsid w:val="0098199C"/>
    <w:rsid w:val="00981D6D"/>
    <w:rsid w:val="0098226C"/>
    <w:rsid w:val="00982BE3"/>
    <w:rsid w:val="00982C63"/>
    <w:rsid w:val="00982C82"/>
    <w:rsid w:val="00982ED4"/>
    <w:rsid w:val="00983019"/>
    <w:rsid w:val="009830CC"/>
    <w:rsid w:val="009833CC"/>
    <w:rsid w:val="0098340B"/>
    <w:rsid w:val="0098375E"/>
    <w:rsid w:val="009837C2"/>
    <w:rsid w:val="00983919"/>
    <w:rsid w:val="00983A81"/>
    <w:rsid w:val="00983F8A"/>
    <w:rsid w:val="0098407A"/>
    <w:rsid w:val="00984545"/>
    <w:rsid w:val="00984612"/>
    <w:rsid w:val="00984661"/>
    <w:rsid w:val="00984683"/>
    <w:rsid w:val="00984E78"/>
    <w:rsid w:val="0098502D"/>
    <w:rsid w:val="0098509F"/>
    <w:rsid w:val="00985472"/>
    <w:rsid w:val="009854AC"/>
    <w:rsid w:val="00985535"/>
    <w:rsid w:val="0098575E"/>
    <w:rsid w:val="00985777"/>
    <w:rsid w:val="009859AB"/>
    <w:rsid w:val="00985B52"/>
    <w:rsid w:val="00985D9A"/>
    <w:rsid w:val="00985E91"/>
    <w:rsid w:val="00985F6E"/>
    <w:rsid w:val="00986357"/>
    <w:rsid w:val="00986399"/>
    <w:rsid w:val="00986525"/>
    <w:rsid w:val="0098652C"/>
    <w:rsid w:val="00986770"/>
    <w:rsid w:val="009867FA"/>
    <w:rsid w:val="00986C31"/>
    <w:rsid w:val="00986D3A"/>
    <w:rsid w:val="00986D96"/>
    <w:rsid w:val="00986F11"/>
    <w:rsid w:val="00987178"/>
    <w:rsid w:val="009872FC"/>
    <w:rsid w:val="00987457"/>
    <w:rsid w:val="00987622"/>
    <w:rsid w:val="00987639"/>
    <w:rsid w:val="009878ED"/>
    <w:rsid w:val="00987BBD"/>
    <w:rsid w:val="00987CA2"/>
    <w:rsid w:val="00987CF3"/>
    <w:rsid w:val="00987D11"/>
    <w:rsid w:val="00987DBF"/>
    <w:rsid w:val="00990121"/>
    <w:rsid w:val="0099013E"/>
    <w:rsid w:val="009906F7"/>
    <w:rsid w:val="009906F9"/>
    <w:rsid w:val="00990A33"/>
    <w:rsid w:val="00990C5A"/>
    <w:rsid w:val="00990D3E"/>
    <w:rsid w:val="00990E98"/>
    <w:rsid w:val="00990EB6"/>
    <w:rsid w:val="00990EBF"/>
    <w:rsid w:val="00990FCB"/>
    <w:rsid w:val="00991005"/>
    <w:rsid w:val="009910FC"/>
    <w:rsid w:val="0099114D"/>
    <w:rsid w:val="0099127D"/>
    <w:rsid w:val="00991345"/>
    <w:rsid w:val="009913B7"/>
    <w:rsid w:val="00991618"/>
    <w:rsid w:val="0099172C"/>
    <w:rsid w:val="0099199E"/>
    <w:rsid w:val="00991A3A"/>
    <w:rsid w:val="00991CA9"/>
    <w:rsid w:val="00991CE5"/>
    <w:rsid w:val="00991D23"/>
    <w:rsid w:val="0099210C"/>
    <w:rsid w:val="009923C0"/>
    <w:rsid w:val="00992584"/>
    <w:rsid w:val="00992D6B"/>
    <w:rsid w:val="00993060"/>
    <w:rsid w:val="00993181"/>
    <w:rsid w:val="0099326E"/>
    <w:rsid w:val="009934EC"/>
    <w:rsid w:val="00993807"/>
    <w:rsid w:val="00993844"/>
    <w:rsid w:val="00993911"/>
    <w:rsid w:val="00993944"/>
    <w:rsid w:val="009939C6"/>
    <w:rsid w:val="00993BE0"/>
    <w:rsid w:val="00993DA2"/>
    <w:rsid w:val="00993F1F"/>
    <w:rsid w:val="00993FBF"/>
    <w:rsid w:val="00994310"/>
    <w:rsid w:val="00994485"/>
    <w:rsid w:val="00994557"/>
    <w:rsid w:val="0099467D"/>
    <w:rsid w:val="0099476D"/>
    <w:rsid w:val="00994B88"/>
    <w:rsid w:val="00994C55"/>
    <w:rsid w:val="00994DE5"/>
    <w:rsid w:val="00994EBA"/>
    <w:rsid w:val="009951C3"/>
    <w:rsid w:val="0099590A"/>
    <w:rsid w:val="00995A3F"/>
    <w:rsid w:val="00995BEB"/>
    <w:rsid w:val="00995D9E"/>
    <w:rsid w:val="00995F39"/>
    <w:rsid w:val="00996107"/>
    <w:rsid w:val="00996455"/>
    <w:rsid w:val="0099678C"/>
    <w:rsid w:val="00996A57"/>
    <w:rsid w:val="00996C7E"/>
    <w:rsid w:val="00996CD5"/>
    <w:rsid w:val="00996E25"/>
    <w:rsid w:val="00996F2F"/>
    <w:rsid w:val="00997141"/>
    <w:rsid w:val="009971ED"/>
    <w:rsid w:val="00997345"/>
    <w:rsid w:val="00997478"/>
    <w:rsid w:val="009977D8"/>
    <w:rsid w:val="009977EC"/>
    <w:rsid w:val="00997A13"/>
    <w:rsid w:val="00997B42"/>
    <w:rsid w:val="00997BFF"/>
    <w:rsid w:val="00997C46"/>
    <w:rsid w:val="00997EEC"/>
    <w:rsid w:val="009A0155"/>
    <w:rsid w:val="009A021A"/>
    <w:rsid w:val="009A0234"/>
    <w:rsid w:val="009A0382"/>
    <w:rsid w:val="009A0510"/>
    <w:rsid w:val="009A05E3"/>
    <w:rsid w:val="009A05E8"/>
    <w:rsid w:val="009A06A1"/>
    <w:rsid w:val="009A0A05"/>
    <w:rsid w:val="009A0BD3"/>
    <w:rsid w:val="009A0C69"/>
    <w:rsid w:val="009A0D68"/>
    <w:rsid w:val="009A0E8C"/>
    <w:rsid w:val="009A0F03"/>
    <w:rsid w:val="009A0F7E"/>
    <w:rsid w:val="009A114C"/>
    <w:rsid w:val="009A1498"/>
    <w:rsid w:val="009A1535"/>
    <w:rsid w:val="009A16F6"/>
    <w:rsid w:val="009A19DC"/>
    <w:rsid w:val="009A1DB2"/>
    <w:rsid w:val="009A1FFF"/>
    <w:rsid w:val="009A2140"/>
    <w:rsid w:val="009A2172"/>
    <w:rsid w:val="009A221C"/>
    <w:rsid w:val="009A22BE"/>
    <w:rsid w:val="009A22C7"/>
    <w:rsid w:val="009A2442"/>
    <w:rsid w:val="009A2511"/>
    <w:rsid w:val="009A2517"/>
    <w:rsid w:val="009A2599"/>
    <w:rsid w:val="009A268E"/>
    <w:rsid w:val="009A274A"/>
    <w:rsid w:val="009A27B4"/>
    <w:rsid w:val="009A28E6"/>
    <w:rsid w:val="009A2A70"/>
    <w:rsid w:val="009A2A7C"/>
    <w:rsid w:val="009A2AD4"/>
    <w:rsid w:val="009A2BE9"/>
    <w:rsid w:val="009A2E52"/>
    <w:rsid w:val="009A2E6D"/>
    <w:rsid w:val="009A2F61"/>
    <w:rsid w:val="009A2FD5"/>
    <w:rsid w:val="009A3230"/>
    <w:rsid w:val="009A3320"/>
    <w:rsid w:val="009A333D"/>
    <w:rsid w:val="009A3340"/>
    <w:rsid w:val="009A3382"/>
    <w:rsid w:val="009A345B"/>
    <w:rsid w:val="009A34DA"/>
    <w:rsid w:val="009A3628"/>
    <w:rsid w:val="009A39A3"/>
    <w:rsid w:val="009A3A2C"/>
    <w:rsid w:val="009A3B30"/>
    <w:rsid w:val="009A3C7F"/>
    <w:rsid w:val="009A3E26"/>
    <w:rsid w:val="009A3F6F"/>
    <w:rsid w:val="009A410B"/>
    <w:rsid w:val="009A42FB"/>
    <w:rsid w:val="009A433B"/>
    <w:rsid w:val="009A446E"/>
    <w:rsid w:val="009A45C2"/>
    <w:rsid w:val="009A4603"/>
    <w:rsid w:val="009A4BEF"/>
    <w:rsid w:val="009A4BF2"/>
    <w:rsid w:val="009A4D23"/>
    <w:rsid w:val="009A4DF4"/>
    <w:rsid w:val="009A5115"/>
    <w:rsid w:val="009A537F"/>
    <w:rsid w:val="009A53FB"/>
    <w:rsid w:val="009A5421"/>
    <w:rsid w:val="009A5460"/>
    <w:rsid w:val="009A54B1"/>
    <w:rsid w:val="009A5607"/>
    <w:rsid w:val="009A57C6"/>
    <w:rsid w:val="009A597B"/>
    <w:rsid w:val="009A5A0F"/>
    <w:rsid w:val="009A5AEC"/>
    <w:rsid w:val="009A5CA8"/>
    <w:rsid w:val="009A5CCB"/>
    <w:rsid w:val="009A5DE9"/>
    <w:rsid w:val="009A5E4C"/>
    <w:rsid w:val="009A61EE"/>
    <w:rsid w:val="009A633A"/>
    <w:rsid w:val="009A6358"/>
    <w:rsid w:val="009A6395"/>
    <w:rsid w:val="009A649F"/>
    <w:rsid w:val="009A64C3"/>
    <w:rsid w:val="009A653A"/>
    <w:rsid w:val="009A6861"/>
    <w:rsid w:val="009A6930"/>
    <w:rsid w:val="009A6CA3"/>
    <w:rsid w:val="009A6DA1"/>
    <w:rsid w:val="009A6EB9"/>
    <w:rsid w:val="009A6ECF"/>
    <w:rsid w:val="009A6FBC"/>
    <w:rsid w:val="009A7016"/>
    <w:rsid w:val="009A70E4"/>
    <w:rsid w:val="009A7327"/>
    <w:rsid w:val="009A742F"/>
    <w:rsid w:val="009A753B"/>
    <w:rsid w:val="009A7580"/>
    <w:rsid w:val="009A77E8"/>
    <w:rsid w:val="009A7B86"/>
    <w:rsid w:val="009A7C2A"/>
    <w:rsid w:val="009A7C2F"/>
    <w:rsid w:val="009A7C82"/>
    <w:rsid w:val="009B02C7"/>
    <w:rsid w:val="009B0511"/>
    <w:rsid w:val="009B061D"/>
    <w:rsid w:val="009B06F0"/>
    <w:rsid w:val="009B07D5"/>
    <w:rsid w:val="009B09E8"/>
    <w:rsid w:val="009B0ABD"/>
    <w:rsid w:val="009B0B11"/>
    <w:rsid w:val="009B0B6A"/>
    <w:rsid w:val="009B0F2A"/>
    <w:rsid w:val="009B0F80"/>
    <w:rsid w:val="009B10A0"/>
    <w:rsid w:val="009B12B6"/>
    <w:rsid w:val="009B1433"/>
    <w:rsid w:val="009B1703"/>
    <w:rsid w:val="009B17E2"/>
    <w:rsid w:val="009B1A24"/>
    <w:rsid w:val="009B1AC7"/>
    <w:rsid w:val="009B1DD4"/>
    <w:rsid w:val="009B1F6C"/>
    <w:rsid w:val="009B20BE"/>
    <w:rsid w:val="009B2228"/>
    <w:rsid w:val="009B2298"/>
    <w:rsid w:val="009B239E"/>
    <w:rsid w:val="009B2413"/>
    <w:rsid w:val="009B259E"/>
    <w:rsid w:val="009B2612"/>
    <w:rsid w:val="009B299D"/>
    <w:rsid w:val="009B2B5A"/>
    <w:rsid w:val="009B2D78"/>
    <w:rsid w:val="009B2DB3"/>
    <w:rsid w:val="009B2E78"/>
    <w:rsid w:val="009B2E7B"/>
    <w:rsid w:val="009B2F70"/>
    <w:rsid w:val="009B2FEC"/>
    <w:rsid w:val="009B3004"/>
    <w:rsid w:val="009B3017"/>
    <w:rsid w:val="009B301A"/>
    <w:rsid w:val="009B3068"/>
    <w:rsid w:val="009B339C"/>
    <w:rsid w:val="009B340D"/>
    <w:rsid w:val="009B3563"/>
    <w:rsid w:val="009B3570"/>
    <w:rsid w:val="009B3659"/>
    <w:rsid w:val="009B3802"/>
    <w:rsid w:val="009B3883"/>
    <w:rsid w:val="009B3C8B"/>
    <w:rsid w:val="009B3CCF"/>
    <w:rsid w:val="009B3E2B"/>
    <w:rsid w:val="009B3F2D"/>
    <w:rsid w:val="009B3FA7"/>
    <w:rsid w:val="009B4061"/>
    <w:rsid w:val="009B48F1"/>
    <w:rsid w:val="009B4A73"/>
    <w:rsid w:val="009B4A8B"/>
    <w:rsid w:val="009B4C14"/>
    <w:rsid w:val="009B4E23"/>
    <w:rsid w:val="009B4E9C"/>
    <w:rsid w:val="009B4EC4"/>
    <w:rsid w:val="009B51A1"/>
    <w:rsid w:val="009B51C5"/>
    <w:rsid w:val="009B53EB"/>
    <w:rsid w:val="009B566E"/>
    <w:rsid w:val="009B571F"/>
    <w:rsid w:val="009B58B1"/>
    <w:rsid w:val="009B5A85"/>
    <w:rsid w:val="009B5B15"/>
    <w:rsid w:val="009B5C15"/>
    <w:rsid w:val="009B5ECE"/>
    <w:rsid w:val="009B5F98"/>
    <w:rsid w:val="009B6047"/>
    <w:rsid w:val="009B634A"/>
    <w:rsid w:val="009B64C9"/>
    <w:rsid w:val="009B64D1"/>
    <w:rsid w:val="009B6864"/>
    <w:rsid w:val="009B6AFA"/>
    <w:rsid w:val="009B6B49"/>
    <w:rsid w:val="009B6BA2"/>
    <w:rsid w:val="009B6C3C"/>
    <w:rsid w:val="009B6FCA"/>
    <w:rsid w:val="009B729A"/>
    <w:rsid w:val="009B7351"/>
    <w:rsid w:val="009B751A"/>
    <w:rsid w:val="009B75B1"/>
    <w:rsid w:val="009B7973"/>
    <w:rsid w:val="009B7A41"/>
    <w:rsid w:val="009B7AB7"/>
    <w:rsid w:val="009B7B55"/>
    <w:rsid w:val="009B7EDC"/>
    <w:rsid w:val="009B7FF3"/>
    <w:rsid w:val="009C0036"/>
    <w:rsid w:val="009C0102"/>
    <w:rsid w:val="009C011A"/>
    <w:rsid w:val="009C0361"/>
    <w:rsid w:val="009C0809"/>
    <w:rsid w:val="009C0904"/>
    <w:rsid w:val="009C0946"/>
    <w:rsid w:val="009C09D7"/>
    <w:rsid w:val="009C0C30"/>
    <w:rsid w:val="009C0E24"/>
    <w:rsid w:val="009C0F1E"/>
    <w:rsid w:val="009C10E0"/>
    <w:rsid w:val="009C1358"/>
    <w:rsid w:val="009C1477"/>
    <w:rsid w:val="009C153B"/>
    <w:rsid w:val="009C156F"/>
    <w:rsid w:val="009C179D"/>
    <w:rsid w:val="009C1C22"/>
    <w:rsid w:val="009C1C95"/>
    <w:rsid w:val="009C1CCB"/>
    <w:rsid w:val="009C1F63"/>
    <w:rsid w:val="009C1F6B"/>
    <w:rsid w:val="009C232A"/>
    <w:rsid w:val="009C260D"/>
    <w:rsid w:val="009C2A0E"/>
    <w:rsid w:val="009C2DBA"/>
    <w:rsid w:val="009C301C"/>
    <w:rsid w:val="009C30F9"/>
    <w:rsid w:val="009C3175"/>
    <w:rsid w:val="009C31D9"/>
    <w:rsid w:val="009C3322"/>
    <w:rsid w:val="009C33D7"/>
    <w:rsid w:val="009C37DA"/>
    <w:rsid w:val="009C385F"/>
    <w:rsid w:val="009C38A0"/>
    <w:rsid w:val="009C3916"/>
    <w:rsid w:val="009C39C8"/>
    <w:rsid w:val="009C3AAF"/>
    <w:rsid w:val="009C3B5D"/>
    <w:rsid w:val="009C3C33"/>
    <w:rsid w:val="009C3E6F"/>
    <w:rsid w:val="009C3F32"/>
    <w:rsid w:val="009C3FE1"/>
    <w:rsid w:val="009C4127"/>
    <w:rsid w:val="009C4448"/>
    <w:rsid w:val="009C45E5"/>
    <w:rsid w:val="009C4627"/>
    <w:rsid w:val="009C46FD"/>
    <w:rsid w:val="009C47DB"/>
    <w:rsid w:val="009C49C8"/>
    <w:rsid w:val="009C4ACE"/>
    <w:rsid w:val="009C4BED"/>
    <w:rsid w:val="009C4FCD"/>
    <w:rsid w:val="009C5089"/>
    <w:rsid w:val="009C512D"/>
    <w:rsid w:val="009C5218"/>
    <w:rsid w:val="009C524E"/>
    <w:rsid w:val="009C5879"/>
    <w:rsid w:val="009C58BA"/>
    <w:rsid w:val="009C5922"/>
    <w:rsid w:val="009C5CF5"/>
    <w:rsid w:val="009C5F0E"/>
    <w:rsid w:val="009C5FF5"/>
    <w:rsid w:val="009C610E"/>
    <w:rsid w:val="009C6271"/>
    <w:rsid w:val="009C6359"/>
    <w:rsid w:val="009C64E0"/>
    <w:rsid w:val="009C66C4"/>
    <w:rsid w:val="009C680B"/>
    <w:rsid w:val="009C6852"/>
    <w:rsid w:val="009C6905"/>
    <w:rsid w:val="009C6976"/>
    <w:rsid w:val="009C697E"/>
    <w:rsid w:val="009C6BDB"/>
    <w:rsid w:val="009C6CAE"/>
    <w:rsid w:val="009C6F43"/>
    <w:rsid w:val="009C6F48"/>
    <w:rsid w:val="009C7024"/>
    <w:rsid w:val="009C70A5"/>
    <w:rsid w:val="009C7351"/>
    <w:rsid w:val="009C74ED"/>
    <w:rsid w:val="009C7500"/>
    <w:rsid w:val="009C76B8"/>
    <w:rsid w:val="009C795D"/>
    <w:rsid w:val="009C7B0B"/>
    <w:rsid w:val="009C7C1D"/>
    <w:rsid w:val="009C7E11"/>
    <w:rsid w:val="009C7EF0"/>
    <w:rsid w:val="009C7F86"/>
    <w:rsid w:val="009D0133"/>
    <w:rsid w:val="009D01D4"/>
    <w:rsid w:val="009D031F"/>
    <w:rsid w:val="009D035C"/>
    <w:rsid w:val="009D0412"/>
    <w:rsid w:val="009D05D3"/>
    <w:rsid w:val="009D06EA"/>
    <w:rsid w:val="009D0871"/>
    <w:rsid w:val="009D08FB"/>
    <w:rsid w:val="009D0A80"/>
    <w:rsid w:val="009D0B6E"/>
    <w:rsid w:val="009D0D86"/>
    <w:rsid w:val="009D0DE6"/>
    <w:rsid w:val="009D1043"/>
    <w:rsid w:val="009D10F0"/>
    <w:rsid w:val="009D1170"/>
    <w:rsid w:val="009D1397"/>
    <w:rsid w:val="009D175B"/>
    <w:rsid w:val="009D1801"/>
    <w:rsid w:val="009D180B"/>
    <w:rsid w:val="009D1979"/>
    <w:rsid w:val="009D197E"/>
    <w:rsid w:val="009D199C"/>
    <w:rsid w:val="009D1BB0"/>
    <w:rsid w:val="009D1BD3"/>
    <w:rsid w:val="009D1DB8"/>
    <w:rsid w:val="009D1E04"/>
    <w:rsid w:val="009D2070"/>
    <w:rsid w:val="009D2071"/>
    <w:rsid w:val="009D2337"/>
    <w:rsid w:val="009D235E"/>
    <w:rsid w:val="009D24CC"/>
    <w:rsid w:val="009D2815"/>
    <w:rsid w:val="009D29B1"/>
    <w:rsid w:val="009D2A4F"/>
    <w:rsid w:val="009D2AE5"/>
    <w:rsid w:val="009D2BEE"/>
    <w:rsid w:val="009D2C06"/>
    <w:rsid w:val="009D2C90"/>
    <w:rsid w:val="009D3148"/>
    <w:rsid w:val="009D328C"/>
    <w:rsid w:val="009D3455"/>
    <w:rsid w:val="009D3596"/>
    <w:rsid w:val="009D37D8"/>
    <w:rsid w:val="009D38A1"/>
    <w:rsid w:val="009D3A7F"/>
    <w:rsid w:val="009D3BA5"/>
    <w:rsid w:val="009D3E3C"/>
    <w:rsid w:val="009D3E97"/>
    <w:rsid w:val="009D3FE0"/>
    <w:rsid w:val="009D4307"/>
    <w:rsid w:val="009D44D9"/>
    <w:rsid w:val="009D46A7"/>
    <w:rsid w:val="009D49A0"/>
    <w:rsid w:val="009D4B8A"/>
    <w:rsid w:val="009D4C9E"/>
    <w:rsid w:val="009D4DB2"/>
    <w:rsid w:val="009D4DB8"/>
    <w:rsid w:val="009D4F0B"/>
    <w:rsid w:val="009D503C"/>
    <w:rsid w:val="009D503E"/>
    <w:rsid w:val="009D5183"/>
    <w:rsid w:val="009D536D"/>
    <w:rsid w:val="009D556D"/>
    <w:rsid w:val="009D55C4"/>
    <w:rsid w:val="009D5642"/>
    <w:rsid w:val="009D57C1"/>
    <w:rsid w:val="009D5B13"/>
    <w:rsid w:val="009D5BAA"/>
    <w:rsid w:val="009D5ED4"/>
    <w:rsid w:val="009D6078"/>
    <w:rsid w:val="009D611E"/>
    <w:rsid w:val="009D612F"/>
    <w:rsid w:val="009D621C"/>
    <w:rsid w:val="009D63F9"/>
    <w:rsid w:val="009D6665"/>
    <w:rsid w:val="009D66F2"/>
    <w:rsid w:val="009D673F"/>
    <w:rsid w:val="009D68B3"/>
    <w:rsid w:val="009D69EB"/>
    <w:rsid w:val="009D6CF9"/>
    <w:rsid w:val="009D6D22"/>
    <w:rsid w:val="009D73C7"/>
    <w:rsid w:val="009D7588"/>
    <w:rsid w:val="009D7599"/>
    <w:rsid w:val="009D7789"/>
    <w:rsid w:val="009D78FE"/>
    <w:rsid w:val="009D7952"/>
    <w:rsid w:val="009D7A5F"/>
    <w:rsid w:val="009D7A70"/>
    <w:rsid w:val="009D7ABF"/>
    <w:rsid w:val="009D7B09"/>
    <w:rsid w:val="009D7B23"/>
    <w:rsid w:val="009D7DAC"/>
    <w:rsid w:val="009E00DA"/>
    <w:rsid w:val="009E0189"/>
    <w:rsid w:val="009E023D"/>
    <w:rsid w:val="009E0279"/>
    <w:rsid w:val="009E030C"/>
    <w:rsid w:val="009E067E"/>
    <w:rsid w:val="009E06E2"/>
    <w:rsid w:val="009E087B"/>
    <w:rsid w:val="009E0A53"/>
    <w:rsid w:val="009E0B17"/>
    <w:rsid w:val="009E0B24"/>
    <w:rsid w:val="009E0C5A"/>
    <w:rsid w:val="009E0C9B"/>
    <w:rsid w:val="009E0E5B"/>
    <w:rsid w:val="009E11D7"/>
    <w:rsid w:val="009E125A"/>
    <w:rsid w:val="009E1430"/>
    <w:rsid w:val="009E14C4"/>
    <w:rsid w:val="009E1942"/>
    <w:rsid w:val="009E1952"/>
    <w:rsid w:val="009E1D75"/>
    <w:rsid w:val="009E1F87"/>
    <w:rsid w:val="009E1FAC"/>
    <w:rsid w:val="009E240D"/>
    <w:rsid w:val="009E260E"/>
    <w:rsid w:val="009E2A3F"/>
    <w:rsid w:val="009E2D77"/>
    <w:rsid w:val="009E302A"/>
    <w:rsid w:val="009E32B3"/>
    <w:rsid w:val="009E3402"/>
    <w:rsid w:val="009E38AF"/>
    <w:rsid w:val="009E39C5"/>
    <w:rsid w:val="009E3BAE"/>
    <w:rsid w:val="009E3D0A"/>
    <w:rsid w:val="009E3D79"/>
    <w:rsid w:val="009E3E07"/>
    <w:rsid w:val="009E423B"/>
    <w:rsid w:val="009E4677"/>
    <w:rsid w:val="009E478B"/>
    <w:rsid w:val="009E47C4"/>
    <w:rsid w:val="009E47C5"/>
    <w:rsid w:val="009E48C7"/>
    <w:rsid w:val="009E491A"/>
    <w:rsid w:val="009E493A"/>
    <w:rsid w:val="009E4B5E"/>
    <w:rsid w:val="009E4E39"/>
    <w:rsid w:val="009E4E90"/>
    <w:rsid w:val="009E4EFD"/>
    <w:rsid w:val="009E519C"/>
    <w:rsid w:val="009E51B4"/>
    <w:rsid w:val="009E52D6"/>
    <w:rsid w:val="009E530E"/>
    <w:rsid w:val="009E531B"/>
    <w:rsid w:val="009E5534"/>
    <w:rsid w:val="009E574E"/>
    <w:rsid w:val="009E5783"/>
    <w:rsid w:val="009E5818"/>
    <w:rsid w:val="009E5895"/>
    <w:rsid w:val="009E59E9"/>
    <w:rsid w:val="009E5A48"/>
    <w:rsid w:val="009E5B39"/>
    <w:rsid w:val="009E5BB0"/>
    <w:rsid w:val="009E5BFE"/>
    <w:rsid w:val="009E5CC2"/>
    <w:rsid w:val="009E5D67"/>
    <w:rsid w:val="009E5D8C"/>
    <w:rsid w:val="009E5E81"/>
    <w:rsid w:val="009E5E84"/>
    <w:rsid w:val="009E5F89"/>
    <w:rsid w:val="009E60A3"/>
    <w:rsid w:val="009E6396"/>
    <w:rsid w:val="009E6B59"/>
    <w:rsid w:val="009E6C40"/>
    <w:rsid w:val="009E6D3E"/>
    <w:rsid w:val="009E6D70"/>
    <w:rsid w:val="009E6E0A"/>
    <w:rsid w:val="009E712A"/>
    <w:rsid w:val="009E712B"/>
    <w:rsid w:val="009E72A3"/>
    <w:rsid w:val="009E7319"/>
    <w:rsid w:val="009E734D"/>
    <w:rsid w:val="009E75B5"/>
    <w:rsid w:val="009E76F7"/>
    <w:rsid w:val="009E7767"/>
    <w:rsid w:val="009E778D"/>
    <w:rsid w:val="009E77BA"/>
    <w:rsid w:val="009E785F"/>
    <w:rsid w:val="009E7881"/>
    <w:rsid w:val="009E79AE"/>
    <w:rsid w:val="009E7A11"/>
    <w:rsid w:val="009E7C06"/>
    <w:rsid w:val="009E7CEE"/>
    <w:rsid w:val="009E7D2F"/>
    <w:rsid w:val="009E7FE7"/>
    <w:rsid w:val="009F0242"/>
    <w:rsid w:val="009F04B8"/>
    <w:rsid w:val="009F0867"/>
    <w:rsid w:val="009F08E6"/>
    <w:rsid w:val="009F09E4"/>
    <w:rsid w:val="009F0A40"/>
    <w:rsid w:val="009F0A45"/>
    <w:rsid w:val="009F0A87"/>
    <w:rsid w:val="009F0AA8"/>
    <w:rsid w:val="009F0E06"/>
    <w:rsid w:val="009F0E71"/>
    <w:rsid w:val="009F16C2"/>
    <w:rsid w:val="009F179B"/>
    <w:rsid w:val="009F17B4"/>
    <w:rsid w:val="009F17F8"/>
    <w:rsid w:val="009F195E"/>
    <w:rsid w:val="009F1A6C"/>
    <w:rsid w:val="009F1C35"/>
    <w:rsid w:val="009F1C6C"/>
    <w:rsid w:val="009F1C71"/>
    <w:rsid w:val="009F1C8D"/>
    <w:rsid w:val="009F1C99"/>
    <w:rsid w:val="009F2071"/>
    <w:rsid w:val="009F21F7"/>
    <w:rsid w:val="009F22AE"/>
    <w:rsid w:val="009F22B2"/>
    <w:rsid w:val="009F2616"/>
    <w:rsid w:val="009F27F2"/>
    <w:rsid w:val="009F282D"/>
    <w:rsid w:val="009F2842"/>
    <w:rsid w:val="009F2964"/>
    <w:rsid w:val="009F2A2A"/>
    <w:rsid w:val="009F2B5C"/>
    <w:rsid w:val="009F2EDD"/>
    <w:rsid w:val="009F2F0F"/>
    <w:rsid w:val="009F2F41"/>
    <w:rsid w:val="009F3189"/>
    <w:rsid w:val="009F337D"/>
    <w:rsid w:val="009F3497"/>
    <w:rsid w:val="009F3648"/>
    <w:rsid w:val="009F38AB"/>
    <w:rsid w:val="009F39F0"/>
    <w:rsid w:val="009F3B5E"/>
    <w:rsid w:val="009F3C9F"/>
    <w:rsid w:val="009F4227"/>
    <w:rsid w:val="009F428B"/>
    <w:rsid w:val="009F43C9"/>
    <w:rsid w:val="009F4664"/>
    <w:rsid w:val="009F495F"/>
    <w:rsid w:val="009F4ADF"/>
    <w:rsid w:val="009F4EA8"/>
    <w:rsid w:val="009F4ED3"/>
    <w:rsid w:val="009F50AC"/>
    <w:rsid w:val="009F517B"/>
    <w:rsid w:val="009F51FD"/>
    <w:rsid w:val="009F5280"/>
    <w:rsid w:val="009F52B9"/>
    <w:rsid w:val="009F53E8"/>
    <w:rsid w:val="009F5401"/>
    <w:rsid w:val="009F5407"/>
    <w:rsid w:val="009F56D6"/>
    <w:rsid w:val="009F5967"/>
    <w:rsid w:val="009F5A70"/>
    <w:rsid w:val="009F5A94"/>
    <w:rsid w:val="009F5C04"/>
    <w:rsid w:val="009F5D9F"/>
    <w:rsid w:val="009F5E5D"/>
    <w:rsid w:val="009F6108"/>
    <w:rsid w:val="009F62BB"/>
    <w:rsid w:val="009F63C4"/>
    <w:rsid w:val="009F66D8"/>
    <w:rsid w:val="009F66F2"/>
    <w:rsid w:val="009F670F"/>
    <w:rsid w:val="009F674C"/>
    <w:rsid w:val="009F6800"/>
    <w:rsid w:val="009F69A5"/>
    <w:rsid w:val="009F6B1D"/>
    <w:rsid w:val="009F6BB7"/>
    <w:rsid w:val="009F6D2E"/>
    <w:rsid w:val="009F6E70"/>
    <w:rsid w:val="009F6F20"/>
    <w:rsid w:val="009F6FB1"/>
    <w:rsid w:val="009F7041"/>
    <w:rsid w:val="009F73ED"/>
    <w:rsid w:val="009F74F5"/>
    <w:rsid w:val="009F7553"/>
    <w:rsid w:val="009F77BB"/>
    <w:rsid w:val="009F7A56"/>
    <w:rsid w:val="009F7C77"/>
    <w:rsid w:val="009F7F20"/>
    <w:rsid w:val="00A00042"/>
    <w:rsid w:val="00A00086"/>
    <w:rsid w:val="00A00089"/>
    <w:rsid w:val="00A000DD"/>
    <w:rsid w:val="00A00187"/>
    <w:rsid w:val="00A00198"/>
    <w:rsid w:val="00A00662"/>
    <w:rsid w:val="00A00853"/>
    <w:rsid w:val="00A00A38"/>
    <w:rsid w:val="00A00AC5"/>
    <w:rsid w:val="00A00E15"/>
    <w:rsid w:val="00A00F25"/>
    <w:rsid w:val="00A01148"/>
    <w:rsid w:val="00A0156D"/>
    <w:rsid w:val="00A018B6"/>
    <w:rsid w:val="00A01A5B"/>
    <w:rsid w:val="00A01BA7"/>
    <w:rsid w:val="00A01BFF"/>
    <w:rsid w:val="00A01DB8"/>
    <w:rsid w:val="00A01FFE"/>
    <w:rsid w:val="00A021A2"/>
    <w:rsid w:val="00A02240"/>
    <w:rsid w:val="00A02248"/>
    <w:rsid w:val="00A0256F"/>
    <w:rsid w:val="00A025C6"/>
    <w:rsid w:val="00A02625"/>
    <w:rsid w:val="00A02695"/>
    <w:rsid w:val="00A02708"/>
    <w:rsid w:val="00A0287B"/>
    <w:rsid w:val="00A02965"/>
    <w:rsid w:val="00A029C1"/>
    <w:rsid w:val="00A02A09"/>
    <w:rsid w:val="00A02B59"/>
    <w:rsid w:val="00A02BB4"/>
    <w:rsid w:val="00A02CB2"/>
    <w:rsid w:val="00A02F00"/>
    <w:rsid w:val="00A031CE"/>
    <w:rsid w:val="00A03200"/>
    <w:rsid w:val="00A03758"/>
    <w:rsid w:val="00A037F6"/>
    <w:rsid w:val="00A03801"/>
    <w:rsid w:val="00A038F5"/>
    <w:rsid w:val="00A039B5"/>
    <w:rsid w:val="00A03B4E"/>
    <w:rsid w:val="00A03DA9"/>
    <w:rsid w:val="00A03DBE"/>
    <w:rsid w:val="00A0403B"/>
    <w:rsid w:val="00A04148"/>
    <w:rsid w:val="00A041ED"/>
    <w:rsid w:val="00A042A9"/>
    <w:rsid w:val="00A04490"/>
    <w:rsid w:val="00A04AB1"/>
    <w:rsid w:val="00A04AE5"/>
    <w:rsid w:val="00A04DB0"/>
    <w:rsid w:val="00A05574"/>
    <w:rsid w:val="00A05A08"/>
    <w:rsid w:val="00A05A60"/>
    <w:rsid w:val="00A05A6F"/>
    <w:rsid w:val="00A05B03"/>
    <w:rsid w:val="00A05B1F"/>
    <w:rsid w:val="00A05EE5"/>
    <w:rsid w:val="00A062E0"/>
    <w:rsid w:val="00A063DF"/>
    <w:rsid w:val="00A0670A"/>
    <w:rsid w:val="00A06931"/>
    <w:rsid w:val="00A06CB5"/>
    <w:rsid w:val="00A06D79"/>
    <w:rsid w:val="00A06DE2"/>
    <w:rsid w:val="00A06E20"/>
    <w:rsid w:val="00A06E6F"/>
    <w:rsid w:val="00A06E9D"/>
    <w:rsid w:val="00A06EC2"/>
    <w:rsid w:val="00A06F31"/>
    <w:rsid w:val="00A07147"/>
    <w:rsid w:val="00A072BF"/>
    <w:rsid w:val="00A07612"/>
    <w:rsid w:val="00A0778B"/>
    <w:rsid w:val="00A07952"/>
    <w:rsid w:val="00A07AFC"/>
    <w:rsid w:val="00A100E6"/>
    <w:rsid w:val="00A102AA"/>
    <w:rsid w:val="00A102BB"/>
    <w:rsid w:val="00A105E0"/>
    <w:rsid w:val="00A10707"/>
    <w:rsid w:val="00A10A74"/>
    <w:rsid w:val="00A10A7B"/>
    <w:rsid w:val="00A10BB9"/>
    <w:rsid w:val="00A10CA3"/>
    <w:rsid w:val="00A10CC7"/>
    <w:rsid w:val="00A10F84"/>
    <w:rsid w:val="00A11213"/>
    <w:rsid w:val="00A11255"/>
    <w:rsid w:val="00A118E9"/>
    <w:rsid w:val="00A11A28"/>
    <w:rsid w:val="00A11B19"/>
    <w:rsid w:val="00A1214C"/>
    <w:rsid w:val="00A12176"/>
    <w:rsid w:val="00A12180"/>
    <w:rsid w:val="00A12237"/>
    <w:rsid w:val="00A122D2"/>
    <w:rsid w:val="00A1278F"/>
    <w:rsid w:val="00A12CDC"/>
    <w:rsid w:val="00A12E72"/>
    <w:rsid w:val="00A12EED"/>
    <w:rsid w:val="00A12F64"/>
    <w:rsid w:val="00A12F88"/>
    <w:rsid w:val="00A13024"/>
    <w:rsid w:val="00A13031"/>
    <w:rsid w:val="00A13163"/>
    <w:rsid w:val="00A13174"/>
    <w:rsid w:val="00A13280"/>
    <w:rsid w:val="00A13435"/>
    <w:rsid w:val="00A134E4"/>
    <w:rsid w:val="00A135BB"/>
    <w:rsid w:val="00A13ACE"/>
    <w:rsid w:val="00A13B29"/>
    <w:rsid w:val="00A13BD9"/>
    <w:rsid w:val="00A13CAE"/>
    <w:rsid w:val="00A13CD9"/>
    <w:rsid w:val="00A13D52"/>
    <w:rsid w:val="00A13E28"/>
    <w:rsid w:val="00A13E9D"/>
    <w:rsid w:val="00A13FB3"/>
    <w:rsid w:val="00A14140"/>
    <w:rsid w:val="00A14308"/>
    <w:rsid w:val="00A144C5"/>
    <w:rsid w:val="00A14512"/>
    <w:rsid w:val="00A145A2"/>
    <w:rsid w:val="00A14AA1"/>
    <w:rsid w:val="00A14CE6"/>
    <w:rsid w:val="00A14D94"/>
    <w:rsid w:val="00A14DF8"/>
    <w:rsid w:val="00A14E38"/>
    <w:rsid w:val="00A15060"/>
    <w:rsid w:val="00A154AF"/>
    <w:rsid w:val="00A154B6"/>
    <w:rsid w:val="00A155B1"/>
    <w:rsid w:val="00A157C8"/>
    <w:rsid w:val="00A15A32"/>
    <w:rsid w:val="00A15C8B"/>
    <w:rsid w:val="00A15CA9"/>
    <w:rsid w:val="00A15E47"/>
    <w:rsid w:val="00A15E5C"/>
    <w:rsid w:val="00A15F7B"/>
    <w:rsid w:val="00A16054"/>
    <w:rsid w:val="00A16086"/>
    <w:rsid w:val="00A16104"/>
    <w:rsid w:val="00A16269"/>
    <w:rsid w:val="00A1632A"/>
    <w:rsid w:val="00A16389"/>
    <w:rsid w:val="00A164CB"/>
    <w:rsid w:val="00A164D0"/>
    <w:rsid w:val="00A165DA"/>
    <w:rsid w:val="00A16629"/>
    <w:rsid w:val="00A16814"/>
    <w:rsid w:val="00A168F3"/>
    <w:rsid w:val="00A16916"/>
    <w:rsid w:val="00A1691A"/>
    <w:rsid w:val="00A169B6"/>
    <w:rsid w:val="00A16A05"/>
    <w:rsid w:val="00A16B2F"/>
    <w:rsid w:val="00A16BAE"/>
    <w:rsid w:val="00A17074"/>
    <w:rsid w:val="00A1722C"/>
    <w:rsid w:val="00A173E2"/>
    <w:rsid w:val="00A17BE5"/>
    <w:rsid w:val="00A17DA0"/>
    <w:rsid w:val="00A17E9C"/>
    <w:rsid w:val="00A17F53"/>
    <w:rsid w:val="00A200F5"/>
    <w:rsid w:val="00A20116"/>
    <w:rsid w:val="00A2036E"/>
    <w:rsid w:val="00A2049F"/>
    <w:rsid w:val="00A20681"/>
    <w:rsid w:val="00A207F7"/>
    <w:rsid w:val="00A20990"/>
    <w:rsid w:val="00A209E7"/>
    <w:rsid w:val="00A20A23"/>
    <w:rsid w:val="00A20D31"/>
    <w:rsid w:val="00A21000"/>
    <w:rsid w:val="00A21287"/>
    <w:rsid w:val="00A212B7"/>
    <w:rsid w:val="00A2145E"/>
    <w:rsid w:val="00A21542"/>
    <w:rsid w:val="00A2160D"/>
    <w:rsid w:val="00A216F0"/>
    <w:rsid w:val="00A21762"/>
    <w:rsid w:val="00A21A0C"/>
    <w:rsid w:val="00A21C11"/>
    <w:rsid w:val="00A21EA2"/>
    <w:rsid w:val="00A21F2D"/>
    <w:rsid w:val="00A21F83"/>
    <w:rsid w:val="00A2223C"/>
    <w:rsid w:val="00A222BA"/>
    <w:rsid w:val="00A2248F"/>
    <w:rsid w:val="00A2259C"/>
    <w:rsid w:val="00A225E6"/>
    <w:rsid w:val="00A22647"/>
    <w:rsid w:val="00A22760"/>
    <w:rsid w:val="00A2280F"/>
    <w:rsid w:val="00A22BDD"/>
    <w:rsid w:val="00A22E46"/>
    <w:rsid w:val="00A2311A"/>
    <w:rsid w:val="00A232BA"/>
    <w:rsid w:val="00A233BA"/>
    <w:rsid w:val="00A23536"/>
    <w:rsid w:val="00A235DC"/>
    <w:rsid w:val="00A238F2"/>
    <w:rsid w:val="00A23B80"/>
    <w:rsid w:val="00A23B96"/>
    <w:rsid w:val="00A23C64"/>
    <w:rsid w:val="00A23CF1"/>
    <w:rsid w:val="00A24307"/>
    <w:rsid w:val="00A243AA"/>
    <w:rsid w:val="00A24693"/>
    <w:rsid w:val="00A2472E"/>
    <w:rsid w:val="00A2474A"/>
    <w:rsid w:val="00A2487A"/>
    <w:rsid w:val="00A2492B"/>
    <w:rsid w:val="00A24BBD"/>
    <w:rsid w:val="00A24CA7"/>
    <w:rsid w:val="00A24CB2"/>
    <w:rsid w:val="00A24D00"/>
    <w:rsid w:val="00A24EAA"/>
    <w:rsid w:val="00A24F02"/>
    <w:rsid w:val="00A24F4D"/>
    <w:rsid w:val="00A250F9"/>
    <w:rsid w:val="00A25442"/>
    <w:rsid w:val="00A25786"/>
    <w:rsid w:val="00A2580E"/>
    <w:rsid w:val="00A2588C"/>
    <w:rsid w:val="00A259EF"/>
    <w:rsid w:val="00A25AA4"/>
    <w:rsid w:val="00A25BAD"/>
    <w:rsid w:val="00A25BD6"/>
    <w:rsid w:val="00A25C5F"/>
    <w:rsid w:val="00A261B0"/>
    <w:rsid w:val="00A2664C"/>
    <w:rsid w:val="00A26660"/>
    <w:rsid w:val="00A2679B"/>
    <w:rsid w:val="00A26871"/>
    <w:rsid w:val="00A268EA"/>
    <w:rsid w:val="00A26A19"/>
    <w:rsid w:val="00A26B0E"/>
    <w:rsid w:val="00A26BA1"/>
    <w:rsid w:val="00A26D30"/>
    <w:rsid w:val="00A26DD2"/>
    <w:rsid w:val="00A27017"/>
    <w:rsid w:val="00A27058"/>
    <w:rsid w:val="00A275D4"/>
    <w:rsid w:val="00A27848"/>
    <w:rsid w:val="00A27AAA"/>
    <w:rsid w:val="00A27C82"/>
    <w:rsid w:val="00A27C8B"/>
    <w:rsid w:val="00A27CDE"/>
    <w:rsid w:val="00A27DF5"/>
    <w:rsid w:val="00A27F67"/>
    <w:rsid w:val="00A30008"/>
    <w:rsid w:val="00A30178"/>
    <w:rsid w:val="00A30937"/>
    <w:rsid w:val="00A30B18"/>
    <w:rsid w:val="00A30B5E"/>
    <w:rsid w:val="00A30B66"/>
    <w:rsid w:val="00A30B68"/>
    <w:rsid w:val="00A30C12"/>
    <w:rsid w:val="00A30E29"/>
    <w:rsid w:val="00A30FFA"/>
    <w:rsid w:val="00A31165"/>
    <w:rsid w:val="00A312CD"/>
    <w:rsid w:val="00A313A8"/>
    <w:rsid w:val="00A313BC"/>
    <w:rsid w:val="00A314F2"/>
    <w:rsid w:val="00A3154D"/>
    <w:rsid w:val="00A3176B"/>
    <w:rsid w:val="00A31860"/>
    <w:rsid w:val="00A318A0"/>
    <w:rsid w:val="00A318AA"/>
    <w:rsid w:val="00A31B10"/>
    <w:rsid w:val="00A31C35"/>
    <w:rsid w:val="00A31DB7"/>
    <w:rsid w:val="00A32097"/>
    <w:rsid w:val="00A3220C"/>
    <w:rsid w:val="00A322D2"/>
    <w:rsid w:val="00A3235A"/>
    <w:rsid w:val="00A32786"/>
    <w:rsid w:val="00A3284E"/>
    <w:rsid w:val="00A3291F"/>
    <w:rsid w:val="00A32973"/>
    <w:rsid w:val="00A329A0"/>
    <w:rsid w:val="00A329D1"/>
    <w:rsid w:val="00A32C09"/>
    <w:rsid w:val="00A32C2C"/>
    <w:rsid w:val="00A32D35"/>
    <w:rsid w:val="00A331EC"/>
    <w:rsid w:val="00A335D3"/>
    <w:rsid w:val="00A33745"/>
    <w:rsid w:val="00A33899"/>
    <w:rsid w:val="00A339CA"/>
    <w:rsid w:val="00A33FF8"/>
    <w:rsid w:val="00A3404E"/>
    <w:rsid w:val="00A3406E"/>
    <w:rsid w:val="00A34273"/>
    <w:rsid w:val="00A3427E"/>
    <w:rsid w:val="00A343A3"/>
    <w:rsid w:val="00A34452"/>
    <w:rsid w:val="00A34582"/>
    <w:rsid w:val="00A34A12"/>
    <w:rsid w:val="00A34FD0"/>
    <w:rsid w:val="00A351DD"/>
    <w:rsid w:val="00A35331"/>
    <w:rsid w:val="00A3543E"/>
    <w:rsid w:val="00A35504"/>
    <w:rsid w:val="00A356D6"/>
    <w:rsid w:val="00A357F9"/>
    <w:rsid w:val="00A35C4F"/>
    <w:rsid w:val="00A35E2A"/>
    <w:rsid w:val="00A35E9C"/>
    <w:rsid w:val="00A35EEC"/>
    <w:rsid w:val="00A35F6D"/>
    <w:rsid w:val="00A36195"/>
    <w:rsid w:val="00A363C7"/>
    <w:rsid w:val="00A36524"/>
    <w:rsid w:val="00A3662B"/>
    <w:rsid w:val="00A366B2"/>
    <w:rsid w:val="00A36715"/>
    <w:rsid w:val="00A367F3"/>
    <w:rsid w:val="00A3682C"/>
    <w:rsid w:val="00A36BE7"/>
    <w:rsid w:val="00A36EF7"/>
    <w:rsid w:val="00A371EC"/>
    <w:rsid w:val="00A37216"/>
    <w:rsid w:val="00A37354"/>
    <w:rsid w:val="00A374D2"/>
    <w:rsid w:val="00A3760F"/>
    <w:rsid w:val="00A376F8"/>
    <w:rsid w:val="00A3775D"/>
    <w:rsid w:val="00A379E6"/>
    <w:rsid w:val="00A37BF9"/>
    <w:rsid w:val="00A37C20"/>
    <w:rsid w:val="00A37DFB"/>
    <w:rsid w:val="00A37F70"/>
    <w:rsid w:val="00A37FD4"/>
    <w:rsid w:val="00A40403"/>
    <w:rsid w:val="00A4069B"/>
    <w:rsid w:val="00A406C9"/>
    <w:rsid w:val="00A40832"/>
    <w:rsid w:val="00A4085A"/>
    <w:rsid w:val="00A408F3"/>
    <w:rsid w:val="00A409DE"/>
    <w:rsid w:val="00A40B7E"/>
    <w:rsid w:val="00A40D14"/>
    <w:rsid w:val="00A40EA9"/>
    <w:rsid w:val="00A41014"/>
    <w:rsid w:val="00A4109E"/>
    <w:rsid w:val="00A410A6"/>
    <w:rsid w:val="00A412F7"/>
    <w:rsid w:val="00A417AE"/>
    <w:rsid w:val="00A41A76"/>
    <w:rsid w:val="00A41C0E"/>
    <w:rsid w:val="00A41CED"/>
    <w:rsid w:val="00A41D98"/>
    <w:rsid w:val="00A421C5"/>
    <w:rsid w:val="00A421D5"/>
    <w:rsid w:val="00A42614"/>
    <w:rsid w:val="00A428E6"/>
    <w:rsid w:val="00A42EC0"/>
    <w:rsid w:val="00A42FA1"/>
    <w:rsid w:val="00A43351"/>
    <w:rsid w:val="00A43561"/>
    <w:rsid w:val="00A437A4"/>
    <w:rsid w:val="00A43EBA"/>
    <w:rsid w:val="00A440C7"/>
    <w:rsid w:val="00A443D1"/>
    <w:rsid w:val="00A44593"/>
    <w:rsid w:val="00A44669"/>
    <w:rsid w:val="00A44681"/>
    <w:rsid w:val="00A4478E"/>
    <w:rsid w:val="00A44848"/>
    <w:rsid w:val="00A448D0"/>
    <w:rsid w:val="00A44977"/>
    <w:rsid w:val="00A44C90"/>
    <w:rsid w:val="00A44D71"/>
    <w:rsid w:val="00A44D9E"/>
    <w:rsid w:val="00A44E5B"/>
    <w:rsid w:val="00A45006"/>
    <w:rsid w:val="00A4518C"/>
    <w:rsid w:val="00A451E7"/>
    <w:rsid w:val="00A453CF"/>
    <w:rsid w:val="00A453D4"/>
    <w:rsid w:val="00A455D7"/>
    <w:rsid w:val="00A45778"/>
    <w:rsid w:val="00A458AC"/>
    <w:rsid w:val="00A459EA"/>
    <w:rsid w:val="00A45EF1"/>
    <w:rsid w:val="00A46177"/>
    <w:rsid w:val="00A462D9"/>
    <w:rsid w:val="00A4636D"/>
    <w:rsid w:val="00A46394"/>
    <w:rsid w:val="00A46396"/>
    <w:rsid w:val="00A463CE"/>
    <w:rsid w:val="00A4645B"/>
    <w:rsid w:val="00A464F1"/>
    <w:rsid w:val="00A46971"/>
    <w:rsid w:val="00A469EA"/>
    <w:rsid w:val="00A46A16"/>
    <w:rsid w:val="00A46DD5"/>
    <w:rsid w:val="00A46E80"/>
    <w:rsid w:val="00A46FA7"/>
    <w:rsid w:val="00A47242"/>
    <w:rsid w:val="00A4757D"/>
    <w:rsid w:val="00A47818"/>
    <w:rsid w:val="00A478F5"/>
    <w:rsid w:val="00A479B8"/>
    <w:rsid w:val="00A479BC"/>
    <w:rsid w:val="00A47A80"/>
    <w:rsid w:val="00A47AF9"/>
    <w:rsid w:val="00A47C26"/>
    <w:rsid w:val="00A47DB4"/>
    <w:rsid w:val="00A47FED"/>
    <w:rsid w:val="00A50221"/>
    <w:rsid w:val="00A503D5"/>
    <w:rsid w:val="00A504F7"/>
    <w:rsid w:val="00A50842"/>
    <w:rsid w:val="00A5090C"/>
    <w:rsid w:val="00A50A42"/>
    <w:rsid w:val="00A50C32"/>
    <w:rsid w:val="00A50D90"/>
    <w:rsid w:val="00A50D9E"/>
    <w:rsid w:val="00A50E03"/>
    <w:rsid w:val="00A50EAC"/>
    <w:rsid w:val="00A5121D"/>
    <w:rsid w:val="00A51244"/>
    <w:rsid w:val="00A512A9"/>
    <w:rsid w:val="00A5170C"/>
    <w:rsid w:val="00A517DB"/>
    <w:rsid w:val="00A51847"/>
    <w:rsid w:val="00A5194E"/>
    <w:rsid w:val="00A51AD1"/>
    <w:rsid w:val="00A5203D"/>
    <w:rsid w:val="00A52064"/>
    <w:rsid w:val="00A52140"/>
    <w:rsid w:val="00A52582"/>
    <w:rsid w:val="00A52805"/>
    <w:rsid w:val="00A5293F"/>
    <w:rsid w:val="00A52995"/>
    <w:rsid w:val="00A52A3D"/>
    <w:rsid w:val="00A52DF9"/>
    <w:rsid w:val="00A52E1A"/>
    <w:rsid w:val="00A52E6A"/>
    <w:rsid w:val="00A52F2E"/>
    <w:rsid w:val="00A52F3A"/>
    <w:rsid w:val="00A53013"/>
    <w:rsid w:val="00A532AF"/>
    <w:rsid w:val="00A534D9"/>
    <w:rsid w:val="00A534FB"/>
    <w:rsid w:val="00A536C4"/>
    <w:rsid w:val="00A5374E"/>
    <w:rsid w:val="00A53793"/>
    <w:rsid w:val="00A53A92"/>
    <w:rsid w:val="00A53C2A"/>
    <w:rsid w:val="00A53C82"/>
    <w:rsid w:val="00A53D6C"/>
    <w:rsid w:val="00A53EF9"/>
    <w:rsid w:val="00A54298"/>
    <w:rsid w:val="00A542A4"/>
    <w:rsid w:val="00A54389"/>
    <w:rsid w:val="00A543E5"/>
    <w:rsid w:val="00A5440D"/>
    <w:rsid w:val="00A544E8"/>
    <w:rsid w:val="00A546A3"/>
    <w:rsid w:val="00A546D5"/>
    <w:rsid w:val="00A54709"/>
    <w:rsid w:val="00A54945"/>
    <w:rsid w:val="00A54A06"/>
    <w:rsid w:val="00A54A4B"/>
    <w:rsid w:val="00A54B68"/>
    <w:rsid w:val="00A54CA5"/>
    <w:rsid w:val="00A54DF6"/>
    <w:rsid w:val="00A54EC0"/>
    <w:rsid w:val="00A54F13"/>
    <w:rsid w:val="00A54FE9"/>
    <w:rsid w:val="00A5502B"/>
    <w:rsid w:val="00A55141"/>
    <w:rsid w:val="00A552A0"/>
    <w:rsid w:val="00A552ED"/>
    <w:rsid w:val="00A554C1"/>
    <w:rsid w:val="00A555C6"/>
    <w:rsid w:val="00A557FA"/>
    <w:rsid w:val="00A55834"/>
    <w:rsid w:val="00A558BE"/>
    <w:rsid w:val="00A5594D"/>
    <w:rsid w:val="00A55971"/>
    <w:rsid w:val="00A55A95"/>
    <w:rsid w:val="00A55B07"/>
    <w:rsid w:val="00A55C18"/>
    <w:rsid w:val="00A55C8A"/>
    <w:rsid w:val="00A55E73"/>
    <w:rsid w:val="00A55EEE"/>
    <w:rsid w:val="00A55F08"/>
    <w:rsid w:val="00A561EA"/>
    <w:rsid w:val="00A56515"/>
    <w:rsid w:val="00A56601"/>
    <w:rsid w:val="00A56638"/>
    <w:rsid w:val="00A567E1"/>
    <w:rsid w:val="00A56955"/>
    <w:rsid w:val="00A56980"/>
    <w:rsid w:val="00A56F50"/>
    <w:rsid w:val="00A57035"/>
    <w:rsid w:val="00A57140"/>
    <w:rsid w:val="00A571FE"/>
    <w:rsid w:val="00A57373"/>
    <w:rsid w:val="00A575C7"/>
    <w:rsid w:val="00A576BE"/>
    <w:rsid w:val="00A57797"/>
    <w:rsid w:val="00A57A65"/>
    <w:rsid w:val="00A57B83"/>
    <w:rsid w:val="00A57EC7"/>
    <w:rsid w:val="00A57F35"/>
    <w:rsid w:val="00A60392"/>
    <w:rsid w:val="00A605EA"/>
    <w:rsid w:val="00A6065B"/>
    <w:rsid w:val="00A60796"/>
    <w:rsid w:val="00A6079C"/>
    <w:rsid w:val="00A609A6"/>
    <w:rsid w:val="00A60F17"/>
    <w:rsid w:val="00A61196"/>
    <w:rsid w:val="00A611C3"/>
    <w:rsid w:val="00A61250"/>
    <w:rsid w:val="00A61357"/>
    <w:rsid w:val="00A61546"/>
    <w:rsid w:val="00A615EA"/>
    <w:rsid w:val="00A61799"/>
    <w:rsid w:val="00A61805"/>
    <w:rsid w:val="00A618C9"/>
    <w:rsid w:val="00A618E8"/>
    <w:rsid w:val="00A619E3"/>
    <w:rsid w:val="00A61B0C"/>
    <w:rsid w:val="00A61B7E"/>
    <w:rsid w:val="00A61BE3"/>
    <w:rsid w:val="00A61CA0"/>
    <w:rsid w:val="00A61CDE"/>
    <w:rsid w:val="00A61D56"/>
    <w:rsid w:val="00A61F70"/>
    <w:rsid w:val="00A61F81"/>
    <w:rsid w:val="00A6227F"/>
    <w:rsid w:val="00A62700"/>
    <w:rsid w:val="00A62783"/>
    <w:rsid w:val="00A629B1"/>
    <w:rsid w:val="00A62AAA"/>
    <w:rsid w:val="00A62AE1"/>
    <w:rsid w:val="00A62AF4"/>
    <w:rsid w:val="00A62B26"/>
    <w:rsid w:val="00A62BEB"/>
    <w:rsid w:val="00A62C6C"/>
    <w:rsid w:val="00A630C6"/>
    <w:rsid w:val="00A63148"/>
    <w:rsid w:val="00A631B7"/>
    <w:rsid w:val="00A6327B"/>
    <w:rsid w:val="00A63379"/>
    <w:rsid w:val="00A633E3"/>
    <w:rsid w:val="00A63421"/>
    <w:rsid w:val="00A63575"/>
    <w:rsid w:val="00A6368C"/>
    <w:rsid w:val="00A63697"/>
    <w:rsid w:val="00A6370B"/>
    <w:rsid w:val="00A637AE"/>
    <w:rsid w:val="00A638C9"/>
    <w:rsid w:val="00A63AA1"/>
    <w:rsid w:val="00A63B74"/>
    <w:rsid w:val="00A63CBA"/>
    <w:rsid w:val="00A63ED8"/>
    <w:rsid w:val="00A63F0C"/>
    <w:rsid w:val="00A64230"/>
    <w:rsid w:val="00A64403"/>
    <w:rsid w:val="00A64408"/>
    <w:rsid w:val="00A6450E"/>
    <w:rsid w:val="00A6454E"/>
    <w:rsid w:val="00A6461B"/>
    <w:rsid w:val="00A6482A"/>
    <w:rsid w:val="00A648B4"/>
    <w:rsid w:val="00A649AE"/>
    <w:rsid w:val="00A649D8"/>
    <w:rsid w:val="00A64B08"/>
    <w:rsid w:val="00A64CCA"/>
    <w:rsid w:val="00A64DB1"/>
    <w:rsid w:val="00A64E65"/>
    <w:rsid w:val="00A64E9A"/>
    <w:rsid w:val="00A64F3B"/>
    <w:rsid w:val="00A64FF8"/>
    <w:rsid w:val="00A6506D"/>
    <w:rsid w:val="00A65115"/>
    <w:rsid w:val="00A656AB"/>
    <w:rsid w:val="00A659C7"/>
    <w:rsid w:val="00A65A28"/>
    <w:rsid w:val="00A65C53"/>
    <w:rsid w:val="00A65DAB"/>
    <w:rsid w:val="00A6603C"/>
    <w:rsid w:val="00A6615D"/>
    <w:rsid w:val="00A661AA"/>
    <w:rsid w:val="00A66366"/>
    <w:rsid w:val="00A6660B"/>
    <w:rsid w:val="00A66670"/>
    <w:rsid w:val="00A666A8"/>
    <w:rsid w:val="00A66948"/>
    <w:rsid w:val="00A66993"/>
    <w:rsid w:val="00A66BDF"/>
    <w:rsid w:val="00A66BF5"/>
    <w:rsid w:val="00A66C80"/>
    <w:rsid w:val="00A66DBA"/>
    <w:rsid w:val="00A66FA0"/>
    <w:rsid w:val="00A6701D"/>
    <w:rsid w:val="00A6711E"/>
    <w:rsid w:val="00A671C9"/>
    <w:rsid w:val="00A672F2"/>
    <w:rsid w:val="00A6737C"/>
    <w:rsid w:val="00A674EB"/>
    <w:rsid w:val="00A6750A"/>
    <w:rsid w:val="00A675E5"/>
    <w:rsid w:val="00A67826"/>
    <w:rsid w:val="00A67A8E"/>
    <w:rsid w:val="00A67B47"/>
    <w:rsid w:val="00A67CAD"/>
    <w:rsid w:val="00A67DC0"/>
    <w:rsid w:val="00A67DE9"/>
    <w:rsid w:val="00A67EB3"/>
    <w:rsid w:val="00A70033"/>
    <w:rsid w:val="00A70049"/>
    <w:rsid w:val="00A70053"/>
    <w:rsid w:val="00A700BC"/>
    <w:rsid w:val="00A700C5"/>
    <w:rsid w:val="00A702CA"/>
    <w:rsid w:val="00A704AF"/>
    <w:rsid w:val="00A70539"/>
    <w:rsid w:val="00A70680"/>
    <w:rsid w:val="00A706FC"/>
    <w:rsid w:val="00A7077A"/>
    <w:rsid w:val="00A7095B"/>
    <w:rsid w:val="00A70B41"/>
    <w:rsid w:val="00A70BC5"/>
    <w:rsid w:val="00A70C63"/>
    <w:rsid w:val="00A70CAC"/>
    <w:rsid w:val="00A70CB4"/>
    <w:rsid w:val="00A70CBB"/>
    <w:rsid w:val="00A70CE1"/>
    <w:rsid w:val="00A70CF7"/>
    <w:rsid w:val="00A70EB4"/>
    <w:rsid w:val="00A71136"/>
    <w:rsid w:val="00A71249"/>
    <w:rsid w:val="00A71287"/>
    <w:rsid w:val="00A713F8"/>
    <w:rsid w:val="00A71503"/>
    <w:rsid w:val="00A71547"/>
    <w:rsid w:val="00A71576"/>
    <w:rsid w:val="00A716D5"/>
    <w:rsid w:val="00A716F1"/>
    <w:rsid w:val="00A71967"/>
    <w:rsid w:val="00A71DDD"/>
    <w:rsid w:val="00A7200D"/>
    <w:rsid w:val="00A720C1"/>
    <w:rsid w:val="00A721ED"/>
    <w:rsid w:val="00A72398"/>
    <w:rsid w:val="00A72400"/>
    <w:rsid w:val="00A72404"/>
    <w:rsid w:val="00A7276E"/>
    <w:rsid w:val="00A72795"/>
    <w:rsid w:val="00A728A9"/>
    <w:rsid w:val="00A72991"/>
    <w:rsid w:val="00A729CF"/>
    <w:rsid w:val="00A729D4"/>
    <w:rsid w:val="00A729DB"/>
    <w:rsid w:val="00A72ABB"/>
    <w:rsid w:val="00A72B5B"/>
    <w:rsid w:val="00A72CF5"/>
    <w:rsid w:val="00A72F2A"/>
    <w:rsid w:val="00A7375C"/>
    <w:rsid w:val="00A73855"/>
    <w:rsid w:val="00A73C86"/>
    <w:rsid w:val="00A74157"/>
    <w:rsid w:val="00A7422A"/>
    <w:rsid w:val="00A74253"/>
    <w:rsid w:val="00A743CB"/>
    <w:rsid w:val="00A746E4"/>
    <w:rsid w:val="00A747E5"/>
    <w:rsid w:val="00A748AB"/>
    <w:rsid w:val="00A748D8"/>
    <w:rsid w:val="00A74990"/>
    <w:rsid w:val="00A74A60"/>
    <w:rsid w:val="00A74AB0"/>
    <w:rsid w:val="00A74B79"/>
    <w:rsid w:val="00A7510E"/>
    <w:rsid w:val="00A752C6"/>
    <w:rsid w:val="00A753BD"/>
    <w:rsid w:val="00A75488"/>
    <w:rsid w:val="00A754A4"/>
    <w:rsid w:val="00A75507"/>
    <w:rsid w:val="00A7559F"/>
    <w:rsid w:val="00A756E2"/>
    <w:rsid w:val="00A75879"/>
    <w:rsid w:val="00A75AEC"/>
    <w:rsid w:val="00A75B65"/>
    <w:rsid w:val="00A75C97"/>
    <w:rsid w:val="00A75ED1"/>
    <w:rsid w:val="00A76039"/>
    <w:rsid w:val="00A76058"/>
    <w:rsid w:val="00A76645"/>
    <w:rsid w:val="00A76834"/>
    <w:rsid w:val="00A7699F"/>
    <w:rsid w:val="00A76A47"/>
    <w:rsid w:val="00A76A8E"/>
    <w:rsid w:val="00A76B8F"/>
    <w:rsid w:val="00A76E1F"/>
    <w:rsid w:val="00A770F3"/>
    <w:rsid w:val="00A771CF"/>
    <w:rsid w:val="00A77337"/>
    <w:rsid w:val="00A77417"/>
    <w:rsid w:val="00A7744A"/>
    <w:rsid w:val="00A774D5"/>
    <w:rsid w:val="00A77670"/>
    <w:rsid w:val="00A77942"/>
    <w:rsid w:val="00A77975"/>
    <w:rsid w:val="00A779BE"/>
    <w:rsid w:val="00A77A5B"/>
    <w:rsid w:val="00A77CEE"/>
    <w:rsid w:val="00A77FD1"/>
    <w:rsid w:val="00A7C7CE"/>
    <w:rsid w:val="00A800FD"/>
    <w:rsid w:val="00A8010B"/>
    <w:rsid w:val="00A804A0"/>
    <w:rsid w:val="00A808E5"/>
    <w:rsid w:val="00A80EE4"/>
    <w:rsid w:val="00A8105F"/>
    <w:rsid w:val="00A810F8"/>
    <w:rsid w:val="00A81687"/>
    <w:rsid w:val="00A81857"/>
    <w:rsid w:val="00A81A8F"/>
    <w:rsid w:val="00A81C20"/>
    <w:rsid w:val="00A81CC8"/>
    <w:rsid w:val="00A81E1A"/>
    <w:rsid w:val="00A81FB7"/>
    <w:rsid w:val="00A82156"/>
    <w:rsid w:val="00A82216"/>
    <w:rsid w:val="00A8287C"/>
    <w:rsid w:val="00A82DB8"/>
    <w:rsid w:val="00A83324"/>
    <w:rsid w:val="00A834FE"/>
    <w:rsid w:val="00A837A7"/>
    <w:rsid w:val="00A83A37"/>
    <w:rsid w:val="00A83D7F"/>
    <w:rsid w:val="00A83E49"/>
    <w:rsid w:val="00A83EAB"/>
    <w:rsid w:val="00A8423C"/>
    <w:rsid w:val="00A843EA"/>
    <w:rsid w:val="00A844E9"/>
    <w:rsid w:val="00A845E7"/>
    <w:rsid w:val="00A8477C"/>
    <w:rsid w:val="00A84808"/>
    <w:rsid w:val="00A8489B"/>
    <w:rsid w:val="00A8490A"/>
    <w:rsid w:val="00A84AFF"/>
    <w:rsid w:val="00A84BB6"/>
    <w:rsid w:val="00A84C37"/>
    <w:rsid w:val="00A84EF4"/>
    <w:rsid w:val="00A8500D"/>
    <w:rsid w:val="00A85361"/>
    <w:rsid w:val="00A85433"/>
    <w:rsid w:val="00A856EE"/>
    <w:rsid w:val="00A85AB2"/>
    <w:rsid w:val="00A85B75"/>
    <w:rsid w:val="00A85C02"/>
    <w:rsid w:val="00A85C31"/>
    <w:rsid w:val="00A86136"/>
    <w:rsid w:val="00A86614"/>
    <w:rsid w:val="00A86623"/>
    <w:rsid w:val="00A86828"/>
    <w:rsid w:val="00A86834"/>
    <w:rsid w:val="00A86A2E"/>
    <w:rsid w:val="00A86A30"/>
    <w:rsid w:val="00A86C97"/>
    <w:rsid w:val="00A86D45"/>
    <w:rsid w:val="00A86F32"/>
    <w:rsid w:val="00A86F67"/>
    <w:rsid w:val="00A8738A"/>
    <w:rsid w:val="00A8738C"/>
    <w:rsid w:val="00A878EC"/>
    <w:rsid w:val="00A87B0D"/>
    <w:rsid w:val="00A87B55"/>
    <w:rsid w:val="00A87DF9"/>
    <w:rsid w:val="00A9011F"/>
    <w:rsid w:val="00A904C1"/>
    <w:rsid w:val="00A9050D"/>
    <w:rsid w:val="00A907A2"/>
    <w:rsid w:val="00A90A58"/>
    <w:rsid w:val="00A90B01"/>
    <w:rsid w:val="00A90B35"/>
    <w:rsid w:val="00A90BFF"/>
    <w:rsid w:val="00A90C29"/>
    <w:rsid w:val="00A90CAF"/>
    <w:rsid w:val="00A90F7C"/>
    <w:rsid w:val="00A90F99"/>
    <w:rsid w:val="00A911AE"/>
    <w:rsid w:val="00A91349"/>
    <w:rsid w:val="00A914AD"/>
    <w:rsid w:val="00A91630"/>
    <w:rsid w:val="00A91896"/>
    <w:rsid w:val="00A91ACE"/>
    <w:rsid w:val="00A9205F"/>
    <w:rsid w:val="00A92180"/>
    <w:rsid w:val="00A921C1"/>
    <w:rsid w:val="00A9234C"/>
    <w:rsid w:val="00A923AF"/>
    <w:rsid w:val="00A926B9"/>
    <w:rsid w:val="00A92792"/>
    <w:rsid w:val="00A928E1"/>
    <w:rsid w:val="00A92BE7"/>
    <w:rsid w:val="00A92DB4"/>
    <w:rsid w:val="00A92F64"/>
    <w:rsid w:val="00A92FEA"/>
    <w:rsid w:val="00A930DA"/>
    <w:rsid w:val="00A93196"/>
    <w:rsid w:val="00A931FA"/>
    <w:rsid w:val="00A93277"/>
    <w:rsid w:val="00A9344D"/>
    <w:rsid w:val="00A9373D"/>
    <w:rsid w:val="00A93840"/>
    <w:rsid w:val="00A9395C"/>
    <w:rsid w:val="00A939E1"/>
    <w:rsid w:val="00A93B92"/>
    <w:rsid w:val="00A93BB1"/>
    <w:rsid w:val="00A93D2C"/>
    <w:rsid w:val="00A93E7F"/>
    <w:rsid w:val="00A93EC4"/>
    <w:rsid w:val="00A93F2B"/>
    <w:rsid w:val="00A9407F"/>
    <w:rsid w:val="00A94287"/>
    <w:rsid w:val="00A94324"/>
    <w:rsid w:val="00A9447E"/>
    <w:rsid w:val="00A944FF"/>
    <w:rsid w:val="00A94C29"/>
    <w:rsid w:val="00A94CB5"/>
    <w:rsid w:val="00A94CC0"/>
    <w:rsid w:val="00A94D3F"/>
    <w:rsid w:val="00A94F2A"/>
    <w:rsid w:val="00A95070"/>
    <w:rsid w:val="00A950D5"/>
    <w:rsid w:val="00A95395"/>
    <w:rsid w:val="00A95424"/>
    <w:rsid w:val="00A95498"/>
    <w:rsid w:val="00A95664"/>
    <w:rsid w:val="00A9576B"/>
    <w:rsid w:val="00A959F1"/>
    <w:rsid w:val="00A95ACB"/>
    <w:rsid w:val="00A95D41"/>
    <w:rsid w:val="00A95DBE"/>
    <w:rsid w:val="00A95E10"/>
    <w:rsid w:val="00A95EE1"/>
    <w:rsid w:val="00A960BA"/>
    <w:rsid w:val="00A961C2"/>
    <w:rsid w:val="00A96313"/>
    <w:rsid w:val="00A96346"/>
    <w:rsid w:val="00A96410"/>
    <w:rsid w:val="00A96658"/>
    <w:rsid w:val="00A9668E"/>
    <w:rsid w:val="00A96820"/>
    <w:rsid w:val="00A968F2"/>
    <w:rsid w:val="00A96D2E"/>
    <w:rsid w:val="00A96E67"/>
    <w:rsid w:val="00A970E8"/>
    <w:rsid w:val="00A97190"/>
    <w:rsid w:val="00A9731D"/>
    <w:rsid w:val="00A97324"/>
    <w:rsid w:val="00A973B1"/>
    <w:rsid w:val="00A9751E"/>
    <w:rsid w:val="00A9770B"/>
    <w:rsid w:val="00A9774D"/>
    <w:rsid w:val="00A97896"/>
    <w:rsid w:val="00A97911"/>
    <w:rsid w:val="00A97954"/>
    <w:rsid w:val="00A979F8"/>
    <w:rsid w:val="00A97C85"/>
    <w:rsid w:val="00AA0040"/>
    <w:rsid w:val="00AA027F"/>
    <w:rsid w:val="00AA0571"/>
    <w:rsid w:val="00AA05E0"/>
    <w:rsid w:val="00AA066A"/>
    <w:rsid w:val="00AA06AF"/>
    <w:rsid w:val="00AA0954"/>
    <w:rsid w:val="00AA0B30"/>
    <w:rsid w:val="00AA0C06"/>
    <w:rsid w:val="00AA0DD6"/>
    <w:rsid w:val="00AA0F95"/>
    <w:rsid w:val="00AA0FC4"/>
    <w:rsid w:val="00AA13E7"/>
    <w:rsid w:val="00AA1639"/>
    <w:rsid w:val="00AA182A"/>
    <w:rsid w:val="00AA18E6"/>
    <w:rsid w:val="00AA1ABA"/>
    <w:rsid w:val="00AA1C03"/>
    <w:rsid w:val="00AA1E5A"/>
    <w:rsid w:val="00AA1FD8"/>
    <w:rsid w:val="00AA2063"/>
    <w:rsid w:val="00AA2084"/>
    <w:rsid w:val="00AA210D"/>
    <w:rsid w:val="00AA217B"/>
    <w:rsid w:val="00AA218B"/>
    <w:rsid w:val="00AA2217"/>
    <w:rsid w:val="00AA2338"/>
    <w:rsid w:val="00AA2430"/>
    <w:rsid w:val="00AA293C"/>
    <w:rsid w:val="00AA2A44"/>
    <w:rsid w:val="00AA2B80"/>
    <w:rsid w:val="00AA2BD1"/>
    <w:rsid w:val="00AA2E73"/>
    <w:rsid w:val="00AA2EDE"/>
    <w:rsid w:val="00AA3086"/>
    <w:rsid w:val="00AA30AC"/>
    <w:rsid w:val="00AA32D5"/>
    <w:rsid w:val="00AA3479"/>
    <w:rsid w:val="00AA3486"/>
    <w:rsid w:val="00AA36EB"/>
    <w:rsid w:val="00AA37A2"/>
    <w:rsid w:val="00AA3963"/>
    <w:rsid w:val="00AA39E2"/>
    <w:rsid w:val="00AA3A15"/>
    <w:rsid w:val="00AA3B77"/>
    <w:rsid w:val="00AA3B91"/>
    <w:rsid w:val="00AA3C60"/>
    <w:rsid w:val="00AA3D5E"/>
    <w:rsid w:val="00AA3E3D"/>
    <w:rsid w:val="00AA3F43"/>
    <w:rsid w:val="00AA4147"/>
    <w:rsid w:val="00AA41D4"/>
    <w:rsid w:val="00AA428E"/>
    <w:rsid w:val="00AA4741"/>
    <w:rsid w:val="00AA4931"/>
    <w:rsid w:val="00AA4E11"/>
    <w:rsid w:val="00AA4FB2"/>
    <w:rsid w:val="00AA5479"/>
    <w:rsid w:val="00AA554F"/>
    <w:rsid w:val="00AA5749"/>
    <w:rsid w:val="00AA587A"/>
    <w:rsid w:val="00AA5A0B"/>
    <w:rsid w:val="00AA5B37"/>
    <w:rsid w:val="00AA5BE1"/>
    <w:rsid w:val="00AA5C81"/>
    <w:rsid w:val="00AA5D2D"/>
    <w:rsid w:val="00AA5D9D"/>
    <w:rsid w:val="00AA5EBD"/>
    <w:rsid w:val="00AA607E"/>
    <w:rsid w:val="00AA622C"/>
    <w:rsid w:val="00AA62A7"/>
    <w:rsid w:val="00AA6388"/>
    <w:rsid w:val="00AA6421"/>
    <w:rsid w:val="00AA698E"/>
    <w:rsid w:val="00AA6BA4"/>
    <w:rsid w:val="00AA6E5A"/>
    <w:rsid w:val="00AA6F70"/>
    <w:rsid w:val="00AA708A"/>
    <w:rsid w:val="00AA7378"/>
    <w:rsid w:val="00AA738F"/>
    <w:rsid w:val="00AA7605"/>
    <w:rsid w:val="00AA77CC"/>
    <w:rsid w:val="00AA7A3C"/>
    <w:rsid w:val="00AA7A7C"/>
    <w:rsid w:val="00AA7B15"/>
    <w:rsid w:val="00AA7B56"/>
    <w:rsid w:val="00AA7B82"/>
    <w:rsid w:val="00AA7E2A"/>
    <w:rsid w:val="00AB006A"/>
    <w:rsid w:val="00AB017C"/>
    <w:rsid w:val="00AB04D5"/>
    <w:rsid w:val="00AB060E"/>
    <w:rsid w:val="00AB0704"/>
    <w:rsid w:val="00AB092C"/>
    <w:rsid w:val="00AB0B37"/>
    <w:rsid w:val="00AB0C5C"/>
    <w:rsid w:val="00AB0CA7"/>
    <w:rsid w:val="00AB0D82"/>
    <w:rsid w:val="00AB0E40"/>
    <w:rsid w:val="00AB1249"/>
    <w:rsid w:val="00AB12D9"/>
    <w:rsid w:val="00AB16AB"/>
    <w:rsid w:val="00AB1AC8"/>
    <w:rsid w:val="00AB1C6C"/>
    <w:rsid w:val="00AB1D72"/>
    <w:rsid w:val="00AB1D83"/>
    <w:rsid w:val="00AB1EFE"/>
    <w:rsid w:val="00AB2032"/>
    <w:rsid w:val="00AB2086"/>
    <w:rsid w:val="00AB2247"/>
    <w:rsid w:val="00AB254E"/>
    <w:rsid w:val="00AB2619"/>
    <w:rsid w:val="00AB272F"/>
    <w:rsid w:val="00AB293C"/>
    <w:rsid w:val="00AB2C17"/>
    <w:rsid w:val="00AB3154"/>
    <w:rsid w:val="00AB31EE"/>
    <w:rsid w:val="00AB31FE"/>
    <w:rsid w:val="00AB333E"/>
    <w:rsid w:val="00AB335A"/>
    <w:rsid w:val="00AB3426"/>
    <w:rsid w:val="00AB34B7"/>
    <w:rsid w:val="00AB34F5"/>
    <w:rsid w:val="00AB3592"/>
    <w:rsid w:val="00AB3730"/>
    <w:rsid w:val="00AB376F"/>
    <w:rsid w:val="00AB39AF"/>
    <w:rsid w:val="00AB3A13"/>
    <w:rsid w:val="00AB3F19"/>
    <w:rsid w:val="00AB4059"/>
    <w:rsid w:val="00AB40BE"/>
    <w:rsid w:val="00AB4165"/>
    <w:rsid w:val="00AB41E8"/>
    <w:rsid w:val="00AB44B6"/>
    <w:rsid w:val="00AB4598"/>
    <w:rsid w:val="00AB4614"/>
    <w:rsid w:val="00AB4615"/>
    <w:rsid w:val="00AB4634"/>
    <w:rsid w:val="00AB4988"/>
    <w:rsid w:val="00AB4AC6"/>
    <w:rsid w:val="00AB4E0F"/>
    <w:rsid w:val="00AB4EF4"/>
    <w:rsid w:val="00AB4FD9"/>
    <w:rsid w:val="00AB5005"/>
    <w:rsid w:val="00AB500C"/>
    <w:rsid w:val="00AB501E"/>
    <w:rsid w:val="00AB518F"/>
    <w:rsid w:val="00AB5200"/>
    <w:rsid w:val="00AB5252"/>
    <w:rsid w:val="00AB52C9"/>
    <w:rsid w:val="00AB565A"/>
    <w:rsid w:val="00AB5ACB"/>
    <w:rsid w:val="00AB5AFD"/>
    <w:rsid w:val="00AB5B54"/>
    <w:rsid w:val="00AB5D24"/>
    <w:rsid w:val="00AB5F91"/>
    <w:rsid w:val="00AB5FC5"/>
    <w:rsid w:val="00AB5FEA"/>
    <w:rsid w:val="00AB603D"/>
    <w:rsid w:val="00AB6075"/>
    <w:rsid w:val="00AB613A"/>
    <w:rsid w:val="00AB6452"/>
    <w:rsid w:val="00AB6484"/>
    <w:rsid w:val="00AB64C4"/>
    <w:rsid w:val="00AB66ED"/>
    <w:rsid w:val="00AB67A0"/>
    <w:rsid w:val="00AB68C8"/>
    <w:rsid w:val="00AB691F"/>
    <w:rsid w:val="00AB6E0B"/>
    <w:rsid w:val="00AB6E80"/>
    <w:rsid w:val="00AB7000"/>
    <w:rsid w:val="00AB708E"/>
    <w:rsid w:val="00AB70CB"/>
    <w:rsid w:val="00AB74E0"/>
    <w:rsid w:val="00AB7592"/>
    <w:rsid w:val="00AB779A"/>
    <w:rsid w:val="00AB7BAD"/>
    <w:rsid w:val="00AB7C18"/>
    <w:rsid w:val="00AB7CA8"/>
    <w:rsid w:val="00AC0472"/>
    <w:rsid w:val="00AC04A0"/>
    <w:rsid w:val="00AC05CB"/>
    <w:rsid w:val="00AC0638"/>
    <w:rsid w:val="00AC06AA"/>
    <w:rsid w:val="00AC0C3F"/>
    <w:rsid w:val="00AC0E42"/>
    <w:rsid w:val="00AC0EEF"/>
    <w:rsid w:val="00AC1230"/>
    <w:rsid w:val="00AC1263"/>
    <w:rsid w:val="00AC135E"/>
    <w:rsid w:val="00AC1604"/>
    <w:rsid w:val="00AC16BB"/>
    <w:rsid w:val="00AC19B7"/>
    <w:rsid w:val="00AC1B7F"/>
    <w:rsid w:val="00AC1ED6"/>
    <w:rsid w:val="00AC1EE9"/>
    <w:rsid w:val="00AC1F7E"/>
    <w:rsid w:val="00AC2266"/>
    <w:rsid w:val="00AC22B5"/>
    <w:rsid w:val="00AC22D6"/>
    <w:rsid w:val="00AC234D"/>
    <w:rsid w:val="00AC23FB"/>
    <w:rsid w:val="00AC2494"/>
    <w:rsid w:val="00AC2499"/>
    <w:rsid w:val="00AC257D"/>
    <w:rsid w:val="00AC25B1"/>
    <w:rsid w:val="00AC25C1"/>
    <w:rsid w:val="00AC265D"/>
    <w:rsid w:val="00AC2833"/>
    <w:rsid w:val="00AC28A6"/>
    <w:rsid w:val="00AC2903"/>
    <w:rsid w:val="00AC2A9F"/>
    <w:rsid w:val="00AC2AB2"/>
    <w:rsid w:val="00AC2B36"/>
    <w:rsid w:val="00AC2DBE"/>
    <w:rsid w:val="00AC2DFA"/>
    <w:rsid w:val="00AC2E45"/>
    <w:rsid w:val="00AC2F98"/>
    <w:rsid w:val="00AC2FE8"/>
    <w:rsid w:val="00AC311D"/>
    <w:rsid w:val="00AC31BB"/>
    <w:rsid w:val="00AC31CF"/>
    <w:rsid w:val="00AC31D5"/>
    <w:rsid w:val="00AC333A"/>
    <w:rsid w:val="00AC3400"/>
    <w:rsid w:val="00AC3464"/>
    <w:rsid w:val="00AC353B"/>
    <w:rsid w:val="00AC37E7"/>
    <w:rsid w:val="00AC3A5E"/>
    <w:rsid w:val="00AC3ABE"/>
    <w:rsid w:val="00AC3C08"/>
    <w:rsid w:val="00AC3C71"/>
    <w:rsid w:val="00AC3CAE"/>
    <w:rsid w:val="00AC3D99"/>
    <w:rsid w:val="00AC3F85"/>
    <w:rsid w:val="00AC4022"/>
    <w:rsid w:val="00AC419A"/>
    <w:rsid w:val="00AC42E0"/>
    <w:rsid w:val="00AC446A"/>
    <w:rsid w:val="00AC469D"/>
    <w:rsid w:val="00AC46A8"/>
    <w:rsid w:val="00AC4707"/>
    <w:rsid w:val="00AC4840"/>
    <w:rsid w:val="00AC48E5"/>
    <w:rsid w:val="00AC4B57"/>
    <w:rsid w:val="00AC4C64"/>
    <w:rsid w:val="00AC5124"/>
    <w:rsid w:val="00AC5273"/>
    <w:rsid w:val="00AC52C6"/>
    <w:rsid w:val="00AC53B6"/>
    <w:rsid w:val="00AC5699"/>
    <w:rsid w:val="00AC5A0F"/>
    <w:rsid w:val="00AC5FAE"/>
    <w:rsid w:val="00AC6012"/>
    <w:rsid w:val="00AC605F"/>
    <w:rsid w:val="00AC6543"/>
    <w:rsid w:val="00AC68CB"/>
    <w:rsid w:val="00AC6913"/>
    <w:rsid w:val="00AC69D1"/>
    <w:rsid w:val="00AC69F5"/>
    <w:rsid w:val="00AC6AE3"/>
    <w:rsid w:val="00AC6AEA"/>
    <w:rsid w:val="00AC6D11"/>
    <w:rsid w:val="00AC6D3D"/>
    <w:rsid w:val="00AC6E15"/>
    <w:rsid w:val="00AC6E5F"/>
    <w:rsid w:val="00AC6ECC"/>
    <w:rsid w:val="00AC7260"/>
    <w:rsid w:val="00AC72BB"/>
    <w:rsid w:val="00AC7311"/>
    <w:rsid w:val="00AC7430"/>
    <w:rsid w:val="00AC755A"/>
    <w:rsid w:val="00AC76DC"/>
    <w:rsid w:val="00AC771B"/>
    <w:rsid w:val="00AC797E"/>
    <w:rsid w:val="00AC7C21"/>
    <w:rsid w:val="00AC7C8F"/>
    <w:rsid w:val="00AC7DF2"/>
    <w:rsid w:val="00AD02C8"/>
    <w:rsid w:val="00AD0319"/>
    <w:rsid w:val="00AD04A2"/>
    <w:rsid w:val="00AD057C"/>
    <w:rsid w:val="00AD0685"/>
    <w:rsid w:val="00AD09FE"/>
    <w:rsid w:val="00AD0B26"/>
    <w:rsid w:val="00AD10CB"/>
    <w:rsid w:val="00AD11EA"/>
    <w:rsid w:val="00AD12BC"/>
    <w:rsid w:val="00AD1405"/>
    <w:rsid w:val="00AD16A7"/>
    <w:rsid w:val="00AD17F8"/>
    <w:rsid w:val="00AD187D"/>
    <w:rsid w:val="00AD18E3"/>
    <w:rsid w:val="00AD190E"/>
    <w:rsid w:val="00AD1917"/>
    <w:rsid w:val="00AD196A"/>
    <w:rsid w:val="00AD1A6E"/>
    <w:rsid w:val="00AD1ADC"/>
    <w:rsid w:val="00AD1B57"/>
    <w:rsid w:val="00AD1C67"/>
    <w:rsid w:val="00AD1DA1"/>
    <w:rsid w:val="00AD1FB8"/>
    <w:rsid w:val="00AD20AF"/>
    <w:rsid w:val="00AD2154"/>
    <w:rsid w:val="00AD22A9"/>
    <w:rsid w:val="00AD2590"/>
    <w:rsid w:val="00AD27D2"/>
    <w:rsid w:val="00AD294F"/>
    <w:rsid w:val="00AD298B"/>
    <w:rsid w:val="00AD2AC0"/>
    <w:rsid w:val="00AD3158"/>
    <w:rsid w:val="00AD3260"/>
    <w:rsid w:val="00AD332A"/>
    <w:rsid w:val="00AD3393"/>
    <w:rsid w:val="00AD359D"/>
    <w:rsid w:val="00AD3636"/>
    <w:rsid w:val="00AD36B4"/>
    <w:rsid w:val="00AD374A"/>
    <w:rsid w:val="00AD3869"/>
    <w:rsid w:val="00AD3938"/>
    <w:rsid w:val="00AD3E60"/>
    <w:rsid w:val="00AD400B"/>
    <w:rsid w:val="00AD413C"/>
    <w:rsid w:val="00AD4270"/>
    <w:rsid w:val="00AD430E"/>
    <w:rsid w:val="00AD4359"/>
    <w:rsid w:val="00AD4389"/>
    <w:rsid w:val="00AD4391"/>
    <w:rsid w:val="00AD4466"/>
    <w:rsid w:val="00AD4796"/>
    <w:rsid w:val="00AD47D7"/>
    <w:rsid w:val="00AD4DEB"/>
    <w:rsid w:val="00AD4F03"/>
    <w:rsid w:val="00AD4FA5"/>
    <w:rsid w:val="00AD4FE3"/>
    <w:rsid w:val="00AD5346"/>
    <w:rsid w:val="00AD57FB"/>
    <w:rsid w:val="00AD5A09"/>
    <w:rsid w:val="00AD5B28"/>
    <w:rsid w:val="00AD5C87"/>
    <w:rsid w:val="00AD5D03"/>
    <w:rsid w:val="00AD5F2C"/>
    <w:rsid w:val="00AD5F50"/>
    <w:rsid w:val="00AD6373"/>
    <w:rsid w:val="00AD6545"/>
    <w:rsid w:val="00AD6820"/>
    <w:rsid w:val="00AD6F22"/>
    <w:rsid w:val="00AD6FA9"/>
    <w:rsid w:val="00AD72F7"/>
    <w:rsid w:val="00AD73F7"/>
    <w:rsid w:val="00AD760E"/>
    <w:rsid w:val="00AD767C"/>
    <w:rsid w:val="00AD76A4"/>
    <w:rsid w:val="00AD7704"/>
    <w:rsid w:val="00AD77AC"/>
    <w:rsid w:val="00AD77FF"/>
    <w:rsid w:val="00AD7841"/>
    <w:rsid w:val="00AD7AB8"/>
    <w:rsid w:val="00AD7B6E"/>
    <w:rsid w:val="00AD7C8E"/>
    <w:rsid w:val="00AD7DB2"/>
    <w:rsid w:val="00AD7F10"/>
    <w:rsid w:val="00AE0017"/>
    <w:rsid w:val="00AE00C2"/>
    <w:rsid w:val="00AE02DD"/>
    <w:rsid w:val="00AE0792"/>
    <w:rsid w:val="00AE0A2C"/>
    <w:rsid w:val="00AE0A91"/>
    <w:rsid w:val="00AE0ADB"/>
    <w:rsid w:val="00AE0EE6"/>
    <w:rsid w:val="00AE0F29"/>
    <w:rsid w:val="00AE0FFB"/>
    <w:rsid w:val="00AE11A2"/>
    <w:rsid w:val="00AE126F"/>
    <w:rsid w:val="00AE133E"/>
    <w:rsid w:val="00AE13FE"/>
    <w:rsid w:val="00AE1536"/>
    <w:rsid w:val="00AE158B"/>
    <w:rsid w:val="00AE15BD"/>
    <w:rsid w:val="00AE1BD1"/>
    <w:rsid w:val="00AE2072"/>
    <w:rsid w:val="00AE2182"/>
    <w:rsid w:val="00AE21DE"/>
    <w:rsid w:val="00AE22CB"/>
    <w:rsid w:val="00AE28E6"/>
    <w:rsid w:val="00AE29B3"/>
    <w:rsid w:val="00AE29E1"/>
    <w:rsid w:val="00AE2A39"/>
    <w:rsid w:val="00AE2E49"/>
    <w:rsid w:val="00AE3007"/>
    <w:rsid w:val="00AE3067"/>
    <w:rsid w:val="00AE3199"/>
    <w:rsid w:val="00AE3298"/>
    <w:rsid w:val="00AE3460"/>
    <w:rsid w:val="00AE3529"/>
    <w:rsid w:val="00AE35EF"/>
    <w:rsid w:val="00AE3796"/>
    <w:rsid w:val="00AE3B38"/>
    <w:rsid w:val="00AE3B7F"/>
    <w:rsid w:val="00AE3C41"/>
    <w:rsid w:val="00AE3E3A"/>
    <w:rsid w:val="00AE4024"/>
    <w:rsid w:val="00AE407B"/>
    <w:rsid w:val="00AE42DA"/>
    <w:rsid w:val="00AE42FD"/>
    <w:rsid w:val="00AE4401"/>
    <w:rsid w:val="00AE4418"/>
    <w:rsid w:val="00AE461E"/>
    <w:rsid w:val="00AE4678"/>
    <w:rsid w:val="00AE46AC"/>
    <w:rsid w:val="00AE46B1"/>
    <w:rsid w:val="00AE46C5"/>
    <w:rsid w:val="00AE4862"/>
    <w:rsid w:val="00AE495D"/>
    <w:rsid w:val="00AE4A07"/>
    <w:rsid w:val="00AE4B9F"/>
    <w:rsid w:val="00AE4C1F"/>
    <w:rsid w:val="00AE4D5B"/>
    <w:rsid w:val="00AE4E8F"/>
    <w:rsid w:val="00AE5026"/>
    <w:rsid w:val="00AE5036"/>
    <w:rsid w:val="00AE55C8"/>
    <w:rsid w:val="00AE5667"/>
    <w:rsid w:val="00AE5CE9"/>
    <w:rsid w:val="00AE5E47"/>
    <w:rsid w:val="00AE605C"/>
    <w:rsid w:val="00AE614F"/>
    <w:rsid w:val="00AE6473"/>
    <w:rsid w:val="00AE6598"/>
    <w:rsid w:val="00AE6606"/>
    <w:rsid w:val="00AE697A"/>
    <w:rsid w:val="00AE6C9C"/>
    <w:rsid w:val="00AE6CC2"/>
    <w:rsid w:val="00AE730A"/>
    <w:rsid w:val="00AE737F"/>
    <w:rsid w:val="00AE75A4"/>
    <w:rsid w:val="00AE76F1"/>
    <w:rsid w:val="00AE772F"/>
    <w:rsid w:val="00AE7821"/>
    <w:rsid w:val="00AE7B2D"/>
    <w:rsid w:val="00AF010F"/>
    <w:rsid w:val="00AF01D2"/>
    <w:rsid w:val="00AF04F5"/>
    <w:rsid w:val="00AF0588"/>
    <w:rsid w:val="00AF05C0"/>
    <w:rsid w:val="00AF0687"/>
    <w:rsid w:val="00AF08DC"/>
    <w:rsid w:val="00AF08ED"/>
    <w:rsid w:val="00AF0980"/>
    <w:rsid w:val="00AF0A74"/>
    <w:rsid w:val="00AF0B2E"/>
    <w:rsid w:val="00AF0F71"/>
    <w:rsid w:val="00AF1121"/>
    <w:rsid w:val="00AF1292"/>
    <w:rsid w:val="00AF137A"/>
    <w:rsid w:val="00AF137B"/>
    <w:rsid w:val="00AF1601"/>
    <w:rsid w:val="00AF168A"/>
    <w:rsid w:val="00AF18C5"/>
    <w:rsid w:val="00AF19E3"/>
    <w:rsid w:val="00AF1A44"/>
    <w:rsid w:val="00AF1A5D"/>
    <w:rsid w:val="00AF1A69"/>
    <w:rsid w:val="00AF1D2A"/>
    <w:rsid w:val="00AF1D4B"/>
    <w:rsid w:val="00AF1D7A"/>
    <w:rsid w:val="00AF1E5E"/>
    <w:rsid w:val="00AF1F14"/>
    <w:rsid w:val="00AF1F2D"/>
    <w:rsid w:val="00AF1F91"/>
    <w:rsid w:val="00AF23A6"/>
    <w:rsid w:val="00AF2496"/>
    <w:rsid w:val="00AF2723"/>
    <w:rsid w:val="00AF27B3"/>
    <w:rsid w:val="00AF2EEE"/>
    <w:rsid w:val="00AF2F42"/>
    <w:rsid w:val="00AF3033"/>
    <w:rsid w:val="00AF310C"/>
    <w:rsid w:val="00AF3134"/>
    <w:rsid w:val="00AF3195"/>
    <w:rsid w:val="00AF3320"/>
    <w:rsid w:val="00AF33D2"/>
    <w:rsid w:val="00AF33F6"/>
    <w:rsid w:val="00AF357F"/>
    <w:rsid w:val="00AF361B"/>
    <w:rsid w:val="00AF38DE"/>
    <w:rsid w:val="00AF4067"/>
    <w:rsid w:val="00AF408A"/>
    <w:rsid w:val="00AF4196"/>
    <w:rsid w:val="00AF4207"/>
    <w:rsid w:val="00AF42A3"/>
    <w:rsid w:val="00AF4369"/>
    <w:rsid w:val="00AF44BD"/>
    <w:rsid w:val="00AF4732"/>
    <w:rsid w:val="00AF48D2"/>
    <w:rsid w:val="00AF493D"/>
    <w:rsid w:val="00AF49C2"/>
    <w:rsid w:val="00AF4A04"/>
    <w:rsid w:val="00AF4A45"/>
    <w:rsid w:val="00AF4BBC"/>
    <w:rsid w:val="00AF4BD1"/>
    <w:rsid w:val="00AF4D50"/>
    <w:rsid w:val="00AF4DD5"/>
    <w:rsid w:val="00AF5106"/>
    <w:rsid w:val="00AF525F"/>
    <w:rsid w:val="00AF54D8"/>
    <w:rsid w:val="00AF5775"/>
    <w:rsid w:val="00AF5797"/>
    <w:rsid w:val="00AF590E"/>
    <w:rsid w:val="00AF59BA"/>
    <w:rsid w:val="00AF5E38"/>
    <w:rsid w:val="00AF5F10"/>
    <w:rsid w:val="00AF62B7"/>
    <w:rsid w:val="00AF6407"/>
    <w:rsid w:val="00AF66B2"/>
    <w:rsid w:val="00AF67E1"/>
    <w:rsid w:val="00AF68CE"/>
    <w:rsid w:val="00AF6932"/>
    <w:rsid w:val="00AF6A1B"/>
    <w:rsid w:val="00AF6AAB"/>
    <w:rsid w:val="00AF6BC9"/>
    <w:rsid w:val="00AF6CD2"/>
    <w:rsid w:val="00AF6E40"/>
    <w:rsid w:val="00AF6E72"/>
    <w:rsid w:val="00AF6F3C"/>
    <w:rsid w:val="00AF7137"/>
    <w:rsid w:val="00AF728F"/>
    <w:rsid w:val="00AF72B9"/>
    <w:rsid w:val="00AF72F4"/>
    <w:rsid w:val="00AF741D"/>
    <w:rsid w:val="00AF7444"/>
    <w:rsid w:val="00AF758A"/>
    <w:rsid w:val="00AF791B"/>
    <w:rsid w:val="00AF7A61"/>
    <w:rsid w:val="00AF7B39"/>
    <w:rsid w:val="00AF7F2E"/>
    <w:rsid w:val="00B000A3"/>
    <w:rsid w:val="00B001DD"/>
    <w:rsid w:val="00B0021F"/>
    <w:rsid w:val="00B0050B"/>
    <w:rsid w:val="00B0061E"/>
    <w:rsid w:val="00B00800"/>
    <w:rsid w:val="00B00821"/>
    <w:rsid w:val="00B009B1"/>
    <w:rsid w:val="00B00A73"/>
    <w:rsid w:val="00B00BB1"/>
    <w:rsid w:val="00B00BBF"/>
    <w:rsid w:val="00B00BFB"/>
    <w:rsid w:val="00B00DCB"/>
    <w:rsid w:val="00B00E9D"/>
    <w:rsid w:val="00B00F56"/>
    <w:rsid w:val="00B00FB8"/>
    <w:rsid w:val="00B0100E"/>
    <w:rsid w:val="00B0124D"/>
    <w:rsid w:val="00B01374"/>
    <w:rsid w:val="00B015F5"/>
    <w:rsid w:val="00B01690"/>
    <w:rsid w:val="00B018AD"/>
    <w:rsid w:val="00B0194D"/>
    <w:rsid w:val="00B0195B"/>
    <w:rsid w:val="00B01AC6"/>
    <w:rsid w:val="00B01B96"/>
    <w:rsid w:val="00B01BAD"/>
    <w:rsid w:val="00B02126"/>
    <w:rsid w:val="00B02254"/>
    <w:rsid w:val="00B02255"/>
    <w:rsid w:val="00B02349"/>
    <w:rsid w:val="00B023F5"/>
    <w:rsid w:val="00B02455"/>
    <w:rsid w:val="00B024A4"/>
    <w:rsid w:val="00B02507"/>
    <w:rsid w:val="00B02618"/>
    <w:rsid w:val="00B027E5"/>
    <w:rsid w:val="00B02862"/>
    <w:rsid w:val="00B02930"/>
    <w:rsid w:val="00B02A40"/>
    <w:rsid w:val="00B03157"/>
    <w:rsid w:val="00B032BC"/>
    <w:rsid w:val="00B034BB"/>
    <w:rsid w:val="00B034C5"/>
    <w:rsid w:val="00B03513"/>
    <w:rsid w:val="00B035FC"/>
    <w:rsid w:val="00B03609"/>
    <w:rsid w:val="00B03615"/>
    <w:rsid w:val="00B036A2"/>
    <w:rsid w:val="00B036F5"/>
    <w:rsid w:val="00B03781"/>
    <w:rsid w:val="00B0378B"/>
    <w:rsid w:val="00B03971"/>
    <w:rsid w:val="00B03A33"/>
    <w:rsid w:val="00B03A3B"/>
    <w:rsid w:val="00B03CF6"/>
    <w:rsid w:val="00B03D48"/>
    <w:rsid w:val="00B03F03"/>
    <w:rsid w:val="00B041EA"/>
    <w:rsid w:val="00B04291"/>
    <w:rsid w:val="00B04465"/>
    <w:rsid w:val="00B04477"/>
    <w:rsid w:val="00B04568"/>
    <w:rsid w:val="00B04736"/>
    <w:rsid w:val="00B0477D"/>
    <w:rsid w:val="00B0485B"/>
    <w:rsid w:val="00B048A2"/>
    <w:rsid w:val="00B04A93"/>
    <w:rsid w:val="00B04B4E"/>
    <w:rsid w:val="00B0503A"/>
    <w:rsid w:val="00B05054"/>
    <w:rsid w:val="00B0517A"/>
    <w:rsid w:val="00B05181"/>
    <w:rsid w:val="00B053E9"/>
    <w:rsid w:val="00B0541F"/>
    <w:rsid w:val="00B057EB"/>
    <w:rsid w:val="00B059A8"/>
    <w:rsid w:val="00B05B6D"/>
    <w:rsid w:val="00B05C07"/>
    <w:rsid w:val="00B061F2"/>
    <w:rsid w:val="00B0632E"/>
    <w:rsid w:val="00B06714"/>
    <w:rsid w:val="00B069BE"/>
    <w:rsid w:val="00B06ACA"/>
    <w:rsid w:val="00B06BF7"/>
    <w:rsid w:val="00B07039"/>
    <w:rsid w:val="00B07231"/>
    <w:rsid w:val="00B073E5"/>
    <w:rsid w:val="00B07420"/>
    <w:rsid w:val="00B076D8"/>
    <w:rsid w:val="00B07747"/>
    <w:rsid w:val="00B07849"/>
    <w:rsid w:val="00B079EE"/>
    <w:rsid w:val="00B079FC"/>
    <w:rsid w:val="00B07C21"/>
    <w:rsid w:val="00B07F1E"/>
    <w:rsid w:val="00B07FCC"/>
    <w:rsid w:val="00B100FB"/>
    <w:rsid w:val="00B1042A"/>
    <w:rsid w:val="00B10447"/>
    <w:rsid w:val="00B1044E"/>
    <w:rsid w:val="00B104ED"/>
    <w:rsid w:val="00B106B5"/>
    <w:rsid w:val="00B106ED"/>
    <w:rsid w:val="00B10849"/>
    <w:rsid w:val="00B1091D"/>
    <w:rsid w:val="00B10B18"/>
    <w:rsid w:val="00B10CDD"/>
    <w:rsid w:val="00B11037"/>
    <w:rsid w:val="00B11646"/>
    <w:rsid w:val="00B116B0"/>
    <w:rsid w:val="00B11825"/>
    <w:rsid w:val="00B1188C"/>
    <w:rsid w:val="00B11A22"/>
    <w:rsid w:val="00B11A28"/>
    <w:rsid w:val="00B11A48"/>
    <w:rsid w:val="00B11E92"/>
    <w:rsid w:val="00B11FAB"/>
    <w:rsid w:val="00B120BD"/>
    <w:rsid w:val="00B12573"/>
    <w:rsid w:val="00B125BA"/>
    <w:rsid w:val="00B125E4"/>
    <w:rsid w:val="00B12752"/>
    <w:rsid w:val="00B12764"/>
    <w:rsid w:val="00B12DA8"/>
    <w:rsid w:val="00B12E38"/>
    <w:rsid w:val="00B13293"/>
    <w:rsid w:val="00B133F8"/>
    <w:rsid w:val="00B134ED"/>
    <w:rsid w:val="00B13719"/>
    <w:rsid w:val="00B137C2"/>
    <w:rsid w:val="00B13851"/>
    <w:rsid w:val="00B138A5"/>
    <w:rsid w:val="00B13B17"/>
    <w:rsid w:val="00B13C0E"/>
    <w:rsid w:val="00B13C10"/>
    <w:rsid w:val="00B13FE1"/>
    <w:rsid w:val="00B1405B"/>
    <w:rsid w:val="00B14095"/>
    <w:rsid w:val="00B14107"/>
    <w:rsid w:val="00B14281"/>
    <w:rsid w:val="00B14306"/>
    <w:rsid w:val="00B14390"/>
    <w:rsid w:val="00B145B7"/>
    <w:rsid w:val="00B145D2"/>
    <w:rsid w:val="00B145DC"/>
    <w:rsid w:val="00B1466A"/>
    <w:rsid w:val="00B146C4"/>
    <w:rsid w:val="00B1475D"/>
    <w:rsid w:val="00B14895"/>
    <w:rsid w:val="00B14CC2"/>
    <w:rsid w:val="00B14CE3"/>
    <w:rsid w:val="00B14CF7"/>
    <w:rsid w:val="00B1503C"/>
    <w:rsid w:val="00B15063"/>
    <w:rsid w:val="00B15177"/>
    <w:rsid w:val="00B15298"/>
    <w:rsid w:val="00B153FA"/>
    <w:rsid w:val="00B15769"/>
    <w:rsid w:val="00B15918"/>
    <w:rsid w:val="00B15D18"/>
    <w:rsid w:val="00B15F8E"/>
    <w:rsid w:val="00B15FD8"/>
    <w:rsid w:val="00B16059"/>
    <w:rsid w:val="00B1616F"/>
    <w:rsid w:val="00B162C8"/>
    <w:rsid w:val="00B163AD"/>
    <w:rsid w:val="00B164B7"/>
    <w:rsid w:val="00B16583"/>
    <w:rsid w:val="00B167F6"/>
    <w:rsid w:val="00B169A6"/>
    <w:rsid w:val="00B16A36"/>
    <w:rsid w:val="00B16DF5"/>
    <w:rsid w:val="00B16F32"/>
    <w:rsid w:val="00B170B0"/>
    <w:rsid w:val="00B171EF"/>
    <w:rsid w:val="00B172C1"/>
    <w:rsid w:val="00B17426"/>
    <w:rsid w:val="00B177C2"/>
    <w:rsid w:val="00B178A8"/>
    <w:rsid w:val="00B1790C"/>
    <w:rsid w:val="00B17A7F"/>
    <w:rsid w:val="00B17CE5"/>
    <w:rsid w:val="00B17CFA"/>
    <w:rsid w:val="00B202AE"/>
    <w:rsid w:val="00B202AF"/>
    <w:rsid w:val="00B202BE"/>
    <w:rsid w:val="00B20349"/>
    <w:rsid w:val="00B203A9"/>
    <w:rsid w:val="00B2060E"/>
    <w:rsid w:val="00B207B2"/>
    <w:rsid w:val="00B20843"/>
    <w:rsid w:val="00B208DF"/>
    <w:rsid w:val="00B20A97"/>
    <w:rsid w:val="00B20AF6"/>
    <w:rsid w:val="00B20CCC"/>
    <w:rsid w:val="00B21241"/>
    <w:rsid w:val="00B21307"/>
    <w:rsid w:val="00B21477"/>
    <w:rsid w:val="00B21760"/>
    <w:rsid w:val="00B217C7"/>
    <w:rsid w:val="00B21BCA"/>
    <w:rsid w:val="00B21D25"/>
    <w:rsid w:val="00B21E89"/>
    <w:rsid w:val="00B2210E"/>
    <w:rsid w:val="00B2229D"/>
    <w:rsid w:val="00B223D7"/>
    <w:rsid w:val="00B2269E"/>
    <w:rsid w:val="00B226B1"/>
    <w:rsid w:val="00B227B9"/>
    <w:rsid w:val="00B227CF"/>
    <w:rsid w:val="00B22926"/>
    <w:rsid w:val="00B229EC"/>
    <w:rsid w:val="00B22BFC"/>
    <w:rsid w:val="00B22C0D"/>
    <w:rsid w:val="00B22DC4"/>
    <w:rsid w:val="00B22E36"/>
    <w:rsid w:val="00B230A5"/>
    <w:rsid w:val="00B2316B"/>
    <w:rsid w:val="00B2326D"/>
    <w:rsid w:val="00B232F6"/>
    <w:rsid w:val="00B23314"/>
    <w:rsid w:val="00B234B2"/>
    <w:rsid w:val="00B238BC"/>
    <w:rsid w:val="00B23901"/>
    <w:rsid w:val="00B23971"/>
    <w:rsid w:val="00B23D54"/>
    <w:rsid w:val="00B2400D"/>
    <w:rsid w:val="00B242C0"/>
    <w:rsid w:val="00B24341"/>
    <w:rsid w:val="00B243E1"/>
    <w:rsid w:val="00B2447A"/>
    <w:rsid w:val="00B24550"/>
    <w:rsid w:val="00B24648"/>
    <w:rsid w:val="00B2478B"/>
    <w:rsid w:val="00B24954"/>
    <w:rsid w:val="00B24A56"/>
    <w:rsid w:val="00B24AF1"/>
    <w:rsid w:val="00B24BDB"/>
    <w:rsid w:val="00B24CFB"/>
    <w:rsid w:val="00B24F38"/>
    <w:rsid w:val="00B25203"/>
    <w:rsid w:val="00B2590B"/>
    <w:rsid w:val="00B25AC2"/>
    <w:rsid w:val="00B25E04"/>
    <w:rsid w:val="00B25F9E"/>
    <w:rsid w:val="00B2601D"/>
    <w:rsid w:val="00B26144"/>
    <w:rsid w:val="00B261DD"/>
    <w:rsid w:val="00B2623B"/>
    <w:rsid w:val="00B264B3"/>
    <w:rsid w:val="00B264E4"/>
    <w:rsid w:val="00B266E5"/>
    <w:rsid w:val="00B26A0F"/>
    <w:rsid w:val="00B26E35"/>
    <w:rsid w:val="00B27023"/>
    <w:rsid w:val="00B2722F"/>
    <w:rsid w:val="00B2751D"/>
    <w:rsid w:val="00B276C3"/>
    <w:rsid w:val="00B2774A"/>
    <w:rsid w:val="00B277D4"/>
    <w:rsid w:val="00B2785A"/>
    <w:rsid w:val="00B2797F"/>
    <w:rsid w:val="00B27A29"/>
    <w:rsid w:val="00B27A94"/>
    <w:rsid w:val="00B27AE5"/>
    <w:rsid w:val="00B27C4E"/>
    <w:rsid w:val="00B27D4B"/>
    <w:rsid w:val="00B27D90"/>
    <w:rsid w:val="00B27DE7"/>
    <w:rsid w:val="00B27EDF"/>
    <w:rsid w:val="00B30313"/>
    <w:rsid w:val="00B303A2"/>
    <w:rsid w:val="00B30531"/>
    <w:rsid w:val="00B3062E"/>
    <w:rsid w:val="00B30A8F"/>
    <w:rsid w:val="00B30C91"/>
    <w:rsid w:val="00B30CDD"/>
    <w:rsid w:val="00B30D4D"/>
    <w:rsid w:val="00B30DB2"/>
    <w:rsid w:val="00B30E57"/>
    <w:rsid w:val="00B30F72"/>
    <w:rsid w:val="00B30FE1"/>
    <w:rsid w:val="00B31011"/>
    <w:rsid w:val="00B31044"/>
    <w:rsid w:val="00B311CE"/>
    <w:rsid w:val="00B31367"/>
    <w:rsid w:val="00B3157D"/>
    <w:rsid w:val="00B316C3"/>
    <w:rsid w:val="00B316E6"/>
    <w:rsid w:val="00B31A83"/>
    <w:rsid w:val="00B31C11"/>
    <w:rsid w:val="00B31C6C"/>
    <w:rsid w:val="00B31E71"/>
    <w:rsid w:val="00B31FD0"/>
    <w:rsid w:val="00B320A7"/>
    <w:rsid w:val="00B323FF"/>
    <w:rsid w:val="00B32A55"/>
    <w:rsid w:val="00B32E26"/>
    <w:rsid w:val="00B32E85"/>
    <w:rsid w:val="00B32F53"/>
    <w:rsid w:val="00B32FB2"/>
    <w:rsid w:val="00B32FE6"/>
    <w:rsid w:val="00B3339B"/>
    <w:rsid w:val="00B3396B"/>
    <w:rsid w:val="00B33D9F"/>
    <w:rsid w:val="00B33E74"/>
    <w:rsid w:val="00B33EA5"/>
    <w:rsid w:val="00B33EB3"/>
    <w:rsid w:val="00B3400F"/>
    <w:rsid w:val="00B34151"/>
    <w:rsid w:val="00B3424C"/>
    <w:rsid w:val="00B3447E"/>
    <w:rsid w:val="00B34554"/>
    <w:rsid w:val="00B345D8"/>
    <w:rsid w:val="00B34646"/>
    <w:rsid w:val="00B34859"/>
    <w:rsid w:val="00B34E4E"/>
    <w:rsid w:val="00B34FB1"/>
    <w:rsid w:val="00B35235"/>
    <w:rsid w:val="00B35446"/>
    <w:rsid w:val="00B3547C"/>
    <w:rsid w:val="00B35AFD"/>
    <w:rsid w:val="00B35B8D"/>
    <w:rsid w:val="00B35B9E"/>
    <w:rsid w:val="00B35BEC"/>
    <w:rsid w:val="00B35D6D"/>
    <w:rsid w:val="00B35E92"/>
    <w:rsid w:val="00B35F78"/>
    <w:rsid w:val="00B36199"/>
    <w:rsid w:val="00B3635E"/>
    <w:rsid w:val="00B36447"/>
    <w:rsid w:val="00B3657D"/>
    <w:rsid w:val="00B3660F"/>
    <w:rsid w:val="00B36639"/>
    <w:rsid w:val="00B36665"/>
    <w:rsid w:val="00B36716"/>
    <w:rsid w:val="00B3683E"/>
    <w:rsid w:val="00B36890"/>
    <w:rsid w:val="00B36AD7"/>
    <w:rsid w:val="00B36BDA"/>
    <w:rsid w:val="00B36C74"/>
    <w:rsid w:val="00B36E3B"/>
    <w:rsid w:val="00B36E69"/>
    <w:rsid w:val="00B37299"/>
    <w:rsid w:val="00B37364"/>
    <w:rsid w:val="00B373F0"/>
    <w:rsid w:val="00B37631"/>
    <w:rsid w:val="00B3768F"/>
    <w:rsid w:val="00B378E1"/>
    <w:rsid w:val="00B37BA3"/>
    <w:rsid w:val="00B37E38"/>
    <w:rsid w:val="00B37E3D"/>
    <w:rsid w:val="00B37EAB"/>
    <w:rsid w:val="00B40417"/>
    <w:rsid w:val="00B404D5"/>
    <w:rsid w:val="00B40820"/>
    <w:rsid w:val="00B4095B"/>
    <w:rsid w:val="00B40A2D"/>
    <w:rsid w:val="00B40A2E"/>
    <w:rsid w:val="00B40BD1"/>
    <w:rsid w:val="00B40D60"/>
    <w:rsid w:val="00B41018"/>
    <w:rsid w:val="00B411FE"/>
    <w:rsid w:val="00B414BC"/>
    <w:rsid w:val="00B415F1"/>
    <w:rsid w:val="00B4168B"/>
    <w:rsid w:val="00B41A4F"/>
    <w:rsid w:val="00B41B48"/>
    <w:rsid w:val="00B41B52"/>
    <w:rsid w:val="00B41DDB"/>
    <w:rsid w:val="00B41E66"/>
    <w:rsid w:val="00B421F6"/>
    <w:rsid w:val="00B423A2"/>
    <w:rsid w:val="00B424D6"/>
    <w:rsid w:val="00B42646"/>
    <w:rsid w:val="00B42A84"/>
    <w:rsid w:val="00B42B77"/>
    <w:rsid w:val="00B42BC3"/>
    <w:rsid w:val="00B42D51"/>
    <w:rsid w:val="00B42E0E"/>
    <w:rsid w:val="00B42ED3"/>
    <w:rsid w:val="00B42F06"/>
    <w:rsid w:val="00B430D9"/>
    <w:rsid w:val="00B4310C"/>
    <w:rsid w:val="00B43201"/>
    <w:rsid w:val="00B43368"/>
    <w:rsid w:val="00B43750"/>
    <w:rsid w:val="00B43996"/>
    <w:rsid w:val="00B439BB"/>
    <w:rsid w:val="00B43C21"/>
    <w:rsid w:val="00B43CD7"/>
    <w:rsid w:val="00B43E5A"/>
    <w:rsid w:val="00B43FFA"/>
    <w:rsid w:val="00B4405D"/>
    <w:rsid w:val="00B442B8"/>
    <w:rsid w:val="00B442C6"/>
    <w:rsid w:val="00B4463D"/>
    <w:rsid w:val="00B446D6"/>
    <w:rsid w:val="00B4479F"/>
    <w:rsid w:val="00B44871"/>
    <w:rsid w:val="00B448E0"/>
    <w:rsid w:val="00B449E7"/>
    <w:rsid w:val="00B44E03"/>
    <w:rsid w:val="00B44F77"/>
    <w:rsid w:val="00B44FFD"/>
    <w:rsid w:val="00B45006"/>
    <w:rsid w:val="00B45261"/>
    <w:rsid w:val="00B4536D"/>
    <w:rsid w:val="00B453F0"/>
    <w:rsid w:val="00B4542C"/>
    <w:rsid w:val="00B4546D"/>
    <w:rsid w:val="00B4558A"/>
    <w:rsid w:val="00B45664"/>
    <w:rsid w:val="00B456EA"/>
    <w:rsid w:val="00B457B8"/>
    <w:rsid w:val="00B45873"/>
    <w:rsid w:val="00B459A6"/>
    <w:rsid w:val="00B459AB"/>
    <w:rsid w:val="00B45AAE"/>
    <w:rsid w:val="00B45AE5"/>
    <w:rsid w:val="00B45C8B"/>
    <w:rsid w:val="00B45D19"/>
    <w:rsid w:val="00B45DF5"/>
    <w:rsid w:val="00B45FF1"/>
    <w:rsid w:val="00B46038"/>
    <w:rsid w:val="00B46091"/>
    <w:rsid w:val="00B461E5"/>
    <w:rsid w:val="00B4623E"/>
    <w:rsid w:val="00B46259"/>
    <w:rsid w:val="00B462C2"/>
    <w:rsid w:val="00B462EB"/>
    <w:rsid w:val="00B46433"/>
    <w:rsid w:val="00B464F6"/>
    <w:rsid w:val="00B46688"/>
    <w:rsid w:val="00B4676F"/>
    <w:rsid w:val="00B46A71"/>
    <w:rsid w:val="00B46E80"/>
    <w:rsid w:val="00B46F1B"/>
    <w:rsid w:val="00B47011"/>
    <w:rsid w:val="00B471D5"/>
    <w:rsid w:val="00B47503"/>
    <w:rsid w:val="00B47702"/>
    <w:rsid w:val="00B478EA"/>
    <w:rsid w:val="00B47998"/>
    <w:rsid w:val="00B479A1"/>
    <w:rsid w:val="00B479AB"/>
    <w:rsid w:val="00B47A37"/>
    <w:rsid w:val="00B47BCD"/>
    <w:rsid w:val="00B47BCF"/>
    <w:rsid w:val="00B47D51"/>
    <w:rsid w:val="00B5005B"/>
    <w:rsid w:val="00B50124"/>
    <w:rsid w:val="00B5030E"/>
    <w:rsid w:val="00B503C6"/>
    <w:rsid w:val="00B50665"/>
    <w:rsid w:val="00B50F82"/>
    <w:rsid w:val="00B51003"/>
    <w:rsid w:val="00B5103E"/>
    <w:rsid w:val="00B51286"/>
    <w:rsid w:val="00B516B2"/>
    <w:rsid w:val="00B51A4D"/>
    <w:rsid w:val="00B51E25"/>
    <w:rsid w:val="00B51F2C"/>
    <w:rsid w:val="00B51FCA"/>
    <w:rsid w:val="00B522FD"/>
    <w:rsid w:val="00B52482"/>
    <w:rsid w:val="00B52549"/>
    <w:rsid w:val="00B52891"/>
    <w:rsid w:val="00B528D6"/>
    <w:rsid w:val="00B52AEA"/>
    <w:rsid w:val="00B52DDD"/>
    <w:rsid w:val="00B53051"/>
    <w:rsid w:val="00B53056"/>
    <w:rsid w:val="00B5307D"/>
    <w:rsid w:val="00B5311A"/>
    <w:rsid w:val="00B5328A"/>
    <w:rsid w:val="00B533FE"/>
    <w:rsid w:val="00B5345A"/>
    <w:rsid w:val="00B539B8"/>
    <w:rsid w:val="00B539E0"/>
    <w:rsid w:val="00B53B14"/>
    <w:rsid w:val="00B53B7D"/>
    <w:rsid w:val="00B53D15"/>
    <w:rsid w:val="00B53DD4"/>
    <w:rsid w:val="00B53FB6"/>
    <w:rsid w:val="00B53FE5"/>
    <w:rsid w:val="00B54668"/>
    <w:rsid w:val="00B546FD"/>
    <w:rsid w:val="00B5477F"/>
    <w:rsid w:val="00B548C7"/>
    <w:rsid w:val="00B548FF"/>
    <w:rsid w:val="00B5497A"/>
    <w:rsid w:val="00B54B07"/>
    <w:rsid w:val="00B54C82"/>
    <w:rsid w:val="00B54E54"/>
    <w:rsid w:val="00B54E8F"/>
    <w:rsid w:val="00B5500E"/>
    <w:rsid w:val="00B553EA"/>
    <w:rsid w:val="00B55404"/>
    <w:rsid w:val="00B55450"/>
    <w:rsid w:val="00B556AE"/>
    <w:rsid w:val="00B55947"/>
    <w:rsid w:val="00B55984"/>
    <w:rsid w:val="00B55AEC"/>
    <w:rsid w:val="00B55D75"/>
    <w:rsid w:val="00B563CB"/>
    <w:rsid w:val="00B564DE"/>
    <w:rsid w:val="00B5662D"/>
    <w:rsid w:val="00B567B7"/>
    <w:rsid w:val="00B5683A"/>
    <w:rsid w:val="00B56A83"/>
    <w:rsid w:val="00B56B88"/>
    <w:rsid w:val="00B56C2E"/>
    <w:rsid w:val="00B56CE5"/>
    <w:rsid w:val="00B56D31"/>
    <w:rsid w:val="00B56DEF"/>
    <w:rsid w:val="00B56E70"/>
    <w:rsid w:val="00B56FBE"/>
    <w:rsid w:val="00B571EA"/>
    <w:rsid w:val="00B57404"/>
    <w:rsid w:val="00B574E4"/>
    <w:rsid w:val="00B576B6"/>
    <w:rsid w:val="00B5774F"/>
    <w:rsid w:val="00B57940"/>
    <w:rsid w:val="00B579A4"/>
    <w:rsid w:val="00B57BC2"/>
    <w:rsid w:val="00B57BE2"/>
    <w:rsid w:val="00B57EDA"/>
    <w:rsid w:val="00B57F2B"/>
    <w:rsid w:val="00B602C3"/>
    <w:rsid w:val="00B602FE"/>
    <w:rsid w:val="00B6042B"/>
    <w:rsid w:val="00B60513"/>
    <w:rsid w:val="00B6055F"/>
    <w:rsid w:val="00B60828"/>
    <w:rsid w:val="00B6095F"/>
    <w:rsid w:val="00B609A2"/>
    <w:rsid w:val="00B60A4C"/>
    <w:rsid w:val="00B60C98"/>
    <w:rsid w:val="00B60E59"/>
    <w:rsid w:val="00B60FF0"/>
    <w:rsid w:val="00B612EA"/>
    <w:rsid w:val="00B613C5"/>
    <w:rsid w:val="00B613E7"/>
    <w:rsid w:val="00B613F1"/>
    <w:rsid w:val="00B61604"/>
    <w:rsid w:val="00B61618"/>
    <w:rsid w:val="00B6164D"/>
    <w:rsid w:val="00B6193E"/>
    <w:rsid w:val="00B6194D"/>
    <w:rsid w:val="00B61C21"/>
    <w:rsid w:val="00B6216A"/>
    <w:rsid w:val="00B621E3"/>
    <w:rsid w:val="00B62334"/>
    <w:rsid w:val="00B6247B"/>
    <w:rsid w:val="00B62577"/>
    <w:rsid w:val="00B62578"/>
    <w:rsid w:val="00B62738"/>
    <w:rsid w:val="00B627C2"/>
    <w:rsid w:val="00B628B1"/>
    <w:rsid w:val="00B62A3A"/>
    <w:rsid w:val="00B62AEC"/>
    <w:rsid w:val="00B62BFF"/>
    <w:rsid w:val="00B62CBA"/>
    <w:rsid w:val="00B62F73"/>
    <w:rsid w:val="00B63010"/>
    <w:rsid w:val="00B63018"/>
    <w:rsid w:val="00B63224"/>
    <w:rsid w:val="00B63294"/>
    <w:rsid w:val="00B63375"/>
    <w:rsid w:val="00B63536"/>
    <w:rsid w:val="00B638FF"/>
    <w:rsid w:val="00B6398A"/>
    <w:rsid w:val="00B639DC"/>
    <w:rsid w:val="00B63F34"/>
    <w:rsid w:val="00B63F67"/>
    <w:rsid w:val="00B6435C"/>
    <w:rsid w:val="00B643D9"/>
    <w:rsid w:val="00B64A9C"/>
    <w:rsid w:val="00B64BCC"/>
    <w:rsid w:val="00B64EA2"/>
    <w:rsid w:val="00B6500D"/>
    <w:rsid w:val="00B65193"/>
    <w:rsid w:val="00B65288"/>
    <w:rsid w:val="00B652F0"/>
    <w:rsid w:val="00B6537D"/>
    <w:rsid w:val="00B65411"/>
    <w:rsid w:val="00B65624"/>
    <w:rsid w:val="00B65BA2"/>
    <w:rsid w:val="00B65E13"/>
    <w:rsid w:val="00B66019"/>
    <w:rsid w:val="00B6636D"/>
    <w:rsid w:val="00B66406"/>
    <w:rsid w:val="00B665A1"/>
    <w:rsid w:val="00B66661"/>
    <w:rsid w:val="00B66AF4"/>
    <w:rsid w:val="00B66CBC"/>
    <w:rsid w:val="00B67320"/>
    <w:rsid w:val="00B6739D"/>
    <w:rsid w:val="00B6764B"/>
    <w:rsid w:val="00B678E1"/>
    <w:rsid w:val="00B678E2"/>
    <w:rsid w:val="00B67A01"/>
    <w:rsid w:val="00B67A7C"/>
    <w:rsid w:val="00B67A94"/>
    <w:rsid w:val="00B67B1A"/>
    <w:rsid w:val="00B67DE4"/>
    <w:rsid w:val="00B67EA9"/>
    <w:rsid w:val="00B70038"/>
    <w:rsid w:val="00B7011C"/>
    <w:rsid w:val="00B7052F"/>
    <w:rsid w:val="00B705DB"/>
    <w:rsid w:val="00B7085C"/>
    <w:rsid w:val="00B708D3"/>
    <w:rsid w:val="00B709FC"/>
    <w:rsid w:val="00B70AC8"/>
    <w:rsid w:val="00B7135A"/>
    <w:rsid w:val="00B714A3"/>
    <w:rsid w:val="00B7179C"/>
    <w:rsid w:val="00B71C71"/>
    <w:rsid w:val="00B71E11"/>
    <w:rsid w:val="00B71E89"/>
    <w:rsid w:val="00B71EBB"/>
    <w:rsid w:val="00B72001"/>
    <w:rsid w:val="00B72355"/>
    <w:rsid w:val="00B72382"/>
    <w:rsid w:val="00B723CA"/>
    <w:rsid w:val="00B723F0"/>
    <w:rsid w:val="00B723FD"/>
    <w:rsid w:val="00B7261F"/>
    <w:rsid w:val="00B726DB"/>
    <w:rsid w:val="00B726F2"/>
    <w:rsid w:val="00B72749"/>
    <w:rsid w:val="00B727DF"/>
    <w:rsid w:val="00B727EF"/>
    <w:rsid w:val="00B727F8"/>
    <w:rsid w:val="00B72841"/>
    <w:rsid w:val="00B72C0E"/>
    <w:rsid w:val="00B72E76"/>
    <w:rsid w:val="00B72EAB"/>
    <w:rsid w:val="00B731EC"/>
    <w:rsid w:val="00B732A0"/>
    <w:rsid w:val="00B73376"/>
    <w:rsid w:val="00B73603"/>
    <w:rsid w:val="00B73652"/>
    <w:rsid w:val="00B7367C"/>
    <w:rsid w:val="00B736E3"/>
    <w:rsid w:val="00B73A95"/>
    <w:rsid w:val="00B73BAC"/>
    <w:rsid w:val="00B73BEC"/>
    <w:rsid w:val="00B73D94"/>
    <w:rsid w:val="00B73DB7"/>
    <w:rsid w:val="00B73FEC"/>
    <w:rsid w:val="00B7405E"/>
    <w:rsid w:val="00B742F8"/>
    <w:rsid w:val="00B74316"/>
    <w:rsid w:val="00B74C42"/>
    <w:rsid w:val="00B74F37"/>
    <w:rsid w:val="00B75048"/>
    <w:rsid w:val="00B7506D"/>
    <w:rsid w:val="00B752E1"/>
    <w:rsid w:val="00B752E6"/>
    <w:rsid w:val="00B75300"/>
    <w:rsid w:val="00B75301"/>
    <w:rsid w:val="00B754DB"/>
    <w:rsid w:val="00B756CB"/>
    <w:rsid w:val="00B758A3"/>
    <w:rsid w:val="00B758D9"/>
    <w:rsid w:val="00B75B89"/>
    <w:rsid w:val="00B75CC0"/>
    <w:rsid w:val="00B75E2B"/>
    <w:rsid w:val="00B7600E"/>
    <w:rsid w:val="00B7618B"/>
    <w:rsid w:val="00B76466"/>
    <w:rsid w:val="00B76528"/>
    <w:rsid w:val="00B7655E"/>
    <w:rsid w:val="00B76836"/>
    <w:rsid w:val="00B769B2"/>
    <w:rsid w:val="00B76A6B"/>
    <w:rsid w:val="00B76B35"/>
    <w:rsid w:val="00B76CAB"/>
    <w:rsid w:val="00B77181"/>
    <w:rsid w:val="00B77312"/>
    <w:rsid w:val="00B77530"/>
    <w:rsid w:val="00B77531"/>
    <w:rsid w:val="00B777CE"/>
    <w:rsid w:val="00B77CBE"/>
    <w:rsid w:val="00B80436"/>
    <w:rsid w:val="00B80491"/>
    <w:rsid w:val="00B8065F"/>
    <w:rsid w:val="00B806CB"/>
    <w:rsid w:val="00B808C9"/>
    <w:rsid w:val="00B80DBD"/>
    <w:rsid w:val="00B80DF3"/>
    <w:rsid w:val="00B80F20"/>
    <w:rsid w:val="00B80F47"/>
    <w:rsid w:val="00B8105E"/>
    <w:rsid w:val="00B8111B"/>
    <w:rsid w:val="00B811F4"/>
    <w:rsid w:val="00B81519"/>
    <w:rsid w:val="00B815CD"/>
    <w:rsid w:val="00B8174E"/>
    <w:rsid w:val="00B8186E"/>
    <w:rsid w:val="00B81C94"/>
    <w:rsid w:val="00B81DDF"/>
    <w:rsid w:val="00B81F85"/>
    <w:rsid w:val="00B8228D"/>
    <w:rsid w:val="00B827FB"/>
    <w:rsid w:val="00B82883"/>
    <w:rsid w:val="00B828DF"/>
    <w:rsid w:val="00B82994"/>
    <w:rsid w:val="00B8299B"/>
    <w:rsid w:val="00B82A8D"/>
    <w:rsid w:val="00B83116"/>
    <w:rsid w:val="00B831AD"/>
    <w:rsid w:val="00B834D2"/>
    <w:rsid w:val="00B83660"/>
    <w:rsid w:val="00B8366C"/>
    <w:rsid w:val="00B8379A"/>
    <w:rsid w:val="00B837C1"/>
    <w:rsid w:val="00B83816"/>
    <w:rsid w:val="00B83839"/>
    <w:rsid w:val="00B838FF"/>
    <w:rsid w:val="00B83BBE"/>
    <w:rsid w:val="00B83C63"/>
    <w:rsid w:val="00B83E37"/>
    <w:rsid w:val="00B83EE4"/>
    <w:rsid w:val="00B83F09"/>
    <w:rsid w:val="00B83F19"/>
    <w:rsid w:val="00B83F31"/>
    <w:rsid w:val="00B83FBC"/>
    <w:rsid w:val="00B84111"/>
    <w:rsid w:val="00B84150"/>
    <w:rsid w:val="00B841A3"/>
    <w:rsid w:val="00B8436F"/>
    <w:rsid w:val="00B84644"/>
    <w:rsid w:val="00B84751"/>
    <w:rsid w:val="00B84C32"/>
    <w:rsid w:val="00B84C6F"/>
    <w:rsid w:val="00B84D63"/>
    <w:rsid w:val="00B84D78"/>
    <w:rsid w:val="00B84E1D"/>
    <w:rsid w:val="00B8534F"/>
    <w:rsid w:val="00B85418"/>
    <w:rsid w:val="00B8554E"/>
    <w:rsid w:val="00B85961"/>
    <w:rsid w:val="00B85B73"/>
    <w:rsid w:val="00B85CCC"/>
    <w:rsid w:val="00B85CDE"/>
    <w:rsid w:val="00B85DA7"/>
    <w:rsid w:val="00B8601D"/>
    <w:rsid w:val="00B8610D"/>
    <w:rsid w:val="00B862AC"/>
    <w:rsid w:val="00B863AD"/>
    <w:rsid w:val="00B863EB"/>
    <w:rsid w:val="00B86581"/>
    <w:rsid w:val="00B865A6"/>
    <w:rsid w:val="00B865E2"/>
    <w:rsid w:val="00B867F4"/>
    <w:rsid w:val="00B8696B"/>
    <w:rsid w:val="00B8699A"/>
    <w:rsid w:val="00B86A22"/>
    <w:rsid w:val="00B86C3C"/>
    <w:rsid w:val="00B86DE8"/>
    <w:rsid w:val="00B86E90"/>
    <w:rsid w:val="00B86FC0"/>
    <w:rsid w:val="00B87079"/>
    <w:rsid w:val="00B87136"/>
    <w:rsid w:val="00B87164"/>
    <w:rsid w:val="00B8722A"/>
    <w:rsid w:val="00B87266"/>
    <w:rsid w:val="00B872A6"/>
    <w:rsid w:val="00B87476"/>
    <w:rsid w:val="00B875E5"/>
    <w:rsid w:val="00B87E8B"/>
    <w:rsid w:val="00B87F97"/>
    <w:rsid w:val="00B87FD7"/>
    <w:rsid w:val="00B900FC"/>
    <w:rsid w:val="00B90777"/>
    <w:rsid w:val="00B909AD"/>
    <w:rsid w:val="00B90A74"/>
    <w:rsid w:val="00B90C03"/>
    <w:rsid w:val="00B90D47"/>
    <w:rsid w:val="00B90D8A"/>
    <w:rsid w:val="00B90E71"/>
    <w:rsid w:val="00B90EC0"/>
    <w:rsid w:val="00B90FAD"/>
    <w:rsid w:val="00B91082"/>
    <w:rsid w:val="00B9132C"/>
    <w:rsid w:val="00B914FF"/>
    <w:rsid w:val="00B915AB"/>
    <w:rsid w:val="00B9169B"/>
    <w:rsid w:val="00B916AA"/>
    <w:rsid w:val="00B916AE"/>
    <w:rsid w:val="00B91774"/>
    <w:rsid w:val="00B919DF"/>
    <w:rsid w:val="00B91C55"/>
    <w:rsid w:val="00B91D01"/>
    <w:rsid w:val="00B91D32"/>
    <w:rsid w:val="00B920FE"/>
    <w:rsid w:val="00B923B7"/>
    <w:rsid w:val="00B924CD"/>
    <w:rsid w:val="00B9256F"/>
    <w:rsid w:val="00B925BD"/>
    <w:rsid w:val="00B926AF"/>
    <w:rsid w:val="00B92963"/>
    <w:rsid w:val="00B92968"/>
    <w:rsid w:val="00B92A41"/>
    <w:rsid w:val="00B92ADF"/>
    <w:rsid w:val="00B92B34"/>
    <w:rsid w:val="00B92BAA"/>
    <w:rsid w:val="00B92C8E"/>
    <w:rsid w:val="00B92E3B"/>
    <w:rsid w:val="00B92F3C"/>
    <w:rsid w:val="00B92F9C"/>
    <w:rsid w:val="00B930B6"/>
    <w:rsid w:val="00B930ED"/>
    <w:rsid w:val="00B93106"/>
    <w:rsid w:val="00B93249"/>
    <w:rsid w:val="00B9327A"/>
    <w:rsid w:val="00B93607"/>
    <w:rsid w:val="00B9366C"/>
    <w:rsid w:val="00B9375D"/>
    <w:rsid w:val="00B9382D"/>
    <w:rsid w:val="00B939DF"/>
    <w:rsid w:val="00B93AE8"/>
    <w:rsid w:val="00B93AF3"/>
    <w:rsid w:val="00B93C67"/>
    <w:rsid w:val="00B93C7F"/>
    <w:rsid w:val="00B93D2F"/>
    <w:rsid w:val="00B93DE3"/>
    <w:rsid w:val="00B93EC2"/>
    <w:rsid w:val="00B93F26"/>
    <w:rsid w:val="00B93F7E"/>
    <w:rsid w:val="00B9421A"/>
    <w:rsid w:val="00B94230"/>
    <w:rsid w:val="00B94468"/>
    <w:rsid w:val="00B945D8"/>
    <w:rsid w:val="00B948F1"/>
    <w:rsid w:val="00B948F6"/>
    <w:rsid w:val="00B94A5E"/>
    <w:rsid w:val="00B94B88"/>
    <w:rsid w:val="00B95071"/>
    <w:rsid w:val="00B95521"/>
    <w:rsid w:val="00B95AE5"/>
    <w:rsid w:val="00B95BCB"/>
    <w:rsid w:val="00B95CC7"/>
    <w:rsid w:val="00B95D64"/>
    <w:rsid w:val="00B95DA3"/>
    <w:rsid w:val="00B95EEC"/>
    <w:rsid w:val="00B95F24"/>
    <w:rsid w:val="00B96012"/>
    <w:rsid w:val="00B9666C"/>
    <w:rsid w:val="00B96682"/>
    <w:rsid w:val="00B96C14"/>
    <w:rsid w:val="00B971E6"/>
    <w:rsid w:val="00B9722D"/>
    <w:rsid w:val="00B97341"/>
    <w:rsid w:val="00B97392"/>
    <w:rsid w:val="00B97479"/>
    <w:rsid w:val="00B97A78"/>
    <w:rsid w:val="00B97BCD"/>
    <w:rsid w:val="00B97DC8"/>
    <w:rsid w:val="00B97F05"/>
    <w:rsid w:val="00B97F25"/>
    <w:rsid w:val="00B97F68"/>
    <w:rsid w:val="00BA0100"/>
    <w:rsid w:val="00BA0175"/>
    <w:rsid w:val="00BA035A"/>
    <w:rsid w:val="00BA052B"/>
    <w:rsid w:val="00BA088D"/>
    <w:rsid w:val="00BA0AC2"/>
    <w:rsid w:val="00BA0B0C"/>
    <w:rsid w:val="00BA0D4B"/>
    <w:rsid w:val="00BA0DF9"/>
    <w:rsid w:val="00BA0E1D"/>
    <w:rsid w:val="00BA0EE3"/>
    <w:rsid w:val="00BA0F70"/>
    <w:rsid w:val="00BA11F5"/>
    <w:rsid w:val="00BA1250"/>
    <w:rsid w:val="00BA15C6"/>
    <w:rsid w:val="00BA16F5"/>
    <w:rsid w:val="00BA17CE"/>
    <w:rsid w:val="00BA18C0"/>
    <w:rsid w:val="00BA1903"/>
    <w:rsid w:val="00BA1990"/>
    <w:rsid w:val="00BA1E81"/>
    <w:rsid w:val="00BA1F13"/>
    <w:rsid w:val="00BA1F80"/>
    <w:rsid w:val="00BA216E"/>
    <w:rsid w:val="00BA223E"/>
    <w:rsid w:val="00BA2284"/>
    <w:rsid w:val="00BA2298"/>
    <w:rsid w:val="00BA23B0"/>
    <w:rsid w:val="00BA2420"/>
    <w:rsid w:val="00BA247E"/>
    <w:rsid w:val="00BA2586"/>
    <w:rsid w:val="00BA292A"/>
    <w:rsid w:val="00BA2AC5"/>
    <w:rsid w:val="00BA2B3F"/>
    <w:rsid w:val="00BA2EBC"/>
    <w:rsid w:val="00BA2FA7"/>
    <w:rsid w:val="00BA2FC0"/>
    <w:rsid w:val="00BA2FCA"/>
    <w:rsid w:val="00BA30C6"/>
    <w:rsid w:val="00BA30F1"/>
    <w:rsid w:val="00BA348E"/>
    <w:rsid w:val="00BA354D"/>
    <w:rsid w:val="00BA37CC"/>
    <w:rsid w:val="00BA3833"/>
    <w:rsid w:val="00BA387D"/>
    <w:rsid w:val="00BA388D"/>
    <w:rsid w:val="00BA396A"/>
    <w:rsid w:val="00BA3B65"/>
    <w:rsid w:val="00BA3BDE"/>
    <w:rsid w:val="00BA3E38"/>
    <w:rsid w:val="00BA3EFA"/>
    <w:rsid w:val="00BA4015"/>
    <w:rsid w:val="00BA4193"/>
    <w:rsid w:val="00BA42B1"/>
    <w:rsid w:val="00BA448D"/>
    <w:rsid w:val="00BA4500"/>
    <w:rsid w:val="00BA4638"/>
    <w:rsid w:val="00BA46C9"/>
    <w:rsid w:val="00BA48DA"/>
    <w:rsid w:val="00BA4B2E"/>
    <w:rsid w:val="00BA4E5B"/>
    <w:rsid w:val="00BA4E71"/>
    <w:rsid w:val="00BA51B5"/>
    <w:rsid w:val="00BA548B"/>
    <w:rsid w:val="00BA54C6"/>
    <w:rsid w:val="00BA552E"/>
    <w:rsid w:val="00BA56B8"/>
    <w:rsid w:val="00BA580C"/>
    <w:rsid w:val="00BA5961"/>
    <w:rsid w:val="00BA5A55"/>
    <w:rsid w:val="00BA5C05"/>
    <w:rsid w:val="00BA5C81"/>
    <w:rsid w:val="00BA5D38"/>
    <w:rsid w:val="00BA5DD2"/>
    <w:rsid w:val="00BA5F07"/>
    <w:rsid w:val="00BA60AF"/>
    <w:rsid w:val="00BA6237"/>
    <w:rsid w:val="00BA6301"/>
    <w:rsid w:val="00BA63AD"/>
    <w:rsid w:val="00BA6458"/>
    <w:rsid w:val="00BA6678"/>
    <w:rsid w:val="00BA68B7"/>
    <w:rsid w:val="00BA6A3B"/>
    <w:rsid w:val="00BA6A7C"/>
    <w:rsid w:val="00BA6AA6"/>
    <w:rsid w:val="00BA6B63"/>
    <w:rsid w:val="00BA6C11"/>
    <w:rsid w:val="00BA6C33"/>
    <w:rsid w:val="00BA6F0C"/>
    <w:rsid w:val="00BA6F4A"/>
    <w:rsid w:val="00BA7001"/>
    <w:rsid w:val="00BA73EC"/>
    <w:rsid w:val="00BA7567"/>
    <w:rsid w:val="00BA79CF"/>
    <w:rsid w:val="00BA7DE4"/>
    <w:rsid w:val="00BA7F87"/>
    <w:rsid w:val="00BA7FE1"/>
    <w:rsid w:val="00BB00CA"/>
    <w:rsid w:val="00BB0233"/>
    <w:rsid w:val="00BB0366"/>
    <w:rsid w:val="00BB038B"/>
    <w:rsid w:val="00BB0426"/>
    <w:rsid w:val="00BB058C"/>
    <w:rsid w:val="00BB05B6"/>
    <w:rsid w:val="00BB0705"/>
    <w:rsid w:val="00BB075B"/>
    <w:rsid w:val="00BB07DD"/>
    <w:rsid w:val="00BB081C"/>
    <w:rsid w:val="00BB0CDE"/>
    <w:rsid w:val="00BB0E4A"/>
    <w:rsid w:val="00BB0F5C"/>
    <w:rsid w:val="00BB1088"/>
    <w:rsid w:val="00BB1152"/>
    <w:rsid w:val="00BB12C2"/>
    <w:rsid w:val="00BB13F9"/>
    <w:rsid w:val="00BB1410"/>
    <w:rsid w:val="00BB146E"/>
    <w:rsid w:val="00BB1507"/>
    <w:rsid w:val="00BB1531"/>
    <w:rsid w:val="00BB16BA"/>
    <w:rsid w:val="00BB1714"/>
    <w:rsid w:val="00BB176F"/>
    <w:rsid w:val="00BB19C3"/>
    <w:rsid w:val="00BB1CD1"/>
    <w:rsid w:val="00BB1CFD"/>
    <w:rsid w:val="00BB2332"/>
    <w:rsid w:val="00BB24BF"/>
    <w:rsid w:val="00BB25A8"/>
    <w:rsid w:val="00BB2680"/>
    <w:rsid w:val="00BB275D"/>
    <w:rsid w:val="00BB292A"/>
    <w:rsid w:val="00BB29B3"/>
    <w:rsid w:val="00BB2AB1"/>
    <w:rsid w:val="00BB3021"/>
    <w:rsid w:val="00BB30E8"/>
    <w:rsid w:val="00BB325E"/>
    <w:rsid w:val="00BB3333"/>
    <w:rsid w:val="00BB3458"/>
    <w:rsid w:val="00BB36EB"/>
    <w:rsid w:val="00BB3764"/>
    <w:rsid w:val="00BB3877"/>
    <w:rsid w:val="00BB392B"/>
    <w:rsid w:val="00BB3AF8"/>
    <w:rsid w:val="00BB3B2F"/>
    <w:rsid w:val="00BB3BDC"/>
    <w:rsid w:val="00BB3D61"/>
    <w:rsid w:val="00BB3E05"/>
    <w:rsid w:val="00BB3E60"/>
    <w:rsid w:val="00BB3FFF"/>
    <w:rsid w:val="00BB4004"/>
    <w:rsid w:val="00BB4057"/>
    <w:rsid w:val="00BB4095"/>
    <w:rsid w:val="00BB43CD"/>
    <w:rsid w:val="00BB44DE"/>
    <w:rsid w:val="00BB4642"/>
    <w:rsid w:val="00BB4692"/>
    <w:rsid w:val="00BB46C3"/>
    <w:rsid w:val="00BB46CC"/>
    <w:rsid w:val="00BB4D3B"/>
    <w:rsid w:val="00BB4DCD"/>
    <w:rsid w:val="00BB4DDB"/>
    <w:rsid w:val="00BB4E35"/>
    <w:rsid w:val="00BB4E6D"/>
    <w:rsid w:val="00BB4EAF"/>
    <w:rsid w:val="00BB4F3B"/>
    <w:rsid w:val="00BB500B"/>
    <w:rsid w:val="00BB5177"/>
    <w:rsid w:val="00BB5522"/>
    <w:rsid w:val="00BB5663"/>
    <w:rsid w:val="00BB56C7"/>
    <w:rsid w:val="00BB572C"/>
    <w:rsid w:val="00BB5BB4"/>
    <w:rsid w:val="00BB5EFA"/>
    <w:rsid w:val="00BB60DE"/>
    <w:rsid w:val="00BB647C"/>
    <w:rsid w:val="00BB67E0"/>
    <w:rsid w:val="00BB67F6"/>
    <w:rsid w:val="00BB6A74"/>
    <w:rsid w:val="00BB7089"/>
    <w:rsid w:val="00BB70AE"/>
    <w:rsid w:val="00BB72EE"/>
    <w:rsid w:val="00BB7404"/>
    <w:rsid w:val="00BB7693"/>
    <w:rsid w:val="00BB7A8B"/>
    <w:rsid w:val="00BB7B74"/>
    <w:rsid w:val="00BB7B81"/>
    <w:rsid w:val="00BC0014"/>
    <w:rsid w:val="00BC00A3"/>
    <w:rsid w:val="00BC0128"/>
    <w:rsid w:val="00BC015B"/>
    <w:rsid w:val="00BC01AC"/>
    <w:rsid w:val="00BC034A"/>
    <w:rsid w:val="00BC03F9"/>
    <w:rsid w:val="00BC042B"/>
    <w:rsid w:val="00BC047E"/>
    <w:rsid w:val="00BC050D"/>
    <w:rsid w:val="00BC07E2"/>
    <w:rsid w:val="00BC0A84"/>
    <w:rsid w:val="00BC0FAC"/>
    <w:rsid w:val="00BC11FC"/>
    <w:rsid w:val="00BC120D"/>
    <w:rsid w:val="00BC131D"/>
    <w:rsid w:val="00BC1509"/>
    <w:rsid w:val="00BC16C9"/>
    <w:rsid w:val="00BC18B9"/>
    <w:rsid w:val="00BC1936"/>
    <w:rsid w:val="00BC19C1"/>
    <w:rsid w:val="00BC1BEB"/>
    <w:rsid w:val="00BC1D72"/>
    <w:rsid w:val="00BC1E86"/>
    <w:rsid w:val="00BC1F3F"/>
    <w:rsid w:val="00BC2165"/>
    <w:rsid w:val="00BC2266"/>
    <w:rsid w:val="00BC22B9"/>
    <w:rsid w:val="00BC22C1"/>
    <w:rsid w:val="00BC2380"/>
    <w:rsid w:val="00BC2550"/>
    <w:rsid w:val="00BC275F"/>
    <w:rsid w:val="00BC2797"/>
    <w:rsid w:val="00BC27D3"/>
    <w:rsid w:val="00BC27EA"/>
    <w:rsid w:val="00BC2B14"/>
    <w:rsid w:val="00BC2CC8"/>
    <w:rsid w:val="00BC2E8C"/>
    <w:rsid w:val="00BC2E8E"/>
    <w:rsid w:val="00BC2EBD"/>
    <w:rsid w:val="00BC3583"/>
    <w:rsid w:val="00BC35D1"/>
    <w:rsid w:val="00BC3750"/>
    <w:rsid w:val="00BC3882"/>
    <w:rsid w:val="00BC395E"/>
    <w:rsid w:val="00BC3CFF"/>
    <w:rsid w:val="00BC3FD7"/>
    <w:rsid w:val="00BC4129"/>
    <w:rsid w:val="00BC431F"/>
    <w:rsid w:val="00BC4358"/>
    <w:rsid w:val="00BC44C9"/>
    <w:rsid w:val="00BC452F"/>
    <w:rsid w:val="00BC45B7"/>
    <w:rsid w:val="00BC465D"/>
    <w:rsid w:val="00BC48FD"/>
    <w:rsid w:val="00BC4A49"/>
    <w:rsid w:val="00BC4A9C"/>
    <w:rsid w:val="00BC4BD9"/>
    <w:rsid w:val="00BC4C12"/>
    <w:rsid w:val="00BC4C63"/>
    <w:rsid w:val="00BC4D13"/>
    <w:rsid w:val="00BC4EB0"/>
    <w:rsid w:val="00BC4F3D"/>
    <w:rsid w:val="00BC4F63"/>
    <w:rsid w:val="00BC509D"/>
    <w:rsid w:val="00BC5202"/>
    <w:rsid w:val="00BC529B"/>
    <w:rsid w:val="00BC5369"/>
    <w:rsid w:val="00BC5424"/>
    <w:rsid w:val="00BC55C0"/>
    <w:rsid w:val="00BC595E"/>
    <w:rsid w:val="00BC5AD1"/>
    <w:rsid w:val="00BC5B8D"/>
    <w:rsid w:val="00BC5CEA"/>
    <w:rsid w:val="00BC5E5C"/>
    <w:rsid w:val="00BC5F65"/>
    <w:rsid w:val="00BC61D7"/>
    <w:rsid w:val="00BC63A5"/>
    <w:rsid w:val="00BC6613"/>
    <w:rsid w:val="00BC6721"/>
    <w:rsid w:val="00BC684A"/>
    <w:rsid w:val="00BC6CB1"/>
    <w:rsid w:val="00BC6EC1"/>
    <w:rsid w:val="00BC6FCD"/>
    <w:rsid w:val="00BC6FDB"/>
    <w:rsid w:val="00BC7162"/>
    <w:rsid w:val="00BC7529"/>
    <w:rsid w:val="00BC764C"/>
    <w:rsid w:val="00BC794B"/>
    <w:rsid w:val="00BC79E9"/>
    <w:rsid w:val="00BC7B08"/>
    <w:rsid w:val="00BC7BD4"/>
    <w:rsid w:val="00BC7CC4"/>
    <w:rsid w:val="00BC7EC3"/>
    <w:rsid w:val="00BD0012"/>
    <w:rsid w:val="00BD0048"/>
    <w:rsid w:val="00BD0274"/>
    <w:rsid w:val="00BD0410"/>
    <w:rsid w:val="00BD046F"/>
    <w:rsid w:val="00BD08C9"/>
    <w:rsid w:val="00BD0D3C"/>
    <w:rsid w:val="00BD0D54"/>
    <w:rsid w:val="00BD1032"/>
    <w:rsid w:val="00BD1192"/>
    <w:rsid w:val="00BD1467"/>
    <w:rsid w:val="00BD1492"/>
    <w:rsid w:val="00BD16ED"/>
    <w:rsid w:val="00BD1703"/>
    <w:rsid w:val="00BD173E"/>
    <w:rsid w:val="00BD18C1"/>
    <w:rsid w:val="00BD191D"/>
    <w:rsid w:val="00BD191E"/>
    <w:rsid w:val="00BD1A75"/>
    <w:rsid w:val="00BD1B09"/>
    <w:rsid w:val="00BD1B47"/>
    <w:rsid w:val="00BD1B9B"/>
    <w:rsid w:val="00BD1C37"/>
    <w:rsid w:val="00BD209E"/>
    <w:rsid w:val="00BD20BE"/>
    <w:rsid w:val="00BD212C"/>
    <w:rsid w:val="00BD2150"/>
    <w:rsid w:val="00BD217B"/>
    <w:rsid w:val="00BD2494"/>
    <w:rsid w:val="00BD24B6"/>
    <w:rsid w:val="00BD25EF"/>
    <w:rsid w:val="00BD26DA"/>
    <w:rsid w:val="00BD2712"/>
    <w:rsid w:val="00BD2790"/>
    <w:rsid w:val="00BD2A9F"/>
    <w:rsid w:val="00BD2B04"/>
    <w:rsid w:val="00BD2B85"/>
    <w:rsid w:val="00BD2E56"/>
    <w:rsid w:val="00BD305C"/>
    <w:rsid w:val="00BD3953"/>
    <w:rsid w:val="00BD3B02"/>
    <w:rsid w:val="00BD3C2D"/>
    <w:rsid w:val="00BD3F8F"/>
    <w:rsid w:val="00BD3FB4"/>
    <w:rsid w:val="00BD4178"/>
    <w:rsid w:val="00BD4298"/>
    <w:rsid w:val="00BD432A"/>
    <w:rsid w:val="00BD432F"/>
    <w:rsid w:val="00BD4470"/>
    <w:rsid w:val="00BD46F8"/>
    <w:rsid w:val="00BD4840"/>
    <w:rsid w:val="00BD4A71"/>
    <w:rsid w:val="00BD4AFE"/>
    <w:rsid w:val="00BD4B38"/>
    <w:rsid w:val="00BD4F85"/>
    <w:rsid w:val="00BD5214"/>
    <w:rsid w:val="00BD52B3"/>
    <w:rsid w:val="00BD54EE"/>
    <w:rsid w:val="00BD568D"/>
    <w:rsid w:val="00BD5A78"/>
    <w:rsid w:val="00BD5C6A"/>
    <w:rsid w:val="00BD5C6D"/>
    <w:rsid w:val="00BD5D78"/>
    <w:rsid w:val="00BD5D8C"/>
    <w:rsid w:val="00BD5E13"/>
    <w:rsid w:val="00BD5ED5"/>
    <w:rsid w:val="00BD5F8D"/>
    <w:rsid w:val="00BD603C"/>
    <w:rsid w:val="00BD6078"/>
    <w:rsid w:val="00BD61E5"/>
    <w:rsid w:val="00BD6224"/>
    <w:rsid w:val="00BD622E"/>
    <w:rsid w:val="00BD6403"/>
    <w:rsid w:val="00BD642D"/>
    <w:rsid w:val="00BD67F8"/>
    <w:rsid w:val="00BD6886"/>
    <w:rsid w:val="00BD6A46"/>
    <w:rsid w:val="00BD6ACB"/>
    <w:rsid w:val="00BD6B0A"/>
    <w:rsid w:val="00BD6BFC"/>
    <w:rsid w:val="00BD7128"/>
    <w:rsid w:val="00BD71C5"/>
    <w:rsid w:val="00BD71E8"/>
    <w:rsid w:val="00BD7252"/>
    <w:rsid w:val="00BD726D"/>
    <w:rsid w:val="00BD72B9"/>
    <w:rsid w:val="00BD739B"/>
    <w:rsid w:val="00BD77C4"/>
    <w:rsid w:val="00BD7AA4"/>
    <w:rsid w:val="00BD7B50"/>
    <w:rsid w:val="00BD7CCD"/>
    <w:rsid w:val="00BD7F0C"/>
    <w:rsid w:val="00BD7F0E"/>
    <w:rsid w:val="00BD7FA9"/>
    <w:rsid w:val="00BE012F"/>
    <w:rsid w:val="00BE064F"/>
    <w:rsid w:val="00BE06BF"/>
    <w:rsid w:val="00BE06D6"/>
    <w:rsid w:val="00BE0710"/>
    <w:rsid w:val="00BE07E7"/>
    <w:rsid w:val="00BE08E0"/>
    <w:rsid w:val="00BE0D64"/>
    <w:rsid w:val="00BE0DBA"/>
    <w:rsid w:val="00BE0E67"/>
    <w:rsid w:val="00BE1126"/>
    <w:rsid w:val="00BE11A6"/>
    <w:rsid w:val="00BE1258"/>
    <w:rsid w:val="00BE1469"/>
    <w:rsid w:val="00BE15BE"/>
    <w:rsid w:val="00BE18E0"/>
    <w:rsid w:val="00BE1CEF"/>
    <w:rsid w:val="00BE2302"/>
    <w:rsid w:val="00BE23B4"/>
    <w:rsid w:val="00BE2543"/>
    <w:rsid w:val="00BE25AD"/>
    <w:rsid w:val="00BE26F2"/>
    <w:rsid w:val="00BE27D1"/>
    <w:rsid w:val="00BE280E"/>
    <w:rsid w:val="00BE2816"/>
    <w:rsid w:val="00BE28A2"/>
    <w:rsid w:val="00BE29CF"/>
    <w:rsid w:val="00BE2C45"/>
    <w:rsid w:val="00BE2F16"/>
    <w:rsid w:val="00BE309B"/>
    <w:rsid w:val="00BE31F3"/>
    <w:rsid w:val="00BE3231"/>
    <w:rsid w:val="00BE339C"/>
    <w:rsid w:val="00BE33E6"/>
    <w:rsid w:val="00BE3587"/>
    <w:rsid w:val="00BE3999"/>
    <w:rsid w:val="00BE39D6"/>
    <w:rsid w:val="00BE3A25"/>
    <w:rsid w:val="00BE3C65"/>
    <w:rsid w:val="00BE3D7D"/>
    <w:rsid w:val="00BE3E75"/>
    <w:rsid w:val="00BE3EF0"/>
    <w:rsid w:val="00BE4196"/>
    <w:rsid w:val="00BE4210"/>
    <w:rsid w:val="00BE44F0"/>
    <w:rsid w:val="00BE456A"/>
    <w:rsid w:val="00BE4747"/>
    <w:rsid w:val="00BE4799"/>
    <w:rsid w:val="00BE499A"/>
    <w:rsid w:val="00BE4A0A"/>
    <w:rsid w:val="00BE4B89"/>
    <w:rsid w:val="00BE4D07"/>
    <w:rsid w:val="00BE4DFE"/>
    <w:rsid w:val="00BE4E2E"/>
    <w:rsid w:val="00BE4F0A"/>
    <w:rsid w:val="00BE4F2D"/>
    <w:rsid w:val="00BE4F3E"/>
    <w:rsid w:val="00BE517C"/>
    <w:rsid w:val="00BE522F"/>
    <w:rsid w:val="00BE531E"/>
    <w:rsid w:val="00BE560F"/>
    <w:rsid w:val="00BE56AD"/>
    <w:rsid w:val="00BE5808"/>
    <w:rsid w:val="00BE5876"/>
    <w:rsid w:val="00BE58CC"/>
    <w:rsid w:val="00BE5E5B"/>
    <w:rsid w:val="00BE6219"/>
    <w:rsid w:val="00BE64D3"/>
    <w:rsid w:val="00BE6840"/>
    <w:rsid w:val="00BE68D5"/>
    <w:rsid w:val="00BE6CDD"/>
    <w:rsid w:val="00BE6CF3"/>
    <w:rsid w:val="00BE6E87"/>
    <w:rsid w:val="00BE6E88"/>
    <w:rsid w:val="00BE700A"/>
    <w:rsid w:val="00BE7243"/>
    <w:rsid w:val="00BE749C"/>
    <w:rsid w:val="00BE7768"/>
    <w:rsid w:val="00BE7911"/>
    <w:rsid w:val="00BE7B96"/>
    <w:rsid w:val="00BE7BBE"/>
    <w:rsid w:val="00BE7D59"/>
    <w:rsid w:val="00BF0426"/>
    <w:rsid w:val="00BF046C"/>
    <w:rsid w:val="00BF04D7"/>
    <w:rsid w:val="00BF069F"/>
    <w:rsid w:val="00BF0748"/>
    <w:rsid w:val="00BF0806"/>
    <w:rsid w:val="00BF097D"/>
    <w:rsid w:val="00BF0A10"/>
    <w:rsid w:val="00BF0B71"/>
    <w:rsid w:val="00BF0D19"/>
    <w:rsid w:val="00BF1043"/>
    <w:rsid w:val="00BF1097"/>
    <w:rsid w:val="00BF10C5"/>
    <w:rsid w:val="00BF11D7"/>
    <w:rsid w:val="00BF1248"/>
    <w:rsid w:val="00BF12AF"/>
    <w:rsid w:val="00BF1391"/>
    <w:rsid w:val="00BF13A4"/>
    <w:rsid w:val="00BF18D4"/>
    <w:rsid w:val="00BF1AD6"/>
    <w:rsid w:val="00BF1BE3"/>
    <w:rsid w:val="00BF1E25"/>
    <w:rsid w:val="00BF1E62"/>
    <w:rsid w:val="00BF1EC4"/>
    <w:rsid w:val="00BF1F28"/>
    <w:rsid w:val="00BF219B"/>
    <w:rsid w:val="00BF2212"/>
    <w:rsid w:val="00BF2280"/>
    <w:rsid w:val="00BF232B"/>
    <w:rsid w:val="00BF285B"/>
    <w:rsid w:val="00BF2BAC"/>
    <w:rsid w:val="00BF2C6B"/>
    <w:rsid w:val="00BF2C88"/>
    <w:rsid w:val="00BF2D0C"/>
    <w:rsid w:val="00BF2D70"/>
    <w:rsid w:val="00BF2F1C"/>
    <w:rsid w:val="00BF2FC3"/>
    <w:rsid w:val="00BF316C"/>
    <w:rsid w:val="00BF3326"/>
    <w:rsid w:val="00BF3362"/>
    <w:rsid w:val="00BF3487"/>
    <w:rsid w:val="00BF3518"/>
    <w:rsid w:val="00BF3933"/>
    <w:rsid w:val="00BF393F"/>
    <w:rsid w:val="00BF3979"/>
    <w:rsid w:val="00BF3BC9"/>
    <w:rsid w:val="00BF3DB4"/>
    <w:rsid w:val="00BF3E0F"/>
    <w:rsid w:val="00BF3EC2"/>
    <w:rsid w:val="00BF3FD6"/>
    <w:rsid w:val="00BF4024"/>
    <w:rsid w:val="00BF4426"/>
    <w:rsid w:val="00BF4480"/>
    <w:rsid w:val="00BF461C"/>
    <w:rsid w:val="00BF469C"/>
    <w:rsid w:val="00BF46F5"/>
    <w:rsid w:val="00BF4995"/>
    <w:rsid w:val="00BF4B0A"/>
    <w:rsid w:val="00BF4D30"/>
    <w:rsid w:val="00BF4D57"/>
    <w:rsid w:val="00BF54A0"/>
    <w:rsid w:val="00BF5656"/>
    <w:rsid w:val="00BF5789"/>
    <w:rsid w:val="00BF58CF"/>
    <w:rsid w:val="00BF59EA"/>
    <w:rsid w:val="00BF5A2A"/>
    <w:rsid w:val="00BF5A54"/>
    <w:rsid w:val="00BF5A56"/>
    <w:rsid w:val="00BF5E9D"/>
    <w:rsid w:val="00BF5F1F"/>
    <w:rsid w:val="00BF6157"/>
    <w:rsid w:val="00BF625E"/>
    <w:rsid w:val="00BF635D"/>
    <w:rsid w:val="00BF6649"/>
    <w:rsid w:val="00BF6832"/>
    <w:rsid w:val="00BF6C46"/>
    <w:rsid w:val="00BF6D23"/>
    <w:rsid w:val="00BF6D77"/>
    <w:rsid w:val="00BF6FEE"/>
    <w:rsid w:val="00BF7018"/>
    <w:rsid w:val="00BF7047"/>
    <w:rsid w:val="00BF708B"/>
    <w:rsid w:val="00BF70E4"/>
    <w:rsid w:val="00BF73AD"/>
    <w:rsid w:val="00BF7A58"/>
    <w:rsid w:val="00BF7A83"/>
    <w:rsid w:val="00BF7AA1"/>
    <w:rsid w:val="00BF7ADB"/>
    <w:rsid w:val="00BF7CED"/>
    <w:rsid w:val="00BF7D49"/>
    <w:rsid w:val="00C000FE"/>
    <w:rsid w:val="00C00317"/>
    <w:rsid w:val="00C006A1"/>
    <w:rsid w:val="00C006EC"/>
    <w:rsid w:val="00C00838"/>
    <w:rsid w:val="00C00851"/>
    <w:rsid w:val="00C00894"/>
    <w:rsid w:val="00C009A3"/>
    <w:rsid w:val="00C00C4D"/>
    <w:rsid w:val="00C00C51"/>
    <w:rsid w:val="00C014BD"/>
    <w:rsid w:val="00C016D9"/>
    <w:rsid w:val="00C01700"/>
    <w:rsid w:val="00C018F3"/>
    <w:rsid w:val="00C019AC"/>
    <w:rsid w:val="00C01B7C"/>
    <w:rsid w:val="00C01BB4"/>
    <w:rsid w:val="00C01C47"/>
    <w:rsid w:val="00C01DE8"/>
    <w:rsid w:val="00C01E06"/>
    <w:rsid w:val="00C01E5F"/>
    <w:rsid w:val="00C01EA9"/>
    <w:rsid w:val="00C01F03"/>
    <w:rsid w:val="00C01FE4"/>
    <w:rsid w:val="00C0214E"/>
    <w:rsid w:val="00C02294"/>
    <w:rsid w:val="00C02295"/>
    <w:rsid w:val="00C02350"/>
    <w:rsid w:val="00C0238F"/>
    <w:rsid w:val="00C02512"/>
    <w:rsid w:val="00C02620"/>
    <w:rsid w:val="00C027E9"/>
    <w:rsid w:val="00C029D4"/>
    <w:rsid w:val="00C02C47"/>
    <w:rsid w:val="00C02CDC"/>
    <w:rsid w:val="00C02DBD"/>
    <w:rsid w:val="00C02E8D"/>
    <w:rsid w:val="00C02FBD"/>
    <w:rsid w:val="00C0312F"/>
    <w:rsid w:val="00C0314B"/>
    <w:rsid w:val="00C0335C"/>
    <w:rsid w:val="00C0358A"/>
    <w:rsid w:val="00C03770"/>
    <w:rsid w:val="00C03774"/>
    <w:rsid w:val="00C037F8"/>
    <w:rsid w:val="00C03853"/>
    <w:rsid w:val="00C039AD"/>
    <w:rsid w:val="00C03A88"/>
    <w:rsid w:val="00C03B45"/>
    <w:rsid w:val="00C03BCB"/>
    <w:rsid w:val="00C03F74"/>
    <w:rsid w:val="00C04191"/>
    <w:rsid w:val="00C041FE"/>
    <w:rsid w:val="00C04377"/>
    <w:rsid w:val="00C0447F"/>
    <w:rsid w:val="00C0473E"/>
    <w:rsid w:val="00C048DC"/>
    <w:rsid w:val="00C049C6"/>
    <w:rsid w:val="00C04DB6"/>
    <w:rsid w:val="00C04E71"/>
    <w:rsid w:val="00C05038"/>
    <w:rsid w:val="00C05141"/>
    <w:rsid w:val="00C051A2"/>
    <w:rsid w:val="00C0527D"/>
    <w:rsid w:val="00C0530A"/>
    <w:rsid w:val="00C0586D"/>
    <w:rsid w:val="00C058C5"/>
    <w:rsid w:val="00C05A26"/>
    <w:rsid w:val="00C05A8D"/>
    <w:rsid w:val="00C05BC9"/>
    <w:rsid w:val="00C05D95"/>
    <w:rsid w:val="00C05DF4"/>
    <w:rsid w:val="00C05F06"/>
    <w:rsid w:val="00C05F32"/>
    <w:rsid w:val="00C060CD"/>
    <w:rsid w:val="00C062A1"/>
    <w:rsid w:val="00C062B9"/>
    <w:rsid w:val="00C062CB"/>
    <w:rsid w:val="00C0631E"/>
    <w:rsid w:val="00C063C4"/>
    <w:rsid w:val="00C064E5"/>
    <w:rsid w:val="00C066C3"/>
    <w:rsid w:val="00C068FA"/>
    <w:rsid w:val="00C06959"/>
    <w:rsid w:val="00C06C71"/>
    <w:rsid w:val="00C06ECB"/>
    <w:rsid w:val="00C06EFC"/>
    <w:rsid w:val="00C06F54"/>
    <w:rsid w:val="00C06F7E"/>
    <w:rsid w:val="00C071BF"/>
    <w:rsid w:val="00C07699"/>
    <w:rsid w:val="00C0791A"/>
    <w:rsid w:val="00C07C2F"/>
    <w:rsid w:val="00C07D8C"/>
    <w:rsid w:val="00C07D92"/>
    <w:rsid w:val="00C07D9E"/>
    <w:rsid w:val="00C07DF4"/>
    <w:rsid w:val="00C07F4C"/>
    <w:rsid w:val="00C07F5A"/>
    <w:rsid w:val="00C1013A"/>
    <w:rsid w:val="00C101B7"/>
    <w:rsid w:val="00C104D6"/>
    <w:rsid w:val="00C10571"/>
    <w:rsid w:val="00C10767"/>
    <w:rsid w:val="00C109DC"/>
    <w:rsid w:val="00C10B5E"/>
    <w:rsid w:val="00C10B6F"/>
    <w:rsid w:val="00C10C8F"/>
    <w:rsid w:val="00C10F8C"/>
    <w:rsid w:val="00C11198"/>
    <w:rsid w:val="00C11395"/>
    <w:rsid w:val="00C113B4"/>
    <w:rsid w:val="00C11575"/>
    <w:rsid w:val="00C116C4"/>
    <w:rsid w:val="00C1177A"/>
    <w:rsid w:val="00C11784"/>
    <w:rsid w:val="00C11840"/>
    <w:rsid w:val="00C119E5"/>
    <w:rsid w:val="00C11A6B"/>
    <w:rsid w:val="00C11B52"/>
    <w:rsid w:val="00C11B56"/>
    <w:rsid w:val="00C11BC0"/>
    <w:rsid w:val="00C11D34"/>
    <w:rsid w:val="00C12101"/>
    <w:rsid w:val="00C12182"/>
    <w:rsid w:val="00C12331"/>
    <w:rsid w:val="00C12493"/>
    <w:rsid w:val="00C124AE"/>
    <w:rsid w:val="00C12939"/>
    <w:rsid w:val="00C12C3E"/>
    <w:rsid w:val="00C12D41"/>
    <w:rsid w:val="00C13030"/>
    <w:rsid w:val="00C13185"/>
    <w:rsid w:val="00C13276"/>
    <w:rsid w:val="00C138D8"/>
    <w:rsid w:val="00C13C61"/>
    <w:rsid w:val="00C13FD9"/>
    <w:rsid w:val="00C14254"/>
    <w:rsid w:val="00C144C0"/>
    <w:rsid w:val="00C1450D"/>
    <w:rsid w:val="00C145F2"/>
    <w:rsid w:val="00C146BD"/>
    <w:rsid w:val="00C14729"/>
    <w:rsid w:val="00C147E4"/>
    <w:rsid w:val="00C1485D"/>
    <w:rsid w:val="00C14A58"/>
    <w:rsid w:val="00C14AAE"/>
    <w:rsid w:val="00C14B41"/>
    <w:rsid w:val="00C14E69"/>
    <w:rsid w:val="00C14E70"/>
    <w:rsid w:val="00C14F66"/>
    <w:rsid w:val="00C152A3"/>
    <w:rsid w:val="00C153BC"/>
    <w:rsid w:val="00C1592F"/>
    <w:rsid w:val="00C159F6"/>
    <w:rsid w:val="00C15B9C"/>
    <w:rsid w:val="00C15E92"/>
    <w:rsid w:val="00C15F2A"/>
    <w:rsid w:val="00C16161"/>
    <w:rsid w:val="00C165DE"/>
    <w:rsid w:val="00C166B8"/>
    <w:rsid w:val="00C168E1"/>
    <w:rsid w:val="00C169D2"/>
    <w:rsid w:val="00C169FE"/>
    <w:rsid w:val="00C16BC9"/>
    <w:rsid w:val="00C17135"/>
    <w:rsid w:val="00C1720E"/>
    <w:rsid w:val="00C17442"/>
    <w:rsid w:val="00C17579"/>
    <w:rsid w:val="00C175DA"/>
    <w:rsid w:val="00C17949"/>
    <w:rsid w:val="00C17B79"/>
    <w:rsid w:val="00C17BEA"/>
    <w:rsid w:val="00C17C01"/>
    <w:rsid w:val="00C17ED6"/>
    <w:rsid w:val="00C2012B"/>
    <w:rsid w:val="00C202C0"/>
    <w:rsid w:val="00C20846"/>
    <w:rsid w:val="00C209C4"/>
    <w:rsid w:val="00C20B93"/>
    <w:rsid w:val="00C20BA5"/>
    <w:rsid w:val="00C20D2D"/>
    <w:rsid w:val="00C20D4F"/>
    <w:rsid w:val="00C20E3C"/>
    <w:rsid w:val="00C20F62"/>
    <w:rsid w:val="00C20FC3"/>
    <w:rsid w:val="00C2127B"/>
    <w:rsid w:val="00C21327"/>
    <w:rsid w:val="00C21468"/>
    <w:rsid w:val="00C21509"/>
    <w:rsid w:val="00C21A43"/>
    <w:rsid w:val="00C21B41"/>
    <w:rsid w:val="00C21EE5"/>
    <w:rsid w:val="00C21F30"/>
    <w:rsid w:val="00C21FCB"/>
    <w:rsid w:val="00C22220"/>
    <w:rsid w:val="00C223D8"/>
    <w:rsid w:val="00C22758"/>
    <w:rsid w:val="00C2276E"/>
    <w:rsid w:val="00C22788"/>
    <w:rsid w:val="00C227B0"/>
    <w:rsid w:val="00C227F6"/>
    <w:rsid w:val="00C22DEE"/>
    <w:rsid w:val="00C22FEA"/>
    <w:rsid w:val="00C23298"/>
    <w:rsid w:val="00C23389"/>
    <w:rsid w:val="00C233F0"/>
    <w:rsid w:val="00C2356B"/>
    <w:rsid w:val="00C23602"/>
    <w:rsid w:val="00C23663"/>
    <w:rsid w:val="00C23682"/>
    <w:rsid w:val="00C2377B"/>
    <w:rsid w:val="00C238D2"/>
    <w:rsid w:val="00C2390F"/>
    <w:rsid w:val="00C23BC1"/>
    <w:rsid w:val="00C2417F"/>
    <w:rsid w:val="00C242AC"/>
    <w:rsid w:val="00C2445C"/>
    <w:rsid w:val="00C248CC"/>
    <w:rsid w:val="00C24A85"/>
    <w:rsid w:val="00C24BF3"/>
    <w:rsid w:val="00C24C46"/>
    <w:rsid w:val="00C24C6B"/>
    <w:rsid w:val="00C24C6E"/>
    <w:rsid w:val="00C24E8D"/>
    <w:rsid w:val="00C2519E"/>
    <w:rsid w:val="00C25207"/>
    <w:rsid w:val="00C252F5"/>
    <w:rsid w:val="00C253DD"/>
    <w:rsid w:val="00C25670"/>
    <w:rsid w:val="00C256A1"/>
    <w:rsid w:val="00C256F7"/>
    <w:rsid w:val="00C25ABB"/>
    <w:rsid w:val="00C25E87"/>
    <w:rsid w:val="00C25F81"/>
    <w:rsid w:val="00C26058"/>
    <w:rsid w:val="00C26066"/>
    <w:rsid w:val="00C260D9"/>
    <w:rsid w:val="00C261FD"/>
    <w:rsid w:val="00C26219"/>
    <w:rsid w:val="00C26390"/>
    <w:rsid w:val="00C26423"/>
    <w:rsid w:val="00C26633"/>
    <w:rsid w:val="00C2672F"/>
    <w:rsid w:val="00C26746"/>
    <w:rsid w:val="00C269B5"/>
    <w:rsid w:val="00C26C3C"/>
    <w:rsid w:val="00C26C8C"/>
    <w:rsid w:val="00C26E67"/>
    <w:rsid w:val="00C27163"/>
    <w:rsid w:val="00C2748F"/>
    <w:rsid w:val="00C27579"/>
    <w:rsid w:val="00C275EC"/>
    <w:rsid w:val="00C27606"/>
    <w:rsid w:val="00C2797A"/>
    <w:rsid w:val="00C279C7"/>
    <w:rsid w:val="00C27B23"/>
    <w:rsid w:val="00C27B85"/>
    <w:rsid w:val="00C27CDD"/>
    <w:rsid w:val="00C27CFD"/>
    <w:rsid w:val="00C27DA0"/>
    <w:rsid w:val="00C3029A"/>
    <w:rsid w:val="00C3067A"/>
    <w:rsid w:val="00C306BD"/>
    <w:rsid w:val="00C3084C"/>
    <w:rsid w:val="00C30AF4"/>
    <w:rsid w:val="00C30B69"/>
    <w:rsid w:val="00C30C96"/>
    <w:rsid w:val="00C30DCF"/>
    <w:rsid w:val="00C30E3D"/>
    <w:rsid w:val="00C311C7"/>
    <w:rsid w:val="00C31219"/>
    <w:rsid w:val="00C31273"/>
    <w:rsid w:val="00C31386"/>
    <w:rsid w:val="00C314A8"/>
    <w:rsid w:val="00C317FE"/>
    <w:rsid w:val="00C3188F"/>
    <w:rsid w:val="00C319A5"/>
    <w:rsid w:val="00C31D11"/>
    <w:rsid w:val="00C31F41"/>
    <w:rsid w:val="00C32159"/>
    <w:rsid w:val="00C3218D"/>
    <w:rsid w:val="00C321A8"/>
    <w:rsid w:val="00C324B9"/>
    <w:rsid w:val="00C32573"/>
    <w:rsid w:val="00C32586"/>
    <w:rsid w:val="00C325CE"/>
    <w:rsid w:val="00C325D0"/>
    <w:rsid w:val="00C326FE"/>
    <w:rsid w:val="00C32D71"/>
    <w:rsid w:val="00C32FA4"/>
    <w:rsid w:val="00C334A9"/>
    <w:rsid w:val="00C33AB0"/>
    <w:rsid w:val="00C33C61"/>
    <w:rsid w:val="00C33C80"/>
    <w:rsid w:val="00C33C99"/>
    <w:rsid w:val="00C33CA4"/>
    <w:rsid w:val="00C33E7B"/>
    <w:rsid w:val="00C34322"/>
    <w:rsid w:val="00C343F7"/>
    <w:rsid w:val="00C345C2"/>
    <w:rsid w:val="00C347CB"/>
    <w:rsid w:val="00C3494E"/>
    <w:rsid w:val="00C34A6A"/>
    <w:rsid w:val="00C34A7A"/>
    <w:rsid w:val="00C34AE7"/>
    <w:rsid w:val="00C34B0E"/>
    <w:rsid w:val="00C3510A"/>
    <w:rsid w:val="00C35189"/>
    <w:rsid w:val="00C352B3"/>
    <w:rsid w:val="00C3535C"/>
    <w:rsid w:val="00C3543C"/>
    <w:rsid w:val="00C3557D"/>
    <w:rsid w:val="00C35903"/>
    <w:rsid w:val="00C35A20"/>
    <w:rsid w:val="00C35CBD"/>
    <w:rsid w:val="00C35D17"/>
    <w:rsid w:val="00C35D49"/>
    <w:rsid w:val="00C35D96"/>
    <w:rsid w:val="00C35DED"/>
    <w:rsid w:val="00C36016"/>
    <w:rsid w:val="00C36112"/>
    <w:rsid w:val="00C362D3"/>
    <w:rsid w:val="00C36306"/>
    <w:rsid w:val="00C363B0"/>
    <w:rsid w:val="00C366A1"/>
    <w:rsid w:val="00C36768"/>
    <w:rsid w:val="00C367CE"/>
    <w:rsid w:val="00C3685B"/>
    <w:rsid w:val="00C36A5E"/>
    <w:rsid w:val="00C36C5B"/>
    <w:rsid w:val="00C36D47"/>
    <w:rsid w:val="00C3708E"/>
    <w:rsid w:val="00C37123"/>
    <w:rsid w:val="00C37148"/>
    <w:rsid w:val="00C37309"/>
    <w:rsid w:val="00C37429"/>
    <w:rsid w:val="00C37652"/>
    <w:rsid w:val="00C3769F"/>
    <w:rsid w:val="00C37891"/>
    <w:rsid w:val="00C37A3F"/>
    <w:rsid w:val="00C37BDD"/>
    <w:rsid w:val="00C37CD7"/>
    <w:rsid w:val="00C37D30"/>
    <w:rsid w:val="00C37D91"/>
    <w:rsid w:val="00C4009E"/>
    <w:rsid w:val="00C400B8"/>
    <w:rsid w:val="00C400EC"/>
    <w:rsid w:val="00C400F4"/>
    <w:rsid w:val="00C40165"/>
    <w:rsid w:val="00C402ED"/>
    <w:rsid w:val="00C40359"/>
    <w:rsid w:val="00C403C8"/>
    <w:rsid w:val="00C403E4"/>
    <w:rsid w:val="00C40437"/>
    <w:rsid w:val="00C404D8"/>
    <w:rsid w:val="00C406B1"/>
    <w:rsid w:val="00C406CE"/>
    <w:rsid w:val="00C4098E"/>
    <w:rsid w:val="00C40B80"/>
    <w:rsid w:val="00C40C72"/>
    <w:rsid w:val="00C41483"/>
    <w:rsid w:val="00C415DF"/>
    <w:rsid w:val="00C415F6"/>
    <w:rsid w:val="00C41618"/>
    <w:rsid w:val="00C41643"/>
    <w:rsid w:val="00C416AE"/>
    <w:rsid w:val="00C41814"/>
    <w:rsid w:val="00C41896"/>
    <w:rsid w:val="00C418A1"/>
    <w:rsid w:val="00C41B33"/>
    <w:rsid w:val="00C41C60"/>
    <w:rsid w:val="00C41CE4"/>
    <w:rsid w:val="00C41EF6"/>
    <w:rsid w:val="00C41F09"/>
    <w:rsid w:val="00C41F85"/>
    <w:rsid w:val="00C41F92"/>
    <w:rsid w:val="00C41FCE"/>
    <w:rsid w:val="00C421C4"/>
    <w:rsid w:val="00C4221C"/>
    <w:rsid w:val="00C42313"/>
    <w:rsid w:val="00C42720"/>
    <w:rsid w:val="00C428F1"/>
    <w:rsid w:val="00C42AD0"/>
    <w:rsid w:val="00C42B73"/>
    <w:rsid w:val="00C42ECC"/>
    <w:rsid w:val="00C4318D"/>
    <w:rsid w:val="00C4341D"/>
    <w:rsid w:val="00C43609"/>
    <w:rsid w:val="00C43668"/>
    <w:rsid w:val="00C43727"/>
    <w:rsid w:val="00C43800"/>
    <w:rsid w:val="00C438C8"/>
    <w:rsid w:val="00C43999"/>
    <w:rsid w:val="00C43B46"/>
    <w:rsid w:val="00C43D21"/>
    <w:rsid w:val="00C43D36"/>
    <w:rsid w:val="00C43E4F"/>
    <w:rsid w:val="00C43EAF"/>
    <w:rsid w:val="00C440F9"/>
    <w:rsid w:val="00C44199"/>
    <w:rsid w:val="00C4425B"/>
    <w:rsid w:val="00C4447F"/>
    <w:rsid w:val="00C445D0"/>
    <w:rsid w:val="00C448A4"/>
    <w:rsid w:val="00C44A29"/>
    <w:rsid w:val="00C44A9B"/>
    <w:rsid w:val="00C44AD5"/>
    <w:rsid w:val="00C44B73"/>
    <w:rsid w:val="00C44CC7"/>
    <w:rsid w:val="00C44D7C"/>
    <w:rsid w:val="00C44E21"/>
    <w:rsid w:val="00C45458"/>
    <w:rsid w:val="00C45483"/>
    <w:rsid w:val="00C45866"/>
    <w:rsid w:val="00C45B4A"/>
    <w:rsid w:val="00C45D96"/>
    <w:rsid w:val="00C45E83"/>
    <w:rsid w:val="00C4609A"/>
    <w:rsid w:val="00C4629B"/>
    <w:rsid w:val="00C4638F"/>
    <w:rsid w:val="00C466C5"/>
    <w:rsid w:val="00C4671C"/>
    <w:rsid w:val="00C468CB"/>
    <w:rsid w:val="00C46973"/>
    <w:rsid w:val="00C46A1C"/>
    <w:rsid w:val="00C46D1D"/>
    <w:rsid w:val="00C46D59"/>
    <w:rsid w:val="00C46DC9"/>
    <w:rsid w:val="00C46F32"/>
    <w:rsid w:val="00C46F50"/>
    <w:rsid w:val="00C47051"/>
    <w:rsid w:val="00C47059"/>
    <w:rsid w:val="00C47136"/>
    <w:rsid w:val="00C47278"/>
    <w:rsid w:val="00C473F6"/>
    <w:rsid w:val="00C473FA"/>
    <w:rsid w:val="00C47533"/>
    <w:rsid w:val="00C4753A"/>
    <w:rsid w:val="00C4757F"/>
    <w:rsid w:val="00C47781"/>
    <w:rsid w:val="00C478A3"/>
    <w:rsid w:val="00C47B23"/>
    <w:rsid w:val="00C5012B"/>
    <w:rsid w:val="00C5012F"/>
    <w:rsid w:val="00C50211"/>
    <w:rsid w:val="00C50559"/>
    <w:rsid w:val="00C505D3"/>
    <w:rsid w:val="00C5067B"/>
    <w:rsid w:val="00C50914"/>
    <w:rsid w:val="00C509C6"/>
    <w:rsid w:val="00C50BE7"/>
    <w:rsid w:val="00C50BFC"/>
    <w:rsid w:val="00C50DE4"/>
    <w:rsid w:val="00C50F05"/>
    <w:rsid w:val="00C50F31"/>
    <w:rsid w:val="00C50F62"/>
    <w:rsid w:val="00C51368"/>
    <w:rsid w:val="00C51464"/>
    <w:rsid w:val="00C518A6"/>
    <w:rsid w:val="00C519BF"/>
    <w:rsid w:val="00C51CD7"/>
    <w:rsid w:val="00C51D48"/>
    <w:rsid w:val="00C51F30"/>
    <w:rsid w:val="00C51FA0"/>
    <w:rsid w:val="00C52048"/>
    <w:rsid w:val="00C521EF"/>
    <w:rsid w:val="00C522D6"/>
    <w:rsid w:val="00C52471"/>
    <w:rsid w:val="00C527DF"/>
    <w:rsid w:val="00C52BBA"/>
    <w:rsid w:val="00C52D22"/>
    <w:rsid w:val="00C52E7E"/>
    <w:rsid w:val="00C52EAF"/>
    <w:rsid w:val="00C53157"/>
    <w:rsid w:val="00C531DF"/>
    <w:rsid w:val="00C53253"/>
    <w:rsid w:val="00C53587"/>
    <w:rsid w:val="00C53666"/>
    <w:rsid w:val="00C53938"/>
    <w:rsid w:val="00C539D5"/>
    <w:rsid w:val="00C539FE"/>
    <w:rsid w:val="00C53A7C"/>
    <w:rsid w:val="00C53D38"/>
    <w:rsid w:val="00C53E08"/>
    <w:rsid w:val="00C53E17"/>
    <w:rsid w:val="00C53E23"/>
    <w:rsid w:val="00C53E96"/>
    <w:rsid w:val="00C54169"/>
    <w:rsid w:val="00C54437"/>
    <w:rsid w:val="00C5463F"/>
    <w:rsid w:val="00C54649"/>
    <w:rsid w:val="00C54A33"/>
    <w:rsid w:val="00C54C26"/>
    <w:rsid w:val="00C54DEF"/>
    <w:rsid w:val="00C54E94"/>
    <w:rsid w:val="00C54F15"/>
    <w:rsid w:val="00C55086"/>
    <w:rsid w:val="00C552FB"/>
    <w:rsid w:val="00C55430"/>
    <w:rsid w:val="00C55494"/>
    <w:rsid w:val="00C55598"/>
    <w:rsid w:val="00C55859"/>
    <w:rsid w:val="00C55A80"/>
    <w:rsid w:val="00C55B21"/>
    <w:rsid w:val="00C55BBA"/>
    <w:rsid w:val="00C55C73"/>
    <w:rsid w:val="00C55CB7"/>
    <w:rsid w:val="00C55F77"/>
    <w:rsid w:val="00C562B3"/>
    <w:rsid w:val="00C56460"/>
    <w:rsid w:val="00C56553"/>
    <w:rsid w:val="00C56651"/>
    <w:rsid w:val="00C56981"/>
    <w:rsid w:val="00C56B2B"/>
    <w:rsid w:val="00C56CCC"/>
    <w:rsid w:val="00C56F21"/>
    <w:rsid w:val="00C57102"/>
    <w:rsid w:val="00C572C0"/>
    <w:rsid w:val="00C572EC"/>
    <w:rsid w:val="00C5732A"/>
    <w:rsid w:val="00C57407"/>
    <w:rsid w:val="00C57762"/>
    <w:rsid w:val="00C577DE"/>
    <w:rsid w:val="00C577EC"/>
    <w:rsid w:val="00C57B36"/>
    <w:rsid w:val="00C57D0C"/>
    <w:rsid w:val="00C57F8E"/>
    <w:rsid w:val="00C601E7"/>
    <w:rsid w:val="00C60457"/>
    <w:rsid w:val="00C605A9"/>
    <w:rsid w:val="00C6064F"/>
    <w:rsid w:val="00C60817"/>
    <w:rsid w:val="00C60969"/>
    <w:rsid w:val="00C609B6"/>
    <w:rsid w:val="00C60B12"/>
    <w:rsid w:val="00C60D14"/>
    <w:rsid w:val="00C60D76"/>
    <w:rsid w:val="00C60E93"/>
    <w:rsid w:val="00C6113B"/>
    <w:rsid w:val="00C6116F"/>
    <w:rsid w:val="00C613B5"/>
    <w:rsid w:val="00C61776"/>
    <w:rsid w:val="00C6178C"/>
    <w:rsid w:val="00C619F9"/>
    <w:rsid w:val="00C61C0F"/>
    <w:rsid w:val="00C61CA3"/>
    <w:rsid w:val="00C61ED0"/>
    <w:rsid w:val="00C62202"/>
    <w:rsid w:val="00C6223F"/>
    <w:rsid w:val="00C62351"/>
    <w:rsid w:val="00C62391"/>
    <w:rsid w:val="00C623DC"/>
    <w:rsid w:val="00C62579"/>
    <w:rsid w:val="00C62691"/>
    <w:rsid w:val="00C626AF"/>
    <w:rsid w:val="00C6279C"/>
    <w:rsid w:val="00C627C6"/>
    <w:rsid w:val="00C62967"/>
    <w:rsid w:val="00C62A44"/>
    <w:rsid w:val="00C62A55"/>
    <w:rsid w:val="00C62AAF"/>
    <w:rsid w:val="00C62AE5"/>
    <w:rsid w:val="00C62B10"/>
    <w:rsid w:val="00C62BF4"/>
    <w:rsid w:val="00C62EDF"/>
    <w:rsid w:val="00C63160"/>
    <w:rsid w:val="00C6327E"/>
    <w:rsid w:val="00C633B7"/>
    <w:rsid w:val="00C63560"/>
    <w:rsid w:val="00C637C7"/>
    <w:rsid w:val="00C63869"/>
    <w:rsid w:val="00C6388A"/>
    <w:rsid w:val="00C63A23"/>
    <w:rsid w:val="00C63D4B"/>
    <w:rsid w:val="00C63FC8"/>
    <w:rsid w:val="00C641DB"/>
    <w:rsid w:val="00C645E0"/>
    <w:rsid w:val="00C646A7"/>
    <w:rsid w:val="00C64728"/>
    <w:rsid w:val="00C64808"/>
    <w:rsid w:val="00C6493E"/>
    <w:rsid w:val="00C64992"/>
    <w:rsid w:val="00C64A09"/>
    <w:rsid w:val="00C64DFE"/>
    <w:rsid w:val="00C64F7A"/>
    <w:rsid w:val="00C64FB4"/>
    <w:rsid w:val="00C64FC4"/>
    <w:rsid w:val="00C65200"/>
    <w:rsid w:val="00C65290"/>
    <w:rsid w:val="00C65325"/>
    <w:rsid w:val="00C65458"/>
    <w:rsid w:val="00C654B0"/>
    <w:rsid w:val="00C6556E"/>
    <w:rsid w:val="00C6577D"/>
    <w:rsid w:val="00C6589E"/>
    <w:rsid w:val="00C658D9"/>
    <w:rsid w:val="00C65A0D"/>
    <w:rsid w:val="00C65AEE"/>
    <w:rsid w:val="00C65B03"/>
    <w:rsid w:val="00C65C85"/>
    <w:rsid w:val="00C65D13"/>
    <w:rsid w:val="00C65FD2"/>
    <w:rsid w:val="00C660B0"/>
    <w:rsid w:val="00C66121"/>
    <w:rsid w:val="00C6627E"/>
    <w:rsid w:val="00C663BE"/>
    <w:rsid w:val="00C66473"/>
    <w:rsid w:val="00C6695E"/>
    <w:rsid w:val="00C66BD2"/>
    <w:rsid w:val="00C66D81"/>
    <w:rsid w:val="00C66D84"/>
    <w:rsid w:val="00C66F48"/>
    <w:rsid w:val="00C67009"/>
    <w:rsid w:val="00C6709B"/>
    <w:rsid w:val="00C673F5"/>
    <w:rsid w:val="00C6746A"/>
    <w:rsid w:val="00C67487"/>
    <w:rsid w:val="00C674B8"/>
    <w:rsid w:val="00C67677"/>
    <w:rsid w:val="00C67768"/>
    <w:rsid w:val="00C67807"/>
    <w:rsid w:val="00C6785F"/>
    <w:rsid w:val="00C67BA1"/>
    <w:rsid w:val="00C67C6E"/>
    <w:rsid w:val="00C67EF6"/>
    <w:rsid w:val="00C7008E"/>
    <w:rsid w:val="00C70277"/>
    <w:rsid w:val="00C7045F"/>
    <w:rsid w:val="00C704BA"/>
    <w:rsid w:val="00C709C3"/>
    <w:rsid w:val="00C70B0D"/>
    <w:rsid w:val="00C70CCB"/>
    <w:rsid w:val="00C70D5C"/>
    <w:rsid w:val="00C70DAE"/>
    <w:rsid w:val="00C70E4A"/>
    <w:rsid w:val="00C70EC3"/>
    <w:rsid w:val="00C70F17"/>
    <w:rsid w:val="00C710B4"/>
    <w:rsid w:val="00C712F7"/>
    <w:rsid w:val="00C719A2"/>
    <w:rsid w:val="00C719E5"/>
    <w:rsid w:val="00C71A27"/>
    <w:rsid w:val="00C71B37"/>
    <w:rsid w:val="00C71D67"/>
    <w:rsid w:val="00C71E35"/>
    <w:rsid w:val="00C71F78"/>
    <w:rsid w:val="00C7201A"/>
    <w:rsid w:val="00C72408"/>
    <w:rsid w:val="00C7246C"/>
    <w:rsid w:val="00C724AD"/>
    <w:rsid w:val="00C724D6"/>
    <w:rsid w:val="00C725DC"/>
    <w:rsid w:val="00C7291D"/>
    <w:rsid w:val="00C729A4"/>
    <w:rsid w:val="00C72A73"/>
    <w:rsid w:val="00C72ABB"/>
    <w:rsid w:val="00C72C4D"/>
    <w:rsid w:val="00C72CD3"/>
    <w:rsid w:val="00C73004"/>
    <w:rsid w:val="00C7300D"/>
    <w:rsid w:val="00C7307A"/>
    <w:rsid w:val="00C73399"/>
    <w:rsid w:val="00C7381E"/>
    <w:rsid w:val="00C73994"/>
    <w:rsid w:val="00C739BF"/>
    <w:rsid w:val="00C73B5F"/>
    <w:rsid w:val="00C73EF1"/>
    <w:rsid w:val="00C73F32"/>
    <w:rsid w:val="00C74114"/>
    <w:rsid w:val="00C74140"/>
    <w:rsid w:val="00C74162"/>
    <w:rsid w:val="00C741DE"/>
    <w:rsid w:val="00C74264"/>
    <w:rsid w:val="00C74336"/>
    <w:rsid w:val="00C7440C"/>
    <w:rsid w:val="00C7473B"/>
    <w:rsid w:val="00C748C5"/>
    <w:rsid w:val="00C74C2F"/>
    <w:rsid w:val="00C74CE3"/>
    <w:rsid w:val="00C74CF2"/>
    <w:rsid w:val="00C74D18"/>
    <w:rsid w:val="00C75009"/>
    <w:rsid w:val="00C75218"/>
    <w:rsid w:val="00C753B9"/>
    <w:rsid w:val="00C759ED"/>
    <w:rsid w:val="00C75A9F"/>
    <w:rsid w:val="00C75EFB"/>
    <w:rsid w:val="00C75F36"/>
    <w:rsid w:val="00C75FB5"/>
    <w:rsid w:val="00C75FB9"/>
    <w:rsid w:val="00C7626D"/>
    <w:rsid w:val="00C76479"/>
    <w:rsid w:val="00C76740"/>
    <w:rsid w:val="00C76747"/>
    <w:rsid w:val="00C769D6"/>
    <w:rsid w:val="00C76C1A"/>
    <w:rsid w:val="00C76D03"/>
    <w:rsid w:val="00C76D15"/>
    <w:rsid w:val="00C76DE7"/>
    <w:rsid w:val="00C76E0D"/>
    <w:rsid w:val="00C76E11"/>
    <w:rsid w:val="00C7707D"/>
    <w:rsid w:val="00C771D5"/>
    <w:rsid w:val="00C7730E"/>
    <w:rsid w:val="00C77327"/>
    <w:rsid w:val="00C774E2"/>
    <w:rsid w:val="00C77506"/>
    <w:rsid w:val="00C7789E"/>
    <w:rsid w:val="00C778CB"/>
    <w:rsid w:val="00C7796F"/>
    <w:rsid w:val="00C77C32"/>
    <w:rsid w:val="00C77C80"/>
    <w:rsid w:val="00C77E70"/>
    <w:rsid w:val="00C77F1B"/>
    <w:rsid w:val="00C80062"/>
    <w:rsid w:val="00C80072"/>
    <w:rsid w:val="00C800F2"/>
    <w:rsid w:val="00C80162"/>
    <w:rsid w:val="00C80575"/>
    <w:rsid w:val="00C806B6"/>
    <w:rsid w:val="00C807F9"/>
    <w:rsid w:val="00C80885"/>
    <w:rsid w:val="00C80A3F"/>
    <w:rsid w:val="00C80C9A"/>
    <w:rsid w:val="00C80FE1"/>
    <w:rsid w:val="00C81169"/>
    <w:rsid w:val="00C81253"/>
    <w:rsid w:val="00C81415"/>
    <w:rsid w:val="00C818CF"/>
    <w:rsid w:val="00C81E46"/>
    <w:rsid w:val="00C81EE4"/>
    <w:rsid w:val="00C822CA"/>
    <w:rsid w:val="00C823C6"/>
    <w:rsid w:val="00C82454"/>
    <w:rsid w:val="00C82508"/>
    <w:rsid w:val="00C825CF"/>
    <w:rsid w:val="00C82606"/>
    <w:rsid w:val="00C8264C"/>
    <w:rsid w:val="00C82987"/>
    <w:rsid w:val="00C829B0"/>
    <w:rsid w:val="00C82ACB"/>
    <w:rsid w:val="00C82BD8"/>
    <w:rsid w:val="00C82D5F"/>
    <w:rsid w:val="00C83239"/>
    <w:rsid w:val="00C83429"/>
    <w:rsid w:val="00C83473"/>
    <w:rsid w:val="00C8361B"/>
    <w:rsid w:val="00C8367F"/>
    <w:rsid w:val="00C83A02"/>
    <w:rsid w:val="00C83A6F"/>
    <w:rsid w:val="00C83C4D"/>
    <w:rsid w:val="00C83DB6"/>
    <w:rsid w:val="00C83E23"/>
    <w:rsid w:val="00C84031"/>
    <w:rsid w:val="00C843B7"/>
    <w:rsid w:val="00C845A8"/>
    <w:rsid w:val="00C84825"/>
    <w:rsid w:val="00C849E5"/>
    <w:rsid w:val="00C84AE3"/>
    <w:rsid w:val="00C84D24"/>
    <w:rsid w:val="00C84D35"/>
    <w:rsid w:val="00C84F41"/>
    <w:rsid w:val="00C85376"/>
    <w:rsid w:val="00C8574E"/>
    <w:rsid w:val="00C858BC"/>
    <w:rsid w:val="00C85915"/>
    <w:rsid w:val="00C859F8"/>
    <w:rsid w:val="00C85A63"/>
    <w:rsid w:val="00C85AF1"/>
    <w:rsid w:val="00C85C0B"/>
    <w:rsid w:val="00C85EA7"/>
    <w:rsid w:val="00C85FC7"/>
    <w:rsid w:val="00C8613D"/>
    <w:rsid w:val="00C861B7"/>
    <w:rsid w:val="00C86226"/>
    <w:rsid w:val="00C86245"/>
    <w:rsid w:val="00C86459"/>
    <w:rsid w:val="00C865FF"/>
    <w:rsid w:val="00C8691E"/>
    <w:rsid w:val="00C86A06"/>
    <w:rsid w:val="00C86B27"/>
    <w:rsid w:val="00C86C4C"/>
    <w:rsid w:val="00C86DDA"/>
    <w:rsid w:val="00C86FCB"/>
    <w:rsid w:val="00C870C5"/>
    <w:rsid w:val="00C87141"/>
    <w:rsid w:val="00C87310"/>
    <w:rsid w:val="00C87341"/>
    <w:rsid w:val="00C8735C"/>
    <w:rsid w:val="00C8735D"/>
    <w:rsid w:val="00C8737B"/>
    <w:rsid w:val="00C8738F"/>
    <w:rsid w:val="00C8757D"/>
    <w:rsid w:val="00C8760F"/>
    <w:rsid w:val="00C877C7"/>
    <w:rsid w:val="00C87BC9"/>
    <w:rsid w:val="00C87BDA"/>
    <w:rsid w:val="00C87C66"/>
    <w:rsid w:val="00C87DB5"/>
    <w:rsid w:val="00C87FE7"/>
    <w:rsid w:val="00C902F6"/>
    <w:rsid w:val="00C9033C"/>
    <w:rsid w:val="00C9035C"/>
    <w:rsid w:val="00C90378"/>
    <w:rsid w:val="00C904D5"/>
    <w:rsid w:val="00C90580"/>
    <w:rsid w:val="00C9080E"/>
    <w:rsid w:val="00C908BE"/>
    <w:rsid w:val="00C90AA1"/>
    <w:rsid w:val="00C90AD2"/>
    <w:rsid w:val="00C90ADC"/>
    <w:rsid w:val="00C90AEF"/>
    <w:rsid w:val="00C90DC3"/>
    <w:rsid w:val="00C9131F"/>
    <w:rsid w:val="00C91417"/>
    <w:rsid w:val="00C91A2B"/>
    <w:rsid w:val="00C91ACE"/>
    <w:rsid w:val="00C91E8C"/>
    <w:rsid w:val="00C91EE2"/>
    <w:rsid w:val="00C9205B"/>
    <w:rsid w:val="00C920BF"/>
    <w:rsid w:val="00C92109"/>
    <w:rsid w:val="00C9221A"/>
    <w:rsid w:val="00C92221"/>
    <w:rsid w:val="00C922F2"/>
    <w:rsid w:val="00C925B4"/>
    <w:rsid w:val="00C927E6"/>
    <w:rsid w:val="00C928D9"/>
    <w:rsid w:val="00C928F9"/>
    <w:rsid w:val="00C92B71"/>
    <w:rsid w:val="00C92C77"/>
    <w:rsid w:val="00C92DBA"/>
    <w:rsid w:val="00C92E85"/>
    <w:rsid w:val="00C92ECB"/>
    <w:rsid w:val="00C92F32"/>
    <w:rsid w:val="00C9327A"/>
    <w:rsid w:val="00C932DE"/>
    <w:rsid w:val="00C933AD"/>
    <w:rsid w:val="00C935DF"/>
    <w:rsid w:val="00C9380E"/>
    <w:rsid w:val="00C93850"/>
    <w:rsid w:val="00C93A01"/>
    <w:rsid w:val="00C93C29"/>
    <w:rsid w:val="00C93D5E"/>
    <w:rsid w:val="00C93DC4"/>
    <w:rsid w:val="00C93E17"/>
    <w:rsid w:val="00C93E52"/>
    <w:rsid w:val="00C94013"/>
    <w:rsid w:val="00C94300"/>
    <w:rsid w:val="00C943CB"/>
    <w:rsid w:val="00C9440A"/>
    <w:rsid w:val="00C94446"/>
    <w:rsid w:val="00C9458E"/>
    <w:rsid w:val="00C94914"/>
    <w:rsid w:val="00C949E7"/>
    <w:rsid w:val="00C94A8A"/>
    <w:rsid w:val="00C94C99"/>
    <w:rsid w:val="00C94C9F"/>
    <w:rsid w:val="00C94CE3"/>
    <w:rsid w:val="00C94EBA"/>
    <w:rsid w:val="00C94F53"/>
    <w:rsid w:val="00C9530B"/>
    <w:rsid w:val="00C9544F"/>
    <w:rsid w:val="00C954A2"/>
    <w:rsid w:val="00C95597"/>
    <w:rsid w:val="00C955F7"/>
    <w:rsid w:val="00C9576F"/>
    <w:rsid w:val="00C95808"/>
    <w:rsid w:val="00C95A7A"/>
    <w:rsid w:val="00C95E31"/>
    <w:rsid w:val="00C95E99"/>
    <w:rsid w:val="00C95FC5"/>
    <w:rsid w:val="00C96087"/>
    <w:rsid w:val="00C9613D"/>
    <w:rsid w:val="00C962EA"/>
    <w:rsid w:val="00C965C5"/>
    <w:rsid w:val="00C96727"/>
    <w:rsid w:val="00C967A3"/>
    <w:rsid w:val="00C967D8"/>
    <w:rsid w:val="00C96820"/>
    <w:rsid w:val="00C9682D"/>
    <w:rsid w:val="00C96BDC"/>
    <w:rsid w:val="00C96E1C"/>
    <w:rsid w:val="00C96E2A"/>
    <w:rsid w:val="00C96ECE"/>
    <w:rsid w:val="00C96FC5"/>
    <w:rsid w:val="00C97063"/>
    <w:rsid w:val="00C97117"/>
    <w:rsid w:val="00C9727B"/>
    <w:rsid w:val="00C973D4"/>
    <w:rsid w:val="00C9766D"/>
    <w:rsid w:val="00C97A2F"/>
    <w:rsid w:val="00C97B28"/>
    <w:rsid w:val="00C97C34"/>
    <w:rsid w:val="00C97CAA"/>
    <w:rsid w:val="00C97EE4"/>
    <w:rsid w:val="00C97EFC"/>
    <w:rsid w:val="00CA00DE"/>
    <w:rsid w:val="00CA0267"/>
    <w:rsid w:val="00CA039D"/>
    <w:rsid w:val="00CA0AB0"/>
    <w:rsid w:val="00CA0B78"/>
    <w:rsid w:val="00CA0CFF"/>
    <w:rsid w:val="00CA0DA3"/>
    <w:rsid w:val="00CA0DE2"/>
    <w:rsid w:val="00CA14DF"/>
    <w:rsid w:val="00CA15D6"/>
    <w:rsid w:val="00CA1B05"/>
    <w:rsid w:val="00CA1B3E"/>
    <w:rsid w:val="00CA1B58"/>
    <w:rsid w:val="00CA1BCB"/>
    <w:rsid w:val="00CA1DB1"/>
    <w:rsid w:val="00CA1E33"/>
    <w:rsid w:val="00CA1FB1"/>
    <w:rsid w:val="00CA1FD0"/>
    <w:rsid w:val="00CA2036"/>
    <w:rsid w:val="00CA20E3"/>
    <w:rsid w:val="00CA2148"/>
    <w:rsid w:val="00CA21CD"/>
    <w:rsid w:val="00CA221B"/>
    <w:rsid w:val="00CA2426"/>
    <w:rsid w:val="00CA2594"/>
    <w:rsid w:val="00CA25D2"/>
    <w:rsid w:val="00CA2629"/>
    <w:rsid w:val="00CA263A"/>
    <w:rsid w:val="00CA278B"/>
    <w:rsid w:val="00CA284E"/>
    <w:rsid w:val="00CA28D0"/>
    <w:rsid w:val="00CA28F4"/>
    <w:rsid w:val="00CA2910"/>
    <w:rsid w:val="00CA2B8B"/>
    <w:rsid w:val="00CA2E24"/>
    <w:rsid w:val="00CA2EEE"/>
    <w:rsid w:val="00CA32B6"/>
    <w:rsid w:val="00CA331E"/>
    <w:rsid w:val="00CA346E"/>
    <w:rsid w:val="00CA348F"/>
    <w:rsid w:val="00CA3571"/>
    <w:rsid w:val="00CA3580"/>
    <w:rsid w:val="00CA37DE"/>
    <w:rsid w:val="00CA37E7"/>
    <w:rsid w:val="00CA3802"/>
    <w:rsid w:val="00CA385F"/>
    <w:rsid w:val="00CA3936"/>
    <w:rsid w:val="00CA39F2"/>
    <w:rsid w:val="00CA3D32"/>
    <w:rsid w:val="00CA3D44"/>
    <w:rsid w:val="00CA4037"/>
    <w:rsid w:val="00CA43F8"/>
    <w:rsid w:val="00CA4505"/>
    <w:rsid w:val="00CA46A1"/>
    <w:rsid w:val="00CA4763"/>
    <w:rsid w:val="00CA48F6"/>
    <w:rsid w:val="00CA4C1E"/>
    <w:rsid w:val="00CA4C69"/>
    <w:rsid w:val="00CA4C96"/>
    <w:rsid w:val="00CA4DF5"/>
    <w:rsid w:val="00CA4F11"/>
    <w:rsid w:val="00CA4FC5"/>
    <w:rsid w:val="00CA4FE4"/>
    <w:rsid w:val="00CA5764"/>
    <w:rsid w:val="00CA57FB"/>
    <w:rsid w:val="00CA5801"/>
    <w:rsid w:val="00CA5839"/>
    <w:rsid w:val="00CA5A16"/>
    <w:rsid w:val="00CA5A6D"/>
    <w:rsid w:val="00CA5ABA"/>
    <w:rsid w:val="00CA5C47"/>
    <w:rsid w:val="00CA5DBC"/>
    <w:rsid w:val="00CA5E0B"/>
    <w:rsid w:val="00CA5F26"/>
    <w:rsid w:val="00CA5F4D"/>
    <w:rsid w:val="00CA6057"/>
    <w:rsid w:val="00CA614B"/>
    <w:rsid w:val="00CA6540"/>
    <w:rsid w:val="00CA6570"/>
    <w:rsid w:val="00CA6602"/>
    <w:rsid w:val="00CA6732"/>
    <w:rsid w:val="00CA6734"/>
    <w:rsid w:val="00CA674E"/>
    <w:rsid w:val="00CA6833"/>
    <w:rsid w:val="00CA68B8"/>
    <w:rsid w:val="00CA69D5"/>
    <w:rsid w:val="00CA6CF8"/>
    <w:rsid w:val="00CA6D19"/>
    <w:rsid w:val="00CA6FB2"/>
    <w:rsid w:val="00CA71FF"/>
    <w:rsid w:val="00CA7378"/>
    <w:rsid w:val="00CA761D"/>
    <w:rsid w:val="00CA789E"/>
    <w:rsid w:val="00CA7ADE"/>
    <w:rsid w:val="00CA7BBB"/>
    <w:rsid w:val="00CA7C64"/>
    <w:rsid w:val="00CA7D21"/>
    <w:rsid w:val="00CA7DE6"/>
    <w:rsid w:val="00CA7F0A"/>
    <w:rsid w:val="00CA7F5A"/>
    <w:rsid w:val="00CB0050"/>
    <w:rsid w:val="00CB00E4"/>
    <w:rsid w:val="00CB010D"/>
    <w:rsid w:val="00CB015C"/>
    <w:rsid w:val="00CB0891"/>
    <w:rsid w:val="00CB099D"/>
    <w:rsid w:val="00CB0B7E"/>
    <w:rsid w:val="00CB0CEA"/>
    <w:rsid w:val="00CB0E45"/>
    <w:rsid w:val="00CB10EA"/>
    <w:rsid w:val="00CB1110"/>
    <w:rsid w:val="00CB1275"/>
    <w:rsid w:val="00CB12DD"/>
    <w:rsid w:val="00CB12DE"/>
    <w:rsid w:val="00CB131E"/>
    <w:rsid w:val="00CB1413"/>
    <w:rsid w:val="00CB1534"/>
    <w:rsid w:val="00CB16FB"/>
    <w:rsid w:val="00CB1752"/>
    <w:rsid w:val="00CB17D3"/>
    <w:rsid w:val="00CB1934"/>
    <w:rsid w:val="00CB19C2"/>
    <w:rsid w:val="00CB20D6"/>
    <w:rsid w:val="00CB243A"/>
    <w:rsid w:val="00CB2458"/>
    <w:rsid w:val="00CB25E0"/>
    <w:rsid w:val="00CB25E7"/>
    <w:rsid w:val="00CB282F"/>
    <w:rsid w:val="00CB2BCA"/>
    <w:rsid w:val="00CB2BD4"/>
    <w:rsid w:val="00CB2CA3"/>
    <w:rsid w:val="00CB2CBC"/>
    <w:rsid w:val="00CB2CC7"/>
    <w:rsid w:val="00CB2D56"/>
    <w:rsid w:val="00CB30FB"/>
    <w:rsid w:val="00CB3247"/>
    <w:rsid w:val="00CB327D"/>
    <w:rsid w:val="00CB3327"/>
    <w:rsid w:val="00CB3721"/>
    <w:rsid w:val="00CB37EE"/>
    <w:rsid w:val="00CB38B8"/>
    <w:rsid w:val="00CB3C9C"/>
    <w:rsid w:val="00CB3EDA"/>
    <w:rsid w:val="00CB4083"/>
    <w:rsid w:val="00CB419C"/>
    <w:rsid w:val="00CB448D"/>
    <w:rsid w:val="00CB4521"/>
    <w:rsid w:val="00CB46C4"/>
    <w:rsid w:val="00CB477F"/>
    <w:rsid w:val="00CB47DC"/>
    <w:rsid w:val="00CB4883"/>
    <w:rsid w:val="00CB48E7"/>
    <w:rsid w:val="00CB495A"/>
    <w:rsid w:val="00CB4A55"/>
    <w:rsid w:val="00CB4A62"/>
    <w:rsid w:val="00CB4B38"/>
    <w:rsid w:val="00CB4B3F"/>
    <w:rsid w:val="00CB4B99"/>
    <w:rsid w:val="00CB4C2F"/>
    <w:rsid w:val="00CB4EA0"/>
    <w:rsid w:val="00CB520D"/>
    <w:rsid w:val="00CB52D8"/>
    <w:rsid w:val="00CB52FF"/>
    <w:rsid w:val="00CB54F7"/>
    <w:rsid w:val="00CB56DB"/>
    <w:rsid w:val="00CB57A9"/>
    <w:rsid w:val="00CB5875"/>
    <w:rsid w:val="00CB596B"/>
    <w:rsid w:val="00CB5CC3"/>
    <w:rsid w:val="00CB5D8A"/>
    <w:rsid w:val="00CB5F1B"/>
    <w:rsid w:val="00CB6185"/>
    <w:rsid w:val="00CB61D5"/>
    <w:rsid w:val="00CB6236"/>
    <w:rsid w:val="00CB62B2"/>
    <w:rsid w:val="00CB633F"/>
    <w:rsid w:val="00CB63C6"/>
    <w:rsid w:val="00CB6631"/>
    <w:rsid w:val="00CB6692"/>
    <w:rsid w:val="00CB6930"/>
    <w:rsid w:val="00CB694A"/>
    <w:rsid w:val="00CB6CEF"/>
    <w:rsid w:val="00CB6E89"/>
    <w:rsid w:val="00CB6EF8"/>
    <w:rsid w:val="00CB7171"/>
    <w:rsid w:val="00CB728C"/>
    <w:rsid w:val="00CB72C2"/>
    <w:rsid w:val="00CB734C"/>
    <w:rsid w:val="00CB73FA"/>
    <w:rsid w:val="00CB746C"/>
    <w:rsid w:val="00CB7885"/>
    <w:rsid w:val="00CB7888"/>
    <w:rsid w:val="00CB78C2"/>
    <w:rsid w:val="00CB7950"/>
    <w:rsid w:val="00CB79FC"/>
    <w:rsid w:val="00CB7A96"/>
    <w:rsid w:val="00CB7ADA"/>
    <w:rsid w:val="00CB7D54"/>
    <w:rsid w:val="00CB7D7B"/>
    <w:rsid w:val="00CC0057"/>
    <w:rsid w:val="00CC016F"/>
    <w:rsid w:val="00CC0173"/>
    <w:rsid w:val="00CC0456"/>
    <w:rsid w:val="00CC052C"/>
    <w:rsid w:val="00CC062F"/>
    <w:rsid w:val="00CC0696"/>
    <w:rsid w:val="00CC0758"/>
    <w:rsid w:val="00CC07CC"/>
    <w:rsid w:val="00CC0827"/>
    <w:rsid w:val="00CC0861"/>
    <w:rsid w:val="00CC091D"/>
    <w:rsid w:val="00CC095C"/>
    <w:rsid w:val="00CC0A88"/>
    <w:rsid w:val="00CC0AC3"/>
    <w:rsid w:val="00CC0E8C"/>
    <w:rsid w:val="00CC0E9B"/>
    <w:rsid w:val="00CC0F4B"/>
    <w:rsid w:val="00CC101F"/>
    <w:rsid w:val="00CC10DC"/>
    <w:rsid w:val="00CC12E0"/>
    <w:rsid w:val="00CC178F"/>
    <w:rsid w:val="00CC1ADA"/>
    <w:rsid w:val="00CC1BA3"/>
    <w:rsid w:val="00CC1C3F"/>
    <w:rsid w:val="00CC1D7A"/>
    <w:rsid w:val="00CC1F46"/>
    <w:rsid w:val="00CC2233"/>
    <w:rsid w:val="00CC24F0"/>
    <w:rsid w:val="00CC2579"/>
    <w:rsid w:val="00CC260A"/>
    <w:rsid w:val="00CC27BC"/>
    <w:rsid w:val="00CC28B6"/>
    <w:rsid w:val="00CC2A99"/>
    <w:rsid w:val="00CC2B4C"/>
    <w:rsid w:val="00CC2BFC"/>
    <w:rsid w:val="00CC2FDA"/>
    <w:rsid w:val="00CC30B2"/>
    <w:rsid w:val="00CC316E"/>
    <w:rsid w:val="00CC3321"/>
    <w:rsid w:val="00CC333D"/>
    <w:rsid w:val="00CC3589"/>
    <w:rsid w:val="00CC3817"/>
    <w:rsid w:val="00CC3A72"/>
    <w:rsid w:val="00CC3ADF"/>
    <w:rsid w:val="00CC3B2C"/>
    <w:rsid w:val="00CC3C8C"/>
    <w:rsid w:val="00CC3CF1"/>
    <w:rsid w:val="00CC3D28"/>
    <w:rsid w:val="00CC4008"/>
    <w:rsid w:val="00CC401B"/>
    <w:rsid w:val="00CC4244"/>
    <w:rsid w:val="00CC48CB"/>
    <w:rsid w:val="00CC491C"/>
    <w:rsid w:val="00CC4B55"/>
    <w:rsid w:val="00CC4D64"/>
    <w:rsid w:val="00CC4DE3"/>
    <w:rsid w:val="00CC4DEB"/>
    <w:rsid w:val="00CC4E34"/>
    <w:rsid w:val="00CC50C8"/>
    <w:rsid w:val="00CC5141"/>
    <w:rsid w:val="00CC542F"/>
    <w:rsid w:val="00CC54B1"/>
    <w:rsid w:val="00CC56C1"/>
    <w:rsid w:val="00CC5924"/>
    <w:rsid w:val="00CC59A8"/>
    <w:rsid w:val="00CC5A13"/>
    <w:rsid w:val="00CC5B99"/>
    <w:rsid w:val="00CC5F6B"/>
    <w:rsid w:val="00CC6030"/>
    <w:rsid w:val="00CC61D6"/>
    <w:rsid w:val="00CC61E0"/>
    <w:rsid w:val="00CC635E"/>
    <w:rsid w:val="00CC63BE"/>
    <w:rsid w:val="00CC646C"/>
    <w:rsid w:val="00CC6552"/>
    <w:rsid w:val="00CC660D"/>
    <w:rsid w:val="00CC665D"/>
    <w:rsid w:val="00CC66F7"/>
    <w:rsid w:val="00CC67D4"/>
    <w:rsid w:val="00CC6A78"/>
    <w:rsid w:val="00CC6B1E"/>
    <w:rsid w:val="00CC6BDA"/>
    <w:rsid w:val="00CC7007"/>
    <w:rsid w:val="00CC716D"/>
    <w:rsid w:val="00CC72B9"/>
    <w:rsid w:val="00CC7599"/>
    <w:rsid w:val="00CC75AC"/>
    <w:rsid w:val="00CC7662"/>
    <w:rsid w:val="00CC77E4"/>
    <w:rsid w:val="00CC78D4"/>
    <w:rsid w:val="00CC797F"/>
    <w:rsid w:val="00CC7A2D"/>
    <w:rsid w:val="00CC7B01"/>
    <w:rsid w:val="00CC7D0C"/>
    <w:rsid w:val="00CD0168"/>
    <w:rsid w:val="00CD029D"/>
    <w:rsid w:val="00CD02FE"/>
    <w:rsid w:val="00CD0369"/>
    <w:rsid w:val="00CD038E"/>
    <w:rsid w:val="00CD06A3"/>
    <w:rsid w:val="00CD0A63"/>
    <w:rsid w:val="00CD0E11"/>
    <w:rsid w:val="00CD0FED"/>
    <w:rsid w:val="00CD112B"/>
    <w:rsid w:val="00CD1133"/>
    <w:rsid w:val="00CD1466"/>
    <w:rsid w:val="00CD15D5"/>
    <w:rsid w:val="00CD16CE"/>
    <w:rsid w:val="00CD178B"/>
    <w:rsid w:val="00CD19A3"/>
    <w:rsid w:val="00CD1CAD"/>
    <w:rsid w:val="00CD1D83"/>
    <w:rsid w:val="00CD2143"/>
    <w:rsid w:val="00CD221B"/>
    <w:rsid w:val="00CD2288"/>
    <w:rsid w:val="00CD269C"/>
    <w:rsid w:val="00CD2A80"/>
    <w:rsid w:val="00CD2BB9"/>
    <w:rsid w:val="00CD2C84"/>
    <w:rsid w:val="00CD2D7B"/>
    <w:rsid w:val="00CD2E79"/>
    <w:rsid w:val="00CD3039"/>
    <w:rsid w:val="00CD3187"/>
    <w:rsid w:val="00CD34AB"/>
    <w:rsid w:val="00CD367C"/>
    <w:rsid w:val="00CD3720"/>
    <w:rsid w:val="00CD3766"/>
    <w:rsid w:val="00CD37E6"/>
    <w:rsid w:val="00CD383C"/>
    <w:rsid w:val="00CD3B1F"/>
    <w:rsid w:val="00CD3DA4"/>
    <w:rsid w:val="00CD4053"/>
    <w:rsid w:val="00CD426F"/>
    <w:rsid w:val="00CD42BE"/>
    <w:rsid w:val="00CD43A5"/>
    <w:rsid w:val="00CD4459"/>
    <w:rsid w:val="00CD448D"/>
    <w:rsid w:val="00CD4509"/>
    <w:rsid w:val="00CD456F"/>
    <w:rsid w:val="00CD45BC"/>
    <w:rsid w:val="00CD46C8"/>
    <w:rsid w:val="00CD4902"/>
    <w:rsid w:val="00CD4969"/>
    <w:rsid w:val="00CD4A59"/>
    <w:rsid w:val="00CD4EB4"/>
    <w:rsid w:val="00CD50C3"/>
    <w:rsid w:val="00CD553A"/>
    <w:rsid w:val="00CD599C"/>
    <w:rsid w:val="00CD5AC4"/>
    <w:rsid w:val="00CD5ADC"/>
    <w:rsid w:val="00CD5B89"/>
    <w:rsid w:val="00CD5CB1"/>
    <w:rsid w:val="00CD5D58"/>
    <w:rsid w:val="00CD5FC1"/>
    <w:rsid w:val="00CD5FE3"/>
    <w:rsid w:val="00CD6164"/>
    <w:rsid w:val="00CD6315"/>
    <w:rsid w:val="00CD63E3"/>
    <w:rsid w:val="00CD6652"/>
    <w:rsid w:val="00CD66D7"/>
    <w:rsid w:val="00CD6813"/>
    <w:rsid w:val="00CD6830"/>
    <w:rsid w:val="00CD6D18"/>
    <w:rsid w:val="00CD6F08"/>
    <w:rsid w:val="00CD6F67"/>
    <w:rsid w:val="00CD719C"/>
    <w:rsid w:val="00CD74B5"/>
    <w:rsid w:val="00CD763A"/>
    <w:rsid w:val="00CD76A1"/>
    <w:rsid w:val="00CD76C0"/>
    <w:rsid w:val="00CD77D4"/>
    <w:rsid w:val="00CD78F7"/>
    <w:rsid w:val="00CD7DFB"/>
    <w:rsid w:val="00CE004B"/>
    <w:rsid w:val="00CE017E"/>
    <w:rsid w:val="00CE01D8"/>
    <w:rsid w:val="00CE042E"/>
    <w:rsid w:val="00CE0856"/>
    <w:rsid w:val="00CE0968"/>
    <w:rsid w:val="00CE09F3"/>
    <w:rsid w:val="00CE0A28"/>
    <w:rsid w:val="00CE0B69"/>
    <w:rsid w:val="00CE0B9A"/>
    <w:rsid w:val="00CE0C73"/>
    <w:rsid w:val="00CE0D07"/>
    <w:rsid w:val="00CE0DD3"/>
    <w:rsid w:val="00CE0EB4"/>
    <w:rsid w:val="00CE1372"/>
    <w:rsid w:val="00CE1424"/>
    <w:rsid w:val="00CE1474"/>
    <w:rsid w:val="00CE17C6"/>
    <w:rsid w:val="00CE1A90"/>
    <w:rsid w:val="00CE1B2D"/>
    <w:rsid w:val="00CE1C6C"/>
    <w:rsid w:val="00CE1D53"/>
    <w:rsid w:val="00CE1DAC"/>
    <w:rsid w:val="00CE1F39"/>
    <w:rsid w:val="00CE1F3B"/>
    <w:rsid w:val="00CE212D"/>
    <w:rsid w:val="00CE21EA"/>
    <w:rsid w:val="00CE2296"/>
    <w:rsid w:val="00CE22EC"/>
    <w:rsid w:val="00CE2487"/>
    <w:rsid w:val="00CE2497"/>
    <w:rsid w:val="00CE255D"/>
    <w:rsid w:val="00CE26A9"/>
    <w:rsid w:val="00CE27A1"/>
    <w:rsid w:val="00CE28ED"/>
    <w:rsid w:val="00CE2924"/>
    <w:rsid w:val="00CE29FD"/>
    <w:rsid w:val="00CE2A3E"/>
    <w:rsid w:val="00CE2AEF"/>
    <w:rsid w:val="00CE2CE7"/>
    <w:rsid w:val="00CE2DAF"/>
    <w:rsid w:val="00CE2DF0"/>
    <w:rsid w:val="00CE2F30"/>
    <w:rsid w:val="00CE2FE6"/>
    <w:rsid w:val="00CE3015"/>
    <w:rsid w:val="00CE319D"/>
    <w:rsid w:val="00CE332B"/>
    <w:rsid w:val="00CE3337"/>
    <w:rsid w:val="00CE3341"/>
    <w:rsid w:val="00CE3394"/>
    <w:rsid w:val="00CE35D2"/>
    <w:rsid w:val="00CE3846"/>
    <w:rsid w:val="00CE3948"/>
    <w:rsid w:val="00CE3C82"/>
    <w:rsid w:val="00CE3C93"/>
    <w:rsid w:val="00CE3D4B"/>
    <w:rsid w:val="00CE3E32"/>
    <w:rsid w:val="00CE3E5F"/>
    <w:rsid w:val="00CE3EF4"/>
    <w:rsid w:val="00CE3F81"/>
    <w:rsid w:val="00CE40F8"/>
    <w:rsid w:val="00CE41E5"/>
    <w:rsid w:val="00CE44CD"/>
    <w:rsid w:val="00CE46AD"/>
    <w:rsid w:val="00CE4743"/>
    <w:rsid w:val="00CE478A"/>
    <w:rsid w:val="00CE4822"/>
    <w:rsid w:val="00CE4BA5"/>
    <w:rsid w:val="00CE4D0B"/>
    <w:rsid w:val="00CE4F75"/>
    <w:rsid w:val="00CE50CA"/>
    <w:rsid w:val="00CE5120"/>
    <w:rsid w:val="00CE517F"/>
    <w:rsid w:val="00CE5328"/>
    <w:rsid w:val="00CE53AB"/>
    <w:rsid w:val="00CE563B"/>
    <w:rsid w:val="00CE59C8"/>
    <w:rsid w:val="00CE5A14"/>
    <w:rsid w:val="00CE5C18"/>
    <w:rsid w:val="00CE5EE8"/>
    <w:rsid w:val="00CE5F4B"/>
    <w:rsid w:val="00CE5FE7"/>
    <w:rsid w:val="00CE6353"/>
    <w:rsid w:val="00CE66B2"/>
    <w:rsid w:val="00CE68A6"/>
    <w:rsid w:val="00CE68F6"/>
    <w:rsid w:val="00CE6C9A"/>
    <w:rsid w:val="00CE6CE7"/>
    <w:rsid w:val="00CE71C4"/>
    <w:rsid w:val="00CE722B"/>
    <w:rsid w:val="00CE7363"/>
    <w:rsid w:val="00CE7464"/>
    <w:rsid w:val="00CE7475"/>
    <w:rsid w:val="00CE75CD"/>
    <w:rsid w:val="00CE77C6"/>
    <w:rsid w:val="00CE77E1"/>
    <w:rsid w:val="00CE7C44"/>
    <w:rsid w:val="00CE7CA3"/>
    <w:rsid w:val="00CE7DBD"/>
    <w:rsid w:val="00CE7E32"/>
    <w:rsid w:val="00CF0162"/>
    <w:rsid w:val="00CF01CB"/>
    <w:rsid w:val="00CF0261"/>
    <w:rsid w:val="00CF0537"/>
    <w:rsid w:val="00CF05A2"/>
    <w:rsid w:val="00CF0BFC"/>
    <w:rsid w:val="00CF0CB5"/>
    <w:rsid w:val="00CF0CBF"/>
    <w:rsid w:val="00CF0D91"/>
    <w:rsid w:val="00CF0EC5"/>
    <w:rsid w:val="00CF1100"/>
    <w:rsid w:val="00CF117C"/>
    <w:rsid w:val="00CF11DE"/>
    <w:rsid w:val="00CF19D6"/>
    <w:rsid w:val="00CF1A63"/>
    <w:rsid w:val="00CF1DC1"/>
    <w:rsid w:val="00CF1FE0"/>
    <w:rsid w:val="00CF2000"/>
    <w:rsid w:val="00CF2039"/>
    <w:rsid w:val="00CF20A3"/>
    <w:rsid w:val="00CF219D"/>
    <w:rsid w:val="00CF221F"/>
    <w:rsid w:val="00CF2442"/>
    <w:rsid w:val="00CF24C0"/>
    <w:rsid w:val="00CF26A3"/>
    <w:rsid w:val="00CF2AD5"/>
    <w:rsid w:val="00CF2B0E"/>
    <w:rsid w:val="00CF2B78"/>
    <w:rsid w:val="00CF2C19"/>
    <w:rsid w:val="00CF2FCD"/>
    <w:rsid w:val="00CF2FD3"/>
    <w:rsid w:val="00CF3005"/>
    <w:rsid w:val="00CF3068"/>
    <w:rsid w:val="00CF30BD"/>
    <w:rsid w:val="00CF3134"/>
    <w:rsid w:val="00CF3279"/>
    <w:rsid w:val="00CF330D"/>
    <w:rsid w:val="00CF3363"/>
    <w:rsid w:val="00CF358A"/>
    <w:rsid w:val="00CF3A9A"/>
    <w:rsid w:val="00CF3B2D"/>
    <w:rsid w:val="00CF4369"/>
    <w:rsid w:val="00CF43A0"/>
    <w:rsid w:val="00CF43A9"/>
    <w:rsid w:val="00CF43BC"/>
    <w:rsid w:val="00CF444D"/>
    <w:rsid w:val="00CF4464"/>
    <w:rsid w:val="00CF4510"/>
    <w:rsid w:val="00CF468D"/>
    <w:rsid w:val="00CF493A"/>
    <w:rsid w:val="00CF4AA9"/>
    <w:rsid w:val="00CF4AFE"/>
    <w:rsid w:val="00CF4CDF"/>
    <w:rsid w:val="00CF506A"/>
    <w:rsid w:val="00CF5150"/>
    <w:rsid w:val="00CF5210"/>
    <w:rsid w:val="00CF55A8"/>
    <w:rsid w:val="00CF5853"/>
    <w:rsid w:val="00CF5A00"/>
    <w:rsid w:val="00CF5A2B"/>
    <w:rsid w:val="00CF5C2C"/>
    <w:rsid w:val="00CF5C2F"/>
    <w:rsid w:val="00CF5D44"/>
    <w:rsid w:val="00CF5D7B"/>
    <w:rsid w:val="00CF5DE9"/>
    <w:rsid w:val="00CF5E55"/>
    <w:rsid w:val="00CF5EF8"/>
    <w:rsid w:val="00CF5F17"/>
    <w:rsid w:val="00CF606D"/>
    <w:rsid w:val="00CF62FD"/>
    <w:rsid w:val="00CF63B1"/>
    <w:rsid w:val="00CF6432"/>
    <w:rsid w:val="00CF6506"/>
    <w:rsid w:val="00CF661A"/>
    <w:rsid w:val="00CF6665"/>
    <w:rsid w:val="00CF66C5"/>
    <w:rsid w:val="00CF6821"/>
    <w:rsid w:val="00CF68A7"/>
    <w:rsid w:val="00CF6909"/>
    <w:rsid w:val="00CF6914"/>
    <w:rsid w:val="00CF6AD4"/>
    <w:rsid w:val="00CF6CEE"/>
    <w:rsid w:val="00CF6E85"/>
    <w:rsid w:val="00CF6EBC"/>
    <w:rsid w:val="00CF6F5F"/>
    <w:rsid w:val="00CF6F91"/>
    <w:rsid w:val="00CF706A"/>
    <w:rsid w:val="00CF735C"/>
    <w:rsid w:val="00CF791B"/>
    <w:rsid w:val="00CF793E"/>
    <w:rsid w:val="00CF79A2"/>
    <w:rsid w:val="00CF7C3E"/>
    <w:rsid w:val="00CF7D0E"/>
    <w:rsid w:val="00CF7E31"/>
    <w:rsid w:val="00CF7EAD"/>
    <w:rsid w:val="00CF7F29"/>
    <w:rsid w:val="00D003D0"/>
    <w:rsid w:val="00D004FA"/>
    <w:rsid w:val="00D007B9"/>
    <w:rsid w:val="00D00801"/>
    <w:rsid w:val="00D0081B"/>
    <w:rsid w:val="00D00D95"/>
    <w:rsid w:val="00D00EAE"/>
    <w:rsid w:val="00D00F7E"/>
    <w:rsid w:val="00D00F94"/>
    <w:rsid w:val="00D01210"/>
    <w:rsid w:val="00D01361"/>
    <w:rsid w:val="00D01710"/>
    <w:rsid w:val="00D01772"/>
    <w:rsid w:val="00D017CC"/>
    <w:rsid w:val="00D018DC"/>
    <w:rsid w:val="00D01B7E"/>
    <w:rsid w:val="00D01BE9"/>
    <w:rsid w:val="00D01C0E"/>
    <w:rsid w:val="00D01E69"/>
    <w:rsid w:val="00D01F41"/>
    <w:rsid w:val="00D02250"/>
    <w:rsid w:val="00D02608"/>
    <w:rsid w:val="00D0270C"/>
    <w:rsid w:val="00D02869"/>
    <w:rsid w:val="00D02995"/>
    <w:rsid w:val="00D02C1D"/>
    <w:rsid w:val="00D02CEA"/>
    <w:rsid w:val="00D02D12"/>
    <w:rsid w:val="00D030A8"/>
    <w:rsid w:val="00D030D3"/>
    <w:rsid w:val="00D030F4"/>
    <w:rsid w:val="00D0331C"/>
    <w:rsid w:val="00D033D1"/>
    <w:rsid w:val="00D038BF"/>
    <w:rsid w:val="00D03910"/>
    <w:rsid w:val="00D0391A"/>
    <w:rsid w:val="00D03A51"/>
    <w:rsid w:val="00D03BF5"/>
    <w:rsid w:val="00D03C2A"/>
    <w:rsid w:val="00D03C2B"/>
    <w:rsid w:val="00D03F0C"/>
    <w:rsid w:val="00D040F9"/>
    <w:rsid w:val="00D04185"/>
    <w:rsid w:val="00D0430F"/>
    <w:rsid w:val="00D0471B"/>
    <w:rsid w:val="00D047C0"/>
    <w:rsid w:val="00D04964"/>
    <w:rsid w:val="00D04B08"/>
    <w:rsid w:val="00D04B82"/>
    <w:rsid w:val="00D04BA5"/>
    <w:rsid w:val="00D04D02"/>
    <w:rsid w:val="00D04FD6"/>
    <w:rsid w:val="00D054A5"/>
    <w:rsid w:val="00D0550F"/>
    <w:rsid w:val="00D05527"/>
    <w:rsid w:val="00D05574"/>
    <w:rsid w:val="00D059F3"/>
    <w:rsid w:val="00D05AAC"/>
    <w:rsid w:val="00D05DCD"/>
    <w:rsid w:val="00D05EB5"/>
    <w:rsid w:val="00D06160"/>
    <w:rsid w:val="00D06182"/>
    <w:rsid w:val="00D062B5"/>
    <w:rsid w:val="00D062F6"/>
    <w:rsid w:val="00D068AC"/>
    <w:rsid w:val="00D0691D"/>
    <w:rsid w:val="00D06931"/>
    <w:rsid w:val="00D069A2"/>
    <w:rsid w:val="00D06AEF"/>
    <w:rsid w:val="00D06B64"/>
    <w:rsid w:val="00D06C67"/>
    <w:rsid w:val="00D06D03"/>
    <w:rsid w:val="00D06F41"/>
    <w:rsid w:val="00D06FD0"/>
    <w:rsid w:val="00D071A7"/>
    <w:rsid w:val="00D07612"/>
    <w:rsid w:val="00D078AC"/>
    <w:rsid w:val="00D078B6"/>
    <w:rsid w:val="00D079A9"/>
    <w:rsid w:val="00D07CE0"/>
    <w:rsid w:val="00D07D90"/>
    <w:rsid w:val="00D07DA5"/>
    <w:rsid w:val="00D07F6F"/>
    <w:rsid w:val="00D10016"/>
    <w:rsid w:val="00D100F5"/>
    <w:rsid w:val="00D10168"/>
    <w:rsid w:val="00D10291"/>
    <w:rsid w:val="00D10471"/>
    <w:rsid w:val="00D104F7"/>
    <w:rsid w:val="00D105C3"/>
    <w:rsid w:val="00D1069E"/>
    <w:rsid w:val="00D10869"/>
    <w:rsid w:val="00D1094F"/>
    <w:rsid w:val="00D113B1"/>
    <w:rsid w:val="00D113E0"/>
    <w:rsid w:val="00D115E6"/>
    <w:rsid w:val="00D1184B"/>
    <w:rsid w:val="00D11900"/>
    <w:rsid w:val="00D11C26"/>
    <w:rsid w:val="00D11CEA"/>
    <w:rsid w:val="00D11D10"/>
    <w:rsid w:val="00D11E16"/>
    <w:rsid w:val="00D11FC5"/>
    <w:rsid w:val="00D12031"/>
    <w:rsid w:val="00D1208C"/>
    <w:rsid w:val="00D12097"/>
    <w:rsid w:val="00D12237"/>
    <w:rsid w:val="00D1235D"/>
    <w:rsid w:val="00D123EE"/>
    <w:rsid w:val="00D12493"/>
    <w:rsid w:val="00D124F4"/>
    <w:rsid w:val="00D12606"/>
    <w:rsid w:val="00D12647"/>
    <w:rsid w:val="00D1274C"/>
    <w:rsid w:val="00D12820"/>
    <w:rsid w:val="00D1292B"/>
    <w:rsid w:val="00D12FF1"/>
    <w:rsid w:val="00D13014"/>
    <w:rsid w:val="00D13564"/>
    <w:rsid w:val="00D1359F"/>
    <w:rsid w:val="00D13629"/>
    <w:rsid w:val="00D137E5"/>
    <w:rsid w:val="00D139BF"/>
    <w:rsid w:val="00D13BC4"/>
    <w:rsid w:val="00D13D91"/>
    <w:rsid w:val="00D1408D"/>
    <w:rsid w:val="00D1426E"/>
    <w:rsid w:val="00D1429E"/>
    <w:rsid w:val="00D142F2"/>
    <w:rsid w:val="00D1460D"/>
    <w:rsid w:val="00D1470E"/>
    <w:rsid w:val="00D14A2C"/>
    <w:rsid w:val="00D14A80"/>
    <w:rsid w:val="00D14C58"/>
    <w:rsid w:val="00D14C95"/>
    <w:rsid w:val="00D14DFF"/>
    <w:rsid w:val="00D14E51"/>
    <w:rsid w:val="00D1503B"/>
    <w:rsid w:val="00D15161"/>
    <w:rsid w:val="00D153D2"/>
    <w:rsid w:val="00D15422"/>
    <w:rsid w:val="00D157B7"/>
    <w:rsid w:val="00D15834"/>
    <w:rsid w:val="00D1595F"/>
    <w:rsid w:val="00D15999"/>
    <w:rsid w:val="00D159F2"/>
    <w:rsid w:val="00D15A24"/>
    <w:rsid w:val="00D15A6C"/>
    <w:rsid w:val="00D15D05"/>
    <w:rsid w:val="00D15D63"/>
    <w:rsid w:val="00D15F9F"/>
    <w:rsid w:val="00D16452"/>
    <w:rsid w:val="00D16535"/>
    <w:rsid w:val="00D166C8"/>
    <w:rsid w:val="00D1689A"/>
    <w:rsid w:val="00D168F5"/>
    <w:rsid w:val="00D1696D"/>
    <w:rsid w:val="00D16974"/>
    <w:rsid w:val="00D16B16"/>
    <w:rsid w:val="00D16B62"/>
    <w:rsid w:val="00D16D50"/>
    <w:rsid w:val="00D16E91"/>
    <w:rsid w:val="00D16F2F"/>
    <w:rsid w:val="00D17217"/>
    <w:rsid w:val="00D17342"/>
    <w:rsid w:val="00D17510"/>
    <w:rsid w:val="00D17551"/>
    <w:rsid w:val="00D1768A"/>
    <w:rsid w:val="00D17B0A"/>
    <w:rsid w:val="00D17C0B"/>
    <w:rsid w:val="00D17C16"/>
    <w:rsid w:val="00D17C2E"/>
    <w:rsid w:val="00D17D31"/>
    <w:rsid w:val="00D17D9A"/>
    <w:rsid w:val="00D20033"/>
    <w:rsid w:val="00D20128"/>
    <w:rsid w:val="00D201CB"/>
    <w:rsid w:val="00D202CB"/>
    <w:rsid w:val="00D203EA"/>
    <w:rsid w:val="00D203ED"/>
    <w:rsid w:val="00D2040E"/>
    <w:rsid w:val="00D205C1"/>
    <w:rsid w:val="00D20645"/>
    <w:rsid w:val="00D20661"/>
    <w:rsid w:val="00D20809"/>
    <w:rsid w:val="00D20B0C"/>
    <w:rsid w:val="00D20DE0"/>
    <w:rsid w:val="00D20E11"/>
    <w:rsid w:val="00D20EB4"/>
    <w:rsid w:val="00D2108F"/>
    <w:rsid w:val="00D21179"/>
    <w:rsid w:val="00D211E4"/>
    <w:rsid w:val="00D215D3"/>
    <w:rsid w:val="00D2162F"/>
    <w:rsid w:val="00D217C0"/>
    <w:rsid w:val="00D218A0"/>
    <w:rsid w:val="00D21D5C"/>
    <w:rsid w:val="00D21D7A"/>
    <w:rsid w:val="00D21D7E"/>
    <w:rsid w:val="00D21DF9"/>
    <w:rsid w:val="00D21F1A"/>
    <w:rsid w:val="00D2207E"/>
    <w:rsid w:val="00D2211F"/>
    <w:rsid w:val="00D22145"/>
    <w:rsid w:val="00D221DB"/>
    <w:rsid w:val="00D22378"/>
    <w:rsid w:val="00D223E9"/>
    <w:rsid w:val="00D2256F"/>
    <w:rsid w:val="00D226A0"/>
    <w:rsid w:val="00D227B6"/>
    <w:rsid w:val="00D227DC"/>
    <w:rsid w:val="00D22972"/>
    <w:rsid w:val="00D229ED"/>
    <w:rsid w:val="00D22A6A"/>
    <w:rsid w:val="00D22B1E"/>
    <w:rsid w:val="00D22B59"/>
    <w:rsid w:val="00D22C5D"/>
    <w:rsid w:val="00D22E45"/>
    <w:rsid w:val="00D22EFF"/>
    <w:rsid w:val="00D2300F"/>
    <w:rsid w:val="00D23039"/>
    <w:rsid w:val="00D231D5"/>
    <w:rsid w:val="00D23317"/>
    <w:rsid w:val="00D2355A"/>
    <w:rsid w:val="00D235E3"/>
    <w:rsid w:val="00D23B41"/>
    <w:rsid w:val="00D23D28"/>
    <w:rsid w:val="00D23E1F"/>
    <w:rsid w:val="00D23E26"/>
    <w:rsid w:val="00D2417A"/>
    <w:rsid w:val="00D24350"/>
    <w:rsid w:val="00D24434"/>
    <w:rsid w:val="00D24474"/>
    <w:rsid w:val="00D244F7"/>
    <w:rsid w:val="00D2455B"/>
    <w:rsid w:val="00D246A2"/>
    <w:rsid w:val="00D246B1"/>
    <w:rsid w:val="00D246DB"/>
    <w:rsid w:val="00D249F4"/>
    <w:rsid w:val="00D24BBE"/>
    <w:rsid w:val="00D24D43"/>
    <w:rsid w:val="00D25035"/>
    <w:rsid w:val="00D252A2"/>
    <w:rsid w:val="00D252CB"/>
    <w:rsid w:val="00D253CD"/>
    <w:rsid w:val="00D253F6"/>
    <w:rsid w:val="00D254E7"/>
    <w:rsid w:val="00D255BC"/>
    <w:rsid w:val="00D25A6F"/>
    <w:rsid w:val="00D25BF0"/>
    <w:rsid w:val="00D25D65"/>
    <w:rsid w:val="00D25DE9"/>
    <w:rsid w:val="00D25E5B"/>
    <w:rsid w:val="00D25F5D"/>
    <w:rsid w:val="00D26059"/>
    <w:rsid w:val="00D2626A"/>
    <w:rsid w:val="00D264AF"/>
    <w:rsid w:val="00D266EF"/>
    <w:rsid w:val="00D26C13"/>
    <w:rsid w:val="00D26F80"/>
    <w:rsid w:val="00D2708D"/>
    <w:rsid w:val="00D27566"/>
    <w:rsid w:val="00D27692"/>
    <w:rsid w:val="00D27D15"/>
    <w:rsid w:val="00D3003B"/>
    <w:rsid w:val="00D3007F"/>
    <w:rsid w:val="00D300FA"/>
    <w:rsid w:val="00D305B3"/>
    <w:rsid w:val="00D3063E"/>
    <w:rsid w:val="00D3079B"/>
    <w:rsid w:val="00D30842"/>
    <w:rsid w:val="00D308E0"/>
    <w:rsid w:val="00D30938"/>
    <w:rsid w:val="00D30964"/>
    <w:rsid w:val="00D30A11"/>
    <w:rsid w:val="00D30A99"/>
    <w:rsid w:val="00D30AD8"/>
    <w:rsid w:val="00D30C28"/>
    <w:rsid w:val="00D30D3D"/>
    <w:rsid w:val="00D310B6"/>
    <w:rsid w:val="00D3122D"/>
    <w:rsid w:val="00D312BD"/>
    <w:rsid w:val="00D31305"/>
    <w:rsid w:val="00D3144A"/>
    <w:rsid w:val="00D31768"/>
    <w:rsid w:val="00D3181C"/>
    <w:rsid w:val="00D31BEA"/>
    <w:rsid w:val="00D31BF1"/>
    <w:rsid w:val="00D31C9B"/>
    <w:rsid w:val="00D32139"/>
    <w:rsid w:val="00D32374"/>
    <w:rsid w:val="00D32645"/>
    <w:rsid w:val="00D32C66"/>
    <w:rsid w:val="00D32D52"/>
    <w:rsid w:val="00D32E6A"/>
    <w:rsid w:val="00D32F0F"/>
    <w:rsid w:val="00D32FC7"/>
    <w:rsid w:val="00D3322A"/>
    <w:rsid w:val="00D33498"/>
    <w:rsid w:val="00D33578"/>
    <w:rsid w:val="00D336AD"/>
    <w:rsid w:val="00D337F1"/>
    <w:rsid w:val="00D339B1"/>
    <w:rsid w:val="00D339CD"/>
    <w:rsid w:val="00D33D7B"/>
    <w:rsid w:val="00D33DB2"/>
    <w:rsid w:val="00D34044"/>
    <w:rsid w:val="00D34134"/>
    <w:rsid w:val="00D341AB"/>
    <w:rsid w:val="00D343B1"/>
    <w:rsid w:val="00D348C6"/>
    <w:rsid w:val="00D348E8"/>
    <w:rsid w:val="00D34B4E"/>
    <w:rsid w:val="00D34C81"/>
    <w:rsid w:val="00D35168"/>
    <w:rsid w:val="00D3525B"/>
    <w:rsid w:val="00D3538C"/>
    <w:rsid w:val="00D3559C"/>
    <w:rsid w:val="00D355A0"/>
    <w:rsid w:val="00D3588F"/>
    <w:rsid w:val="00D358DC"/>
    <w:rsid w:val="00D359ED"/>
    <w:rsid w:val="00D359EF"/>
    <w:rsid w:val="00D35A1F"/>
    <w:rsid w:val="00D35AC2"/>
    <w:rsid w:val="00D35E90"/>
    <w:rsid w:val="00D361D2"/>
    <w:rsid w:val="00D36266"/>
    <w:rsid w:val="00D366F1"/>
    <w:rsid w:val="00D36745"/>
    <w:rsid w:val="00D36770"/>
    <w:rsid w:val="00D36869"/>
    <w:rsid w:val="00D368FA"/>
    <w:rsid w:val="00D369A3"/>
    <w:rsid w:val="00D36ADA"/>
    <w:rsid w:val="00D37272"/>
    <w:rsid w:val="00D37629"/>
    <w:rsid w:val="00D377A2"/>
    <w:rsid w:val="00D378D2"/>
    <w:rsid w:val="00D378DD"/>
    <w:rsid w:val="00D3791F"/>
    <w:rsid w:val="00D37996"/>
    <w:rsid w:val="00D37B45"/>
    <w:rsid w:val="00D37B6B"/>
    <w:rsid w:val="00D37B79"/>
    <w:rsid w:val="00D37CDC"/>
    <w:rsid w:val="00D37DFC"/>
    <w:rsid w:val="00D37EFC"/>
    <w:rsid w:val="00D37FD9"/>
    <w:rsid w:val="00D37FE9"/>
    <w:rsid w:val="00D400E7"/>
    <w:rsid w:val="00D40199"/>
    <w:rsid w:val="00D4039F"/>
    <w:rsid w:val="00D40582"/>
    <w:rsid w:val="00D40680"/>
    <w:rsid w:val="00D4083F"/>
    <w:rsid w:val="00D40A58"/>
    <w:rsid w:val="00D40A91"/>
    <w:rsid w:val="00D40B1D"/>
    <w:rsid w:val="00D40C76"/>
    <w:rsid w:val="00D40C8F"/>
    <w:rsid w:val="00D40D5E"/>
    <w:rsid w:val="00D40D64"/>
    <w:rsid w:val="00D41223"/>
    <w:rsid w:val="00D412D5"/>
    <w:rsid w:val="00D41644"/>
    <w:rsid w:val="00D41662"/>
    <w:rsid w:val="00D41706"/>
    <w:rsid w:val="00D4174D"/>
    <w:rsid w:val="00D41A8D"/>
    <w:rsid w:val="00D41A95"/>
    <w:rsid w:val="00D41BE5"/>
    <w:rsid w:val="00D41C54"/>
    <w:rsid w:val="00D41C59"/>
    <w:rsid w:val="00D41D5F"/>
    <w:rsid w:val="00D41E07"/>
    <w:rsid w:val="00D41E57"/>
    <w:rsid w:val="00D41F81"/>
    <w:rsid w:val="00D4227E"/>
    <w:rsid w:val="00D4231E"/>
    <w:rsid w:val="00D423C2"/>
    <w:rsid w:val="00D42465"/>
    <w:rsid w:val="00D42535"/>
    <w:rsid w:val="00D4255B"/>
    <w:rsid w:val="00D427AD"/>
    <w:rsid w:val="00D42846"/>
    <w:rsid w:val="00D428DF"/>
    <w:rsid w:val="00D42C60"/>
    <w:rsid w:val="00D42D81"/>
    <w:rsid w:val="00D42E0A"/>
    <w:rsid w:val="00D42EFA"/>
    <w:rsid w:val="00D434E6"/>
    <w:rsid w:val="00D435E8"/>
    <w:rsid w:val="00D4376C"/>
    <w:rsid w:val="00D43888"/>
    <w:rsid w:val="00D43D49"/>
    <w:rsid w:val="00D43E8A"/>
    <w:rsid w:val="00D44054"/>
    <w:rsid w:val="00D44063"/>
    <w:rsid w:val="00D440FD"/>
    <w:rsid w:val="00D442B3"/>
    <w:rsid w:val="00D4457F"/>
    <w:rsid w:val="00D44690"/>
    <w:rsid w:val="00D4488B"/>
    <w:rsid w:val="00D4495A"/>
    <w:rsid w:val="00D4495D"/>
    <w:rsid w:val="00D4498C"/>
    <w:rsid w:val="00D4499E"/>
    <w:rsid w:val="00D44A42"/>
    <w:rsid w:val="00D44A61"/>
    <w:rsid w:val="00D44B20"/>
    <w:rsid w:val="00D44B46"/>
    <w:rsid w:val="00D44B70"/>
    <w:rsid w:val="00D45081"/>
    <w:rsid w:val="00D450CF"/>
    <w:rsid w:val="00D4524F"/>
    <w:rsid w:val="00D45267"/>
    <w:rsid w:val="00D45285"/>
    <w:rsid w:val="00D45310"/>
    <w:rsid w:val="00D45361"/>
    <w:rsid w:val="00D455A3"/>
    <w:rsid w:val="00D45ADD"/>
    <w:rsid w:val="00D45C42"/>
    <w:rsid w:val="00D45C7A"/>
    <w:rsid w:val="00D45D07"/>
    <w:rsid w:val="00D45D27"/>
    <w:rsid w:val="00D460CC"/>
    <w:rsid w:val="00D46173"/>
    <w:rsid w:val="00D462CF"/>
    <w:rsid w:val="00D463C4"/>
    <w:rsid w:val="00D467B7"/>
    <w:rsid w:val="00D46ADC"/>
    <w:rsid w:val="00D46AE1"/>
    <w:rsid w:val="00D46DD8"/>
    <w:rsid w:val="00D46E49"/>
    <w:rsid w:val="00D471DD"/>
    <w:rsid w:val="00D4720A"/>
    <w:rsid w:val="00D473A8"/>
    <w:rsid w:val="00D47554"/>
    <w:rsid w:val="00D47579"/>
    <w:rsid w:val="00D475AF"/>
    <w:rsid w:val="00D4766D"/>
    <w:rsid w:val="00D477D4"/>
    <w:rsid w:val="00D47974"/>
    <w:rsid w:val="00D47A12"/>
    <w:rsid w:val="00D47D20"/>
    <w:rsid w:val="00D47E27"/>
    <w:rsid w:val="00D47E86"/>
    <w:rsid w:val="00D500B0"/>
    <w:rsid w:val="00D50183"/>
    <w:rsid w:val="00D50224"/>
    <w:rsid w:val="00D50381"/>
    <w:rsid w:val="00D50392"/>
    <w:rsid w:val="00D5061B"/>
    <w:rsid w:val="00D50699"/>
    <w:rsid w:val="00D506E4"/>
    <w:rsid w:val="00D50A3E"/>
    <w:rsid w:val="00D50BE4"/>
    <w:rsid w:val="00D50C1E"/>
    <w:rsid w:val="00D50DCF"/>
    <w:rsid w:val="00D50E7E"/>
    <w:rsid w:val="00D51142"/>
    <w:rsid w:val="00D516CC"/>
    <w:rsid w:val="00D51755"/>
    <w:rsid w:val="00D51853"/>
    <w:rsid w:val="00D519C0"/>
    <w:rsid w:val="00D51A9F"/>
    <w:rsid w:val="00D51BF3"/>
    <w:rsid w:val="00D51CA4"/>
    <w:rsid w:val="00D51E80"/>
    <w:rsid w:val="00D520E2"/>
    <w:rsid w:val="00D52137"/>
    <w:rsid w:val="00D522BC"/>
    <w:rsid w:val="00D5230F"/>
    <w:rsid w:val="00D5249F"/>
    <w:rsid w:val="00D524C1"/>
    <w:rsid w:val="00D525A2"/>
    <w:rsid w:val="00D526F7"/>
    <w:rsid w:val="00D5277B"/>
    <w:rsid w:val="00D52831"/>
    <w:rsid w:val="00D52873"/>
    <w:rsid w:val="00D528AF"/>
    <w:rsid w:val="00D529D4"/>
    <w:rsid w:val="00D529F9"/>
    <w:rsid w:val="00D52A95"/>
    <w:rsid w:val="00D52CD4"/>
    <w:rsid w:val="00D52E20"/>
    <w:rsid w:val="00D52E49"/>
    <w:rsid w:val="00D5300C"/>
    <w:rsid w:val="00D5305A"/>
    <w:rsid w:val="00D531ED"/>
    <w:rsid w:val="00D53216"/>
    <w:rsid w:val="00D537E9"/>
    <w:rsid w:val="00D53B00"/>
    <w:rsid w:val="00D53E65"/>
    <w:rsid w:val="00D53F9F"/>
    <w:rsid w:val="00D54139"/>
    <w:rsid w:val="00D541E3"/>
    <w:rsid w:val="00D54399"/>
    <w:rsid w:val="00D543E2"/>
    <w:rsid w:val="00D54476"/>
    <w:rsid w:val="00D54586"/>
    <w:rsid w:val="00D5458C"/>
    <w:rsid w:val="00D5478D"/>
    <w:rsid w:val="00D54907"/>
    <w:rsid w:val="00D54F79"/>
    <w:rsid w:val="00D552A9"/>
    <w:rsid w:val="00D55359"/>
    <w:rsid w:val="00D553FA"/>
    <w:rsid w:val="00D55447"/>
    <w:rsid w:val="00D55517"/>
    <w:rsid w:val="00D555B9"/>
    <w:rsid w:val="00D5565B"/>
    <w:rsid w:val="00D558C3"/>
    <w:rsid w:val="00D55A4D"/>
    <w:rsid w:val="00D55CB6"/>
    <w:rsid w:val="00D56062"/>
    <w:rsid w:val="00D56168"/>
    <w:rsid w:val="00D56181"/>
    <w:rsid w:val="00D5635B"/>
    <w:rsid w:val="00D56525"/>
    <w:rsid w:val="00D565EB"/>
    <w:rsid w:val="00D566B5"/>
    <w:rsid w:val="00D568B7"/>
    <w:rsid w:val="00D569F4"/>
    <w:rsid w:val="00D56AA4"/>
    <w:rsid w:val="00D56CA2"/>
    <w:rsid w:val="00D56CB0"/>
    <w:rsid w:val="00D56CC4"/>
    <w:rsid w:val="00D56CEF"/>
    <w:rsid w:val="00D56D0A"/>
    <w:rsid w:val="00D56E4D"/>
    <w:rsid w:val="00D56F0E"/>
    <w:rsid w:val="00D56FF3"/>
    <w:rsid w:val="00D5704C"/>
    <w:rsid w:val="00D57199"/>
    <w:rsid w:val="00D573C4"/>
    <w:rsid w:val="00D57A2B"/>
    <w:rsid w:val="00D57BA8"/>
    <w:rsid w:val="00D57C9F"/>
    <w:rsid w:val="00D57FFC"/>
    <w:rsid w:val="00D60000"/>
    <w:rsid w:val="00D60076"/>
    <w:rsid w:val="00D60745"/>
    <w:rsid w:val="00D6096B"/>
    <w:rsid w:val="00D60A9B"/>
    <w:rsid w:val="00D60C4E"/>
    <w:rsid w:val="00D61090"/>
    <w:rsid w:val="00D6116D"/>
    <w:rsid w:val="00D61350"/>
    <w:rsid w:val="00D61463"/>
    <w:rsid w:val="00D61593"/>
    <w:rsid w:val="00D615A8"/>
    <w:rsid w:val="00D615A9"/>
    <w:rsid w:val="00D61774"/>
    <w:rsid w:val="00D617F4"/>
    <w:rsid w:val="00D6187F"/>
    <w:rsid w:val="00D618E8"/>
    <w:rsid w:val="00D61B09"/>
    <w:rsid w:val="00D61B38"/>
    <w:rsid w:val="00D61B8C"/>
    <w:rsid w:val="00D61BA4"/>
    <w:rsid w:val="00D61BAA"/>
    <w:rsid w:val="00D61CFB"/>
    <w:rsid w:val="00D61F2D"/>
    <w:rsid w:val="00D61FBA"/>
    <w:rsid w:val="00D621F0"/>
    <w:rsid w:val="00D6221F"/>
    <w:rsid w:val="00D62316"/>
    <w:rsid w:val="00D62340"/>
    <w:rsid w:val="00D62412"/>
    <w:rsid w:val="00D62733"/>
    <w:rsid w:val="00D62854"/>
    <w:rsid w:val="00D629E9"/>
    <w:rsid w:val="00D62C16"/>
    <w:rsid w:val="00D62DB6"/>
    <w:rsid w:val="00D62E80"/>
    <w:rsid w:val="00D62F9F"/>
    <w:rsid w:val="00D63064"/>
    <w:rsid w:val="00D631B6"/>
    <w:rsid w:val="00D63225"/>
    <w:rsid w:val="00D63699"/>
    <w:rsid w:val="00D636A4"/>
    <w:rsid w:val="00D637F8"/>
    <w:rsid w:val="00D63939"/>
    <w:rsid w:val="00D63DE7"/>
    <w:rsid w:val="00D6402C"/>
    <w:rsid w:val="00D640EC"/>
    <w:rsid w:val="00D640F4"/>
    <w:rsid w:val="00D642E7"/>
    <w:rsid w:val="00D6430D"/>
    <w:rsid w:val="00D64416"/>
    <w:rsid w:val="00D6451F"/>
    <w:rsid w:val="00D646F0"/>
    <w:rsid w:val="00D6470F"/>
    <w:rsid w:val="00D647F4"/>
    <w:rsid w:val="00D64911"/>
    <w:rsid w:val="00D64929"/>
    <w:rsid w:val="00D6496F"/>
    <w:rsid w:val="00D64A48"/>
    <w:rsid w:val="00D64BC7"/>
    <w:rsid w:val="00D64C8E"/>
    <w:rsid w:val="00D64FA5"/>
    <w:rsid w:val="00D65289"/>
    <w:rsid w:val="00D65483"/>
    <w:rsid w:val="00D6579A"/>
    <w:rsid w:val="00D658F9"/>
    <w:rsid w:val="00D65B4D"/>
    <w:rsid w:val="00D65B7A"/>
    <w:rsid w:val="00D65F98"/>
    <w:rsid w:val="00D6620D"/>
    <w:rsid w:val="00D662E2"/>
    <w:rsid w:val="00D663AF"/>
    <w:rsid w:val="00D6662A"/>
    <w:rsid w:val="00D6664F"/>
    <w:rsid w:val="00D6695A"/>
    <w:rsid w:val="00D669CD"/>
    <w:rsid w:val="00D66C54"/>
    <w:rsid w:val="00D66CC9"/>
    <w:rsid w:val="00D67210"/>
    <w:rsid w:val="00D672D8"/>
    <w:rsid w:val="00D673EA"/>
    <w:rsid w:val="00D67A8D"/>
    <w:rsid w:val="00D67AC8"/>
    <w:rsid w:val="00D67B45"/>
    <w:rsid w:val="00D67C6A"/>
    <w:rsid w:val="00D67CCD"/>
    <w:rsid w:val="00D67EB9"/>
    <w:rsid w:val="00D67EF3"/>
    <w:rsid w:val="00D67F50"/>
    <w:rsid w:val="00D70178"/>
    <w:rsid w:val="00D701E3"/>
    <w:rsid w:val="00D704B9"/>
    <w:rsid w:val="00D70569"/>
    <w:rsid w:val="00D705BB"/>
    <w:rsid w:val="00D708EA"/>
    <w:rsid w:val="00D70D2B"/>
    <w:rsid w:val="00D70D36"/>
    <w:rsid w:val="00D70DC0"/>
    <w:rsid w:val="00D70E43"/>
    <w:rsid w:val="00D7117B"/>
    <w:rsid w:val="00D711AB"/>
    <w:rsid w:val="00D7155E"/>
    <w:rsid w:val="00D7162F"/>
    <w:rsid w:val="00D71724"/>
    <w:rsid w:val="00D71964"/>
    <w:rsid w:val="00D719F1"/>
    <w:rsid w:val="00D71A68"/>
    <w:rsid w:val="00D71B30"/>
    <w:rsid w:val="00D71BBF"/>
    <w:rsid w:val="00D71C35"/>
    <w:rsid w:val="00D71CC1"/>
    <w:rsid w:val="00D71F89"/>
    <w:rsid w:val="00D722EA"/>
    <w:rsid w:val="00D7244B"/>
    <w:rsid w:val="00D7287B"/>
    <w:rsid w:val="00D728E1"/>
    <w:rsid w:val="00D72BEA"/>
    <w:rsid w:val="00D72C4C"/>
    <w:rsid w:val="00D72D31"/>
    <w:rsid w:val="00D732E1"/>
    <w:rsid w:val="00D73403"/>
    <w:rsid w:val="00D73405"/>
    <w:rsid w:val="00D73621"/>
    <w:rsid w:val="00D738E2"/>
    <w:rsid w:val="00D73A0E"/>
    <w:rsid w:val="00D73B11"/>
    <w:rsid w:val="00D73D55"/>
    <w:rsid w:val="00D74034"/>
    <w:rsid w:val="00D74218"/>
    <w:rsid w:val="00D748AA"/>
    <w:rsid w:val="00D74DC1"/>
    <w:rsid w:val="00D74ED2"/>
    <w:rsid w:val="00D74F0B"/>
    <w:rsid w:val="00D75075"/>
    <w:rsid w:val="00D7511F"/>
    <w:rsid w:val="00D75221"/>
    <w:rsid w:val="00D75762"/>
    <w:rsid w:val="00D75883"/>
    <w:rsid w:val="00D75926"/>
    <w:rsid w:val="00D75AE5"/>
    <w:rsid w:val="00D75BC6"/>
    <w:rsid w:val="00D75CAE"/>
    <w:rsid w:val="00D75D77"/>
    <w:rsid w:val="00D75EF2"/>
    <w:rsid w:val="00D75F81"/>
    <w:rsid w:val="00D75F90"/>
    <w:rsid w:val="00D76199"/>
    <w:rsid w:val="00D761D5"/>
    <w:rsid w:val="00D76322"/>
    <w:rsid w:val="00D76647"/>
    <w:rsid w:val="00D766E6"/>
    <w:rsid w:val="00D76A71"/>
    <w:rsid w:val="00D76B0C"/>
    <w:rsid w:val="00D76D3F"/>
    <w:rsid w:val="00D76E66"/>
    <w:rsid w:val="00D7713B"/>
    <w:rsid w:val="00D7728B"/>
    <w:rsid w:val="00D772BA"/>
    <w:rsid w:val="00D77315"/>
    <w:rsid w:val="00D77640"/>
    <w:rsid w:val="00D77911"/>
    <w:rsid w:val="00D77922"/>
    <w:rsid w:val="00D77970"/>
    <w:rsid w:val="00D77EA9"/>
    <w:rsid w:val="00D800B4"/>
    <w:rsid w:val="00D80253"/>
    <w:rsid w:val="00D8052D"/>
    <w:rsid w:val="00D8064D"/>
    <w:rsid w:val="00D80729"/>
    <w:rsid w:val="00D80811"/>
    <w:rsid w:val="00D8081F"/>
    <w:rsid w:val="00D808CC"/>
    <w:rsid w:val="00D80A1B"/>
    <w:rsid w:val="00D80C0C"/>
    <w:rsid w:val="00D80D8C"/>
    <w:rsid w:val="00D810E3"/>
    <w:rsid w:val="00D812AE"/>
    <w:rsid w:val="00D81407"/>
    <w:rsid w:val="00D8157C"/>
    <w:rsid w:val="00D817A8"/>
    <w:rsid w:val="00D81953"/>
    <w:rsid w:val="00D81A24"/>
    <w:rsid w:val="00D81A81"/>
    <w:rsid w:val="00D81AF9"/>
    <w:rsid w:val="00D81B8A"/>
    <w:rsid w:val="00D81C1D"/>
    <w:rsid w:val="00D81F0E"/>
    <w:rsid w:val="00D81F41"/>
    <w:rsid w:val="00D81FA7"/>
    <w:rsid w:val="00D8212F"/>
    <w:rsid w:val="00D821FB"/>
    <w:rsid w:val="00D82220"/>
    <w:rsid w:val="00D8223D"/>
    <w:rsid w:val="00D822B3"/>
    <w:rsid w:val="00D825A8"/>
    <w:rsid w:val="00D825A9"/>
    <w:rsid w:val="00D82676"/>
    <w:rsid w:val="00D828DB"/>
    <w:rsid w:val="00D829E5"/>
    <w:rsid w:val="00D82E0E"/>
    <w:rsid w:val="00D82ED6"/>
    <w:rsid w:val="00D82EDA"/>
    <w:rsid w:val="00D82F52"/>
    <w:rsid w:val="00D8313E"/>
    <w:rsid w:val="00D83246"/>
    <w:rsid w:val="00D83372"/>
    <w:rsid w:val="00D83396"/>
    <w:rsid w:val="00D83502"/>
    <w:rsid w:val="00D83556"/>
    <w:rsid w:val="00D83581"/>
    <w:rsid w:val="00D837C7"/>
    <w:rsid w:val="00D839BF"/>
    <w:rsid w:val="00D83E66"/>
    <w:rsid w:val="00D8408D"/>
    <w:rsid w:val="00D842FF"/>
    <w:rsid w:val="00D8435C"/>
    <w:rsid w:val="00D848B2"/>
    <w:rsid w:val="00D84A61"/>
    <w:rsid w:val="00D84B5A"/>
    <w:rsid w:val="00D84E82"/>
    <w:rsid w:val="00D8502C"/>
    <w:rsid w:val="00D85059"/>
    <w:rsid w:val="00D850B4"/>
    <w:rsid w:val="00D851ED"/>
    <w:rsid w:val="00D85220"/>
    <w:rsid w:val="00D85510"/>
    <w:rsid w:val="00D85570"/>
    <w:rsid w:val="00D85611"/>
    <w:rsid w:val="00D85A04"/>
    <w:rsid w:val="00D85B69"/>
    <w:rsid w:val="00D85B9A"/>
    <w:rsid w:val="00D8620C"/>
    <w:rsid w:val="00D86268"/>
    <w:rsid w:val="00D86312"/>
    <w:rsid w:val="00D863CA"/>
    <w:rsid w:val="00D86476"/>
    <w:rsid w:val="00D864A6"/>
    <w:rsid w:val="00D864B5"/>
    <w:rsid w:val="00D8676E"/>
    <w:rsid w:val="00D8691E"/>
    <w:rsid w:val="00D86B60"/>
    <w:rsid w:val="00D86B96"/>
    <w:rsid w:val="00D86C90"/>
    <w:rsid w:val="00D86D16"/>
    <w:rsid w:val="00D86EE6"/>
    <w:rsid w:val="00D87071"/>
    <w:rsid w:val="00D870D4"/>
    <w:rsid w:val="00D871D1"/>
    <w:rsid w:val="00D8726B"/>
    <w:rsid w:val="00D87367"/>
    <w:rsid w:val="00D87379"/>
    <w:rsid w:val="00D873ED"/>
    <w:rsid w:val="00D875C4"/>
    <w:rsid w:val="00D875EA"/>
    <w:rsid w:val="00D87731"/>
    <w:rsid w:val="00D87786"/>
    <w:rsid w:val="00D877AB"/>
    <w:rsid w:val="00D87A3A"/>
    <w:rsid w:val="00D87B46"/>
    <w:rsid w:val="00D87BF4"/>
    <w:rsid w:val="00D87DA9"/>
    <w:rsid w:val="00D87FB4"/>
    <w:rsid w:val="00D902B7"/>
    <w:rsid w:val="00D903E3"/>
    <w:rsid w:val="00D90589"/>
    <w:rsid w:val="00D908B3"/>
    <w:rsid w:val="00D9091D"/>
    <w:rsid w:val="00D909F3"/>
    <w:rsid w:val="00D90A76"/>
    <w:rsid w:val="00D90AA5"/>
    <w:rsid w:val="00D90B25"/>
    <w:rsid w:val="00D90BEE"/>
    <w:rsid w:val="00D90CE3"/>
    <w:rsid w:val="00D90D48"/>
    <w:rsid w:val="00D90E20"/>
    <w:rsid w:val="00D912A9"/>
    <w:rsid w:val="00D9145A"/>
    <w:rsid w:val="00D91551"/>
    <w:rsid w:val="00D91640"/>
    <w:rsid w:val="00D9199F"/>
    <w:rsid w:val="00D91B47"/>
    <w:rsid w:val="00D91E2D"/>
    <w:rsid w:val="00D91E79"/>
    <w:rsid w:val="00D92150"/>
    <w:rsid w:val="00D922B0"/>
    <w:rsid w:val="00D92586"/>
    <w:rsid w:val="00D92831"/>
    <w:rsid w:val="00D928E2"/>
    <w:rsid w:val="00D9295C"/>
    <w:rsid w:val="00D9298B"/>
    <w:rsid w:val="00D929C4"/>
    <w:rsid w:val="00D929ED"/>
    <w:rsid w:val="00D92AAD"/>
    <w:rsid w:val="00D92B88"/>
    <w:rsid w:val="00D92CAF"/>
    <w:rsid w:val="00D92D8A"/>
    <w:rsid w:val="00D92F58"/>
    <w:rsid w:val="00D9303A"/>
    <w:rsid w:val="00D930D7"/>
    <w:rsid w:val="00D93211"/>
    <w:rsid w:val="00D933C2"/>
    <w:rsid w:val="00D93433"/>
    <w:rsid w:val="00D9358A"/>
    <w:rsid w:val="00D936E7"/>
    <w:rsid w:val="00D937BD"/>
    <w:rsid w:val="00D93866"/>
    <w:rsid w:val="00D93BD6"/>
    <w:rsid w:val="00D93BF6"/>
    <w:rsid w:val="00D93C23"/>
    <w:rsid w:val="00D93DF1"/>
    <w:rsid w:val="00D942DE"/>
    <w:rsid w:val="00D945EF"/>
    <w:rsid w:val="00D94662"/>
    <w:rsid w:val="00D94752"/>
    <w:rsid w:val="00D9479F"/>
    <w:rsid w:val="00D949EE"/>
    <w:rsid w:val="00D94CC7"/>
    <w:rsid w:val="00D94D63"/>
    <w:rsid w:val="00D94DEC"/>
    <w:rsid w:val="00D94FA4"/>
    <w:rsid w:val="00D95038"/>
    <w:rsid w:val="00D95059"/>
    <w:rsid w:val="00D950F3"/>
    <w:rsid w:val="00D95170"/>
    <w:rsid w:val="00D951EC"/>
    <w:rsid w:val="00D95254"/>
    <w:rsid w:val="00D95513"/>
    <w:rsid w:val="00D95750"/>
    <w:rsid w:val="00D9594F"/>
    <w:rsid w:val="00D95D4F"/>
    <w:rsid w:val="00D95D9B"/>
    <w:rsid w:val="00D95DF3"/>
    <w:rsid w:val="00D95EAD"/>
    <w:rsid w:val="00D96072"/>
    <w:rsid w:val="00D9618C"/>
    <w:rsid w:val="00D9627E"/>
    <w:rsid w:val="00D9656C"/>
    <w:rsid w:val="00D968A7"/>
    <w:rsid w:val="00D968CD"/>
    <w:rsid w:val="00D968F7"/>
    <w:rsid w:val="00D96A67"/>
    <w:rsid w:val="00D96CD5"/>
    <w:rsid w:val="00D96D26"/>
    <w:rsid w:val="00D96D31"/>
    <w:rsid w:val="00D96F98"/>
    <w:rsid w:val="00D9748D"/>
    <w:rsid w:val="00D9748E"/>
    <w:rsid w:val="00D97522"/>
    <w:rsid w:val="00D97544"/>
    <w:rsid w:val="00D97554"/>
    <w:rsid w:val="00D975A5"/>
    <w:rsid w:val="00D97666"/>
    <w:rsid w:val="00D97769"/>
    <w:rsid w:val="00D97A4B"/>
    <w:rsid w:val="00D97A56"/>
    <w:rsid w:val="00D97BD3"/>
    <w:rsid w:val="00D97D05"/>
    <w:rsid w:val="00D97DAE"/>
    <w:rsid w:val="00D97E90"/>
    <w:rsid w:val="00DA0045"/>
    <w:rsid w:val="00DA0128"/>
    <w:rsid w:val="00DA0200"/>
    <w:rsid w:val="00DA02CD"/>
    <w:rsid w:val="00DA0648"/>
    <w:rsid w:val="00DA09DB"/>
    <w:rsid w:val="00DA0A19"/>
    <w:rsid w:val="00DA0A1A"/>
    <w:rsid w:val="00DA0AE2"/>
    <w:rsid w:val="00DA0B3B"/>
    <w:rsid w:val="00DA0B77"/>
    <w:rsid w:val="00DA0C4E"/>
    <w:rsid w:val="00DA0D18"/>
    <w:rsid w:val="00DA0E33"/>
    <w:rsid w:val="00DA0E9F"/>
    <w:rsid w:val="00DA0EF1"/>
    <w:rsid w:val="00DA0EFE"/>
    <w:rsid w:val="00DA111C"/>
    <w:rsid w:val="00DA1606"/>
    <w:rsid w:val="00DA1765"/>
    <w:rsid w:val="00DA17EA"/>
    <w:rsid w:val="00DA18E0"/>
    <w:rsid w:val="00DA18F9"/>
    <w:rsid w:val="00DA1ABC"/>
    <w:rsid w:val="00DA1B62"/>
    <w:rsid w:val="00DA1BCA"/>
    <w:rsid w:val="00DA207D"/>
    <w:rsid w:val="00DA20A0"/>
    <w:rsid w:val="00DA241C"/>
    <w:rsid w:val="00DA246D"/>
    <w:rsid w:val="00DA253E"/>
    <w:rsid w:val="00DA2562"/>
    <w:rsid w:val="00DA25B5"/>
    <w:rsid w:val="00DA276B"/>
    <w:rsid w:val="00DA281F"/>
    <w:rsid w:val="00DA2A6E"/>
    <w:rsid w:val="00DA2DB3"/>
    <w:rsid w:val="00DA2FF2"/>
    <w:rsid w:val="00DA323B"/>
    <w:rsid w:val="00DA358C"/>
    <w:rsid w:val="00DA3A82"/>
    <w:rsid w:val="00DA3BC3"/>
    <w:rsid w:val="00DA3CB9"/>
    <w:rsid w:val="00DA4050"/>
    <w:rsid w:val="00DA41C0"/>
    <w:rsid w:val="00DA41C3"/>
    <w:rsid w:val="00DA42B9"/>
    <w:rsid w:val="00DA4407"/>
    <w:rsid w:val="00DA465C"/>
    <w:rsid w:val="00DA494B"/>
    <w:rsid w:val="00DA4A29"/>
    <w:rsid w:val="00DA4B1F"/>
    <w:rsid w:val="00DA4CC9"/>
    <w:rsid w:val="00DA4EBE"/>
    <w:rsid w:val="00DA5103"/>
    <w:rsid w:val="00DA51CD"/>
    <w:rsid w:val="00DA5345"/>
    <w:rsid w:val="00DA535E"/>
    <w:rsid w:val="00DA5528"/>
    <w:rsid w:val="00DA576B"/>
    <w:rsid w:val="00DA57FE"/>
    <w:rsid w:val="00DA58C8"/>
    <w:rsid w:val="00DA5A11"/>
    <w:rsid w:val="00DA5AAD"/>
    <w:rsid w:val="00DA5B50"/>
    <w:rsid w:val="00DA5D57"/>
    <w:rsid w:val="00DA5E27"/>
    <w:rsid w:val="00DA5E3F"/>
    <w:rsid w:val="00DA5ED2"/>
    <w:rsid w:val="00DA5ED8"/>
    <w:rsid w:val="00DA5EF2"/>
    <w:rsid w:val="00DA6057"/>
    <w:rsid w:val="00DA6423"/>
    <w:rsid w:val="00DA658D"/>
    <w:rsid w:val="00DA6889"/>
    <w:rsid w:val="00DA6B85"/>
    <w:rsid w:val="00DA6BE8"/>
    <w:rsid w:val="00DA6EEE"/>
    <w:rsid w:val="00DA7170"/>
    <w:rsid w:val="00DA730B"/>
    <w:rsid w:val="00DA757B"/>
    <w:rsid w:val="00DA76D3"/>
    <w:rsid w:val="00DA76DD"/>
    <w:rsid w:val="00DA7A27"/>
    <w:rsid w:val="00DA7A36"/>
    <w:rsid w:val="00DA7B4D"/>
    <w:rsid w:val="00DA7D56"/>
    <w:rsid w:val="00DA7E5E"/>
    <w:rsid w:val="00DA7EDC"/>
    <w:rsid w:val="00DB0059"/>
    <w:rsid w:val="00DB006F"/>
    <w:rsid w:val="00DB0115"/>
    <w:rsid w:val="00DB018C"/>
    <w:rsid w:val="00DB01A3"/>
    <w:rsid w:val="00DB0508"/>
    <w:rsid w:val="00DB05CD"/>
    <w:rsid w:val="00DB066D"/>
    <w:rsid w:val="00DB0823"/>
    <w:rsid w:val="00DB086F"/>
    <w:rsid w:val="00DB0948"/>
    <w:rsid w:val="00DB0B6A"/>
    <w:rsid w:val="00DB0D9E"/>
    <w:rsid w:val="00DB0FB4"/>
    <w:rsid w:val="00DB11C0"/>
    <w:rsid w:val="00DB11CC"/>
    <w:rsid w:val="00DB1397"/>
    <w:rsid w:val="00DB1435"/>
    <w:rsid w:val="00DB14E4"/>
    <w:rsid w:val="00DB1592"/>
    <w:rsid w:val="00DB15D2"/>
    <w:rsid w:val="00DB180B"/>
    <w:rsid w:val="00DB1A83"/>
    <w:rsid w:val="00DB1C29"/>
    <w:rsid w:val="00DB205F"/>
    <w:rsid w:val="00DB21E4"/>
    <w:rsid w:val="00DB24CD"/>
    <w:rsid w:val="00DB26C5"/>
    <w:rsid w:val="00DB2788"/>
    <w:rsid w:val="00DB27A1"/>
    <w:rsid w:val="00DB28A8"/>
    <w:rsid w:val="00DB2AA0"/>
    <w:rsid w:val="00DB2BCF"/>
    <w:rsid w:val="00DB2BD5"/>
    <w:rsid w:val="00DB303E"/>
    <w:rsid w:val="00DB3387"/>
    <w:rsid w:val="00DB3463"/>
    <w:rsid w:val="00DB3499"/>
    <w:rsid w:val="00DB35E9"/>
    <w:rsid w:val="00DB36E2"/>
    <w:rsid w:val="00DB3C04"/>
    <w:rsid w:val="00DB3DC6"/>
    <w:rsid w:val="00DB3E44"/>
    <w:rsid w:val="00DB3FF7"/>
    <w:rsid w:val="00DB4218"/>
    <w:rsid w:val="00DB4465"/>
    <w:rsid w:val="00DB446E"/>
    <w:rsid w:val="00DB458A"/>
    <w:rsid w:val="00DB46BB"/>
    <w:rsid w:val="00DB46C4"/>
    <w:rsid w:val="00DB4795"/>
    <w:rsid w:val="00DB47E9"/>
    <w:rsid w:val="00DB487A"/>
    <w:rsid w:val="00DB48C2"/>
    <w:rsid w:val="00DB4AF0"/>
    <w:rsid w:val="00DB4BE6"/>
    <w:rsid w:val="00DB4C8C"/>
    <w:rsid w:val="00DB4D31"/>
    <w:rsid w:val="00DB4DCD"/>
    <w:rsid w:val="00DB4FB8"/>
    <w:rsid w:val="00DB5217"/>
    <w:rsid w:val="00DB5481"/>
    <w:rsid w:val="00DB552E"/>
    <w:rsid w:val="00DB55A9"/>
    <w:rsid w:val="00DB55AD"/>
    <w:rsid w:val="00DB5789"/>
    <w:rsid w:val="00DB5B08"/>
    <w:rsid w:val="00DB5D7E"/>
    <w:rsid w:val="00DB5F5C"/>
    <w:rsid w:val="00DB5FC3"/>
    <w:rsid w:val="00DB601A"/>
    <w:rsid w:val="00DB6082"/>
    <w:rsid w:val="00DB6210"/>
    <w:rsid w:val="00DB6587"/>
    <w:rsid w:val="00DB65F5"/>
    <w:rsid w:val="00DB6686"/>
    <w:rsid w:val="00DB6747"/>
    <w:rsid w:val="00DB67F8"/>
    <w:rsid w:val="00DB6847"/>
    <w:rsid w:val="00DB6AAA"/>
    <w:rsid w:val="00DB6B4D"/>
    <w:rsid w:val="00DB6D44"/>
    <w:rsid w:val="00DB73C2"/>
    <w:rsid w:val="00DB7471"/>
    <w:rsid w:val="00DB7524"/>
    <w:rsid w:val="00DB761F"/>
    <w:rsid w:val="00DB7652"/>
    <w:rsid w:val="00DB773D"/>
    <w:rsid w:val="00DB79E9"/>
    <w:rsid w:val="00DB7A6E"/>
    <w:rsid w:val="00DB7AAB"/>
    <w:rsid w:val="00DB7E86"/>
    <w:rsid w:val="00DB7EAB"/>
    <w:rsid w:val="00DB7F27"/>
    <w:rsid w:val="00DC0047"/>
    <w:rsid w:val="00DC0161"/>
    <w:rsid w:val="00DC02FD"/>
    <w:rsid w:val="00DC03FF"/>
    <w:rsid w:val="00DC0485"/>
    <w:rsid w:val="00DC04A4"/>
    <w:rsid w:val="00DC05E8"/>
    <w:rsid w:val="00DC08A5"/>
    <w:rsid w:val="00DC099B"/>
    <w:rsid w:val="00DC0A4E"/>
    <w:rsid w:val="00DC0B7F"/>
    <w:rsid w:val="00DC0BD3"/>
    <w:rsid w:val="00DC0E55"/>
    <w:rsid w:val="00DC0EC4"/>
    <w:rsid w:val="00DC0EE2"/>
    <w:rsid w:val="00DC0FBA"/>
    <w:rsid w:val="00DC10C3"/>
    <w:rsid w:val="00DC1111"/>
    <w:rsid w:val="00DC1115"/>
    <w:rsid w:val="00DC11AF"/>
    <w:rsid w:val="00DC1399"/>
    <w:rsid w:val="00DC143B"/>
    <w:rsid w:val="00DC1696"/>
    <w:rsid w:val="00DC188E"/>
    <w:rsid w:val="00DC1A8F"/>
    <w:rsid w:val="00DC1AAE"/>
    <w:rsid w:val="00DC1AF0"/>
    <w:rsid w:val="00DC1C94"/>
    <w:rsid w:val="00DC1D58"/>
    <w:rsid w:val="00DC1E61"/>
    <w:rsid w:val="00DC23AB"/>
    <w:rsid w:val="00DC245E"/>
    <w:rsid w:val="00DC2535"/>
    <w:rsid w:val="00DC25AB"/>
    <w:rsid w:val="00DC2696"/>
    <w:rsid w:val="00DC27C5"/>
    <w:rsid w:val="00DC28FB"/>
    <w:rsid w:val="00DC2BCD"/>
    <w:rsid w:val="00DC2DA0"/>
    <w:rsid w:val="00DC2F98"/>
    <w:rsid w:val="00DC2FC4"/>
    <w:rsid w:val="00DC31BC"/>
    <w:rsid w:val="00DC354E"/>
    <w:rsid w:val="00DC35B4"/>
    <w:rsid w:val="00DC35E4"/>
    <w:rsid w:val="00DC3978"/>
    <w:rsid w:val="00DC398D"/>
    <w:rsid w:val="00DC39D0"/>
    <w:rsid w:val="00DC3CAF"/>
    <w:rsid w:val="00DC3D4F"/>
    <w:rsid w:val="00DC3D58"/>
    <w:rsid w:val="00DC3F6B"/>
    <w:rsid w:val="00DC4453"/>
    <w:rsid w:val="00DC447E"/>
    <w:rsid w:val="00DC44B1"/>
    <w:rsid w:val="00DC44C5"/>
    <w:rsid w:val="00DC4932"/>
    <w:rsid w:val="00DC4C50"/>
    <w:rsid w:val="00DC4CE4"/>
    <w:rsid w:val="00DC4D10"/>
    <w:rsid w:val="00DC4D74"/>
    <w:rsid w:val="00DC4FD6"/>
    <w:rsid w:val="00DC5071"/>
    <w:rsid w:val="00DC5136"/>
    <w:rsid w:val="00DC5150"/>
    <w:rsid w:val="00DC5241"/>
    <w:rsid w:val="00DC5298"/>
    <w:rsid w:val="00DC5309"/>
    <w:rsid w:val="00DC53B0"/>
    <w:rsid w:val="00DC5633"/>
    <w:rsid w:val="00DC5645"/>
    <w:rsid w:val="00DC582C"/>
    <w:rsid w:val="00DC5940"/>
    <w:rsid w:val="00DC5C21"/>
    <w:rsid w:val="00DC5C39"/>
    <w:rsid w:val="00DC5D88"/>
    <w:rsid w:val="00DC5DDA"/>
    <w:rsid w:val="00DC5E8B"/>
    <w:rsid w:val="00DC6080"/>
    <w:rsid w:val="00DC6161"/>
    <w:rsid w:val="00DC6299"/>
    <w:rsid w:val="00DC654D"/>
    <w:rsid w:val="00DC65C3"/>
    <w:rsid w:val="00DC662F"/>
    <w:rsid w:val="00DC68A4"/>
    <w:rsid w:val="00DC69C5"/>
    <w:rsid w:val="00DC6A8F"/>
    <w:rsid w:val="00DC6B57"/>
    <w:rsid w:val="00DC6DAF"/>
    <w:rsid w:val="00DC7134"/>
    <w:rsid w:val="00DC71E6"/>
    <w:rsid w:val="00DC72E2"/>
    <w:rsid w:val="00DC73A2"/>
    <w:rsid w:val="00DC79A6"/>
    <w:rsid w:val="00DC7A3C"/>
    <w:rsid w:val="00DC7B2B"/>
    <w:rsid w:val="00DC7B8D"/>
    <w:rsid w:val="00DC7BBB"/>
    <w:rsid w:val="00DC7D03"/>
    <w:rsid w:val="00DD0006"/>
    <w:rsid w:val="00DD018E"/>
    <w:rsid w:val="00DD032C"/>
    <w:rsid w:val="00DD03D1"/>
    <w:rsid w:val="00DD0408"/>
    <w:rsid w:val="00DD0435"/>
    <w:rsid w:val="00DD0A39"/>
    <w:rsid w:val="00DD0B80"/>
    <w:rsid w:val="00DD0E5E"/>
    <w:rsid w:val="00DD1331"/>
    <w:rsid w:val="00DD1720"/>
    <w:rsid w:val="00DD175A"/>
    <w:rsid w:val="00DD18FD"/>
    <w:rsid w:val="00DD1CBB"/>
    <w:rsid w:val="00DD1F1E"/>
    <w:rsid w:val="00DD2006"/>
    <w:rsid w:val="00DD214C"/>
    <w:rsid w:val="00DD2191"/>
    <w:rsid w:val="00DD21AA"/>
    <w:rsid w:val="00DD222D"/>
    <w:rsid w:val="00DD2786"/>
    <w:rsid w:val="00DD2976"/>
    <w:rsid w:val="00DD29A2"/>
    <w:rsid w:val="00DD2A6B"/>
    <w:rsid w:val="00DD2B81"/>
    <w:rsid w:val="00DD2D37"/>
    <w:rsid w:val="00DD32C7"/>
    <w:rsid w:val="00DD3359"/>
    <w:rsid w:val="00DD3568"/>
    <w:rsid w:val="00DD35DA"/>
    <w:rsid w:val="00DD3624"/>
    <w:rsid w:val="00DD364D"/>
    <w:rsid w:val="00DD36AF"/>
    <w:rsid w:val="00DD36C7"/>
    <w:rsid w:val="00DD377A"/>
    <w:rsid w:val="00DD3823"/>
    <w:rsid w:val="00DD3A63"/>
    <w:rsid w:val="00DD3C63"/>
    <w:rsid w:val="00DD3E74"/>
    <w:rsid w:val="00DD3FF4"/>
    <w:rsid w:val="00DD4055"/>
    <w:rsid w:val="00DD438D"/>
    <w:rsid w:val="00DD4617"/>
    <w:rsid w:val="00DD48B4"/>
    <w:rsid w:val="00DD4AD3"/>
    <w:rsid w:val="00DD4D02"/>
    <w:rsid w:val="00DD4DB4"/>
    <w:rsid w:val="00DD4EF6"/>
    <w:rsid w:val="00DD503C"/>
    <w:rsid w:val="00DD512A"/>
    <w:rsid w:val="00DD52FF"/>
    <w:rsid w:val="00DD54E7"/>
    <w:rsid w:val="00DD578E"/>
    <w:rsid w:val="00DD5803"/>
    <w:rsid w:val="00DD59CC"/>
    <w:rsid w:val="00DD5B68"/>
    <w:rsid w:val="00DD5C39"/>
    <w:rsid w:val="00DD5DA5"/>
    <w:rsid w:val="00DD5DAF"/>
    <w:rsid w:val="00DD5DC1"/>
    <w:rsid w:val="00DD5E34"/>
    <w:rsid w:val="00DD6071"/>
    <w:rsid w:val="00DD6261"/>
    <w:rsid w:val="00DD638E"/>
    <w:rsid w:val="00DD64F7"/>
    <w:rsid w:val="00DD692B"/>
    <w:rsid w:val="00DD6AFA"/>
    <w:rsid w:val="00DD6B79"/>
    <w:rsid w:val="00DD74A8"/>
    <w:rsid w:val="00DD759C"/>
    <w:rsid w:val="00DD760F"/>
    <w:rsid w:val="00DD78EA"/>
    <w:rsid w:val="00DD7903"/>
    <w:rsid w:val="00DD7A8E"/>
    <w:rsid w:val="00DD7F2D"/>
    <w:rsid w:val="00DD7F59"/>
    <w:rsid w:val="00DE012A"/>
    <w:rsid w:val="00DE021B"/>
    <w:rsid w:val="00DE090C"/>
    <w:rsid w:val="00DE0934"/>
    <w:rsid w:val="00DE09E3"/>
    <w:rsid w:val="00DE0A4F"/>
    <w:rsid w:val="00DE0B4B"/>
    <w:rsid w:val="00DE0B4E"/>
    <w:rsid w:val="00DE0CD1"/>
    <w:rsid w:val="00DE0CE3"/>
    <w:rsid w:val="00DE0E3D"/>
    <w:rsid w:val="00DE0E68"/>
    <w:rsid w:val="00DE0F15"/>
    <w:rsid w:val="00DE0F39"/>
    <w:rsid w:val="00DE0F3B"/>
    <w:rsid w:val="00DE1215"/>
    <w:rsid w:val="00DE146E"/>
    <w:rsid w:val="00DE1945"/>
    <w:rsid w:val="00DE1959"/>
    <w:rsid w:val="00DE1970"/>
    <w:rsid w:val="00DE1B82"/>
    <w:rsid w:val="00DE1D13"/>
    <w:rsid w:val="00DE1E10"/>
    <w:rsid w:val="00DE1F4F"/>
    <w:rsid w:val="00DE1F61"/>
    <w:rsid w:val="00DE1FDC"/>
    <w:rsid w:val="00DE2016"/>
    <w:rsid w:val="00DE2120"/>
    <w:rsid w:val="00DE2223"/>
    <w:rsid w:val="00DE2346"/>
    <w:rsid w:val="00DE251E"/>
    <w:rsid w:val="00DE26DC"/>
    <w:rsid w:val="00DE29DD"/>
    <w:rsid w:val="00DE2A0C"/>
    <w:rsid w:val="00DE2A9F"/>
    <w:rsid w:val="00DE2ACE"/>
    <w:rsid w:val="00DE2B00"/>
    <w:rsid w:val="00DE2F8E"/>
    <w:rsid w:val="00DE3111"/>
    <w:rsid w:val="00DE31B0"/>
    <w:rsid w:val="00DE36E0"/>
    <w:rsid w:val="00DE3880"/>
    <w:rsid w:val="00DE3AE7"/>
    <w:rsid w:val="00DE3AFC"/>
    <w:rsid w:val="00DE3B2E"/>
    <w:rsid w:val="00DE3C31"/>
    <w:rsid w:val="00DE3F20"/>
    <w:rsid w:val="00DE3F79"/>
    <w:rsid w:val="00DE3F90"/>
    <w:rsid w:val="00DE40E5"/>
    <w:rsid w:val="00DE4173"/>
    <w:rsid w:val="00DE4175"/>
    <w:rsid w:val="00DE41C1"/>
    <w:rsid w:val="00DE4665"/>
    <w:rsid w:val="00DE48F3"/>
    <w:rsid w:val="00DE49EE"/>
    <w:rsid w:val="00DE4A15"/>
    <w:rsid w:val="00DE4A1A"/>
    <w:rsid w:val="00DE4C17"/>
    <w:rsid w:val="00DE4C87"/>
    <w:rsid w:val="00DE4C88"/>
    <w:rsid w:val="00DE4D27"/>
    <w:rsid w:val="00DE4EE0"/>
    <w:rsid w:val="00DE508E"/>
    <w:rsid w:val="00DE523F"/>
    <w:rsid w:val="00DE5540"/>
    <w:rsid w:val="00DE5779"/>
    <w:rsid w:val="00DE5816"/>
    <w:rsid w:val="00DE58F1"/>
    <w:rsid w:val="00DE59F3"/>
    <w:rsid w:val="00DE5A90"/>
    <w:rsid w:val="00DE5AA2"/>
    <w:rsid w:val="00DE5B3B"/>
    <w:rsid w:val="00DE5ED2"/>
    <w:rsid w:val="00DE5FB6"/>
    <w:rsid w:val="00DE6063"/>
    <w:rsid w:val="00DE6294"/>
    <w:rsid w:val="00DE62C6"/>
    <w:rsid w:val="00DE6362"/>
    <w:rsid w:val="00DE6981"/>
    <w:rsid w:val="00DE699D"/>
    <w:rsid w:val="00DE6F68"/>
    <w:rsid w:val="00DE6F71"/>
    <w:rsid w:val="00DE7308"/>
    <w:rsid w:val="00DE73AB"/>
    <w:rsid w:val="00DE777B"/>
    <w:rsid w:val="00DE7A5C"/>
    <w:rsid w:val="00DE7D24"/>
    <w:rsid w:val="00DE7F34"/>
    <w:rsid w:val="00DE7FA3"/>
    <w:rsid w:val="00DF014B"/>
    <w:rsid w:val="00DF0195"/>
    <w:rsid w:val="00DF01B7"/>
    <w:rsid w:val="00DF02CC"/>
    <w:rsid w:val="00DF06F3"/>
    <w:rsid w:val="00DF0865"/>
    <w:rsid w:val="00DF091B"/>
    <w:rsid w:val="00DF09BE"/>
    <w:rsid w:val="00DF0C3A"/>
    <w:rsid w:val="00DF0C74"/>
    <w:rsid w:val="00DF0CA1"/>
    <w:rsid w:val="00DF0D74"/>
    <w:rsid w:val="00DF0E26"/>
    <w:rsid w:val="00DF0F54"/>
    <w:rsid w:val="00DF1148"/>
    <w:rsid w:val="00DF11FC"/>
    <w:rsid w:val="00DF13D2"/>
    <w:rsid w:val="00DF1624"/>
    <w:rsid w:val="00DF1756"/>
    <w:rsid w:val="00DF19D0"/>
    <w:rsid w:val="00DF19EE"/>
    <w:rsid w:val="00DF1C68"/>
    <w:rsid w:val="00DF1DDE"/>
    <w:rsid w:val="00DF1DF5"/>
    <w:rsid w:val="00DF1E76"/>
    <w:rsid w:val="00DF2226"/>
    <w:rsid w:val="00DF222A"/>
    <w:rsid w:val="00DF246B"/>
    <w:rsid w:val="00DF27DD"/>
    <w:rsid w:val="00DF28E5"/>
    <w:rsid w:val="00DF2A1E"/>
    <w:rsid w:val="00DF2A6D"/>
    <w:rsid w:val="00DF2BC4"/>
    <w:rsid w:val="00DF2D7C"/>
    <w:rsid w:val="00DF2EE1"/>
    <w:rsid w:val="00DF3281"/>
    <w:rsid w:val="00DF3291"/>
    <w:rsid w:val="00DF355C"/>
    <w:rsid w:val="00DF35D6"/>
    <w:rsid w:val="00DF370A"/>
    <w:rsid w:val="00DF3BE9"/>
    <w:rsid w:val="00DF3C3E"/>
    <w:rsid w:val="00DF3CAC"/>
    <w:rsid w:val="00DF3D88"/>
    <w:rsid w:val="00DF3DD4"/>
    <w:rsid w:val="00DF40EC"/>
    <w:rsid w:val="00DF42C0"/>
    <w:rsid w:val="00DF45B6"/>
    <w:rsid w:val="00DF4634"/>
    <w:rsid w:val="00DF4718"/>
    <w:rsid w:val="00DF4904"/>
    <w:rsid w:val="00DF4A80"/>
    <w:rsid w:val="00DF4B9C"/>
    <w:rsid w:val="00DF4C3B"/>
    <w:rsid w:val="00DF4CB7"/>
    <w:rsid w:val="00DF5432"/>
    <w:rsid w:val="00DF543E"/>
    <w:rsid w:val="00DF5674"/>
    <w:rsid w:val="00DF5822"/>
    <w:rsid w:val="00DF585A"/>
    <w:rsid w:val="00DF5F02"/>
    <w:rsid w:val="00DF6077"/>
    <w:rsid w:val="00DF630B"/>
    <w:rsid w:val="00DF63A6"/>
    <w:rsid w:val="00DF63AD"/>
    <w:rsid w:val="00DF65A7"/>
    <w:rsid w:val="00DF67D3"/>
    <w:rsid w:val="00DF684E"/>
    <w:rsid w:val="00DF6980"/>
    <w:rsid w:val="00DF69CD"/>
    <w:rsid w:val="00DF6CEB"/>
    <w:rsid w:val="00DF6D4A"/>
    <w:rsid w:val="00DF6D8A"/>
    <w:rsid w:val="00DF6E39"/>
    <w:rsid w:val="00DF6E56"/>
    <w:rsid w:val="00DF709F"/>
    <w:rsid w:val="00DF7743"/>
    <w:rsid w:val="00DF77C2"/>
    <w:rsid w:val="00DF7992"/>
    <w:rsid w:val="00DF79B7"/>
    <w:rsid w:val="00DF79ED"/>
    <w:rsid w:val="00DF7BEE"/>
    <w:rsid w:val="00DF7DCE"/>
    <w:rsid w:val="00DF7F25"/>
    <w:rsid w:val="00DF7F7C"/>
    <w:rsid w:val="00E00034"/>
    <w:rsid w:val="00E004AC"/>
    <w:rsid w:val="00E00684"/>
    <w:rsid w:val="00E007F2"/>
    <w:rsid w:val="00E0080F"/>
    <w:rsid w:val="00E00864"/>
    <w:rsid w:val="00E008A4"/>
    <w:rsid w:val="00E00A52"/>
    <w:rsid w:val="00E00B78"/>
    <w:rsid w:val="00E00C49"/>
    <w:rsid w:val="00E00C7E"/>
    <w:rsid w:val="00E01267"/>
    <w:rsid w:val="00E012B0"/>
    <w:rsid w:val="00E017D4"/>
    <w:rsid w:val="00E01925"/>
    <w:rsid w:val="00E01B0E"/>
    <w:rsid w:val="00E01C02"/>
    <w:rsid w:val="00E01C8F"/>
    <w:rsid w:val="00E01CB3"/>
    <w:rsid w:val="00E01CD8"/>
    <w:rsid w:val="00E01E1D"/>
    <w:rsid w:val="00E01F55"/>
    <w:rsid w:val="00E01FC6"/>
    <w:rsid w:val="00E02172"/>
    <w:rsid w:val="00E02287"/>
    <w:rsid w:val="00E02365"/>
    <w:rsid w:val="00E02746"/>
    <w:rsid w:val="00E02846"/>
    <w:rsid w:val="00E0290A"/>
    <w:rsid w:val="00E0292C"/>
    <w:rsid w:val="00E02969"/>
    <w:rsid w:val="00E02A79"/>
    <w:rsid w:val="00E02B57"/>
    <w:rsid w:val="00E02BB3"/>
    <w:rsid w:val="00E02D59"/>
    <w:rsid w:val="00E02EEF"/>
    <w:rsid w:val="00E02F39"/>
    <w:rsid w:val="00E0305D"/>
    <w:rsid w:val="00E031AC"/>
    <w:rsid w:val="00E03375"/>
    <w:rsid w:val="00E038FD"/>
    <w:rsid w:val="00E03A07"/>
    <w:rsid w:val="00E03BD9"/>
    <w:rsid w:val="00E03D53"/>
    <w:rsid w:val="00E03DB4"/>
    <w:rsid w:val="00E03F1A"/>
    <w:rsid w:val="00E03FEB"/>
    <w:rsid w:val="00E04150"/>
    <w:rsid w:val="00E04383"/>
    <w:rsid w:val="00E0452F"/>
    <w:rsid w:val="00E0456D"/>
    <w:rsid w:val="00E045B3"/>
    <w:rsid w:val="00E0476F"/>
    <w:rsid w:val="00E04B9E"/>
    <w:rsid w:val="00E04BEB"/>
    <w:rsid w:val="00E04DFD"/>
    <w:rsid w:val="00E04E02"/>
    <w:rsid w:val="00E04F3D"/>
    <w:rsid w:val="00E04F64"/>
    <w:rsid w:val="00E04F9E"/>
    <w:rsid w:val="00E051A3"/>
    <w:rsid w:val="00E051EB"/>
    <w:rsid w:val="00E0532D"/>
    <w:rsid w:val="00E055BB"/>
    <w:rsid w:val="00E0567F"/>
    <w:rsid w:val="00E05905"/>
    <w:rsid w:val="00E05930"/>
    <w:rsid w:val="00E05943"/>
    <w:rsid w:val="00E05ADB"/>
    <w:rsid w:val="00E05AE6"/>
    <w:rsid w:val="00E05C1A"/>
    <w:rsid w:val="00E05D56"/>
    <w:rsid w:val="00E05D6F"/>
    <w:rsid w:val="00E05DD9"/>
    <w:rsid w:val="00E05E87"/>
    <w:rsid w:val="00E05EEB"/>
    <w:rsid w:val="00E05F44"/>
    <w:rsid w:val="00E06281"/>
    <w:rsid w:val="00E06462"/>
    <w:rsid w:val="00E0655A"/>
    <w:rsid w:val="00E0665B"/>
    <w:rsid w:val="00E067FE"/>
    <w:rsid w:val="00E06951"/>
    <w:rsid w:val="00E06A33"/>
    <w:rsid w:val="00E06A3A"/>
    <w:rsid w:val="00E06A9F"/>
    <w:rsid w:val="00E06AAE"/>
    <w:rsid w:val="00E06B21"/>
    <w:rsid w:val="00E06BE4"/>
    <w:rsid w:val="00E06CBE"/>
    <w:rsid w:val="00E06D9E"/>
    <w:rsid w:val="00E06F4E"/>
    <w:rsid w:val="00E06F60"/>
    <w:rsid w:val="00E06FF2"/>
    <w:rsid w:val="00E07054"/>
    <w:rsid w:val="00E07129"/>
    <w:rsid w:val="00E0721D"/>
    <w:rsid w:val="00E074A6"/>
    <w:rsid w:val="00E0762F"/>
    <w:rsid w:val="00E0780F"/>
    <w:rsid w:val="00E078B1"/>
    <w:rsid w:val="00E07B82"/>
    <w:rsid w:val="00E07BE7"/>
    <w:rsid w:val="00E07CFD"/>
    <w:rsid w:val="00E07D92"/>
    <w:rsid w:val="00E07ED8"/>
    <w:rsid w:val="00E07F69"/>
    <w:rsid w:val="00E1014B"/>
    <w:rsid w:val="00E10435"/>
    <w:rsid w:val="00E10436"/>
    <w:rsid w:val="00E104C5"/>
    <w:rsid w:val="00E104CF"/>
    <w:rsid w:val="00E10720"/>
    <w:rsid w:val="00E107F7"/>
    <w:rsid w:val="00E10871"/>
    <w:rsid w:val="00E10C5E"/>
    <w:rsid w:val="00E10FFD"/>
    <w:rsid w:val="00E110D6"/>
    <w:rsid w:val="00E110EE"/>
    <w:rsid w:val="00E11137"/>
    <w:rsid w:val="00E11243"/>
    <w:rsid w:val="00E112BA"/>
    <w:rsid w:val="00E11444"/>
    <w:rsid w:val="00E114B7"/>
    <w:rsid w:val="00E1156E"/>
    <w:rsid w:val="00E115A6"/>
    <w:rsid w:val="00E11A37"/>
    <w:rsid w:val="00E11B08"/>
    <w:rsid w:val="00E11E2F"/>
    <w:rsid w:val="00E11ED1"/>
    <w:rsid w:val="00E11FD1"/>
    <w:rsid w:val="00E121A3"/>
    <w:rsid w:val="00E121AA"/>
    <w:rsid w:val="00E122C4"/>
    <w:rsid w:val="00E125B3"/>
    <w:rsid w:val="00E125C4"/>
    <w:rsid w:val="00E1273E"/>
    <w:rsid w:val="00E12B1C"/>
    <w:rsid w:val="00E12BDC"/>
    <w:rsid w:val="00E12CDA"/>
    <w:rsid w:val="00E12D50"/>
    <w:rsid w:val="00E12DED"/>
    <w:rsid w:val="00E13275"/>
    <w:rsid w:val="00E132BC"/>
    <w:rsid w:val="00E13369"/>
    <w:rsid w:val="00E13446"/>
    <w:rsid w:val="00E13460"/>
    <w:rsid w:val="00E13691"/>
    <w:rsid w:val="00E137B0"/>
    <w:rsid w:val="00E13A6A"/>
    <w:rsid w:val="00E13A97"/>
    <w:rsid w:val="00E13B0D"/>
    <w:rsid w:val="00E13C41"/>
    <w:rsid w:val="00E140D7"/>
    <w:rsid w:val="00E14165"/>
    <w:rsid w:val="00E14170"/>
    <w:rsid w:val="00E14183"/>
    <w:rsid w:val="00E142B3"/>
    <w:rsid w:val="00E143D4"/>
    <w:rsid w:val="00E14520"/>
    <w:rsid w:val="00E14688"/>
    <w:rsid w:val="00E14775"/>
    <w:rsid w:val="00E14780"/>
    <w:rsid w:val="00E14880"/>
    <w:rsid w:val="00E1493E"/>
    <w:rsid w:val="00E150A2"/>
    <w:rsid w:val="00E15240"/>
    <w:rsid w:val="00E1555D"/>
    <w:rsid w:val="00E15565"/>
    <w:rsid w:val="00E15566"/>
    <w:rsid w:val="00E15965"/>
    <w:rsid w:val="00E15D45"/>
    <w:rsid w:val="00E15DDE"/>
    <w:rsid w:val="00E15ED8"/>
    <w:rsid w:val="00E160A9"/>
    <w:rsid w:val="00E16218"/>
    <w:rsid w:val="00E16267"/>
    <w:rsid w:val="00E163DB"/>
    <w:rsid w:val="00E1650B"/>
    <w:rsid w:val="00E16559"/>
    <w:rsid w:val="00E16574"/>
    <w:rsid w:val="00E166BE"/>
    <w:rsid w:val="00E16C1E"/>
    <w:rsid w:val="00E17044"/>
    <w:rsid w:val="00E17112"/>
    <w:rsid w:val="00E17158"/>
    <w:rsid w:val="00E174B2"/>
    <w:rsid w:val="00E178CA"/>
    <w:rsid w:val="00E17984"/>
    <w:rsid w:val="00E17BFC"/>
    <w:rsid w:val="00E17C6E"/>
    <w:rsid w:val="00E17CB5"/>
    <w:rsid w:val="00E17DC9"/>
    <w:rsid w:val="00E17E66"/>
    <w:rsid w:val="00E17F8B"/>
    <w:rsid w:val="00E200CB"/>
    <w:rsid w:val="00E202C9"/>
    <w:rsid w:val="00E20354"/>
    <w:rsid w:val="00E2041E"/>
    <w:rsid w:val="00E20445"/>
    <w:rsid w:val="00E204A1"/>
    <w:rsid w:val="00E205B3"/>
    <w:rsid w:val="00E20608"/>
    <w:rsid w:val="00E20611"/>
    <w:rsid w:val="00E2069F"/>
    <w:rsid w:val="00E20A23"/>
    <w:rsid w:val="00E20A3A"/>
    <w:rsid w:val="00E20D20"/>
    <w:rsid w:val="00E20DB4"/>
    <w:rsid w:val="00E20DF7"/>
    <w:rsid w:val="00E20EDD"/>
    <w:rsid w:val="00E20FB5"/>
    <w:rsid w:val="00E2102E"/>
    <w:rsid w:val="00E2105C"/>
    <w:rsid w:val="00E21296"/>
    <w:rsid w:val="00E213FE"/>
    <w:rsid w:val="00E214D4"/>
    <w:rsid w:val="00E21716"/>
    <w:rsid w:val="00E217F8"/>
    <w:rsid w:val="00E218BE"/>
    <w:rsid w:val="00E21AAA"/>
    <w:rsid w:val="00E21B6B"/>
    <w:rsid w:val="00E21CDE"/>
    <w:rsid w:val="00E21D0E"/>
    <w:rsid w:val="00E21FEC"/>
    <w:rsid w:val="00E226F8"/>
    <w:rsid w:val="00E227C4"/>
    <w:rsid w:val="00E22B39"/>
    <w:rsid w:val="00E22B82"/>
    <w:rsid w:val="00E22E17"/>
    <w:rsid w:val="00E22EEC"/>
    <w:rsid w:val="00E231B6"/>
    <w:rsid w:val="00E2339B"/>
    <w:rsid w:val="00E23417"/>
    <w:rsid w:val="00E239D2"/>
    <w:rsid w:val="00E23A65"/>
    <w:rsid w:val="00E23BC7"/>
    <w:rsid w:val="00E23CA5"/>
    <w:rsid w:val="00E23CC6"/>
    <w:rsid w:val="00E23D0D"/>
    <w:rsid w:val="00E23F80"/>
    <w:rsid w:val="00E24364"/>
    <w:rsid w:val="00E248FA"/>
    <w:rsid w:val="00E24916"/>
    <w:rsid w:val="00E24B4E"/>
    <w:rsid w:val="00E24E1E"/>
    <w:rsid w:val="00E24FC5"/>
    <w:rsid w:val="00E25065"/>
    <w:rsid w:val="00E25092"/>
    <w:rsid w:val="00E25150"/>
    <w:rsid w:val="00E251A4"/>
    <w:rsid w:val="00E252F8"/>
    <w:rsid w:val="00E25343"/>
    <w:rsid w:val="00E2544A"/>
    <w:rsid w:val="00E25531"/>
    <w:rsid w:val="00E256A2"/>
    <w:rsid w:val="00E25A10"/>
    <w:rsid w:val="00E25D82"/>
    <w:rsid w:val="00E25D93"/>
    <w:rsid w:val="00E25EE1"/>
    <w:rsid w:val="00E25EFC"/>
    <w:rsid w:val="00E26120"/>
    <w:rsid w:val="00E2622B"/>
    <w:rsid w:val="00E26236"/>
    <w:rsid w:val="00E2649B"/>
    <w:rsid w:val="00E264BE"/>
    <w:rsid w:val="00E26688"/>
    <w:rsid w:val="00E2668A"/>
    <w:rsid w:val="00E267E7"/>
    <w:rsid w:val="00E2686D"/>
    <w:rsid w:val="00E26889"/>
    <w:rsid w:val="00E26894"/>
    <w:rsid w:val="00E26992"/>
    <w:rsid w:val="00E26B09"/>
    <w:rsid w:val="00E26CF6"/>
    <w:rsid w:val="00E26D11"/>
    <w:rsid w:val="00E26F56"/>
    <w:rsid w:val="00E270F6"/>
    <w:rsid w:val="00E27439"/>
    <w:rsid w:val="00E27462"/>
    <w:rsid w:val="00E2751C"/>
    <w:rsid w:val="00E2775B"/>
    <w:rsid w:val="00E2794F"/>
    <w:rsid w:val="00E279BD"/>
    <w:rsid w:val="00E27A89"/>
    <w:rsid w:val="00E27AA3"/>
    <w:rsid w:val="00E27C3B"/>
    <w:rsid w:val="00E27C76"/>
    <w:rsid w:val="00E27CDC"/>
    <w:rsid w:val="00E27D5A"/>
    <w:rsid w:val="00E27DD6"/>
    <w:rsid w:val="00E3007E"/>
    <w:rsid w:val="00E300CF"/>
    <w:rsid w:val="00E30156"/>
    <w:rsid w:val="00E301D4"/>
    <w:rsid w:val="00E30381"/>
    <w:rsid w:val="00E303C2"/>
    <w:rsid w:val="00E303D8"/>
    <w:rsid w:val="00E30661"/>
    <w:rsid w:val="00E30687"/>
    <w:rsid w:val="00E30896"/>
    <w:rsid w:val="00E30A67"/>
    <w:rsid w:val="00E30C18"/>
    <w:rsid w:val="00E30E37"/>
    <w:rsid w:val="00E30F48"/>
    <w:rsid w:val="00E3169C"/>
    <w:rsid w:val="00E31734"/>
    <w:rsid w:val="00E3189E"/>
    <w:rsid w:val="00E31968"/>
    <w:rsid w:val="00E31B83"/>
    <w:rsid w:val="00E31E16"/>
    <w:rsid w:val="00E321C2"/>
    <w:rsid w:val="00E324B6"/>
    <w:rsid w:val="00E3255A"/>
    <w:rsid w:val="00E32619"/>
    <w:rsid w:val="00E327AB"/>
    <w:rsid w:val="00E32A03"/>
    <w:rsid w:val="00E32B23"/>
    <w:rsid w:val="00E32CE8"/>
    <w:rsid w:val="00E32D86"/>
    <w:rsid w:val="00E32DE1"/>
    <w:rsid w:val="00E33056"/>
    <w:rsid w:val="00E33105"/>
    <w:rsid w:val="00E3327B"/>
    <w:rsid w:val="00E33342"/>
    <w:rsid w:val="00E33469"/>
    <w:rsid w:val="00E334AD"/>
    <w:rsid w:val="00E338E8"/>
    <w:rsid w:val="00E338F7"/>
    <w:rsid w:val="00E33AEE"/>
    <w:rsid w:val="00E33C1C"/>
    <w:rsid w:val="00E341C1"/>
    <w:rsid w:val="00E34247"/>
    <w:rsid w:val="00E34284"/>
    <w:rsid w:val="00E34347"/>
    <w:rsid w:val="00E3436C"/>
    <w:rsid w:val="00E343BB"/>
    <w:rsid w:val="00E3451D"/>
    <w:rsid w:val="00E348C9"/>
    <w:rsid w:val="00E349F6"/>
    <w:rsid w:val="00E34D55"/>
    <w:rsid w:val="00E34EBB"/>
    <w:rsid w:val="00E34F14"/>
    <w:rsid w:val="00E34FA5"/>
    <w:rsid w:val="00E34FB6"/>
    <w:rsid w:val="00E34FE4"/>
    <w:rsid w:val="00E35208"/>
    <w:rsid w:val="00E35214"/>
    <w:rsid w:val="00E3537A"/>
    <w:rsid w:val="00E35458"/>
    <w:rsid w:val="00E357E8"/>
    <w:rsid w:val="00E3582E"/>
    <w:rsid w:val="00E35893"/>
    <w:rsid w:val="00E35AA0"/>
    <w:rsid w:val="00E35DDC"/>
    <w:rsid w:val="00E35DFB"/>
    <w:rsid w:val="00E35F7B"/>
    <w:rsid w:val="00E3624C"/>
    <w:rsid w:val="00E3654E"/>
    <w:rsid w:val="00E369A1"/>
    <w:rsid w:val="00E369A2"/>
    <w:rsid w:val="00E36A44"/>
    <w:rsid w:val="00E36AB1"/>
    <w:rsid w:val="00E36B71"/>
    <w:rsid w:val="00E36BB9"/>
    <w:rsid w:val="00E36E78"/>
    <w:rsid w:val="00E3713E"/>
    <w:rsid w:val="00E37195"/>
    <w:rsid w:val="00E3721E"/>
    <w:rsid w:val="00E37228"/>
    <w:rsid w:val="00E374C0"/>
    <w:rsid w:val="00E37955"/>
    <w:rsid w:val="00E37B1C"/>
    <w:rsid w:val="00E37D5A"/>
    <w:rsid w:val="00E40210"/>
    <w:rsid w:val="00E402C2"/>
    <w:rsid w:val="00E40A3F"/>
    <w:rsid w:val="00E40DBE"/>
    <w:rsid w:val="00E40DC7"/>
    <w:rsid w:val="00E4110E"/>
    <w:rsid w:val="00E412B9"/>
    <w:rsid w:val="00E4136E"/>
    <w:rsid w:val="00E413E6"/>
    <w:rsid w:val="00E41401"/>
    <w:rsid w:val="00E4146C"/>
    <w:rsid w:val="00E417CB"/>
    <w:rsid w:val="00E417EE"/>
    <w:rsid w:val="00E41D2F"/>
    <w:rsid w:val="00E41D35"/>
    <w:rsid w:val="00E41D69"/>
    <w:rsid w:val="00E41DC4"/>
    <w:rsid w:val="00E41DE1"/>
    <w:rsid w:val="00E41E2D"/>
    <w:rsid w:val="00E41FEB"/>
    <w:rsid w:val="00E4223D"/>
    <w:rsid w:val="00E42470"/>
    <w:rsid w:val="00E42869"/>
    <w:rsid w:val="00E42AD6"/>
    <w:rsid w:val="00E42BC3"/>
    <w:rsid w:val="00E42CD7"/>
    <w:rsid w:val="00E42CF7"/>
    <w:rsid w:val="00E42FB3"/>
    <w:rsid w:val="00E430A4"/>
    <w:rsid w:val="00E431CE"/>
    <w:rsid w:val="00E432FE"/>
    <w:rsid w:val="00E433F4"/>
    <w:rsid w:val="00E435D6"/>
    <w:rsid w:val="00E43805"/>
    <w:rsid w:val="00E43A8F"/>
    <w:rsid w:val="00E43BD9"/>
    <w:rsid w:val="00E44096"/>
    <w:rsid w:val="00E442D1"/>
    <w:rsid w:val="00E44429"/>
    <w:rsid w:val="00E445E0"/>
    <w:rsid w:val="00E44673"/>
    <w:rsid w:val="00E447B8"/>
    <w:rsid w:val="00E44809"/>
    <w:rsid w:val="00E44A00"/>
    <w:rsid w:val="00E45091"/>
    <w:rsid w:val="00E450E0"/>
    <w:rsid w:val="00E45188"/>
    <w:rsid w:val="00E452CF"/>
    <w:rsid w:val="00E45A83"/>
    <w:rsid w:val="00E45ABE"/>
    <w:rsid w:val="00E45C9B"/>
    <w:rsid w:val="00E45FB9"/>
    <w:rsid w:val="00E4615B"/>
    <w:rsid w:val="00E463E9"/>
    <w:rsid w:val="00E466D2"/>
    <w:rsid w:val="00E4674B"/>
    <w:rsid w:val="00E467D8"/>
    <w:rsid w:val="00E468AB"/>
    <w:rsid w:val="00E468AF"/>
    <w:rsid w:val="00E46938"/>
    <w:rsid w:val="00E4698B"/>
    <w:rsid w:val="00E4699C"/>
    <w:rsid w:val="00E469B9"/>
    <w:rsid w:val="00E46AA2"/>
    <w:rsid w:val="00E46AE2"/>
    <w:rsid w:val="00E46B2F"/>
    <w:rsid w:val="00E46B30"/>
    <w:rsid w:val="00E46C35"/>
    <w:rsid w:val="00E46DB3"/>
    <w:rsid w:val="00E46E6A"/>
    <w:rsid w:val="00E4703E"/>
    <w:rsid w:val="00E47329"/>
    <w:rsid w:val="00E47513"/>
    <w:rsid w:val="00E475D8"/>
    <w:rsid w:val="00E476D0"/>
    <w:rsid w:val="00E4773E"/>
    <w:rsid w:val="00E47847"/>
    <w:rsid w:val="00E47A31"/>
    <w:rsid w:val="00E47B32"/>
    <w:rsid w:val="00E47BDC"/>
    <w:rsid w:val="00E47DFC"/>
    <w:rsid w:val="00E47E11"/>
    <w:rsid w:val="00E47E92"/>
    <w:rsid w:val="00E50146"/>
    <w:rsid w:val="00E5085E"/>
    <w:rsid w:val="00E50878"/>
    <w:rsid w:val="00E50AB4"/>
    <w:rsid w:val="00E50C89"/>
    <w:rsid w:val="00E50EDF"/>
    <w:rsid w:val="00E50FA6"/>
    <w:rsid w:val="00E50FC0"/>
    <w:rsid w:val="00E510AD"/>
    <w:rsid w:val="00E51179"/>
    <w:rsid w:val="00E51265"/>
    <w:rsid w:val="00E512B2"/>
    <w:rsid w:val="00E5142F"/>
    <w:rsid w:val="00E514FA"/>
    <w:rsid w:val="00E51534"/>
    <w:rsid w:val="00E51742"/>
    <w:rsid w:val="00E51FCD"/>
    <w:rsid w:val="00E5201B"/>
    <w:rsid w:val="00E52034"/>
    <w:rsid w:val="00E5203F"/>
    <w:rsid w:val="00E520D1"/>
    <w:rsid w:val="00E521AB"/>
    <w:rsid w:val="00E52434"/>
    <w:rsid w:val="00E52593"/>
    <w:rsid w:val="00E52631"/>
    <w:rsid w:val="00E526DF"/>
    <w:rsid w:val="00E5275A"/>
    <w:rsid w:val="00E5279A"/>
    <w:rsid w:val="00E529AE"/>
    <w:rsid w:val="00E529E2"/>
    <w:rsid w:val="00E52B02"/>
    <w:rsid w:val="00E52B37"/>
    <w:rsid w:val="00E52D3E"/>
    <w:rsid w:val="00E52D6E"/>
    <w:rsid w:val="00E52E12"/>
    <w:rsid w:val="00E5314C"/>
    <w:rsid w:val="00E53169"/>
    <w:rsid w:val="00E53664"/>
    <w:rsid w:val="00E53753"/>
    <w:rsid w:val="00E5379A"/>
    <w:rsid w:val="00E53920"/>
    <w:rsid w:val="00E539BD"/>
    <w:rsid w:val="00E53A64"/>
    <w:rsid w:val="00E53B78"/>
    <w:rsid w:val="00E53E6A"/>
    <w:rsid w:val="00E53EB7"/>
    <w:rsid w:val="00E54073"/>
    <w:rsid w:val="00E54123"/>
    <w:rsid w:val="00E5444D"/>
    <w:rsid w:val="00E54781"/>
    <w:rsid w:val="00E5480D"/>
    <w:rsid w:val="00E5496E"/>
    <w:rsid w:val="00E54B16"/>
    <w:rsid w:val="00E54C2F"/>
    <w:rsid w:val="00E54C67"/>
    <w:rsid w:val="00E54DA2"/>
    <w:rsid w:val="00E55046"/>
    <w:rsid w:val="00E550A5"/>
    <w:rsid w:val="00E550BC"/>
    <w:rsid w:val="00E5537B"/>
    <w:rsid w:val="00E5547A"/>
    <w:rsid w:val="00E5558E"/>
    <w:rsid w:val="00E55675"/>
    <w:rsid w:val="00E556C6"/>
    <w:rsid w:val="00E55704"/>
    <w:rsid w:val="00E55739"/>
    <w:rsid w:val="00E55858"/>
    <w:rsid w:val="00E5595C"/>
    <w:rsid w:val="00E55BF4"/>
    <w:rsid w:val="00E55C46"/>
    <w:rsid w:val="00E55D79"/>
    <w:rsid w:val="00E560E3"/>
    <w:rsid w:val="00E560F4"/>
    <w:rsid w:val="00E561B0"/>
    <w:rsid w:val="00E5623C"/>
    <w:rsid w:val="00E56306"/>
    <w:rsid w:val="00E565A3"/>
    <w:rsid w:val="00E5667B"/>
    <w:rsid w:val="00E5690F"/>
    <w:rsid w:val="00E56925"/>
    <w:rsid w:val="00E569FA"/>
    <w:rsid w:val="00E56B82"/>
    <w:rsid w:val="00E56D19"/>
    <w:rsid w:val="00E56D2D"/>
    <w:rsid w:val="00E56E43"/>
    <w:rsid w:val="00E56E69"/>
    <w:rsid w:val="00E56EF2"/>
    <w:rsid w:val="00E571C3"/>
    <w:rsid w:val="00E5721F"/>
    <w:rsid w:val="00E57305"/>
    <w:rsid w:val="00E57342"/>
    <w:rsid w:val="00E57428"/>
    <w:rsid w:val="00E57A1B"/>
    <w:rsid w:val="00E57A57"/>
    <w:rsid w:val="00E57AC1"/>
    <w:rsid w:val="00E57CAA"/>
    <w:rsid w:val="00E57EF7"/>
    <w:rsid w:val="00E601E9"/>
    <w:rsid w:val="00E602ED"/>
    <w:rsid w:val="00E60335"/>
    <w:rsid w:val="00E605AE"/>
    <w:rsid w:val="00E60946"/>
    <w:rsid w:val="00E60BDC"/>
    <w:rsid w:val="00E60CA3"/>
    <w:rsid w:val="00E60D21"/>
    <w:rsid w:val="00E60EE9"/>
    <w:rsid w:val="00E60F71"/>
    <w:rsid w:val="00E61737"/>
    <w:rsid w:val="00E61A59"/>
    <w:rsid w:val="00E61AD3"/>
    <w:rsid w:val="00E61CEC"/>
    <w:rsid w:val="00E61DF9"/>
    <w:rsid w:val="00E61EB2"/>
    <w:rsid w:val="00E61F46"/>
    <w:rsid w:val="00E61FB9"/>
    <w:rsid w:val="00E62105"/>
    <w:rsid w:val="00E62113"/>
    <w:rsid w:val="00E622C6"/>
    <w:rsid w:val="00E622D9"/>
    <w:rsid w:val="00E62338"/>
    <w:rsid w:val="00E6242A"/>
    <w:rsid w:val="00E6251B"/>
    <w:rsid w:val="00E62630"/>
    <w:rsid w:val="00E62693"/>
    <w:rsid w:val="00E62725"/>
    <w:rsid w:val="00E62812"/>
    <w:rsid w:val="00E62845"/>
    <w:rsid w:val="00E628EC"/>
    <w:rsid w:val="00E6291A"/>
    <w:rsid w:val="00E629EC"/>
    <w:rsid w:val="00E62B4F"/>
    <w:rsid w:val="00E62C47"/>
    <w:rsid w:val="00E62E47"/>
    <w:rsid w:val="00E62E6F"/>
    <w:rsid w:val="00E62F7B"/>
    <w:rsid w:val="00E63099"/>
    <w:rsid w:val="00E631FA"/>
    <w:rsid w:val="00E63212"/>
    <w:rsid w:val="00E63558"/>
    <w:rsid w:val="00E635ED"/>
    <w:rsid w:val="00E63703"/>
    <w:rsid w:val="00E63827"/>
    <w:rsid w:val="00E63837"/>
    <w:rsid w:val="00E63907"/>
    <w:rsid w:val="00E63975"/>
    <w:rsid w:val="00E63A5A"/>
    <w:rsid w:val="00E63AE8"/>
    <w:rsid w:val="00E63B3A"/>
    <w:rsid w:val="00E63D98"/>
    <w:rsid w:val="00E63DB0"/>
    <w:rsid w:val="00E6405A"/>
    <w:rsid w:val="00E6414D"/>
    <w:rsid w:val="00E642D9"/>
    <w:rsid w:val="00E644F4"/>
    <w:rsid w:val="00E64515"/>
    <w:rsid w:val="00E6455B"/>
    <w:rsid w:val="00E646E1"/>
    <w:rsid w:val="00E64A7E"/>
    <w:rsid w:val="00E64C7A"/>
    <w:rsid w:val="00E64D4D"/>
    <w:rsid w:val="00E64D7C"/>
    <w:rsid w:val="00E64DD0"/>
    <w:rsid w:val="00E64E8D"/>
    <w:rsid w:val="00E64EF6"/>
    <w:rsid w:val="00E64F11"/>
    <w:rsid w:val="00E65121"/>
    <w:rsid w:val="00E6514D"/>
    <w:rsid w:val="00E652FC"/>
    <w:rsid w:val="00E6558E"/>
    <w:rsid w:val="00E65BB9"/>
    <w:rsid w:val="00E65D20"/>
    <w:rsid w:val="00E65DED"/>
    <w:rsid w:val="00E65E06"/>
    <w:rsid w:val="00E65EC2"/>
    <w:rsid w:val="00E6605E"/>
    <w:rsid w:val="00E660A5"/>
    <w:rsid w:val="00E6630C"/>
    <w:rsid w:val="00E6632C"/>
    <w:rsid w:val="00E66372"/>
    <w:rsid w:val="00E66489"/>
    <w:rsid w:val="00E66579"/>
    <w:rsid w:val="00E66786"/>
    <w:rsid w:val="00E668DD"/>
    <w:rsid w:val="00E66D58"/>
    <w:rsid w:val="00E67074"/>
    <w:rsid w:val="00E67421"/>
    <w:rsid w:val="00E6756A"/>
    <w:rsid w:val="00E67600"/>
    <w:rsid w:val="00E67750"/>
    <w:rsid w:val="00E67A57"/>
    <w:rsid w:val="00E67B15"/>
    <w:rsid w:val="00E67BB2"/>
    <w:rsid w:val="00E67CD1"/>
    <w:rsid w:val="00E67D5C"/>
    <w:rsid w:val="00E67E4C"/>
    <w:rsid w:val="00E67E61"/>
    <w:rsid w:val="00E67F38"/>
    <w:rsid w:val="00E67FAC"/>
    <w:rsid w:val="00E702E1"/>
    <w:rsid w:val="00E7038D"/>
    <w:rsid w:val="00E70B1C"/>
    <w:rsid w:val="00E70E22"/>
    <w:rsid w:val="00E70F0D"/>
    <w:rsid w:val="00E70FDF"/>
    <w:rsid w:val="00E7117F"/>
    <w:rsid w:val="00E71640"/>
    <w:rsid w:val="00E7167D"/>
    <w:rsid w:val="00E71A0B"/>
    <w:rsid w:val="00E71AA9"/>
    <w:rsid w:val="00E71B50"/>
    <w:rsid w:val="00E71CC4"/>
    <w:rsid w:val="00E71ED5"/>
    <w:rsid w:val="00E720DE"/>
    <w:rsid w:val="00E7219F"/>
    <w:rsid w:val="00E724DD"/>
    <w:rsid w:val="00E7252C"/>
    <w:rsid w:val="00E7252E"/>
    <w:rsid w:val="00E7275F"/>
    <w:rsid w:val="00E727CE"/>
    <w:rsid w:val="00E7283C"/>
    <w:rsid w:val="00E72E93"/>
    <w:rsid w:val="00E7344D"/>
    <w:rsid w:val="00E73492"/>
    <w:rsid w:val="00E7351A"/>
    <w:rsid w:val="00E73978"/>
    <w:rsid w:val="00E73989"/>
    <w:rsid w:val="00E73A68"/>
    <w:rsid w:val="00E73AB8"/>
    <w:rsid w:val="00E73B5C"/>
    <w:rsid w:val="00E73B96"/>
    <w:rsid w:val="00E73DB4"/>
    <w:rsid w:val="00E74043"/>
    <w:rsid w:val="00E745FA"/>
    <w:rsid w:val="00E7484A"/>
    <w:rsid w:val="00E74922"/>
    <w:rsid w:val="00E74CB1"/>
    <w:rsid w:val="00E752B8"/>
    <w:rsid w:val="00E755FA"/>
    <w:rsid w:val="00E75630"/>
    <w:rsid w:val="00E7571E"/>
    <w:rsid w:val="00E757CA"/>
    <w:rsid w:val="00E75B36"/>
    <w:rsid w:val="00E75C08"/>
    <w:rsid w:val="00E75D77"/>
    <w:rsid w:val="00E75E41"/>
    <w:rsid w:val="00E75ECF"/>
    <w:rsid w:val="00E76547"/>
    <w:rsid w:val="00E7698D"/>
    <w:rsid w:val="00E76BFE"/>
    <w:rsid w:val="00E76E38"/>
    <w:rsid w:val="00E76E63"/>
    <w:rsid w:val="00E76EBC"/>
    <w:rsid w:val="00E770CC"/>
    <w:rsid w:val="00E77194"/>
    <w:rsid w:val="00E77218"/>
    <w:rsid w:val="00E7726A"/>
    <w:rsid w:val="00E772FB"/>
    <w:rsid w:val="00E7736A"/>
    <w:rsid w:val="00E77598"/>
    <w:rsid w:val="00E775CE"/>
    <w:rsid w:val="00E77824"/>
    <w:rsid w:val="00E77846"/>
    <w:rsid w:val="00E779CA"/>
    <w:rsid w:val="00E77D22"/>
    <w:rsid w:val="00E77D66"/>
    <w:rsid w:val="00E77DFD"/>
    <w:rsid w:val="00E801F9"/>
    <w:rsid w:val="00E8021E"/>
    <w:rsid w:val="00E80585"/>
    <w:rsid w:val="00E80761"/>
    <w:rsid w:val="00E807F9"/>
    <w:rsid w:val="00E80ADB"/>
    <w:rsid w:val="00E80ADC"/>
    <w:rsid w:val="00E80C00"/>
    <w:rsid w:val="00E80D00"/>
    <w:rsid w:val="00E80D6A"/>
    <w:rsid w:val="00E80E5D"/>
    <w:rsid w:val="00E80F5C"/>
    <w:rsid w:val="00E80F92"/>
    <w:rsid w:val="00E811A3"/>
    <w:rsid w:val="00E812FD"/>
    <w:rsid w:val="00E8144F"/>
    <w:rsid w:val="00E814C9"/>
    <w:rsid w:val="00E8167F"/>
    <w:rsid w:val="00E8173F"/>
    <w:rsid w:val="00E8174A"/>
    <w:rsid w:val="00E817A2"/>
    <w:rsid w:val="00E8181C"/>
    <w:rsid w:val="00E818CD"/>
    <w:rsid w:val="00E81986"/>
    <w:rsid w:val="00E819EE"/>
    <w:rsid w:val="00E81A1F"/>
    <w:rsid w:val="00E81CA7"/>
    <w:rsid w:val="00E81CAA"/>
    <w:rsid w:val="00E81E49"/>
    <w:rsid w:val="00E81EFE"/>
    <w:rsid w:val="00E82168"/>
    <w:rsid w:val="00E823F0"/>
    <w:rsid w:val="00E82629"/>
    <w:rsid w:val="00E82A30"/>
    <w:rsid w:val="00E82A33"/>
    <w:rsid w:val="00E82B90"/>
    <w:rsid w:val="00E82E26"/>
    <w:rsid w:val="00E82F65"/>
    <w:rsid w:val="00E83164"/>
    <w:rsid w:val="00E833CC"/>
    <w:rsid w:val="00E835D9"/>
    <w:rsid w:val="00E83A04"/>
    <w:rsid w:val="00E83B0D"/>
    <w:rsid w:val="00E83FB0"/>
    <w:rsid w:val="00E846B8"/>
    <w:rsid w:val="00E84895"/>
    <w:rsid w:val="00E848E0"/>
    <w:rsid w:val="00E84912"/>
    <w:rsid w:val="00E84ADC"/>
    <w:rsid w:val="00E84B66"/>
    <w:rsid w:val="00E84B79"/>
    <w:rsid w:val="00E84BE7"/>
    <w:rsid w:val="00E84CF2"/>
    <w:rsid w:val="00E84D40"/>
    <w:rsid w:val="00E853C4"/>
    <w:rsid w:val="00E85409"/>
    <w:rsid w:val="00E8549A"/>
    <w:rsid w:val="00E85516"/>
    <w:rsid w:val="00E85522"/>
    <w:rsid w:val="00E8588B"/>
    <w:rsid w:val="00E85D52"/>
    <w:rsid w:val="00E85E4B"/>
    <w:rsid w:val="00E85E55"/>
    <w:rsid w:val="00E86004"/>
    <w:rsid w:val="00E86119"/>
    <w:rsid w:val="00E861B5"/>
    <w:rsid w:val="00E8645D"/>
    <w:rsid w:val="00E86632"/>
    <w:rsid w:val="00E8693E"/>
    <w:rsid w:val="00E86C17"/>
    <w:rsid w:val="00E86DC7"/>
    <w:rsid w:val="00E86F04"/>
    <w:rsid w:val="00E871DD"/>
    <w:rsid w:val="00E874DA"/>
    <w:rsid w:val="00E8761F"/>
    <w:rsid w:val="00E87634"/>
    <w:rsid w:val="00E8781D"/>
    <w:rsid w:val="00E87821"/>
    <w:rsid w:val="00E87C23"/>
    <w:rsid w:val="00E87D73"/>
    <w:rsid w:val="00E87D79"/>
    <w:rsid w:val="00E87FB7"/>
    <w:rsid w:val="00E901A4"/>
    <w:rsid w:val="00E901F6"/>
    <w:rsid w:val="00E9028F"/>
    <w:rsid w:val="00E902AC"/>
    <w:rsid w:val="00E90364"/>
    <w:rsid w:val="00E90365"/>
    <w:rsid w:val="00E909F0"/>
    <w:rsid w:val="00E90A9C"/>
    <w:rsid w:val="00E90BE7"/>
    <w:rsid w:val="00E91063"/>
    <w:rsid w:val="00E911C5"/>
    <w:rsid w:val="00E911D1"/>
    <w:rsid w:val="00E9156F"/>
    <w:rsid w:val="00E916C9"/>
    <w:rsid w:val="00E91912"/>
    <w:rsid w:val="00E919F7"/>
    <w:rsid w:val="00E91B1C"/>
    <w:rsid w:val="00E91D5D"/>
    <w:rsid w:val="00E91DB6"/>
    <w:rsid w:val="00E91F7C"/>
    <w:rsid w:val="00E9205E"/>
    <w:rsid w:val="00E9211A"/>
    <w:rsid w:val="00E92178"/>
    <w:rsid w:val="00E921F0"/>
    <w:rsid w:val="00E921F5"/>
    <w:rsid w:val="00E9237C"/>
    <w:rsid w:val="00E923F7"/>
    <w:rsid w:val="00E927CC"/>
    <w:rsid w:val="00E929F4"/>
    <w:rsid w:val="00E92FAF"/>
    <w:rsid w:val="00E93036"/>
    <w:rsid w:val="00E93164"/>
    <w:rsid w:val="00E9316C"/>
    <w:rsid w:val="00E93517"/>
    <w:rsid w:val="00E93787"/>
    <w:rsid w:val="00E937A9"/>
    <w:rsid w:val="00E938D4"/>
    <w:rsid w:val="00E938F6"/>
    <w:rsid w:val="00E938FA"/>
    <w:rsid w:val="00E93B00"/>
    <w:rsid w:val="00E93BA8"/>
    <w:rsid w:val="00E93D87"/>
    <w:rsid w:val="00E93EC0"/>
    <w:rsid w:val="00E93F22"/>
    <w:rsid w:val="00E93F79"/>
    <w:rsid w:val="00E93FCA"/>
    <w:rsid w:val="00E941D9"/>
    <w:rsid w:val="00E9431E"/>
    <w:rsid w:val="00E944CD"/>
    <w:rsid w:val="00E94517"/>
    <w:rsid w:val="00E945A0"/>
    <w:rsid w:val="00E94735"/>
    <w:rsid w:val="00E94ACB"/>
    <w:rsid w:val="00E94B37"/>
    <w:rsid w:val="00E94CC4"/>
    <w:rsid w:val="00E94EA7"/>
    <w:rsid w:val="00E94EB7"/>
    <w:rsid w:val="00E94EBB"/>
    <w:rsid w:val="00E94ED8"/>
    <w:rsid w:val="00E95071"/>
    <w:rsid w:val="00E952B5"/>
    <w:rsid w:val="00E95581"/>
    <w:rsid w:val="00E95724"/>
    <w:rsid w:val="00E95815"/>
    <w:rsid w:val="00E95984"/>
    <w:rsid w:val="00E959DD"/>
    <w:rsid w:val="00E95BF9"/>
    <w:rsid w:val="00E95E35"/>
    <w:rsid w:val="00E961A8"/>
    <w:rsid w:val="00E96334"/>
    <w:rsid w:val="00E964F1"/>
    <w:rsid w:val="00E9671C"/>
    <w:rsid w:val="00E967CA"/>
    <w:rsid w:val="00E96C37"/>
    <w:rsid w:val="00E96FDD"/>
    <w:rsid w:val="00E971F4"/>
    <w:rsid w:val="00E9732A"/>
    <w:rsid w:val="00E97476"/>
    <w:rsid w:val="00E9764B"/>
    <w:rsid w:val="00E976B6"/>
    <w:rsid w:val="00E97823"/>
    <w:rsid w:val="00E9791D"/>
    <w:rsid w:val="00E97A8E"/>
    <w:rsid w:val="00E97C29"/>
    <w:rsid w:val="00E97D19"/>
    <w:rsid w:val="00E97DC0"/>
    <w:rsid w:val="00EA01D8"/>
    <w:rsid w:val="00EA02B8"/>
    <w:rsid w:val="00EA02EF"/>
    <w:rsid w:val="00EA04FF"/>
    <w:rsid w:val="00EA0640"/>
    <w:rsid w:val="00EA06A9"/>
    <w:rsid w:val="00EA06CE"/>
    <w:rsid w:val="00EA0785"/>
    <w:rsid w:val="00EA0887"/>
    <w:rsid w:val="00EA08C2"/>
    <w:rsid w:val="00EA09C9"/>
    <w:rsid w:val="00EA0B26"/>
    <w:rsid w:val="00EA0B98"/>
    <w:rsid w:val="00EA1465"/>
    <w:rsid w:val="00EA1490"/>
    <w:rsid w:val="00EA155C"/>
    <w:rsid w:val="00EA15F9"/>
    <w:rsid w:val="00EA1732"/>
    <w:rsid w:val="00EA1811"/>
    <w:rsid w:val="00EA1923"/>
    <w:rsid w:val="00EA198B"/>
    <w:rsid w:val="00EA1B4A"/>
    <w:rsid w:val="00EA1D73"/>
    <w:rsid w:val="00EA1DD2"/>
    <w:rsid w:val="00EA1FA7"/>
    <w:rsid w:val="00EA2090"/>
    <w:rsid w:val="00EA2190"/>
    <w:rsid w:val="00EA2405"/>
    <w:rsid w:val="00EA2547"/>
    <w:rsid w:val="00EA266E"/>
    <w:rsid w:val="00EA26E8"/>
    <w:rsid w:val="00EA26F0"/>
    <w:rsid w:val="00EA273D"/>
    <w:rsid w:val="00EA2835"/>
    <w:rsid w:val="00EA2983"/>
    <w:rsid w:val="00EA2A14"/>
    <w:rsid w:val="00EA2B25"/>
    <w:rsid w:val="00EA2E01"/>
    <w:rsid w:val="00EA2E09"/>
    <w:rsid w:val="00EA2E70"/>
    <w:rsid w:val="00EA3283"/>
    <w:rsid w:val="00EA32E5"/>
    <w:rsid w:val="00EA332D"/>
    <w:rsid w:val="00EA3489"/>
    <w:rsid w:val="00EA36DE"/>
    <w:rsid w:val="00EA375C"/>
    <w:rsid w:val="00EA3960"/>
    <w:rsid w:val="00EA3979"/>
    <w:rsid w:val="00EA3992"/>
    <w:rsid w:val="00EA3A44"/>
    <w:rsid w:val="00EA3C58"/>
    <w:rsid w:val="00EA3D66"/>
    <w:rsid w:val="00EA3D9A"/>
    <w:rsid w:val="00EA3D9B"/>
    <w:rsid w:val="00EA3DB7"/>
    <w:rsid w:val="00EA3DDF"/>
    <w:rsid w:val="00EA3EA6"/>
    <w:rsid w:val="00EA3FE9"/>
    <w:rsid w:val="00EA40F2"/>
    <w:rsid w:val="00EA449A"/>
    <w:rsid w:val="00EA44F5"/>
    <w:rsid w:val="00EA49D7"/>
    <w:rsid w:val="00EA4B25"/>
    <w:rsid w:val="00EA4E5D"/>
    <w:rsid w:val="00EA4E85"/>
    <w:rsid w:val="00EA4F46"/>
    <w:rsid w:val="00EA4F97"/>
    <w:rsid w:val="00EA503D"/>
    <w:rsid w:val="00EA5521"/>
    <w:rsid w:val="00EA55E0"/>
    <w:rsid w:val="00EA569E"/>
    <w:rsid w:val="00EA5778"/>
    <w:rsid w:val="00EA58C7"/>
    <w:rsid w:val="00EA5969"/>
    <w:rsid w:val="00EA5E5B"/>
    <w:rsid w:val="00EA605E"/>
    <w:rsid w:val="00EA60D4"/>
    <w:rsid w:val="00EA6123"/>
    <w:rsid w:val="00EA61CA"/>
    <w:rsid w:val="00EA6405"/>
    <w:rsid w:val="00EA666B"/>
    <w:rsid w:val="00EA688F"/>
    <w:rsid w:val="00EA6A09"/>
    <w:rsid w:val="00EA6AC9"/>
    <w:rsid w:val="00EA6FE7"/>
    <w:rsid w:val="00EA723D"/>
    <w:rsid w:val="00EA7411"/>
    <w:rsid w:val="00EA74F2"/>
    <w:rsid w:val="00EA76D5"/>
    <w:rsid w:val="00EA7884"/>
    <w:rsid w:val="00EA7B87"/>
    <w:rsid w:val="00EA7BFF"/>
    <w:rsid w:val="00EA7D2C"/>
    <w:rsid w:val="00EB0033"/>
    <w:rsid w:val="00EB0063"/>
    <w:rsid w:val="00EB00B9"/>
    <w:rsid w:val="00EB0197"/>
    <w:rsid w:val="00EB01C7"/>
    <w:rsid w:val="00EB0205"/>
    <w:rsid w:val="00EB0396"/>
    <w:rsid w:val="00EB04C4"/>
    <w:rsid w:val="00EB0620"/>
    <w:rsid w:val="00EB06E2"/>
    <w:rsid w:val="00EB07CE"/>
    <w:rsid w:val="00EB0846"/>
    <w:rsid w:val="00EB0956"/>
    <w:rsid w:val="00EB0BFF"/>
    <w:rsid w:val="00EB0C0A"/>
    <w:rsid w:val="00EB0D83"/>
    <w:rsid w:val="00EB1037"/>
    <w:rsid w:val="00EB1372"/>
    <w:rsid w:val="00EB141A"/>
    <w:rsid w:val="00EB15AF"/>
    <w:rsid w:val="00EB1B3C"/>
    <w:rsid w:val="00EB1B55"/>
    <w:rsid w:val="00EB1C0A"/>
    <w:rsid w:val="00EB1CA5"/>
    <w:rsid w:val="00EB1D05"/>
    <w:rsid w:val="00EB1DDA"/>
    <w:rsid w:val="00EB1DE3"/>
    <w:rsid w:val="00EB1E08"/>
    <w:rsid w:val="00EB1F00"/>
    <w:rsid w:val="00EB1F42"/>
    <w:rsid w:val="00EB208D"/>
    <w:rsid w:val="00EB2242"/>
    <w:rsid w:val="00EB2353"/>
    <w:rsid w:val="00EB240E"/>
    <w:rsid w:val="00EB2577"/>
    <w:rsid w:val="00EB26F3"/>
    <w:rsid w:val="00EB2772"/>
    <w:rsid w:val="00EB2828"/>
    <w:rsid w:val="00EB29B9"/>
    <w:rsid w:val="00EB2DB8"/>
    <w:rsid w:val="00EB2EC4"/>
    <w:rsid w:val="00EB329C"/>
    <w:rsid w:val="00EB32A8"/>
    <w:rsid w:val="00EB32E2"/>
    <w:rsid w:val="00EB33D7"/>
    <w:rsid w:val="00EB36A4"/>
    <w:rsid w:val="00EB3797"/>
    <w:rsid w:val="00EB3B00"/>
    <w:rsid w:val="00EB3ED3"/>
    <w:rsid w:val="00EB3F21"/>
    <w:rsid w:val="00EB4568"/>
    <w:rsid w:val="00EB466F"/>
    <w:rsid w:val="00EB46F5"/>
    <w:rsid w:val="00EB4846"/>
    <w:rsid w:val="00EB488E"/>
    <w:rsid w:val="00EB4AE3"/>
    <w:rsid w:val="00EB4BC9"/>
    <w:rsid w:val="00EB4C97"/>
    <w:rsid w:val="00EB4D4D"/>
    <w:rsid w:val="00EB512A"/>
    <w:rsid w:val="00EB5461"/>
    <w:rsid w:val="00EB55A4"/>
    <w:rsid w:val="00EB5611"/>
    <w:rsid w:val="00EB5751"/>
    <w:rsid w:val="00EB58C5"/>
    <w:rsid w:val="00EB597A"/>
    <w:rsid w:val="00EB59B4"/>
    <w:rsid w:val="00EB5B1B"/>
    <w:rsid w:val="00EB5BB4"/>
    <w:rsid w:val="00EB5BCC"/>
    <w:rsid w:val="00EB5D08"/>
    <w:rsid w:val="00EB5D8C"/>
    <w:rsid w:val="00EB5F3B"/>
    <w:rsid w:val="00EB6005"/>
    <w:rsid w:val="00EB6037"/>
    <w:rsid w:val="00EB61BF"/>
    <w:rsid w:val="00EB6321"/>
    <w:rsid w:val="00EB65D8"/>
    <w:rsid w:val="00EB65E5"/>
    <w:rsid w:val="00EB678A"/>
    <w:rsid w:val="00EB6950"/>
    <w:rsid w:val="00EB6ACE"/>
    <w:rsid w:val="00EB6ADD"/>
    <w:rsid w:val="00EB6B22"/>
    <w:rsid w:val="00EB6B42"/>
    <w:rsid w:val="00EB6BA0"/>
    <w:rsid w:val="00EB6C3C"/>
    <w:rsid w:val="00EB6CC8"/>
    <w:rsid w:val="00EB6E00"/>
    <w:rsid w:val="00EB6F98"/>
    <w:rsid w:val="00EB70F8"/>
    <w:rsid w:val="00EB71E0"/>
    <w:rsid w:val="00EB725B"/>
    <w:rsid w:val="00EB7281"/>
    <w:rsid w:val="00EB7286"/>
    <w:rsid w:val="00EB73C7"/>
    <w:rsid w:val="00EB74B7"/>
    <w:rsid w:val="00EB75FE"/>
    <w:rsid w:val="00EB776D"/>
    <w:rsid w:val="00EB7935"/>
    <w:rsid w:val="00EB79DF"/>
    <w:rsid w:val="00EB7C91"/>
    <w:rsid w:val="00EB7DDB"/>
    <w:rsid w:val="00EB7EB5"/>
    <w:rsid w:val="00EC00B6"/>
    <w:rsid w:val="00EC03AE"/>
    <w:rsid w:val="00EC0426"/>
    <w:rsid w:val="00EC04A9"/>
    <w:rsid w:val="00EC0556"/>
    <w:rsid w:val="00EC05B6"/>
    <w:rsid w:val="00EC0602"/>
    <w:rsid w:val="00EC0674"/>
    <w:rsid w:val="00EC07A5"/>
    <w:rsid w:val="00EC07B6"/>
    <w:rsid w:val="00EC084B"/>
    <w:rsid w:val="00EC094A"/>
    <w:rsid w:val="00EC098D"/>
    <w:rsid w:val="00EC0B01"/>
    <w:rsid w:val="00EC0CAA"/>
    <w:rsid w:val="00EC0CC1"/>
    <w:rsid w:val="00EC0ECB"/>
    <w:rsid w:val="00EC1269"/>
    <w:rsid w:val="00EC12DD"/>
    <w:rsid w:val="00EC12EC"/>
    <w:rsid w:val="00EC12EE"/>
    <w:rsid w:val="00EC1A4E"/>
    <w:rsid w:val="00EC1B64"/>
    <w:rsid w:val="00EC1CD1"/>
    <w:rsid w:val="00EC1DD3"/>
    <w:rsid w:val="00EC2148"/>
    <w:rsid w:val="00EC230E"/>
    <w:rsid w:val="00EC2335"/>
    <w:rsid w:val="00EC23EF"/>
    <w:rsid w:val="00EC265E"/>
    <w:rsid w:val="00EC2725"/>
    <w:rsid w:val="00EC2818"/>
    <w:rsid w:val="00EC28C3"/>
    <w:rsid w:val="00EC29D1"/>
    <w:rsid w:val="00EC2AD0"/>
    <w:rsid w:val="00EC2BF9"/>
    <w:rsid w:val="00EC2CC6"/>
    <w:rsid w:val="00EC2D80"/>
    <w:rsid w:val="00EC30FD"/>
    <w:rsid w:val="00EC32E9"/>
    <w:rsid w:val="00EC3424"/>
    <w:rsid w:val="00EC385D"/>
    <w:rsid w:val="00EC393F"/>
    <w:rsid w:val="00EC3996"/>
    <w:rsid w:val="00EC39EC"/>
    <w:rsid w:val="00EC3B5D"/>
    <w:rsid w:val="00EC3BE9"/>
    <w:rsid w:val="00EC3C68"/>
    <w:rsid w:val="00EC3D8F"/>
    <w:rsid w:val="00EC3F1E"/>
    <w:rsid w:val="00EC4006"/>
    <w:rsid w:val="00EC4099"/>
    <w:rsid w:val="00EC40C4"/>
    <w:rsid w:val="00EC418A"/>
    <w:rsid w:val="00EC43E3"/>
    <w:rsid w:val="00EC44D4"/>
    <w:rsid w:val="00EC453A"/>
    <w:rsid w:val="00EC45D1"/>
    <w:rsid w:val="00EC4732"/>
    <w:rsid w:val="00EC4928"/>
    <w:rsid w:val="00EC4B65"/>
    <w:rsid w:val="00EC4D79"/>
    <w:rsid w:val="00EC4E1B"/>
    <w:rsid w:val="00EC4EC0"/>
    <w:rsid w:val="00EC56B8"/>
    <w:rsid w:val="00EC5B6E"/>
    <w:rsid w:val="00EC5B83"/>
    <w:rsid w:val="00EC5C61"/>
    <w:rsid w:val="00EC61A2"/>
    <w:rsid w:val="00EC623D"/>
    <w:rsid w:val="00EC645D"/>
    <w:rsid w:val="00EC656A"/>
    <w:rsid w:val="00EC6595"/>
    <w:rsid w:val="00EC65F3"/>
    <w:rsid w:val="00EC66F2"/>
    <w:rsid w:val="00EC670D"/>
    <w:rsid w:val="00EC692B"/>
    <w:rsid w:val="00EC69B5"/>
    <w:rsid w:val="00EC6B13"/>
    <w:rsid w:val="00EC6D8E"/>
    <w:rsid w:val="00EC6EE5"/>
    <w:rsid w:val="00EC6F07"/>
    <w:rsid w:val="00EC7041"/>
    <w:rsid w:val="00EC72F0"/>
    <w:rsid w:val="00EC7477"/>
    <w:rsid w:val="00EC74D4"/>
    <w:rsid w:val="00EC7759"/>
    <w:rsid w:val="00EC78AB"/>
    <w:rsid w:val="00EC7B6E"/>
    <w:rsid w:val="00EC7EE2"/>
    <w:rsid w:val="00ED0309"/>
    <w:rsid w:val="00ED0341"/>
    <w:rsid w:val="00ED04D4"/>
    <w:rsid w:val="00ED0819"/>
    <w:rsid w:val="00ED09BC"/>
    <w:rsid w:val="00ED09BF"/>
    <w:rsid w:val="00ED0A60"/>
    <w:rsid w:val="00ED0D91"/>
    <w:rsid w:val="00ED0DD5"/>
    <w:rsid w:val="00ED0F0C"/>
    <w:rsid w:val="00ED0FCE"/>
    <w:rsid w:val="00ED10BE"/>
    <w:rsid w:val="00ED10C1"/>
    <w:rsid w:val="00ED1174"/>
    <w:rsid w:val="00ED11D3"/>
    <w:rsid w:val="00ED12FB"/>
    <w:rsid w:val="00ED1545"/>
    <w:rsid w:val="00ED1592"/>
    <w:rsid w:val="00ED16A8"/>
    <w:rsid w:val="00ED18F3"/>
    <w:rsid w:val="00ED1991"/>
    <w:rsid w:val="00ED1B13"/>
    <w:rsid w:val="00ED1ED2"/>
    <w:rsid w:val="00ED20E3"/>
    <w:rsid w:val="00ED22BE"/>
    <w:rsid w:val="00ED22C0"/>
    <w:rsid w:val="00ED24D6"/>
    <w:rsid w:val="00ED24DD"/>
    <w:rsid w:val="00ED256D"/>
    <w:rsid w:val="00ED25E9"/>
    <w:rsid w:val="00ED265A"/>
    <w:rsid w:val="00ED266E"/>
    <w:rsid w:val="00ED276B"/>
    <w:rsid w:val="00ED291C"/>
    <w:rsid w:val="00ED2C23"/>
    <w:rsid w:val="00ED2F7D"/>
    <w:rsid w:val="00ED2FDA"/>
    <w:rsid w:val="00ED305E"/>
    <w:rsid w:val="00ED3285"/>
    <w:rsid w:val="00ED3347"/>
    <w:rsid w:val="00ED3776"/>
    <w:rsid w:val="00ED37C7"/>
    <w:rsid w:val="00ED3857"/>
    <w:rsid w:val="00ED38C0"/>
    <w:rsid w:val="00ED38C5"/>
    <w:rsid w:val="00ED3C68"/>
    <w:rsid w:val="00ED3E11"/>
    <w:rsid w:val="00ED4367"/>
    <w:rsid w:val="00ED43E3"/>
    <w:rsid w:val="00ED4488"/>
    <w:rsid w:val="00ED458B"/>
    <w:rsid w:val="00ED45A8"/>
    <w:rsid w:val="00ED4794"/>
    <w:rsid w:val="00ED49C5"/>
    <w:rsid w:val="00ED4A24"/>
    <w:rsid w:val="00ED4B61"/>
    <w:rsid w:val="00ED4D3A"/>
    <w:rsid w:val="00ED4F0E"/>
    <w:rsid w:val="00ED5063"/>
    <w:rsid w:val="00ED5138"/>
    <w:rsid w:val="00ED5364"/>
    <w:rsid w:val="00ED53A0"/>
    <w:rsid w:val="00ED57A9"/>
    <w:rsid w:val="00ED57CD"/>
    <w:rsid w:val="00ED597E"/>
    <w:rsid w:val="00ED5A99"/>
    <w:rsid w:val="00ED5BA1"/>
    <w:rsid w:val="00ED5DB6"/>
    <w:rsid w:val="00ED5FB7"/>
    <w:rsid w:val="00ED601E"/>
    <w:rsid w:val="00ED61D5"/>
    <w:rsid w:val="00ED6441"/>
    <w:rsid w:val="00ED65D5"/>
    <w:rsid w:val="00ED663F"/>
    <w:rsid w:val="00ED6826"/>
    <w:rsid w:val="00ED6894"/>
    <w:rsid w:val="00ED69C0"/>
    <w:rsid w:val="00ED6CD5"/>
    <w:rsid w:val="00ED6E65"/>
    <w:rsid w:val="00ED6EC3"/>
    <w:rsid w:val="00ED6ED7"/>
    <w:rsid w:val="00ED6FAB"/>
    <w:rsid w:val="00ED6FC7"/>
    <w:rsid w:val="00ED704A"/>
    <w:rsid w:val="00ED7123"/>
    <w:rsid w:val="00ED7175"/>
    <w:rsid w:val="00ED722D"/>
    <w:rsid w:val="00ED7359"/>
    <w:rsid w:val="00ED73A6"/>
    <w:rsid w:val="00ED7560"/>
    <w:rsid w:val="00ED7626"/>
    <w:rsid w:val="00ED78D3"/>
    <w:rsid w:val="00ED7965"/>
    <w:rsid w:val="00ED799B"/>
    <w:rsid w:val="00ED7B27"/>
    <w:rsid w:val="00ED7BF8"/>
    <w:rsid w:val="00EE0340"/>
    <w:rsid w:val="00EE055A"/>
    <w:rsid w:val="00EE065D"/>
    <w:rsid w:val="00EE0689"/>
    <w:rsid w:val="00EE0749"/>
    <w:rsid w:val="00EE08E2"/>
    <w:rsid w:val="00EE0C86"/>
    <w:rsid w:val="00EE0C92"/>
    <w:rsid w:val="00EE0EBF"/>
    <w:rsid w:val="00EE1048"/>
    <w:rsid w:val="00EE1121"/>
    <w:rsid w:val="00EE139A"/>
    <w:rsid w:val="00EE18A5"/>
    <w:rsid w:val="00EE19ED"/>
    <w:rsid w:val="00EE1A57"/>
    <w:rsid w:val="00EE1AB1"/>
    <w:rsid w:val="00EE1B99"/>
    <w:rsid w:val="00EE1E04"/>
    <w:rsid w:val="00EE1E1C"/>
    <w:rsid w:val="00EE1F6B"/>
    <w:rsid w:val="00EE20CA"/>
    <w:rsid w:val="00EE2209"/>
    <w:rsid w:val="00EE229C"/>
    <w:rsid w:val="00EE2699"/>
    <w:rsid w:val="00EE281E"/>
    <w:rsid w:val="00EE2B67"/>
    <w:rsid w:val="00EE2B8D"/>
    <w:rsid w:val="00EE2D97"/>
    <w:rsid w:val="00EE2F22"/>
    <w:rsid w:val="00EE2F80"/>
    <w:rsid w:val="00EE33E2"/>
    <w:rsid w:val="00EE3431"/>
    <w:rsid w:val="00EE3527"/>
    <w:rsid w:val="00EE360C"/>
    <w:rsid w:val="00EE3964"/>
    <w:rsid w:val="00EE39D5"/>
    <w:rsid w:val="00EE3AA5"/>
    <w:rsid w:val="00EE3C5D"/>
    <w:rsid w:val="00EE3C95"/>
    <w:rsid w:val="00EE3CB4"/>
    <w:rsid w:val="00EE3FE1"/>
    <w:rsid w:val="00EE3FF7"/>
    <w:rsid w:val="00EE4126"/>
    <w:rsid w:val="00EE41F6"/>
    <w:rsid w:val="00EE42A6"/>
    <w:rsid w:val="00EE4425"/>
    <w:rsid w:val="00EE46F1"/>
    <w:rsid w:val="00EE4778"/>
    <w:rsid w:val="00EE4B1D"/>
    <w:rsid w:val="00EE4B9E"/>
    <w:rsid w:val="00EE4BA8"/>
    <w:rsid w:val="00EE4EF5"/>
    <w:rsid w:val="00EE4FF4"/>
    <w:rsid w:val="00EE51AA"/>
    <w:rsid w:val="00EE52B8"/>
    <w:rsid w:val="00EE568E"/>
    <w:rsid w:val="00EE57AB"/>
    <w:rsid w:val="00EE5AD7"/>
    <w:rsid w:val="00EE5B94"/>
    <w:rsid w:val="00EE5B9A"/>
    <w:rsid w:val="00EE5C29"/>
    <w:rsid w:val="00EE5C98"/>
    <w:rsid w:val="00EE5D74"/>
    <w:rsid w:val="00EE612B"/>
    <w:rsid w:val="00EE612C"/>
    <w:rsid w:val="00EE6595"/>
    <w:rsid w:val="00EE65D0"/>
    <w:rsid w:val="00EE67FF"/>
    <w:rsid w:val="00EE6A19"/>
    <w:rsid w:val="00EE707E"/>
    <w:rsid w:val="00EE74FB"/>
    <w:rsid w:val="00EE75DA"/>
    <w:rsid w:val="00EE769E"/>
    <w:rsid w:val="00EE77F1"/>
    <w:rsid w:val="00EE78D2"/>
    <w:rsid w:val="00EE7CD3"/>
    <w:rsid w:val="00EF0122"/>
    <w:rsid w:val="00EF0191"/>
    <w:rsid w:val="00EF0345"/>
    <w:rsid w:val="00EF0630"/>
    <w:rsid w:val="00EF068D"/>
    <w:rsid w:val="00EF0890"/>
    <w:rsid w:val="00EF0A78"/>
    <w:rsid w:val="00EF0BE2"/>
    <w:rsid w:val="00EF0C13"/>
    <w:rsid w:val="00EF0CDA"/>
    <w:rsid w:val="00EF0E0B"/>
    <w:rsid w:val="00EF0EAF"/>
    <w:rsid w:val="00EF0EBD"/>
    <w:rsid w:val="00EF115F"/>
    <w:rsid w:val="00EF11F1"/>
    <w:rsid w:val="00EF12EF"/>
    <w:rsid w:val="00EF1497"/>
    <w:rsid w:val="00EF14A5"/>
    <w:rsid w:val="00EF16C2"/>
    <w:rsid w:val="00EF1818"/>
    <w:rsid w:val="00EF1B0D"/>
    <w:rsid w:val="00EF1E35"/>
    <w:rsid w:val="00EF1ECE"/>
    <w:rsid w:val="00EF2043"/>
    <w:rsid w:val="00EF2085"/>
    <w:rsid w:val="00EF2209"/>
    <w:rsid w:val="00EF247C"/>
    <w:rsid w:val="00EF260B"/>
    <w:rsid w:val="00EF2652"/>
    <w:rsid w:val="00EF26EB"/>
    <w:rsid w:val="00EF273E"/>
    <w:rsid w:val="00EF276A"/>
    <w:rsid w:val="00EF2901"/>
    <w:rsid w:val="00EF2C00"/>
    <w:rsid w:val="00EF3095"/>
    <w:rsid w:val="00EF3155"/>
    <w:rsid w:val="00EF3174"/>
    <w:rsid w:val="00EF3260"/>
    <w:rsid w:val="00EF3264"/>
    <w:rsid w:val="00EF326B"/>
    <w:rsid w:val="00EF3291"/>
    <w:rsid w:val="00EF3315"/>
    <w:rsid w:val="00EF3406"/>
    <w:rsid w:val="00EF3526"/>
    <w:rsid w:val="00EF373D"/>
    <w:rsid w:val="00EF3774"/>
    <w:rsid w:val="00EF3D2C"/>
    <w:rsid w:val="00EF3F52"/>
    <w:rsid w:val="00EF3F5C"/>
    <w:rsid w:val="00EF4163"/>
    <w:rsid w:val="00EF4264"/>
    <w:rsid w:val="00EF44BC"/>
    <w:rsid w:val="00EF468E"/>
    <w:rsid w:val="00EF47D2"/>
    <w:rsid w:val="00EF496E"/>
    <w:rsid w:val="00EF4A70"/>
    <w:rsid w:val="00EF4AB2"/>
    <w:rsid w:val="00EF4AD2"/>
    <w:rsid w:val="00EF4B46"/>
    <w:rsid w:val="00EF4B8C"/>
    <w:rsid w:val="00EF4BDD"/>
    <w:rsid w:val="00EF4C39"/>
    <w:rsid w:val="00EF4DE7"/>
    <w:rsid w:val="00EF50E0"/>
    <w:rsid w:val="00EF50E9"/>
    <w:rsid w:val="00EF5332"/>
    <w:rsid w:val="00EF53B1"/>
    <w:rsid w:val="00EF564F"/>
    <w:rsid w:val="00EF57B6"/>
    <w:rsid w:val="00EF588E"/>
    <w:rsid w:val="00EF59CD"/>
    <w:rsid w:val="00EF5A8D"/>
    <w:rsid w:val="00EF5D51"/>
    <w:rsid w:val="00EF5FE5"/>
    <w:rsid w:val="00EF6009"/>
    <w:rsid w:val="00EF6021"/>
    <w:rsid w:val="00EF61FC"/>
    <w:rsid w:val="00EF6369"/>
    <w:rsid w:val="00EF6505"/>
    <w:rsid w:val="00EF70CF"/>
    <w:rsid w:val="00EF739A"/>
    <w:rsid w:val="00EF77FA"/>
    <w:rsid w:val="00EF783B"/>
    <w:rsid w:val="00EF798E"/>
    <w:rsid w:val="00EF7C4C"/>
    <w:rsid w:val="00EF7F7F"/>
    <w:rsid w:val="00F00059"/>
    <w:rsid w:val="00F00267"/>
    <w:rsid w:val="00F003BA"/>
    <w:rsid w:val="00F004D4"/>
    <w:rsid w:val="00F004DE"/>
    <w:rsid w:val="00F005F8"/>
    <w:rsid w:val="00F00782"/>
    <w:rsid w:val="00F0089F"/>
    <w:rsid w:val="00F0099E"/>
    <w:rsid w:val="00F00BAC"/>
    <w:rsid w:val="00F00CA1"/>
    <w:rsid w:val="00F00D92"/>
    <w:rsid w:val="00F00E4A"/>
    <w:rsid w:val="00F00F9E"/>
    <w:rsid w:val="00F01279"/>
    <w:rsid w:val="00F01352"/>
    <w:rsid w:val="00F013CF"/>
    <w:rsid w:val="00F01425"/>
    <w:rsid w:val="00F01439"/>
    <w:rsid w:val="00F01489"/>
    <w:rsid w:val="00F01509"/>
    <w:rsid w:val="00F0160C"/>
    <w:rsid w:val="00F016FA"/>
    <w:rsid w:val="00F01986"/>
    <w:rsid w:val="00F01A03"/>
    <w:rsid w:val="00F01A35"/>
    <w:rsid w:val="00F01A50"/>
    <w:rsid w:val="00F01B7B"/>
    <w:rsid w:val="00F01C91"/>
    <w:rsid w:val="00F01D1A"/>
    <w:rsid w:val="00F025B9"/>
    <w:rsid w:val="00F026A3"/>
    <w:rsid w:val="00F026BC"/>
    <w:rsid w:val="00F026ED"/>
    <w:rsid w:val="00F0279E"/>
    <w:rsid w:val="00F027E2"/>
    <w:rsid w:val="00F02998"/>
    <w:rsid w:val="00F02AE1"/>
    <w:rsid w:val="00F02C65"/>
    <w:rsid w:val="00F031D3"/>
    <w:rsid w:val="00F031EE"/>
    <w:rsid w:val="00F03468"/>
    <w:rsid w:val="00F03474"/>
    <w:rsid w:val="00F036AC"/>
    <w:rsid w:val="00F036EF"/>
    <w:rsid w:val="00F038E9"/>
    <w:rsid w:val="00F03950"/>
    <w:rsid w:val="00F03A4B"/>
    <w:rsid w:val="00F03C9F"/>
    <w:rsid w:val="00F03FFE"/>
    <w:rsid w:val="00F0414E"/>
    <w:rsid w:val="00F046FD"/>
    <w:rsid w:val="00F0481D"/>
    <w:rsid w:val="00F048F7"/>
    <w:rsid w:val="00F04EAC"/>
    <w:rsid w:val="00F04EFE"/>
    <w:rsid w:val="00F05155"/>
    <w:rsid w:val="00F052E7"/>
    <w:rsid w:val="00F05597"/>
    <w:rsid w:val="00F0569E"/>
    <w:rsid w:val="00F057C6"/>
    <w:rsid w:val="00F0587A"/>
    <w:rsid w:val="00F05AFF"/>
    <w:rsid w:val="00F0623F"/>
    <w:rsid w:val="00F06269"/>
    <w:rsid w:val="00F0634A"/>
    <w:rsid w:val="00F0634E"/>
    <w:rsid w:val="00F063E7"/>
    <w:rsid w:val="00F068C2"/>
    <w:rsid w:val="00F06ABE"/>
    <w:rsid w:val="00F06CF1"/>
    <w:rsid w:val="00F06ED7"/>
    <w:rsid w:val="00F070B5"/>
    <w:rsid w:val="00F0714D"/>
    <w:rsid w:val="00F0729B"/>
    <w:rsid w:val="00F0739D"/>
    <w:rsid w:val="00F0744D"/>
    <w:rsid w:val="00F0747D"/>
    <w:rsid w:val="00F0758A"/>
    <w:rsid w:val="00F0787E"/>
    <w:rsid w:val="00F07DBE"/>
    <w:rsid w:val="00F07EBD"/>
    <w:rsid w:val="00F07F64"/>
    <w:rsid w:val="00F102D5"/>
    <w:rsid w:val="00F102F5"/>
    <w:rsid w:val="00F10703"/>
    <w:rsid w:val="00F107F4"/>
    <w:rsid w:val="00F109DF"/>
    <w:rsid w:val="00F10A36"/>
    <w:rsid w:val="00F10C3F"/>
    <w:rsid w:val="00F10CCB"/>
    <w:rsid w:val="00F10F0F"/>
    <w:rsid w:val="00F11664"/>
    <w:rsid w:val="00F11758"/>
    <w:rsid w:val="00F1175E"/>
    <w:rsid w:val="00F11774"/>
    <w:rsid w:val="00F117CC"/>
    <w:rsid w:val="00F11873"/>
    <w:rsid w:val="00F1191D"/>
    <w:rsid w:val="00F11A64"/>
    <w:rsid w:val="00F11C3B"/>
    <w:rsid w:val="00F11D9E"/>
    <w:rsid w:val="00F11F93"/>
    <w:rsid w:val="00F1211D"/>
    <w:rsid w:val="00F12140"/>
    <w:rsid w:val="00F12175"/>
    <w:rsid w:val="00F12198"/>
    <w:rsid w:val="00F121D5"/>
    <w:rsid w:val="00F124F7"/>
    <w:rsid w:val="00F1260C"/>
    <w:rsid w:val="00F12703"/>
    <w:rsid w:val="00F127E5"/>
    <w:rsid w:val="00F12AF8"/>
    <w:rsid w:val="00F12BF7"/>
    <w:rsid w:val="00F12D97"/>
    <w:rsid w:val="00F12E54"/>
    <w:rsid w:val="00F1344D"/>
    <w:rsid w:val="00F136B7"/>
    <w:rsid w:val="00F138F9"/>
    <w:rsid w:val="00F13AA4"/>
    <w:rsid w:val="00F13C06"/>
    <w:rsid w:val="00F13CC6"/>
    <w:rsid w:val="00F13D3E"/>
    <w:rsid w:val="00F13ECB"/>
    <w:rsid w:val="00F13EE0"/>
    <w:rsid w:val="00F141E8"/>
    <w:rsid w:val="00F1442D"/>
    <w:rsid w:val="00F14524"/>
    <w:rsid w:val="00F146F4"/>
    <w:rsid w:val="00F147BB"/>
    <w:rsid w:val="00F14859"/>
    <w:rsid w:val="00F1489D"/>
    <w:rsid w:val="00F149FA"/>
    <w:rsid w:val="00F14A0F"/>
    <w:rsid w:val="00F14AE2"/>
    <w:rsid w:val="00F14CD5"/>
    <w:rsid w:val="00F14D6C"/>
    <w:rsid w:val="00F14E56"/>
    <w:rsid w:val="00F14F71"/>
    <w:rsid w:val="00F1524E"/>
    <w:rsid w:val="00F15AEA"/>
    <w:rsid w:val="00F15C43"/>
    <w:rsid w:val="00F16044"/>
    <w:rsid w:val="00F16142"/>
    <w:rsid w:val="00F161CC"/>
    <w:rsid w:val="00F16456"/>
    <w:rsid w:val="00F1648E"/>
    <w:rsid w:val="00F167E4"/>
    <w:rsid w:val="00F16A5E"/>
    <w:rsid w:val="00F16B31"/>
    <w:rsid w:val="00F16B6C"/>
    <w:rsid w:val="00F16C01"/>
    <w:rsid w:val="00F16DC7"/>
    <w:rsid w:val="00F16F39"/>
    <w:rsid w:val="00F1743B"/>
    <w:rsid w:val="00F17840"/>
    <w:rsid w:val="00F178E7"/>
    <w:rsid w:val="00F17AA7"/>
    <w:rsid w:val="00F17B7E"/>
    <w:rsid w:val="00F17BAC"/>
    <w:rsid w:val="00F17FA6"/>
    <w:rsid w:val="00F20006"/>
    <w:rsid w:val="00F20087"/>
    <w:rsid w:val="00F20170"/>
    <w:rsid w:val="00F20291"/>
    <w:rsid w:val="00F20468"/>
    <w:rsid w:val="00F2093D"/>
    <w:rsid w:val="00F209DC"/>
    <w:rsid w:val="00F20A06"/>
    <w:rsid w:val="00F20ABD"/>
    <w:rsid w:val="00F20BA0"/>
    <w:rsid w:val="00F20BE3"/>
    <w:rsid w:val="00F20E95"/>
    <w:rsid w:val="00F20EB2"/>
    <w:rsid w:val="00F2105F"/>
    <w:rsid w:val="00F21281"/>
    <w:rsid w:val="00F2139C"/>
    <w:rsid w:val="00F21405"/>
    <w:rsid w:val="00F216E3"/>
    <w:rsid w:val="00F21714"/>
    <w:rsid w:val="00F217C3"/>
    <w:rsid w:val="00F218C6"/>
    <w:rsid w:val="00F21915"/>
    <w:rsid w:val="00F21A7E"/>
    <w:rsid w:val="00F21C7C"/>
    <w:rsid w:val="00F21E48"/>
    <w:rsid w:val="00F21E57"/>
    <w:rsid w:val="00F21F36"/>
    <w:rsid w:val="00F224E7"/>
    <w:rsid w:val="00F22555"/>
    <w:rsid w:val="00F225D1"/>
    <w:rsid w:val="00F2262B"/>
    <w:rsid w:val="00F226F7"/>
    <w:rsid w:val="00F2297F"/>
    <w:rsid w:val="00F22A59"/>
    <w:rsid w:val="00F22D60"/>
    <w:rsid w:val="00F22E86"/>
    <w:rsid w:val="00F22F26"/>
    <w:rsid w:val="00F22F3B"/>
    <w:rsid w:val="00F22FC8"/>
    <w:rsid w:val="00F230C4"/>
    <w:rsid w:val="00F23143"/>
    <w:rsid w:val="00F233C2"/>
    <w:rsid w:val="00F23486"/>
    <w:rsid w:val="00F23749"/>
    <w:rsid w:val="00F23803"/>
    <w:rsid w:val="00F23977"/>
    <w:rsid w:val="00F23A97"/>
    <w:rsid w:val="00F23BFC"/>
    <w:rsid w:val="00F23C7B"/>
    <w:rsid w:val="00F23CC5"/>
    <w:rsid w:val="00F23DA0"/>
    <w:rsid w:val="00F23F31"/>
    <w:rsid w:val="00F2400E"/>
    <w:rsid w:val="00F241A2"/>
    <w:rsid w:val="00F245CC"/>
    <w:rsid w:val="00F246FD"/>
    <w:rsid w:val="00F24971"/>
    <w:rsid w:val="00F24998"/>
    <w:rsid w:val="00F24999"/>
    <w:rsid w:val="00F24A2C"/>
    <w:rsid w:val="00F24A63"/>
    <w:rsid w:val="00F24AC2"/>
    <w:rsid w:val="00F24B61"/>
    <w:rsid w:val="00F24F89"/>
    <w:rsid w:val="00F24FAE"/>
    <w:rsid w:val="00F25008"/>
    <w:rsid w:val="00F25012"/>
    <w:rsid w:val="00F25054"/>
    <w:rsid w:val="00F250D0"/>
    <w:rsid w:val="00F250E9"/>
    <w:rsid w:val="00F2518F"/>
    <w:rsid w:val="00F25284"/>
    <w:rsid w:val="00F252A7"/>
    <w:rsid w:val="00F2552A"/>
    <w:rsid w:val="00F25738"/>
    <w:rsid w:val="00F25981"/>
    <w:rsid w:val="00F25A25"/>
    <w:rsid w:val="00F25AFE"/>
    <w:rsid w:val="00F25B03"/>
    <w:rsid w:val="00F25D6A"/>
    <w:rsid w:val="00F25F09"/>
    <w:rsid w:val="00F25FF3"/>
    <w:rsid w:val="00F26220"/>
    <w:rsid w:val="00F26304"/>
    <w:rsid w:val="00F263ED"/>
    <w:rsid w:val="00F26490"/>
    <w:rsid w:val="00F2690B"/>
    <w:rsid w:val="00F2692B"/>
    <w:rsid w:val="00F26B1D"/>
    <w:rsid w:val="00F26C2D"/>
    <w:rsid w:val="00F26C73"/>
    <w:rsid w:val="00F26DA1"/>
    <w:rsid w:val="00F26EDB"/>
    <w:rsid w:val="00F27116"/>
    <w:rsid w:val="00F272E8"/>
    <w:rsid w:val="00F2750B"/>
    <w:rsid w:val="00F27558"/>
    <w:rsid w:val="00F27648"/>
    <w:rsid w:val="00F27672"/>
    <w:rsid w:val="00F27755"/>
    <w:rsid w:val="00F27842"/>
    <w:rsid w:val="00F27944"/>
    <w:rsid w:val="00F27B71"/>
    <w:rsid w:val="00F27BE2"/>
    <w:rsid w:val="00F27C87"/>
    <w:rsid w:val="00F27D82"/>
    <w:rsid w:val="00F27DCC"/>
    <w:rsid w:val="00F30224"/>
    <w:rsid w:val="00F30338"/>
    <w:rsid w:val="00F30374"/>
    <w:rsid w:val="00F3048C"/>
    <w:rsid w:val="00F304B2"/>
    <w:rsid w:val="00F30847"/>
    <w:rsid w:val="00F309B6"/>
    <w:rsid w:val="00F30B50"/>
    <w:rsid w:val="00F30BE6"/>
    <w:rsid w:val="00F30C4B"/>
    <w:rsid w:val="00F30CFB"/>
    <w:rsid w:val="00F31670"/>
    <w:rsid w:val="00F3175C"/>
    <w:rsid w:val="00F31AD4"/>
    <w:rsid w:val="00F31BD1"/>
    <w:rsid w:val="00F31D19"/>
    <w:rsid w:val="00F31D43"/>
    <w:rsid w:val="00F31D9C"/>
    <w:rsid w:val="00F31EFC"/>
    <w:rsid w:val="00F32107"/>
    <w:rsid w:val="00F32246"/>
    <w:rsid w:val="00F323AD"/>
    <w:rsid w:val="00F32518"/>
    <w:rsid w:val="00F325BA"/>
    <w:rsid w:val="00F32918"/>
    <w:rsid w:val="00F32C4A"/>
    <w:rsid w:val="00F32F46"/>
    <w:rsid w:val="00F32F4C"/>
    <w:rsid w:val="00F32FB7"/>
    <w:rsid w:val="00F33326"/>
    <w:rsid w:val="00F3342D"/>
    <w:rsid w:val="00F3362F"/>
    <w:rsid w:val="00F3395A"/>
    <w:rsid w:val="00F33A23"/>
    <w:rsid w:val="00F33A95"/>
    <w:rsid w:val="00F33D08"/>
    <w:rsid w:val="00F33DA5"/>
    <w:rsid w:val="00F33E7B"/>
    <w:rsid w:val="00F33FAD"/>
    <w:rsid w:val="00F3426F"/>
    <w:rsid w:val="00F34279"/>
    <w:rsid w:val="00F342DE"/>
    <w:rsid w:val="00F34B15"/>
    <w:rsid w:val="00F34C2F"/>
    <w:rsid w:val="00F34C66"/>
    <w:rsid w:val="00F34F94"/>
    <w:rsid w:val="00F35182"/>
    <w:rsid w:val="00F3526F"/>
    <w:rsid w:val="00F35297"/>
    <w:rsid w:val="00F35312"/>
    <w:rsid w:val="00F35313"/>
    <w:rsid w:val="00F3533B"/>
    <w:rsid w:val="00F354BD"/>
    <w:rsid w:val="00F359AF"/>
    <w:rsid w:val="00F35A23"/>
    <w:rsid w:val="00F35B49"/>
    <w:rsid w:val="00F35B54"/>
    <w:rsid w:val="00F35F6E"/>
    <w:rsid w:val="00F35F9A"/>
    <w:rsid w:val="00F3603C"/>
    <w:rsid w:val="00F363EA"/>
    <w:rsid w:val="00F365DC"/>
    <w:rsid w:val="00F3670F"/>
    <w:rsid w:val="00F36994"/>
    <w:rsid w:val="00F36B60"/>
    <w:rsid w:val="00F36DA5"/>
    <w:rsid w:val="00F36E9C"/>
    <w:rsid w:val="00F36F50"/>
    <w:rsid w:val="00F37014"/>
    <w:rsid w:val="00F37253"/>
    <w:rsid w:val="00F37427"/>
    <w:rsid w:val="00F3748C"/>
    <w:rsid w:val="00F376C2"/>
    <w:rsid w:val="00F37BAB"/>
    <w:rsid w:val="00F37BAC"/>
    <w:rsid w:val="00F37C63"/>
    <w:rsid w:val="00F37DA6"/>
    <w:rsid w:val="00F37FCA"/>
    <w:rsid w:val="00F4013C"/>
    <w:rsid w:val="00F401A3"/>
    <w:rsid w:val="00F4027A"/>
    <w:rsid w:val="00F40366"/>
    <w:rsid w:val="00F40419"/>
    <w:rsid w:val="00F404BF"/>
    <w:rsid w:val="00F406F0"/>
    <w:rsid w:val="00F40740"/>
    <w:rsid w:val="00F407D4"/>
    <w:rsid w:val="00F4085C"/>
    <w:rsid w:val="00F408FF"/>
    <w:rsid w:val="00F40A36"/>
    <w:rsid w:val="00F40B79"/>
    <w:rsid w:val="00F40C22"/>
    <w:rsid w:val="00F40C8F"/>
    <w:rsid w:val="00F40C92"/>
    <w:rsid w:val="00F40D16"/>
    <w:rsid w:val="00F40D7D"/>
    <w:rsid w:val="00F40D95"/>
    <w:rsid w:val="00F40DED"/>
    <w:rsid w:val="00F40DF3"/>
    <w:rsid w:val="00F40FDF"/>
    <w:rsid w:val="00F4100B"/>
    <w:rsid w:val="00F4102D"/>
    <w:rsid w:val="00F41089"/>
    <w:rsid w:val="00F4118E"/>
    <w:rsid w:val="00F416F6"/>
    <w:rsid w:val="00F417D0"/>
    <w:rsid w:val="00F419EC"/>
    <w:rsid w:val="00F41A14"/>
    <w:rsid w:val="00F41B04"/>
    <w:rsid w:val="00F41B70"/>
    <w:rsid w:val="00F41E42"/>
    <w:rsid w:val="00F41F6B"/>
    <w:rsid w:val="00F42137"/>
    <w:rsid w:val="00F42193"/>
    <w:rsid w:val="00F42233"/>
    <w:rsid w:val="00F423EB"/>
    <w:rsid w:val="00F42432"/>
    <w:rsid w:val="00F42485"/>
    <w:rsid w:val="00F42594"/>
    <w:rsid w:val="00F425A3"/>
    <w:rsid w:val="00F42691"/>
    <w:rsid w:val="00F4290D"/>
    <w:rsid w:val="00F42A41"/>
    <w:rsid w:val="00F42D8F"/>
    <w:rsid w:val="00F42E74"/>
    <w:rsid w:val="00F42E8D"/>
    <w:rsid w:val="00F42E99"/>
    <w:rsid w:val="00F42ECF"/>
    <w:rsid w:val="00F4320F"/>
    <w:rsid w:val="00F4326E"/>
    <w:rsid w:val="00F43632"/>
    <w:rsid w:val="00F436E3"/>
    <w:rsid w:val="00F4402A"/>
    <w:rsid w:val="00F44251"/>
    <w:rsid w:val="00F443F8"/>
    <w:rsid w:val="00F446AD"/>
    <w:rsid w:val="00F446B2"/>
    <w:rsid w:val="00F44724"/>
    <w:rsid w:val="00F44754"/>
    <w:rsid w:val="00F447CD"/>
    <w:rsid w:val="00F44874"/>
    <w:rsid w:val="00F44DE2"/>
    <w:rsid w:val="00F44E06"/>
    <w:rsid w:val="00F45158"/>
    <w:rsid w:val="00F45385"/>
    <w:rsid w:val="00F45428"/>
    <w:rsid w:val="00F454C7"/>
    <w:rsid w:val="00F45622"/>
    <w:rsid w:val="00F4564E"/>
    <w:rsid w:val="00F45C18"/>
    <w:rsid w:val="00F45CE1"/>
    <w:rsid w:val="00F45EB9"/>
    <w:rsid w:val="00F4600A"/>
    <w:rsid w:val="00F460C1"/>
    <w:rsid w:val="00F46150"/>
    <w:rsid w:val="00F463D3"/>
    <w:rsid w:val="00F463E6"/>
    <w:rsid w:val="00F464E5"/>
    <w:rsid w:val="00F46518"/>
    <w:rsid w:val="00F4681E"/>
    <w:rsid w:val="00F46820"/>
    <w:rsid w:val="00F46C93"/>
    <w:rsid w:val="00F46D59"/>
    <w:rsid w:val="00F46DE6"/>
    <w:rsid w:val="00F4704C"/>
    <w:rsid w:val="00F4730D"/>
    <w:rsid w:val="00F4732D"/>
    <w:rsid w:val="00F4736E"/>
    <w:rsid w:val="00F475DF"/>
    <w:rsid w:val="00F47693"/>
    <w:rsid w:val="00F47977"/>
    <w:rsid w:val="00F47997"/>
    <w:rsid w:val="00F47E27"/>
    <w:rsid w:val="00F47F91"/>
    <w:rsid w:val="00F47F96"/>
    <w:rsid w:val="00F500CE"/>
    <w:rsid w:val="00F5018C"/>
    <w:rsid w:val="00F50364"/>
    <w:rsid w:val="00F50806"/>
    <w:rsid w:val="00F50CA7"/>
    <w:rsid w:val="00F50D56"/>
    <w:rsid w:val="00F50E30"/>
    <w:rsid w:val="00F51049"/>
    <w:rsid w:val="00F51172"/>
    <w:rsid w:val="00F51199"/>
    <w:rsid w:val="00F515E5"/>
    <w:rsid w:val="00F51858"/>
    <w:rsid w:val="00F51962"/>
    <w:rsid w:val="00F51DE5"/>
    <w:rsid w:val="00F51EA0"/>
    <w:rsid w:val="00F522CF"/>
    <w:rsid w:val="00F52318"/>
    <w:rsid w:val="00F5234F"/>
    <w:rsid w:val="00F523DA"/>
    <w:rsid w:val="00F5272A"/>
    <w:rsid w:val="00F52882"/>
    <w:rsid w:val="00F528DD"/>
    <w:rsid w:val="00F52969"/>
    <w:rsid w:val="00F529FD"/>
    <w:rsid w:val="00F52B21"/>
    <w:rsid w:val="00F52B52"/>
    <w:rsid w:val="00F52BD7"/>
    <w:rsid w:val="00F52C13"/>
    <w:rsid w:val="00F52D4A"/>
    <w:rsid w:val="00F52DC6"/>
    <w:rsid w:val="00F5302B"/>
    <w:rsid w:val="00F5311F"/>
    <w:rsid w:val="00F5312A"/>
    <w:rsid w:val="00F531F5"/>
    <w:rsid w:val="00F536B3"/>
    <w:rsid w:val="00F53938"/>
    <w:rsid w:val="00F53ABD"/>
    <w:rsid w:val="00F53CD8"/>
    <w:rsid w:val="00F53D25"/>
    <w:rsid w:val="00F53E33"/>
    <w:rsid w:val="00F53ED3"/>
    <w:rsid w:val="00F541B0"/>
    <w:rsid w:val="00F542A3"/>
    <w:rsid w:val="00F54386"/>
    <w:rsid w:val="00F54390"/>
    <w:rsid w:val="00F5443D"/>
    <w:rsid w:val="00F545EB"/>
    <w:rsid w:val="00F545F3"/>
    <w:rsid w:val="00F5473A"/>
    <w:rsid w:val="00F54943"/>
    <w:rsid w:val="00F549E9"/>
    <w:rsid w:val="00F54BD3"/>
    <w:rsid w:val="00F54D2C"/>
    <w:rsid w:val="00F553AE"/>
    <w:rsid w:val="00F55483"/>
    <w:rsid w:val="00F5558A"/>
    <w:rsid w:val="00F5565E"/>
    <w:rsid w:val="00F55782"/>
    <w:rsid w:val="00F558AD"/>
    <w:rsid w:val="00F558D9"/>
    <w:rsid w:val="00F559F5"/>
    <w:rsid w:val="00F55B8C"/>
    <w:rsid w:val="00F55C28"/>
    <w:rsid w:val="00F55E15"/>
    <w:rsid w:val="00F55E17"/>
    <w:rsid w:val="00F56006"/>
    <w:rsid w:val="00F56165"/>
    <w:rsid w:val="00F56185"/>
    <w:rsid w:val="00F561A7"/>
    <w:rsid w:val="00F56219"/>
    <w:rsid w:val="00F564DC"/>
    <w:rsid w:val="00F5651D"/>
    <w:rsid w:val="00F56658"/>
    <w:rsid w:val="00F56BEB"/>
    <w:rsid w:val="00F56C9C"/>
    <w:rsid w:val="00F56DBF"/>
    <w:rsid w:val="00F56E1A"/>
    <w:rsid w:val="00F56E85"/>
    <w:rsid w:val="00F56FA7"/>
    <w:rsid w:val="00F5701B"/>
    <w:rsid w:val="00F574D5"/>
    <w:rsid w:val="00F57526"/>
    <w:rsid w:val="00F5754B"/>
    <w:rsid w:val="00F5760B"/>
    <w:rsid w:val="00F57694"/>
    <w:rsid w:val="00F576FD"/>
    <w:rsid w:val="00F57779"/>
    <w:rsid w:val="00F5788E"/>
    <w:rsid w:val="00F57A2F"/>
    <w:rsid w:val="00F57BD3"/>
    <w:rsid w:val="00F57C8D"/>
    <w:rsid w:val="00F57E29"/>
    <w:rsid w:val="00F57EBA"/>
    <w:rsid w:val="00F57F77"/>
    <w:rsid w:val="00F600D6"/>
    <w:rsid w:val="00F6017B"/>
    <w:rsid w:val="00F60211"/>
    <w:rsid w:val="00F606B5"/>
    <w:rsid w:val="00F608EC"/>
    <w:rsid w:val="00F60D7B"/>
    <w:rsid w:val="00F61007"/>
    <w:rsid w:val="00F610FA"/>
    <w:rsid w:val="00F61190"/>
    <w:rsid w:val="00F611B4"/>
    <w:rsid w:val="00F61350"/>
    <w:rsid w:val="00F61366"/>
    <w:rsid w:val="00F613DD"/>
    <w:rsid w:val="00F61405"/>
    <w:rsid w:val="00F61507"/>
    <w:rsid w:val="00F61553"/>
    <w:rsid w:val="00F6163A"/>
    <w:rsid w:val="00F618E2"/>
    <w:rsid w:val="00F61A15"/>
    <w:rsid w:val="00F61B1E"/>
    <w:rsid w:val="00F61BCC"/>
    <w:rsid w:val="00F61C58"/>
    <w:rsid w:val="00F61DA4"/>
    <w:rsid w:val="00F62365"/>
    <w:rsid w:val="00F62391"/>
    <w:rsid w:val="00F629A4"/>
    <w:rsid w:val="00F62A75"/>
    <w:rsid w:val="00F62DF9"/>
    <w:rsid w:val="00F62ED1"/>
    <w:rsid w:val="00F6360F"/>
    <w:rsid w:val="00F63700"/>
    <w:rsid w:val="00F637BC"/>
    <w:rsid w:val="00F63929"/>
    <w:rsid w:val="00F63934"/>
    <w:rsid w:val="00F63BF6"/>
    <w:rsid w:val="00F63C3E"/>
    <w:rsid w:val="00F64026"/>
    <w:rsid w:val="00F642FD"/>
    <w:rsid w:val="00F6437E"/>
    <w:rsid w:val="00F64425"/>
    <w:rsid w:val="00F6458F"/>
    <w:rsid w:val="00F6473D"/>
    <w:rsid w:val="00F6478D"/>
    <w:rsid w:val="00F64A61"/>
    <w:rsid w:val="00F64A90"/>
    <w:rsid w:val="00F64B1C"/>
    <w:rsid w:val="00F64B68"/>
    <w:rsid w:val="00F64B8E"/>
    <w:rsid w:val="00F64B8F"/>
    <w:rsid w:val="00F64B97"/>
    <w:rsid w:val="00F64DA8"/>
    <w:rsid w:val="00F64DCA"/>
    <w:rsid w:val="00F64F09"/>
    <w:rsid w:val="00F6502B"/>
    <w:rsid w:val="00F6509D"/>
    <w:rsid w:val="00F65152"/>
    <w:rsid w:val="00F651D7"/>
    <w:rsid w:val="00F6528C"/>
    <w:rsid w:val="00F652A2"/>
    <w:rsid w:val="00F652DE"/>
    <w:rsid w:val="00F6533B"/>
    <w:rsid w:val="00F653C8"/>
    <w:rsid w:val="00F654FF"/>
    <w:rsid w:val="00F655B8"/>
    <w:rsid w:val="00F65775"/>
    <w:rsid w:val="00F657BE"/>
    <w:rsid w:val="00F657D0"/>
    <w:rsid w:val="00F65AA6"/>
    <w:rsid w:val="00F65D70"/>
    <w:rsid w:val="00F65D7B"/>
    <w:rsid w:val="00F65FCF"/>
    <w:rsid w:val="00F6600E"/>
    <w:rsid w:val="00F661D5"/>
    <w:rsid w:val="00F66283"/>
    <w:rsid w:val="00F6640F"/>
    <w:rsid w:val="00F666F4"/>
    <w:rsid w:val="00F66A40"/>
    <w:rsid w:val="00F66A6E"/>
    <w:rsid w:val="00F66C5F"/>
    <w:rsid w:val="00F66DF8"/>
    <w:rsid w:val="00F66F43"/>
    <w:rsid w:val="00F670A6"/>
    <w:rsid w:val="00F6710F"/>
    <w:rsid w:val="00F672B0"/>
    <w:rsid w:val="00F6742C"/>
    <w:rsid w:val="00F67442"/>
    <w:rsid w:val="00F67581"/>
    <w:rsid w:val="00F675BC"/>
    <w:rsid w:val="00F676E8"/>
    <w:rsid w:val="00F67792"/>
    <w:rsid w:val="00F6795F"/>
    <w:rsid w:val="00F67BAB"/>
    <w:rsid w:val="00F67C09"/>
    <w:rsid w:val="00F67D34"/>
    <w:rsid w:val="00F67F75"/>
    <w:rsid w:val="00F7004D"/>
    <w:rsid w:val="00F700B1"/>
    <w:rsid w:val="00F70118"/>
    <w:rsid w:val="00F702B4"/>
    <w:rsid w:val="00F7034E"/>
    <w:rsid w:val="00F704F4"/>
    <w:rsid w:val="00F7074E"/>
    <w:rsid w:val="00F70A0E"/>
    <w:rsid w:val="00F70C30"/>
    <w:rsid w:val="00F70C9B"/>
    <w:rsid w:val="00F70CBE"/>
    <w:rsid w:val="00F70DB8"/>
    <w:rsid w:val="00F70EA8"/>
    <w:rsid w:val="00F70F03"/>
    <w:rsid w:val="00F7112D"/>
    <w:rsid w:val="00F71183"/>
    <w:rsid w:val="00F712D7"/>
    <w:rsid w:val="00F713F6"/>
    <w:rsid w:val="00F7152F"/>
    <w:rsid w:val="00F7197C"/>
    <w:rsid w:val="00F719C0"/>
    <w:rsid w:val="00F71A4A"/>
    <w:rsid w:val="00F71B59"/>
    <w:rsid w:val="00F71C21"/>
    <w:rsid w:val="00F71C5C"/>
    <w:rsid w:val="00F71D1F"/>
    <w:rsid w:val="00F71DB7"/>
    <w:rsid w:val="00F71EBB"/>
    <w:rsid w:val="00F71F2F"/>
    <w:rsid w:val="00F72147"/>
    <w:rsid w:val="00F7216E"/>
    <w:rsid w:val="00F722F0"/>
    <w:rsid w:val="00F72513"/>
    <w:rsid w:val="00F727DC"/>
    <w:rsid w:val="00F7293D"/>
    <w:rsid w:val="00F72A6A"/>
    <w:rsid w:val="00F72CC1"/>
    <w:rsid w:val="00F72D53"/>
    <w:rsid w:val="00F72D8D"/>
    <w:rsid w:val="00F72E94"/>
    <w:rsid w:val="00F72EC4"/>
    <w:rsid w:val="00F73026"/>
    <w:rsid w:val="00F7305C"/>
    <w:rsid w:val="00F7317C"/>
    <w:rsid w:val="00F732E4"/>
    <w:rsid w:val="00F732F6"/>
    <w:rsid w:val="00F73300"/>
    <w:rsid w:val="00F73568"/>
    <w:rsid w:val="00F73584"/>
    <w:rsid w:val="00F73701"/>
    <w:rsid w:val="00F73773"/>
    <w:rsid w:val="00F73868"/>
    <w:rsid w:val="00F738A0"/>
    <w:rsid w:val="00F738F3"/>
    <w:rsid w:val="00F7395E"/>
    <w:rsid w:val="00F739A3"/>
    <w:rsid w:val="00F73A8E"/>
    <w:rsid w:val="00F73A96"/>
    <w:rsid w:val="00F73C48"/>
    <w:rsid w:val="00F73CA5"/>
    <w:rsid w:val="00F7417C"/>
    <w:rsid w:val="00F74185"/>
    <w:rsid w:val="00F7471C"/>
    <w:rsid w:val="00F749BC"/>
    <w:rsid w:val="00F749EF"/>
    <w:rsid w:val="00F74EA6"/>
    <w:rsid w:val="00F74EAE"/>
    <w:rsid w:val="00F75062"/>
    <w:rsid w:val="00F751FE"/>
    <w:rsid w:val="00F75341"/>
    <w:rsid w:val="00F753C3"/>
    <w:rsid w:val="00F75407"/>
    <w:rsid w:val="00F7561C"/>
    <w:rsid w:val="00F7563E"/>
    <w:rsid w:val="00F7590D"/>
    <w:rsid w:val="00F7594D"/>
    <w:rsid w:val="00F75C1E"/>
    <w:rsid w:val="00F75DF5"/>
    <w:rsid w:val="00F75ED6"/>
    <w:rsid w:val="00F760D1"/>
    <w:rsid w:val="00F760E8"/>
    <w:rsid w:val="00F76124"/>
    <w:rsid w:val="00F76146"/>
    <w:rsid w:val="00F763B7"/>
    <w:rsid w:val="00F765E0"/>
    <w:rsid w:val="00F766E5"/>
    <w:rsid w:val="00F766EB"/>
    <w:rsid w:val="00F7681B"/>
    <w:rsid w:val="00F76913"/>
    <w:rsid w:val="00F76A05"/>
    <w:rsid w:val="00F76C73"/>
    <w:rsid w:val="00F76D09"/>
    <w:rsid w:val="00F76F0B"/>
    <w:rsid w:val="00F770CD"/>
    <w:rsid w:val="00F7729F"/>
    <w:rsid w:val="00F77541"/>
    <w:rsid w:val="00F77573"/>
    <w:rsid w:val="00F77748"/>
    <w:rsid w:val="00F77767"/>
    <w:rsid w:val="00F77814"/>
    <w:rsid w:val="00F77849"/>
    <w:rsid w:val="00F77A62"/>
    <w:rsid w:val="00F77E9A"/>
    <w:rsid w:val="00F80133"/>
    <w:rsid w:val="00F8054B"/>
    <w:rsid w:val="00F805B4"/>
    <w:rsid w:val="00F80A1F"/>
    <w:rsid w:val="00F80A3A"/>
    <w:rsid w:val="00F80C19"/>
    <w:rsid w:val="00F80CD0"/>
    <w:rsid w:val="00F81014"/>
    <w:rsid w:val="00F811C8"/>
    <w:rsid w:val="00F813A4"/>
    <w:rsid w:val="00F8163C"/>
    <w:rsid w:val="00F81674"/>
    <w:rsid w:val="00F8168D"/>
    <w:rsid w:val="00F81713"/>
    <w:rsid w:val="00F81866"/>
    <w:rsid w:val="00F818E0"/>
    <w:rsid w:val="00F81CE7"/>
    <w:rsid w:val="00F81E6E"/>
    <w:rsid w:val="00F81F51"/>
    <w:rsid w:val="00F82197"/>
    <w:rsid w:val="00F821F4"/>
    <w:rsid w:val="00F822ED"/>
    <w:rsid w:val="00F822F5"/>
    <w:rsid w:val="00F82479"/>
    <w:rsid w:val="00F8250F"/>
    <w:rsid w:val="00F82836"/>
    <w:rsid w:val="00F828EB"/>
    <w:rsid w:val="00F8290B"/>
    <w:rsid w:val="00F82964"/>
    <w:rsid w:val="00F82B96"/>
    <w:rsid w:val="00F82BB3"/>
    <w:rsid w:val="00F82F02"/>
    <w:rsid w:val="00F831AF"/>
    <w:rsid w:val="00F833B5"/>
    <w:rsid w:val="00F83519"/>
    <w:rsid w:val="00F83570"/>
    <w:rsid w:val="00F83602"/>
    <w:rsid w:val="00F83B1F"/>
    <w:rsid w:val="00F83D5F"/>
    <w:rsid w:val="00F8405B"/>
    <w:rsid w:val="00F840C0"/>
    <w:rsid w:val="00F849C2"/>
    <w:rsid w:val="00F849E0"/>
    <w:rsid w:val="00F84C52"/>
    <w:rsid w:val="00F84D0F"/>
    <w:rsid w:val="00F84E31"/>
    <w:rsid w:val="00F8581A"/>
    <w:rsid w:val="00F85AB7"/>
    <w:rsid w:val="00F85B34"/>
    <w:rsid w:val="00F85DDD"/>
    <w:rsid w:val="00F85E8E"/>
    <w:rsid w:val="00F85F2F"/>
    <w:rsid w:val="00F8604D"/>
    <w:rsid w:val="00F8620D"/>
    <w:rsid w:val="00F862EA"/>
    <w:rsid w:val="00F864CA"/>
    <w:rsid w:val="00F865A1"/>
    <w:rsid w:val="00F868AA"/>
    <w:rsid w:val="00F86922"/>
    <w:rsid w:val="00F8693C"/>
    <w:rsid w:val="00F86970"/>
    <w:rsid w:val="00F86996"/>
    <w:rsid w:val="00F869A5"/>
    <w:rsid w:val="00F86B82"/>
    <w:rsid w:val="00F86C51"/>
    <w:rsid w:val="00F86D49"/>
    <w:rsid w:val="00F86D86"/>
    <w:rsid w:val="00F8703D"/>
    <w:rsid w:val="00F870A5"/>
    <w:rsid w:val="00F87149"/>
    <w:rsid w:val="00F8721F"/>
    <w:rsid w:val="00F87223"/>
    <w:rsid w:val="00F8732B"/>
    <w:rsid w:val="00F873C8"/>
    <w:rsid w:val="00F8779A"/>
    <w:rsid w:val="00F87886"/>
    <w:rsid w:val="00F879E3"/>
    <w:rsid w:val="00F87B50"/>
    <w:rsid w:val="00F87EB2"/>
    <w:rsid w:val="00F87EDB"/>
    <w:rsid w:val="00F901EC"/>
    <w:rsid w:val="00F90487"/>
    <w:rsid w:val="00F90497"/>
    <w:rsid w:val="00F90540"/>
    <w:rsid w:val="00F90814"/>
    <w:rsid w:val="00F90C12"/>
    <w:rsid w:val="00F90C3C"/>
    <w:rsid w:val="00F90D26"/>
    <w:rsid w:val="00F90D99"/>
    <w:rsid w:val="00F90F88"/>
    <w:rsid w:val="00F90FD8"/>
    <w:rsid w:val="00F91309"/>
    <w:rsid w:val="00F91333"/>
    <w:rsid w:val="00F91556"/>
    <w:rsid w:val="00F91666"/>
    <w:rsid w:val="00F916C1"/>
    <w:rsid w:val="00F918E1"/>
    <w:rsid w:val="00F91AC6"/>
    <w:rsid w:val="00F91E32"/>
    <w:rsid w:val="00F91ECD"/>
    <w:rsid w:val="00F920F4"/>
    <w:rsid w:val="00F9222C"/>
    <w:rsid w:val="00F923D9"/>
    <w:rsid w:val="00F923DB"/>
    <w:rsid w:val="00F92486"/>
    <w:rsid w:val="00F926EB"/>
    <w:rsid w:val="00F92838"/>
    <w:rsid w:val="00F928DD"/>
    <w:rsid w:val="00F92EF6"/>
    <w:rsid w:val="00F93739"/>
    <w:rsid w:val="00F939AE"/>
    <w:rsid w:val="00F93A47"/>
    <w:rsid w:val="00F93C71"/>
    <w:rsid w:val="00F93E53"/>
    <w:rsid w:val="00F93EAB"/>
    <w:rsid w:val="00F94214"/>
    <w:rsid w:val="00F943E2"/>
    <w:rsid w:val="00F94880"/>
    <w:rsid w:val="00F94D88"/>
    <w:rsid w:val="00F94EBF"/>
    <w:rsid w:val="00F94F49"/>
    <w:rsid w:val="00F94F60"/>
    <w:rsid w:val="00F94FB7"/>
    <w:rsid w:val="00F94FF5"/>
    <w:rsid w:val="00F95205"/>
    <w:rsid w:val="00F953AF"/>
    <w:rsid w:val="00F955C0"/>
    <w:rsid w:val="00F9568E"/>
    <w:rsid w:val="00F956B5"/>
    <w:rsid w:val="00F956C9"/>
    <w:rsid w:val="00F958CC"/>
    <w:rsid w:val="00F95998"/>
    <w:rsid w:val="00F95C91"/>
    <w:rsid w:val="00F95E1E"/>
    <w:rsid w:val="00F95F26"/>
    <w:rsid w:val="00F96084"/>
    <w:rsid w:val="00F963EC"/>
    <w:rsid w:val="00F96624"/>
    <w:rsid w:val="00F96D8B"/>
    <w:rsid w:val="00F96E3F"/>
    <w:rsid w:val="00F96FA8"/>
    <w:rsid w:val="00F970E3"/>
    <w:rsid w:val="00F97174"/>
    <w:rsid w:val="00F971DD"/>
    <w:rsid w:val="00F97484"/>
    <w:rsid w:val="00F97487"/>
    <w:rsid w:val="00F97B34"/>
    <w:rsid w:val="00F97CAF"/>
    <w:rsid w:val="00F97D7E"/>
    <w:rsid w:val="00F97F02"/>
    <w:rsid w:val="00FA00E4"/>
    <w:rsid w:val="00FA018F"/>
    <w:rsid w:val="00FA021D"/>
    <w:rsid w:val="00FA0258"/>
    <w:rsid w:val="00FA02B4"/>
    <w:rsid w:val="00FA033D"/>
    <w:rsid w:val="00FA055E"/>
    <w:rsid w:val="00FA067E"/>
    <w:rsid w:val="00FA06C0"/>
    <w:rsid w:val="00FA07E9"/>
    <w:rsid w:val="00FA0869"/>
    <w:rsid w:val="00FA096F"/>
    <w:rsid w:val="00FA0AE5"/>
    <w:rsid w:val="00FA0BEA"/>
    <w:rsid w:val="00FA0D13"/>
    <w:rsid w:val="00FA0D32"/>
    <w:rsid w:val="00FA0F62"/>
    <w:rsid w:val="00FA1004"/>
    <w:rsid w:val="00FA10BD"/>
    <w:rsid w:val="00FA1448"/>
    <w:rsid w:val="00FA15FA"/>
    <w:rsid w:val="00FA185A"/>
    <w:rsid w:val="00FA18F3"/>
    <w:rsid w:val="00FA1C60"/>
    <w:rsid w:val="00FA1D0C"/>
    <w:rsid w:val="00FA1E4F"/>
    <w:rsid w:val="00FA20D1"/>
    <w:rsid w:val="00FA2439"/>
    <w:rsid w:val="00FA24F5"/>
    <w:rsid w:val="00FA254E"/>
    <w:rsid w:val="00FA260B"/>
    <w:rsid w:val="00FA2753"/>
    <w:rsid w:val="00FA27A1"/>
    <w:rsid w:val="00FA286D"/>
    <w:rsid w:val="00FA2AAF"/>
    <w:rsid w:val="00FA2B43"/>
    <w:rsid w:val="00FA2D35"/>
    <w:rsid w:val="00FA2D54"/>
    <w:rsid w:val="00FA2D86"/>
    <w:rsid w:val="00FA2E59"/>
    <w:rsid w:val="00FA3186"/>
    <w:rsid w:val="00FA32DC"/>
    <w:rsid w:val="00FA339C"/>
    <w:rsid w:val="00FA3665"/>
    <w:rsid w:val="00FA3905"/>
    <w:rsid w:val="00FA3945"/>
    <w:rsid w:val="00FA39D9"/>
    <w:rsid w:val="00FA3A72"/>
    <w:rsid w:val="00FA3E17"/>
    <w:rsid w:val="00FA3EFA"/>
    <w:rsid w:val="00FA3FBD"/>
    <w:rsid w:val="00FA3FF2"/>
    <w:rsid w:val="00FA40A7"/>
    <w:rsid w:val="00FA417A"/>
    <w:rsid w:val="00FA42FB"/>
    <w:rsid w:val="00FA4507"/>
    <w:rsid w:val="00FA465D"/>
    <w:rsid w:val="00FA47DD"/>
    <w:rsid w:val="00FA49ED"/>
    <w:rsid w:val="00FA4BB7"/>
    <w:rsid w:val="00FA4C2B"/>
    <w:rsid w:val="00FA4C5C"/>
    <w:rsid w:val="00FA4F88"/>
    <w:rsid w:val="00FA5017"/>
    <w:rsid w:val="00FA50A6"/>
    <w:rsid w:val="00FA52A6"/>
    <w:rsid w:val="00FA52B2"/>
    <w:rsid w:val="00FA53A8"/>
    <w:rsid w:val="00FA5747"/>
    <w:rsid w:val="00FA596B"/>
    <w:rsid w:val="00FA5AD2"/>
    <w:rsid w:val="00FA5AF0"/>
    <w:rsid w:val="00FA5B1B"/>
    <w:rsid w:val="00FA5B6E"/>
    <w:rsid w:val="00FA5C2C"/>
    <w:rsid w:val="00FA5C7E"/>
    <w:rsid w:val="00FA5C98"/>
    <w:rsid w:val="00FA5DF1"/>
    <w:rsid w:val="00FA5F4B"/>
    <w:rsid w:val="00FA612A"/>
    <w:rsid w:val="00FA635A"/>
    <w:rsid w:val="00FA64CE"/>
    <w:rsid w:val="00FA650B"/>
    <w:rsid w:val="00FA65E9"/>
    <w:rsid w:val="00FA6A55"/>
    <w:rsid w:val="00FA6AA9"/>
    <w:rsid w:val="00FA6C02"/>
    <w:rsid w:val="00FA6D9E"/>
    <w:rsid w:val="00FA6E08"/>
    <w:rsid w:val="00FA71A4"/>
    <w:rsid w:val="00FA7252"/>
    <w:rsid w:val="00FA7274"/>
    <w:rsid w:val="00FA73F6"/>
    <w:rsid w:val="00FA73F8"/>
    <w:rsid w:val="00FA742A"/>
    <w:rsid w:val="00FA786C"/>
    <w:rsid w:val="00FA78E7"/>
    <w:rsid w:val="00FA7AB0"/>
    <w:rsid w:val="00FA7AB3"/>
    <w:rsid w:val="00FA7B7B"/>
    <w:rsid w:val="00FA7B9E"/>
    <w:rsid w:val="00FA7C93"/>
    <w:rsid w:val="00FA7CC4"/>
    <w:rsid w:val="00FA7CDF"/>
    <w:rsid w:val="00FA7DBA"/>
    <w:rsid w:val="00FA7F1C"/>
    <w:rsid w:val="00FA7FC6"/>
    <w:rsid w:val="00FB0134"/>
    <w:rsid w:val="00FB0281"/>
    <w:rsid w:val="00FB0350"/>
    <w:rsid w:val="00FB0476"/>
    <w:rsid w:val="00FB0599"/>
    <w:rsid w:val="00FB0647"/>
    <w:rsid w:val="00FB075C"/>
    <w:rsid w:val="00FB07D7"/>
    <w:rsid w:val="00FB09ED"/>
    <w:rsid w:val="00FB0B99"/>
    <w:rsid w:val="00FB0C90"/>
    <w:rsid w:val="00FB126C"/>
    <w:rsid w:val="00FB12FD"/>
    <w:rsid w:val="00FB15AB"/>
    <w:rsid w:val="00FB1910"/>
    <w:rsid w:val="00FB1C31"/>
    <w:rsid w:val="00FB1C84"/>
    <w:rsid w:val="00FB1EBB"/>
    <w:rsid w:val="00FB212E"/>
    <w:rsid w:val="00FB21E5"/>
    <w:rsid w:val="00FB224B"/>
    <w:rsid w:val="00FB255E"/>
    <w:rsid w:val="00FB2698"/>
    <w:rsid w:val="00FB27BE"/>
    <w:rsid w:val="00FB2994"/>
    <w:rsid w:val="00FB2DC6"/>
    <w:rsid w:val="00FB2EFA"/>
    <w:rsid w:val="00FB3310"/>
    <w:rsid w:val="00FB33F7"/>
    <w:rsid w:val="00FB3587"/>
    <w:rsid w:val="00FB3802"/>
    <w:rsid w:val="00FB38BD"/>
    <w:rsid w:val="00FB38C8"/>
    <w:rsid w:val="00FB38D1"/>
    <w:rsid w:val="00FB3953"/>
    <w:rsid w:val="00FB3DA7"/>
    <w:rsid w:val="00FB3F43"/>
    <w:rsid w:val="00FB3F50"/>
    <w:rsid w:val="00FB4032"/>
    <w:rsid w:val="00FB4283"/>
    <w:rsid w:val="00FB433C"/>
    <w:rsid w:val="00FB4468"/>
    <w:rsid w:val="00FB4710"/>
    <w:rsid w:val="00FB49D1"/>
    <w:rsid w:val="00FB4A3B"/>
    <w:rsid w:val="00FB4A97"/>
    <w:rsid w:val="00FB4B02"/>
    <w:rsid w:val="00FB50A1"/>
    <w:rsid w:val="00FB50CE"/>
    <w:rsid w:val="00FB526E"/>
    <w:rsid w:val="00FB52C2"/>
    <w:rsid w:val="00FB5405"/>
    <w:rsid w:val="00FB56EA"/>
    <w:rsid w:val="00FB57D5"/>
    <w:rsid w:val="00FB59D7"/>
    <w:rsid w:val="00FB5B2B"/>
    <w:rsid w:val="00FB5C2B"/>
    <w:rsid w:val="00FB5F78"/>
    <w:rsid w:val="00FB602F"/>
    <w:rsid w:val="00FB6347"/>
    <w:rsid w:val="00FB6499"/>
    <w:rsid w:val="00FB64CC"/>
    <w:rsid w:val="00FB64F0"/>
    <w:rsid w:val="00FB6557"/>
    <w:rsid w:val="00FB6694"/>
    <w:rsid w:val="00FB68DE"/>
    <w:rsid w:val="00FB68F7"/>
    <w:rsid w:val="00FB693C"/>
    <w:rsid w:val="00FB6ACF"/>
    <w:rsid w:val="00FB6DEB"/>
    <w:rsid w:val="00FB6E72"/>
    <w:rsid w:val="00FB7077"/>
    <w:rsid w:val="00FB719A"/>
    <w:rsid w:val="00FB71F0"/>
    <w:rsid w:val="00FB72BC"/>
    <w:rsid w:val="00FB73D3"/>
    <w:rsid w:val="00FB7492"/>
    <w:rsid w:val="00FB762D"/>
    <w:rsid w:val="00FB76C8"/>
    <w:rsid w:val="00FB76EE"/>
    <w:rsid w:val="00FB7AEB"/>
    <w:rsid w:val="00FB7BA1"/>
    <w:rsid w:val="00FB7BC2"/>
    <w:rsid w:val="00FB7C41"/>
    <w:rsid w:val="00FB7DBC"/>
    <w:rsid w:val="00FB7F39"/>
    <w:rsid w:val="00FC0187"/>
    <w:rsid w:val="00FC0353"/>
    <w:rsid w:val="00FC060E"/>
    <w:rsid w:val="00FC06DB"/>
    <w:rsid w:val="00FC09F2"/>
    <w:rsid w:val="00FC0A9D"/>
    <w:rsid w:val="00FC0AAB"/>
    <w:rsid w:val="00FC0B58"/>
    <w:rsid w:val="00FC0DCD"/>
    <w:rsid w:val="00FC0FF9"/>
    <w:rsid w:val="00FC1219"/>
    <w:rsid w:val="00FC12D2"/>
    <w:rsid w:val="00FC12E6"/>
    <w:rsid w:val="00FC17F7"/>
    <w:rsid w:val="00FC184F"/>
    <w:rsid w:val="00FC196B"/>
    <w:rsid w:val="00FC1A99"/>
    <w:rsid w:val="00FC1AD6"/>
    <w:rsid w:val="00FC1CBD"/>
    <w:rsid w:val="00FC1DBD"/>
    <w:rsid w:val="00FC1FC3"/>
    <w:rsid w:val="00FC20F8"/>
    <w:rsid w:val="00FC223B"/>
    <w:rsid w:val="00FC227B"/>
    <w:rsid w:val="00FC236F"/>
    <w:rsid w:val="00FC239C"/>
    <w:rsid w:val="00FC2558"/>
    <w:rsid w:val="00FC285B"/>
    <w:rsid w:val="00FC2E89"/>
    <w:rsid w:val="00FC2F01"/>
    <w:rsid w:val="00FC2F1F"/>
    <w:rsid w:val="00FC3243"/>
    <w:rsid w:val="00FC336B"/>
    <w:rsid w:val="00FC34B0"/>
    <w:rsid w:val="00FC364A"/>
    <w:rsid w:val="00FC3691"/>
    <w:rsid w:val="00FC36A0"/>
    <w:rsid w:val="00FC37D1"/>
    <w:rsid w:val="00FC389A"/>
    <w:rsid w:val="00FC38BD"/>
    <w:rsid w:val="00FC39BD"/>
    <w:rsid w:val="00FC39E5"/>
    <w:rsid w:val="00FC3B32"/>
    <w:rsid w:val="00FC3C5D"/>
    <w:rsid w:val="00FC3C92"/>
    <w:rsid w:val="00FC3E7F"/>
    <w:rsid w:val="00FC3F5C"/>
    <w:rsid w:val="00FC40A1"/>
    <w:rsid w:val="00FC4221"/>
    <w:rsid w:val="00FC4260"/>
    <w:rsid w:val="00FC442E"/>
    <w:rsid w:val="00FC47AB"/>
    <w:rsid w:val="00FC47F1"/>
    <w:rsid w:val="00FC4890"/>
    <w:rsid w:val="00FC4A31"/>
    <w:rsid w:val="00FC4A3A"/>
    <w:rsid w:val="00FC4C5F"/>
    <w:rsid w:val="00FC4FB4"/>
    <w:rsid w:val="00FC4FEE"/>
    <w:rsid w:val="00FC5386"/>
    <w:rsid w:val="00FC53B6"/>
    <w:rsid w:val="00FC5420"/>
    <w:rsid w:val="00FC55C7"/>
    <w:rsid w:val="00FC564F"/>
    <w:rsid w:val="00FC58A5"/>
    <w:rsid w:val="00FC605F"/>
    <w:rsid w:val="00FC6063"/>
    <w:rsid w:val="00FC61BC"/>
    <w:rsid w:val="00FC6256"/>
    <w:rsid w:val="00FC63D3"/>
    <w:rsid w:val="00FC6408"/>
    <w:rsid w:val="00FC6434"/>
    <w:rsid w:val="00FC6526"/>
    <w:rsid w:val="00FC6624"/>
    <w:rsid w:val="00FC6813"/>
    <w:rsid w:val="00FC6ABC"/>
    <w:rsid w:val="00FC6FCC"/>
    <w:rsid w:val="00FC7000"/>
    <w:rsid w:val="00FC7073"/>
    <w:rsid w:val="00FC70F4"/>
    <w:rsid w:val="00FC7293"/>
    <w:rsid w:val="00FC72AC"/>
    <w:rsid w:val="00FC75FF"/>
    <w:rsid w:val="00FC76D9"/>
    <w:rsid w:val="00FC7747"/>
    <w:rsid w:val="00FC7958"/>
    <w:rsid w:val="00FC7B21"/>
    <w:rsid w:val="00FC7BFC"/>
    <w:rsid w:val="00FC7C10"/>
    <w:rsid w:val="00FC7DD6"/>
    <w:rsid w:val="00FC7E54"/>
    <w:rsid w:val="00FC7E78"/>
    <w:rsid w:val="00FC7F4D"/>
    <w:rsid w:val="00FC7FE9"/>
    <w:rsid w:val="00FD0235"/>
    <w:rsid w:val="00FD0287"/>
    <w:rsid w:val="00FD02AB"/>
    <w:rsid w:val="00FD0321"/>
    <w:rsid w:val="00FD052E"/>
    <w:rsid w:val="00FD058A"/>
    <w:rsid w:val="00FD07C3"/>
    <w:rsid w:val="00FD08D9"/>
    <w:rsid w:val="00FD09B5"/>
    <w:rsid w:val="00FD0E4C"/>
    <w:rsid w:val="00FD0E4D"/>
    <w:rsid w:val="00FD1314"/>
    <w:rsid w:val="00FD13CF"/>
    <w:rsid w:val="00FD1642"/>
    <w:rsid w:val="00FD1725"/>
    <w:rsid w:val="00FD1966"/>
    <w:rsid w:val="00FD19BC"/>
    <w:rsid w:val="00FD1A1E"/>
    <w:rsid w:val="00FD1A2F"/>
    <w:rsid w:val="00FD1A73"/>
    <w:rsid w:val="00FD1B58"/>
    <w:rsid w:val="00FD2302"/>
    <w:rsid w:val="00FD23E9"/>
    <w:rsid w:val="00FD268F"/>
    <w:rsid w:val="00FD29BD"/>
    <w:rsid w:val="00FD29D3"/>
    <w:rsid w:val="00FD2A44"/>
    <w:rsid w:val="00FD2B69"/>
    <w:rsid w:val="00FD2CA8"/>
    <w:rsid w:val="00FD316F"/>
    <w:rsid w:val="00FD3241"/>
    <w:rsid w:val="00FD3251"/>
    <w:rsid w:val="00FD342A"/>
    <w:rsid w:val="00FD352A"/>
    <w:rsid w:val="00FD3676"/>
    <w:rsid w:val="00FD371C"/>
    <w:rsid w:val="00FD372D"/>
    <w:rsid w:val="00FD37D8"/>
    <w:rsid w:val="00FD387A"/>
    <w:rsid w:val="00FD3A42"/>
    <w:rsid w:val="00FD3AEA"/>
    <w:rsid w:val="00FD3E3F"/>
    <w:rsid w:val="00FD4025"/>
    <w:rsid w:val="00FD4182"/>
    <w:rsid w:val="00FD41A0"/>
    <w:rsid w:val="00FD4344"/>
    <w:rsid w:val="00FD44DD"/>
    <w:rsid w:val="00FD44E5"/>
    <w:rsid w:val="00FD45E0"/>
    <w:rsid w:val="00FD46FC"/>
    <w:rsid w:val="00FD477E"/>
    <w:rsid w:val="00FD47A8"/>
    <w:rsid w:val="00FD47BA"/>
    <w:rsid w:val="00FD4846"/>
    <w:rsid w:val="00FD4A6F"/>
    <w:rsid w:val="00FD4B4E"/>
    <w:rsid w:val="00FD4B76"/>
    <w:rsid w:val="00FD4F44"/>
    <w:rsid w:val="00FD556F"/>
    <w:rsid w:val="00FD5734"/>
    <w:rsid w:val="00FD57F5"/>
    <w:rsid w:val="00FD59C1"/>
    <w:rsid w:val="00FD5C46"/>
    <w:rsid w:val="00FD5E9E"/>
    <w:rsid w:val="00FD605D"/>
    <w:rsid w:val="00FD6168"/>
    <w:rsid w:val="00FD61FD"/>
    <w:rsid w:val="00FD64C5"/>
    <w:rsid w:val="00FD64FE"/>
    <w:rsid w:val="00FD651F"/>
    <w:rsid w:val="00FD655F"/>
    <w:rsid w:val="00FD65F1"/>
    <w:rsid w:val="00FD6769"/>
    <w:rsid w:val="00FD6B68"/>
    <w:rsid w:val="00FD6B6E"/>
    <w:rsid w:val="00FD6B6F"/>
    <w:rsid w:val="00FD6C97"/>
    <w:rsid w:val="00FD6CD6"/>
    <w:rsid w:val="00FD6D03"/>
    <w:rsid w:val="00FD6D95"/>
    <w:rsid w:val="00FD6DAF"/>
    <w:rsid w:val="00FD6E87"/>
    <w:rsid w:val="00FD6F35"/>
    <w:rsid w:val="00FD6F46"/>
    <w:rsid w:val="00FD6FD4"/>
    <w:rsid w:val="00FD715F"/>
    <w:rsid w:val="00FD7339"/>
    <w:rsid w:val="00FD734E"/>
    <w:rsid w:val="00FD79EC"/>
    <w:rsid w:val="00FD7ADC"/>
    <w:rsid w:val="00FD7B12"/>
    <w:rsid w:val="00FD7BC4"/>
    <w:rsid w:val="00FD7C08"/>
    <w:rsid w:val="00FD7C26"/>
    <w:rsid w:val="00FD7C4D"/>
    <w:rsid w:val="00FD7CD4"/>
    <w:rsid w:val="00FD7D79"/>
    <w:rsid w:val="00FD7DED"/>
    <w:rsid w:val="00FD7E37"/>
    <w:rsid w:val="00FD7FB8"/>
    <w:rsid w:val="00FE008A"/>
    <w:rsid w:val="00FE0295"/>
    <w:rsid w:val="00FE03D2"/>
    <w:rsid w:val="00FE0471"/>
    <w:rsid w:val="00FE095D"/>
    <w:rsid w:val="00FE0BB1"/>
    <w:rsid w:val="00FE0E45"/>
    <w:rsid w:val="00FE0E8C"/>
    <w:rsid w:val="00FE0EB7"/>
    <w:rsid w:val="00FE0F0F"/>
    <w:rsid w:val="00FE104C"/>
    <w:rsid w:val="00FE123F"/>
    <w:rsid w:val="00FE12BE"/>
    <w:rsid w:val="00FE12EE"/>
    <w:rsid w:val="00FE1325"/>
    <w:rsid w:val="00FE144C"/>
    <w:rsid w:val="00FE1615"/>
    <w:rsid w:val="00FE16C0"/>
    <w:rsid w:val="00FE17E4"/>
    <w:rsid w:val="00FE180D"/>
    <w:rsid w:val="00FE1A89"/>
    <w:rsid w:val="00FE1D5B"/>
    <w:rsid w:val="00FE1D67"/>
    <w:rsid w:val="00FE1E98"/>
    <w:rsid w:val="00FE21A9"/>
    <w:rsid w:val="00FE23AC"/>
    <w:rsid w:val="00FE25AD"/>
    <w:rsid w:val="00FE25D3"/>
    <w:rsid w:val="00FE25D9"/>
    <w:rsid w:val="00FE261F"/>
    <w:rsid w:val="00FE269E"/>
    <w:rsid w:val="00FE2737"/>
    <w:rsid w:val="00FE27BF"/>
    <w:rsid w:val="00FE29DB"/>
    <w:rsid w:val="00FE2A6B"/>
    <w:rsid w:val="00FE2B58"/>
    <w:rsid w:val="00FE2DD5"/>
    <w:rsid w:val="00FE2DEF"/>
    <w:rsid w:val="00FE2DFE"/>
    <w:rsid w:val="00FE30CA"/>
    <w:rsid w:val="00FE315B"/>
    <w:rsid w:val="00FE31FD"/>
    <w:rsid w:val="00FE321D"/>
    <w:rsid w:val="00FE3427"/>
    <w:rsid w:val="00FE3444"/>
    <w:rsid w:val="00FE38E0"/>
    <w:rsid w:val="00FE3B06"/>
    <w:rsid w:val="00FE3B89"/>
    <w:rsid w:val="00FE3C09"/>
    <w:rsid w:val="00FE4267"/>
    <w:rsid w:val="00FE4377"/>
    <w:rsid w:val="00FE443F"/>
    <w:rsid w:val="00FE44AB"/>
    <w:rsid w:val="00FE4834"/>
    <w:rsid w:val="00FE484D"/>
    <w:rsid w:val="00FE511C"/>
    <w:rsid w:val="00FE518E"/>
    <w:rsid w:val="00FE52C7"/>
    <w:rsid w:val="00FE5329"/>
    <w:rsid w:val="00FE54C1"/>
    <w:rsid w:val="00FE55EC"/>
    <w:rsid w:val="00FE5B02"/>
    <w:rsid w:val="00FE5BFC"/>
    <w:rsid w:val="00FE5D6A"/>
    <w:rsid w:val="00FE5DAB"/>
    <w:rsid w:val="00FE5E75"/>
    <w:rsid w:val="00FE5EAA"/>
    <w:rsid w:val="00FE61AE"/>
    <w:rsid w:val="00FE6281"/>
    <w:rsid w:val="00FE6339"/>
    <w:rsid w:val="00FE649D"/>
    <w:rsid w:val="00FE6719"/>
    <w:rsid w:val="00FE6774"/>
    <w:rsid w:val="00FE6841"/>
    <w:rsid w:val="00FE68BA"/>
    <w:rsid w:val="00FE69CD"/>
    <w:rsid w:val="00FE6BA6"/>
    <w:rsid w:val="00FE6BD6"/>
    <w:rsid w:val="00FE73EA"/>
    <w:rsid w:val="00FE74AF"/>
    <w:rsid w:val="00FE76D1"/>
    <w:rsid w:val="00FE76DE"/>
    <w:rsid w:val="00FE79E6"/>
    <w:rsid w:val="00FE7A88"/>
    <w:rsid w:val="00FE7C25"/>
    <w:rsid w:val="00FE7FF6"/>
    <w:rsid w:val="00FF008D"/>
    <w:rsid w:val="00FF00AD"/>
    <w:rsid w:val="00FF020D"/>
    <w:rsid w:val="00FF022C"/>
    <w:rsid w:val="00FF0395"/>
    <w:rsid w:val="00FF04B6"/>
    <w:rsid w:val="00FF04FF"/>
    <w:rsid w:val="00FF05B4"/>
    <w:rsid w:val="00FF0683"/>
    <w:rsid w:val="00FF079C"/>
    <w:rsid w:val="00FF0849"/>
    <w:rsid w:val="00FF0A47"/>
    <w:rsid w:val="00FF0A91"/>
    <w:rsid w:val="00FF0AB4"/>
    <w:rsid w:val="00FF0AB5"/>
    <w:rsid w:val="00FF0BA3"/>
    <w:rsid w:val="00FF0C68"/>
    <w:rsid w:val="00FF103B"/>
    <w:rsid w:val="00FF11FB"/>
    <w:rsid w:val="00FF1211"/>
    <w:rsid w:val="00FF182B"/>
    <w:rsid w:val="00FF199C"/>
    <w:rsid w:val="00FF1AAA"/>
    <w:rsid w:val="00FF1C62"/>
    <w:rsid w:val="00FF1CBD"/>
    <w:rsid w:val="00FF20A3"/>
    <w:rsid w:val="00FF2128"/>
    <w:rsid w:val="00FF2288"/>
    <w:rsid w:val="00FF22CC"/>
    <w:rsid w:val="00FF22F7"/>
    <w:rsid w:val="00FF2361"/>
    <w:rsid w:val="00FF277B"/>
    <w:rsid w:val="00FF279A"/>
    <w:rsid w:val="00FF27DB"/>
    <w:rsid w:val="00FF2CBD"/>
    <w:rsid w:val="00FF2E00"/>
    <w:rsid w:val="00FF2E83"/>
    <w:rsid w:val="00FF2FC6"/>
    <w:rsid w:val="00FF2FCB"/>
    <w:rsid w:val="00FF3187"/>
    <w:rsid w:val="00FF35A2"/>
    <w:rsid w:val="00FF3970"/>
    <w:rsid w:val="00FF3B8C"/>
    <w:rsid w:val="00FF3BC8"/>
    <w:rsid w:val="00FF3D9C"/>
    <w:rsid w:val="00FF3F5A"/>
    <w:rsid w:val="00FF40ED"/>
    <w:rsid w:val="00FF41AC"/>
    <w:rsid w:val="00FF4224"/>
    <w:rsid w:val="00FF4395"/>
    <w:rsid w:val="00FF4454"/>
    <w:rsid w:val="00FF458B"/>
    <w:rsid w:val="00FF46E9"/>
    <w:rsid w:val="00FF478B"/>
    <w:rsid w:val="00FF4826"/>
    <w:rsid w:val="00FF4860"/>
    <w:rsid w:val="00FF49A4"/>
    <w:rsid w:val="00FF49EB"/>
    <w:rsid w:val="00FF4C17"/>
    <w:rsid w:val="00FF4ED9"/>
    <w:rsid w:val="00FF4F7A"/>
    <w:rsid w:val="00FF4FDD"/>
    <w:rsid w:val="00FF5219"/>
    <w:rsid w:val="00FF524B"/>
    <w:rsid w:val="00FF5444"/>
    <w:rsid w:val="00FF544D"/>
    <w:rsid w:val="00FF5464"/>
    <w:rsid w:val="00FF54E3"/>
    <w:rsid w:val="00FF5569"/>
    <w:rsid w:val="00FF565E"/>
    <w:rsid w:val="00FF5719"/>
    <w:rsid w:val="00FF5D4C"/>
    <w:rsid w:val="00FF5DB3"/>
    <w:rsid w:val="00FF5F29"/>
    <w:rsid w:val="00FF60FC"/>
    <w:rsid w:val="00FF61E4"/>
    <w:rsid w:val="00FF6231"/>
    <w:rsid w:val="00FF62B1"/>
    <w:rsid w:val="00FF64A7"/>
    <w:rsid w:val="00FF651E"/>
    <w:rsid w:val="00FF65FB"/>
    <w:rsid w:val="00FF6711"/>
    <w:rsid w:val="00FF67AE"/>
    <w:rsid w:val="00FF69C5"/>
    <w:rsid w:val="00FF6EBF"/>
    <w:rsid w:val="00FF7314"/>
    <w:rsid w:val="00FF7397"/>
    <w:rsid w:val="00FF73F9"/>
    <w:rsid w:val="00FF7416"/>
    <w:rsid w:val="00FF7CA2"/>
    <w:rsid w:val="00FF7E13"/>
    <w:rsid w:val="00FF7F13"/>
    <w:rsid w:val="0102A16C"/>
    <w:rsid w:val="01766A27"/>
    <w:rsid w:val="01909BD5"/>
    <w:rsid w:val="0190E237"/>
    <w:rsid w:val="0196B5A3"/>
    <w:rsid w:val="01A1F2A0"/>
    <w:rsid w:val="01AF74C5"/>
    <w:rsid w:val="01BC1095"/>
    <w:rsid w:val="01BDF1F0"/>
    <w:rsid w:val="01DECB22"/>
    <w:rsid w:val="02499AA9"/>
    <w:rsid w:val="02574279"/>
    <w:rsid w:val="02CA3C42"/>
    <w:rsid w:val="02F88DD4"/>
    <w:rsid w:val="031EAF57"/>
    <w:rsid w:val="033AF858"/>
    <w:rsid w:val="0349AF39"/>
    <w:rsid w:val="03616B3B"/>
    <w:rsid w:val="0362DC55"/>
    <w:rsid w:val="03707B38"/>
    <w:rsid w:val="03D604C6"/>
    <w:rsid w:val="03F8C155"/>
    <w:rsid w:val="04B5F817"/>
    <w:rsid w:val="04C00925"/>
    <w:rsid w:val="04D5A2FC"/>
    <w:rsid w:val="04DE5058"/>
    <w:rsid w:val="04ECEF19"/>
    <w:rsid w:val="0523DAAC"/>
    <w:rsid w:val="056AD288"/>
    <w:rsid w:val="05BC7A3D"/>
    <w:rsid w:val="05E74ED6"/>
    <w:rsid w:val="0676840E"/>
    <w:rsid w:val="06972A05"/>
    <w:rsid w:val="06BB27A7"/>
    <w:rsid w:val="06D44827"/>
    <w:rsid w:val="06D79729"/>
    <w:rsid w:val="06D9B161"/>
    <w:rsid w:val="06F2EC88"/>
    <w:rsid w:val="06F30D84"/>
    <w:rsid w:val="0718580B"/>
    <w:rsid w:val="07307B25"/>
    <w:rsid w:val="07354068"/>
    <w:rsid w:val="07D06A3F"/>
    <w:rsid w:val="07E7AA2D"/>
    <w:rsid w:val="0808B932"/>
    <w:rsid w:val="08735405"/>
    <w:rsid w:val="08766384"/>
    <w:rsid w:val="08F04603"/>
    <w:rsid w:val="09070F38"/>
    <w:rsid w:val="09529C34"/>
    <w:rsid w:val="09823ECA"/>
    <w:rsid w:val="0994D4CA"/>
    <w:rsid w:val="09BA20EF"/>
    <w:rsid w:val="09C0D59C"/>
    <w:rsid w:val="09C9CD7A"/>
    <w:rsid w:val="09D63769"/>
    <w:rsid w:val="09E6F48A"/>
    <w:rsid w:val="0A1C59C7"/>
    <w:rsid w:val="0A254840"/>
    <w:rsid w:val="0A2768E5"/>
    <w:rsid w:val="0A359143"/>
    <w:rsid w:val="0A47A340"/>
    <w:rsid w:val="0A519869"/>
    <w:rsid w:val="0A54568C"/>
    <w:rsid w:val="0A66C5DD"/>
    <w:rsid w:val="0A7EE752"/>
    <w:rsid w:val="0AAE68F0"/>
    <w:rsid w:val="0AE675D2"/>
    <w:rsid w:val="0AF52D21"/>
    <w:rsid w:val="0AFC4229"/>
    <w:rsid w:val="0B32E336"/>
    <w:rsid w:val="0B48A5A1"/>
    <w:rsid w:val="0B4CD513"/>
    <w:rsid w:val="0B861539"/>
    <w:rsid w:val="0BACE788"/>
    <w:rsid w:val="0BE77B39"/>
    <w:rsid w:val="0C881C14"/>
    <w:rsid w:val="0CE03F54"/>
    <w:rsid w:val="0CEF975E"/>
    <w:rsid w:val="0D2574D2"/>
    <w:rsid w:val="0D299FF1"/>
    <w:rsid w:val="0D351AFD"/>
    <w:rsid w:val="0D65A23A"/>
    <w:rsid w:val="0D8D358E"/>
    <w:rsid w:val="0D909BC1"/>
    <w:rsid w:val="0E022DFF"/>
    <w:rsid w:val="0E3CEB29"/>
    <w:rsid w:val="0E5FC8FC"/>
    <w:rsid w:val="0E6D9E3E"/>
    <w:rsid w:val="0F0527FF"/>
    <w:rsid w:val="0F4D708E"/>
    <w:rsid w:val="0F56FFBE"/>
    <w:rsid w:val="0F919867"/>
    <w:rsid w:val="0FA44022"/>
    <w:rsid w:val="0FCE1214"/>
    <w:rsid w:val="10160070"/>
    <w:rsid w:val="101A5621"/>
    <w:rsid w:val="103513F6"/>
    <w:rsid w:val="1066CA33"/>
    <w:rsid w:val="106F0859"/>
    <w:rsid w:val="1073E8A8"/>
    <w:rsid w:val="10C84F26"/>
    <w:rsid w:val="11012AA4"/>
    <w:rsid w:val="111E3A93"/>
    <w:rsid w:val="112679B6"/>
    <w:rsid w:val="112B1541"/>
    <w:rsid w:val="11345A7A"/>
    <w:rsid w:val="1187F37E"/>
    <w:rsid w:val="119F9A6E"/>
    <w:rsid w:val="1238E057"/>
    <w:rsid w:val="124C4DC6"/>
    <w:rsid w:val="129602AC"/>
    <w:rsid w:val="13244DCA"/>
    <w:rsid w:val="13373971"/>
    <w:rsid w:val="1375F1E1"/>
    <w:rsid w:val="1389DB30"/>
    <w:rsid w:val="13D311D1"/>
    <w:rsid w:val="13D5B097"/>
    <w:rsid w:val="13ED6447"/>
    <w:rsid w:val="1438CDDD"/>
    <w:rsid w:val="1444CBD3"/>
    <w:rsid w:val="144EFB2C"/>
    <w:rsid w:val="1478E503"/>
    <w:rsid w:val="14A788FD"/>
    <w:rsid w:val="14C293A8"/>
    <w:rsid w:val="14DC988D"/>
    <w:rsid w:val="14E4FE8A"/>
    <w:rsid w:val="14EE433E"/>
    <w:rsid w:val="15128F7B"/>
    <w:rsid w:val="152A1A82"/>
    <w:rsid w:val="15818AD7"/>
    <w:rsid w:val="158FC5CA"/>
    <w:rsid w:val="15CEA5CA"/>
    <w:rsid w:val="15D397DE"/>
    <w:rsid w:val="15DAEF9C"/>
    <w:rsid w:val="15DF8010"/>
    <w:rsid w:val="15E8E27D"/>
    <w:rsid w:val="161B914F"/>
    <w:rsid w:val="16ECE14F"/>
    <w:rsid w:val="16EFCAA6"/>
    <w:rsid w:val="172B3C5B"/>
    <w:rsid w:val="17BC2634"/>
    <w:rsid w:val="17CD87BF"/>
    <w:rsid w:val="17EBB839"/>
    <w:rsid w:val="183AEA37"/>
    <w:rsid w:val="187BC137"/>
    <w:rsid w:val="18928EBE"/>
    <w:rsid w:val="18956A9B"/>
    <w:rsid w:val="18D9E4D9"/>
    <w:rsid w:val="18EF5E5D"/>
    <w:rsid w:val="18F3C5F5"/>
    <w:rsid w:val="1963D924"/>
    <w:rsid w:val="19709D4B"/>
    <w:rsid w:val="197B41EC"/>
    <w:rsid w:val="19915287"/>
    <w:rsid w:val="19A68D07"/>
    <w:rsid w:val="19BD3413"/>
    <w:rsid w:val="19D02C05"/>
    <w:rsid w:val="1A02459C"/>
    <w:rsid w:val="1A0BEA7E"/>
    <w:rsid w:val="1A7CF8B0"/>
    <w:rsid w:val="1AA0A7B6"/>
    <w:rsid w:val="1B056D53"/>
    <w:rsid w:val="1B79C9A2"/>
    <w:rsid w:val="1BBADCA1"/>
    <w:rsid w:val="1BBDCE98"/>
    <w:rsid w:val="1BD109EC"/>
    <w:rsid w:val="1BD76598"/>
    <w:rsid w:val="1C0864EB"/>
    <w:rsid w:val="1C305759"/>
    <w:rsid w:val="1C334437"/>
    <w:rsid w:val="1C4C67E4"/>
    <w:rsid w:val="1C5332BD"/>
    <w:rsid w:val="1C8B4796"/>
    <w:rsid w:val="1CA5A3AA"/>
    <w:rsid w:val="1CBDEC18"/>
    <w:rsid w:val="1CC2C49B"/>
    <w:rsid w:val="1CD3500B"/>
    <w:rsid w:val="1CD938EF"/>
    <w:rsid w:val="1D22E05A"/>
    <w:rsid w:val="1D35BF44"/>
    <w:rsid w:val="1D4DEE3A"/>
    <w:rsid w:val="1D75A910"/>
    <w:rsid w:val="1D8B31B6"/>
    <w:rsid w:val="1D957235"/>
    <w:rsid w:val="1E14211C"/>
    <w:rsid w:val="1E1BE5FB"/>
    <w:rsid w:val="1E95AD9E"/>
    <w:rsid w:val="1EA6167D"/>
    <w:rsid w:val="1EFDA872"/>
    <w:rsid w:val="1F3A11B0"/>
    <w:rsid w:val="1F3C335B"/>
    <w:rsid w:val="1F415F98"/>
    <w:rsid w:val="1F57010E"/>
    <w:rsid w:val="1F60D6F6"/>
    <w:rsid w:val="1F8F15D5"/>
    <w:rsid w:val="1FCE43D9"/>
    <w:rsid w:val="2036F37D"/>
    <w:rsid w:val="2055ADBE"/>
    <w:rsid w:val="207060F0"/>
    <w:rsid w:val="20ABF2BE"/>
    <w:rsid w:val="20F5584E"/>
    <w:rsid w:val="212CEF45"/>
    <w:rsid w:val="21692986"/>
    <w:rsid w:val="21809E32"/>
    <w:rsid w:val="218FBB5F"/>
    <w:rsid w:val="21B42E7D"/>
    <w:rsid w:val="21B9A19E"/>
    <w:rsid w:val="21C39BD3"/>
    <w:rsid w:val="2275A159"/>
    <w:rsid w:val="2296B2AD"/>
    <w:rsid w:val="22D5EEA4"/>
    <w:rsid w:val="22FAC36E"/>
    <w:rsid w:val="23031CD9"/>
    <w:rsid w:val="230D19B8"/>
    <w:rsid w:val="2343D7E3"/>
    <w:rsid w:val="23456A95"/>
    <w:rsid w:val="2353DE0A"/>
    <w:rsid w:val="23B2502D"/>
    <w:rsid w:val="23C60C84"/>
    <w:rsid w:val="23EEA32A"/>
    <w:rsid w:val="23FA873F"/>
    <w:rsid w:val="240BC2D8"/>
    <w:rsid w:val="24106C21"/>
    <w:rsid w:val="24580678"/>
    <w:rsid w:val="245B9439"/>
    <w:rsid w:val="24643183"/>
    <w:rsid w:val="248362EA"/>
    <w:rsid w:val="24D06847"/>
    <w:rsid w:val="2535C1E1"/>
    <w:rsid w:val="253811A9"/>
    <w:rsid w:val="25651891"/>
    <w:rsid w:val="25B72163"/>
    <w:rsid w:val="263EE6C6"/>
    <w:rsid w:val="269434F0"/>
    <w:rsid w:val="26C76EE7"/>
    <w:rsid w:val="26CA3E41"/>
    <w:rsid w:val="271FDD43"/>
    <w:rsid w:val="2741C343"/>
    <w:rsid w:val="2758D6DE"/>
    <w:rsid w:val="2786105F"/>
    <w:rsid w:val="27C6C951"/>
    <w:rsid w:val="280487F5"/>
    <w:rsid w:val="288E5910"/>
    <w:rsid w:val="28A5AB75"/>
    <w:rsid w:val="28CA86BD"/>
    <w:rsid w:val="28FF9765"/>
    <w:rsid w:val="2917EFAD"/>
    <w:rsid w:val="295F2D8B"/>
    <w:rsid w:val="29653DE4"/>
    <w:rsid w:val="297E90DA"/>
    <w:rsid w:val="2A130E4D"/>
    <w:rsid w:val="2A1CEFD3"/>
    <w:rsid w:val="2A6297D1"/>
    <w:rsid w:val="2A7AB4AA"/>
    <w:rsid w:val="2B1759DB"/>
    <w:rsid w:val="2B26E744"/>
    <w:rsid w:val="2B2F2DDA"/>
    <w:rsid w:val="2B30F44F"/>
    <w:rsid w:val="2B466245"/>
    <w:rsid w:val="2B4996D5"/>
    <w:rsid w:val="2BDDB7CD"/>
    <w:rsid w:val="2C032FE4"/>
    <w:rsid w:val="2C884A93"/>
    <w:rsid w:val="2CA4660A"/>
    <w:rsid w:val="2CBF0B13"/>
    <w:rsid w:val="2CD43DD0"/>
    <w:rsid w:val="2CDE391B"/>
    <w:rsid w:val="2CE9D485"/>
    <w:rsid w:val="2D17BFC8"/>
    <w:rsid w:val="2D51EAF3"/>
    <w:rsid w:val="2D6886E9"/>
    <w:rsid w:val="2D80AF68"/>
    <w:rsid w:val="2D9523B0"/>
    <w:rsid w:val="2DA4771C"/>
    <w:rsid w:val="2DEBF73E"/>
    <w:rsid w:val="2E4D30B4"/>
    <w:rsid w:val="2E8548B2"/>
    <w:rsid w:val="2E9D76A1"/>
    <w:rsid w:val="2EAAFFC2"/>
    <w:rsid w:val="2F0236B8"/>
    <w:rsid w:val="2F530C42"/>
    <w:rsid w:val="2F5A6863"/>
    <w:rsid w:val="2F734866"/>
    <w:rsid w:val="2F8EFB6F"/>
    <w:rsid w:val="2FABDD07"/>
    <w:rsid w:val="30152D75"/>
    <w:rsid w:val="3039BF94"/>
    <w:rsid w:val="304002ED"/>
    <w:rsid w:val="305A6F0D"/>
    <w:rsid w:val="305DB613"/>
    <w:rsid w:val="309C4858"/>
    <w:rsid w:val="30C505CE"/>
    <w:rsid w:val="30CF1C40"/>
    <w:rsid w:val="314A6CEC"/>
    <w:rsid w:val="314FF5C3"/>
    <w:rsid w:val="31549188"/>
    <w:rsid w:val="318EA343"/>
    <w:rsid w:val="31AE5C6D"/>
    <w:rsid w:val="31D31ACE"/>
    <w:rsid w:val="31EECDB2"/>
    <w:rsid w:val="32210044"/>
    <w:rsid w:val="3222222A"/>
    <w:rsid w:val="3226CDFE"/>
    <w:rsid w:val="3241DCBB"/>
    <w:rsid w:val="3259A5CE"/>
    <w:rsid w:val="3287D617"/>
    <w:rsid w:val="32F5FB6D"/>
    <w:rsid w:val="330868FB"/>
    <w:rsid w:val="333DDF41"/>
    <w:rsid w:val="336D8784"/>
    <w:rsid w:val="3375B088"/>
    <w:rsid w:val="337F33B7"/>
    <w:rsid w:val="339E654C"/>
    <w:rsid w:val="33F53471"/>
    <w:rsid w:val="34189201"/>
    <w:rsid w:val="341D8F5B"/>
    <w:rsid w:val="34388874"/>
    <w:rsid w:val="347025D1"/>
    <w:rsid w:val="3476E4C3"/>
    <w:rsid w:val="34D43354"/>
    <w:rsid w:val="34F96381"/>
    <w:rsid w:val="355E2EDC"/>
    <w:rsid w:val="35723846"/>
    <w:rsid w:val="35845478"/>
    <w:rsid w:val="359F49F2"/>
    <w:rsid w:val="35A436C2"/>
    <w:rsid w:val="35BC47E5"/>
    <w:rsid w:val="35DA4F9B"/>
    <w:rsid w:val="360A4D9F"/>
    <w:rsid w:val="361AFEEB"/>
    <w:rsid w:val="361CFAE2"/>
    <w:rsid w:val="362B01A7"/>
    <w:rsid w:val="36666401"/>
    <w:rsid w:val="3668CB16"/>
    <w:rsid w:val="36A70515"/>
    <w:rsid w:val="36A8032A"/>
    <w:rsid w:val="36A858EA"/>
    <w:rsid w:val="36ACF9EB"/>
    <w:rsid w:val="3772D2B7"/>
    <w:rsid w:val="37951DD7"/>
    <w:rsid w:val="37AAE260"/>
    <w:rsid w:val="37E3DCAA"/>
    <w:rsid w:val="37EE3471"/>
    <w:rsid w:val="3849E8DB"/>
    <w:rsid w:val="387CD23E"/>
    <w:rsid w:val="38DC300E"/>
    <w:rsid w:val="38FE5089"/>
    <w:rsid w:val="392A4D8D"/>
    <w:rsid w:val="39AA4B33"/>
    <w:rsid w:val="3A427248"/>
    <w:rsid w:val="3A46F622"/>
    <w:rsid w:val="3A48D21F"/>
    <w:rsid w:val="3A5FE9D9"/>
    <w:rsid w:val="3A6BCA80"/>
    <w:rsid w:val="3A7737F9"/>
    <w:rsid w:val="3AA94E1C"/>
    <w:rsid w:val="3AED9E0C"/>
    <w:rsid w:val="3AFBE6C7"/>
    <w:rsid w:val="3B04F89B"/>
    <w:rsid w:val="3B13F2FB"/>
    <w:rsid w:val="3B4030E9"/>
    <w:rsid w:val="3BBB0F98"/>
    <w:rsid w:val="3BBEA041"/>
    <w:rsid w:val="3C059316"/>
    <w:rsid w:val="3C0C969C"/>
    <w:rsid w:val="3C5B0915"/>
    <w:rsid w:val="3D044270"/>
    <w:rsid w:val="3D31613E"/>
    <w:rsid w:val="3D932697"/>
    <w:rsid w:val="3D953141"/>
    <w:rsid w:val="3DC87EED"/>
    <w:rsid w:val="3DECCEB1"/>
    <w:rsid w:val="3E12E198"/>
    <w:rsid w:val="3E1ECA0E"/>
    <w:rsid w:val="3EC70E79"/>
    <w:rsid w:val="3ED25F8E"/>
    <w:rsid w:val="3EDE9611"/>
    <w:rsid w:val="3EEE3BE7"/>
    <w:rsid w:val="3EFED419"/>
    <w:rsid w:val="3F1AF8A6"/>
    <w:rsid w:val="3F32D040"/>
    <w:rsid w:val="3F785448"/>
    <w:rsid w:val="3F8F3598"/>
    <w:rsid w:val="3FC79F81"/>
    <w:rsid w:val="3FC977D4"/>
    <w:rsid w:val="3FCE3031"/>
    <w:rsid w:val="3FE85278"/>
    <w:rsid w:val="4007FF84"/>
    <w:rsid w:val="4019A0BD"/>
    <w:rsid w:val="403E9615"/>
    <w:rsid w:val="404326CB"/>
    <w:rsid w:val="406B4A86"/>
    <w:rsid w:val="407BFD8F"/>
    <w:rsid w:val="4096C82A"/>
    <w:rsid w:val="41355F35"/>
    <w:rsid w:val="415B99AB"/>
    <w:rsid w:val="418CF24D"/>
    <w:rsid w:val="41CCC5E5"/>
    <w:rsid w:val="41D0BB07"/>
    <w:rsid w:val="4219396B"/>
    <w:rsid w:val="42210CB0"/>
    <w:rsid w:val="4225A9F6"/>
    <w:rsid w:val="4226BBA8"/>
    <w:rsid w:val="4253507B"/>
    <w:rsid w:val="428EDD2E"/>
    <w:rsid w:val="42925185"/>
    <w:rsid w:val="42D8C8D7"/>
    <w:rsid w:val="43070613"/>
    <w:rsid w:val="43264617"/>
    <w:rsid w:val="435D6FC6"/>
    <w:rsid w:val="437EEC9E"/>
    <w:rsid w:val="438B5C7A"/>
    <w:rsid w:val="43C9A49F"/>
    <w:rsid w:val="44709328"/>
    <w:rsid w:val="447E7925"/>
    <w:rsid w:val="4493F416"/>
    <w:rsid w:val="449FB6F7"/>
    <w:rsid w:val="44A3F137"/>
    <w:rsid w:val="44A9EA22"/>
    <w:rsid w:val="44ACAD28"/>
    <w:rsid w:val="44BBC61D"/>
    <w:rsid w:val="44BEB497"/>
    <w:rsid w:val="44E18354"/>
    <w:rsid w:val="44F78D1A"/>
    <w:rsid w:val="450A1720"/>
    <w:rsid w:val="45309A16"/>
    <w:rsid w:val="45580BB3"/>
    <w:rsid w:val="45870DB4"/>
    <w:rsid w:val="45892779"/>
    <w:rsid w:val="4592CA23"/>
    <w:rsid w:val="459E8069"/>
    <w:rsid w:val="45E382E3"/>
    <w:rsid w:val="462592C7"/>
    <w:rsid w:val="462C56B2"/>
    <w:rsid w:val="4653DF81"/>
    <w:rsid w:val="4664D596"/>
    <w:rsid w:val="468DA6A6"/>
    <w:rsid w:val="4691E0BD"/>
    <w:rsid w:val="46A795A9"/>
    <w:rsid w:val="46FF3F8A"/>
    <w:rsid w:val="474BE082"/>
    <w:rsid w:val="47573804"/>
    <w:rsid w:val="475AFD8B"/>
    <w:rsid w:val="47609FA3"/>
    <w:rsid w:val="4762BE0D"/>
    <w:rsid w:val="4767E5F9"/>
    <w:rsid w:val="4776FA78"/>
    <w:rsid w:val="478DF92D"/>
    <w:rsid w:val="47B4EC88"/>
    <w:rsid w:val="47B8354D"/>
    <w:rsid w:val="47C56C92"/>
    <w:rsid w:val="47C5F51C"/>
    <w:rsid w:val="47CD35D5"/>
    <w:rsid w:val="47E62F73"/>
    <w:rsid w:val="480F2403"/>
    <w:rsid w:val="481C644C"/>
    <w:rsid w:val="481F0EBD"/>
    <w:rsid w:val="483CF181"/>
    <w:rsid w:val="48632DCD"/>
    <w:rsid w:val="4865332A"/>
    <w:rsid w:val="48693D78"/>
    <w:rsid w:val="489A3742"/>
    <w:rsid w:val="48C21FDD"/>
    <w:rsid w:val="48C970E5"/>
    <w:rsid w:val="4900BB1C"/>
    <w:rsid w:val="491405F4"/>
    <w:rsid w:val="492238E0"/>
    <w:rsid w:val="4A170DA1"/>
    <w:rsid w:val="4A181008"/>
    <w:rsid w:val="4A3CA3E4"/>
    <w:rsid w:val="4A421B96"/>
    <w:rsid w:val="4A6725A1"/>
    <w:rsid w:val="4A8DD6CD"/>
    <w:rsid w:val="4A93195F"/>
    <w:rsid w:val="4B05A9B6"/>
    <w:rsid w:val="4B54B880"/>
    <w:rsid w:val="4B57CC06"/>
    <w:rsid w:val="4B5EEC2B"/>
    <w:rsid w:val="4B821AF3"/>
    <w:rsid w:val="4BCFA0C8"/>
    <w:rsid w:val="4BDD0972"/>
    <w:rsid w:val="4BEAA1A5"/>
    <w:rsid w:val="4C32BACE"/>
    <w:rsid w:val="4C4B2164"/>
    <w:rsid w:val="4C50BD54"/>
    <w:rsid w:val="4C63C265"/>
    <w:rsid w:val="4C6804B3"/>
    <w:rsid w:val="4C6D5F11"/>
    <w:rsid w:val="4C75ADDF"/>
    <w:rsid w:val="4C889B24"/>
    <w:rsid w:val="4CD57049"/>
    <w:rsid w:val="4CE0CEAD"/>
    <w:rsid w:val="4CFF3412"/>
    <w:rsid w:val="4D0EA0D2"/>
    <w:rsid w:val="4D144462"/>
    <w:rsid w:val="4D338A1F"/>
    <w:rsid w:val="4D48C4DD"/>
    <w:rsid w:val="4D5D6AC5"/>
    <w:rsid w:val="4D6BC424"/>
    <w:rsid w:val="4E0ED920"/>
    <w:rsid w:val="4E0FB6B2"/>
    <w:rsid w:val="4E35EE21"/>
    <w:rsid w:val="4E3ACAC8"/>
    <w:rsid w:val="4E54FC58"/>
    <w:rsid w:val="4E7A5295"/>
    <w:rsid w:val="4ED22909"/>
    <w:rsid w:val="4EDDDE8D"/>
    <w:rsid w:val="4F066862"/>
    <w:rsid w:val="4F427B87"/>
    <w:rsid w:val="4F991BC0"/>
    <w:rsid w:val="4FB837DE"/>
    <w:rsid w:val="4FEB45CD"/>
    <w:rsid w:val="4FEEF2F0"/>
    <w:rsid w:val="4FF40E50"/>
    <w:rsid w:val="50066475"/>
    <w:rsid w:val="50126855"/>
    <w:rsid w:val="501F5715"/>
    <w:rsid w:val="5047E887"/>
    <w:rsid w:val="5050AB4C"/>
    <w:rsid w:val="505D3DBB"/>
    <w:rsid w:val="506B57FF"/>
    <w:rsid w:val="5076F757"/>
    <w:rsid w:val="50EAED88"/>
    <w:rsid w:val="512930C5"/>
    <w:rsid w:val="5148A9CD"/>
    <w:rsid w:val="517BA51B"/>
    <w:rsid w:val="51E03070"/>
    <w:rsid w:val="51F2A734"/>
    <w:rsid w:val="52113F39"/>
    <w:rsid w:val="52119E28"/>
    <w:rsid w:val="5222BA09"/>
    <w:rsid w:val="523452D4"/>
    <w:rsid w:val="52A62A65"/>
    <w:rsid w:val="52BEABA1"/>
    <w:rsid w:val="52C3C2C6"/>
    <w:rsid w:val="52DDFD0C"/>
    <w:rsid w:val="534D02C4"/>
    <w:rsid w:val="53A76C0D"/>
    <w:rsid w:val="54180E08"/>
    <w:rsid w:val="546D9688"/>
    <w:rsid w:val="5475FCBF"/>
    <w:rsid w:val="5480469D"/>
    <w:rsid w:val="54A6B20D"/>
    <w:rsid w:val="54C0420A"/>
    <w:rsid w:val="54D79FE6"/>
    <w:rsid w:val="54EFF07D"/>
    <w:rsid w:val="55254616"/>
    <w:rsid w:val="5548C133"/>
    <w:rsid w:val="55CACB1F"/>
    <w:rsid w:val="55E5221F"/>
    <w:rsid w:val="56011E55"/>
    <w:rsid w:val="56127296"/>
    <w:rsid w:val="5620B7FF"/>
    <w:rsid w:val="563CC334"/>
    <w:rsid w:val="5646206F"/>
    <w:rsid w:val="564BF737"/>
    <w:rsid w:val="565F3CFE"/>
    <w:rsid w:val="567B79F3"/>
    <w:rsid w:val="5694143D"/>
    <w:rsid w:val="56980E79"/>
    <w:rsid w:val="56A06BF8"/>
    <w:rsid w:val="56EEAD2D"/>
    <w:rsid w:val="576D25B0"/>
    <w:rsid w:val="57713DB2"/>
    <w:rsid w:val="5785384E"/>
    <w:rsid w:val="5787EC7D"/>
    <w:rsid w:val="57AD4486"/>
    <w:rsid w:val="57BA6969"/>
    <w:rsid w:val="57C6A5CF"/>
    <w:rsid w:val="57D7DC93"/>
    <w:rsid w:val="57FB0121"/>
    <w:rsid w:val="58150272"/>
    <w:rsid w:val="5858F5AD"/>
    <w:rsid w:val="58BAF05E"/>
    <w:rsid w:val="58F4F734"/>
    <w:rsid w:val="58FF8386"/>
    <w:rsid w:val="59A391DE"/>
    <w:rsid w:val="5A0936C2"/>
    <w:rsid w:val="5A0D0DED"/>
    <w:rsid w:val="5A27487C"/>
    <w:rsid w:val="5A4CFA75"/>
    <w:rsid w:val="5A569DAF"/>
    <w:rsid w:val="5A5D435E"/>
    <w:rsid w:val="5A5F5B7B"/>
    <w:rsid w:val="5A6DA95C"/>
    <w:rsid w:val="5AD1D455"/>
    <w:rsid w:val="5B09F7A3"/>
    <w:rsid w:val="5B0AE25C"/>
    <w:rsid w:val="5B2C3ED5"/>
    <w:rsid w:val="5B8FFE08"/>
    <w:rsid w:val="5BA38AC9"/>
    <w:rsid w:val="5BD60561"/>
    <w:rsid w:val="5BF78D32"/>
    <w:rsid w:val="5C3E2656"/>
    <w:rsid w:val="5C634655"/>
    <w:rsid w:val="5C82472D"/>
    <w:rsid w:val="5CB5DF6E"/>
    <w:rsid w:val="5CC405F4"/>
    <w:rsid w:val="5CCC79C1"/>
    <w:rsid w:val="5D0013C2"/>
    <w:rsid w:val="5D0F57B3"/>
    <w:rsid w:val="5D3B3E87"/>
    <w:rsid w:val="5D453ED0"/>
    <w:rsid w:val="5D68A0FD"/>
    <w:rsid w:val="5D8B3BF1"/>
    <w:rsid w:val="5DA67C23"/>
    <w:rsid w:val="5E4343AF"/>
    <w:rsid w:val="5E6FEB74"/>
    <w:rsid w:val="5E894FF3"/>
    <w:rsid w:val="5E8FDDC7"/>
    <w:rsid w:val="5E94F2D4"/>
    <w:rsid w:val="5E9EFF55"/>
    <w:rsid w:val="5EA3310F"/>
    <w:rsid w:val="5F228644"/>
    <w:rsid w:val="5F24DD2B"/>
    <w:rsid w:val="5F2AF13E"/>
    <w:rsid w:val="5F40F714"/>
    <w:rsid w:val="5F4E8217"/>
    <w:rsid w:val="5F854FEF"/>
    <w:rsid w:val="5FCE5724"/>
    <w:rsid w:val="60212D8F"/>
    <w:rsid w:val="60364E8B"/>
    <w:rsid w:val="6037D6D3"/>
    <w:rsid w:val="607F469F"/>
    <w:rsid w:val="60851735"/>
    <w:rsid w:val="6117DB5C"/>
    <w:rsid w:val="61998AA4"/>
    <w:rsid w:val="61FDF351"/>
    <w:rsid w:val="620F1212"/>
    <w:rsid w:val="62115007"/>
    <w:rsid w:val="6229F8D2"/>
    <w:rsid w:val="62437BD7"/>
    <w:rsid w:val="624CAC86"/>
    <w:rsid w:val="62ACB800"/>
    <w:rsid w:val="62C95E6C"/>
    <w:rsid w:val="631CDF50"/>
    <w:rsid w:val="633E48ED"/>
    <w:rsid w:val="638F442D"/>
    <w:rsid w:val="63E20B85"/>
    <w:rsid w:val="63FCD104"/>
    <w:rsid w:val="64387A10"/>
    <w:rsid w:val="6463531D"/>
    <w:rsid w:val="6464752D"/>
    <w:rsid w:val="647C4C99"/>
    <w:rsid w:val="647C8167"/>
    <w:rsid w:val="647E502B"/>
    <w:rsid w:val="64861480"/>
    <w:rsid w:val="6500510D"/>
    <w:rsid w:val="6547F0CF"/>
    <w:rsid w:val="656B11ED"/>
    <w:rsid w:val="6573B92D"/>
    <w:rsid w:val="6589E8D9"/>
    <w:rsid w:val="658C239B"/>
    <w:rsid w:val="65AF2648"/>
    <w:rsid w:val="65B49940"/>
    <w:rsid w:val="65CC0B49"/>
    <w:rsid w:val="65F813D8"/>
    <w:rsid w:val="66135EF1"/>
    <w:rsid w:val="667A76D5"/>
    <w:rsid w:val="66A2E83A"/>
    <w:rsid w:val="66AA5078"/>
    <w:rsid w:val="66EF5193"/>
    <w:rsid w:val="6773B356"/>
    <w:rsid w:val="6835C3D0"/>
    <w:rsid w:val="6838E6A4"/>
    <w:rsid w:val="688A0B28"/>
    <w:rsid w:val="68D48B6C"/>
    <w:rsid w:val="68ED7DF4"/>
    <w:rsid w:val="6954F2B8"/>
    <w:rsid w:val="6964FAA9"/>
    <w:rsid w:val="6975A39D"/>
    <w:rsid w:val="6999288C"/>
    <w:rsid w:val="69B68857"/>
    <w:rsid w:val="6A0999AA"/>
    <w:rsid w:val="6A158883"/>
    <w:rsid w:val="6A1A093F"/>
    <w:rsid w:val="6A254D9A"/>
    <w:rsid w:val="6AA923C0"/>
    <w:rsid w:val="6AC9E718"/>
    <w:rsid w:val="6AE10569"/>
    <w:rsid w:val="6AFFD9F6"/>
    <w:rsid w:val="6B872FA4"/>
    <w:rsid w:val="6C23708F"/>
    <w:rsid w:val="6C352796"/>
    <w:rsid w:val="6C46801C"/>
    <w:rsid w:val="6C93E302"/>
    <w:rsid w:val="6CB1D860"/>
    <w:rsid w:val="6CCDD036"/>
    <w:rsid w:val="6CD83183"/>
    <w:rsid w:val="6D00B619"/>
    <w:rsid w:val="6D4E3EC6"/>
    <w:rsid w:val="6D8C2E13"/>
    <w:rsid w:val="6D90A1B4"/>
    <w:rsid w:val="6D95F283"/>
    <w:rsid w:val="6DE2D4A9"/>
    <w:rsid w:val="6DF30477"/>
    <w:rsid w:val="6DF5E43D"/>
    <w:rsid w:val="6E0406F7"/>
    <w:rsid w:val="6E29563C"/>
    <w:rsid w:val="6E5FA64C"/>
    <w:rsid w:val="6E73858B"/>
    <w:rsid w:val="6E961184"/>
    <w:rsid w:val="6EC83CE9"/>
    <w:rsid w:val="6EC8451E"/>
    <w:rsid w:val="6ED8E173"/>
    <w:rsid w:val="6EE04700"/>
    <w:rsid w:val="6F2EC3A0"/>
    <w:rsid w:val="6F30322A"/>
    <w:rsid w:val="6F489DF1"/>
    <w:rsid w:val="6FC1BA96"/>
    <w:rsid w:val="70213593"/>
    <w:rsid w:val="70283EC2"/>
    <w:rsid w:val="70616714"/>
    <w:rsid w:val="7077496E"/>
    <w:rsid w:val="70A0CF82"/>
    <w:rsid w:val="70B18E1F"/>
    <w:rsid w:val="70B928D8"/>
    <w:rsid w:val="70C203B2"/>
    <w:rsid w:val="70CDA3DD"/>
    <w:rsid w:val="70E89E10"/>
    <w:rsid w:val="70FE4FF0"/>
    <w:rsid w:val="716C6AAB"/>
    <w:rsid w:val="7184F895"/>
    <w:rsid w:val="71AB5B97"/>
    <w:rsid w:val="71E7D887"/>
    <w:rsid w:val="71FF9489"/>
    <w:rsid w:val="721BD4D9"/>
    <w:rsid w:val="72303CB4"/>
    <w:rsid w:val="7234D12D"/>
    <w:rsid w:val="723E9736"/>
    <w:rsid w:val="72661538"/>
    <w:rsid w:val="72785077"/>
    <w:rsid w:val="729D01CC"/>
    <w:rsid w:val="72A85240"/>
    <w:rsid w:val="72AE4082"/>
    <w:rsid w:val="72AE78BA"/>
    <w:rsid w:val="72B092CF"/>
    <w:rsid w:val="72C39C94"/>
    <w:rsid w:val="731189D6"/>
    <w:rsid w:val="73156D8D"/>
    <w:rsid w:val="7316BBE3"/>
    <w:rsid w:val="7325DB4B"/>
    <w:rsid w:val="732C2BCD"/>
    <w:rsid w:val="73B84EF8"/>
    <w:rsid w:val="73CBD088"/>
    <w:rsid w:val="73EF7EEF"/>
    <w:rsid w:val="74537469"/>
    <w:rsid w:val="74607869"/>
    <w:rsid w:val="7462810F"/>
    <w:rsid w:val="746305E2"/>
    <w:rsid w:val="747C2B8E"/>
    <w:rsid w:val="7481B5C0"/>
    <w:rsid w:val="748CD46D"/>
    <w:rsid w:val="74C929E8"/>
    <w:rsid w:val="74FC3951"/>
    <w:rsid w:val="75F9211F"/>
    <w:rsid w:val="75FF9A7F"/>
    <w:rsid w:val="760826A4"/>
    <w:rsid w:val="76371A48"/>
    <w:rsid w:val="76473C10"/>
    <w:rsid w:val="765747C7"/>
    <w:rsid w:val="768AD875"/>
    <w:rsid w:val="76C5E100"/>
    <w:rsid w:val="77064B11"/>
    <w:rsid w:val="774D06B5"/>
    <w:rsid w:val="776BD83E"/>
    <w:rsid w:val="778595BD"/>
    <w:rsid w:val="77959CFE"/>
    <w:rsid w:val="77BB94FD"/>
    <w:rsid w:val="77E65B0C"/>
    <w:rsid w:val="77EE2EDA"/>
    <w:rsid w:val="7863E562"/>
    <w:rsid w:val="7873A2BC"/>
    <w:rsid w:val="78928159"/>
    <w:rsid w:val="78DA1DB0"/>
    <w:rsid w:val="78F51492"/>
    <w:rsid w:val="7908B216"/>
    <w:rsid w:val="792FB069"/>
    <w:rsid w:val="7972E166"/>
    <w:rsid w:val="797473D4"/>
    <w:rsid w:val="797EF703"/>
    <w:rsid w:val="79A7B523"/>
    <w:rsid w:val="79B35325"/>
    <w:rsid w:val="79B8DA7C"/>
    <w:rsid w:val="79CEC533"/>
    <w:rsid w:val="7A1FDDCD"/>
    <w:rsid w:val="7A305312"/>
    <w:rsid w:val="7A65402D"/>
    <w:rsid w:val="7A9B0E1B"/>
    <w:rsid w:val="7AB82DCD"/>
    <w:rsid w:val="7AED9BF3"/>
    <w:rsid w:val="7B06D2F5"/>
    <w:rsid w:val="7B4BF6C4"/>
    <w:rsid w:val="7B7771B5"/>
    <w:rsid w:val="7B778C5E"/>
    <w:rsid w:val="7BC2A3B4"/>
    <w:rsid w:val="7BCDE5AF"/>
    <w:rsid w:val="7C312040"/>
    <w:rsid w:val="7C93DC85"/>
    <w:rsid w:val="7CAC2D95"/>
    <w:rsid w:val="7CAC6769"/>
    <w:rsid w:val="7CAD5159"/>
    <w:rsid w:val="7CBAC756"/>
    <w:rsid w:val="7CCC6630"/>
    <w:rsid w:val="7CD4DEB6"/>
    <w:rsid w:val="7CF4D0A1"/>
    <w:rsid w:val="7D50DCDF"/>
    <w:rsid w:val="7D5D84BD"/>
    <w:rsid w:val="7D78788A"/>
    <w:rsid w:val="7DB6B8FE"/>
    <w:rsid w:val="7DBB847C"/>
    <w:rsid w:val="7DEC0577"/>
    <w:rsid w:val="7DEE1E41"/>
    <w:rsid w:val="7E158D31"/>
    <w:rsid w:val="7E35948F"/>
    <w:rsid w:val="7E546F6C"/>
    <w:rsid w:val="7E64C01A"/>
    <w:rsid w:val="7E82EEBE"/>
    <w:rsid w:val="7E8998FB"/>
    <w:rsid w:val="7EB640D6"/>
    <w:rsid w:val="7EBCDEF1"/>
    <w:rsid w:val="7EC5B174"/>
    <w:rsid w:val="7F0BEC9C"/>
    <w:rsid w:val="7F12DFA6"/>
    <w:rsid w:val="7F5131A1"/>
    <w:rsid w:val="7FFA00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AB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4932"/>
    <w:pPr>
      <w:spacing w:after="0" w:line="240" w:lineRule="auto"/>
    </w:pPr>
    <w:rPr>
      <w:rFonts w:ascii="Arial" w:eastAsia="Times New Roman" w:hAnsi="Arial"/>
      <w:kern w:val="0"/>
      <w:sz w:val="22"/>
    </w:rPr>
  </w:style>
  <w:style w:type="paragraph" w:styleId="Heading1">
    <w:name w:val="heading 1"/>
    <w:basedOn w:val="Normal"/>
    <w:next w:val="Normal"/>
    <w:link w:val="Heading1Char"/>
    <w:qFormat/>
    <w:rsid w:val="001A15A3"/>
    <w:pPr>
      <w:keepNext/>
      <w:spacing w:before="240" w:after="60"/>
      <w:outlineLvl w:val="0"/>
    </w:pPr>
    <w:rPr>
      <w:rFonts w:asciiTheme="minorHAnsi" w:hAnsiTheme="minorHAnsi" w:cs="Arial"/>
      <w:bCs/>
      <w:color w:val="2F5496"/>
      <w:kern w:val="28"/>
      <w:sz w:val="36"/>
      <w:szCs w:val="36"/>
    </w:rPr>
  </w:style>
  <w:style w:type="paragraph" w:styleId="Heading2">
    <w:name w:val="heading 2"/>
    <w:basedOn w:val="Normal"/>
    <w:next w:val="Normal"/>
    <w:link w:val="Heading2Char"/>
    <w:uiPriority w:val="9"/>
    <w:unhideWhenUsed/>
    <w:qFormat/>
    <w:rsid w:val="005C6178"/>
    <w:pPr>
      <w:keepNext/>
      <w:keepLines/>
      <w:spacing w:before="120" w:after="120"/>
      <w:outlineLvl w:val="1"/>
    </w:pPr>
    <w:rPr>
      <w:rFonts w:asciiTheme="minorHAnsi" w:eastAsiaTheme="majorEastAsia" w:hAnsiTheme="min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0003"/>
    <w:pPr>
      <w:keepNext/>
      <w:keepLines/>
      <w:spacing w:before="120" w:after="120"/>
      <w:jc w:val="both"/>
      <w:outlineLvl w:val="2"/>
    </w:pPr>
    <w:rPr>
      <w:rFonts w:asciiTheme="minorHAnsi" w:eastAsia="Calibri" w:hAnsiTheme="minorHAnsi" w:cstheme="minorHAnsi"/>
      <w:b/>
      <w:bCs/>
      <w:color w:val="2F5496" w:themeColor="accent1" w:themeShade="BF"/>
      <w:sz w:val="24"/>
    </w:rPr>
  </w:style>
  <w:style w:type="paragraph" w:styleId="Heading4">
    <w:name w:val="heading 4"/>
    <w:basedOn w:val="Normal"/>
    <w:next w:val="Normal"/>
    <w:link w:val="Heading4Char"/>
    <w:uiPriority w:val="9"/>
    <w:unhideWhenUsed/>
    <w:qFormat/>
    <w:rsid w:val="005C6178"/>
    <w:pPr>
      <w:keepNext/>
      <w:keepLines/>
      <w:spacing w:before="120" w:after="12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234D7C"/>
    <w:pPr>
      <w:keepNext/>
      <w:keepLines/>
      <w:spacing w:before="120" w:after="12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1A3A0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924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9275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671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5A3"/>
    <w:rPr>
      <w:rFonts w:asciiTheme="minorHAnsi" w:eastAsia="Times New Roman" w:hAnsiTheme="minorHAnsi" w:cs="Arial"/>
      <w:bCs/>
      <w:color w:val="2F5496"/>
      <w:kern w:val="28"/>
      <w:sz w:val="36"/>
      <w:szCs w:val="36"/>
    </w:rPr>
  </w:style>
  <w:style w:type="paragraph" w:customStyle="1" w:styleId="Paragraphtext">
    <w:name w:val="Paragraph text"/>
    <w:basedOn w:val="Normal"/>
    <w:qFormat/>
    <w:rsid w:val="005E2059"/>
    <w:pPr>
      <w:spacing w:before="120" w:after="120"/>
      <w:jc w:val="both"/>
    </w:pPr>
    <w:rPr>
      <w:rFonts w:asciiTheme="minorHAnsi" w:eastAsia="Calibri" w:hAnsiTheme="minorHAnsi" w:cstheme="minorHAnsi"/>
      <w:szCs w:val="22"/>
    </w:rPr>
  </w:style>
  <w:style w:type="character" w:styleId="Strong">
    <w:name w:val="Strong"/>
    <w:basedOn w:val="DefaultParagraphFont"/>
    <w:uiPriority w:val="22"/>
    <w:qFormat/>
    <w:rsid w:val="00D87731"/>
    <w:rPr>
      <w:b/>
      <w:bCs/>
    </w:rPr>
  </w:style>
  <w:style w:type="paragraph" w:styleId="ListBullet">
    <w:name w:val="List Bullet"/>
    <w:basedOn w:val="Normal"/>
    <w:uiPriority w:val="99"/>
    <w:qFormat/>
    <w:rsid w:val="00D87731"/>
    <w:pPr>
      <w:spacing w:before="60" w:after="60"/>
    </w:pPr>
    <w:rPr>
      <w:color w:val="000000" w:themeColor="text1"/>
      <w:sz w:val="21"/>
    </w:rPr>
  </w:style>
  <w:style w:type="paragraph" w:styleId="ListParagraph">
    <w:name w:val="List Paragraph"/>
    <w:aliases w:val="L,List Paragraph1,List Paragraph11,Recommendation,bullet point list,Bullet point,Bullets,CV text,Dot pt,F5 List Paragraph,FooterText,List Paragraph111,List Paragraph2,Medium Grid 1 - Accent 21,NAST Quote,NFP GP Bulleted List,列,Body text"/>
    <w:basedOn w:val="Normal"/>
    <w:link w:val="ListParagraphChar"/>
    <w:uiPriority w:val="34"/>
    <w:qFormat/>
    <w:rsid w:val="00D87731"/>
    <w:pPr>
      <w:ind w:left="720"/>
      <w:contextualSpacing/>
    </w:pPr>
  </w:style>
  <w:style w:type="paragraph" w:styleId="FootnoteText">
    <w:name w:val="footnote text"/>
    <w:aliases w:val="LAW"/>
    <w:basedOn w:val="Normal"/>
    <w:link w:val="FootnoteTextChar"/>
    <w:uiPriority w:val="99"/>
    <w:qFormat/>
    <w:rsid w:val="00D87731"/>
    <w:rPr>
      <w:sz w:val="20"/>
      <w:szCs w:val="20"/>
    </w:rPr>
  </w:style>
  <w:style w:type="character" w:customStyle="1" w:styleId="FootnoteTextChar">
    <w:name w:val="Footnote Text Char"/>
    <w:aliases w:val="LAW Char"/>
    <w:basedOn w:val="DefaultParagraphFont"/>
    <w:link w:val="FootnoteText"/>
    <w:uiPriority w:val="99"/>
    <w:rsid w:val="00D87731"/>
    <w:rPr>
      <w:rFonts w:ascii="Arial" w:eastAsia="Times New Roman" w:hAnsi="Arial"/>
      <w:kern w:val="0"/>
      <w:sz w:val="20"/>
      <w:szCs w:val="20"/>
    </w:rPr>
  </w:style>
  <w:style w:type="character" w:customStyle="1" w:styleId="ListParagraphChar">
    <w:name w:val="List Paragraph Char"/>
    <w:aliases w:val="L Char,List Paragraph1 Char,List Paragraph11 Char,Recommendation Char,bullet point list Char,Bullet point Char,Bullets Char,CV text Char,Dot pt Char,F5 List Paragraph Char,FooterText Char,List Paragraph111 Char,List Paragraph2 Char"/>
    <w:basedOn w:val="DefaultParagraphFont"/>
    <w:link w:val="ListParagraph"/>
    <w:uiPriority w:val="34"/>
    <w:qFormat/>
    <w:locked/>
    <w:rsid w:val="00D87731"/>
    <w:rPr>
      <w:rFonts w:ascii="Arial" w:eastAsia="Times New Roman" w:hAnsi="Arial"/>
      <w:kern w:val="0"/>
      <w:sz w:val="22"/>
    </w:rPr>
  </w:style>
  <w:style w:type="character" w:styleId="FootnoteReference">
    <w:name w:val="footnote reference"/>
    <w:basedOn w:val="DefaultParagraphFont"/>
    <w:uiPriority w:val="99"/>
    <w:unhideWhenUsed/>
    <w:qFormat/>
    <w:rsid w:val="00D87731"/>
    <w:rPr>
      <w:vertAlign w:val="superscript"/>
    </w:rPr>
  </w:style>
  <w:style w:type="table" w:customStyle="1" w:styleId="TableGrid2">
    <w:name w:val="Table Grid2"/>
    <w:basedOn w:val="TableNormal"/>
    <w:next w:val="TableGrid"/>
    <w:uiPriority w:val="39"/>
    <w:rsid w:val="00D8773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qFormat/>
    <w:rsid w:val="00B45AAE"/>
    <w:pPr>
      <w:keepNext/>
      <w:spacing w:before="120" w:after="120" w:line="240" w:lineRule="auto"/>
      <w:jc w:val="both"/>
    </w:pPr>
    <w:rPr>
      <w:rFonts w:asciiTheme="minorHAnsi" w:hAnsiTheme="minorHAnsi" w:cstheme="minorBidi"/>
      <w:b/>
      <w:bCs/>
      <w:color w:val="2F5496" w:themeColor="accent1" w:themeShade="BF"/>
      <w:kern w:val="0"/>
      <w:sz w:val="22"/>
      <w:szCs w:val="20"/>
      <w:lang w:eastAsia="en-AU"/>
    </w:rPr>
  </w:style>
  <w:style w:type="table" w:styleId="TableGrid">
    <w:name w:val="Table Grid"/>
    <w:basedOn w:val="TableNormal"/>
    <w:uiPriority w:val="39"/>
    <w:rsid w:val="00D8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B1AC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2D2C6E"/>
    <w:pPr>
      <w:tabs>
        <w:tab w:val="center" w:pos="4513"/>
        <w:tab w:val="right" w:pos="9026"/>
      </w:tabs>
    </w:pPr>
  </w:style>
  <w:style w:type="character" w:customStyle="1" w:styleId="HeaderChar">
    <w:name w:val="Header Char"/>
    <w:basedOn w:val="DefaultParagraphFont"/>
    <w:link w:val="Header"/>
    <w:uiPriority w:val="99"/>
    <w:rsid w:val="002D2C6E"/>
    <w:rPr>
      <w:rFonts w:ascii="Arial" w:eastAsia="Times New Roman" w:hAnsi="Arial"/>
      <w:kern w:val="0"/>
      <w:sz w:val="22"/>
    </w:rPr>
  </w:style>
  <w:style w:type="paragraph" w:styleId="Footer">
    <w:name w:val="footer"/>
    <w:basedOn w:val="Normal"/>
    <w:link w:val="FooterChar"/>
    <w:uiPriority w:val="99"/>
    <w:unhideWhenUsed/>
    <w:rsid w:val="002D2C6E"/>
    <w:pPr>
      <w:tabs>
        <w:tab w:val="center" w:pos="4513"/>
        <w:tab w:val="right" w:pos="9026"/>
      </w:tabs>
    </w:pPr>
  </w:style>
  <w:style w:type="character" w:customStyle="1" w:styleId="FooterChar">
    <w:name w:val="Footer Char"/>
    <w:basedOn w:val="DefaultParagraphFont"/>
    <w:link w:val="Footer"/>
    <w:uiPriority w:val="99"/>
    <w:rsid w:val="002D2C6E"/>
    <w:rPr>
      <w:rFonts w:ascii="Arial" w:eastAsia="Times New Roman" w:hAnsi="Arial"/>
      <w:kern w:val="0"/>
      <w:sz w:val="22"/>
    </w:rPr>
  </w:style>
  <w:style w:type="paragraph" w:customStyle="1" w:styleId="paragraph">
    <w:name w:val="paragraph"/>
    <w:basedOn w:val="Normal"/>
    <w:rsid w:val="00E83164"/>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E83164"/>
  </w:style>
  <w:style w:type="character" w:customStyle="1" w:styleId="eop">
    <w:name w:val="eop"/>
    <w:basedOn w:val="DefaultParagraphFont"/>
    <w:rsid w:val="00E83164"/>
  </w:style>
  <w:style w:type="character" w:customStyle="1" w:styleId="superscript">
    <w:name w:val="superscript"/>
    <w:basedOn w:val="DefaultParagraphFont"/>
    <w:rsid w:val="00E83164"/>
  </w:style>
  <w:style w:type="character" w:customStyle="1" w:styleId="Heading2Char">
    <w:name w:val="Heading 2 Char"/>
    <w:basedOn w:val="DefaultParagraphFont"/>
    <w:link w:val="Heading2"/>
    <w:uiPriority w:val="9"/>
    <w:rsid w:val="005C6178"/>
    <w:rPr>
      <w:rFonts w:asciiTheme="minorHAnsi" w:eastAsiaTheme="majorEastAsia" w:hAnsiTheme="min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5A0003"/>
    <w:rPr>
      <w:rFonts w:asciiTheme="minorHAnsi" w:eastAsia="Calibri" w:hAnsiTheme="minorHAnsi" w:cstheme="minorHAnsi"/>
      <w:b/>
      <w:bCs/>
      <w:color w:val="2F5496" w:themeColor="accent1" w:themeShade="BF"/>
      <w:kern w:val="0"/>
    </w:rPr>
  </w:style>
  <w:style w:type="paragraph" w:styleId="Title">
    <w:name w:val="Title"/>
    <w:basedOn w:val="Normal"/>
    <w:next w:val="Normal"/>
    <w:link w:val="TitleChar"/>
    <w:uiPriority w:val="10"/>
    <w:qFormat/>
    <w:rsid w:val="007D6DFA"/>
    <w:pPr>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7D6DFA"/>
    <w:rPr>
      <w:rFonts w:asciiTheme="majorHAnsi" w:eastAsiaTheme="majorEastAsia" w:hAnsiTheme="majorHAnsi" w:cstheme="majorBidi"/>
      <w:spacing w:val="-10"/>
      <w:kern w:val="28"/>
      <w:sz w:val="56"/>
      <w:szCs w:val="56"/>
      <w14:ligatures w14:val="none"/>
    </w:rPr>
  </w:style>
  <w:style w:type="character" w:customStyle="1" w:styleId="Heading4Char">
    <w:name w:val="Heading 4 Char"/>
    <w:basedOn w:val="DefaultParagraphFont"/>
    <w:link w:val="Heading4"/>
    <w:uiPriority w:val="9"/>
    <w:rsid w:val="005C6178"/>
    <w:rPr>
      <w:rFonts w:asciiTheme="minorHAnsi" w:eastAsiaTheme="majorEastAsia" w:hAnsiTheme="minorHAnsi" w:cstheme="majorBidi"/>
      <w:i/>
      <w:iCs/>
      <w:color w:val="2F5496" w:themeColor="accent1" w:themeShade="BF"/>
      <w:kern w:val="0"/>
      <w:sz w:val="22"/>
    </w:rPr>
  </w:style>
  <w:style w:type="table" w:styleId="GridTable4-Accent1">
    <w:name w:val="Grid Table 4 Accent 1"/>
    <w:basedOn w:val="TableNormal"/>
    <w:uiPriority w:val="49"/>
    <w:rsid w:val="004731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inted-item-label">
    <w:name w:val="printed-item-label"/>
    <w:basedOn w:val="DefaultParagraphFont"/>
    <w:rsid w:val="00671CCE"/>
  </w:style>
  <w:style w:type="character" w:customStyle="1" w:styleId="the-question">
    <w:name w:val="the-question"/>
    <w:basedOn w:val="DefaultParagraphFont"/>
    <w:rsid w:val="00671CCE"/>
  </w:style>
  <w:style w:type="paragraph" w:customStyle="1" w:styleId="printed-select-quantity-notice">
    <w:name w:val="printed-select-quantity-notice"/>
    <w:basedOn w:val="Normal"/>
    <w:rsid w:val="00671CCE"/>
    <w:pPr>
      <w:spacing w:before="100" w:beforeAutospacing="1" w:after="100" w:afterAutospacing="1"/>
    </w:pPr>
    <w:rPr>
      <w:rFonts w:ascii="Times New Roman" w:hAnsi="Times New Roman"/>
      <w:sz w:val="24"/>
      <w:lang w:eastAsia="en-AU"/>
      <w14:ligatures w14:val="none"/>
    </w:rPr>
  </w:style>
  <w:style w:type="paragraph" w:customStyle="1" w:styleId="printed-item-list">
    <w:name w:val="printed-item-list"/>
    <w:basedOn w:val="Normal"/>
    <w:rsid w:val="00671CCE"/>
    <w:pPr>
      <w:spacing w:before="100" w:beforeAutospacing="1" w:after="100" w:afterAutospacing="1"/>
    </w:pPr>
    <w:rPr>
      <w:rFonts w:ascii="Times New Roman" w:hAnsi="Times New Roman"/>
      <w:sz w:val="24"/>
      <w:lang w:eastAsia="en-AU"/>
      <w14:ligatures w14:val="none"/>
    </w:rPr>
  </w:style>
  <w:style w:type="character" w:customStyle="1" w:styleId="number">
    <w:name w:val="number"/>
    <w:basedOn w:val="DefaultParagraphFont"/>
    <w:rsid w:val="00671CCE"/>
  </w:style>
  <w:style w:type="paragraph" w:styleId="NormalWeb">
    <w:name w:val="Normal (Web)"/>
    <w:basedOn w:val="Normal"/>
    <w:uiPriority w:val="99"/>
    <w:unhideWhenUsed/>
    <w:rsid w:val="00671CCE"/>
    <w:pPr>
      <w:spacing w:before="100" w:beforeAutospacing="1" w:after="100" w:afterAutospacing="1"/>
    </w:pPr>
    <w:rPr>
      <w:rFonts w:ascii="Times New Roman" w:hAnsi="Times New Roman"/>
      <w:sz w:val="24"/>
      <w:lang w:eastAsia="en-AU"/>
      <w14:ligatures w14:val="none"/>
    </w:rPr>
  </w:style>
  <w:style w:type="character" w:styleId="Hyperlink">
    <w:name w:val="Hyperlink"/>
    <w:basedOn w:val="DefaultParagraphFont"/>
    <w:uiPriority w:val="99"/>
    <w:unhideWhenUsed/>
    <w:rsid w:val="00671CCE"/>
    <w:rPr>
      <w:color w:val="0000FF"/>
      <w:u w:val="single"/>
    </w:rPr>
  </w:style>
  <w:style w:type="character" w:customStyle="1" w:styleId="cf01">
    <w:name w:val="cf01"/>
    <w:basedOn w:val="DefaultParagraphFont"/>
    <w:rsid w:val="00671CCE"/>
    <w:rPr>
      <w:rFonts w:ascii="Segoe UI" w:hAnsi="Segoe UI" w:cs="Segoe UI" w:hint="default"/>
      <w:sz w:val="18"/>
      <w:szCs w:val="18"/>
    </w:rPr>
  </w:style>
  <w:style w:type="character" w:styleId="UnresolvedMention">
    <w:name w:val="Unresolved Mention"/>
    <w:basedOn w:val="DefaultParagraphFont"/>
    <w:uiPriority w:val="99"/>
    <w:unhideWhenUsed/>
    <w:rsid w:val="006A5F2D"/>
    <w:rPr>
      <w:color w:val="605E5C"/>
      <w:shd w:val="clear" w:color="auto" w:fill="E1DFDD"/>
    </w:rPr>
  </w:style>
  <w:style w:type="character" w:styleId="CommentReference">
    <w:name w:val="annotation reference"/>
    <w:basedOn w:val="DefaultParagraphFont"/>
    <w:uiPriority w:val="99"/>
    <w:semiHidden/>
    <w:unhideWhenUsed/>
    <w:rsid w:val="00A25786"/>
    <w:rPr>
      <w:sz w:val="16"/>
      <w:szCs w:val="16"/>
    </w:rPr>
  </w:style>
  <w:style w:type="paragraph" w:styleId="CommentText">
    <w:name w:val="annotation text"/>
    <w:basedOn w:val="Normal"/>
    <w:link w:val="CommentTextChar"/>
    <w:uiPriority w:val="99"/>
    <w:unhideWhenUsed/>
    <w:rsid w:val="00A25786"/>
    <w:rPr>
      <w:sz w:val="20"/>
      <w:szCs w:val="20"/>
    </w:rPr>
  </w:style>
  <w:style w:type="character" w:customStyle="1" w:styleId="CommentTextChar">
    <w:name w:val="Comment Text Char"/>
    <w:basedOn w:val="DefaultParagraphFont"/>
    <w:link w:val="CommentText"/>
    <w:uiPriority w:val="99"/>
    <w:rsid w:val="00A25786"/>
    <w:rPr>
      <w:rFonts w:ascii="Arial" w:eastAsia="Times New Roman" w:hAnsi="Arial"/>
      <w:kern w:val="0"/>
      <w:sz w:val="20"/>
      <w:szCs w:val="20"/>
    </w:rPr>
  </w:style>
  <w:style w:type="paragraph" w:styleId="CommentSubject">
    <w:name w:val="annotation subject"/>
    <w:basedOn w:val="CommentText"/>
    <w:next w:val="CommentText"/>
    <w:link w:val="CommentSubjectChar"/>
    <w:uiPriority w:val="99"/>
    <w:semiHidden/>
    <w:unhideWhenUsed/>
    <w:rsid w:val="00A25786"/>
    <w:rPr>
      <w:b/>
      <w:bCs/>
    </w:rPr>
  </w:style>
  <w:style w:type="character" w:customStyle="1" w:styleId="CommentSubjectChar">
    <w:name w:val="Comment Subject Char"/>
    <w:basedOn w:val="CommentTextChar"/>
    <w:link w:val="CommentSubject"/>
    <w:uiPriority w:val="99"/>
    <w:semiHidden/>
    <w:rsid w:val="00A25786"/>
    <w:rPr>
      <w:rFonts w:ascii="Arial" w:eastAsia="Times New Roman" w:hAnsi="Arial"/>
      <w:b/>
      <w:bCs/>
      <w:kern w:val="0"/>
      <w:sz w:val="20"/>
      <w:szCs w:val="20"/>
    </w:rPr>
  </w:style>
  <w:style w:type="character" w:styleId="FollowedHyperlink">
    <w:name w:val="FollowedHyperlink"/>
    <w:basedOn w:val="DefaultParagraphFont"/>
    <w:uiPriority w:val="99"/>
    <w:semiHidden/>
    <w:unhideWhenUsed/>
    <w:rsid w:val="00014B99"/>
    <w:rPr>
      <w:color w:val="954F72" w:themeColor="followedHyperlink"/>
      <w:u w:val="single"/>
    </w:rPr>
  </w:style>
  <w:style w:type="character" w:customStyle="1" w:styleId="Heading5Char">
    <w:name w:val="Heading 5 Char"/>
    <w:basedOn w:val="DefaultParagraphFont"/>
    <w:link w:val="Heading5"/>
    <w:uiPriority w:val="9"/>
    <w:rsid w:val="00234D7C"/>
    <w:rPr>
      <w:rFonts w:asciiTheme="minorHAnsi" w:eastAsiaTheme="majorEastAsia" w:hAnsiTheme="minorHAnsi" w:cstheme="majorBidi"/>
      <w:color w:val="2F5496" w:themeColor="accent1" w:themeShade="BF"/>
      <w:kern w:val="0"/>
      <w:sz w:val="22"/>
    </w:rPr>
  </w:style>
  <w:style w:type="character" w:customStyle="1" w:styleId="Heading6Char">
    <w:name w:val="Heading 6 Char"/>
    <w:basedOn w:val="DefaultParagraphFont"/>
    <w:link w:val="Heading6"/>
    <w:uiPriority w:val="9"/>
    <w:rsid w:val="001A3A04"/>
    <w:rPr>
      <w:rFonts w:asciiTheme="majorHAnsi" w:eastAsiaTheme="majorEastAsia" w:hAnsiTheme="majorHAnsi" w:cstheme="majorBidi"/>
      <w:color w:val="1F3763" w:themeColor="accent1" w:themeShade="7F"/>
      <w:kern w:val="0"/>
      <w:sz w:val="22"/>
    </w:rPr>
  </w:style>
  <w:style w:type="paragraph" w:styleId="Caption">
    <w:name w:val="caption"/>
    <w:basedOn w:val="Normal"/>
    <w:next w:val="Normal"/>
    <w:uiPriority w:val="35"/>
    <w:unhideWhenUsed/>
    <w:qFormat/>
    <w:rsid w:val="007C64F2"/>
    <w:pPr>
      <w:spacing w:before="240" w:after="240"/>
      <w:jc w:val="both"/>
    </w:pPr>
    <w:rPr>
      <w:rFonts w:asciiTheme="minorHAnsi" w:eastAsiaTheme="minorEastAsia" w:hAnsiTheme="minorHAnsi"/>
      <w:b/>
      <w:iCs/>
      <w:color w:val="44546A" w:themeColor="text2"/>
      <w:sz w:val="18"/>
      <w:szCs w:val="18"/>
      <w:lang w:val="en-US"/>
      <w14:ligatures w14:val="none"/>
    </w:rPr>
  </w:style>
  <w:style w:type="character" w:styleId="SubtleEmphasis">
    <w:name w:val="Subtle Emphasis"/>
    <w:basedOn w:val="DefaultParagraphFont"/>
    <w:uiPriority w:val="19"/>
    <w:qFormat/>
    <w:rsid w:val="007C64F2"/>
    <w:rPr>
      <w:rFonts w:asciiTheme="minorHAnsi" w:hAnsiTheme="minorHAnsi"/>
      <w:i/>
      <w:iCs/>
      <w:color w:val="404040" w:themeColor="text1" w:themeTint="BF"/>
      <w:sz w:val="20"/>
    </w:rPr>
  </w:style>
  <w:style w:type="character" w:customStyle="1" w:styleId="Cross-references">
    <w:name w:val="Cross-references"/>
    <w:basedOn w:val="Hyperlink"/>
    <w:uiPriority w:val="1"/>
    <w:qFormat/>
    <w:rsid w:val="007C64F2"/>
    <w:rPr>
      <w:color w:val="44546A" w:themeColor="text2"/>
      <w:u w:val="single"/>
      <w:lang w:val="en-AU"/>
    </w:rPr>
  </w:style>
  <w:style w:type="paragraph" w:styleId="Subtitle">
    <w:name w:val="Subtitle"/>
    <w:basedOn w:val="Normal"/>
    <w:next w:val="Normal"/>
    <w:link w:val="SubtitleChar"/>
    <w:uiPriority w:val="11"/>
    <w:qFormat/>
    <w:rsid w:val="007C64F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C64F2"/>
    <w:rPr>
      <w:rFonts w:asciiTheme="minorHAnsi" w:eastAsiaTheme="minorEastAsia" w:hAnsiTheme="minorHAnsi" w:cstheme="minorBidi"/>
      <w:color w:val="5A5A5A" w:themeColor="text1" w:themeTint="A5"/>
      <w:spacing w:val="15"/>
      <w:kern w:val="0"/>
      <w:sz w:val="22"/>
      <w:szCs w:val="22"/>
    </w:rPr>
  </w:style>
  <w:style w:type="paragraph" w:customStyle="1" w:styleId="pf0">
    <w:name w:val="pf0"/>
    <w:basedOn w:val="Normal"/>
    <w:rsid w:val="00AF590E"/>
    <w:pPr>
      <w:spacing w:before="100" w:beforeAutospacing="1" w:after="100" w:afterAutospacing="1"/>
    </w:pPr>
    <w:rPr>
      <w:rFonts w:ascii="Times New Roman" w:hAnsi="Times New Roman"/>
      <w:sz w:val="24"/>
      <w:lang w:eastAsia="en-AU"/>
      <w14:ligatures w14:val="none"/>
    </w:rPr>
  </w:style>
  <w:style w:type="character" w:customStyle="1" w:styleId="Heading7Char">
    <w:name w:val="Heading 7 Char"/>
    <w:basedOn w:val="DefaultParagraphFont"/>
    <w:link w:val="Heading7"/>
    <w:uiPriority w:val="9"/>
    <w:rsid w:val="00192421"/>
    <w:rPr>
      <w:rFonts w:asciiTheme="majorHAnsi" w:eastAsiaTheme="majorEastAsia" w:hAnsiTheme="majorHAnsi" w:cstheme="majorBidi"/>
      <w:i/>
      <w:iCs/>
      <w:color w:val="1F3763" w:themeColor="accent1" w:themeShade="7F"/>
      <w:kern w:val="0"/>
      <w:sz w:val="22"/>
    </w:rPr>
  </w:style>
  <w:style w:type="character" w:customStyle="1" w:styleId="Heading8Char">
    <w:name w:val="Heading 8 Char"/>
    <w:basedOn w:val="DefaultParagraphFont"/>
    <w:link w:val="Heading8"/>
    <w:uiPriority w:val="9"/>
    <w:rsid w:val="0092752F"/>
    <w:rPr>
      <w:rFonts w:asciiTheme="majorHAnsi" w:eastAsiaTheme="majorEastAsia" w:hAnsiTheme="majorHAnsi" w:cstheme="majorBidi"/>
      <w:color w:val="272727" w:themeColor="text1" w:themeTint="D8"/>
      <w:kern w:val="0"/>
      <w:sz w:val="21"/>
      <w:szCs w:val="21"/>
    </w:rPr>
  </w:style>
  <w:style w:type="table" w:styleId="GridTable2-Accent5">
    <w:name w:val="Grid Table 2 Accent 5"/>
    <w:basedOn w:val="TableNormal"/>
    <w:uiPriority w:val="47"/>
    <w:rsid w:val="008233A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Bullet2">
    <w:name w:val="List Bullet 2"/>
    <w:basedOn w:val="Normal"/>
    <w:uiPriority w:val="99"/>
    <w:semiHidden/>
    <w:unhideWhenUsed/>
    <w:rsid w:val="00E114B7"/>
    <w:pPr>
      <w:numPr>
        <w:numId w:val="1"/>
      </w:numPr>
      <w:contextualSpacing/>
    </w:pPr>
  </w:style>
  <w:style w:type="table" w:styleId="GridTable5Dark-Accent5">
    <w:name w:val="Grid Table 5 Dark Accent 5"/>
    <w:basedOn w:val="TableNormal"/>
    <w:uiPriority w:val="50"/>
    <w:rsid w:val="00A666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2">
    <w:name w:val="Grid Table 5 Dark Accent 2"/>
    <w:basedOn w:val="TableNormal"/>
    <w:uiPriority w:val="50"/>
    <w:rsid w:val="00712B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Revision">
    <w:name w:val="Revision"/>
    <w:hidden/>
    <w:uiPriority w:val="99"/>
    <w:semiHidden/>
    <w:rsid w:val="0041423B"/>
    <w:pPr>
      <w:spacing w:after="0" w:line="240" w:lineRule="auto"/>
    </w:pPr>
    <w:rPr>
      <w:rFonts w:ascii="Arial" w:eastAsia="Times New Roman" w:hAnsi="Arial"/>
      <w:kern w:val="0"/>
      <w:sz w:val="22"/>
    </w:rPr>
  </w:style>
  <w:style w:type="paragraph" w:styleId="EndnoteText">
    <w:name w:val="endnote text"/>
    <w:basedOn w:val="Normal"/>
    <w:link w:val="EndnoteTextChar"/>
    <w:uiPriority w:val="99"/>
    <w:semiHidden/>
    <w:unhideWhenUsed/>
    <w:rsid w:val="0003623C"/>
    <w:rPr>
      <w:rFonts w:asciiTheme="minorHAnsi" w:eastAsiaTheme="minorHAnsi" w:hAnsiTheme="minorHAnsi" w:cstheme="minorBidi"/>
      <w:sz w:val="20"/>
      <w:szCs w:val="20"/>
      <w14:ligatures w14:val="none"/>
    </w:rPr>
  </w:style>
  <w:style w:type="character" w:customStyle="1" w:styleId="EndnoteTextChar">
    <w:name w:val="Endnote Text Char"/>
    <w:basedOn w:val="DefaultParagraphFont"/>
    <w:link w:val="EndnoteText"/>
    <w:uiPriority w:val="99"/>
    <w:semiHidden/>
    <w:rsid w:val="0003623C"/>
    <w:rPr>
      <w:rFonts w:asciiTheme="minorHAnsi" w:hAnsiTheme="minorHAnsi" w:cstheme="minorBidi"/>
      <w:kern w:val="0"/>
      <w:sz w:val="20"/>
      <w:szCs w:val="20"/>
      <w14:ligatures w14:val="none"/>
    </w:rPr>
  </w:style>
  <w:style w:type="character" w:styleId="EndnoteReference">
    <w:name w:val="endnote reference"/>
    <w:basedOn w:val="DefaultParagraphFont"/>
    <w:uiPriority w:val="99"/>
    <w:semiHidden/>
    <w:unhideWhenUsed/>
    <w:rsid w:val="0003623C"/>
    <w:rPr>
      <w:vertAlign w:val="superscript"/>
    </w:rPr>
  </w:style>
  <w:style w:type="character" w:styleId="Mention">
    <w:name w:val="Mention"/>
    <w:basedOn w:val="DefaultParagraphFont"/>
    <w:uiPriority w:val="99"/>
    <w:unhideWhenUsed/>
    <w:rsid w:val="0029482A"/>
    <w:rPr>
      <w:color w:val="2B579A"/>
      <w:shd w:val="clear" w:color="auto" w:fill="E1DFDD"/>
    </w:rPr>
  </w:style>
  <w:style w:type="character" w:customStyle="1" w:styleId="Heading9Char">
    <w:name w:val="Heading 9 Char"/>
    <w:basedOn w:val="DefaultParagraphFont"/>
    <w:link w:val="Heading9"/>
    <w:uiPriority w:val="9"/>
    <w:rsid w:val="00867106"/>
    <w:rPr>
      <w:rFonts w:asciiTheme="majorHAnsi" w:eastAsiaTheme="majorEastAsia" w:hAnsiTheme="majorHAnsi" w:cstheme="majorBidi"/>
      <w:i/>
      <w:iCs/>
      <w:color w:val="272727" w:themeColor="text1" w:themeTint="D8"/>
      <w:kern w:val="0"/>
      <w:sz w:val="21"/>
      <w:szCs w:val="21"/>
    </w:rPr>
  </w:style>
  <w:style w:type="paragraph" w:customStyle="1" w:styleId="Default">
    <w:name w:val="Default"/>
    <w:rsid w:val="003C14FA"/>
    <w:pPr>
      <w:autoSpaceDE w:val="0"/>
      <w:autoSpaceDN w:val="0"/>
      <w:adjustRightInd w:val="0"/>
      <w:spacing w:after="0" w:line="240" w:lineRule="auto"/>
    </w:pPr>
    <w:rPr>
      <w:rFonts w:ascii="Aptos" w:hAnsi="Aptos" w:cs="Aptos"/>
      <w:color w:val="000000"/>
      <w:kern w:val="0"/>
    </w:rPr>
  </w:style>
  <w:style w:type="character" w:customStyle="1" w:styleId="cf11">
    <w:name w:val="cf11"/>
    <w:basedOn w:val="DefaultParagraphFont"/>
    <w:rsid w:val="008A6523"/>
    <w:rPr>
      <w:rFonts w:ascii="Segoe UI" w:hAnsi="Segoe UI" w:cs="Segoe UI" w:hint="default"/>
      <w:sz w:val="18"/>
      <w:szCs w:val="18"/>
    </w:rPr>
  </w:style>
  <w:style w:type="character" w:customStyle="1" w:styleId="scxw58518242">
    <w:name w:val="scxw58518242"/>
    <w:basedOn w:val="DefaultParagraphFont"/>
    <w:rsid w:val="00756544"/>
  </w:style>
  <w:style w:type="character" w:customStyle="1" w:styleId="findhit">
    <w:name w:val="findhit"/>
    <w:basedOn w:val="DefaultParagraphFont"/>
    <w:rsid w:val="00756544"/>
  </w:style>
  <w:style w:type="character" w:customStyle="1" w:styleId="scxw215807412">
    <w:name w:val="scxw215807412"/>
    <w:basedOn w:val="DefaultParagraphFont"/>
    <w:rsid w:val="00756544"/>
  </w:style>
  <w:style w:type="paragraph" w:styleId="TOCHeading">
    <w:name w:val="TOC Heading"/>
    <w:basedOn w:val="Heading1"/>
    <w:next w:val="Normal"/>
    <w:uiPriority w:val="39"/>
    <w:unhideWhenUsed/>
    <w:qFormat/>
    <w:rsid w:val="00D41A8D"/>
    <w:pPr>
      <w:keepLines/>
      <w:spacing w:after="0" w:line="259" w:lineRule="auto"/>
      <w:outlineLvl w:val="9"/>
    </w:pPr>
    <w:rPr>
      <w:rFonts w:asciiTheme="majorHAnsi" w:eastAsiaTheme="majorEastAsia" w:hAnsiTheme="majorHAnsi" w:cstheme="majorBidi"/>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FA6E08"/>
    <w:pPr>
      <w:tabs>
        <w:tab w:val="right" w:leader="dot" w:pos="9016"/>
      </w:tabs>
      <w:spacing w:after="100"/>
    </w:pPr>
  </w:style>
  <w:style w:type="paragraph" w:styleId="TOC2">
    <w:name w:val="toc 2"/>
    <w:basedOn w:val="Normal"/>
    <w:next w:val="Normal"/>
    <w:autoRedefine/>
    <w:uiPriority w:val="39"/>
    <w:unhideWhenUsed/>
    <w:rsid w:val="00816070"/>
    <w:pPr>
      <w:tabs>
        <w:tab w:val="right" w:leader="dot" w:pos="9016"/>
      </w:tabs>
      <w:spacing w:after="100"/>
      <w:ind w:left="220"/>
    </w:pPr>
  </w:style>
  <w:style w:type="paragraph" w:styleId="TOC3">
    <w:name w:val="toc 3"/>
    <w:basedOn w:val="Normal"/>
    <w:next w:val="Normal"/>
    <w:autoRedefine/>
    <w:uiPriority w:val="39"/>
    <w:unhideWhenUsed/>
    <w:rsid w:val="00406522"/>
    <w:pPr>
      <w:tabs>
        <w:tab w:val="right" w:leader="dot" w:pos="9016"/>
      </w:tabs>
      <w:spacing w:after="100"/>
      <w:ind w:left="440"/>
    </w:pPr>
  </w:style>
  <w:style w:type="table" w:styleId="GridTable7Colorful-Accent3">
    <w:name w:val="Grid Table 7 Colorful Accent 3"/>
    <w:basedOn w:val="TableNormal"/>
    <w:uiPriority w:val="52"/>
    <w:rsid w:val="009677B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GridLight">
    <w:name w:val="Grid Table Light"/>
    <w:basedOn w:val="TableNormal"/>
    <w:uiPriority w:val="40"/>
    <w:rsid w:val="00F739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739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MSRreviewtablestyle">
    <w:name w:val="MSR review table style"/>
    <w:basedOn w:val="TableGrid"/>
    <w:uiPriority w:val="99"/>
    <w:rsid w:val="009E7A11"/>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9F9F9"/>
    </w:tcPr>
    <w:tblStylePr w:type="firstRow">
      <w:tblPr/>
      <w:tcPr>
        <w:shd w:val="clear" w:color="auto" w:fill="FFFFFF" w:themeFill="background1"/>
      </w:tcPr>
    </w:tblStylePr>
    <w:tblStylePr w:type="lastRow">
      <w:rPr>
        <w:b/>
        <w:bCs/>
      </w:rPr>
      <w:tblPr/>
      <w:tcPr>
        <w:tcBorders>
          <w:top w:val="double" w:sz="4" w:space="0" w:color="BFBFBF" w:themeColor="background1" w:themeShade="BF"/>
        </w:tcBorders>
      </w:tcPr>
    </w:tblStylePr>
    <w:tblStylePr w:type="firstCol">
      <w:rPr>
        <w:rFonts w:asciiTheme="minorHAnsi" w:hAnsiTheme="minorHAnsi"/>
        <w:b/>
        <w:bCs/>
        <w:sz w:val="22"/>
      </w:rPr>
      <w:tblPr/>
      <w:tcPr>
        <w:shd w:val="clear" w:color="auto" w:fill="F0F0F0"/>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URL">
    <w:name w:val="URL"/>
    <w:basedOn w:val="Normal"/>
    <w:rsid w:val="004B4D1B"/>
    <w:pPr>
      <w:spacing w:before="3120" w:after="120" w:line="276" w:lineRule="auto"/>
      <w:jc w:val="center"/>
    </w:pPr>
    <w:rPr>
      <w:b/>
      <w:bCs/>
      <w:color w:val="000000" w:themeColor="text1"/>
      <w:sz w:val="24"/>
      <w:szCs w:val="20"/>
      <w14:ligatures w14:val="none"/>
    </w:rPr>
  </w:style>
  <w:style w:type="paragraph" w:styleId="NoSpacing">
    <w:name w:val="No Spacing"/>
    <w:uiPriority w:val="1"/>
    <w:qFormat/>
    <w:rsid w:val="00BB5522"/>
    <w:pPr>
      <w:spacing w:after="0" w:line="240" w:lineRule="auto"/>
    </w:pPr>
    <w:rPr>
      <w:rFonts w:ascii="Arial" w:eastAsia="Times New Roman" w:hAnsi="Arial"/>
      <w:kern w:val="0"/>
      <w:sz w:val="22"/>
    </w:rPr>
  </w:style>
  <w:style w:type="character" w:customStyle="1" w:styleId="ui-provider">
    <w:name w:val="ui-provider"/>
    <w:basedOn w:val="DefaultParagraphFont"/>
    <w:rsid w:val="002F2A66"/>
  </w:style>
  <w:style w:type="character" w:customStyle="1" w:styleId="wacimagecontainer">
    <w:name w:val="wacimagecontainer"/>
    <w:basedOn w:val="DefaultParagraphFont"/>
    <w:rsid w:val="00AE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054">
      <w:bodyDiv w:val="1"/>
      <w:marLeft w:val="0"/>
      <w:marRight w:val="0"/>
      <w:marTop w:val="0"/>
      <w:marBottom w:val="0"/>
      <w:divBdr>
        <w:top w:val="none" w:sz="0" w:space="0" w:color="auto"/>
        <w:left w:val="none" w:sz="0" w:space="0" w:color="auto"/>
        <w:bottom w:val="none" w:sz="0" w:space="0" w:color="auto"/>
        <w:right w:val="none" w:sz="0" w:space="0" w:color="auto"/>
      </w:divBdr>
    </w:div>
    <w:div w:id="56897641">
      <w:bodyDiv w:val="1"/>
      <w:marLeft w:val="0"/>
      <w:marRight w:val="0"/>
      <w:marTop w:val="0"/>
      <w:marBottom w:val="0"/>
      <w:divBdr>
        <w:top w:val="none" w:sz="0" w:space="0" w:color="auto"/>
        <w:left w:val="none" w:sz="0" w:space="0" w:color="auto"/>
        <w:bottom w:val="none" w:sz="0" w:space="0" w:color="auto"/>
        <w:right w:val="none" w:sz="0" w:space="0" w:color="auto"/>
      </w:divBdr>
    </w:div>
    <w:div w:id="138115351">
      <w:bodyDiv w:val="1"/>
      <w:marLeft w:val="0"/>
      <w:marRight w:val="0"/>
      <w:marTop w:val="0"/>
      <w:marBottom w:val="0"/>
      <w:divBdr>
        <w:top w:val="none" w:sz="0" w:space="0" w:color="auto"/>
        <w:left w:val="none" w:sz="0" w:space="0" w:color="auto"/>
        <w:bottom w:val="none" w:sz="0" w:space="0" w:color="auto"/>
        <w:right w:val="none" w:sz="0" w:space="0" w:color="auto"/>
      </w:divBdr>
    </w:div>
    <w:div w:id="185365645">
      <w:bodyDiv w:val="1"/>
      <w:marLeft w:val="0"/>
      <w:marRight w:val="0"/>
      <w:marTop w:val="0"/>
      <w:marBottom w:val="0"/>
      <w:divBdr>
        <w:top w:val="none" w:sz="0" w:space="0" w:color="auto"/>
        <w:left w:val="none" w:sz="0" w:space="0" w:color="auto"/>
        <w:bottom w:val="none" w:sz="0" w:space="0" w:color="auto"/>
        <w:right w:val="none" w:sz="0" w:space="0" w:color="auto"/>
      </w:divBdr>
    </w:div>
    <w:div w:id="215361178">
      <w:bodyDiv w:val="1"/>
      <w:marLeft w:val="0"/>
      <w:marRight w:val="0"/>
      <w:marTop w:val="0"/>
      <w:marBottom w:val="0"/>
      <w:divBdr>
        <w:top w:val="none" w:sz="0" w:space="0" w:color="auto"/>
        <w:left w:val="none" w:sz="0" w:space="0" w:color="auto"/>
        <w:bottom w:val="none" w:sz="0" w:space="0" w:color="auto"/>
        <w:right w:val="none" w:sz="0" w:space="0" w:color="auto"/>
      </w:divBdr>
    </w:div>
    <w:div w:id="250742390">
      <w:bodyDiv w:val="1"/>
      <w:marLeft w:val="0"/>
      <w:marRight w:val="0"/>
      <w:marTop w:val="0"/>
      <w:marBottom w:val="0"/>
      <w:divBdr>
        <w:top w:val="none" w:sz="0" w:space="0" w:color="auto"/>
        <w:left w:val="none" w:sz="0" w:space="0" w:color="auto"/>
        <w:bottom w:val="none" w:sz="0" w:space="0" w:color="auto"/>
        <w:right w:val="none" w:sz="0" w:space="0" w:color="auto"/>
      </w:divBdr>
    </w:div>
    <w:div w:id="327556939">
      <w:bodyDiv w:val="1"/>
      <w:marLeft w:val="0"/>
      <w:marRight w:val="0"/>
      <w:marTop w:val="0"/>
      <w:marBottom w:val="0"/>
      <w:divBdr>
        <w:top w:val="none" w:sz="0" w:space="0" w:color="auto"/>
        <w:left w:val="none" w:sz="0" w:space="0" w:color="auto"/>
        <w:bottom w:val="none" w:sz="0" w:space="0" w:color="auto"/>
        <w:right w:val="none" w:sz="0" w:space="0" w:color="auto"/>
      </w:divBdr>
    </w:div>
    <w:div w:id="361513194">
      <w:bodyDiv w:val="1"/>
      <w:marLeft w:val="0"/>
      <w:marRight w:val="0"/>
      <w:marTop w:val="0"/>
      <w:marBottom w:val="0"/>
      <w:divBdr>
        <w:top w:val="none" w:sz="0" w:space="0" w:color="auto"/>
        <w:left w:val="none" w:sz="0" w:space="0" w:color="auto"/>
        <w:bottom w:val="none" w:sz="0" w:space="0" w:color="auto"/>
        <w:right w:val="none" w:sz="0" w:space="0" w:color="auto"/>
      </w:divBdr>
      <w:divsChild>
        <w:div w:id="1116096194">
          <w:marLeft w:val="0"/>
          <w:marRight w:val="0"/>
          <w:marTop w:val="0"/>
          <w:marBottom w:val="0"/>
          <w:divBdr>
            <w:top w:val="none" w:sz="0" w:space="0" w:color="auto"/>
            <w:left w:val="none" w:sz="0" w:space="0" w:color="auto"/>
            <w:bottom w:val="none" w:sz="0" w:space="0" w:color="auto"/>
            <w:right w:val="none" w:sz="0" w:space="0" w:color="auto"/>
          </w:divBdr>
        </w:div>
        <w:div w:id="1770271532">
          <w:marLeft w:val="0"/>
          <w:marRight w:val="0"/>
          <w:marTop w:val="0"/>
          <w:marBottom w:val="0"/>
          <w:divBdr>
            <w:top w:val="none" w:sz="0" w:space="0" w:color="auto"/>
            <w:left w:val="none" w:sz="0" w:space="0" w:color="auto"/>
            <w:bottom w:val="none" w:sz="0" w:space="0" w:color="auto"/>
            <w:right w:val="none" w:sz="0" w:space="0" w:color="auto"/>
          </w:divBdr>
        </w:div>
      </w:divsChild>
    </w:div>
    <w:div w:id="427776311">
      <w:bodyDiv w:val="1"/>
      <w:marLeft w:val="0"/>
      <w:marRight w:val="0"/>
      <w:marTop w:val="0"/>
      <w:marBottom w:val="0"/>
      <w:divBdr>
        <w:top w:val="none" w:sz="0" w:space="0" w:color="auto"/>
        <w:left w:val="none" w:sz="0" w:space="0" w:color="auto"/>
        <w:bottom w:val="none" w:sz="0" w:space="0" w:color="auto"/>
        <w:right w:val="none" w:sz="0" w:space="0" w:color="auto"/>
      </w:divBdr>
    </w:div>
    <w:div w:id="470444996">
      <w:bodyDiv w:val="1"/>
      <w:marLeft w:val="0"/>
      <w:marRight w:val="0"/>
      <w:marTop w:val="0"/>
      <w:marBottom w:val="0"/>
      <w:divBdr>
        <w:top w:val="none" w:sz="0" w:space="0" w:color="auto"/>
        <w:left w:val="none" w:sz="0" w:space="0" w:color="auto"/>
        <w:bottom w:val="none" w:sz="0" w:space="0" w:color="auto"/>
        <w:right w:val="none" w:sz="0" w:space="0" w:color="auto"/>
      </w:divBdr>
    </w:div>
    <w:div w:id="494810238">
      <w:bodyDiv w:val="1"/>
      <w:marLeft w:val="0"/>
      <w:marRight w:val="0"/>
      <w:marTop w:val="0"/>
      <w:marBottom w:val="0"/>
      <w:divBdr>
        <w:top w:val="none" w:sz="0" w:space="0" w:color="auto"/>
        <w:left w:val="none" w:sz="0" w:space="0" w:color="auto"/>
        <w:bottom w:val="none" w:sz="0" w:space="0" w:color="auto"/>
        <w:right w:val="none" w:sz="0" w:space="0" w:color="auto"/>
      </w:divBdr>
      <w:divsChild>
        <w:div w:id="35741266">
          <w:marLeft w:val="446"/>
          <w:marRight w:val="0"/>
          <w:marTop w:val="0"/>
          <w:marBottom w:val="0"/>
          <w:divBdr>
            <w:top w:val="none" w:sz="0" w:space="0" w:color="auto"/>
            <w:left w:val="none" w:sz="0" w:space="0" w:color="auto"/>
            <w:bottom w:val="none" w:sz="0" w:space="0" w:color="auto"/>
            <w:right w:val="none" w:sz="0" w:space="0" w:color="auto"/>
          </w:divBdr>
        </w:div>
      </w:divsChild>
    </w:div>
    <w:div w:id="495539806">
      <w:bodyDiv w:val="1"/>
      <w:marLeft w:val="0"/>
      <w:marRight w:val="0"/>
      <w:marTop w:val="0"/>
      <w:marBottom w:val="0"/>
      <w:divBdr>
        <w:top w:val="none" w:sz="0" w:space="0" w:color="auto"/>
        <w:left w:val="none" w:sz="0" w:space="0" w:color="auto"/>
        <w:bottom w:val="none" w:sz="0" w:space="0" w:color="auto"/>
        <w:right w:val="none" w:sz="0" w:space="0" w:color="auto"/>
      </w:divBdr>
    </w:div>
    <w:div w:id="503133786">
      <w:bodyDiv w:val="1"/>
      <w:marLeft w:val="0"/>
      <w:marRight w:val="0"/>
      <w:marTop w:val="0"/>
      <w:marBottom w:val="0"/>
      <w:divBdr>
        <w:top w:val="none" w:sz="0" w:space="0" w:color="auto"/>
        <w:left w:val="none" w:sz="0" w:space="0" w:color="auto"/>
        <w:bottom w:val="none" w:sz="0" w:space="0" w:color="auto"/>
        <w:right w:val="none" w:sz="0" w:space="0" w:color="auto"/>
      </w:divBdr>
    </w:div>
    <w:div w:id="529614018">
      <w:bodyDiv w:val="1"/>
      <w:marLeft w:val="0"/>
      <w:marRight w:val="0"/>
      <w:marTop w:val="0"/>
      <w:marBottom w:val="0"/>
      <w:divBdr>
        <w:top w:val="none" w:sz="0" w:space="0" w:color="auto"/>
        <w:left w:val="none" w:sz="0" w:space="0" w:color="auto"/>
        <w:bottom w:val="none" w:sz="0" w:space="0" w:color="auto"/>
        <w:right w:val="none" w:sz="0" w:space="0" w:color="auto"/>
      </w:divBdr>
    </w:div>
    <w:div w:id="551772359">
      <w:bodyDiv w:val="1"/>
      <w:marLeft w:val="0"/>
      <w:marRight w:val="0"/>
      <w:marTop w:val="0"/>
      <w:marBottom w:val="0"/>
      <w:divBdr>
        <w:top w:val="none" w:sz="0" w:space="0" w:color="auto"/>
        <w:left w:val="none" w:sz="0" w:space="0" w:color="auto"/>
        <w:bottom w:val="none" w:sz="0" w:space="0" w:color="auto"/>
        <w:right w:val="none" w:sz="0" w:space="0" w:color="auto"/>
      </w:divBdr>
    </w:div>
    <w:div w:id="600066853">
      <w:bodyDiv w:val="1"/>
      <w:marLeft w:val="0"/>
      <w:marRight w:val="0"/>
      <w:marTop w:val="0"/>
      <w:marBottom w:val="0"/>
      <w:divBdr>
        <w:top w:val="none" w:sz="0" w:space="0" w:color="auto"/>
        <w:left w:val="none" w:sz="0" w:space="0" w:color="auto"/>
        <w:bottom w:val="none" w:sz="0" w:space="0" w:color="auto"/>
        <w:right w:val="none" w:sz="0" w:space="0" w:color="auto"/>
      </w:divBdr>
    </w:div>
    <w:div w:id="610823487">
      <w:bodyDiv w:val="1"/>
      <w:marLeft w:val="0"/>
      <w:marRight w:val="0"/>
      <w:marTop w:val="0"/>
      <w:marBottom w:val="0"/>
      <w:divBdr>
        <w:top w:val="none" w:sz="0" w:space="0" w:color="auto"/>
        <w:left w:val="none" w:sz="0" w:space="0" w:color="auto"/>
        <w:bottom w:val="none" w:sz="0" w:space="0" w:color="auto"/>
        <w:right w:val="none" w:sz="0" w:space="0" w:color="auto"/>
      </w:divBdr>
    </w:div>
    <w:div w:id="660623545">
      <w:bodyDiv w:val="1"/>
      <w:marLeft w:val="0"/>
      <w:marRight w:val="0"/>
      <w:marTop w:val="0"/>
      <w:marBottom w:val="0"/>
      <w:divBdr>
        <w:top w:val="none" w:sz="0" w:space="0" w:color="auto"/>
        <w:left w:val="none" w:sz="0" w:space="0" w:color="auto"/>
        <w:bottom w:val="none" w:sz="0" w:space="0" w:color="auto"/>
        <w:right w:val="none" w:sz="0" w:space="0" w:color="auto"/>
      </w:divBdr>
    </w:div>
    <w:div w:id="691147152">
      <w:bodyDiv w:val="1"/>
      <w:marLeft w:val="0"/>
      <w:marRight w:val="0"/>
      <w:marTop w:val="0"/>
      <w:marBottom w:val="0"/>
      <w:divBdr>
        <w:top w:val="none" w:sz="0" w:space="0" w:color="auto"/>
        <w:left w:val="none" w:sz="0" w:space="0" w:color="auto"/>
        <w:bottom w:val="none" w:sz="0" w:space="0" w:color="auto"/>
        <w:right w:val="none" w:sz="0" w:space="0" w:color="auto"/>
      </w:divBdr>
    </w:div>
    <w:div w:id="739710847">
      <w:bodyDiv w:val="1"/>
      <w:marLeft w:val="0"/>
      <w:marRight w:val="0"/>
      <w:marTop w:val="0"/>
      <w:marBottom w:val="0"/>
      <w:divBdr>
        <w:top w:val="none" w:sz="0" w:space="0" w:color="auto"/>
        <w:left w:val="none" w:sz="0" w:space="0" w:color="auto"/>
        <w:bottom w:val="none" w:sz="0" w:space="0" w:color="auto"/>
        <w:right w:val="none" w:sz="0" w:space="0" w:color="auto"/>
      </w:divBdr>
    </w:div>
    <w:div w:id="764694047">
      <w:bodyDiv w:val="1"/>
      <w:marLeft w:val="0"/>
      <w:marRight w:val="0"/>
      <w:marTop w:val="0"/>
      <w:marBottom w:val="0"/>
      <w:divBdr>
        <w:top w:val="none" w:sz="0" w:space="0" w:color="auto"/>
        <w:left w:val="none" w:sz="0" w:space="0" w:color="auto"/>
        <w:bottom w:val="none" w:sz="0" w:space="0" w:color="auto"/>
        <w:right w:val="none" w:sz="0" w:space="0" w:color="auto"/>
      </w:divBdr>
    </w:div>
    <w:div w:id="807631144">
      <w:bodyDiv w:val="1"/>
      <w:marLeft w:val="0"/>
      <w:marRight w:val="0"/>
      <w:marTop w:val="0"/>
      <w:marBottom w:val="0"/>
      <w:divBdr>
        <w:top w:val="none" w:sz="0" w:space="0" w:color="auto"/>
        <w:left w:val="none" w:sz="0" w:space="0" w:color="auto"/>
        <w:bottom w:val="none" w:sz="0" w:space="0" w:color="auto"/>
        <w:right w:val="none" w:sz="0" w:space="0" w:color="auto"/>
      </w:divBdr>
    </w:div>
    <w:div w:id="854466318">
      <w:bodyDiv w:val="1"/>
      <w:marLeft w:val="0"/>
      <w:marRight w:val="0"/>
      <w:marTop w:val="0"/>
      <w:marBottom w:val="0"/>
      <w:divBdr>
        <w:top w:val="none" w:sz="0" w:space="0" w:color="auto"/>
        <w:left w:val="none" w:sz="0" w:space="0" w:color="auto"/>
        <w:bottom w:val="none" w:sz="0" w:space="0" w:color="auto"/>
        <w:right w:val="none" w:sz="0" w:space="0" w:color="auto"/>
      </w:divBdr>
      <w:divsChild>
        <w:div w:id="2976446">
          <w:marLeft w:val="0"/>
          <w:marRight w:val="0"/>
          <w:marTop w:val="0"/>
          <w:marBottom w:val="0"/>
          <w:divBdr>
            <w:top w:val="none" w:sz="0" w:space="0" w:color="auto"/>
            <w:left w:val="none" w:sz="0" w:space="0" w:color="auto"/>
            <w:bottom w:val="none" w:sz="0" w:space="0" w:color="auto"/>
            <w:right w:val="none" w:sz="0" w:space="0" w:color="auto"/>
          </w:divBdr>
        </w:div>
        <w:div w:id="44527858">
          <w:marLeft w:val="0"/>
          <w:marRight w:val="0"/>
          <w:marTop w:val="0"/>
          <w:marBottom w:val="0"/>
          <w:divBdr>
            <w:top w:val="none" w:sz="0" w:space="0" w:color="auto"/>
            <w:left w:val="none" w:sz="0" w:space="0" w:color="auto"/>
            <w:bottom w:val="none" w:sz="0" w:space="0" w:color="auto"/>
            <w:right w:val="none" w:sz="0" w:space="0" w:color="auto"/>
          </w:divBdr>
        </w:div>
        <w:div w:id="44571499">
          <w:marLeft w:val="0"/>
          <w:marRight w:val="0"/>
          <w:marTop w:val="0"/>
          <w:marBottom w:val="0"/>
          <w:divBdr>
            <w:top w:val="none" w:sz="0" w:space="0" w:color="auto"/>
            <w:left w:val="none" w:sz="0" w:space="0" w:color="auto"/>
            <w:bottom w:val="none" w:sz="0" w:space="0" w:color="auto"/>
            <w:right w:val="none" w:sz="0" w:space="0" w:color="auto"/>
          </w:divBdr>
        </w:div>
        <w:div w:id="68037564">
          <w:marLeft w:val="0"/>
          <w:marRight w:val="0"/>
          <w:marTop w:val="0"/>
          <w:marBottom w:val="0"/>
          <w:divBdr>
            <w:top w:val="none" w:sz="0" w:space="0" w:color="auto"/>
            <w:left w:val="none" w:sz="0" w:space="0" w:color="auto"/>
            <w:bottom w:val="none" w:sz="0" w:space="0" w:color="auto"/>
            <w:right w:val="none" w:sz="0" w:space="0" w:color="auto"/>
          </w:divBdr>
        </w:div>
        <w:div w:id="159853167">
          <w:marLeft w:val="0"/>
          <w:marRight w:val="0"/>
          <w:marTop w:val="0"/>
          <w:marBottom w:val="0"/>
          <w:divBdr>
            <w:top w:val="none" w:sz="0" w:space="0" w:color="auto"/>
            <w:left w:val="none" w:sz="0" w:space="0" w:color="auto"/>
            <w:bottom w:val="none" w:sz="0" w:space="0" w:color="auto"/>
            <w:right w:val="none" w:sz="0" w:space="0" w:color="auto"/>
          </w:divBdr>
        </w:div>
        <w:div w:id="179591308">
          <w:marLeft w:val="0"/>
          <w:marRight w:val="0"/>
          <w:marTop w:val="0"/>
          <w:marBottom w:val="0"/>
          <w:divBdr>
            <w:top w:val="none" w:sz="0" w:space="0" w:color="auto"/>
            <w:left w:val="none" w:sz="0" w:space="0" w:color="auto"/>
            <w:bottom w:val="none" w:sz="0" w:space="0" w:color="auto"/>
            <w:right w:val="none" w:sz="0" w:space="0" w:color="auto"/>
          </w:divBdr>
        </w:div>
        <w:div w:id="184826578">
          <w:marLeft w:val="0"/>
          <w:marRight w:val="0"/>
          <w:marTop w:val="0"/>
          <w:marBottom w:val="0"/>
          <w:divBdr>
            <w:top w:val="none" w:sz="0" w:space="0" w:color="auto"/>
            <w:left w:val="none" w:sz="0" w:space="0" w:color="auto"/>
            <w:bottom w:val="none" w:sz="0" w:space="0" w:color="auto"/>
            <w:right w:val="none" w:sz="0" w:space="0" w:color="auto"/>
          </w:divBdr>
        </w:div>
        <w:div w:id="288903633">
          <w:marLeft w:val="0"/>
          <w:marRight w:val="0"/>
          <w:marTop w:val="0"/>
          <w:marBottom w:val="0"/>
          <w:divBdr>
            <w:top w:val="none" w:sz="0" w:space="0" w:color="auto"/>
            <w:left w:val="none" w:sz="0" w:space="0" w:color="auto"/>
            <w:bottom w:val="none" w:sz="0" w:space="0" w:color="auto"/>
            <w:right w:val="none" w:sz="0" w:space="0" w:color="auto"/>
          </w:divBdr>
        </w:div>
        <w:div w:id="293023286">
          <w:marLeft w:val="0"/>
          <w:marRight w:val="0"/>
          <w:marTop w:val="0"/>
          <w:marBottom w:val="0"/>
          <w:divBdr>
            <w:top w:val="none" w:sz="0" w:space="0" w:color="auto"/>
            <w:left w:val="none" w:sz="0" w:space="0" w:color="auto"/>
            <w:bottom w:val="none" w:sz="0" w:space="0" w:color="auto"/>
            <w:right w:val="none" w:sz="0" w:space="0" w:color="auto"/>
          </w:divBdr>
        </w:div>
        <w:div w:id="300111080">
          <w:marLeft w:val="0"/>
          <w:marRight w:val="0"/>
          <w:marTop w:val="0"/>
          <w:marBottom w:val="0"/>
          <w:divBdr>
            <w:top w:val="none" w:sz="0" w:space="0" w:color="auto"/>
            <w:left w:val="none" w:sz="0" w:space="0" w:color="auto"/>
            <w:bottom w:val="none" w:sz="0" w:space="0" w:color="auto"/>
            <w:right w:val="none" w:sz="0" w:space="0" w:color="auto"/>
          </w:divBdr>
        </w:div>
        <w:div w:id="327556488">
          <w:marLeft w:val="0"/>
          <w:marRight w:val="0"/>
          <w:marTop w:val="0"/>
          <w:marBottom w:val="0"/>
          <w:divBdr>
            <w:top w:val="none" w:sz="0" w:space="0" w:color="auto"/>
            <w:left w:val="none" w:sz="0" w:space="0" w:color="auto"/>
            <w:bottom w:val="none" w:sz="0" w:space="0" w:color="auto"/>
            <w:right w:val="none" w:sz="0" w:space="0" w:color="auto"/>
          </w:divBdr>
        </w:div>
        <w:div w:id="338967891">
          <w:marLeft w:val="0"/>
          <w:marRight w:val="0"/>
          <w:marTop w:val="0"/>
          <w:marBottom w:val="0"/>
          <w:divBdr>
            <w:top w:val="none" w:sz="0" w:space="0" w:color="auto"/>
            <w:left w:val="none" w:sz="0" w:space="0" w:color="auto"/>
            <w:bottom w:val="none" w:sz="0" w:space="0" w:color="auto"/>
            <w:right w:val="none" w:sz="0" w:space="0" w:color="auto"/>
          </w:divBdr>
        </w:div>
        <w:div w:id="345719301">
          <w:marLeft w:val="0"/>
          <w:marRight w:val="0"/>
          <w:marTop w:val="0"/>
          <w:marBottom w:val="0"/>
          <w:divBdr>
            <w:top w:val="none" w:sz="0" w:space="0" w:color="auto"/>
            <w:left w:val="none" w:sz="0" w:space="0" w:color="auto"/>
            <w:bottom w:val="none" w:sz="0" w:space="0" w:color="auto"/>
            <w:right w:val="none" w:sz="0" w:space="0" w:color="auto"/>
          </w:divBdr>
        </w:div>
        <w:div w:id="379019510">
          <w:marLeft w:val="0"/>
          <w:marRight w:val="0"/>
          <w:marTop w:val="0"/>
          <w:marBottom w:val="0"/>
          <w:divBdr>
            <w:top w:val="none" w:sz="0" w:space="0" w:color="auto"/>
            <w:left w:val="none" w:sz="0" w:space="0" w:color="auto"/>
            <w:bottom w:val="none" w:sz="0" w:space="0" w:color="auto"/>
            <w:right w:val="none" w:sz="0" w:space="0" w:color="auto"/>
          </w:divBdr>
        </w:div>
        <w:div w:id="381515952">
          <w:marLeft w:val="0"/>
          <w:marRight w:val="0"/>
          <w:marTop w:val="0"/>
          <w:marBottom w:val="0"/>
          <w:divBdr>
            <w:top w:val="none" w:sz="0" w:space="0" w:color="auto"/>
            <w:left w:val="none" w:sz="0" w:space="0" w:color="auto"/>
            <w:bottom w:val="none" w:sz="0" w:space="0" w:color="auto"/>
            <w:right w:val="none" w:sz="0" w:space="0" w:color="auto"/>
          </w:divBdr>
        </w:div>
        <w:div w:id="387193433">
          <w:marLeft w:val="0"/>
          <w:marRight w:val="0"/>
          <w:marTop w:val="0"/>
          <w:marBottom w:val="0"/>
          <w:divBdr>
            <w:top w:val="none" w:sz="0" w:space="0" w:color="auto"/>
            <w:left w:val="none" w:sz="0" w:space="0" w:color="auto"/>
            <w:bottom w:val="none" w:sz="0" w:space="0" w:color="auto"/>
            <w:right w:val="none" w:sz="0" w:space="0" w:color="auto"/>
          </w:divBdr>
        </w:div>
        <w:div w:id="408383235">
          <w:marLeft w:val="0"/>
          <w:marRight w:val="0"/>
          <w:marTop w:val="0"/>
          <w:marBottom w:val="0"/>
          <w:divBdr>
            <w:top w:val="none" w:sz="0" w:space="0" w:color="auto"/>
            <w:left w:val="none" w:sz="0" w:space="0" w:color="auto"/>
            <w:bottom w:val="none" w:sz="0" w:space="0" w:color="auto"/>
            <w:right w:val="none" w:sz="0" w:space="0" w:color="auto"/>
          </w:divBdr>
        </w:div>
        <w:div w:id="410126717">
          <w:marLeft w:val="0"/>
          <w:marRight w:val="0"/>
          <w:marTop w:val="0"/>
          <w:marBottom w:val="0"/>
          <w:divBdr>
            <w:top w:val="none" w:sz="0" w:space="0" w:color="auto"/>
            <w:left w:val="none" w:sz="0" w:space="0" w:color="auto"/>
            <w:bottom w:val="none" w:sz="0" w:space="0" w:color="auto"/>
            <w:right w:val="none" w:sz="0" w:space="0" w:color="auto"/>
          </w:divBdr>
        </w:div>
        <w:div w:id="418336030">
          <w:marLeft w:val="0"/>
          <w:marRight w:val="0"/>
          <w:marTop w:val="0"/>
          <w:marBottom w:val="0"/>
          <w:divBdr>
            <w:top w:val="none" w:sz="0" w:space="0" w:color="auto"/>
            <w:left w:val="none" w:sz="0" w:space="0" w:color="auto"/>
            <w:bottom w:val="none" w:sz="0" w:space="0" w:color="auto"/>
            <w:right w:val="none" w:sz="0" w:space="0" w:color="auto"/>
          </w:divBdr>
        </w:div>
        <w:div w:id="438254608">
          <w:marLeft w:val="0"/>
          <w:marRight w:val="0"/>
          <w:marTop w:val="0"/>
          <w:marBottom w:val="0"/>
          <w:divBdr>
            <w:top w:val="none" w:sz="0" w:space="0" w:color="auto"/>
            <w:left w:val="none" w:sz="0" w:space="0" w:color="auto"/>
            <w:bottom w:val="none" w:sz="0" w:space="0" w:color="auto"/>
            <w:right w:val="none" w:sz="0" w:space="0" w:color="auto"/>
          </w:divBdr>
        </w:div>
        <w:div w:id="467363943">
          <w:marLeft w:val="0"/>
          <w:marRight w:val="0"/>
          <w:marTop w:val="0"/>
          <w:marBottom w:val="0"/>
          <w:divBdr>
            <w:top w:val="none" w:sz="0" w:space="0" w:color="auto"/>
            <w:left w:val="none" w:sz="0" w:space="0" w:color="auto"/>
            <w:bottom w:val="none" w:sz="0" w:space="0" w:color="auto"/>
            <w:right w:val="none" w:sz="0" w:space="0" w:color="auto"/>
          </w:divBdr>
        </w:div>
        <w:div w:id="484053682">
          <w:marLeft w:val="0"/>
          <w:marRight w:val="0"/>
          <w:marTop w:val="0"/>
          <w:marBottom w:val="0"/>
          <w:divBdr>
            <w:top w:val="none" w:sz="0" w:space="0" w:color="auto"/>
            <w:left w:val="none" w:sz="0" w:space="0" w:color="auto"/>
            <w:bottom w:val="none" w:sz="0" w:space="0" w:color="auto"/>
            <w:right w:val="none" w:sz="0" w:space="0" w:color="auto"/>
          </w:divBdr>
        </w:div>
        <w:div w:id="524443787">
          <w:marLeft w:val="0"/>
          <w:marRight w:val="0"/>
          <w:marTop w:val="0"/>
          <w:marBottom w:val="0"/>
          <w:divBdr>
            <w:top w:val="none" w:sz="0" w:space="0" w:color="auto"/>
            <w:left w:val="none" w:sz="0" w:space="0" w:color="auto"/>
            <w:bottom w:val="none" w:sz="0" w:space="0" w:color="auto"/>
            <w:right w:val="none" w:sz="0" w:space="0" w:color="auto"/>
          </w:divBdr>
        </w:div>
        <w:div w:id="537281277">
          <w:marLeft w:val="0"/>
          <w:marRight w:val="0"/>
          <w:marTop w:val="0"/>
          <w:marBottom w:val="0"/>
          <w:divBdr>
            <w:top w:val="none" w:sz="0" w:space="0" w:color="auto"/>
            <w:left w:val="none" w:sz="0" w:space="0" w:color="auto"/>
            <w:bottom w:val="none" w:sz="0" w:space="0" w:color="auto"/>
            <w:right w:val="none" w:sz="0" w:space="0" w:color="auto"/>
          </w:divBdr>
        </w:div>
        <w:div w:id="608050671">
          <w:marLeft w:val="0"/>
          <w:marRight w:val="0"/>
          <w:marTop w:val="0"/>
          <w:marBottom w:val="0"/>
          <w:divBdr>
            <w:top w:val="none" w:sz="0" w:space="0" w:color="auto"/>
            <w:left w:val="none" w:sz="0" w:space="0" w:color="auto"/>
            <w:bottom w:val="none" w:sz="0" w:space="0" w:color="auto"/>
            <w:right w:val="none" w:sz="0" w:space="0" w:color="auto"/>
          </w:divBdr>
        </w:div>
        <w:div w:id="613941861">
          <w:marLeft w:val="0"/>
          <w:marRight w:val="0"/>
          <w:marTop w:val="0"/>
          <w:marBottom w:val="0"/>
          <w:divBdr>
            <w:top w:val="none" w:sz="0" w:space="0" w:color="auto"/>
            <w:left w:val="none" w:sz="0" w:space="0" w:color="auto"/>
            <w:bottom w:val="none" w:sz="0" w:space="0" w:color="auto"/>
            <w:right w:val="none" w:sz="0" w:space="0" w:color="auto"/>
          </w:divBdr>
        </w:div>
        <w:div w:id="615789791">
          <w:marLeft w:val="0"/>
          <w:marRight w:val="0"/>
          <w:marTop w:val="0"/>
          <w:marBottom w:val="0"/>
          <w:divBdr>
            <w:top w:val="none" w:sz="0" w:space="0" w:color="auto"/>
            <w:left w:val="none" w:sz="0" w:space="0" w:color="auto"/>
            <w:bottom w:val="none" w:sz="0" w:space="0" w:color="auto"/>
            <w:right w:val="none" w:sz="0" w:space="0" w:color="auto"/>
          </w:divBdr>
        </w:div>
        <w:div w:id="717052125">
          <w:marLeft w:val="0"/>
          <w:marRight w:val="0"/>
          <w:marTop w:val="0"/>
          <w:marBottom w:val="0"/>
          <w:divBdr>
            <w:top w:val="none" w:sz="0" w:space="0" w:color="auto"/>
            <w:left w:val="none" w:sz="0" w:space="0" w:color="auto"/>
            <w:bottom w:val="none" w:sz="0" w:space="0" w:color="auto"/>
            <w:right w:val="none" w:sz="0" w:space="0" w:color="auto"/>
          </w:divBdr>
        </w:div>
        <w:div w:id="749159612">
          <w:marLeft w:val="0"/>
          <w:marRight w:val="0"/>
          <w:marTop w:val="0"/>
          <w:marBottom w:val="0"/>
          <w:divBdr>
            <w:top w:val="none" w:sz="0" w:space="0" w:color="auto"/>
            <w:left w:val="none" w:sz="0" w:space="0" w:color="auto"/>
            <w:bottom w:val="none" w:sz="0" w:space="0" w:color="auto"/>
            <w:right w:val="none" w:sz="0" w:space="0" w:color="auto"/>
          </w:divBdr>
        </w:div>
        <w:div w:id="772480821">
          <w:marLeft w:val="0"/>
          <w:marRight w:val="0"/>
          <w:marTop w:val="0"/>
          <w:marBottom w:val="0"/>
          <w:divBdr>
            <w:top w:val="none" w:sz="0" w:space="0" w:color="auto"/>
            <w:left w:val="none" w:sz="0" w:space="0" w:color="auto"/>
            <w:bottom w:val="none" w:sz="0" w:space="0" w:color="auto"/>
            <w:right w:val="none" w:sz="0" w:space="0" w:color="auto"/>
          </w:divBdr>
        </w:div>
        <w:div w:id="772820885">
          <w:marLeft w:val="0"/>
          <w:marRight w:val="0"/>
          <w:marTop w:val="0"/>
          <w:marBottom w:val="0"/>
          <w:divBdr>
            <w:top w:val="none" w:sz="0" w:space="0" w:color="auto"/>
            <w:left w:val="none" w:sz="0" w:space="0" w:color="auto"/>
            <w:bottom w:val="none" w:sz="0" w:space="0" w:color="auto"/>
            <w:right w:val="none" w:sz="0" w:space="0" w:color="auto"/>
          </w:divBdr>
        </w:div>
        <w:div w:id="775710929">
          <w:marLeft w:val="0"/>
          <w:marRight w:val="0"/>
          <w:marTop w:val="0"/>
          <w:marBottom w:val="0"/>
          <w:divBdr>
            <w:top w:val="none" w:sz="0" w:space="0" w:color="auto"/>
            <w:left w:val="none" w:sz="0" w:space="0" w:color="auto"/>
            <w:bottom w:val="none" w:sz="0" w:space="0" w:color="auto"/>
            <w:right w:val="none" w:sz="0" w:space="0" w:color="auto"/>
          </w:divBdr>
        </w:div>
        <w:div w:id="789789267">
          <w:marLeft w:val="0"/>
          <w:marRight w:val="0"/>
          <w:marTop w:val="0"/>
          <w:marBottom w:val="0"/>
          <w:divBdr>
            <w:top w:val="none" w:sz="0" w:space="0" w:color="auto"/>
            <w:left w:val="none" w:sz="0" w:space="0" w:color="auto"/>
            <w:bottom w:val="none" w:sz="0" w:space="0" w:color="auto"/>
            <w:right w:val="none" w:sz="0" w:space="0" w:color="auto"/>
          </w:divBdr>
        </w:div>
        <w:div w:id="794173471">
          <w:marLeft w:val="0"/>
          <w:marRight w:val="0"/>
          <w:marTop w:val="0"/>
          <w:marBottom w:val="0"/>
          <w:divBdr>
            <w:top w:val="none" w:sz="0" w:space="0" w:color="auto"/>
            <w:left w:val="none" w:sz="0" w:space="0" w:color="auto"/>
            <w:bottom w:val="none" w:sz="0" w:space="0" w:color="auto"/>
            <w:right w:val="none" w:sz="0" w:space="0" w:color="auto"/>
          </w:divBdr>
        </w:div>
        <w:div w:id="805590204">
          <w:marLeft w:val="0"/>
          <w:marRight w:val="0"/>
          <w:marTop w:val="0"/>
          <w:marBottom w:val="0"/>
          <w:divBdr>
            <w:top w:val="none" w:sz="0" w:space="0" w:color="auto"/>
            <w:left w:val="none" w:sz="0" w:space="0" w:color="auto"/>
            <w:bottom w:val="none" w:sz="0" w:space="0" w:color="auto"/>
            <w:right w:val="none" w:sz="0" w:space="0" w:color="auto"/>
          </w:divBdr>
        </w:div>
        <w:div w:id="812597108">
          <w:marLeft w:val="0"/>
          <w:marRight w:val="0"/>
          <w:marTop w:val="0"/>
          <w:marBottom w:val="0"/>
          <w:divBdr>
            <w:top w:val="none" w:sz="0" w:space="0" w:color="auto"/>
            <w:left w:val="none" w:sz="0" w:space="0" w:color="auto"/>
            <w:bottom w:val="none" w:sz="0" w:space="0" w:color="auto"/>
            <w:right w:val="none" w:sz="0" w:space="0" w:color="auto"/>
          </w:divBdr>
        </w:div>
        <w:div w:id="813378742">
          <w:marLeft w:val="0"/>
          <w:marRight w:val="0"/>
          <w:marTop w:val="0"/>
          <w:marBottom w:val="0"/>
          <w:divBdr>
            <w:top w:val="none" w:sz="0" w:space="0" w:color="auto"/>
            <w:left w:val="none" w:sz="0" w:space="0" w:color="auto"/>
            <w:bottom w:val="none" w:sz="0" w:space="0" w:color="auto"/>
            <w:right w:val="none" w:sz="0" w:space="0" w:color="auto"/>
          </w:divBdr>
        </w:div>
        <w:div w:id="827671918">
          <w:marLeft w:val="0"/>
          <w:marRight w:val="0"/>
          <w:marTop w:val="0"/>
          <w:marBottom w:val="0"/>
          <w:divBdr>
            <w:top w:val="none" w:sz="0" w:space="0" w:color="auto"/>
            <w:left w:val="none" w:sz="0" w:space="0" w:color="auto"/>
            <w:bottom w:val="none" w:sz="0" w:space="0" w:color="auto"/>
            <w:right w:val="none" w:sz="0" w:space="0" w:color="auto"/>
          </w:divBdr>
        </w:div>
        <w:div w:id="838692810">
          <w:marLeft w:val="0"/>
          <w:marRight w:val="0"/>
          <w:marTop w:val="0"/>
          <w:marBottom w:val="0"/>
          <w:divBdr>
            <w:top w:val="none" w:sz="0" w:space="0" w:color="auto"/>
            <w:left w:val="none" w:sz="0" w:space="0" w:color="auto"/>
            <w:bottom w:val="none" w:sz="0" w:space="0" w:color="auto"/>
            <w:right w:val="none" w:sz="0" w:space="0" w:color="auto"/>
          </w:divBdr>
        </w:div>
        <w:div w:id="839539428">
          <w:marLeft w:val="0"/>
          <w:marRight w:val="0"/>
          <w:marTop w:val="0"/>
          <w:marBottom w:val="0"/>
          <w:divBdr>
            <w:top w:val="none" w:sz="0" w:space="0" w:color="auto"/>
            <w:left w:val="none" w:sz="0" w:space="0" w:color="auto"/>
            <w:bottom w:val="none" w:sz="0" w:space="0" w:color="auto"/>
            <w:right w:val="none" w:sz="0" w:space="0" w:color="auto"/>
          </w:divBdr>
        </w:div>
        <w:div w:id="841822367">
          <w:marLeft w:val="0"/>
          <w:marRight w:val="0"/>
          <w:marTop w:val="0"/>
          <w:marBottom w:val="0"/>
          <w:divBdr>
            <w:top w:val="none" w:sz="0" w:space="0" w:color="auto"/>
            <w:left w:val="none" w:sz="0" w:space="0" w:color="auto"/>
            <w:bottom w:val="none" w:sz="0" w:space="0" w:color="auto"/>
            <w:right w:val="none" w:sz="0" w:space="0" w:color="auto"/>
          </w:divBdr>
        </w:div>
        <w:div w:id="877744652">
          <w:marLeft w:val="0"/>
          <w:marRight w:val="0"/>
          <w:marTop w:val="0"/>
          <w:marBottom w:val="0"/>
          <w:divBdr>
            <w:top w:val="none" w:sz="0" w:space="0" w:color="auto"/>
            <w:left w:val="none" w:sz="0" w:space="0" w:color="auto"/>
            <w:bottom w:val="none" w:sz="0" w:space="0" w:color="auto"/>
            <w:right w:val="none" w:sz="0" w:space="0" w:color="auto"/>
          </w:divBdr>
        </w:div>
        <w:div w:id="926040044">
          <w:marLeft w:val="0"/>
          <w:marRight w:val="0"/>
          <w:marTop w:val="0"/>
          <w:marBottom w:val="0"/>
          <w:divBdr>
            <w:top w:val="none" w:sz="0" w:space="0" w:color="auto"/>
            <w:left w:val="none" w:sz="0" w:space="0" w:color="auto"/>
            <w:bottom w:val="none" w:sz="0" w:space="0" w:color="auto"/>
            <w:right w:val="none" w:sz="0" w:space="0" w:color="auto"/>
          </w:divBdr>
        </w:div>
        <w:div w:id="927811054">
          <w:marLeft w:val="0"/>
          <w:marRight w:val="0"/>
          <w:marTop w:val="0"/>
          <w:marBottom w:val="0"/>
          <w:divBdr>
            <w:top w:val="none" w:sz="0" w:space="0" w:color="auto"/>
            <w:left w:val="none" w:sz="0" w:space="0" w:color="auto"/>
            <w:bottom w:val="none" w:sz="0" w:space="0" w:color="auto"/>
            <w:right w:val="none" w:sz="0" w:space="0" w:color="auto"/>
          </w:divBdr>
        </w:div>
        <w:div w:id="949432482">
          <w:marLeft w:val="0"/>
          <w:marRight w:val="0"/>
          <w:marTop w:val="0"/>
          <w:marBottom w:val="0"/>
          <w:divBdr>
            <w:top w:val="none" w:sz="0" w:space="0" w:color="auto"/>
            <w:left w:val="none" w:sz="0" w:space="0" w:color="auto"/>
            <w:bottom w:val="none" w:sz="0" w:space="0" w:color="auto"/>
            <w:right w:val="none" w:sz="0" w:space="0" w:color="auto"/>
          </w:divBdr>
        </w:div>
        <w:div w:id="950817992">
          <w:marLeft w:val="0"/>
          <w:marRight w:val="0"/>
          <w:marTop w:val="0"/>
          <w:marBottom w:val="0"/>
          <w:divBdr>
            <w:top w:val="none" w:sz="0" w:space="0" w:color="auto"/>
            <w:left w:val="none" w:sz="0" w:space="0" w:color="auto"/>
            <w:bottom w:val="none" w:sz="0" w:space="0" w:color="auto"/>
            <w:right w:val="none" w:sz="0" w:space="0" w:color="auto"/>
          </w:divBdr>
        </w:div>
        <w:div w:id="958074360">
          <w:marLeft w:val="0"/>
          <w:marRight w:val="0"/>
          <w:marTop w:val="0"/>
          <w:marBottom w:val="0"/>
          <w:divBdr>
            <w:top w:val="none" w:sz="0" w:space="0" w:color="auto"/>
            <w:left w:val="none" w:sz="0" w:space="0" w:color="auto"/>
            <w:bottom w:val="none" w:sz="0" w:space="0" w:color="auto"/>
            <w:right w:val="none" w:sz="0" w:space="0" w:color="auto"/>
          </w:divBdr>
        </w:div>
        <w:div w:id="976379131">
          <w:marLeft w:val="0"/>
          <w:marRight w:val="0"/>
          <w:marTop w:val="0"/>
          <w:marBottom w:val="0"/>
          <w:divBdr>
            <w:top w:val="none" w:sz="0" w:space="0" w:color="auto"/>
            <w:left w:val="none" w:sz="0" w:space="0" w:color="auto"/>
            <w:bottom w:val="none" w:sz="0" w:space="0" w:color="auto"/>
            <w:right w:val="none" w:sz="0" w:space="0" w:color="auto"/>
          </w:divBdr>
        </w:div>
        <w:div w:id="989210702">
          <w:marLeft w:val="0"/>
          <w:marRight w:val="0"/>
          <w:marTop w:val="0"/>
          <w:marBottom w:val="0"/>
          <w:divBdr>
            <w:top w:val="none" w:sz="0" w:space="0" w:color="auto"/>
            <w:left w:val="none" w:sz="0" w:space="0" w:color="auto"/>
            <w:bottom w:val="none" w:sz="0" w:space="0" w:color="auto"/>
            <w:right w:val="none" w:sz="0" w:space="0" w:color="auto"/>
          </w:divBdr>
        </w:div>
        <w:div w:id="1005475588">
          <w:marLeft w:val="0"/>
          <w:marRight w:val="0"/>
          <w:marTop w:val="0"/>
          <w:marBottom w:val="0"/>
          <w:divBdr>
            <w:top w:val="none" w:sz="0" w:space="0" w:color="auto"/>
            <w:left w:val="none" w:sz="0" w:space="0" w:color="auto"/>
            <w:bottom w:val="none" w:sz="0" w:space="0" w:color="auto"/>
            <w:right w:val="none" w:sz="0" w:space="0" w:color="auto"/>
          </w:divBdr>
        </w:div>
        <w:div w:id="1012145909">
          <w:marLeft w:val="0"/>
          <w:marRight w:val="0"/>
          <w:marTop w:val="0"/>
          <w:marBottom w:val="0"/>
          <w:divBdr>
            <w:top w:val="none" w:sz="0" w:space="0" w:color="auto"/>
            <w:left w:val="none" w:sz="0" w:space="0" w:color="auto"/>
            <w:bottom w:val="none" w:sz="0" w:space="0" w:color="auto"/>
            <w:right w:val="none" w:sz="0" w:space="0" w:color="auto"/>
          </w:divBdr>
        </w:div>
        <w:div w:id="1051614270">
          <w:marLeft w:val="0"/>
          <w:marRight w:val="0"/>
          <w:marTop w:val="0"/>
          <w:marBottom w:val="0"/>
          <w:divBdr>
            <w:top w:val="none" w:sz="0" w:space="0" w:color="auto"/>
            <w:left w:val="none" w:sz="0" w:space="0" w:color="auto"/>
            <w:bottom w:val="none" w:sz="0" w:space="0" w:color="auto"/>
            <w:right w:val="none" w:sz="0" w:space="0" w:color="auto"/>
          </w:divBdr>
        </w:div>
        <w:div w:id="1089539148">
          <w:marLeft w:val="0"/>
          <w:marRight w:val="0"/>
          <w:marTop w:val="0"/>
          <w:marBottom w:val="0"/>
          <w:divBdr>
            <w:top w:val="none" w:sz="0" w:space="0" w:color="auto"/>
            <w:left w:val="none" w:sz="0" w:space="0" w:color="auto"/>
            <w:bottom w:val="none" w:sz="0" w:space="0" w:color="auto"/>
            <w:right w:val="none" w:sz="0" w:space="0" w:color="auto"/>
          </w:divBdr>
        </w:div>
        <w:div w:id="1116951441">
          <w:marLeft w:val="0"/>
          <w:marRight w:val="0"/>
          <w:marTop w:val="0"/>
          <w:marBottom w:val="0"/>
          <w:divBdr>
            <w:top w:val="none" w:sz="0" w:space="0" w:color="auto"/>
            <w:left w:val="none" w:sz="0" w:space="0" w:color="auto"/>
            <w:bottom w:val="none" w:sz="0" w:space="0" w:color="auto"/>
            <w:right w:val="none" w:sz="0" w:space="0" w:color="auto"/>
          </w:divBdr>
        </w:div>
        <w:div w:id="1121070393">
          <w:marLeft w:val="0"/>
          <w:marRight w:val="0"/>
          <w:marTop w:val="0"/>
          <w:marBottom w:val="0"/>
          <w:divBdr>
            <w:top w:val="none" w:sz="0" w:space="0" w:color="auto"/>
            <w:left w:val="none" w:sz="0" w:space="0" w:color="auto"/>
            <w:bottom w:val="none" w:sz="0" w:space="0" w:color="auto"/>
            <w:right w:val="none" w:sz="0" w:space="0" w:color="auto"/>
          </w:divBdr>
        </w:div>
        <w:div w:id="1129932904">
          <w:marLeft w:val="0"/>
          <w:marRight w:val="0"/>
          <w:marTop w:val="0"/>
          <w:marBottom w:val="0"/>
          <w:divBdr>
            <w:top w:val="none" w:sz="0" w:space="0" w:color="auto"/>
            <w:left w:val="none" w:sz="0" w:space="0" w:color="auto"/>
            <w:bottom w:val="none" w:sz="0" w:space="0" w:color="auto"/>
            <w:right w:val="none" w:sz="0" w:space="0" w:color="auto"/>
          </w:divBdr>
        </w:div>
        <w:div w:id="1186365156">
          <w:marLeft w:val="0"/>
          <w:marRight w:val="0"/>
          <w:marTop w:val="0"/>
          <w:marBottom w:val="0"/>
          <w:divBdr>
            <w:top w:val="none" w:sz="0" w:space="0" w:color="auto"/>
            <w:left w:val="none" w:sz="0" w:space="0" w:color="auto"/>
            <w:bottom w:val="none" w:sz="0" w:space="0" w:color="auto"/>
            <w:right w:val="none" w:sz="0" w:space="0" w:color="auto"/>
          </w:divBdr>
        </w:div>
        <w:div w:id="1198860460">
          <w:marLeft w:val="0"/>
          <w:marRight w:val="0"/>
          <w:marTop w:val="0"/>
          <w:marBottom w:val="0"/>
          <w:divBdr>
            <w:top w:val="none" w:sz="0" w:space="0" w:color="auto"/>
            <w:left w:val="none" w:sz="0" w:space="0" w:color="auto"/>
            <w:bottom w:val="none" w:sz="0" w:space="0" w:color="auto"/>
            <w:right w:val="none" w:sz="0" w:space="0" w:color="auto"/>
          </w:divBdr>
        </w:div>
        <w:div w:id="1225531084">
          <w:marLeft w:val="0"/>
          <w:marRight w:val="0"/>
          <w:marTop w:val="0"/>
          <w:marBottom w:val="0"/>
          <w:divBdr>
            <w:top w:val="none" w:sz="0" w:space="0" w:color="auto"/>
            <w:left w:val="none" w:sz="0" w:space="0" w:color="auto"/>
            <w:bottom w:val="none" w:sz="0" w:space="0" w:color="auto"/>
            <w:right w:val="none" w:sz="0" w:space="0" w:color="auto"/>
          </w:divBdr>
        </w:div>
        <w:div w:id="1243295615">
          <w:marLeft w:val="0"/>
          <w:marRight w:val="0"/>
          <w:marTop w:val="0"/>
          <w:marBottom w:val="0"/>
          <w:divBdr>
            <w:top w:val="none" w:sz="0" w:space="0" w:color="auto"/>
            <w:left w:val="none" w:sz="0" w:space="0" w:color="auto"/>
            <w:bottom w:val="none" w:sz="0" w:space="0" w:color="auto"/>
            <w:right w:val="none" w:sz="0" w:space="0" w:color="auto"/>
          </w:divBdr>
        </w:div>
        <w:div w:id="1243678422">
          <w:marLeft w:val="0"/>
          <w:marRight w:val="0"/>
          <w:marTop w:val="0"/>
          <w:marBottom w:val="0"/>
          <w:divBdr>
            <w:top w:val="none" w:sz="0" w:space="0" w:color="auto"/>
            <w:left w:val="none" w:sz="0" w:space="0" w:color="auto"/>
            <w:bottom w:val="none" w:sz="0" w:space="0" w:color="auto"/>
            <w:right w:val="none" w:sz="0" w:space="0" w:color="auto"/>
          </w:divBdr>
        </w:div>
        <w:div w:id="1263107535">
          <w:marLeft w:val="0"/>
          <w:marRight w:val="0"/>
          <w:marTop w:val="0"/>
          <w:marBottom w:val="0"/>
          <w:divBdr>
            <w:top w:val="none" w:sz="0" w:space="0" w:color="auto"/>
            <w:left w:val="none" w:sz="0" w:space="0" w:color="auto"/>
            <w:bottom w:val="none" w:sz="0" w:space="0" w:color="auto"/>
            <w:right w:val="none" w:sz="0" w:space="0" w:color="auto"/>
          </w:divBdr>
        </w:div>
        <w:div w:id="1340423023">
          <w:marLeft w:val="0"/>
          <w:marRight w:val="0"/>
          <w:marTop w:val="0"/>
          <w:marBottom w:val="0"/>
          <w:divBdr>
            <w:top w:val="none" w:sz="0" w:space="0" w:color="auto"/>
            <w:left w:val="none" w:sz="0" w:space="0" w:color="auto"/>
            <w:bottom w:val="none" w:sz="0" w:space="0" w:color="auto"/>
            <w:right w:val="none" w:sz="0" w:space="0" w:color="auto"/>
          </w:divBdr>
        </w:div>
        <w:div w:id="1343049297">
          <w:marLeft w:val="0"/>
          <w:marRight w:val="0"/>
          <w:marTop w:val="0"/>
          <w:marBottom w:val="0"/>
          <w:divBdr>
            <w:top w:val="none" w:sz="0" w:space="0" w:color="auto"/>
            <w:left w:val="none" w:sz="0" w:space="0" w:color="auto"/>
            <w:bottom w:val="none" w:sz="0" w:space="0" w:color="auto"/>
            <w:right w:val="none" w:sz="0" w:space="0" w:color="auto"/>
          </w:divBdr>
        </w:div>
        <w:div w:id="1370186796">
          <w:marLeft w:val="0"/>
          <w:marRight w:val="0"/>
          <w:marTop w:val="0"/>
          <w:marBottom w:val="0"/>
          <w:divBdr>
            <w:top w:val="none" w:sz="0" w:space="0" w:color="auto"/>
            <w:left w:val="none" w:sz="0" w:space="0" w:color="auto"/>
            <w:bottom w:val="none" w:sz="0" w:space="0" w:color="auto"/>
            <w:right w:val="none" w:sz="0" w:space="0" w:color="auto"/>
          </w:divBdr>
        </w:div>
        <w:div w:id="1391003097">
          <w:marLeft w:val="0"/>
          <w:marRight w:val="0"/>
          <w:marTop w:val="0"/>
          <w:marBottom w:val="0"/>
          <w:divBdr>
            <w:top w:val="none" w:sz="0" w:space="0" w:color="auto"/>
            <w:left w:val="none" w:sz="0" w:space="0" w:color="auto"/>
            <w:bottom w:val="none" w:sz="0" w:space="0" w:color="auto"/>
            <w:right w:val="none" w:sz="0" w:space="0" w:color="auto"/>
          </w:divBdr>
        </w:div>
        <w:div w:id="1393383094">
          <w:marLeft w:val="0"/>
          <w:marRight w:val="0"/>
          <w:marTop w:val="0"/>
          <w:marBottom w:val="0"/>
          <w:divBdr>
            <w:top w:val="none" w:sz="0" w:space="0" w:color="auto"/>
            <w:left w:val="none" w:sz="0" w:space="0" w:color="auto"/>
            <w:bottom w:val="none" w:sz="0" w:space="0" w:color="auto"/>
            <w:right w:val="none" w:sz="0" w:space="0" w:color="auto"/>
          </w:divBdr>
        </w:div>
        <w:div w:id="1406418121">
          <w:marLeft w:val="0"/>
          <w:marRight w:val="0"/>
          <w:marTop w:val="0"/>
          <w:marBottom w:val="0"/>
          <w:divBdr>
            <w:top w:val="none" w:sz="0" w:space="0" w:color="auto"/>
            <w:left w:val="none" w:sz="0" w:space="0" w:color="auto"/>
            <w:bottom w:val="none" w:sz="0" w:space="0" w:color="auto"/>
            <w:right w:val="none" w:sz="0" w:space="0" w:color="auto"/>
          </w:divBdr>
        </w:div>
        <w:div w:id="1413897138">
          <w:marLeft w:val="0"/>
          <w:marRight w:val="0"/>
          <w:marTop w:val="0"/>
          <w:marBottom w:val="0"/>
          <w:divBdr>
            <w:top w:val="none" w:sz="0" w:space="0" w:color="auto"/>
            <w:left w:val="none" w:sz="0" w:space="0" w:color="auto"/>
            <w:bottom w:val="none" w:sz="0" w:space="0" w:color="auto"/>
            <w:right w:val="none" w:sz="0" w:space="0" w:color="auto"/>
          </w:divBdr>
        </w:div>
        <w:div w:id="1437289948">
          <w:marLeft w:val="0"/>
          <w:marRight w:val="0"/>
          <w:marTop w:val="0"/>
          <w:marBottom w:val="0"/>
          <w:divBdr>
            <w:top w:val="none" w:sz="0" w:space="0" w:color="auto"/>
            <w:left w:val="none" w:sz="0" w:space="0" w:color="auto"/>
            <w:bottom w:val="none" w:sz="0" w:space="0" w:color="auto"/>
            <w:right w:val="none" w:sz="0" w:space="0" w:color="auto"/>
          </w:divBdr>
        </w:div>
        <w:div w:id="1441489660">
          <w:marLeft w:val="0"/>
          <w:marRight w:val="0"/>
          <w:marTop w:val="0"/>
          <w:marBottom w:val="0"/>
          <w:divBdr>
            <w:top w:val="none" w:sz="0" w:space="0" w:color="auto"/>
            <w:left w:val="none" w:sz="0" w:space="0" w:color="auto"/>
            <w:bottom w:val="none" w:sz="0" w:space="0" w:color="auto"/>
            <w:right w:val="none" w:sz="0" w:space="0" w:color="auto"/>
          </w:divBdr>
        </w:div>
        <w:div w:id="1454061907">
          <w:marLeft w:val="0"/>
          <w:marRight w:val="0"/>
          <w:marTop w:val="0"/>
          <w:marBottom w:val="0"/>
          <w:divBdr>
            <w:top w:val="none" w:sz="0" w:space="0" w:color="auto"/>
            <w:left w:val="none" w:sz="0" w:space="0" w:color="auto"/>
            <w:bottom w:val="none" w:sz="0" w:space="0" w:color="auto"/>
            <w:right w:val="none" w:sz="0" w:space="0" w:color="auto"/>
          </w:divBdr>
        </w:div>
        <w:div w:id="1485968652">
          <w:marLeft w:val="0"/>
          <w:marRight w:val="0"/>
          <w:marTop w:val="0"/>
          <w:marBottom w:val="0"/>
          <w:divBdr>
            <w:top w:val="none" w:sz="0" w:space="0" w:color="auto"/>
            <w:left w:val="none" w:sz="0" w:space="0" w:color="auto"/>
            <w:bottom w:val="none" w:sz="0" w:space="0" w:color="auto"/>
            <w:right w:val="none" w:sz="0" w:space="0" w:color="auto"/>
          </w:divBdr>
        </w:div>
        <w:div w:id="1553535742">
          <w:marLeft w:val="0"/>
          <w:marRight w:val="0"/>
          <w:marTop w:val="0"/>
          <w:marBottom w:val="0"/>
          <w:divBdr>
            <w:top w:val="none" w:sz="0" w:space="0" w:color="auto"/>
            <w:left w:val="none" w:sz="0" w:space="0" w:color="auto"/>
            <w:bottom w:val="none" w:sz="0" w:space="0" w:color="auto"/>
            <w:right w:val="none" w:sz="0" w:space="0" w:color="auto"/>
          </w:divBdr>
        </w:div>
        <w:div w:id="1569681053">
          <w:marLeft w:val="0"/>
          <w:marRight w:val="0"/>
          <w:marTop w:val="0"/>
          <w:marBottom w:val="0"/>
          <w:divBdr>
            <w:top w:val="none" w:sz="0" w:space="0" w:color="auto"/>
            <w:left w:val="none" w:sz="0" w:space="0" w:color="auto"/>
            <w:bottom w:val="none" w:sz="0" w:space="0" w:color="auto"/>
            <w:right w:val="none" w:sz="0" w:space="0" w:color="auto"/>
          </w:divBdr>
        </w:div>
        <w:div w:id="1634825108">
          <w:marLeft w:val="0"/>
          <w:marRight w:val="0"/>
          <w:marTop w:val="0"/>
          <w:marBottom w:val="0"/>
          <w:divBdr>
            <w:top w:val="none" w:sz="0" w:space="0" w:color="auto"/>
            <w:left w:val="none" w:sz="0" w:space="0" w:color="auto"/>
            <w:bottom w:val="none" w:sz="0" w:space="0" w:color="auto"/>
            <w:right w:val="none" w:sz="0" w:space="0" w:color="auto"/>
          </w:divBdr>
        </w:div>
        <w:div w:id="1635716549">
          <w:marLeft w:val="0"/>
          <w:marRight w:val="0"/>
          <w:marTop w:val="0"/>
          <w:marBottom w:val="0"/>
          <w:divBdr>
            <w:top w:val="none" w:sz="0" w:space="0" w:color="auto"/>
            <w:left w:val="none" w:sz="0" w:space="0" w:color="auto"/>
            <w:bottom w:val="none" w:sz="0" w:space="0" w:color="auto"/>
            <w:right w:val="none" w:sz="0" w:space="0" w:color="auto"/>
          </w:divBdr>
        </w:div>
        <w:div w:id="1641686985">
          <w:marLeft w:val="0"/>
          <w:marRight w:val="0"/>
          <w:marTop w:val="0"/>
          <w:marBottom w:val="0"/>
          <w:divBdr>
            <w:top w:val="none" w:sz="0" w:space="0" w:color="auto"/>
            <w:left w:val="none" w:sz="0" w:space="0" w:color="auto"/>
            <w:bottom w:val="none" w:sz="0" w:space="0" w:color="auto"/>
            <w:right w:val="none" w:sz="0" w:space="0" w:color="auto"/>
          </w:divBdr>
        </w:div>
        <w:div w:id="1645038278">
          <w:marLeft w:val="0"/>
          <w:marRight w:val="0"/>
          <w:marTop w:val="0"/>
          <w:marBottom w:val="0"/>
          <w:divBdr>
            <w:top w:val="none" w:sz="0" w:space="0" w:color="auto"/>
            <w:left w:val="none" w:sz="0" w:space="0" w:color="auto"/>
            <w:bottom w:val="none" w:sz="0" w:space="0" w:color="auto"/>
            <w:right w:val="none" w:sz="0" w:space="0" w:color="auto"/>
          </w:divBdr>
        </w:div>
        <w:div w:id="1649358723">
          <w:marLeft w:val="0"/>
          <w:marRight w:val="0"/>
          <w:marTop w:val="0"/>
          <w:marBottom w:val="0"/>
          <w:divBdr>
            <w:top w:val="none" w:sz="0" w:space="0" w:color="auto"/>
            <w:left w:val="none" w:sz="0" w:space="0" w:color="auto"/>
            <w:bottom w:val="none" w:sz="0" w:space="0" w:color="auto"/>
            <w:right w:val="none" w:sz="0" w:space="0" w:color="auto"/>
          </w:divBdr>
        </w:div>
        <w:div w:id="1649703477">
          <w:marLeft w:val="0"/>
          <w:marRight w:val="0"/>
          <w:marTop w:val="0"/>
          <w:marBottom w:val="0"/>
          <w:divBdr>
            <w:top w:val="none" w:sz="0" w:space="0" w:color="auto"/>
            <w:left w:val="none" w:sz="0" w:space="0" w:color="auto"/>
            <w:bottom w:val="none" w:sz="0" w:space="0" w:color="auto"/>
            <w:right w:val="none" w:sz="0" w:space="0" w:color="auto"/>
          </w:divBdr>
        </w:div>
        <w:div w:id="1714961925">
          <w:marLeft w:val="0"/>
          <w:marRight w:val="0"/>
          <w:marTop w:val="0"/>
          <w:marBottom w:val="0"/>
          <w:divBdr>
            <w:top w:val="none" w:sz="0" w:space="0" w:color="auto"/>
            <w:left w:val="none" w:sz="0" w:space="0" w:color="auto"/>
            <w:bottom w:val="none" w:sz="0" w:space="0" w:color="auto"/>
            <w:right w:val="none" w:sz="0" w:space="0" w:color="auto"/>
          </w:divBdr>
        </w:div>
        <w:div w:id="1719863845">
          <w:marLeft w:val="0"/>
          <w:marRight w:val="0"/>
          <w:marTop w:val="0"/>
          <w:marBottom w:val="0"/>
          <w:divBdr>
            <w:top w:val="none" w:sz="0" w:space="0" w:color="auto"/>
            <w:left w:val="none" w:sz="0" w:space="0" w:color="auto"/>
            <w:bottom w:val="none" w:sz="0" w:space="0" w:color="auto"/>
            <w:right w:val="none" w:sz="0" w:space="0" w:color="auto"/>
          </w:divBdr>
        </w:div>
        <w:div w:id="1749186313">
          <w:marLeft w:val="0"/>
          <w:marRight w:val="0"/>
          <w:marTop w:val="0"/>
          <w:marBottom w:val="0"/>
          <w:divBdr>
            <w:top w:val="none" w:sz="0" w:space="0" w:color="auto"/>
            <w:left w:val="none" w:sz="0" w:space="0" w:color="auto"/>
            <w:bottom w:val="none" w:sz="0" w:space="0" w:color="auto"/>
            <w:right w:val="none" w:sz="0" w:space="0" w:color="auto"/>
          </w:divBdr>
        </w:div>
        <w:div w:id="1756318370">
          <w:marLeft w:val="0"/>
          <w:marRight w:val="0"/>
          <w:marTop w:val="0"/>
          <w:marBottom w:val="0"/>
          <w:divBdr>
            <w:top w:val="none" w:sz="0" w:space="0" w:color="auto"/>
            <w:left w:val="none" w:sz="0" w:space="0" w:color="auto"/>
            <w:bottom w:val="none" w:sz="0" w:space="0" w:color="auto"/>
            <w:right w:val="none" w:sz="0" w:space="0" w:color="auto"/>
          </w:divBdr>
        </w:div>
        <w:div w:id="1772967410">
          <w:marLeft w:val="0"/>
          <w:marRight w:val="0"/>
          <w:marTop w:val="0"/>
          <w:marBottom w:val="0"/>
          <w:divBdr>
            <w:top w:val="none" w:sz="0" w:space="0" w:color="auto"/>
            <w:left w:val="none" w:sz="0" w:space="0" w:color="auto"/>
            <w:bottom w:val="none" w:sz="0" w:space="0" w:color="auto"/>
            <w:right w:val="none" w:sz="0" w:space="0" w:color="auto"/>
          </w:divBdr>
        </w:div>
        <w:div w:id="1856533136">
          <w:marLeft w:val="0"/>
          <w:marRight w:val="0"/>
          <w:marTop w:val="0"/>
          <w:marBottom w:val="0"/>
          <w:divBdr>
            <w:top w:val="none" w:sz="0" w:space="0" w:color="auto"/>
            <w:left w:val="none" w:sz="0" w:space="0" w:color="auto"/>
            <w:bottom w:val="none" w:sz="0" w:space="0" w:color="auto"/>
            <w:right w:val="none" w:sz="0" w:space="0" w:color="auto"/>
          </w:divBdr>
        </w:div>
        <w:div w:id="1860776457">
          <w:marLeft w:val="0"/>
          <w:marRight w:val="0"/>
          <w:marTop w:val="0"/>
          <w:marBottom w:val="0"/>
          <w:divBdr>
            <w:top w:val="none" w:sz="0" w:space="0" w:color="auto"/>
            <w:left w:val="none" w:sz="0" w:space="0" w:color="auto"/>
            <w:bottom w:val="none" w:sz="0" w:space="0" w:color="auto"/>
            <w:right w:val="none" w:sz="0" w:space="0" w:color="auto"/>
          </w:divBdr>
        </w:div>
        <w:div w:id="1922105892">
          <w:marLeft w:val="0"/>
          <w:marRight w:val="0"/>
          <w:marTop w:val="0"/>
          <w:marBottom w:val="0"/>
          <w:divBdr>
            <w:top w:val="none" w:sz="0" w:space="0" w:color="auto"/>
            <w:left w:val="none" w:sz="0" w:space="0" w:color="auto"/>
            <w:bottom w:val="none" w:sz="0" w:space="0" w:color="auto"/>
            <w:right w:val="none" w:sz="0" w:space="0" w:color="auto"/>
          </w:divBdr>
        </w:div>
        <w:div w:id="1969242920">
          <w:marLeft w:val="0"/>
          <w:marRight w:val="0"/>
          <w:marTop w:val="0"/>
          <w:marBottom w:val="0"/>
          <w:divBdr>
            <w:top w:val="none" w:sz="0" w:space="0" w:color="auto"/>
            <w:left w:val="none" w:sz="0" w:space="0" w:color="auto"/>
            <w:bottom w:val="none" w:sz="0" w:space="0" w:color="auto"/>
            <w:right w:val="none" w:sz="0" w:space="0" w:color="auto"/>
          </w:divBdr>
        </w:div>
        <w:div w:id="1971550684">
          <w:marLeft w:val="0"/>
          <w:marRight w:val="0"/>
          <w:marTop w:val="0"/>
          <w:marBottom w:val="0"/>
          <w:divBdr>
            <w:top w:val="none" w:sz="0" w:space="0" w:color="auto"/>
            <w:left w:val="none" w:sz="0" w:space="0" w:color="auto"/>
            <w:bottom w:val="none" w:sz="0" w:space="0" w:color="auto"/>
            <w:right w:val="none" w:sz="0" w:space="0" w:color="auto"/>
          </w:divBdr>
        </w:div>
        <w:div w:id="1990748971">
          <w:marLeft w:val="0"/>
          <w:marRight w:val="0"/>
          <w:marTop w:val="0"/>
          <w:marBottom w:val="0"/>
          <w:divBdr>
            <w:top w:val="none" w:sz="0" w:space="0" w:color="auto"/>
            <w:left w:val="none" w:sz="0" w:space="0" w:color="auto"/>
            <w:bottom w:val="none" w:sz="0" w:space="0" w:color="auto"/>
            <w:right w:val="none" w:sz="0" w:space="0" w:color="auto"/>
          </w:divBdr>
        </w:div>
        <w:div w:id="2088065298">
          <w:marLeft w:val="0"/>
          <w:marRight w:val="0"/>
          <w:marTop w:val="0"/>
          <w:marBottom w:val="0"/>
          <w:divBdr>
            <w:top w:val="none" w:sz="0" w:space="0" w:color="auto"/>
            <w:left w:val="none" w:sz="0" w:space="0" w:color="auto"/>
            <w:bottom w:val="none" w:sz="0" w:space="0" w:color="auto"/>
            <w:right w:val="none" w:sz="0" w:space="0" w:color="auto"/>
          </w:divBdr>
        </w:div>
        <w:div w:id="2108965938">
          <w:marLeft w:val="0"/>
          <w:marRight w:val="0"/>
          <w:marTop w:val="0"/>
          <w:marBottom w:val="0"/>
          <w:divBdr>
            <w:top w:val="none" w:sz="0" w:space="0" w:color="auto"/>
            <w:left w:val="none" w:sz="0" w:space="0" w:color="auto"/>
            <w:bottom w:val="none" w:sz="0" w:space="0" w:color="auto"/>
            <w:right w:val="none" w:sz="0" w:space="0" w:color="auto"/>
          </w:divBdr>
        </w:div>
      </w:divsChild>
    </w:div>
    <w:div w:id="855270391">
      <w:bodyDiv w:val="1"/>
      <w:marLeft w:val="0"/>
      <w:marRight w:val="0"/>
      <w:marTop w:val="0"/>
      <w:marBottom w:val="0"/>
      <w:divBdr>
        <w:top w:val="none" w:sz="0" w:space="0" w:color="auto"/>
        <w:left w:val="none" w:sz="0" w:space="0" w:color="auto"/>
        <w:bottom w:val="none" w:sz="0" w:space="0" w:color="auto"/>
        <w:right w:val="none" w:sz="0" w:space="0" w:color="auto"/>
      </w:divBdr>
    </w:div>
    <w:div w:id="881597487">
      <w:bodyDiv w:val="1"/>
      <w:marLeft w:val="0"/>
      <w:marRight w:val="0"/>
      <w:marTop w:val="0"/>
      <w:marBottom w:val="0"/>
      <w:divBdr>
        <w:top w:val="none" w:sz="0" w:space="0" w:color="auto"/>
        <w:left w:val="none" w:sz="0" w:space="0" w:color="auto"/>
        <w:bottom w:val="none" w:sz="0" w:space="0" w:color="auto"/>
        <w:right w:val="none" w:sz="0" w:space="0" w:color="auto"/>
      </w:divBdr>
    </w:div>
    <w:div w:id="938562932">
      <w:bodyDiv w:val="1"/>
      <w:marLeft w:val="0"/>
      <w:marRight w:val="0"/>
      <w:marTop w:val="0"/>
      <w:marBottom w:val="0"/>
      <w:divBdr>
        <w:top w:val="none" w:sz="0" w:space="0" w:color="auto"/>
        <w:left w:val="none" w:sz="0" w:space="0" w:color="auto"/>
        <w:bottom w:val="none" w:sz="0" w:space="0" w:color="auto"/>
        <w:right w:val="none" w:sz="0" w:space="0" w:color="auto"/>
      </w:divBdr>
    </w:div>
    <w:div w:id="943195036">
      <w:bodyDiv w:val="1"/>
      <w:marLeft w:val="0"/>
      <w:marRight w:val="0"/>
      <w:marTop w:val="0"/>
      <w:marBottom w:val="0"/>
      <w:divBdr>
        <w:top w:val="none" w:sz="0" w:space="0" w:color="auto"/>
        <w:left w:val="none" w:sz="0" w:space="0" w:color="auto"/>
        <w:bottom w:val="none" w:sz="0" w:space="0" w:color="auto"/>
        <w:right w:val="none" w:sz="0" w:space="0" w:color="auto"/>
      </w:divBdr>
      <w:divsChild>
        <w:div w:id="51201120">
          <w:marLeft w:val="0"/>
          <w:marRight w:val="0"/>
          <w:marTop w:val="0"/>
          <w:marBottom w:val="0"/>
          <w:divBdr>
            <w:top w:val="none" w:sz="0" w:space="0" w:color="auto"/>
            <w:left w:val="none" w:sz="0" w:space="0" w:color="auto"/>
            <w:bottom w:val="none" w:sz="0" w:space="0" w:color="auto"/>
            <w:right w:val="none" w:sz="0" w:space="0" w:color="auto"/>
          </w:divBdr>
        </w:div>
      </w:divsChild>
    </w:div>
    <w:div w:id="957953990">
      <w:bodyDiv w:val="1"/>
      <w:marLeft w:val="0"/>
      <w:marRight w:val="0"/>
      <w:marTop w:val="0"/>
      <w:marBottom w:val="0"/>
      <w:divBdr>
        <w:top w:val="none" w:sz="0" w:space="0" w:color="auto"/>
        <w:left w:val="none" w:sz="0" w:space="0" w:color="auto"/>
        <w:bottom w:val="none" w:sz="0" w:space="0" w:color="auto"/>
        <w:right w:val="none" w:sz="0" w:space="0" w:color="auto"/>
      </w:divBdr>
    </w:div>
    <w:div w:id="964383401">
      <w:bodyDiv w:val="1"/>
      <w:marLeft w:val="0"/>
      <w:marRight w:val="0"/>
      <w:marTop w:val="0"/>
      <w:marBottom w:val="0"/>
      <w:divBdr>
        <w:top w:val="none" w:sz="0" w:space="0" w:color="auto"/>
        <w:left w:val="none" w:sz="0" w:space="0" w:color="auto"/>
        <w:bottom w:val="none" w:sz="0" w:space="0" w:color="auto"/>
        <w:right w:val="none" w:sz="0" w:space="0" w:color="auto"/>
      </w:divBdr>
    </w:div>
    <w:div w:id="1054616648">
      <w:bodyDiv w:val="1"/>
      <w:marLeft w:val="0"/>
      <w:marRight w:val="0"/>
      <w:marTop w:val="0"/>
      <w:marBottom w:val="0"/>
      <w:divBdr>
        <w:top w:val="none" w:sz="0" w:space="0" w:color="auto"/>
        <w:left w:val="none" w:sz="0" w:space="0" w:color="auto"/>
        <w:bottom w:val="none" w:sz="0" w:space="0" w:color="auto"/>
        <w:right w:val="none" w:sz="0" w:space="0" w:color="auto"/>
      </w:divBdr>
    </w:div>
    <w:div w:id="1165165659">
      <w:bodyDiv w:val="1"/>
      <w:marLeft w:val="0"/>
      <w:marRight w:val="0"/>
      <w:marTop w:val="0"/>
      <w:marBottom w:val="0"/>
      <w:divBdr>
        <w:top w:val="none" w:sz="0" w:space="0" w:color="auto"/>
        <w:left w:val="none" w:sz="0" w:space="0" w:color="auto"/>
        <w:bottom w:val="none" w:sz="0" w:space="0" w:color="auto"/>
        <w:right w:val="none" w:sz="0" w:space="0" w:color="auto"/>
      </w:divBdr>
    </w:div>
    <w:div w:id="1267227738">
      <w:bodyDiv w:val="1"/>
      <w:marLeft w:val="0"/>
      <w:marRight w:val="0"/>
      <w:marTop w:val="0"/>
      <w:marBottom w:val="0"/>
      <w:divBdr>
        <w:top w:val="none" w:sz="0" w:space="0" w:color="auto"/>
        <w:left w:val="none" w:sz="0" w:space="0" w:color="auto"/>
        <w:bottom w:val="none" w:sz="0" w:space="0" w:color="auto"/>
        <w:right w:val="none" w:sz="0" w:space="0" w:color="auto"/>
      </w:divBdr>
    </w:div>
    <w:div w:id="1314916589">
      <w:bodyDiv w:val="1"/>
      <w:marLeft w:val="0"/>
      <w:marRight w:val="0"/>
      <w:marTop w:val="0"/>
      <w:marBottom w:val="0"/>
      <w:divBdr>
        <w:top w:val="none" w:sz="0" w:space="0" w:color="auto"/>
        <w:left w:val="none" w:sz="0" w:space="0" w:color="auto"/>
        <w:bottom w:val="none" w:sz="0" w:space="0" w:color="auto"/>
        <w:right w:val="none" w:sz="0" w:space="0" w:color="auto"/>
      </w:divBdr>
    </w:div>
    <w:div w:id="1380740596">
      <w:bodyDiv w:val="1"/>
      <w:marLeft w:val="0"/>
      <w:marRight w:val="0"/>
      <w:marTop w:val="0"/>
      <w:marBottom w:val="0"/>
      <w:divBdr>
        <w:top w:val="none" w:sz="0" w:space="0" w:color="auto"/>
        <w:left w:val="none" w:sz="0" w:space="0" w:color="auto"/>
        <w:bottom w:val="none" w:sz="0" w:space="0" w:color="auto"/>
        <w:right w:val="none" w:sz="0" w:space="0" w:color="auto"/>
      </w:divBdr>
    </w:div>
    <w:div w:id="1418360582">
      <w:bodyDiv w:val="1"/>
      <w:marLeft w:val="0"/>
      <w:marRight w:val="0"/>
      <w:marTop w:val="0"/>
      <w:marBottom w:val="0"/>
      <w:divBdr>
        <w:top w:val="none" w:sz="0" w:space="0" w:color="auto"/>
        <w:left w:val="none" w:sz="0" w:space="0" w:color="auto"/>
        <w:bottom w:val="none" w:sz="0" w:space="0" w:color="auto"/>
        <w:right w:val="none" w:sz="0" w:space="0" w:color="auto"/>
      </w:divBdr>
    </w:div>
    <w:div w:id="1432357853">
      <w:bodyDiv w:val="1"/>
      <w:marLeft w:val="0"/>
      <w:marRight w:val="0"/>
      <w:marTop w:val="0"/>
      <w:marBottom w:val="0"/>
      <w:divBdr>
        <w:top w:val="none" w:sz="0" w:space="0" w:color="auto"/>
        <w:left w:val="none" w:sz="0" w:space="0" w:color="auto"/>
        <w:bottom w:val="none" w:sz="0" w:space="0" w:color="auto"/>
        <w:right w:val="none" w:sz="0" w:space="0" w:color="auto"/>
      </w:divBdr>
    </w:div>
    <w:div w:id="1504977961">
      <w:bodyDiv w:val="1"/>
      <w:marLeft w:val="0"/>
      <w:marRight w:val="0"/>
      <w:marTop w:val="0"/>
      <w:marBottom w:val="0"/>
      <w:divBdr>
        <w:top w:val="none" w:sz="0" w:space="0" w:color="auto"/>
        <w:left w:val="none" w:sz="0" w:space="0" w:color="auto"/>
        <w:bottom w:val="none" w:sz="0" w:space="0" w:color="auto"/>
        <w:right w:val="none" w:sz="0" w:space="0" w:color="auto"/>
      </w:divBdr>
    </w:div>
    <w:div w:id="1651404282">
      <w:bodyDiv w:val="1"/>
      <w:marLeft w:val="0"/>
      <w:marRight w:val="0"/>
      <w:marTop w:val="0"/>
      <w:marBottom w:val="0"/>
      <w:divBdr>
        <w:top w:val="none" w:sz="0" w:space="0" w:color="auto"/>
        <w:left w:val="none" w:sz="0" w:space="0" w:color="auto"/>
        <w:bottom w:val="none" w:sz="0" w:space="0" w:color="auto"/>
        <w:right w:val="none" w:sz="0" w:space="0" w:color="auto"/>
      </w:divBdr>
    </w:div>
    <w:div w:id="1747065783">
      <w:bodyDiv w:val="1"/>
      <w:marLeft w:val="0"/>
      <w:marRight w:val="0"/>
      <w:marTop w:val="0"/>
      <w:marBottom w:val="0"/>
      <w:divBdr>
        <w:top w:val="none" w:sz="0" w:space="0" w:color="auto"/>
        <w:left w:val="none" w:sz="0" w:space="0" w:color="auto"/>
        <w:bottom w:val="none" w:sz="0" w:space="0" w:color="auto"/>
        <w:right w:val="none" w:sz="0" w:space="0" w:color="auto"/>
      </w:divBdr>
    </w:div>
    <w:div w:id="1838381153">
      <w:bodyDiv w:val="1"/>
      <w:marLeft w:val="0"/>
      <w:marRight w:val="0"/>
      <w:marTop w:val="0"/>
      <w:marBottom w:val="0"/>
      <w:divBdr>
        <w:top w:val="none" w:sz="0" w:space="0" w:color="auto"/>
        <w:left w:val="none" w:sz="0" w:space="0" w:color="auto"/>
        <w:bottom w:val="none" w:sz="0" w:space="0" w:color="auto"/>
        <w:right w:val="none" w:sz="0" w:space="0" w:color="auto"/>
      </w:divBdr>
    </w:div>
    <w:div w:id="1920403244">
      <w:bodyDiv w:val="1"/>
      <w:marLeft w:val="0"/>
      <w:marRight w:val="0"/>
      <w:marTop w:val="0"/>
      <w:marBottom w:val="0"/>
      <w:divBdr>
        <w:top w:val="none" w:sz="0" w:space="0" w:color="auto"/>
        <w:left w:val="none" w:sz="0" w:space="0" w:color="auto"/>
        <w:bottom w:val="none" w:sz="0" w:space="0" w:color="auto"/>
        <w:right w:val="none" w:sz="0" w:space="0" w:color="auto"/>
      </w:divBdr>
    </w:div>
    <w:div w:id="1937904174">
      <w:bodyDiv w:val="1"/>
      <w:marLeft w:val="0"/>
      <w:marRight w:val="0"/>
      <w:marTop w:val="0"/>
      <w:marBottom w:val="0"/>
      <w:divBdr>
        <w:top w:val="none" w:sz="0" w:space="0" w:color="auto"/>
        <w:left w:val="none" w:sz="0" w:space="0" w:color="auto"/>
        <w:bottom w:val="none" w:sz="0" w:space="0" w:color="auto"/>
        <w:right w:val="none" w:sz="0" w:space="0" w:color="auto"/>
      </w:divBdr>
    </w:div>
    <w:div w:id="1938443668">
      <w:bodyDiv w:val="1"/>
      <w:marLeft w:val="0"/>
      <w:marRight w:val="0"/>
      <w:marTop w:val="0"/>
      <w:marBottom w:val="0"/>
      <w:divBdr>
        <w:top w:val="none" w:sz="0" w:space="0" w:color="auto"/>
        <w:left w:val="none" w:sz="0" w:space="0" w:color="auto"/>
        <w:bottom w:val="none" w:sz="0" w:space="0" w:color="auto"/>
        <w:right w:val="none" w:sz="0" w:space="0" w:color="auto"/>
      </w:divBdr>
    </w:div>
    <w:div w:id="1982660835">
      <w:bodyDiv w:val="1"/>
      <w:marLeft w:val="0"/>
      <w:marRight w:val="0"/>
      <w:marTop w:val="0"/>
      <w:marBottom w:val="0"/>
      <w:divBdr>
        <w:top w:val="none" w:sz="0" w:space="0" w:color="auto"/>
        <w:left w:val="none" w:sz="0" w:space="0" w:color="auto"/>
        <w:bottom w:val="none" w:sz="0" w:space="0" w:color="auto"/>
        <w:right w:val="none" w:sz="0" w:space="0" w:color="auto"/>
      </w:divBdr>
    </w:div>
    <w:div w:id="1996951126">
      <w:bodyDiv w:val="1"/>
      <w:marLeft w:val="0"/>
      <w:marRight w:val="0"/>
      <w:marTop w:val="0"/>
      <w:marBottom w:val="0"/>
      <w:divBdr>
        <w:top w:val="none" w:sz="0" w:space="0" w:color="auto"/>
        <w:left w:val="none" w:sz="0" w:space="0" w:color="auto"/>
        <w:bottom w:val="none" w:sz="0" w:space="0" w:color="auto"/>
        <w:right w:val="none" w:sz="0" w:space="0" w:color="auto"/>
      </w:divBdr>
      <w:divsChild>
        <w:div w:id="456490773">
          <w:marLeft w:val="0"/>
          <w:marRight w:val="0"/>
          <w:marTop w:val="0"/>
          <w:marBottom w:val="0"/>
          <w:divBdr>
            <w:top w:val="none" w:sz="0" w:space="0" w:color="auto"/>
            <w:left w:val="none" w:sz="0" w:space="0" w:color="auto"/>
            <w:bottom w:val="none" w:sz="0" w:space="0" w:color="auto"/>
            <w:right w:val="none" w:sz="0" w:space="0" w:color="auto"/>
          </w:divBdr>
        </w:div>
        <w:div w:id="1745567428">
          <w:marLeft w:val="0"/>
          <w:marRight w:val="0"/>
          <w:marTop w:val="0"/>
          <w:marBottom w:val="0"/>
          <w:divBdr>
            <w:top w:val="none" w:sz="0" w:space="0" w:color="auto"/>
            <w:left w:val="none" w:sz="0" w:space="0" w:color="auto"/>
            <w:bottom w:val="none" w:sz="0" w:space="0" w:color="auto"/>
            <w:right w:val="none" w:sz="0" w:space="0" w:color="auto"/>
          </w:divBdr>
        </w:div>
      </w:divsChild>
    </w:div>
    <w:div w:id="2031367820">
      <w:bodyDiv w:val="1"/>
      <w:marLeft w:val="0"/>
      <w:marRight w:val="0"/>
      <w:marTop w:val="0"/>
      <w:marBottom w:val="0"/>
      <w:divBdr>
        <w:top w:val="none" w:sz="0" w:space="0" w:color="auto"/>
        <w:left w:val="none" w:sz="0" w:space="0" w:color="auto"/>
        <w:bottom w:val="none" w:sz="0" w:space="0" w:color="auto"/>
        <w:right w:val="none" w:sz="0" w:space="0" w:color="auto"/>
      </w:divBdr>
    </w:div>
    <w:div w:id="2069331908">
      <w:bodyDiv w:val="1"/>
      <w:marLeft w:val="0"/>
      <w:marRight w:val="0"/>
      <w:marTop w:val="0"/>
      <w:marBottom w:val="0"/>
      <w:divBdr>
        <w:top w:val="none" w:sz="0" w:space="0" w:color="auto"/>
        <w:left w:val="none" w:sz="0" w:space="0" w:color="auto"/>
        <w:bottom w:val="none" w:sz="0" w:space="0" w:color="auto"/>
        <w:right w:val="none" w:sz="0" w:space="0" w:color="auto"/>
      </w:divBdr>
    </w:div>
    <w:div w:id="2071034141">
      <w:bodyDiv w:val="1"/>
      <w:marLeft w:val="0"/>
      <w:marRight w:val="0"/>
      <w:marTop w:val="0"/>
      <w:marBottom w:val="0"/>
      <w:divBdr>
        <w:top w:val="none" w:sz="0" w:space="0" w:color="auto"/>
        <w:left w:val="none" w:sz="0" w:space="0" w:color="auto"/>
        <w:bottom w:val="none" w:sz="0" w:space="0" w:color="auto"/>
        <w:right w:val="none" w:sz="0" w:space="0" w:color="auto"/>
      </w:divBdr>
    </w:div>
    <w:div w:id="2078548597">
      <w:bodyDiv w:val="1"/>
      <w:marLeft w:val="0"/>
      <w:marRight w:val="0"/>
      <w:marTop w:val="0"/>
      <w:marBottom w:val="0"/>
      <w:divBdr>
        <w:top w:val="none" w:sz="0" w:space="0" w:color="auto"/>
        <w:left w:val="none" w:sz="0" w:space="0" w:color="auto"/>
        <w:bottom w:val="none" w:sz="0" w:space="0" w:color="auto"/>
        <w:right w:val="none" w:sz="0" w:space="0" w:color="auto"/>
      </w:divBdr>
      <w:divsChild>
        <w:div w:id="1058549723">
          <w:marLeft w:val="0"/>
          <w:marRight w:val="0"/>
          <w:marTop w:val="0"/>
          <w:marBottom w:val="0"/>
          <w:divBdr>
            <w:top w:val="none" w:sz="0" w:space="0" w:color="auto"/>
            <w:left w:val="none" w:sz="0" w:space="0" w:color="auto"/>
            <w:bottom w:val="none" w:sz="0" w:space="0" w:color="auto"/>
            <w:right w:val="none" w:sz="0" w:space="0" w:color="auto"/>
          </w:divBdr>
        </w:div>
        <w:div w:id="1521312302">
          <w:marLeft w:val="0"/>
          <w:marRight w:val="0"/>
          <w:marTop w:val="0"/>
          <w:marBottom w:val="0"/>
          <w:divBdr>
            <w:top w:val="none" w:sz="0" w:space="0" w:color="auto"/>
            <w:left w:val="none" w:sz="0" w:space="0" w:color="auto"/>
            <w:bottom w:val="none" w:sz="0" w:space="0" w:color="auto"/>
            <w:right w:val="none" w:sz="0" w:space="0" w:color="auto"/>
          </w:divBdr>
          <w:divsChild>
            <w:div w:id="151601620">
              <w:marLeft w:val="0"/>
              <w:marRight w:val="0"/>
              <w:marTop w:val="0"/>
              <w:marBottom w:val="0"/>
              <w:divBdr>
                <w:top w:val="none" w:sz="0" w:space="0" w:color="auto"/>
                <w:left w:val="none" w:sz="0" w:space="0" w:color="auto"/>
                <w:bottom w:val="none" w:sz="0" w:space="0" w:color="auto"/>
                <w:right w:val="none" w:sz="0" w:space="0" w:color="auto"/>
              </w:divBdr>
            </w:div>
            <w:div w:id="174460840">
              <w:marLeft w:val="0"/>
              <w:marRight w:val="0"/>
              <w:marTop w:val="0"/>
              <w:marBottom w:val="0"/>
              <w:divBdr>
                <w:top w:val="none" w:sz="0" w:space="0" w:color="auto"/>
                <w:left w:val="none" w:sz="0" w:space="0" w:color="auto"/>
                <w:bottom w:val="none" w:sz="0" w:space="0" w:color="auto"/>
                <w:right w:val="none" w:sz="0" w:space="0" w:color="auto"/>
              </w:divBdr>
            </w:div>
            <w:div w:id="187184583">
              <w:marLeft w:val="0"/>
              <w:marRight w:val="0"/>
              <w:marTop w:val="0"/>
              <w:marBottom w:val="0"/>
              <w:divBdr>
                <w:top w:val="none" w:sz="0" w:space="0" w:color="auto"/>
                <w:left w:val="none" w:sz="0" w:space="0" w:color="auto"/>
                <w:bottom w:val="none" w:sz="0" w:space="0" w:color="auto"/>
                <w:right w:val="none" w:sz="0" w:space="0" w:color="auto"/>
              </w:divBdr>
            </w:div>
            <w:div w:id="315501298">
              <w:marLeft w:val="0"/>
              <w:marRight w:val="0"/>
              <w:marTop w:val="0"/>
              <w:marBottom w:val="0"/>
              <w:divBdr>
                <w:top w:val="none" w:sz="0" w:space="0" w:color="auto"/>
                <w:left w:val="none" w:sz="0" w:space="0" w:color="auto"/>
                <w:bottom w:val="none" w:sz="0" w:space="0" w:color="auto"/>
                <w:right w:val="none" w:sz="0" w:space="0" w:color="auto"/>
              </w:divBdr>
            </w:div>
            <w:div w:id="506094471">
              <w:marLeft w:val="0"/>
              <w:marRight w:val="0"/>
              <w:marTop w:val="0"/>
              <w:marBottom w:val="0"/>
              <w:divBdr>
                <w:top w:val="none" w:sz="0" w:space="0" w:color="auto"/>
                <w:left w:val="none" w:sz="0" w:space="0" w:color="auto"/>
                <w:bottom w:val="none" w:sz="0" w:space="0" w:color="auto"/>
                <w:right w:val="none" w:sz="0" w:space="0" w:color="auto"/>
              </w:divBdr>
            </w:div>
            <w:div w:id="715932452">
              <w:marLeft w:val="0"/>
              <w:marRight w:val="0"/>
              <w:marTop w:val="0"/>
              <w:marBottom w:val="0"/>
              <w:divBdr>
                <w:top w:val="none" w:sz="0" w:space="0" w:color="auto"/>
                <w:left w:val="none" w:sz="0" w:space="0" w:color="auto"/>
                <w:bottom w:val="none" w:sz="0" w:space="0" w:color="auto"/>
                <w:right w:val="none" w:sz="0" w:space="0" w:color="auto"/>
              </w:divBdr>
            </w:div>
            <w:div w:id="1241720158">
              <w:marLeft w:val="0"/>
              <w:marRight w:val="0"/>
              <w:marTop w:val="0"/>
              <w:marBottom w:val="0"/>
              <w:divBdr>
                <w:top w:val="none" w:sz="0" w:space="0" w:color="auto"/>
                <w:left w:val="none" w:sz="0" w:space="0" w:color="auto"/>
                <w:bottom w:val="none" w:sz="0" w:space="0" w:color="auto"/>
                <w:right w:val="none" w:sz="0" w:space="0" w:color="auto"/>
              </w:divBdr>
            </w:div>
            <w:div w:id="1586764738">
              <w:marLeft w:val="0"/>
              <w:marRight w:val="0"/>
              <w:marTop w:val="0"/>
              <w:marBottom w:val="0"/>
              <w:divBdr>
                <w:top w:val="none" w:sz="0" w:space="0" w:color="auto"/>
                <w:left w:val="none" w:sz="0" w:space="0" w:color="auto"/>
                <w:bottom w:val="none" w:sz="0" w:space="0" w:color="auto"/>
                <w:right w:val="none" w:sz="0" w:space="0" w:color="auto"/>
              </w:divBdr>
            </w:div>
            <w:div w:id="1606495969">
              <w:marLeft w:val="0"/>
              <w:marRight w:val="0"/>
              <w:marTop w:val="0"/>
              <w:marBottom w:val="0"/>
              <w:divBdr>
                <w:top w:val="none" w:sz="0" w:space="0" w:color="auto"/>
                <w:left w:val="none" w:sz="0" w:space="0" w:color="auto"/>
                <w:bottom w:val="none" w:sz="0" w:space="0" w:color="auto"/>
                <w:right w:val="none" w:sz="0" w:space="0" w:color="auto"/>
              </w:divBdr>
            </w:div>
            <w:div w:id="1657607147">
              <w:marLeft w:val="0"/>
              <w:marRight w:val="0"/>
              <w:marTop w:val="0"/>
              <w:marBottom w:val="0"/>
              <w:divBdr>
                <w:top w:val="none" w:sz="0" w:space="0" w:color="auto"/>
                <w:left w:val="none" w:sz="0" w:space="0" w:color="auto"/>
                <w:bottom w:val="none" w:sz="0" w:space="0" w:color="auto"/>
                <w:right w:val="none" w:sz="0" w:space="0" w:color="auto"/>
              </w:divBdr>
            </w:div>
            <w:div w:id="1902280269">
              <w:marLeft w:val="0"/>
              <w:marRight w:val="0"/>
              <w:marTop w:val="0"/>
              <w:marBottom w:val="0"/>
              <w:divBdr>
                <w:top w:val="none" w:sz="0" w:space="0" w:color="auto"/>
                <w:left w:val="none" w:sz="0" w:space="0" w:color="auto"/>
                <w:bottom w:val="none" w:sz="0" w:space="0" w:color="auto"/>
                <w:right w:val="none" w:sz="0" w:space="0" w:color="auto"/>
              </w:divBdr>
            </w:div>
          </w:divsChild>
        </w:div>
        <w:div w:id="1559633323">
          <w:marLeft w:val="0"/>
          <w:marRight w:val="0"/>
          <w:marTop w:val="0"/>
          <w:marBottom w:val="0"/>
          <w:divBdr>
            <w:top w:val="none" w:sz="0" w:space="0" w:color="auto"/>
            <w:left w:val="none" w:sz="0" w:space="0" w:color="auto"/>
            <w:bottom w:val="none" w:sz="0" w:space="0" w:color="auto"/>
            <w:right w:val="none" w:sz="0" w:space="0" w:color="auto"/>
          </w:divBdr>
          <w:divsChild>
            <w:div w:id="981428941">
              <w:marLeft w:val="-75"/>
              <w:marRight w:val="0"/>
              <w:marTop w:val="30"/>
              <w:marBottom w:val="30"/>
              <w:divBdr>
                <w:top w:val="none" w:sz="0" w:space="0" w:color="auto"/>
                <w:left w:val="none" w:sz="0" w:space="0" w:color="auto"/>
                <w:bottom w:val="none" w:sz="0" w:space="0" w:color="auto"/>
                <w:right w:val="none" w:sz="0" w:space="0" w:color="auto"/>
              </w:divBdr>
              <w:divsChild>
                <w:div w:id="265164492">
                  <w:marLeft w:val="0"/>
                  <w:marRight w:val="0"/>
                  <w:marTop w:val="0"/>
                  <w:marBottom w:val="0"/>
                  <w:divBdr>
                    <w:top w:val="none" w:sz="0" w:space="0" w:color="auto"/>
                    <w:left w:val="none" w:sz="0" w:space="0" w:color="auto"/>
                    <w:bottom w:val="none" w:sz="0" w:space="0" w:color="auto"/>
                    <w:right w:val="none" w:sz="0" w:space="0" w:color="auto"/>
                  </w:divBdr>
                  <w:divsChild>
                    <w:div w:id="1003817174">
                      <w:marLeft w:val="0"/>
                      <w:marRight w:val="0"/>
                      <w:marTop w:val="0"/>
                      <w:marBottom w:val="0"/>
                      <w:divBdr>
                        <w:top w:val="none" w:sz="0" w:space="0" w:color="auto"/>
                        <w:left w:val="none" w:sz="0" w:space="0" w:color="auto"/>
                        <w:bottom w:val="none" w:sz="0" w:space="0" w:color="auto"/>
                        <w:right w:val="none" w:sz="0" w:space="0" w:color="auto"/>
                      </w:divBdr>
                    </w:div>
                  </w:divsChild>
                </w:div>
                <w:div w:id="499810177">
                  <w:marLeft w:val="0"/>
                  <w:marRight w:val="0"/>
                  <w:marTop w:val="0"/>
                  <w:marBottom w:val="0"/>
                  <w:divBdr>
                    <w:top w:val="none" w:sz="0" w:space="0" w:color="auto"/>
                    <w:left w:val="none" w:sz="0" w:space="0" w:color="auto"/>
                    <w:bottom w:val="none" w:sz="0" w:space="0" w:color="auto"/>
                    <w:right w:val="none" w:sz="0" w:space="0" w:color="auto"/>
                  </w:divBdr>
                  <w:divsChild>
                    <w:div w:id="655380319">
                      <w:marLeft w:val="0"/>
                      <w:marRight w:val="0"/>
                      <w:marTop w:val="0"/>
                      <w:marBottom w:val="0"/>
                      <w:divBdr>
                        <w:top w:val="none" w:sz="0" w:space="0" w:color="auto"/>
                        <w:left w:val="none" w:sz="0" w:space="0" w:color="auto"/>
                        <w:bottom w:val="none" w:sz="0" w:space="0" w:color="auto"/>
                        <w:right w:val="none" w:sz="0" w:space="0" w:color="auto"/>
                      </w:divBdr>
                    </w:div>
                  </w:divsChild>
                </w:div>
                <w:div w:id="843325887">
                  <w:marLeft w:val="0"/>
                  <w:marRight w:val="0"/>
                  <w:marTop w:val="0"/>
                  <w:marBottom w:val="0"/>
                  <w:divBdr>
                    <w:top w:val="none" w:sz="0" w:space="0" w:color="auto"/>
                    <w:left w:val="none" w:sz="0" w:space="0" w:color="auto"/>
                    <w:bottom w:val="none" w:sz="0" w:space="0" w:color="auto"/>
                    <w:right w:val="none" w:sz="0" w:space="0" w:color="auto"/>
                  </w:divBdr>
                  <w:divsChild>
                    <w:div w:id="652563887">
                      <w:marLeft w:val="0"/>
                      <w:marRight w:val="0"/>
                      <w:marTop w:val="0"/>
                      <w:marBottom w:val="0"/>
                      <w:divBdr>
                        <w:top w:val="none" w:sz="0" w:space="0" w:color="auto"/>
                        <w:left w:val="none" w:sz="0" w:space="0" w:color="auto"/>
                        <w:bottom w:val="none" w:sz="0" w:space="0" w:color="auto"/>
                        <w:right w:val="none" w:sz="0" w:space="0" w:color="auto"/>
                      </w:divBdr>
                    </w:div>
                  </w:divsChild>
                </w:div>
                <w:div w:id="885489182">
                  <w:marLeft w:val="0"/>
                  <w:marRight w:val="0"/>
                  <w:marTop w:val="0"/>
                  <w:marBottom w:val="0"/>
                  <w:divBdr>
                    <w:top w:val="none" w:sz="0" w:space="0" w:color="auto"/>
                    <w:left w:val="none" w:sz="0" w:space="0" w:color="auto"/>
                    <w:bottom w:val="none" w:sz="0" w:space="0" w:color="auto"/>
                    <w:right w:val="none" w:sz="0" w:space="0" w:color="auto"/>
                  </w:divBdr>
                  <w:divsChild>
                    <w:div w:id="369040721">
                      <w:marLeft w:val="0"/>
                      <w:marRight w:val="0"/>
                      <w:marTop w:val="0"/>
                      <w:marBottom w:val="0"/>
                      <w:divBdr>
                        <w:top w:val="none" w:sz="0" w:space="0" w:color="auto"/>
                        <w:left w:val="none" w:sz="0" w:space="0" w:color="auto"/>
                        <w:bottom w:val="none" w:sz="0" w:space="0" w:color="auto"/>
                        <w:right w:val="none" w:sz="0" w:space="0" w:color="auto"/>
                      </w:divBdr>
                    </w:div>
                  </w:divsChild>
                </w:div>
                <w:div w:id="1713924113">
                  <w:marLeft w:val="0"/>
                  <w:marRight w:val="0"/>
                  <w:marTop w:val="0"/>
                  <w:marBottom w:val="0"/>
                  <w:divBdr>
                    <w:top w:val="none" w:sz="0" w:space="0" w:color="auto"/>
                    <w:left w:val="none" w:sz="0" w:space="0" w:color="auto"/>
                    <w:bottom w:val="none" w:sz="0" w:space="0" w:color="auto"/>
                    <w:right w:val="none" w:sz="0" w:space="0" w:color="auto"/>
                  </w:divBdr>
                  <w:divsChild>
                    <w:div w:id="16502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auc-word-edit.officeapps.live.com/we/wordeditorframe.aspx?ui=en-US&amp;rs=en-US&amp;wopisrc=https%3A%2F%2Fhealthgov-my.sharepoint.com%2Fpersonal%2Fsiobhan_davies_health_gov_au%2F_vti_bin%2Fwopi.ashx%2Ffiles%2Fe99e7cb6600a480d9a412c4ff78a281f&amp;wdpid=69565631&amp;wdenableroaming=1&amp;mscc=1&amp;wdodb=1&amp;hid=0D9437A1-B069-3000-84BB-883E53070A5F.0&amp;uih=sharepointcom&amp;wdlcid=en-US&amp;jsapi=1&amp;jsapiver=v2&amp;corrid=3cc9c371-5eeb-cda6-6852-dd7a04063627&amp;usid=3cc9c371-5eeb-cda6-6852-dd7a04063627&amp;newsession=1&amp;sftc=1&amp;uihit=docaspx&amp;muv=1&amp;cac=1&amp;sams=1&amp;mtf=1&amp;sfp=1&amp;sdp=1&amp;hch=1&amp;hwfh=1&amp;dchat=1&amp;sc=%7B%22pmo%22%3A%22https%3A%2F%2Fhealthgov-my.sharepoint.com%22%2C%22pmshare%22%3Atrue%7D&amp;ctp=LeastProtected&amp;rct=Normal&amp;wdorigin=Other&amp;instantedit=1&amp;wopicomplete=1&amp;wdredirectionreason=Unified_SingleFlush" TargetMode="External"/><Relationship Id="rId26" Type="http://schemas.openxmlformats.org/officeDocument/2006/relationships/hyperlink" Target="https://www.legislation.gov.au/C1953A00095/latest/text"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tga.gov.au/safety/shortages" TargetMode="External"/><Relationship Id="rId34" Type="http://schemas.openxmlformats.org/officeDocument/2006/relationships/hyperlink" Target="https://www.legislation.gov.au/F2023L00919/latest/text" TargetMode="External"/><Relationship Id="rId42" Type="http://schemas.openxmlformats.org/officeDocument/2006/relationships/hyperlink" Target="https://www.pbs.gov.au/industry/pricing/ministerial-discretion/Ministerial-Discretion-Guidance-Material-for-Statutory-Price-Reductions.pdf"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bs.gov.au/industry/pricing/medicines-supply-security-guarantee/Pharmaceutical-Benefits-Scheme-Minimum-Stockholding-Guidelines-published-21-Oct-2022.pdf" TargetMode="External"/><Relationship Id="rId25" Type="http://schemas.openxmlformats.org/officeDocument/2006/relationships/hyperlink" Target="https://www.tga.gov.au/safety/shortages" TargetMode="External"/><Relationship Id="rId33" Type="http://schemas.openxmlformats.org/officeDocument/2006/relationships/hyperlink" Target="https://www.pbs.gov.au/industry/pricing/medicines-supply-security-guarantee/Minimum-Stockholding-Determination-Request-form-21-October-2022.docx" TargetMode="External"/><Relationship Id="rId38" Type="http://schemas.openxmlformats.org/officeDocument/2006/relationships/hyperlink" Target="https://www.pbs.gov.au/industry/pricing/medicines-supply-security-guarantee/Pharmaceutical-Benefits-Scheme-Minimum-Stockholding-Guidelines-published-21-Oct-2022.pdf"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pbs.gov.au/info/general/medicines-industry-strategic-agreement" TargetMode="External"/><Relationship Id="rId20" Type="http://schemas.openxmlformats.org/officeDocument/2006/relationships/hyperlink" Target="https://www.pbs.gov.au/industry/pricing/medicines-supply-security-guarantee/Pharmaceutical-Benefits-Scheme-Minimum-Stockholding-Guidelines-published-21-Oct-2022.pdf" TargetMode="External"/><Relationship Id="rId29" Type="http://schemas.openxmlformats.org/officeDocument/2006/relationships/hyperlink" Target="https://www.legislation.gov.au/C2021A00139/latest/text" TargetMode="External"/><Relationship Id="rId41" Type="http://schemas.openxmlformats.org/officeDocument/2006/relationships/hyperlink" Target="https://www.legislation.gov.au/C1953A00095/lates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yperlink" Target="https://www.pbs.gov.au/industry/pricing/medicines-supply-security-guarantee/Pharmaceutical-Benefits-Scheme-Minimum-Stockholding-Guidelines-published-21-Oct-2022.pdf" TargetMode="External"/><Relationship Id="rId37" Type="http://schemas.openxmlformats.org/officeDocument/2006/relationships/hyperlink" Target="mailto:pbsstockholding@health.gov.au" TargetMode="External"/><Relationship Id="rId40" Type="http://schemas.openxmlformats.org/officeDocument/2006/relationships/image" Target="media/image3.png"/><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bs.gov.au/info/industry/pricing/designated-brands" TargetMode="External"/><Relationship Id="rId23" Type="http://schemas.openxmlformats.org/officeDocument/2006/relationships/footer" Target="footer4.xml"/><Relationship Id="rId28" Type="http://schemas.openxmlformats.org/officeDocument/2006/relationships/hyperlink" Target="https://www.pbs.gov.au/info/general/medicines-industry-strategic-agreement" TargetMode="External"/><Relationship Id="rId36" Type="http://schemas.openxmlformats.org/officeDocument/2006/relationships/hyperlink" Target="https://www.pbs.gov.au/industry/pricing/medicines-supply-security-guarantee/Notification-Form-for-likely-or-actual-breach-of-minimum-stockholding-requirement.pdf" TargetMode="External"/><Relationship Id="rId10" Type="http://schemas.openxmlformats.org/officeDocument/2006/relationships/header" Target="header2.xml"/><Relationship Id="rId19" Type="http://schemas.openxmlformats.org/officeDocument/2006/relationships/hyperlink" Target="https://auc-word-edit.officeapps.live.com/we/wordeditorframe.aspx?ui=en-US&amp;rs=en-US&amp;wopisrc=https%3A%2F%2Fhealthgov-my.sharepoint.com%2Fpersonal%2Fsiobhan_davies_health_gov_au%2F_vti_bin%2Fwopi.ashx%2Ffiles%2Fe99e7cb6600a480d9a412c4ff78a281f&amp;wdpid=69565631&amp;wdenableroaming=1&amp;mscc=1&amp;wdodb=1&amp;hid=0D9437A1-B069-3000-84BB-883E53070A5F.0&amp;uih=sharepointcom&amp;wdlcid=en-US&amp;jsapi=1&amp;jsapiver=v2&amp;corrid=3cc9c371-5eeb-cda6-6852-dd7a04063627&amp;usid=3cc9c371-5eeb-cda6-6852-dd7a04063627&amp;newsession=1&amp;sftc=1&amp;uihit=docaspx&amp;muv=1&amp;cac=1&amp;sams=1&amp;mtf=1&amp;sfp=1&amp;sdp=1&amp;hch=1&amp;hwfh=1&amp;dchat=1&amp;sc=%7B%22pmo%22%3A%22https%3A%2F%2Fhealthgov-my.sharepoint.com%22%2C%22pmshare%22%3Atrue%7D&amp;ctp=LeastProtected&amp;rct=Normal&amp;wdorigin=Other&amp;instantedit=1&amp;wopicomplete=1&amp;wdredirectionreason=Unified_SingleFlush" TargetMode="External"/><Relationship Id="rId31" Type="http://schemas.openxmlformats.org/officeDocument/2006/relationships/hyperlink" Target="https://www.pbs.gov.au/info/industry/pricing/designated-brands" TargetMode="External"/><Relationship Id="rId44" Type="http://schemas.openxmlformats.org/officeDocument/2006/relationships/hyperlink" Target="https://www.pbs.gov.au/info/industry/pricing/pbs-items/items-exempt-price-reduc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bs.gov.au/industry/pricing/medicines-supply-security-guarantee/Pharmaceutical-Benefits-Scheme-Minimum-Stockholding-Guidelines-published-21-Oct-2022.pdf" TargetMode="External"/><Relationship Id="rId27" Type="http://schemas.openxmlformats.org/officeDocument/2006/relationships/hyperlink" Target="https://www.pbs.gov.au/info/industry/pricing/medicines-supply-security-guarantee" TargetMode="External"/><Relationship Id="rId30" Type="http://schemas.openxmlformats.org/officeDocument/2006/relationships/hyperlink" Target="https://www.legislation.gov.au/F2021L01797/latest/text" TargetMode="External"/><Relationship Id="rId35" Type="http://schemas.openxmlformats.org/officeDocument/2006/relationships/hyperlink" Target="https://www.legislation.gov.au/" TargetMode="External"/><Relationship Id="rId43" Type="http://schemas.openxmlformats.org/officeDocument/2006/relationships/hyperlink" Target="https://www.pbs.gov.au/industry/pricing/price-disclosure-spd/pd-dispute-guidance-material.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46AF-B10C-476C-9543-491928E8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7636</Words>
  <Characters>43529</Characters>
  <Application>Microsoft Office Word</Application>
  <DocSecurity>4</DocSecurity>
  <Lines>362</Lines>
  <Paragraphs>102</Paragraphs>
  <ScaleCrop>false</ScaleCrop>
  <Company/>
  <LinksUpToDate>false</LinksUpToDate>
  <CharactersWithSpaces>51063</CharactersWithSpaces>
  <SharedDoc>false</SharedDoc>
  <HLinks>
    <vt:vector size="324" baseType="variant">
      <vt:variant>
        <vt:i4>720972</vt:i4>
      </vt:variant>
      <vt:variant>
        <vt:i4>156</vt:i4>
      </vt:variant>
      <vt:variant>
        <vt:i4>0</vt:i4>
      </vt:variant>
      <vt:variant>
        <vt:i4>5</vt:i4>
      </vt:variant>
      <vt:variant>
        <vt:lpwstr>https://www.pbs.gov.au/info/industry/pricing/pbs-items/items-exempt-price-reductions</vt:lpwstr>
      </vt:variant>
      <vt:variant>
        <vt:lpwstr/>
      </vt:variant>
      <vt:variant>
        <vt:i4>5898330</vt:i4>
      </vt:variant>
      <vt:variant>
        <vt:i4>153</vt:i4>
      </vt:variant>
      <vt:variant>
        <vt:i4>0</vt:i4>
      </vt:variant>
      <vt:variant>
        <vt:i4>5</vt:i4>
      </vt:variant>
      <vt:variant>
        <vt:lpwstr>https://www.pbs.gov.au/industry/pricing/price-disclosure-spd/pd-dispute-guidance-material.pdf</vt:lpwstr>
      </vt:variant>
      <vt:variant>
        <vt:lpwstr/>
      </vt:variant>
      <vt:variant>
        <vt:i4>2359423</vt:i4>
      </vt:variant>
      <vt:variant>
        <vt:i4>150</vt:i4>
      </vt:variant>
      <vt:variant>
        <vt:i4>0</vt:i4>
      </vt:variant>
      <vt:variant>
        <vt:i4>5</vt:i4>
      </vt:variant>
      <vt:variant>
        <vt:lpwstr>https://www.pbs.gov.au/industry/pricing/ministerial-discretion/Ministerial-Discretion-Guidance-Material-for-Statutory-Price-Reductions.pdf</vt:lpwstr>
      </vt:variant>
      <vt:variant>
        <vt:lpwstr/>
      </vt:variant>
      <vt:variant>
        <vt:i4>2097214</vt:i4>
      </vt:variant>
      <vt:variant>
        <vt:i4>147</vt:i4>
      </vt:variant>
      <vt:variant>
        <vt:i4>0</vt:i4>
      </vt:variant>
      <vt:variant>
        <vt:i4>5</vt:i4>
      </vt:variant>
      <vt:variant>
        <vt:lpwstr>https://www.legislation.gov.au/C1953A00095/latest/text</vt:lpwstr>
      </vt:variant>
      <vt:variant>
        <vt:lpwstr/>
      </vt:variant>
      <vt:variant>
        <vt:i4>5308445</vt:i4>
      </vt:variant>
      <vt:variant>
        <vt:i4>144</vt:i4>
      </vt:variant>
      <vt:variant>
        <vt:i4>0</vt:i4>
      </vt:variant>
      <vt:variant>
        <vt:i4>5</vt:i4>
      </vt:variant>
      <vt:variant>
        <vt:lpwstr>https://www.pbs.gov.au/industry/pricing/medicines-supply-security-guarantee/Pharmaceutical-Benefits-Scheme-Minimum-Stockholding-Guidelines-published-21-Oct-2022.pdf</vt:lpwstr>
      </vt:variant>
      <vt:variant>
        <vt:lpwstr/>
      </vt:variant>
      <vt:variant>
        <vt:i4>1769579</vt:i4>
      </vt:variant>
      <vt:variant>
        <vt:i4>141</vt:i4>
      </vt:variant>
      <vt:variant>
        <vt:i4>0</vt:i4>
      </vt:variant>
      <vt:variant>
        <vt:i4>5</vt:i4>
      </vt:variant>
      <vt:variant>
        <vt:lpwstr>mailto:pbsstockholding@health.gov.au</vt:lpwstr>
      </vt:variant>
      <vt:variant>
        <vt:lpwstr/>
      </vt:variant>
      <vt:variant>
        <vt:i4>851998</vt:i4>
      </vt:variant>
      <vt:variant>
        <vt:i4>138</vt:i4>
      </vt:variant>
      <vt:variant>
        <vt:i4>0</vt:i4>
      </vt:variant>
      <vt:variant>
        <vt:i4>5</vt:i4>
      </vt:variant>
      <vt:variant>
        <vt:lpwstr>https://www.pbs.gov.au/industry/pricing/medicines-supply-security-guarantee/Notification-Form-for-likely-or-actual-breach-of-minimum-stockholding-requirement.pdf</vt:lpwstr>
      </vt:variant>
      <vt:variant>
        <vt:lpwstr/>
      </vt:variant>
      <vt:variant>
        <vt:i4>2687022</vt:i4>
      </vt:variant>
      <vt:variant>
        <vt:i4>135</vt:i4>
      </vt:variant>
      <vt:variant>
        <vt:i4>0</vt:i4>
      </vt:variant>
      <vt:variant>
        <vt:i4>5</vt:i4>
      </vt:variant>
      <vt:variant>
        <vt:lpwstr>https://www.legislation.gov.au/</vt:lpwstr>
      </vt:variant>
      <vt:variant>
        <vt:lpwstr/>
      </vt:variant>
      <vt:variant>
        <vt:i4>2687039</vt:i4>
      </vt:variant>
      <vt:variant>
        <vt:i4>132</vt:i4>
      </vt:variant>
      <vt:variant>
        <vt:i4>0</vt:i4>
      </vt:variant>
      <vt:variant>
        <vt:i4>5</vt:i4>
      </vt:variant>
      <vt:variant>
        <vt:lpwstr>https://www.legislation.gov.au/F2023L00919/latest/text</vt:lpwstr>
      </vt:variant>
      <vt:variant>
        <vt:lpwstr/>
      </vt:variant>
      <vt:variant>
        <vt:i4>655429</vt:i4>
      </vt:variant>
      <vt:variant>
        <vt:i4>129</vt:i4>
      </vt:variant>
      <vt:variant>
        <vt:i4>0</vt:i4>
      </vt:variant>
      <vt:variant>
        <vt:i4>5</vt:i4>
      </vt:variant>
      <vt:variant>
        <vt:lpwstr>https://www.pbs.gov.au/industry/pricing/medicines-supply-security-guarantee/Minimum-Stockholding-Determination-Request-form-21-October-2022.docx</vt:lpwstr>
      </vt:variant>
      <vt:variant>
        <vt:lpwstr/>
      </vt:variant>
      <vt:variant>
        <vt:i4>40</vt:i4>
      </vt:variant>
      <vt:variant>
        <vt:i4>126</vt:i4>
      </vt:variant>
      <vt:variant>
        <vt:i4>0</vt:i4>
      </vt:variant>
      <vt:variant>
        <vt:i4>5</vt:i4>
      </vt:variant>
      <vt:variant>
        <vt:lpwstr/>
      </vt:variant>
      <vt:variant>
        <vt:lpwstr>_Price_disclosure_(PD)</vt:lpwstr>
      </vt:variant>
      <vt:variant>
        <vt:i4>1179680</vt:i4>
      </vt:variant>
      <vt:variant>
        <vt:i4>123</vt:i4>
      </vt:variant>
      <vt:variant>
        <vt:i4>0</vt:i4>
      </vt:variant>
      <vt:variant>
        <vt:i4>5</vt:i4>
      </vt:variant>
      <vt:variant>
        <vt:lpwstr/>
      </vt:variant>
      <vt:variant>
        <vt:lpwstr>_Ministerial_determination_of</vt:lpwstr>
      </vt:variant>
      <vt:variant>
        <vt:i4>5308445</vt:i4>
      </vt:variant>
      <vt:variant>
        <vt:i4>120</vt:i4>
      </vt:variant>
      <vt:variant>
        <vt:i4>0</vt:i4>
      </vt:variant>
      <vt:variant>
        <vt:i4>5</vt:i4>
      </vt:variant>
      <vt:variant>
        <vt:lpwstr>https://www.pbs.gov.au/industry/pricing/medicines-supply-security-guarantee/Pharmaceutical-Benefits-Scheme-Minimum-Stockholding-Guidelines-published-21-Oct-2022.pdf</vt:lpwstr>
      </vt:variant>
      <vt:variant>
        <vt:lpwstr/>
      </vt:variant>
      <vt:variant>
        <vt:i4>2228323</vt:i4>
      </vt:variant>
      <vt:variant>
        <vt:i4>117</vt:i4>
      </vt:variant>
      <vt:variant>
        <vt:i4>0</vt:i4>
      </vt:variant>
      <vt:variant>
        <vt:i4>5</vt:i4>
      </vt:variant>
      <vt:variant>
        <vt:lpwstr/>
      </vt:variant>
      <vt:variant>
        <vt:lpwstr>_Attachment_2:_PBS_1</vt:lpwstr>
      </vt:variant>
      <vt:variant>
        <vt:i4>40</vt:i4>
      </vt:variant>
      <vt:variant>
        <vt:i4>114</vt:i4>
      </vt:variant>
      <vt:variant>
        <vt:i4>0</vt:i4>
      </vt:variant>
      <vt:variant>
        <vt:i4>5</vt:i4>
      </vt:variant>
      <vt:variant>
        <vt:lpwstr/>
      </vt:variant>
      <vt:variant>
        <vt:lpwstr>_Price_disclosure_(PD)</vt:lpwstr>
      </vt:variant>
      <vt:variant>
        <vt:i4>2556027</vt:i4>
      </vt:variant>
      <vt:variant>
        <vt:i4>111</vt:i4>
      </vt:variant>
      <vt:variant>
        <vt:i4>0</vt:i4>
      </vt:variant>
      <vt:variant>
        <vt:i4>5</vt:i4>
      </vt:variant>
      <vt:variant>
        <vt:lpwstr>https://www.pbs.gov.au/info/industry/pricing/designated-brands</vt:lpwstr>
      </vt:variant>
      <vt:variant>
        <vt:lpwstr/>
      </vt:variant>
      <vt:variant>
        <vt:i4>2818102</vt:i4>
      </vt:variant>
      <vt:variant>
        <vt:i4>108</vt:i4>
      </vt:variant>
      <vt:variant>
        <vt:i4>0</vt:i4>
      </vt:variant>
      <vt:variant>
        <vt:i4>5</vt:i4>
      </vt:variant>
      <vt:variant>
        <vt:lpwstr>https://www.legislation.gov.au/F2021L01797/latest/text</vt:lpwstr>
      </vt:variant>
      <vt:variant>
        <vt:lpwstr/>
      </vt:variant>
      <vt:variant>
        <vt:i4>2490416</vt:i4>
      </vt:variant>
      <vt:variant>
        <vt:i4>105</vt:i4>
      </vt:variant>
      <vt:variant>
        <vt:i4>0</vt:i4>
      </vt:variant>
      <vt:variant>
        <vt:i4>5</vt:i4>
      </vt:variant>
      <vt:variant>
        <vt:lpwstr>https://www.legislation.gov.au/C2021A00139/latest/text</vt:lpwstr>
      </vt:variant>
      <vt:variant>
        <vt:lpwstr/>
      </vt:variant>
      <vt:variant>
        <vt:i4>7995466</vt:i4>
      </vt:variant>
      <vt:variant>
        <vt:i4>102</vt:i4>
      </vt:variant>
      <vt:variant>
        <vt:i4>0</vt:i4>
      </vt:variant>
      <vt:variant>
        <vt:i4>5</vt:i4>
      </vt:variant>
      <vt:variant>
        <vt:lpwstr/>
      </vt:variant>
      <vt:variant>
        <vt:lpwstr>_Viability_and_the</vt:lpwstr>
      </vt:variant>
      <vt:variant>
        <vt:i4>56</vt:i4>
      </vt:variant>
      <vt:variant>
        <vt:i4>99</vt:i4>
      </vt:variant>
      <vt:variant>
        <vt:i4>0</vt:i4>
      </vt:variant>
      <vt:variant>
        <vt:i4>5</vt:i4>
      </vt:variant>
      <vt:variant>
        <vt:lpwstr/>
      </vt:variant>
      <vt:variant>
        <vt:lpwstr>_The_Minimum_Stockholding</vt:lpwstr>
      </vt:variant>
      <vt:variant>
        <vt:i4>7536745</vt:i4>
      </vt:variant>
      <vt:variant>
        <vt:i4>96</vt:i4>
      </vt:variant>
      <vt:variant>
        <vt:i4>0</vt:i4>
      </vt:variant>
      <vt:variant>
        <vt:i4>5</vt:i4>
      </vt:variant>
      <vt:variant>
        <vt:lpwstr>https://www.pbs.gov.au/info/general/medicines-industry-strategic-agreement</vt:lpwstr>
      </vt:variant>
      <vt:variant>
        <vt:lpwstr/>
      </vt:variant>
      <vt:variant>
        <vt:i4>5373960</vt:i4>
      </vt:variant>
      <vt:variant>
        <vt:i4>93</vt:i4>
      </vt:variant>
      <vt:variant>
        <vt:i4>0</vt:i4>
      </vt:variant>
      <vt:variant>
        <vt:i4>5</vt:i4>
      </vt:variant>
      <vt:variant>
        <vt:lpwstr>https://www.pbs.gov.au/info/industry/pricing/medicines-supply-security-guarantee</vt:lpwstr>
      </vt:variant>
      <vt:variant>
        <vt:lpwstr/>
      </vt:variant>
      <vt:variant>
        <vt:i4>1245244</vt:i4>
      </vt:variant>
      <vt:variant>
        <vt:i4>90</vt:i4>
      </vt:variant>
      <vt:variant>
        <vt:i4>0</vt:i4>
      </vt:variant>
      <vt:variant>
        <vt:i4>5</vt:i4>
      </vt:variant>
      <vt:variant>
        <vt:lpwstr/>
      </vt:variant>
      <vt:variant>
        <vt:lpwstr>_Attachment_2:_PBS</vt:lpwstr>
      </vt:variant>
      <vt:variant>
        <vt:i4>2097214</vt:i4>
      </vt:variant>
      <vt:variant>
        <vt:i4>87</vt:i4>
      </vt:variant>
      <vt:variant>
        <vt:i4>0</vt:i4>
      </vt:variant>
      <vt:variant>
        <vt:i4>5</vt:i4>
      </vt:variant>
      <vt:variant>
        <vt:lpwstr>https://www.legislation.gov.au/C1953A00095/latest/text</vt:lpwstr>
      </vt:variant>
      <vt:variant>
        <vt:lpwstr/>
      </vt:variant>
      <vt:variant>
        <vt:i4>6619256</vt:i4>
      </vt:variant>
      <vt:variant>
        <vt:i4>84</vt:i4>
      </vt:variant>
      <vt:variant>
        <vt:i4>0</vt:i4>
      </vt:variant>
      <vt:variant>
        <vt:i4>5</vt:i4>
      </vt:variant>
      <vt:variant>
        <vt:lpwstr>https://www.tga.gov.au/safety/shortages</vt:lpwstr>
      </vt:variant>
      <vt:variant>
        <vt:lpwstr/>
      </vt:variant>
      <vt:variant>
        <vt:i4>5308445</vt:i4>
      </vt:variant>
      <vt:variant>
        <vt:i4>81</vt:i4>
      </vt:variant>
      <vt:variant>
        <vt:i4>0</vt:i4>
      </vt:variant>
      <vt:variant>
        <vt:i4>5</vt:i4>
      </vt:variant>
      <vt:variant>
        <vt:lpwstr>https://www.pbs.gov.au/industry/pricing/medicines-supply-security-guarantee/Pharmaceutical-Benefits-Scheme-Minimum-Stockholding-Guidelines-published-21-Oct-2022.pdf</vt:lpwstr>
      </vt:variant>
      <vt:variant>
        <vt:lpwstr/>
      </vt:variant>
      <vt:variant>
        <vt:i4>6619256</vt:i4>
      </vt:variant>
      <vt:variant>
        <vt:i4>78</vt:i4>
      </vt:variant>
      <vt:variant>
        <vt:i4>0</vt:i4>
      </vt:variant>
      <vt:variant>
        <vt:i4>5</vt:i4>
      </vt:variant>
      <vt:variant>
        <vt:lpwstr>https://www.tga.gov.au/safety/shortages</vt:lpwstr>
      </vt:variant>
      <vt:variant>
        <vt:lpwstr/>
      </vt:variant>
      <vt:variant>
        <vt:i4>4849778</vt:i4>
      </vt:variant>
      <vt:variant>
        <vt:i4>75</vt:i4>
      </vt:variant>
      <vt:variant>
        <vt:i4>0</vt:i4>
      </vt:variant>
      <vt:variant>
        <vt:i4>5</vt:i4>
      </vt:variant>
      <vt:variant>
        <vt:lpwstr/>
      </vt:variant>
      <vt:variant>
        <vt:lpwstr>_Requirement_to_notify</vt:lpwstr>
      </vt:variant>
      <vt:variant>
        <vt:i4>7995466</vt:i4>
      </vt:variant>
      <vt:variant>
        <vt:i4>72</vt:i4>
      </vt:variant>
      <vt:variant>
        <vt:i4>0</vt:i4>
      </vt:variant>
      <vt:variant>
        <vt:i4>5</vt:i4>
      </vt:variant>
      <vt:variant>
        <vt:lpwstr/>
      </vt:variant>
      <vt:variant>
        <vt:lpwstr>_Viability_and_the</vt:lpwstr>
      </vt:variant>
      <vt:variant>
        <vt:i4>7995466</vt:i4>
      </vt:variant>
      <vt:variant>
        <vt:i4>69</vt:i4>
      </vt:variant>
      <vt:variant>
        <vt:i4>0</vt:i4>
      </vt:variant>
      <vt:variant>
        <vt:i4>5</vt:i4>
      </vt:variant>
      <vt:variant>
        <vt:lpwstr/>
      </vt:variant>
      <vt:variant>
        <vt:lpwstr>_Viability_and_the</vt:lpwstr>
      </vt:variant>
      <vt:variant>
        <vt:i4>4522064</vt:i4>
      </vt:variant>
      <vt:variant>
        <vt:i4>66</vt:i4>
      </vt:variant>
      <vt:variant>
        <vt:i4>0</vt:i4>
      </vt:variant>
      <vt:variant>
        <vt:i4>5</vt:i4>
      </vt:variant>
      <vt:variant>
        <vt:lpwstr/>
      </vt:variant>
      <vt:variant>
        <vt:lpwstr>_Medicine_shortages</vt:lpwstr>
      </vt:variant>
      <vt:variant>
        <vt:i4>6619245</vt:i4>
      </vt:variant>
      <vt:variant>
        <vt:i4>63</vt:i4>
      </vt:variant>
      <vt:variant>
        <vt:i4>0</vt:i4>
      </vt:variant>
      <vt:variant>
        <vt:i4>5</vt:i4>
      </vt:variant>
      <vt:variant>
        <vt:lpwstr/>
      </vt:variant>
      <vt:variant>
        <vt:lpwstr>_Ministerial_powers</vt:lpwstr>
      </vt:variant>
      <vt:variant>
        <vt:i4>4849778</vt:i4>
      </vt:variant>
      <vt:variant>
        <vt:i4>60</vt:i4>
      </vt:variant>
      <vt:variant>
        <vt:i4>0</vt:i4>
      </vt:variant>
      <vt:variant>
        <vt:i4>5</vt:i4>
      </vt:variant>
      <vt:variant>
        <vt:lpwstr/>
      </vt:variant>
      <vt:variant>
        <vt:lpwstr>_Requirement_to_notify</vt:lpwstr>
      </vt:variant>
      <vt:variant>
        <vt:i4>3670072</vt:i4>
      </vt:variant>
      <vt:variant>
        <vt:i4>57</vt:i4>
      </vt:variant>
      <vt:variant>
        <vt:i4>0</vt:i4>
      </vt:variant>
      <vt:variant>
        <vt:i4>5</vt:i4>
      </vt:variant>
      <vt:variant>
        <vt:lpwstr/>
      </vt:variant>
      <vt:variant>
        <vt:lpwstr>_Stockholding_disclosures</vt:lpwstr>
      </vt:variant>
      <vt:variant>
        <vt:i4>5308445</vt:i4>
      </vt:variant>
      <vt:variant>
        <vt:i4>54</vt:i4>
      </vt:variant>
      <vt:variant>
        <vt:i4>0</vt:i4>
      </vt:variant>
      <vt:variant>
        <vt:i4>5</vt:i4>
      </vt:variant>
      <vt:variant>
        <vt:lpwstr>https://www.pbs.gov.au/industry/pricing/medicines-supply-security-guarantee/Pharmaceutical-Benefits-Scheme-Minimum-Stockholding-Guidelines-published-21-Oct-2022.pdf</vt:lpwstr>
      </vt:variant>
      <vt:variant>
        <vt:lpwstr/>
      </vt:variant>
      <vt:variant>
        <vt:i4>1179680</vt:i4>
      </vt:variant>
      <vt:variant>
        <vt:i4>51</vt:i4>
      </vt:variant>
      <vt:variant>
        <vt:i4>0</vt:i4>
      </vt:variant>
      <vt:variant>
        <vt:i4>5</vt:i4>
      </vt:variant>
      <vt:variant>
        <vt:lpwstr/>
      </vt:variant>
      <vt:variant>
        <vt:lpwstr>_Ministerial_determination_of</vt:lpwstr>
      </vt:variant>
      <vt:variant>
        <vt:i4>4849778</vt:i4>
      </vt:variant>
      <vt:variant>
        <vt:i4>48</vt:i4>
      </vt:variant>
      <vt:variant>
        <vt:i4>0</vt:i4>
      </vt:variant>
      <vt:variant>
        <vt:i4>5</vt:i4>
      </vt:variant>
      <vt:variant>
        <vt:lpwstr/>
      </vt:variant>
      <vt:variant>
        <vt:lpwstr>_Requirement_to_notify</vt:lpwstr>
      </vt:variant>
      <vt:variant>
        <vt:i4>6619245</vt:i4>
      </vt:variant>
      <vt:variant>
        <vt:i4>45</vt:i4>
      </vt:variant>
      <vt:variant>
        <vt:i4>0</vt:i4>
      </vt:variant>
      <vt:variant>
        <vt:i4>5</vt:i4>
      </vt:variant>
      <vt:variant>
        <vt:lpwstr/>
      </vt:variant>
      <vt:variant>
        <vt:lpwstr>_Ministerial_powers</vt:lpwstr>
      </vt:variant>
      <vt:variant>
        <vt:i4>2818066</vt:i4>
      </vt:variant>
      <vt:variant>
        <vt:i4>42</vt:i4>
      </vt:variant>
      <vt:variant>
        <vt:i4>0</vt:i4>
      </vt:variant>
      <vt:variant>
        <vt:i4>5</vt:i4>
      </vt:variant>
      <vt:variant>
        <vt:lpwstr/>
      </vt:variant>
      <vt:variant>
        <vt:lpwstr>_Substantive_stockholding_requiremen</vt:lpwstr>
      </vt:variant>
      <vt:variant>
        <vt:i4>4849778</vt:i4>
      </vt:variant>
      <vt:variant>
        <vt:i4>39</vt:i4>
      </vt:variant>
      <vt:variant>
        <vt:i4>0</vt:i4>
      </vt:variant>
      <vt:variant>
        <vt:i4>5</vt:i4>
      </vt:variant>
      <vt:variant>
        <vt:lpwstr/>
      </vt:variant>
      <vt:variant>
        <vt:lpwstr>_Requirement_to_notify</vt:lpwstr>
      </vt:variant>
      <vt:variant>
        <vt:i4>1179680</vt:i4>
      </vt:variant>
      <vt:variant>
        <vt:i4>36</vt:i4>
      </vt:variant>
      <vt:variant>
        <vt:i4>0</vt:i4>
      </vt:variant>
      <vt:variant>
        <vt:i4>5</vt:i4>
      </vt:variant>
      <vt:variant>
        <vt:lpwstr/>
      </vt:variant>
      <vt:variant>
        <vt:lpwstr>_Ministerial_determination_of</vt:lpwstr>
      </vt:variant>
      <vt:variant>
        <vt:i4>7405632</vt:i4>
      </vt:variant>
      <vt:variant>
        <vt:i4>33</vt:i4>
      </vt:variant>
      <vt:variant>
        <vt:i4>0</vt:i4>
      </vt:variant>
      <vt:variant>
        <vt:i4>5</vt:i4>
      </vt:variant>
      <vt:variant>
        <vt:lpwstr/>
      </vt:variant>
      <vt:variant>
        <vt:lpwstr>_Key_performance_indicators</vt:lpwstr>
      </vt:variant>
      <vt:variant>
        <vt:i4>1900659</vt:i4>
      </vt:variant>
      <vt:variant>
        <vt:i4>30</vt:i4>
      </vt:variant>
      <vt:variant>
        <vt:i4>0</vt:i4>
      </vt:variant>
      <vt:variant>
        <vt:i4>5</vt:i4>
      </vt:variant>
      <vt:variant>
        <vt:lpwstr>https://auc-word-edit.officeapps.live.com/we/wordeditorframe.aspx?ui=en-US&amp;rs=en-US&amp;wopisrc=https%3A%2F%2Fhealthgov-my.sharepoint.com%2Fpersonal%2Fsiobhan_davies_health_gov_au%2F_vti_bin%2Fwopi.ashx%2Ffiles%2Fe99e7cb6600a480d9a412c4ff78a281f&amp;wdpid=69565631&amp;wdenableroaming=1&amp;mscc=1&amp;wdodb=1&amp;hid=0D9437A1-B069-3000-84BB-883E53070A5F.0&amp;uih=sharepointcom&amp;wdlcid=en-US&amp;jsapi=1&amp;jsapiver=v2&amp;corrid=3cc9c371-5eeb-cda6-6852-dd7a04063627&amp;usid=3cc9c371-5eeb-cda6-6852-dd7a04063627&amp;newsession=1&amp;sftc=1&amp;uihit=docaspx&amp;muv=1&amp;cac=1&amp;sams=1&amp;mtf=1&amp;sfp=1&amp;sdp=1&amp;hch=1&amp;hwfh=1&amp;dchat=1&amp;sc=%7B%22pmo%22%3A%22https%3A%2F%2Fhealthgov-my.sharepoint.com%22%2C%22pmshare%22%3Atrue%7D&amp;ctp=LeastProtected&amp;rct=Normal&amp;wdorigin=Other&amp;instantedit=1&amp;wopicomplete=1&amp;wdredirectionreason=Unified_SingleFlush</vt:lpwstr>
      </vt:variant>
      <vt:variant>
        <vt:lpwstr>_Submissions:</vt:lpwstr>
      </vt:variant>
      <vt:variant>
        <vt:i4>6160493</vt:i4>
      </vt:variant>
      <vt:variant>
        <vt:i4>27</vt:i4>
      </vt:variant>
      <vt:variant>
        <vt:i4>0</vt:i4>
      </vt:variant>
      <vt:variant>
        <vt:i4>5</vt:i4>
      </vt:variant>
      <vt:variant>
        <vt:lpwstr>https://auc-word-edit.officeapps.live.com/we/wordeditorframe.aspx?ui=en-US&amp;rs=en-US&amp;wopisrc=https%3A%2F%2Fhealthgov-my.sharepoint.com%2Fpersonal%2Fsiobhan_davies_health_gov_au%2F_vti_bin%2Fwopi.ashx%2Ffiles%2Fe99e7cb6600a480d9a412c4ff78a281f&amp;wdpid=69565631&amp;wdenableroaming=1&amp;mscc=1&amp;wdodb=1&amp;hid=0D9437A1-B069-3000-84BB-883E53070A5F.0&amp;uih=sharepointcom&amp;wdlcid=en-US&amp;jsapi=1&amp;jsapiver=v2&amp;corrid=3cc9c371-5eeb-cda6-6852-dd7a04063627&amp;usid=3cc9c371-5eeb-cda6-6852-dd7a04063627&amp;newsession=1&amp;sftc=1&amp;uihit=docaspx&amp;muv=1&amp;cac=1&amp;sams=1&amp;mtf=1&amp;sfp=1&amp;sdp=1&amp;hch=1&amp;hwfh=1&amp;dchat=1&amp;sc=%7B%22pmo%22%3A%22https%3A%2F%2Fhealthgov-my.sharepoint.com%22%2C%22pmshare%22%3Atrue%7D&amp;ctp=LeastProtected&amp;rct=Normal&amp;wdorigin=Other&amp;instantedit=1&amp;wopicomplete=1&amp;wdredirectionreason=Unified_SingleFlush</vt:lpwstr>
      </vt:variant>
      <vt:variant>
        <vt:lpwstr>_Roundtable:</vt:lpwstr>
      </vt:variant>
      <vt:variant>
        <vt:i4>1179680</vt:i4>
      </vt:variant>
      <vt:variant>
        <vt:i4>24</vt:i4>
      </vt:variant>
      <vt:variant>
        <vt:i4>0</vt:i4>
      </vt:variant>
      <vt:variant>
        <vt:i4>5</vt:i4>
      </vt:variant>
      <vt:variant>
        <vt:lpwstr/>
      </vt:variant>
      <vt:variant>
        <vt:lpwstr>_Ministerial_determination_of</vt:lpwstr>
      </vt:variant>
      <vt:variant>
        <vt:i4>2818066</vt:i4>
      </vt:variant>
      <vt:variant>
        <vt:i4>21</vt:i4>
      </vt:variant>
      <vt:variant>
        <vt:i4>0</vt:i4>
      </vt:variant>
      <vt:variant>
        <vt:i4>5</vt:i4>
      </vt:variant>
      <vt:variant>
        <vt:lpwstr/>
      </vt:variant>
      <vt:variant>
        <vt:lpwstr>_Substantive_stockholding_requiremen</vt:lpwstr>
      </vt:variant>
      <vt:variant>
        <vt:i4>4849778</vt:i4>
      </vt:variant>
      <vt:variant>
        <vt:i4>18</vt:i4>
      </vt:variant>
      <vt:variant>
        <vt:i4>0</vt:i4>
      </vt:variant>
      <vt:variant>
        <vt:i4>5</vt:i4>
      </vt:variant>
      <vt:variant>
        <vt:lpwstr/>
      </vt:variant>
      <vt:variant>
        <vt:lpwstr>_Requirement_to_notify</vt:lpwstr>
      </vt:variant>
      <vt:variant>
        <vt:i4>5308445</vt:i4>
      </vt:variant>
      <vt:variant>
        <vt:i4>15</vt:i4>
      </vt:variant>
      <vt:variant>
        <vt:i4>0</vt:i4>
      </vt:variant>
      <vt:variant>
        <vt:i4>5</vt:i4>
      </vt:variant>
      <vt:variant>
        <vt:lpwstr>https://www.pbs.gov.au/industry/pricing/medicines-supply-security-guarantee/Pharmaceutical-Benefits-Scheme-Minimum-Stockholding-Guidelines-published-21-Oct-2022.pdf</vt:lpwstr>
      </vt:variant>
      <vt:variant>
        <vt:lpwstr/>
      </vt:variant>
      <vt:variant>
        <vt:i4>1245244</vt:i4>
      </vt:variant>
      <vt:variant>
        <vt:i4>12</vt:i4>
      </vt:variant>
      <vt:variant>
        <vt:i4>0</vt:i4>
      </vt:variant>
      <vt:variant>
        <vt:i4>5</vt:i4>
      </vt:variant>
      <vt:variant>
        <vt:lpwstr/>
      </vt:variant>
      <vt:variant>
        <vt:lpwstr>_Attachment_2:_PBS</vt:lpwstr>
      </vt:variant>
      <vt:variant>
        <vt:i4>7798864</vt:i4>
      </vt:variant>
      <vt:variant>
        <vt:i4>9</vt:i4>
      </vt:variant>
      <vt:variant>
        <vt:i4>0</vt:i4>
      </vt:variant>
      <vt:variant>
        <vt:i4>5</vt:i4>
      </vt:variant>
      <vt:variant>
        <vt:lpwstr/>
      </vt:variant>
      <vt:variant>
        <vt:lpwstr>_Attachment_1:_Background</vt:lpwstr>
      </vt:variant>
      <vt:variant>
        <vt:i4>7536745</vt:i4>
      </vt:variant>
      <vt:variant>
        <vt:i4>6</vt:i4>
      </vt:variant>
      <vt:variant>
        <vt:i4>0</vt:i4>
      </vt:variant>
      <vt:variant>
        <vt:i4>5</vt:i4>
      </vt:variant>
      <vt:variant>
        <vt:lpwstr>https://www.pbs.gov.au/info/general/medicines-industry-strategic-agreement</vt:lpwstr>
      </vt:variant>
      <vt:variant>
        <vt:lpwstr/>
      </vt:variant>
      <vt:variant>
        <vt:i4>589874</vt:i4>
      </vt:variant>
      <vt:variant>
        <vt:i4>3</vt:i4>
      </vt:variant>
      <vt:variant>
        <vt:i4>0</vt:i4>
      </vt:variant>
      <vt:variant>
        <vt:i4>5</vt:i4>
      </vt:variant>
      <vt:variant>
        <vt:lpwstr/>
      </vt:variant>
      <vt:variant>
        <vt:lpwstr>_The_Medicines_Supply</vt:lpwstr>
      </vt:variant>
      <vt:variant>
        <vt:i4>2556027</vt:i4>
      </vt:variant>
      <vt:variant>
        <vt:i4>0</vt:i4>
      </vt:variant>
      <vt:variant>
        <vt:i4>0</vt:i4>
      </vt:variant>
      <vt:variant>
        <vt:i4>5</vt:i4>
      </vt:variant>
      <vt:variant>
        <vt:lpwstr>https://www.pbs.gov.au/info/industry/pricing/designated-brands</vt:lpwstr>
      </vt:variant>
      <vt:variant>
        <vt:lpwstr/>
      </vt:variant>
      <vt:variant>
        <vt:i4>40</vt:i4>
      </vt:variant>
      <vt:variant>
        <vt:i4>0</vt:i4>
      </vt:variant>
      <vt:variant>
        <vt:i4>0</vt:i4>
      </vt:variant>
      <vt:variant>
        <vt:i4>5</vt:i4>
      </vt:variant>
      <vt:variant>
        <vt:lpwstr/>
      </vt:variant>
      <vt:variant>
        <vt:lpwstr>_Price_disclosure_(PD)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2024-08-26T00:49:00Z</dcterms:created>
  <dcterms:modified xsi:type="dcterms:W3CDTF">2024-08-26T00:49:00Z</dcterms:modified>
</cp:coreProperties>
</file>