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C8641" w14:textId="3BD05D54" w:rsidR="008E2D66" w:rsidRPr="009F2AA4" w:rsidRDefault="007A2BC2" w:rsidP="00921FF3">
      <w:pPr>
        <w:rPr>
          <w:rFonts w:ascii="Arial" w:hAnsi="Arial" w:cs="Arial"/>
          <w:b/>
        </w:rPr>
      </w:pPr>
      <w:r>
        <w:rPr>
          <w:color w:val="FF0000"/>
        </w:rPr>
        <w:t>A</w:t>
      </w:r>
      <w:r w:rsidR="00C214D3">
        <w:rPr>
          <w:color w:val="FF0000"/>
        </w:rPr>
        <w:t xml:space="preserve">n </w:t>
      </w:r>
      <w:r w:rsidR="008E2D66" w:rsidRPr="00D8290D">
        <w:rPr>
          <w:color w:val="FF0000"/>
        </w:rPr>
        <w:t>addendum has been included at the end of the</w:t>
      </w:r>
      <w:r w:rsidR="008E2D66">
        <w:rPr>
          <w:color w:val="FF0000"/>
        </w:rPr>
        <w:t xml:space="preserve"> </w:t>
      </w:r>
      <w:r w:rsidR="00C214D3">
        <w:rPr>
          <w:color w:val="FF0000"/>
        </w:rPr>
        <w:t>document</w:t>
      </w:r>
      <w:r w:rsidR="008E2D66">
        <w:rPr>
          <w:color w:val="FF0000"/>
        </w:rPr>
        <w:t>.</w:t>
      </w:r>
    </w:p>
    <w:p w14:paraId="38F6A719" w14:textId="1753CE8A" w:rsidR="008D540C" w:rsidRPr="008D540C" w:rsidRDefault="008D540C" w:rsidP="008D540C">
      <w:pPr>
        <w:suppressAutoHyphens w:val="0"/>
        <w:ind w:left="709" w:hanging="862"/>
        <w:contextualSpacing/>
        <w:jc w:val="left"/>
        <w:outlineLvl w:val="0"/>
        <w:rPr>
          <w:rFonts w:ascii="Calibri" w:eastAsia="MS Gothic" w:hAnsi="Calibri" w:cs="Times New Roman"/>
          <w:b/>
          <w:spacing w:val="5"/>
          <w:kern w:val="28"/>
          <w:sz w:val="36"/>
          <w:szCs w:val="36"/>
          <w:lang w:eastAsia="en-AU"/>
        </w:rPr>
      </w:pPr>
      <w:r w:rsidRPr="008D540C">
        <w:rPr>
          <w:rFonts w:ascii="Calibri" w:eastAsia="MS Gothic" w:hAnsi="Calibri" w:cs="Times New Roman"/>
          <w:b/>
          <w:spacing w:val="5"/>
          <w:kern w:val="28"/>
          <w:sz w:val="36"/>
          <w:szCs w:val="36"/>
          <w:lang w:eastAsia="en-AU"/>
        </w:rPr>
        <w:t>6.1</w:t>
      </w:r>
      <w:r>
        <w:rPr>
          <w:rFonts w:ascii="Calibri" w:eastAsia="MS Gothic" w:hAnsi="Calibri" w:cs="Times New Roman"/>
          <w:b/>
          <w:spacing w:val="5"/>
          <w:kern w:val="28"/>
          <w:sz w:val="36"/>
          <w:szCs w:val="36"/>
          <w:lang w:eastAsia="en-AU"/>
        </w:rPr>
        <w:t>2</w:t>
      </w:r>
      <w:r w:rsidRPr="008D540C">
        <w:rPr>
          <w:rFonts w:ascii="Calibri" w:eastAsia="MS Gothic" w:hAnsi="Calibri" w:cs="Times New Roman"/>
          <w:b/>
          <w:spacing w:val="5"/>
          <w:kern w:val="28"/>
          <w:sz w:val="36"/>
          <w:szCs w:val="36"/>
          <w:lang w:eastAsia="en-AU"/>
        </w:rPr>
        <w:tab/>
      </w:r>
      <w:r>
        <w:rPr>
          <w:rFonts w:ascii="Calibri" w:eastAsia="MS Gothic" w:hAnsi="Calibri" w:cs="Times New Roman"/>
          <w:b/>
          <w:spacing w:val="5"/>
          <w:kern w:val="28"/>
          <w:sz w:val="36"/>
          <w:szCs w:val="36"/>
          <w:lang w:eastAsia="en-AU"/>
        </w:rPr>
        <w:t>SELPERCATINIB</w:t>
      </w:r>
      <w:r w:rsidRPr="008D540C">
        <w:rPr>
          <w:rFonts w:ascii="Calibri" w:eastAsia="MS Gothic" w:hAnsi="Calibri" w:cs="Times New Roman"/>
          <w:b/>
          <w:spacing w:val="5"/>
          <w:kern w:val="28"/>
          <w:sz w:val="36"/>
          <w:szCs w:val="36"/>
          <w:lang w:eastAsia="en-AU"/>
        </w:rPr>
        <w:t>,</w:t>
      </w:r>
      <w:r w:rsidRPr="008D540C">
        <w:rPr>
          <w:rFonts w:ascii="Calibri" w:eastAsia="MS Gothic" w:hAnsi="Calibri" w:cs="Times New Roman"/>
          <w:b/>
          <w:spacing w:val="5"/>
          <w:kern w:val="28"/>
          <w:sz w:val="36"/>
          <w:szCs w:val="36"/>
          <w:lang w:eastAsia="en-AU"/>
        </w:rPr>
        <w:br/>
      </w:r>
      <w:r>
        <w:rPr>
          <w:rFonts w:ascii="Calibri" w:eastAsia="MS Gothic" w:hAnsi="Calibri" w:cs="Times New Roman"/>
          <w:b/>
          <w:spacing w:val="5"/>
          <w:kern w:val="28"/>
          <w:sz w:val="36"/>
          <w:szCs w:val="36"/>
          <w:lang w:eastAsia="en-AU"/>
        </w:rPr>
        <w:t>Capsule 40</w:t>
      </w:r>
      <w:r w:rsidRPr="008D540C">
        <w:rPr>
          <w:rFonts w:ascii="Calibri" w:eastAsia="MS Gothic" w:hAnsi="Calibri" w:cs="Times New Roman"/>
          <w:b/>
          <w:spacing w:val="5"/>
          <w:kern w:val="28"/>
          <w:sz w:val="36"/>
          <w:szCs w:val="36"/>
          <w:lang w:eastAsia="en-AU"/>
        </w:rPr>
        <w:t xml:space="preserve"> mg,</w:t>
      </w:r>
    </w:p>
    <w:p w14:paraId="69753708" w14:textId="5224B9C0" w:rsidR="008D540C" w:rsidRPr="008D540C" w:rsidRDefault="008D540C" w:rsidP="008D540C">
      <w:pPr>
        <w:suppressAutoHyphens w:val="0"/>
        <w:ind w:left="709"/>
        <w:contextualSpacing/>
        <w:jc w:val="left"/>
        <w:outlineLvl w:val="0"/>
        <w:rPr>
          <w:rFonts w:ascii="Calibri" w:eastAsia="MS Gothic" w:hAnsi="Calibri" w:cs="Times New Roman"/>
          <w:b/>
          <w:spacing w:val="5"/>
          <w:kern w:val="28"/>
          <w:sz w:val="36"/>
          <w:szCs w:val="36"/>
          <w:lang w:eastAsia="en-AU"/>
        </w:rPr>
      </w:pPr>
      <w:r w:rsidRPr="008D540C">
        <w:rPr>
          <w:rFonts w:ascii="Calibri" w:eastAsia="MS Gothic" w:hAnsi="Calibri" w:cs="Times New Roman"/>
          <w:b/>
          <w:spacing w:val="5"/>
          <w:kern w:val="28"/>
          <w:sz w:val="36"/>
          <w:szCs w:val="36"/>
          <w:lang w:eastAsia="en-AU"/>
        </w:rPr>
        <w:t xml:space="preserve">Tablet </w:t>
      </w:r>
      <w:r>
        <w:rPr>
          <w:rFonts w:ascii="Calibri" w:eastAsia="MS Gothic" w:hAnsi="Calibri" w:cs="Times New Roman"/>
          <w:b/>
          <w:spacing w:val="5"/>
          <w:kern w:val="28"/>
          <w:sz w:val="36"/>
          <w:szCs w:val="36"/>
          <w:lang w:eastAsia="en-AU"/>
        </w:rPr>
        <w:t>40</w:t>
      </w:r>
      <w:r w:rsidRPr="008D540C">
        <w:rPr>
          <w:rFonts w:ascii="Calibri" w:eastAsia="MS Gothic" w:hAnsi="Calibri" w:cs="Times New Roman"/>
          <w:b/>
          <w:spacing w:val="5"/>
          <w:kern w:val="28"/>
          <w:sz w:val="36"/>
          <w:szCs w:val="36"/>
          <w:lang w:eastAsia="en-AU"/>
        </w:rPr>
        <w:t xml:space="preserve"> mg,</w:t>
      </w:r>
    </w:p>
    <w:p w14:paraId="50CD1CA6" w14:textId="5EB81FE2" w:rsidR="008D540C" w:rsidRPr="008D540C" w:rsidRDefault="008D540C" w:rsidP="008D540C">
      <w:pPr>
        <w:suppressAutoHyphens w:val="0"/>
        <w:ind w:left="709"/>
        <w:contextualSpacing/>
        <w:jc w:val="left"/>
        <w:outlineLvl w:val="0"/>
        <w:rPr>
          <w:rFonts w:ascii="Calibri" w:eastAsia="MS Gothic" w:hAnsi="Calibri" w:cs="Times New Roman"/>
          <w:b/>
          <w:spacing w:val="5"/>
          <w:kern w:val="28"/>
          <w:sz w:val="36"/>
          <w:szCs w:val="36"/>
          <w:lang w:eastAsia="en-AU"/>
        </w:rPr>
      </w:pPr>
      <w:r>
        <w:rPr>
          <w:rFonts w:ascii="Calibri" w:eastAsia="MS Gothic" w:hAnsi="Calibri" w:cs="Times New Roman"/>
          <w:b/>
          <w:spacing w:val="5"/>
          <w:kern w:val="28"/>
          <w:sz w:val="36"/>
          <w:szCs w:val="36"/>
          <w:lang w:eastAsia="en-AU"/>
        </w:rPr>
        <w:t>Cap</w:t>
      </w:r>
      <w:r w:rsidR="007D1FE3">
        <w:rPr>
          <w:rFonts w:ascii="Calibri" w:eastAsia="MS Gothic" w:hAnsi="Calibri" w:cs="Times New Roman"/>
          <w:b/>
          <w:spacing w:val="5"/>
          <w:kern w:val="28"/>
          <w:sz w:val="36"/>
          <w:szCs w:val="36"/>
          <w:lang w:eastAsia="en-AU"/>
        </w:rPr>
        <w:t>sule 80</w:t>
      </w:r>
      <w:r w:rsidRPr="008D540C">
        <w:rPr>
          <w:rFonts w:ascii="Calibri" w:eastAsia="MS Gothic" w:hAnsi="Calibri" w:cs="Times New Roman"/>
          <w:b/>
          <w:spacing w:val="5"/>
          <w:kern w:val="28"/>
          <w:sz w:val="36"/>
          <w:szCs w:val="36"/>
          <w:lang w:eastAsia="en-AU"/>
        </w:rPr>
        <w:t xml:space="preserve"> mg,</w:t>
      </w:r>
    </w:p>
    <w:p w14:paraId="67D0F7F9" w14:textId="5870851A" w:rsidR="008D540C" w:rsidRPr="008D540C" w:rsidRDefault="008D540C" w:rsidP="008D540C">
      <w:pPr>
        <w:suppressAutoHyphens w:val="0"/>
        <w:ind w:left="709"/>
        <w:contextualSpacing/>
        <w:jc w:val="left"/>
        <w:outlineLvl w:val="0"/>
        <w:rPr>
          <w:rFonts w:ascii="Calibri" w:eastAsia="MS Gothic" w:hAnsi="Calibri" w:cs="Times New Roman"/>
          <w:b/>
          <w:spacing w:val="5"/>
          <w:kern w:val="28"/>
          <w:sz w:val="36"/>
          <w:szCs w:val="36"/>
          <w:lang w:eastAsia="en-AU"/>
        </w:rPr>
      </w:pPr>
      <w:r w:rsidRPr="008D540C">
        <w:rPr>
          <w:rFonts w:ascii="Calibri" w:eastAsia="MS Gothic" w:hAnsi="Calibri" w:cs="Times New Roman"/>
          <w:b/>
          <w:spacing w:val="5"/>
          <w:kern w:val="28"/>
          <w:sz w:val="36"/>
          <w:szCs w:val="36"/>
          <w:lang w:eastAsia="en-AU"/>
        </w:rPr>
        <w:t xml:space="preserve">Tablet </w:t>
      </w:r>
      <w:r w:rsidR="007D1FE3">
        <w:rPr>
          <w:rFonts w:ascii="Calibri" w:eastAsia="MS Gothic" w:hAnsi="Calibri" w:cs="Times New Roman"/>
          <w:b/>
          <w:spacing w:val="5"/>
          <w:kern w:val="28"/>
          <w:sz w:val="36"/>
          <w:szCs w:val="36"/>
          <w:lang w:eastAsia="en-AU"/>
        </w:rPr>
        <w:t>8</w:t>
      </w:r>
      <w:r w:rsidRPr="008D540C">
        <w:rPr>
          <w:rFonts w:ascii="Calibri" w:eastAsia="MS Gothic" w:hAnsi="Calibri" w:cs="Times New Roman"/>
          <w:b/>
          <w:spacing w:val="5"/>
          <w:kern w:val="28"/>
          <w:sz w:val="36"/>
          <w:szCs w:val="36"/>
          <w:lang w:eastAsia="en-AU"/>
        </w:rPr>
        <w:t>0 mg,</w:t>
      </w:r>
    </w:p>
    <w:p w14:paraId="39326178" w14:textId="0632F531" w:rsidR="008D540C" w:rsidRPr="007D1FE3" w:rsidRDefault="007D1FE3" w:rsidP="007D1FE3">
      <w:pPr>
        <w:suppressAutoHyphens w:val="0"/>
        <w:ind w:left="709"/>
        <w:contextualSpacing/>
        <w:jc w:val="left"/>
        <w:outlineLvl w:val="0"/>
        <w:rPr>
          <w:rFonts w:ascii="Calibri" w:eastAsia="MS Mincho" w:hAnsi="Calibri" w:cs="Calibri"/>
          <w:b/>
          <w:spacing w:val="5"/>
          <w:kern w:val="28"/>
          <w:sz w:val="36"/>
          <w:lang w:eastAsia="en-AU"/>
        </w:rPr>
      </w:pPr>
      <w:r>
        <w:rPr>
          <w:rFonts w:ascii="Calibri" w:eastAsia="MS Gothic" w:hAnsi="Calibri" w:cs="Times New Roman"/>
          <w:b/>
          <w:spacing w:val="5"/>
          <w:kern w:val="28"/>
          <w:sz w:val="36"/>
          <w:szCs w:val="36"/>
          <w:lang w:eastAsia="en-AU"/>
        </w:rPr>
        <w:t>Retevmo</w:t>
      </w:r>
      <w:r w:rsidR="008D540C" w:rsidRPr="008D540C">
        <w:rPr>
          <w:rFonts w:ascii="Calibri" w:eastAsia="MS Gothic" w:hAnsi="Calibri" w:cs="Times New Roman"/>
          <w:b/>
          <w:spacing w:val="5"/>
          <w:kern w:val="28"/>
          <w:sz w:val="36"/>
          <w:szCs w:val="36"/>
          <w:lang w:eastAsia="en-AU"/>
        </w:rPr>
        <w:t>®,</w:t>
      </w:r>
      <w:r w:rsidR="008D540C" w:rsidRPr="008D540C">
        <w:rPr>
          <w:rFonts w:ascii="Calibri" w:eastAsia="MS Gothic" w:hAnsi="Calibri" w:cs="Times New Roman"/>
          <w:b/>
          <w:spacing w:val="5"/>
          <w:kern w:val="28"/>
          <w:sz w:val="36"/>
          <w:szCs w:val="36"/>
          <w:lang w:eastAsia="en-AU"/>
        </w:rPr>
        <w:br/>
      </w:r>
      <w:r>
        <w:rPr>
          <w:rFonts w:ascii="Calibri" w:eastAsia="MS Gothic" w:hAnsi="Calibri" w:cs="Times New Roman"/>
          <w:b/>
          <w:spacing w:val="5"/>
          <w:kern w:val="28"/>
          <w:sz w:val="36"/>
          <w:szCs w:val="36"/>
          <w:lang w:eastAsia="en-AU"/>
        </w:rPr>
        <w:t>Eli Lilly Australia Pty Ltd</w:t>
      </w:r>
    </w:p>
    <w:p w14:paraId="3C780E01" w14:textId="77777777" w:rsidR="002F03F5" w:rsidRPr="009F2AA4" w:rsidRDefault="008F23FF" w:rsidP="00921FF3">
      <w:pPr>
        <w:pStyle w:val="PBACESHeading1"/>
        <w:numPr>
          <w:ilvl w:val="0"/>
          <w:numId w:val="9"/>
        </w:numPr>
        <w:spacing w:before="160" w:after="160"/>
        <w:rPr>
          <w:b/>
        </w:rPr>
      </w:pPr>
      <w:bookmarkStart w:id="0" w:name="_Ref220485118"/>
      <w:bookmarkStart w:id="1" w:name="_Toc219898316"/>
      <w:bookmarkStart w:id="2" w:name="_Toc413139271"/>
      <w:r w:rsidRPr="009F2AA4">
        <w:rPr>
          <w:b/>
        </w:rPr>
        <w:t>Purpose of submission</w:t>
      </w:r>
      <w:bookmarkEnd w:id="0"/>
      <w:bookmarkEnd w:id="1"/>
      <w:bookmarkEnd w:id="2"/>
    </w:p>
    <w:p w14:paraId="3C780E02" w14:textId="072EEF6D" w:rsidR="002F03F5" w:rsidRPr="009F2AA4" w:rsidRDefault="00923690" w:rsidP="00921FF3">
      <w:pPr>
        <w:pStyle w:val="3-BodyText"/>
      </w:pPr>
      <w:r>
        <w:t>The</w:t>
      </w:r>
      <w:r w:rsidR="008F23FF" w:rsidRPr="009F2AA4">
        <w:t xml:space="preserve"> Category 1 integrated codependent submission request</w:t>
      </w:r>
      <w:r>
        <w:t>ed</w:t>
      </w:r>
      <w:r w:rsidR="00263330">
        <w:t xml:space="preserve"> </w:t>
      </w:r>
      <w:r w:rsidR="008F23FF" w:rsidRPr="009F2AA4">
        <w:t>MBS listing of testing of tumour tissue to detect</w:t>
      </w:r>
      <w:r w:rsidR="00923547" w:rsidRPr="00923547">
        <w:rPr>
          <w:i/>
        </w:rPr>
        <w:t xml:space="preserve"> RET </w:t>
      </w:r>
      <w:r w:rsidR="008F23FF" w:rsidRPr="009F2AA4">
        <w:t>proto-oncogene (RET) variants and PBS listing of selpercatinib for the targeted treatment of locally advanced or metastatic medullary thyroid cancer (MTC) in patients who have evidence of</w:t>
      </w:r>
      <w:r w:rsidR="00923547" w:rsidRPr="00923547">
        <w:rPr>
          <w:i/>
        </w:rPr>
        <w:t xml:space="preserve"> RET </w:t>
      </w:r>
      <w:r w:rsidR="008F23FF" w:rsidRPr="009F2AA4">
        <w:t xml:space="preserve">variants. </w:t>
      </w:r>
    </w:p>
    <w:p w14:paraId="3C780E03" w14:textId="420ED535" w:rsidR="002F03F5" w:rsidRPr="009F2AA4" w:rsidRDefault="008F23FF" w:rsidP="00921FF3">
      <w:pPr>
        <w:pStyle w:val="3-BodyText"/>
        <w:rPr>
          <w:color w:val="0070C0"/>
        </w:rPr>
      </w:pPr>
      <w:r w:rsidRPr="009F2AA4">
        <w:t xml:space="preserve">Listing was requested on the basis of a cost effectiveness analysis vs </w:t>
      </w:r>
      <w:r w:rsidR="00F31201" w:rsidRPr="009F2AA4">
        <w:t>best supportive care (</w:t>
      </w:r>
      <w:r w:rsidRPr="009F2AA4">
        <w:t>BSC</w:t>
      </w:r>
      <w:r w:rsidR="00F31201" w:rsidRPr="009F2AA4">
        <w:t>)</w:t>
      </w:r>
      <w:r w:rsidRPr="009F2AA4">
        <w:t xml:space="preserve"> as the primary comparator and cabozantinib or </w:t>
      </w:r>
      <w:proofErr w:type="spellStart"/>
      <w:r w:rsidRPr="009F2AA4">
        <w:t>vandetanib</w:t>
      </w:r>
      <w:proofErr w:type="spellEnd"/>
      <w:r w:rsidRPr="009F2AA4">
        <w:t xml:space="preserve"> as the secondary comparators.</w:t>
      </w:r>
      <w:r w:rsidRPr="009F2AA4">
        <w:rPr>
          <w:color w:val="0070C0"/>
        </w:rPr>
        <w:t xml:space="preserve"> </w:t>
      </w:r>
    </w:p>
    <w:p w14:paraId="11BAE685" w14:textId="32D86D3A" w:rsidR="00850FFA" w:rsidRDefault="00850FFA" w:rsidP="00921FF3">
      <w:pPr>
        <w:pStyle w:val="Caption"/>
      </w:pPr>
      <w:bookmarkStart w:id="3" w:name="_Ref226455090"/>
      <w:r>
        <w:t xml:space="preserve">Table </w:t>
      </w:r>
      <w:r>
        <w:fldChar w:fldCharType="begin"/>
      </w:r>
      <w:r>
        <w:instrText>SEQ Table \* ARABIC</w:instrText>
      </w:r>
      <w:r>
        <w:fldChar w:fldCharType="separate"/>
      </w:r>
      <w:r w:rsidR="003A3B69">
        <w:rPr>
          <w:noProof/>
        </w:rPr>
        <w:t>1</w:t>
      </w:r>
      <w:r>
        <w:fldChar w:fldCharType="end"/>
      </w:r>
      <w:bookmarkEnd w:id="3"/>
      <w:r>
        <w:t>:</w:t>
      </w:r>
      <w:r w:rsidR="007E3114">
        <w:t xml:space="preserve"> </w:t>
      </w:r>
      <w:r w:rsidRPr="00A574E0">
        <w:t>Key components of the clinical issue addressed by the submission</w:t>
      </w:r>
    </w:p>
    <w:tbl>
      <w:tblPr>
        <w:tblStyle w:val="TableGrid"/>
        <w:tblW w:w="5000" w:type="pct"/>
        <w:tblLayout w:type="fixed"/>
        <w:tblCellMar>
          <w:left w:w="57" w:type="dxa"/>
          <w:right w:w="57" w:type="dxa"/>
        </w:tblCellMar>
        <w:tblLook w:val="04A0" w:firstRow="1" w:lastRow="0" w:firstColumn="1" w:lastColumn="0" w:noHBand="0" w:noVBand="1"/>
        <w:tblCaption w:val="Table 1: Key components of the clinical issue addressed by the submission"/>
      </w:tblPr>
      <w:tblGrid>
        <w:gridCol w:w="1441"/>
        <w:gridCol w:w="7575"/>
      </w:tblGrid>
      <w:tr w:rsidR="002F03F5" w:rsidRPr="009F2AA4" w14:paraId="3C780E07" w14:textId="77777777" w:rsidTr="005F43B4">
        <w:trPr>
          <w:cnfStyle w:val="100000000000" w:firstRow="1" w:lastRow="0" w:firstColumn="0" w:lastColumn="0" w:oddVBand="0" w:evenVBand="0" w:oddHBand="0" w:evenHBand="0" w:firstRowFirstColumn="0" w:firstRowLastColumn="0" w:lastRowFirstColumn="0" w:lastRowLastColumn="0"/>
          <w:trHeight w:val="283"/>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80E05" w14:textId="77777777" w:rsidR="002F03F5" w:rsidRPr="009F2AA4" w:rsidRDefault="008F23FF" w:rsidP="00921FF3">
            <w:pPr>
              <w:pStyle w:val="TableRowHeader"/>
              <w:keepNext/>
              <w:keepLines/>
              <w:widowControl/>
              <w:rPr>
                <w:b/>
                <w:bCs/>
                <w:lang w:val="en-AU"/>
              </w:rPr>
            </w:pPr>
            <w:r w:rsidRPr="009F2AA4">
              <w:rPr>
                <w:rFonts w:eastAsia="Calibri" w:cs="Arial"/>
                <w:bCs/>
                <w:lang w:val="en-AU"/>
              </w:rPr>
              <w:t>Component</w:t>
            </w:r>
          </w:p>
        </w:tc>
        <w:tc>
          <w:tcPr>
            <w:tcW w:w="7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80E06" w14:textId="77777777" w:rsidR="002F03F5" w:rsidRPr="009F2AA4" w:rsidRDefault="008F23FF" w:rsidP="00921FF3">
            <w:pPr>
              <w:pStyle w:val="TableRowHeader"/>
              <w:keepNext/>
              <w:keepLines/>
              <w:widowControl/>
              <w:rPr>
                <w:b/>
                <w:bCs/>
                <w:lang w:val="en-AU"/>
              </w:rPr>
            </w:pPr>
            <w:r w:rsidRPr="009F2AA4">
              <w:rPr>
                <w:rFonts w:eastAsia="Calibri" w:cs="Arial"/>
                <w:bCs/>
                <w:lang w:val="en-AU"/>
              </w:rPr>
              <w:t>Description</w:t>
            </w:r>
          </w:p>
        </w:tc>
      </w:tr>
      <w:tr w:rsidR="002F03F5" w:rsidRPr="009F2AA4" w14:paraId="3C780E0B" w14:textId="77777777" w:rsidTr="005F43B4">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3C780E08" w14:textId="77777777" w:rsidR="002F03F5" w:rsidRPr="009F2AA4" w:rsidRDefault="008F23FF" w:rsidP="00921FF3">
            <w:pPr>
              <w:pStyle w:val="TableText"/>
              <w:keepNext/>
              <w:keepLines/>
              <w:widowControl/>
              <w:rPr>
                <w:lang w:val="en-AU"/>
              </w:rPr>
            </w:pPr>
            <w:r w:rsidRPr="009F2AA4">
              <w:rPr>
                <w:rFonts w:eastAsia="Calibri" w:cs="Arial"/>
                <w:lang w:val="en-AU"/>
              </w:rPr>
              <w:t>Population</w:t>
            </w:r>
          </w:p>
        </w:tc>
        <w:tc>
          <w:tcPr>
            <w:tcW w:w="7584" w:type="dxa"/>
            <w:tcBorders>
              <w:top w:val="single" w:sz="4" w:space="0" w:color="000000"/>
              <w:left w:val="single" w:sz="4" w:space="0" w:color="000000"/>
              <w:bottom w:val="single" w:sz="4" w:space="0" w:color="000000"/>
              <w:right w:val="single" w:sz="4" w:space="0" w:color="000000"/>
            </w:tcBorders>
            <w:vAlign w:val="center"/>
          </w:tcPr>
          <w:p w14:paraId="3C780E09" w14:textId="5C35C04E" w:rsidR="002F03F5" w:rsidRPr="009F2AA4" w:rsidRDefault="008F23FF" w:rsidP="00921FF3">
            <w:pPr>
              <w:pStyle w:val="TableText"/>
              <w:keepNext/>
              <w:keepLines/>
              <w:widowControl/>
              <w:rPr>
                <w:lang w:val="en-AU"/>
              </w:rPr>
            </w:pPr>
            <w:r w:rsidRPr="009F2AA4">
              <w:rPr>
                <w:rFonts w:eastAsia="Calibri" w:cs="Arial"/>
                <w:u w:val="single"/>
                <w:lang w:val="en-AU"/>
              </w:rPr>
              <w:t>Test</w:t>
            </w:r>
            <w:r w:rsidRPr="009F2AA4">
              <w:rPr>
                <w:rFonts w:eastAsia="Calibri" w:cs="Arial"/>
                <w:lang w:val="en-AU"/>
              </w:rPr>
              <w:t>: MTC patients without germline variants</w:t>
            </w:r>
          </w:p>
          <w:p w14:paraId="3C780E0A" w14:textId="17CB461D" w:rsidR="002F03F5" w:rsidRPr="009F2AA4" w:rsidRDefault="008F23FF" w:rsidP="00921FF3">
            <w:pPr>
              <w:pStyle w:val="TableText"/>
              <w:keepNext/>
              <w:keepLines/>
              <w:widowControl/>
              <w:rPr>
                <w:lang w:val="en-AU"/>
              </w:rPr>
            </w:pPr>
            <w:r w:rsidRPr="009F2AA4">
              <w:rPr>
                <w:rFonts w:eastAsia="Calibri" w:cs="Arial"/>
                <w:u w:val="single"/>
                <w:lang w:val="en-AU"/>
              </w:rPr>
              <w:t>Drug</w:t>
            </w:r>
            <w:r w:rsidRPr="009F2AA4">
              <w:rPr>
                <w:rFonts w:eastAsia="Calibri" w:cs="Arial"/>
                <w:lang w:val="en-AU"/>
              </w:rPr>
              <w:t>: Patients with histologically and cytologically confirmed advanced or metastatic MTC with a</w:t>
            </w:r>
            <w:r w:rsidR="00923547" w:rsidRPr="00923547">
              <w:rPr>
                <w:rFonts w:eastAsia="Calibri" w:cs="Arial"/>
                <w:i/>
                <w:lang w:val="en-AU"/>
              </w:rPr>
              <w:t xml:space="preserve"> RET </w:t>
            </w:r>
            <w:r w:rsidRPr="009F2AA4">
              <w:rPr>
                <w:rFonts w:eastAsia="Calibri" w:cs="Arial"/>
                <w:lang w:val="en-AU"/>
              </w:rPr>
              <w:t xml:space="preserve">alteration (somatic or germline) and (WHO) ECOG PS ≤2 </w:t>
            </w:r>
          </w:p>
        </w:tc>
      </w:tr>
      <w:tr w:rsidR="002F03F5" w:rsidRPr="009F2AA4" w14:paraId="3C780E0F" w14:textId="77777777" w:rsidTr="005F43B4">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3C780E0C" w14:textId="77777777" w:rsidR="002F03F5" w:rsidRPr="009F2AA4" w:rsidRDefault="008F23FF" w:rsidP="00921FF3">
            <w:pPr>
              <w:pStyle w:val="TableText"/>
              <w:keepNext/>
              <w:keepLines/>
              <w:widowControl/>
              <w:rPr>
                <w:lang w:val="en-AU"/>
              </w:rPr>
            </w:pPr>
            <w:r w:rsidRPr="009F2AA4">
              <w:rPr>
                <w:rFonts w:eastAsia="Calibri" w:cs="Arial"/>
                <w:lang w:val="en-AU"/>
              </w:rPr>
              <w:t>Intervention</w:t>
            </w:r>
          </w:p>
        </w:tc>
        <w:tc>
          <w:tcPr>
            <w:tcW w:w="7584" w:type="dxa"/>
            <w:tcBorders>
              <w:top w:val="single" w:sz="4" w:space="0" w:color="000000"/>
              <w:left w:val="single" w:sz="4" w:space="0" w:color="000000"/>
              <w:bottom w:val="single" w:sz="4" w:space="0" w:color="000000"/>
              <w:right w:val="single" w:sz="4" w:space="0" w:color="000000"/>
            </w:tcBorders>
            <w:vAlign w:val="center"/>
          </w:tcPr>
          <w:p w14:paraId="3C780E0D" w14:textId="77777777" w:rsidR="002F03F5" w:rsidRPr="009F2AA4" w:rsidRDefault="008F23FF" w:rsidP="00921FF3">
            <w:pPr>
              <w:pStyle w:val="TableText"/>
              <w:keepNext/>
              <w:keepLines/>
              <w:widowControl/>
              <w:rPr>
                <w:lang w:val="en-AU"/>
              </w:rPr>
            </w:pPr>
            <w:r w:rsidRPr="009F2AA4">
              <w:rPr>
                <w:rFonts w:eastAsia="Calibri" w:cs="Arial"/>
                <w:u w:val="single"/>
                <w:lang w:val="en-AU"/>
              </w:rPr>
              <w:t>Test</w:t>
            </w:r>
            <w:r w:rsidRPr="009F2AA4">
              <w:rPr>
                <w:rFonts w:eastAsia="Calibri" w:cs="Arial"/>
                <w:lang w:val="en-AU"/>
              </w:rPr>
              <w:t>: Testing of somatic tumour tissue using commercially available platforms or laboratory accredited in house tests.</w:t>
            </w:r>
          </w:p>
          <w:p w14:paraId="3C780E0E" w14:textId="151F57AB" w:rsidR="002F03F5" w:rsidRPr="009F2AA4" w:rsidRDefault="008F23FF" w:rsidP="00921FF3">
            <w:pPr>
              <w:pStyle w:val="TableText"/>
              <w:keepNext/>
              <w:keepLines/>
              <w:widowControl/>
              <w:rPr>
                <w:lang w:val="en-AU"/>
              </w:rPr>
            </w:pPr>
            <w:r w:rsidRPr="009F2AA4">
              <w:rPr>
                <w:rFonts w:eastAsia="Calibri" w:cs="Arial"/>
                <w:u w:val="single"/>
                <w:lang w:val="en-AU"/>
              </w:rPr>
              <w:t>Drug:</w:t>
            </w:r>
            <w:r w:rsidRPr="009F2AA4">
              <w:rPr>
                <w:rFonts w:eastAsia="Calibri" w:cs="Arial"/>
                <w:lang w:val="en-AU"/>
              </w:rPr>
              <w:t xml:space="preserve"> Selpercatinib orally administered in</w:t>
            </w:r>
            <w:r w:rsidR="00923547" w:rsidRPr="00923547">
              <w:rPr>
                <w:rFonts w:eastAsia="Calibri" w:cs="Arial"/>
                <w:i/>
                <w:lang w:val="en-AU"/>
              </w:rPr>
              <w:t xml:space="preserve"> RET </w:t>
            </w:r>
            <w:r w:rsidRPr="009F2AA4">
              <w:rPr>
                <w:rFonts w:eastAsia="Calibri" w:cs="Arial"/>
                <w:lang w:val="en-AU"/>
              </w:rPr>
              <w:t>alteration MTC patients until disease progression. In patients with bodyweight ≥50 kg, the recommended dose of selpercatinib is 160 mg twice daily</w:t>
            </w:r>
            <w:r w:rsidR="00FB39DF">
              <w:rPr>
                <w:rFonts w:eastAsia="Calibri" w:cs="Arial"/>
                <w:lang w:val="en-AU"/>
              </w:rPr>
              <w:t xml:space="preserve"> (BID)</w:t>
            </w:r>
            <w:r w:rsidRPr="009F2AA4">
              <w:rPr>
                <w:rFonts w:eastAsia="Calibri" w:cs="Arial"/>
                <w:lang w:val="en-AU"/>
              </w:rPr>
              <w:t xml:space="preserve">. In patients with body &lt;50 kg, the recommended dose of selpercatinib is 120 mg </w:t>
            </w:r>
            <w:r w:rsidR="00FB39DF">
              <w:rPr>
                <w:rFonts w:eastAsia="Calibri" w:cs="Arial"/>
                <w:lang w:val="en-AU"/>
              </w:rPr>
              <w:t>BID</w:t>
            </w:r>
          </w:p>
        </w:tc>
      </w:tr>
      <w:tr w:rsidR="002F03F5" w:rsidRPr="009F2AA4" w14:paraId="3C780E14" w14:textId="77777777" w:rsidTr="005F43B4">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3C780E10" w14:textId="77777777" w:rsidR="002F03F5" w:rsidRPr="009F2AA4" w:rsidRDefault="008F23FF" w:rsidP="00921FF3">
            <w:pPr>
              <w:pStyle w:val="TableText"/>
              <w:keepNext/>
              <w:keepLines/>
              <w:widowControl/>
              <w:rPr>
                <w:lang w:val="en-AU"/>
              </w:rPr>
            </w:pPr>
            <w:r w:rsidRPr="009F2AA4">
              <w:rPr>
                <w:rFonts w:eastAsia="Calibri" w:cs="Arial"/>
                <w:lang w:val="en-AU"/>
              </w:rPr>
              <w:t>Comparator</w:t>
            </w:r>
          </w:p>
        </w:tc>
        <w:tc>
          <w:tcPr>
            <w:tcW w:w="7584" w:type="dxa"/>
            <w:tcBorders>
              <w:top w:val="single" w:sz="4" w:space="0" w:color="000000"/>
              <w:left w:val="single" w:sz="4" w:space="0" w:color="000000"/>
              <w:bottom w:val="single" w:sz="4" w:space="0" w:color="000000"/>
              <w:right w:val="single" w:sz="4" w:space="0" w:color="000000"/>
            </w:tcBorders>
            <w:vAlign w:val="center"/>
          </w:tcPr>
          <w:p w14:paraId="3C780E11" w14:textId="1E32F427" w:rsidR="002F03F5" w:rsidRPr="009F2AA4" w:rsidRDefault="008F23FF" w:rsidP="00921FF3">
            <w:pPr>
              <w:pStyle w:val="TableText"/>
              <w:keepNext/>
              <w:keepLines/>
              <w:widowControl/>
              <w:rPr>
                <w:lang w:val="en-AU"/>
              </w:rPr>
            </w:pPr>
            <w:r w:rsidRPr="009F2AA4">
              <w:rPr>
                <w:rFonts w:eastAsia="Calibri" w:cs="Arial"/>
                <w:u w:val="single"/>
                <w:lang w:val="en-AU"/>
              </w:rPr>
              <w:t>Test</w:t>
            </w:r>
            <w:r w:rsidRPr="009F2AA4">
              <w:rPr>
                <w:rFonts w:eastAsia="Calibri" w:cs="Arial"/>
                <w:lang w:val="en-AU"/>
              </w:rPr>
              <w:t>: No testing for somatic</w:t>
            </w:r>
            <w:r w:rsidR="00923547" w:rsidRPr="00923547">
              <w:rPr>
                <w:rFonts w:eastAsia="Calibri" w:cs="Arial"/>
                <w:i/>
                <w:lang w:val="en-AU"/>
              </w:rPr>
              <w:t xml:space="preserve"> RET </w:t>
            </w:r>
            <w:r w:rsidRPr="009F2AA4">
              <w:rPr>
                <w:rFonts w:eastAsia="Calibri" w:cs="Arial"/>
                <w:lang w:val="en-AU"/>
              </w:rPr>
              <w:t>alteration</w:t>
            </w:r>
          </w:p>
          <w:p w14:paraId="3C780E12" w14:textId="77777777" w:rsidR="002F03F5" w:rsidRPr="009F2AA4" w:rsidRDefault="008F23FF" w:rsidP="00921FF3">
            <w:pPr>
              <w:pStyle w:val="TableText"/>
              <w:keepNext/>
              <w:keepLines/>
              <w:widowControl/>
              <w:rPr>
                <w:lang w:val="en-AU"/>
              </w:rPr>
            </w:pPr>
            <w:r w:rsidRPr="009F2AA4">
              <w:rPr>
                <w:rFonts w:eastAsia="Calibri" w:cs="Arial"/>
                <w:u w:val="single"/>
                <w:lang w:val="en-AU"/>
              </w:rPr>
              <w:t>Primary</w:t>
            </w:r>
            <w:r w:rsidRPr="009F2AA4">
              <w:rPr>
                <w:rFonts w:eastAsia="Calibri" w:cs="Arial"/>
                <w:lang w:val="en-AU"/>
              </w:rPr>
              <w:t xml:space="preserve">: Best supportive care </w:t>
            </w:r>
          </w:p>
          <w:p w14:paraId="3C780E13" w14:textId="77777777" w:rsidR="002F03F5" w:rsidRPr="009F2AA4" w:rsidRDefault="008F23FF" w:rsidP="00921FF3">
            <w:pPr>
              <w:pStyle w:val="TableText"/>
              <w:keepNext/>
              <w:keepLines/>
              <w:widowControl/>
              <w:rPr>
                <w:lang w:val="en-AU"/>
              </w:rPr>
            </w:pPr>
            <w:r w:rsidRPr="009F2AA4">
              <w:rPr>
                <w:rFonts w:eastAsia="Calibri" w:cs="Arial"/>
                <w:u w:val="single"/>
                <w:lang w:val="en-AU"/>
              </w:rPr>
              <w:t>Secondary</w:t>
            </w:r>
            <w:r w:rsidRPr="009F2AA4">
              <w:rPr>
                <w:rFonts w:eastAsia="Calibri" w:cs="Arial"/>
                <w:lang w:val="en-AU"/>
              </w:rPr>
              <w:t xml:space="preserve">: Standard of care (cabozantinib 140 mg/day or </w:t>
            </w:r>
            <w:proofErr w:type="spellStart"/>
            <w:r w:rsidRPr="009F2AA4">
              <w:rPr>
                <w:rFonts w:eastAsia="Calibri" w:cs="Arial"/>
                <w:lang w:val="en-AU"/>
              </w:rPr>
              <w:t>vandetanib</w:t>
            </w:r>
            <w:proofErr w:type="spellEnd"/>
            <w:r w:rsidRPr="009F2AA4">
              <w:rPr>
                <w:rFonts w:eastAsia="Calibri" w:cs="Arial"/>
                <w:lang w:val="en-AU"/>
              </w:rPr>
              <w:t xml:space="preserve"> 300 mg/day)</w:t>
            </w:r>
          </w:p>
        </w:tc>
      </w:tr>
      <w:tr w:rsidR="002F03F5" w:rsidRPr="009F2AA4" w14:paraId="3C780E17" w14:textId="77777777" w:rsidTr="005F43B4">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3C780E15" w14:textId="77777777" w:rsidR="002F03F5" w:rsidRPr="009F2AA4" w:rsidRDefault="008F23FF" w:rsidP="00921FF3">
            <w:pPr>
              <w:pStyle w:val="TableText"/>
              <w:keepNext/>
              <w:keepLines/>
              <w:widowControl/>
              <w:rPr>
                <w:lang w:val="en-AU"/>
              </w:rPr>
            </w:pPr>
            <w:r w:rsidRPr="009F2AA4">
              <w:rPr>
                <w:rFonts w:eastAsia="Calibri" w:cs="Arial"/>
                <w:lang w:val="en-AU"/>
              </w:rPr>
              <w:t>Outcomes</w:t>
            </w:r>
          </w:p>
        </w:tc>
        <w:tc>
          <w:tcPr>
            <w:tcW w:w="7584" w:type="dxa"/>
            <w:tcBorders>
              <w:top w:val="single" w:sz="4" w:space="0" w:color="000000"/>
              <w:left w:val="single" w:sz="4" w:space="0" w:color="000000"/>
              <w:bottom w:val="single" w:sz="4" w:space="0" w:color="000000"/>
              <w:right w:val="single" w:sz="4" w:space="0" w:color="000000"/>
            </w:tcBorders>
            <w:vAlign w:val="center"/>
          </w:tcPr>
          <w:p w14:paraId="3C780E16" w14:textId="77777777" w:rsidR="002F03F5" w:rsidRPr="009F2AA4" w:rsidRDefault="008F23FF" w:rsidP="00921FF3">
            <w:pPr>
              <w:pStyle w:val="TableText"/>
              <w:keepNext/>
              <w:keepLines/>
              <w:widowControl/>
              <w:rPr>
                <w:lang w:val="en-AU"/>
              </w:rPr>
            </w:pPr>
            <w:r w:rsidRPr="009F2AA4">
              <w:rPr>
                <w:rFonts w:eastAsia="Calibri" w:cs="Arial"/>
                <w:lang w:val="en-AU"/>
              </w:rPr>
              <w:t>Progression free survival, treatment failure free survival, overall survival, overall response, duration of response, safety, and health related quality of life</w:t>
            </w:r>
          </w:p>
        </w:tc>
      </w:tr>
      <w:tr w:rsidR="002F03F5" w:rsidRPr="009F2AA4" w14:paraId="3C780E1A" w14:textId="77777777" w:rsidTr="005F43B4">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3C780E18" w14:textId="77777777" w:rsidR="002F03F5" w:rsidRPr="009F2AA4" w:rsidRDefault="008F23FF" w:rsidP="00921FF3">
            <w:pPr>
              <w:pStyle w:val="TableText"/>
              <w:keepNext/>
              <w:keepLines/>
              <w:widowControl/>
              <w:rPr>
                <w:lang w:val="en-AU"/>
              </w:rPr>
            </w:pPr>
            <w:r w:rsidRPr="009F2AA4">
              <w:rPr>
                <w:rFonts w:eastAsia="Calibri" w:cs="Arial"/>
                <w:lang w:val="en-AU"/>
              </w:rPr>
              <w:t>Clinical claim</w:t>
            </w:r>
          </w:p>
        </w:tc>
        <w:tc>
          <w:tcPr>
            <w:tcW w:w="7584" w:type="dxa"/>
            <w:tcBorders>
              <w:top w:val="single" w:sz="4" w:space="0" w:color="000000"/>
              <w:left w:val="single" w:sz="4" w:space="0" w:color="000000"/>
              <w:bottom w:val="single" w:sz="4" w:space="0" w:color="000000"/>
              <w:right w:val="single" w:sz="4" w:space="0" w:color="000000"/>
            </w:tcBorders>
            <w:vAlign w:val="center"/>
          </w:tcPr>
          <w:p w14:paraId="3C780E19" w14:textId="11EBBBA4" w:rsidR="002F03F5" w:rsidRPr="009F2AA4" w:rsidRDefault="008F23FF" w:rsidP="00921FF3">
            <w:pPr>
              <w:pStyle w:val="TableText"/>
              <w:keepNext/>
              <w:keepLines/>
              <w:widowControl/>
              <w:rPr>
                <w:lang w:val="en-AU"/>
              </w:rPr>
            </w:pPr>
            <w:r w:rsidRPr="009F2AA4">
              <w:rPr>
                <w:rFonts w:eastAsia="Calibri" w:cs="Arial"/>
                <w:lang w:val="en-AU"/>
              </w:rPr>
              <w:t>In treatment naïve patients with</w:t>
            </w:r>
            <w:r w:rsidR="00923547" w:rsidRPr="00923547">
              <w:rPr>
                <w:rFonts w:eastAsia="Calibri" w:cs="Arial"/>
                <w:i/>
                <w:lang w:val="en-AU"/>
              </w:rPr>
              <w:t xml:space="preserve"> RET </w:t>
            </w:r>
            <w:r w:rsidRPr="009F2AA4">
              <w:rPr>
                <w:rFonts w:eastAsia="Calibri" w:cs="Arial"/>
                <w:lang w:val="en-AU"/>
              </w:rPr>
              <w:t>alteration advanced or metastatic MTC, selpercatinib is superior to placebo in terms of efficacy and has an inferior, but clinically manageable, safety profile.</w:t>
            </w:r>
          </w:p>
        </w:tc>
      </w:tr>
    </w:tbl>
    <w:p w14:paraId="3C780E1B" w14:textId="77777777" w:rsidR="002F03F5" w:rsidRPr="009F2AA4" w:rsidRDefault="008F23FF" w:rsidP="00921FF3">
      <w:pPr>
        <w:pStyle w:val="TableFooter"/>
        <w:keepNext/>
        <w:keepLines/>
        <w:widowControl/>
      </w:pPr>
      <w:r w:rsidRPr="009F2AA4">
        <w:t>Source: Table 1-1, p29 of the submission</w:t>
      </w:r>
    </w:p>
    <w:p w14:paraId="3C780E1C" w14:textId="0B48F085" w:rsidR="002F03F5" w:rsidRPr="009F2AA4" w:rsidRDefault="00FB39DF" w:rsidP="00921FF3">
      <w:pPr>
        <w:pStyle w:val="TableFooter"/>
        <w:keepNext/>
        <w:keepLines/>
        <w:widowControl/>
      </w:pPr>
      <w:r>
        <w:t xml:space="preserve">BID = twice daily; </w:t>
      </w:r>
      <w:r w:rsidR="008F23FF" w:rsidRPr="009F2AA4">
        <w:t>ECOG = Eastern Cooperative Oncology Group; MTC = medullary thyroid cancer; PS = performance status;</w:t>
      </w:r>
      <w:r w:rsidR="00923547" w:rsidRPr="00923547">
        <w:rPr>
          <w:i/>
        </w:rPr>
        <w:t xml:space="preserve"> RET </w:t>
      </w:r>
      <w:r w:rsidR="008F23FF" w:rsidRPr="009F2AA4">
        <w:rPr>
          <w:iCs/>
        </w:rPr>
        <w:t>=</w:t>
      </w:r>
      <w:r w:rsidR="00923547" w:rsidRPr="00923547">
        <w:rPr>
          <w:i/>
          <w:iCs/>
        </w:rPr>
        <w:t xml:space="preserve"> RET </w:t>
      </w:r>
      <w:r w:rsidR="008F23FF" w:rsidRPr="009F2AA4">
        <w:rPr>
          <w:iCs/>
        </w:rPr>
        <w:t>proto-oncogene;</w:t>
      </w:r>
      <w:r w:rsidR="008F23FF" w:rsidRPr="009F2AA4">
        <w:t xml:space="preserve"> WHO = World Health Organisation</w:t>
      </w:r>
    </w:p>
    <w:p w14:paraId="3C780E1E" w14:textId="350C7307" w:rsidR="002F03F5" w:rsidRPr="009F2AA4" w:rsidRDefault="004F68F4" w:rsidP="00921FF3">
      <w:pPr>
        <w:pStyle w:val="3-BodyText"/>
        <w:rPr>
          <w:color w:val="0070C0"/>
        </w:rPr>
      </w:pPr>
      <w:r w:rsidRPr="009F2AA4">
        <w:t>The populations eligible for testing and treatment were inconsistently defined throughout the submission</w:t>
      </w:r>
      <w:r>
        <w:t xml:space="preserve">. </w:t>
      </w:r>
      <w:r w:rsidR="008F23FF" w:rsidRPr="009F2AA4">
        <w:t>The ESC</w:t>
      </w:r>
      <w:r w:rsidR="00CC3C87" w:rsidRPr="009F2AA4">
        <w:t>s</w:t>
      </w:r>
      <w:r w:rsidR="008F23FF" w:rsidRPr="009F2AA4">
        <w:t xml:space="preserve"> agreed with the evaluation that it was appropriate that:</w:t>
      </w:r>
    </w:p>
    <w:p w14:paraId="3C780E1F" w14:textId="043651BA" w:rsidR="002F03F5" w:rsidRPr="009F2AA4" w:rsidRDefault="008F23FF" w:rsidP="00921FF3">
      <w:pPr>
        <w:pStyle w:val="MainBodyBulletPoint"/>
      </w:pPr>
      <w:r w:rsidRPr="009F2AA4">
        <w:lastRenderedPageBreak/>
        <w:t>The population eligible for testing were patients with a confirmed histological diagnosis of MTC, who have not already undergone testing of tumour tissue for clinically significant</w:t>
      </w:r>
      <w:r w:rsidR="00923547" w:rsidRPr="00923547">
        <w:rPr>
          <w:i/>
        </w:rPr>
        <w:t xml:space="preserve"> RET </w:t>
      </w:r>
      <w:r w:rsidRPr="009F2AA4">
        <w:t>variants and do not have a known germline</w:t>
      </w:r>
      <w:r w:rsidR="00923547" w:rsidRPr="00923547">
        <w:rPr>
          <w:i/>
        </w:rPr>
        <w:t xml:space="preserve"> RET </w:t>
      </w:r>
      <w:r w:rsidRPr="009F2AA4">
        <w:t>variant</w:t>
      </w:r>
    </w:p>
    <w:p w14:paraId="3C780E20" w14:textId="4A53B37F" w:rsidR="002F03F5" w:rsidRPr="009F2AA4" w:rsidRDefault="008F23FF" w:rsidP="00921FF3">
      <w:pPr>
        <w:pStyle w:val="MainBodyBulletPoint"/>
      </w:pPr>
      <w:r w:rsidRPr="009F2AA4">
        <w:t>The population eligible for treatment were</w:t>
      </w:r>
      <w:r w:rsidR="00923547" w:rsidRPr="00923547">
        <w:rPr>
          <w:i/>
        </w:rPr>
        <w:t xml:space="preserve"> RET </w:t>
      </w:r>
      <w:r w:rsidRPr="009F2AA4">
        <w:t>variant locally advanced or metastatic MTC patients with unresectable disease and documented disease progression as per the LIBRETTO-531 trial.</w:t>
      </w:r>
    </w:p>
    <w:p w14:paraId="3C780E21" w14:textId="77777777" w:rsidR="002F03F5" w:rsidRPr="009F2AA4" w:rsidRDefault="008F23FF" w:rsidP="00921FF3">
      <w:pPr>
        <w:pStyle w:val="PBACESHeading1"/>
        <w:spacing w:before="160" w:after="160"/>
        <w:rPr>
          <w:b/>
          <w:bCs/>
        </w:rPr>
      </w:pPr>
      <w:bookmarkStart w:id="4" w:name="_Toc219898317"/>
      <w:bookmarkStart w:id="5" w:name="_Toc487029150"/>
      <w:r w:rsidRPr="009F2AA4">
        <w:rPr>
          <w:b/>
          <w:bCs/>
        </w:rPr>
        <w:t>Background</w:t>
      </w:r>
      <w:bookmarkEnd w:id="4"/>
      <w:bookmarkEnd w:id="5"/>
    </w:p>
    <w:p w14:paraId="3C780E22" w14:textId="77777777" w:rsidR="002F03F5" w:rsidRPr="009F2AA4" w:rsidRDefault="008F23FF" w:rsidP="00921FF3">
      <w:pPr>
        <w:pStyle w:val="PBACESHeading2"/>
        <w:spacing w:before="200" w:afterLines="100" w:after="240"/>
        <w:ind w:left="862" w:hanging="862"/>
        <w:rPr>
          <w:rFonts w:ascii="Calibri" w:hAnsi="Calibri" w:cs="Calibri"/>
        </w:rPr>
      </w:pPr>
      <w:bookmarkStart w:id="6" w:name="_Toc219898318"/>
      <w:r w:rsidRPr="009F2AA4">
        <w:rPr>
          <w:rFonts w:ascii="Calibri" w:hAnsi="Calibri" w:cs="Calibri"/>
        </w:rPr>
        <w:t>Registration status</w:t>
      </w:r>
      <w:bookmarkEnd w:id="6"/>
    </w:p>
    <w:p w14:paraId="3C780E23" w14:textId="2DE29EEE" w:rsidR="002F03F5" w:rsidRPr="00263330" w:rsidRDefault="008F23FF" w:rsidP="00921FF3">
      <w:pPr>
        <w:pStyle w:val="3-BodyText"/>
        <w:spacing w:before="0" w:after="120"/>
        <w:rPr>
          <w:color w:val="0070C0"/>
        </w:rPr>
      </w:pPr>
      <w:bookmarkStart w:id="7" w:name="_Ref219191505"/>
      <w:r w:rsidRPr="009F2AA4">
        <w:t xml:space="preserve">Selpercatinib was included in the Australian Register of Therapeutic Goods in November 2025 for the treatment of adult and adolescent (12 years of age and older) patients with advanced or metastatic </w:t>
      </w:r>
      <w:r w:rsidRPr="009F2AA4">
        <w:rPr>
          <w:i/>
          <w:iCs/>
        </w:rPr>
        <w:t>RET</w:t>
      </w:r>
      <w:r w:rsidRPr="009F2AA4">
        <w:t xml:space="preserve">-mutant MTC who require systemic therapy. </w:t>
      </w:r>
      <w:bookmarkEnd w:id="7"/>
    </w:p>
    <w:p w14:paraId="57348CC7" w14:textId="77777777" w:rsidR="00CB7303" w:rsidRPr="00CB7303" w:rsidRDefault="00BC1B6D" w:rsidP="00921FF3">
      <w:pPr>
        <w:pStyle w:val="3-BodyText"/>
        <w:rPr>
          <w:color w:val="0070C0"/>
        </w:rPr>
      </w:pPr>
      <w:r w:rsidRPr="00C15E29">
        <w:t xml:space="preserve">The PBAC noted selpercatinib is approved </w:t>
      </w:r>
      <w:r w:rsidR="00C15E29">
        <w:t xml:space="preserve">by the </w:t>
      </w:r>
      <w:r w:rsidRPr="00C15E29">
        <w:t>F</w:t>
      </w:r>
      <w:r w:rsidR="00C15E29">
        <w:t xml:space="preserve">ood and </w:t>
      </w:r>
      <w:r w:rsidRPr="00C15E29">
        <w:t>D</w:t>
      </w:r>
      <w:r w:rsidR="00C15E29">
        <w:t xml:space="preserve">rug </w:t>
      </w:r>
      <w:r w:rsidR="00C93C89" w:rsidRPr="00C15E29">
        <w:t>A</w:t>
      </w:r>
      <w:r w:rsidR="00C93C89">
        <w:t>dministration</w:t>
      </w:r>
      <w:r w:rsidRPr="00C15E29">
        <w:t xml:space="preserve"> </w:t>
      </w:r>
      <w:r w:rsidR="00C15E29">
        <w:t xml:space="preserve">in the United States </w:t>
      </w:r>
      <w:r w:rsidRPr="00C15E29">
        <w:t>for</w:t>
      </w:r>
      <w:r w:rsidR="00C75ACF">
        <w:t xml:space="preserve"> (i) </w:t>
      </w:r>
      <w:r w:rsidR="00F20B96">
        <w:t xml:space="preserve">adult and adolescent patients with advanced or metastatic </w:t>
      </w:r>
      <w:r w:rsidR="00623201">
        <w:t>thyroid cancer with a RET gene fusion who require systemic therapy and who are radioactive iodine-refractory</w:t>
      </w:r>
      <w:r w:rsidR="00C75ACF">
        <w:t xml:space="preserve"> and (ii) adult patients with locally advanced or metastatic </w:t>
      </w:r>
      <w:r w:rsidR="00C93C89">
        <w:t xml:space="preserve">solid tumours with a RET gene fusion that have progressed on or following prior systemic therapy or who have no satisfactory alternative treatment options. </w:t>
      </w:r>
    </w:p>
    <w:p w14:paraId="32F3D6CB" w14:textId="0AC05CF0" w:rsidR="00BC1B6D" w:rsidRPr="009D073A" w:rsidRDefault="00CB7303" w:rsidP="00921FF3">
      <w:pPr>
        <w:pStyle w:val="3-BodyText"/>
        <w:rPr>
          <w:color w:val="0070C0"/>
        </w:rPr>
      </w:pPr>
      <w:r>
        <w:t>Additionally, t</w:t>
      </w:r>
      <w:r w:rsidR="003F736E">
        <w:t xml:space="preserve">he PBAC noted that </w:t>
      </w:r>
      <w:r w:rsidR="003F736E" w:rsidRPr="00C15E29">
        <w:t>selpercatinib</w:t>
      </w:r>
      <w:r w:rsidR="003F736E">
        <w:t xml:space="preserve"> </w:t>
      </w:r>
      <w:r>
        <w:t>has been recommended</w:t>
      </w:r>
      <w:r w:rsidR="003F736E">
        <w:t xml:space="preserve"> by the National </w:t>
      </w:r>
      <w:r>
        <w:t>Institute</w:t>
      </w:r>
      <w:r w:rsidR="003F736E">
        <w:t xml:space="preserve"> for Health and Care Excellence in the United Kingdom for </w:t>
      </w:r>
      <w:r w:rsidR="009D073A">
        <w:t>(i) advanced RET fusion-positive thyroid cancer that is refractory to radioactive iodine (if radioactive iodine is appropriate), and (ii) advanced RET-mutant medullary thyroid cancer</w:t>
      </w:r>
      <w:r w:rsidR="00BD6BB5">
        <w:t>; not treated with a targeted cancer drug</w:t>
      </w:r>
      <w:r w:rsidR="009D073A">
        <w:t>.</w:t>
      </w:r>
    </w:p>
    <w:p w14:paraId="3C780E24" w14:textId="77777777" w:rsidR="002F03F5" w:rsidRPr="009F2AA4" w:rsidRDefault="008F23FF" w:rsidP="00921FF3">
      <w:pPr>
        <w:pStyle w:val="PBACESHeading2"/>
        <w:spacing w:before="200" w:afterLines="100" w:after="240"/>
        <w:ind w:left="862" w:hanging="862"/>
        <w:rPr>
          <w:rFonts w:ascii="Calibri" w:hAnsi="Calibri" w:cs="Calibri"/>
        </w:rPr>
      </w:pPr>
      <w:bookmarkStart w:id="8" w:name="_Toc219898319"/>
      <w:r w:rsidRPr="009F2AA4">
        <w:rPr>
          <w:rFonts w:ascii="Calibri" w:hAnsi="Calibri" w:cs="Calibri"/>
        </w:rPr>
        <w:t>Previous PBAC consideration</w:t>
      </w:r>
      <w:bookmarkEnd w:id="8"/>
    </w:p>
    <w:p w14:paraId="3C780E25" w14:textId="642E3A73" w:rsidR="002F03F5" w:rsidRPr="009F2AA4" w:rsidRDefault="008F23FF" w:rsidP="00921FF3">
      <w:pPr>
        <w:pStyle w:val="3-BodyText"/>
        <w:spacing w:before="0" w:after="120"/>
      </w:pPr>
      <w:r w:rsidRPr="009F2AA4">
        <w:t>Selpercatinib was recommended for the treatment of advanced or metastatic</w:t>
      </w:r>
      <w:r w:rsidR="00923547" w:rsidRPr="00923547">
        <w:rPr>
          <w:i/>
        </w:rPr>
        <w:t xml:space="preserve"> RET </w:t>
      </w:r>
      <w:r w:rsidRPr="009F2AA4">
        <w:t xml:space="preserve">fusion positive non-small cell lung cancer (NSCLC) in July 2024 and was PBS listed on the 1 February 2025. </w:t>
      </w:r>
    </w:p>
    <w:p w14:paraId="3C780E26" w14:textId="77777777" w:rsidR="002F03F5" w:rsidRPr="009F2AA4" w:rsidRDefault="008F23FF" w:rsidP="00921FF3">
      <w:pPr>
        <w:pStyle w:val="PBACESHeading1"/>
        <w:spacing w:before="160" w:after="160"/>
        <w:rPr>
          <w:b/>
          <w:bCs/>
        </w:rPr>
      </w:pPr>
      <w:bookmarkStart w:id="9" w:name="_Toc219898320"/>
      <w:r w:rsidRPr="009F2AA4">
        <w:rPr>
          <w:b/>
          <w:bCs/>
        </w:rPr>
        <w:t>Requested listing</w:t>
      </w:r>
      <w:bookmarkEnd w:id="9"/>
    </w:p>
    <w:p w14:paraId="3BB0E117" w14:textId="77777777" w:rsidR="00375C5B" w:rsidRDefault="008435A7" w:rsidP="00921FF3">
      <w:pPr>
        <w:pStyle w:val="3-BodyText"/>
      </w:pPr>
      <w:bookmarkStart w:id="10" w:name="_Hlk104809055"/>
      <w:bookmarkEnd w:id="10"/>
      <w:r w:rsidRPr="00120A12">
        <w:t>S</w:t>
      </w:r>
      <w:r>
        <w:t>ecretariat s</w:t>
      </w:r>
      <w:r w:rsidRPr="00120A12">
        <w:t xml:space="preserve">uggested additions </w:t>
      </w:r>
      <w:r>
        <w:t xml:space="preserve">to the proposed listing </w:t>
      </w:r>
      <w:r w:rsidRPr="00120A12">
        <w:t xml:space="preserve">are in </w:t>
      </w:r>
      <w:r w:rsidRPr="00AF6520">
        <w:rPr>
          <w:iCs/>
        </w:rPr>
        <w:t>italics</w:t>
      </w:r>
      <w:r w:rsidRPr="00120A12">
        <w:t xml:space="preserve"> and deletions are in </w:t>
      </w:r>
      <w:r w:rsidRPr="00BE1940">
        <w:t>strikethrough.</w:t>
      </w:r>
    </w:p>
    <w:p w14:paraId="48870F5D" w14:textId="77777777" w:rsidR="00E93504" w:rsidRDefault="00E93504" w:rsidP="00921FF3">
      <w:pPr>
        <w:pStyle w:val="3-BodyText"/>
        <w:numPr>
          <w:ilvl w:val="0"/>
          <w:numId w:val="0"/>
        </w:numPr>
      </w:pPr>
    </w:p>
    <w:tbl>
      <w:tblPr>
        <w:tblW w:w="5000" w:type="pct"/>
        <w:tblLayout w:type="fixed"/>
        <w:tblLook w:val="0000" w:firstRow="0" w:lastRow="0" w:firstColumn="0" w:lastColumn="0" w:noHBand="0" w:noVBand="0"/>
        <w:tblCaption w:val="Requested listing"/>
      </w:tblPr>
      <w:tblGrid>
        <w:gridCol w:w="2694"/>
        <w:gridCol w:w="1530"/>
        <w:gridCol w:w="990"/>
        <w:gridCol w:w="900"/>
        <w:gridCol w:w="810"/>
        <w:gridCol w:w="2092"/>
      </w:tblGrid>
      <w:tr w:rsidR="00E93504" w14:paraId="7D22529D" w14:textId="77777777">
        <w:trPr>
          <w:cantSplit/>
          <w:trHeight w:val="20"/>
        </w:trPr>
        <w:tc>
          <w:tcPr>
            <w:tcW w:w="2697" w:type="dxa"/>
            <w:tcBorders>
              <w:top w:val="single" w:sz="4" w:space="0" w:color="000000"/>
              <w:left w:val="single" w:sz="4" w:space="0" w:color="000000"/>
              <w:bottom w:val="single" w:sz="4" w:space="0" w:color="000000"/>
              <w:right w:val="single" w:sz="4" w:space="0" w:color="000000"/>
            </w:tcBorders>
            <w:vAlign w:val="center"/>
          </w:tcPr>
          <w:p w14:paraId="08DBFF56" w14:textId="77777777" w:rsidR="00E93504" w:rsidRDefault="00E93504" w:rsidP="00921FF3">
            <w:pPr>
              <w:pStyle w:val="In-tableHeading"/>
              <w:rPr>
                <w:lang w:val="en-AU"/>
              </w:rPr>
            </w:pPr>
            <w:r>
              <w:rPr>
                <w:lang w:val="en-AU"/>
              </w:rPr>
              <w:t>MEDICINAL PRODUCT</w:t>
            </w:r>
          </w:p>
          <w:p w14:paraId="7ADF4E18" w14:textId="77777777" w:rsidR="00E93504" w:rsidRDefault="00E93504" w:rsidP="00921FF3">
            <w:pPr>
              <w:pStyle w:val="In-tableHeading"/>
              <w:rPr>
                <w:lang w:val="en-AU"/>
              </w:rPr>
            </w:pPr>
            <w:r>
              <w:rPr>
                <w:lang w:val="en-AU"/>
              </w:rPr>
              <w:t>medicinal product pack</w:t>
            </w:r>
          </w:p>
        </w:tc>
        <w:tc>
          <w:tcPr>
            <w:tcW w:w="1532" w:type="dxa"/>
            <w:tcBorders>
              <w:top w:val="single" w:sz="4" w:space="0" w:color="000000"/>
              <w:left w:val="single" w:sz="4" w:space="0" w:color="000000"/>
              <w:bottom w:val="single" w:sz="4" w:space="0" w:color="000000"/>
              <w:right w:val="single" w:sz="4" w:space="0" w:color="000000"/>
            </w:tcBorders>
            <w:vAlign w:val="center"/>
          </w:tcPr>
          <w:p w14:paraId="63C3F656" w14:textId="77777777" w:rsidR="00E93504" w:rsidRDefault="00E93504" w:rsidP="00921FF3">
            <w:pPr>
              <w:pStyle w:val="In-tableHeading"/>
              <w:jc w:val="center"/>
              <w:rPr>
                <w:lang w:val="en-AU"/>
              </w:rPr>
            </w:pPr>
            <w:r>
              <w:rPr>
                <w:lang w:val="en-AU"/>
              </w:rPr>
              <w:t>Dispensed Price for Max. Qty</w:t>
            </w:r>
          </w:p>
        </w:tc>
        <w:tc>
          <w:tcPr>
            <w:tcW w:w="991" w:type="dxa"/>
            <w:tcBorders>
              <w:top w:val="single" w:sz="4" w:space="0" w:color="000000"/>
              <w:left w:val="single" w:sz="4" w:space="0" w:color="000000"/>
              <w:bottom w:val="single" w:sz="4" w:space="0" w:color="000000"/>
              <w:right w:val="single" w:sz="4" w:space="0" w:color="000000"/>
            </w:tcBorders>
            <w:vAlign w:val="center"/>
          </w:tcPr>
          <w:p w14:paraId="6FCE38C0" w14:textId="77777777" w:rsidR="00E93504" w:rsidRDefault="00E93504" w:rsidP="00921FF3">
            <w:pPr>
              <w:pStyle w:val="In-tableHeading"/>
              <w:jc w:val="center"/>
              <w:rPr>
                <w:lang w:val="en-AU"/>
              </w:rPr>
            </w:pPr>
            <w:r>
              <w:rPr>
                <w:lang w:val="en-AU"/>
              </w:rPr>
              <w:t>Max. qty packs</w:t>
            </w:r>
          </w:p>
        </w:tc>
        <w:tc>
          <w:tcPr>
            <w:tcW w:w="901" w:type="dxa"/>
            <w:tcBorders>
              <w:top w:val="single" w:sz="4" w:space="0" w:color="000000"/>
              <w:left w:val="single" w:sz="4" w:space="0" w:color="000000"/>
              <w:bottom w:val="single" w:sz="4" w:space="0" w:color="000000"/>
              <w:right w:val="single" w:sz="4" w:space="0" w:color="000000"/>
            </w:tcBorders>
            <w:vAlign w:val="center"/>
          </w:tcPr>
          <w:p w14:paraId="55641316" w14:textId="77777777" w:rsidR="00E93504" w:rsidRDefault="00E93504" w:rsidP="00921FF3">
            <w:pPr>
              <w:pStyle w:val="In-tableHeading"/>
              <w:jc w:val="center"/>
              <w:rPr>
                <w:lang w:val="en-AU"/>
              </w:rPr>
            </w:pPr>
            <w:r>
              <w:rPr>
                <w:lang w:val="en-AU"/>
              </w:rPr>
              <w:t>Max. qty units</w:t>
            </w:r>
          </w:p>
        </w:tc>
        <w:tc>
          <w:tcPr>
            <w:tcW w:w="811" w:type="dxa"/>
            <w:tcBorders>
              <w:top w:val="single" w:sz="4" w:space="0" w:color="000000"/>
              <w:left w:val="single" w:sz="4" w:space="0" w:color="000000"/>
              <w:bottom w:val="single" w:sz="4" w:space="0" w:color="000000"/>
              <w:right w:val="single" w:sz="4" w:space="0" w:color="000000"/>
            </w:tcBorders>
            <w:vAlign w:val="center"/>
          </w:tcPr>
          <w:p w14:paraId="7B3D1E36" w14:textId="77777777" w:rsidR="00E93504" w:rsidRDefault="00E93504" w:rsidP="00921FF3">
            <w:pPr>
              <w:pStyle w:val="In-tableHeading"/>
              <w:jc w:val="center"/>
              <w:rPr>
                <w:lang w:val="en-AU"/>
              </w:rPr>
            </w:pPr>
            <w:r>
              <w:rPr>
                <w:lang w:val="en-AU"/>
              </w:rPr>
              <w:t>№.of</w:t>
            </w:r>
          </w:p>
          <w:p w14:paraId="72BCFB0B" w14:textId="77777777" w:rsidR="00E93504" w:rsidRDefault="00E93504" w:rsidP="00921FF3">
            <w:pPr>
              <w:pStyle w:val="In-tableHeading"/>
              <w:jc w:val="center"/>
              <w:rPr>
                <w:lang w:val="en-AU"/>
              </w:rPr>
            </w:pPr>
            <w:r>
              <w:rPr>
                <w:lang w:val="en-AU"/>
              </w:rPr>
              <w:t>Rpts</w:t>
            </w:r>
          </w:p>
        </w:tc>
        <w:tc>
          <w:tcPr>
            <w:tcW w:w="2094" w:type="dxa"/>
            <w:tcBorders>
              <w:top w:val="single" w:sz="4" w:space="0" w:color="000000"/>
              <w:left w:val="single" w:sz="4" w:space="0" w:color="000000"/>
              <w:bottom w:val="single" w:sz="4" w:space="0" w:color="000000"/>
              <w:right w:val="single" w:sz="4" w:space="0" w:color="000000"/>
            </w:tcBorders>
            <w:vAlign w:val="center"/>
          </w:tcPr>
          <w:p w14:paraId="56F7D7E5" w14:textId="77777777" w:rsidR="00E93504" w:rsidRDefault="00E93504" w:rsidP="00921FF3">
            <w:pPr>
              <w:pStyle w:val="In-tableHeading"/>
              <w:jc w:val="center"/>
              <w:rPr>
                <w:lang w:val="en-AU"/>
              </w:rPr>
            </w:pPr>
            <w:r>
              <w:rPr>
                <w:lang w:val="en-AU"/>
              </w:rPr>
              <w:t>Available brands</w:t>
            </w:r>
          </w:p>
        </w:tc>
      </w:tr>
      <w:tr w:rsidR="00E93504" w14:paraId="299EEEF0" w14:textId="77777777">
        <w:trPr>
          <w:cantSplit/>
          <w:trHeight w:val="20"/>
        </w:trPr>
        <w:tc>
          <w:tcPr>
            <w:tcW w:w="9026" w:type="dxa"/>
            <w:gridSpan w:val="6"/>
            <w:tcBorders>
              <w:top w:val="single" w:sz="4" w:space="0" w:color="000000"/>
              <w:left w:val="single" w:sz="4" w:space="0" w:color="000000"/>
              <w:bottom w:val="single" w:sz="4" w:space="0" w:color="000000"/>
              <w:right w:val="single" w:sz="4" w:space="0" w:color="000000"/>
            </w:tcBorders>
            <w:vAlign w:val="center"/>
          </w:tcPr>
          <w:p w14:paraId="28C85CDA" w14:textId="77777777" w:rsidR="00E93504" w:rsidRDefault="00E93504" w:rsidP="00921FF3">
            <w:pPr>
              <w:pStyle w:val="TableText"/>
              <w:widowControl/>
              <w:rPr>
                <w:rFonts w:cs="Arial"/>
                <w:szCs w:val="20"/>
              </w:rPr>
            </w:pPr>
            <w:r>
              <w:t>RETEVMO</w:t>
            </w:r>
          </w:p>
        </w:tc>
      </w:tr>
      <w:tr w:rsidR="00E93504" w14:paraId="1024D04D" w14:textId="77777777">
        <w:trPr>
          <w:cantSplit/>
          <w:trHeight w:val="20"/>
        </w:trPr>
        <w:tc>
          <w:tcPr>
            <w:tcW w:w="2697" w:type="dxa"/>
            <w:tcBorders>
              <w:top w:val="single" w:sz="4" w:space="0" w:color="000000"/>
              <w:left w:val="single" w:sz="4" w:space="0" w:color="000000"/>
              <w:bottom w:val="single" w:sz="4" w:space="0" w:color="000000"/>
              <w:right w:val="single" w:sz="4" w:space="0" w:color="000000"/>
            </w:tcBorders>
            <w:vAlign w:val="center"/>
          </w:tcPr>
          <w:p w14:paraId="51413B90" w14:textId="77777777" w:rsidR="00E93504" w:rsidRDefault="00E93504" w:rsidP="00921FF3">
            <w:pPr>
              <w:pStyle w:val="TableText"/>
              <w:widowControl/>
              <w:rPr>
                <w:color w:val="0066FF"/>
                <w:szCs w:val="20"/>
              </w:rPr>
            </w:pPr>
            <w:r>
              <w:t>Selpercatinib, capsule, 80 mg</w:t>
            </w:r>
          </w:p>
        </w:tc>
        <w:tc>
          <w:tcPr>
            <w:tcW w:w="1532" w:type="dxa"/>
            <w:tcBorders>
              <w:top w:val="single" w:sz="4" w:space="0" w:color="000000"/>
              <w:left w:val="single" w:sz="4" w:space="0" w:color="000000"/>
              <w:bottom w:val="single" w:sz="4" w:space="0" w:color="000000"/>
              <w:right w:val="single" w:sz="4" w:space="0" w:color="000000"/>
            </w:tcBorders>
            <w:vAlign w:val="center"/>
          </w:tcPr>
          <w:p w14:paraId="4E96DD00" w14:textId="77777777" w:rsidR="00E93504" w:rsidRDefault="00E93504" w:rsidP="00921FF3">
            <w:pPr>
              <w:pStyle w:val="TableText"/>
              <w:keepNext/>
              <w:keepLines/>
              <w:widowControl/>
              <w:jc w:val="center"/>
            </w:pPr>
            <w:r>
              <w:t>$8,062.94</w:t>
            </w:r>
          </w:p>
        </w:tc>
        <w:tc>
          <w:tcPr>
            <w:tcW w:w="991" w:type="dxa"/>
            <w:tcBorders>
              <w:top w:val="single" w:sz="4" w:space="0" w:color="000000"/>
              <w:left w:val="single" w:sz="4" w:space="0" w:color="000000"/>
              <w:bottom w:val="single" w:sz="4" w:space="0" w:color="000000"/>
              <w:right w:val="single" w:sz="4" w:space="0" w:color="000000"/>
            </w:tcBorders>
            <w:vAlign w:val="center"/>
          </w:tcPr>
          <w:p w14:paraId="0CA9331A" w14:textId="77777777" w:rsidR="00E93504" w:rsidRDefault="00E93504" w:rsidP="00921FF3">
            <w:pPr>
              <w:pStyle w:val="TableText"/>
              <w:widowControl/>
              <w:jc w:val="center"/>
              <w:rPr>
                <w:szCs w:val="20"/>
              </w:rPr>
            </w:pPr>
            <w: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521A27B6" w14:textId="387737A1" w:rsidR="00E93504" w:rsidRDefault="00E93504" w:rsidP="00921FF3">
            <w:pPr>
              <w:pStyle w:val="TableText"/>
              <w:widowControl/>
              <w:jc w:val="center"/>
              <w:rPr>
                <w:szCs w:val="20"/>
              </w:rPr>
            </w:pPr>
            <w:r w:rsidRPr="00E93504">
              <w:rPr>
                <w:i/>
                <w:iCs/>
              </w:rPr>
              <w:t>112</w:t>
            </w:r>
            <w:r>
              <w:t xml:space="preserve"> </w:t>
            </w:r>
            <w:r w:rsidRPr="00E93504">
              <w:rPr>
                <w:strike/>
              </w:rPr>
              <w:t>56</w:t>
            </w:r>
          </w:p>
        </w:tc>
        <w:tc>
          <w:tcPr>
            <w:tcW w:w="811" w:type="dxa"/>
            <w:tcBorders>
              <w:top w:val="single" w:sz="4" w:space="0" w:color="000000"/>
              <w:left w:val="single" w:sz="4" w:space="0" w:color="000000"/>
              <w:bottom w:val="single" w:sz="4" w:space="0" w:color="000000"/>
              <w:right w:val="single" w:sz="4" w:space="0" w:color="000000"/>
            </w:tcBorders>
            <w:vAlign w:val="center"/>
          </w:tcPr>
          <w:p w14:paraId="507264F5" w14:textId="77777777" w:rsidR="00E93504" w:rsidRDefault="00E93504" w:rsidP="00921FF3">
            <w:pPr>
              <w:pStyle w:val="TableText"/>
              <w:widowControl/>
              <w:jc w:val="center"/>
              <w:rPr>
                <w:szCs w:val="20"/>
              </w:rPr>
            </w:pPr>
            <w:r>
              <w:t>5</w:t>
            </w:r>
          </w:p>
        </w:tc>
        <w:tc>
          <w:tcPr>
            <w:tcW w:w="2094" w:type="dxa"/>
            <w:tcBorders>
              <w:top w:val="single" w:sz="4" w:space="0" w:color="000000"/>
              <w:left w:val="single" w:sz="4" w:space="0" w:color="000000"/>
              <w:bottom w:val="single" w:sz="4" w:space="0" w:color="000000"/>
              <w:right w:val="single" w:sz="4" w:space="0" w:color="000000"/>
            </w:tcBorders>
            <w:vAlign w:val="center"/>
          </w:tcPr>
          <w:p w14:paraId="4F97DDCD" w14:textId="77777777" w:rsidR="00E93504" w:rsidRDefault="00E93504" w:rsidP="00921FF3">
            <w:pPr>
              <w:pStyle w:val="TableText"/>
              <w:widowControl/>
              <w:rPr>
                <w:color w:val="0066FF"/>
                <w:szCs w:val="20"/>
              </w:rPr>
            </w:pPr>
            <w:r>
              <w:t>RETEVMO®, Eli Lilly Australia Pty Ltd</w:t>
            </w:r>
          </w:p>
        </w:tc>
      </w:tr>
      <w:tr w:rsidR="00E93504" w14:paraId="77E53E02" w14:textId="77777777">
        <w:trPr>
          <w:cantSplit/>
          <w:trHeight w:val="20"/>
        </w:trPr>
        <w:tc>
          <w:tcPr>
            <w:tcW w:w="2697" w:type="dxa"/>
            <w:tcBorders>
              <w:top w:val="single" w:sz="4" w:space="0" w:color="000000"/>
              <w:left w:val="single" w:sz="4" w:space="0" w:color="000000"/>
              <w:bottom w:val="single" w:sz="4" w:space="0" w:color="000000"/>
              <w:right w:val="single" w:sz="4" w:space="0" w:color="000000"/>
            </w:tcBorders>
            <w:vAlign w:val="center"/>
          </w:tcPr>
          <w:p w14:paraId="6F57D0BE" w14:textId="77777777" w:rsidR="00E93504" w:rsidRDefault="00E93504" w:rsidP="00921FF3">
            <w:pPr>
              <w:pStyle w:val="TableText"/>
              <w:widowControl/>
            </w:pPr>
            <w:r>
              <w:t>Selpercatinib, capsule, 40 mg</w:t>
            </w:r>
          </w:p>
        </w:tc>
        <w:tc>
          <w:tcPr>
            <w:tcW w:w="1532" w:type="dxa"/>
            <w:tcBorders>
              <w:top w:val="single" w:sz="4" w:space="0" w:color="000000"/>
              <w:left w:val="single" w:sz="4" w:space="0" w:color="000000"/>
              <w:bottom w:val="single" w:sz="4" w:space="0" w:color="000000"/>
              <w:right w:val="single" w:sz="4" w:space="0" w:color="000000"/>
            </w:tcBorders>
            <w:vAlign w:val="center"/>
          </w:tcPr>
          <w:p w14:paraId="16F000C3" w14:textId="77777777" w:rsidR="00E93504" w:rsidRDefault="00E93504" w:rsidP="00921FF3">
            <w:pPr>
              <w:pStyle w:val="TableText"/>
              <w:keepNext/>
              <w:keepLines/>
              <w:widowControl/>
              <w:jc w:val="center"/>
            </w:pPr>
            <w:r>
              <w:t>$2,137.93</w:t>
            </w:r>
          </w:p>
        </w:tc>
        <w:tc>
          <w:tcPr>
            <w:tcW w:w="991" w:type="dxa"/>
            <w:tcBorders>
              <w:top w:val="single" w:sz="4" w:space="0" w:color="000000"/>
              <w:left w:val="single" w:sz="4" w:space="0" w:color="000000"/>
              <w:bottom w:val="single" w:sz="4" w:space="0" w:color="000000"/>
              <w:right w:val="single" w:sz="4" w:space="0" w:color="000000"/>
            </w:tcBorders>
            <w:vAlign w:val="center"/>
          </w:tcPr>
          <w:p w14:paraId="1059F682" w14:textId="77777777" w:rsidR="00E93504" w:rsidRDefault="00E93504" w:rsidP="00921FF3">
            <w:pPr>
              <w:pStyle w:val="TableText"/>
              <w:widowControl/>
              <w:jc w:val="center"/>
            </w:pPr>
            <w:r>
              <w:t>1</w:t>
            </w:r>
          </w:p>
        </w:tc>
        <w:tc>
          <w:tcPr>
            <w:tcW w:w="901" w:type="dxa"/>
            <w:tcBorders>
              <w:top w:val="single" w:sz="4" w:space="0" w:color="000000"/>
              <w:left w:val="single" w:sz="4" w:space="0" w:color="000000"/>
              <w:bottom w:val="single" w:sz="4" w:space="0" w:color="000000"/>
              <w:right w:val="single" w:sz="4" w:space="0" w:color="000000"/>
            </w:tcBorders>
            <w:vAlign w:val="center"/>
          </w:tcPr>
          <w:p w14:paraId="66529F82" w14:textId="77777777" w:rsidR="00E93504" w:rsidRDefault="00E93504" w:rsidP="00921FF3">
            <w:pPr>
              <w:pStyle w:val="TableText"/>
              <w:widowControl/>
              <w:jc w:val="center"/>
            </w:pPr>
            <w:r>
              <w:t>56</w:t>
            </w:r>
          </w:p>
        </w:tc>
        <w:tc>
          <w:tcPr>
            <w:tcW w:w="811" w:type="dxa"/>
            <w:tcBorders>
              <w:top w:val="single" w:sz="4" w:space="0" w:color="000000"/>
              <w:left w:val="single" w:sz="4" w:space="0" w:color="000000"/>
              <w:bottom w:val="single" w:sz="4" w:space="0" w:color="000000"/>
              <w:right w:val="single" w:sz="4" w:space="0" w:color="000000"/>
            </w:tcBorders>
            <w:vAlign w:val="center"/>
          </w:tcPr>
          <w:p w14:paraId="0ABE269B" w14:textId="77777777" w:rsidR="00E93504" w:rsidRDefault="00E93504" w:rsidP="00921FF3">
            <w:pPr>
              <w:pStyle w:val="TableText"/>
              <w:widowControl/>
              <w:jc w:val="center"/>
            </w:pPr>
            <w:r>
              <w:t>5</w:t>
            </w:r>
          </w:p>
        </w:tc>
        <w:tc>
          <w:tcPr>
            <w:tcW w:w="2094" w:type="dxa"/>
            <w:tcBorders>
              <w:top w:val="single" w:sz="4" w:space="0" w:color="000000"/>
              <w:left w:val="single" w:sz="4" w:space="0" w:color="000000"/>
              <w:bottom w:val="single" w:sz="4" w:space="0" w:color="000000"/>
              <w:right w:val="single" w:sz="4" w:space="0" w:color="000000"/>
            </w:tcBorders>
            <w:vAlign w:val="center"/>
          </w:tcPr>
          <w:p w14:paraId="3BDBBCC2" w14:textId="77777777" w:rsidR="00E93504" w:rsidRDefault="00E93504" w:rsidP="00921FF3">
            <w:pPr>
              <w:pStyle w:val="TableText"/>
              <w:widowControl/>
              <w:rPr>
                <w:szCs w:val="20"/>
              </w:rPr>
            </w:pPr>
            <w:r>
              <w:t>RETEVMO®, Eli Lilly Australia Pty Ltd</w:t>
            </w:r>
          </w:p>
        </w:tc>
      </w:tr>
      <w:tr w:rsidR="00E93504" w14:paraId="555910E9" w14:textId="77777777">
        <w:trPr>
          <w:cantSplit/>
          <w:trHeight w:val="20"/>
        </w:trPr>
        <w:tc>
          <w:tcPr>
            <w:tcW w:w="2697" w:type="dxa"/>
            <w:tcBorders>
              <w:top w:val="single" w:sz="4" w:space="0" w:color="000000"/>
              <w:left w:val="single" w:sz="4" w:space="0" w:color="000000"/>
              <w:bottom w:val="single" w:sz="4" w:space="0" w:color="000000"/>
              <w:right w:val="single" w:sz="4" w:space="0" w:color="000000"/>
            </w:tcBorders>
            <w:vAlign w:val="center"/>
          </w:tcPr>
          <w:p w14:paraId="3088C345" w14:textId="6CDC27BD" w:rsidR="00E93504" w:rsidRDefault="004E1010" w:rsidP="00921FF3">
            <w:pPr>
              <w:pStyle w:val="TableText"/>
              <w:widowControl/>
              <w:rPr>
                <w:i/>
                <w:iCs/>
                <w:highlight w:val="yellow"/>
              </w:rPr>
            </w:pPr>
            <w:r w:rsidRPr="004E1010">
              <w:rPr>
                <w:i/>
                <w:iCs/>
              </w:rPr>
              <w:t xml:space="preserve"> </w:t>
            </w:r>
          </w:p>
        </w:tc>
        <w:tc>
          <w:tcPr>
            <w:tcW w:w="1532" w:type="dxa"/>
            <w:tcBorders>
              <w:top w:val="single" w:sz="4" w:space="0" w:color="000000"/>
              <w:left w:val="single" w:sz="4" w:space="0" w:color="000000"/>
              <w:bottom w:val="single" w:sz="4" w:space="0" w:color="000000"/>
              <w:right w:val="single" w:sz="4" w:space="0" w:color="000000"/>
            </w:tcBorders>
            <w:vAlign w:val="center"/>
          </w:tcPr>
          <w:p w14:paraId="09B80151" w14:textId="77777777" w:rsidR="00E93504" w:rsidRDefault="00E93504" w:rsidP="00921FF3">
            <w:pPr>
              <w:pStyle w:val="TableText"/>
              <w:keepNext/>
              <w:keepLines/>
              <w:widowControl/>
              <w:jc w:val="center"/>
              <w:rPr>
                <w:i/>
                <w:iCs/>
                <w:highlight w:val="yellow"/>
              </w:rPr>
            </w:pPr>
          </w:p>
        </w:tc>
        <w:tc>
          <w:tcPr>
            <w:tcW w:w="991" w:type="dxa"/>
            <w:tcBorders>
              <w:top w:val="single" w:sz="4" w:space="0" w:color="000000"/>
              <w:left w:val="single" w:sz="4" w:space="0" w:color="000000"/>
              <w:bottom w:val="single" w:sz="4" w:space="0" w:color="000000"/>
              <w:right w:val="single" w:sz="4" w:space="0" w:color="000000"/>
            </w:tcBorders>
            <w:vAlign w:val="center"/>
          </w:tcPr>
          <w:p w14:paraId="73172C55" w14:textId="77777777" w:rsidR="00E93504" w:rsidRDefault="00E93504" w:rsidP="00921FF3">
            <w:pPr>
              <w:pStyle w:val="TableText"/>
              <w:widowControl/>
              <w:jc w:val="center"/>
              <w:rPr>
                <w:i/>
                <w:iCs/>
                <w:highlight w:val="yellow"/>
              </w:rPr>
            </w:pPr>
          </w:p>
        </w:tc>
        <w:tc>
          <w:tcPr>
            <w:tcW w:w="901" w:type="dxa"/>
            <w:tcBorders>
              <w:top w:val="single" w:sz="4" w:space="0" w:color="000000"/>
              <w:left w:val="single" w:sz="4" w:space="0" w:color="000000"/>
              <w:bottom w:val="single" w:sz="4" w:space="0" w:color="000000"/>
              <w:right w:val="single" w:sz="4" w:space="0" w:color="000000"/>
            </w:tcBorders>
            <w:vAlign w:val="center"/>
          </w:tcPr>
          <w:p w14:paraId="5B0CA3A7" w14:textId="77777777" w:rsidR="00E93504" w:rsidRDefault="00E93504" w:rsidP="00921FF3">
            <w:pPr>
              <w:pStyle w:val="TableText"/>
              <w:widowControl/>
              <w:jc w:val="center"/>
              <w:rPr>
                <w:i/>
                <w:iCs/>
                <w:highlight w:val="yellow"/>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0EEF115E" w14:textId="77777777" w:rsidR="00E93504" w:rsidRDefault="00E93504" w:rsidP="00921FF3">
            <w:pPr>
              <w:pStyle w:val="TableText"/>
              <w:widowControl/>
              <w:jc w:val="center"/>
              <w:rPr>
                <w:i/>
                <w:iCs/>
                <w:highlight w:val="yellow"/>
              </w:rPr>
            </w:pPr>
          </w:p>
        </w:tc>
        <w:tc>
          <w:tcPr>
            <w:tcW w:w="2094" w:type="dxa"/>
            <w:tcBorders>
              <w:top w:val="single" w:sz="4" w:space="0" w:color="000000"/>
              <w:left w:val="single" w:sz="4" w:space="0" w:color="000000"/>
              <w:bottom w:val="single" w:sz="4" w:space="0" w:color="000000"/>
              <w:right w:val="single" w:sz="4" w:space="0" w:color="000000"/>
            </w:tcBorders>
            <w:vAlign w:val="center"/>
          </w:tcPr>
          <w:p w14:paraId="0479F282" w14:textId="77777777" w:rsidR="00E93504" w:rsidRDefault="00E93504" w:rsidP="00921FF3">
            <w:pPr>
              <w:pStyle w:val="TableText"/>
              <w:widowControl/>
              <w:rPr>
                <w:i/>
                <w:iCs/>
                <w:highlight w:val="yellow"/>
              </w:rPr>
            </w:pPr>
          </w:p>
        </w:tc>
      </w:tr>
      <w:tr w:rsidR="00E93504" w14:paraId="0880802C" w14:textId="77777777">
        <w:trPr>
          <w:cantSplit/>
          <w:trHeight w:val="20"/>
        </w:trPr>
        <w:tc>
          <w:tcPr>
            <w:tcW w:w="2697" w:type="dxa"/>
            <w:tcBorders>
              <w:top w:val="single" w:sz="4" w:space="0" w:color="000000"/>
              <w:left w:val="single" w:sz="4" w:space="0" w:color="000000"/>
              <w:bottom w:val="single" w:sz="4" w:space="0" w:color="000000"/>
              <w:right w:val="single" w:sz="4" w:space="0" w:color="000000"/>
            </w:tcBorders>
            <w:vAlign w:val="center"/>
          </w:tcPr>
          <w:p w14:paraId="54EA9083" w14:textId="77777777" w:rsidR="00E93504" w:rsidRDefault="00E93504" w:rsidP="00921FF3">
            <w:pPr>
              <w:pStyle w:val="TableText"/>
              <w:widowControl/>
            </w:pPr>
            <w:r>
              <w:lastRenderedPageBreak/>
              <w:t>Selpercatinib, tablet, 80 mg</w:t>
            </w:r>
          </w:p>
        </w:tc>
        <w:tc>
          <w:tcPr>
            <w:tcW w:w="1532" w:type="dxa"/>
            <w:tcBorders>
              <w:top w:val="single" w:sz="4" w:space="0" w:color="000000"/>
              <w:left w:val="single" w:sz="4" w:space="0" w:color="000000"/>
              <w:bottom w:val="single" w:sz="4" w:space="0" w:color="000000"/>
              <w:right w:val="single" w:sz="4" w:space="0" w:color="000000"/>
            </w:tcBorders>
            <w:vAlign w:val="center"/>
          </w:tcPr>
          <w:p w14:paraId="45B6D193" w14:textId="77777777" w:rsidR="00E93504" w:rsidRDefault="00E93504" w:rsidP="00921FF3">
            <w:pPr>
              <w:pStyle w:val="TableText"/>
              <w:keepNext/>
              <w:keepLines/>
              <w:widowControl/>
              <w:jc w:val="center"/>
            </w:pPr>
            <w:r>
              <w:t>$8,062.94</w:t>
            </w:r>
          </w:p>
        </w:tc>
        <w:tc>
          <w:tcPr>
            <w:tcW w:w="991" w:type="dxa"/>
            <w:tcBorders>
              <w:top w:val="single" w:sz="4" w:space="0" w:color="000000"/>
              <w:left w:val="single" w:sz="4" w:space="0" w:color="000000"/>
              <w:bottom w:val="single" w:sz="4" w:space="0" w:color="000000"/>
              <w:right w:val="single" w:sz="4" w:space="0" w:color="000000"/>
            </w:tcBorders>
            <w:vAlign w:val="center"/>
          </w:tcPr>
          <w:p w14:paraId="1192C208" w14:textId="77777777" w:rsidR="00E93504" w:rsidRDefault="00E93504" w:rsidP="00921FF3">
            <w:pPr>
              <w:pStyle w:val="TableText"/>
              <w:widowControl/>
              <w:jc w:val="center"/>
            </w:pPr>
            <w:r>
              <w:t>2</w:t>
            </w:r>
          </w:p>
        </w:tc>
        <w:tc>
          <w:tcPr>
            <w:tcW w:w="901" w:type="dxa"/>
            <w:tcBorders>
              <w:top w:val="single" w:sz="4" w:space="0" w:color="000000"/>
              <w:left w:val="single" w:sz="4" w:space="0" w:color="000000"/>
              <w:bottom w:val="single" w:sz="4" w:space="0" w:color="000000"/>
              <w:right w:val="single" w:sz="4" w:space="0" w:color="000000"/>
            </w:tcBorders>
            <w:vAlign w:val="center"/>
          </w:tcPr>
          <w:p w14:paraId="462A6746" w14:textId="6B8F6F65" w:rsidR="00E93504" w:rsidRDefault="00E93504" w:rsidP="00921FF3">
            <w:pPr>
              <w:pStyle w:val="TableText"/>
              <w:widowControl/>
              <w:jc w:val="center"/>
            </w:pPr>
            <w:r w:rsidRPr="00E93504">
              <w:rPr>
                <w:i/>
                <w:iCs/>
              </w:rPr>
              <w:t>112</w:t>
            </w:r>
            <w:r>
              <w:t xml:space="preserve"> </w:t>
            </w:r>
            <w:r w:rsidRPr="00E93504">
              <w:rPr>
                <w:strike/>
              </w:rPr>
              <w:t>56</w:t>
            </w:r>
          </w:p>
        </w:tc>
        <w:tc>
          <w:tcPr>
            <w:tcW w:w="811" w:type="dxa"/>
            <w:tcBorders>
              <w:top w:val="single" w:sz="4" w:space="0" w:color="000000"/>
              <w:left w:val="single" w:sz="4" w:space="0" w:color="000000"/>
              <w:bottom w:val="single" w:sz="4" w:space="0" w:color="000000"/>
              <w:right w:val="single" w:sz="4" w:space="0" w:color="000000"/>
            </w:tcBorders>
            <w:vAlign w:val="center"/>
          </w:tcPr>
          <w:p w14:paraId="63C8D560" w14:textId="77777777" w:rsidR="00E93504" w:rsidRDefault="00E93504" w:rsidP="00921FF3">
            <w:pPr>
              <w:pStyle w:val="TableText"/>
              <w:widowControl/>
              <w:jc w:val="center"/>
            </w:pPr>
            <w:r>
              <w:t>5</w:t>
            </w:r>
          </w:p>
        </w:tc>
        <w:tc>
          <w:tcPr>
            <w:tcW w:w="2094" w:type="dxa"/>
            <w:tcBorders>
              <w:top w:val="single" w:sz="4" w:space="0" w:color="000000"/>
              <w:left w:val="single" w:sz="4" w:space="0" w:color="000000"/>
              <w:bottom w:val="single" w:sz="4" w:space="0" w:color="000000"/>
              <w:right w:val="single" w:sz="4" w:space="0" w:color="000000"/>
            </w:tcBorders>
            <w:vAlign w:val="center"/>
          </w:tcPr>
          <w:p w14:paraId="2AAEA1C3" w14:textId="77777777" w:rsidR="00E93504" w:rsidRDefault="00E93504" w:rsidP="00921FF3">
            <w:pPr>
              <w:pStyle w:val="TableText"/>
              <w:widowControl/>
              <w:rPr>
                <w:szCs w:val="20"/>
              </w:rPr>
            </w:pPr>
            <w:r>
              <w:t>RETEVMO®, Eli Lilly Australia Pty Ltd</w:t>
            </w:r>
          </w:p>
        </w:tc>
      </w:tr>
      <w:tr w:rsidR="00E93504" w14:paraId="3C25D5BF" w14:textId="77777777">
        <w:trPr>
          <w:cantSplit/>
          <w:trHeight w:val="20"/>
        </w:trPr>
        <w:tc>
          <w:tcPr>
            <w:tcW w:w="2697" w:type="dxa"/>
            <w:tcBorders>
              <w:top w:val="single" w:sz="4" w:space="0" w:color="000000"/>
              <w:left w:val="single" w:sz="4" w:space="0" w:color="000000"/>
              <w:bottom w:val="single" w:sz="4" w:space="0" w:color="000000"/>
              <w:right w:val="single" w:sz="4" w:space="0" w:color="000000"/>
            </w:tcBorders>
            <w:vAlign w:val="center"/>
          </w:tcPr>
          <w:p w14:paraId="44C1D2A7" w14:textId="77777777" w:rsidR="00E93504" w:rsidRDefault="00E93504" w:rsidP="00921FF3">
            <w:pPr>
              <w:pStyle w:val="TableText"/>
              <w:widowControl/>
              <w:rPr>
                <w:color w:val="0066FF"/>
                <w:szCs w:val="20"/>
              </w:rPr>
            </w:pPr>
            <w:r>
              <w:t>Selpercatinib, tablet, 40 mg</w:t>
            </w:r>
          </w:p>
        </w:tc>
        <w:tc>
          <w:tcPr>
            <w:tcW w:w="1532" w:type="dxa"/>
            <w:tcBorders>
              <w:top w:val="single" w:sz="4" w:space="0" w:color="000000"/>
              <w:left w:val="single" w:sz="4" w:space="0" w:color="000000"/>
              <w:bottom w:val="single" w:sz="4" w:space="0" w:color="000000"/>
              <w:right w:val="single" w:sz="4" w:space="0" w:color="000000"/>
            </w:tcBorders>
            <w:vAlign w:val="center"/>
          </w:tcPr>
          <w:p w14:paraId="5ABB331F" w14:textId="77777777" w:rsidR="00E93504" w:rsidRDefault="00E93504" w:rsidP="00921FF3">
            <w:pPr>
              <w:pStyle w:val="TableText"/>
              <w:keepNext/>
              <w:keepLines/>
              <w:widowControl/>
              <w:jc w:val="center"/>
            </w:pPr>
            <w:r>
              <w:t>$2,137.93</w:t>
            </w:r>
          </w:p>
        </w:tc>
        <w:tc>
          <w:tcPr>
            <w:tcW w:w="991" w:type="dxa"/>
            <w:tcBorders>
              <w:top w:val="single" w:sz="4" w:space="0" w:color="000000"/>
              <w:left w:val="single" w:sz="4" w:space="0" w:color="000000"/>
              <w:bottom w:val="single" w:sz="4" w:space="0" w:color="000000"/>
              <w:right w:val="single" w:sz="4" w:space="0" w:color="000000"/>
            </w:tcBorders>
            <w:vAlign w:val="center"/>
          </w:tcPr>
          <w:p w14:paraId="5AA52006" w14:textId="77777777" w:rsidR="00E93504" w:rsidRDefault="00E93504" w:rsidP="00921FF3">
            <w:pPr>
              <w:pStyle w:val="TableText"/>
              <w:widowControl/>
              <w:jc w:val="center"/>
              <w:rPr>
                <w:szCs w:val="20"/>
              </w:rPr>
            </w:pPr>
            <w:r>
              <w:t>1</w:t>
            </w:r>
          </w:p>
        </w:tc>
        <w:tc>
          <w:tcPr>
            <w:tcW w:w="901" w:type="dxa"/>
            <w:tcBorders>
              <w:top w:val="single" w:sz="4" w:space="0" w:color="000000"/>
              <w:left w:val="single" w:sz="4" w:space="0" w:color="000000"/>
              <w:bottom w:val="single" w:sz="4" w:space="0" w:color="000000"/>
              <w:right w:val="single" w:sz="4" w:space="0" w:color="000000"/>
            </w:tcBorders>
            <w:vAlign w:val="center"/>
          </w:tcPr>
          <w:p w14:paraId="0BCA7860" w14:textId="77777777" w:rsidR="00E93504" w:rsidRDefault="00E93504" w:rsidP="00921FF3">
            <w:pPr>
              <w:pStyle w:val="TableText"/>
              <w:widowControl/>
              <w:jc w:val="center"/>
              <w:rPr>
                <w:szCs w:val="20"/>
              </w:rPr>
            </w:pPr>
            <w:r>
              <w:t>56</w:t>
            </w:r>
          </w:p>
        </w:tc>
        <w:tc>
          <w:tcPr>
            <w:tcW w:w="811" w:type="dxa"/>
            <w:tcBorders>
              <w:top w:val="single" w:sz="4" w:space="0" w:color="000000"/>
              <w:left w:val="single" w:sz="4" w:space="0" w:color="000000"/>
              <w:bottom w:val="single" w:sz="4" w:space="0" w:color="000000"/>
              <w:right w:val="single" w:sz="4" w:space="0" w:color="000000"/>
            </w:tcBorders>
            <w:vAlign w:val="center"/>
          </w:tcPr>
          <w:p w14:paraId="7178A774" w14:textId="77777777" w:rsidR="00E93504" w:rsidRDefault="00E93504" w:rsidP="00921FF3">
            <w:pPr>
              <w:pStyle w:val="TableText"/>
              <w:widowControl/>
              <w:jc w:val="center"/>
              <w:rPr>
                <w:szCs w:val="20"/>
              </w:rPr>
            </w:pPr>
            <w:r>
              <w:t>5</w:t>
            </w:r>
          </w:p>
        </w:tc>
        <w:tc>
          <w:tcPr>
            <w:tcW w:w="2094" w:type="dxa"/>
            <w:tcBorders>
              <w:top w:val="single" w:sz="4" w:space="0" w:color="000000"/>
              <w:left w:val="single" w:sz="4" w:space="0" w:color="000000"/>
              <w:bottom w:val="single" w:sz="4" w:space="0" w:color="000000"/>
              <w:right w:val="single" w:sz="4" w:space="0" w:color="000000"/>
            </w:tcBorders>
            <w:vAlign w:val="center"/>
          </w:tcPr>
          <w:p w14:paraId="3CBD1044" w14:textId="77777777" w:rsidR="00E93504" w:rsidRDefault="00E93504" w:rsidP="00921FF3">
            <w:pPr>
              <w:pStyle w:val="TableText"/>
              <w:widowControl/>
              <w:rPr>
                <w:color w:val="0066FF"/>
                <w:szCs w:val="20"/>
              </w:rPr>
            </w:pPr>
            <w:r>
              <w:t>RETEVMO®, Eli Lilly Australia Pty Ltd</w:t>
            </w:r>
          </w:p>
        </w:tc>
      </w:tr>
    </w:tbl>
    <w:p w14:paraId="2D9FB2A0" w14:textId="07BC56F0" w:rsidR="00EE2BC7" w:rsidRDefault="00EE2BC7" w:rsidP="00921FF3">
      <w:pPr>
        <w:spacing w:before="0" w:after="0"/>
        <w:jc w:val="left"/>
        <w:rPr>
          <w:lang w:eastAsia="en-AU"/>
        </w:rPr>
      </w:pPr>
    </w:p>
    <w:p w14:paraId="67191BBB" w14:textId="77777777" w:rsidR="00E93504" w:rsidRPr="003365A8" w:rsidRDefault="00E93504" w:rsidP="00921FF3">
      <w:pPr>
        <w:pStyle w:val="3-BodyText"/>
        <w:numPr>
          <w:ilvl w:val="0"/>
          <w:numId w:val="0"/>
        </w:numPr>
      </w:pPr>
    </w:p>
    <w:tbl>
      <w:tblPr>
        <w:tblW w:w="5000" w:type="pct"/>
        <w:tblLayout w:type="fixed"/>
        <w:tblLook w:val="0000" w:firstRow="0" w:lastRow="0" w:firstColumn="0" w:lastColumn="0" w:noHBand="0" w:noVBand="0"/>
        <w:tblCaption w:val="Requested listing"/>
      </w:tblPr>
      <w:tblGrid>
        <w:gridCol w:w="9016"/>
      </w:tblGrid>
      <w:tr w:rsidR="00E541FA" w:rsidRPr="009F2AA4" w14:paraId="0CD93EB4" w14:textId="125CD270" w:rsidTr="00F918CA">
        <w:trPr>
          <w:trHeight w:val="20"/>
        </w:trPr>
        <w:tc>
          <w:tcPr>
            <w:tcW w:w="9016" w:type="dxa"/>
            <w:tcBorders>
              <w:top w:val="single" w:sz="4" w:space="0" w:color="000000"/>
              <w:left w:val="single" w:sz="4" w:space="0" w:color="000000"/>
              <w:bottom w:val="single" w:sz="4" w:space="0" w:color="000000"/>
              <w:right w:val="single" w:sz="4" w:space="0" w:color="auto"/>
            </w:tcBorders>
            <w:vAlign w:val="center"/>
          </w:tcPr>
          <w:p w14:paraId="0E01D800" w14:textId="697E87FF" w:rsidR="00E541FA" w:rsidRPr="00F918CA" w:rsidRDefault="00E541FA" w:rsidP="00921FF3">
            <w:pPr>
              <w:keepLines/>
              <w:spacing w:before="0" w:after="0"/>
              <w:jc w:val="left"/>
              <w:rPr>
                <w:rFonts w:ascii="Arial Narrow" w:eastAsia="Calibri" w:hAnsi="Arial Narrow" w:cs="Arial"/>
                <w:b/>
                <w:sz w:val="20"/>
                <w:szCs w:val="20"/>
              </w:rPr>
            </w:pPr>
            <w:r w:rsidRPr="00F918CA">
              <w:rPr>
                <w:rFonts w:ascii="Arial Narrow" w:eastAsia="Calibri" w:hAnsi="Arial Narrow" w:cs="Times New Roman"/>
                <w:b/>
                <w:sz w:val="20"/>
                <w:szCs w:val="20"/>
              </w:rPr>
              <w:t>Restriction Summary [new] / Treatment of Concept: [new]</w:t>
            </w:r>
          </w:p>
        </w:tc>
      </w:tr>
      <w:tr w:rsidR="00E541FA" w:rsidRPr="009F2AA4" w14:paraId="66A4F949" w14:textId="77777777" w:rsidTr="00F918CA">
        <w:trPr>
          <w:trHeight w:val="20"/>
        </w:trPr>
        <w:tc>
          <w:tcPr>
            <w:tcW w:w="9016" w:type="dxa"/>
            <w:tcBorders>
              <w:top w:val="single" w:sz="4" w:space="0" w:color="000000"/>
              <w:left w:val="single" w:sz="4" w:space="0" w:color="auto"/>
              <w:bottom w:val="single" w:sz="4" w:space="0" w:color="000000"/>
              <w:right w:val="single" w:sz="4" w:space="0" w:color="000000"/>
            </w:tcBorders>
            <w:tcMar>
              <w:top w:w="15" w:type="dxa"/>
              <w:bottom w:w="15" w:type="dxa"/>
            </w:tcMar>
            <w:vAlign w:val="center"/>
          </w:tcPr>
          <w:p w14:paraId="17746074" w14:textId="77777777" w:rsidR="00E541FA" w:rsidRPr="00F918CA" w:rsidRDefault="00E541FA" w:rsidP="00921FF3">
            <w:pPr>
              <w:keepLines/>
              <w:spacing w:before="0" w:after="0"/>
              <w:jc w:val="left"/>
              <w:rPr>
                <w:rFonts w:ascii="Arial Narrow" w:eastAsia="Calibri" w:hAnsi="Arial Narrow" w:cs="Arial"/>
                <w:sz w:val="20"/>
                <w:szCs w:val="20"/>
              </w:rPr>
            </w:pPr>
            <w:r w:rsidRPr="00F918CA">
              <w:rPr>
                <w:rFonts w:ascii="Arial Narrow" w:eastAsia="Calibri" w:hAnsi="Arial Narrow" w:cs="Arial"/>
                <w:b/>
                <w:sz w:val="20"/>
                <w:szCs w:val="20"/>
              </w:rPr>
              <w:t>Category / Program:</w:t>
            </w:r>
            <w:r w:rsidRPr="00F918CA">
              <w:rPr>
                <w:rFonts w:ascii="Arial Narrow" w:eastAsia="Calibri" w:hAnsi="Arial Narrow" w:cs="Arial"/>
                <w:sz w:val="20"/>
                <w:szCs w:val="20"/>
              </w:rPr>
              <w:t xml:space="preserve"> </w:t>
            </w:r>
            <w:r w:rsidRPr="00F918CA">
              <w:fldChar w:fldCharType="begin">
                <w:ffData>
                  <w:name w:val="Check1"/>
                  <w:enabled/>
                  <w:calcOnExit w:val="0"/>
                  <w:checkBox>
                    <w:sizeAuto/>
                    <w:default w:val="0"/>
                    <w:checked/>
                  </w:checkBox>
                </w:ffData>
              </w:fldChar>
            </w:r>
            <w:r w:rsidRPr="00F918CA">
              <w:rPr>
                <w:rFonts w:ascii="Arial Narrow" w:eastAsia="Calibri" w:hAnsi="Arial Narrow" w:cs="Arial"/>
                <w:sz w:val="20"/>
                <w:szCs w:val="20"/>
              </w:rPr>
              <w:instrText xml:space="preserve"> FORMCHECKBOX </w:instrText>
            </w:r>
            <w:r w:rsidRPr="00F918CA">
              <w:rPr>
                <w:rFonts w:ascii="Arial Narrow" w:eastAsia="Calibri" w:hAnsi="Arial Narrow" w:cs="Arial"/>
                <w:sz w:val="20"/>
                <w:szCs w:val="20"/>
              </w:rPr>
            </w:r>
            <w:r w:rsidRPr="00F918CA">
              <w:rPr>
                <w:rFonts w:ascii="Arial Narrow" w:eastAsia="Calibri" w:hAnsi="Arial Narrow" w:cs="Arial"/>
                <w:sz w:val="20"/>
                <w:szCs w:val="20"/>
              </w:rPr>
              <w:fldChar w:fldCharType="separate"/>
            </w:r>
            <w:r w:rsidRPr="00F918CA">
              <w:rPr>
                <w:rFonts w:ascii="Arial Narrow" w:eastAsia="Calibri" w:hAnsi="Arial Narrow" w:cs="Arial"/>
                <w:sz w:val="20"/>
                <w:szCs w:val="20"/>
              </w:rPr>
              <w:fldChar w:fldCharType="end"/>
            </w:r>
            <w:r w:rsidRPr="00F918CA">
              <w:rPr>
                <w:rFonts w:ascii="Arial Narrow" w:eastAsia="Calibri" w:hAnsi="Arial Narrow" w:cs="Arial"/>
                <w:sz w:val="20"/>
                <w:szCs w:val="20"/>
              </w:rPr>
              <w:t xml:space="preserve"> GENERAL - General Schedule (Code GE) </w:t>
            </w:r>
          </w:p>
        </w:tc>
      </w:tr>
      <w:tr w:rsidR="00E541FA" w:rsidRPr="009F2AA4" w14:paraId="321ED19F" w14:textId="77777777" w:rsidTr="00F918CA">
        <w:trPr>
          <w:trHeight w:val="20"/>
        </w:trPr>
        <w:tc>
          <w:tcPr>
            <w:tcW w:w="9016" w:type="dxa"/>
            <w:tcBorders>
              <w:top w:val="single" w:sz="4" w:space="0" w:color="000000"/>
              <w:left w:val="single" w:sz="4" w:space="0" w:color="auto"/>
              <w:bottom w:val="single" w:sz="4" w:space="0" w:color="000000"/>
              <w:right w:val="single" w:sz="4" w:space="0" w:color="000000"/>
            </w:tcBorders>
            <w:tcMar>
              <w:top w:w="15" w:type="dxa"/>
              <w:bottom w:w="15" w:type="dxa"/>
            </w:tcMar>
            <w:vAlign w:val="center"/>
          </w:tcPr>
          <w:p w14:paraId="290B5093" w14:textId="77777777" w:rsidR="00E541FA" w:rsidRPr="00F918CA" w:rsidRDefault="00E541FA" w:rsidP="00921FF3">
            <w:pPr>
              <w:keepLines/>
              <w:spacing w:before="0" w:after="0"/>
              <w:rPr>
                <w:rFonts w:ascii="Arial Narrow" w:eastAsia="Calibri" w:hAnsi="Arial Narrow" w:cs="Arial"/>
                <w:b/>
                <w:sz w:val="20"/>
                <w:szCs w:val="20"/>
              </w:rPr>
            </w:pPr>
            <w:r w:rsidRPr="00F918CA">
              <w:rPr>
                <w:rFonts w:ascii="Arial Narrow" w:eastAsia="Calibri" w:hAnsi="Arial Narrow" w:cs="Arial"/>
                <w:b/>
                <w:sz w:val="20"/>
                <w:szCs w:val="20"/>
              </w:rPr>
              <w:t xml:space="preserve">Prescriber type: </w:t>
            </w:r>
            <w:r w:rsidRPr="00F918CA">
              <w:fldChar w:fldCharType="begin">
                <w:ffData>
                  <w:name w:val="Bookmark Copy 2"/>
                  <w:enabled/>
                  <w:calcOnExit w:val="0"/>
                  <w:checkBox>
                    <w:sizeAuto/>
                    <w:default w:val="0"/>
                    <w:checked/>
                  </w:checkBox>
                </w:ffData>
              </w:fldChar>
            </w:r>
            <w:r w:rsidRPr="00F918CA">
              <w:rPr>
                <w:rFonts w:ascii="Arial Narrow" w:eastAsia="Calibri" w:hAnsi="Arial Narrow" w:cs="Arial"/>
                <w:b/>
                <w:sz w:val="20"/>
                <w:szCs w:val="20"/>
              </w:rPr>
              <w:instrText xml:space="preserve"> FORMCHECKBOX </w:instrText>
            </w:r>
            <w:r w:rsidRPr="00F918CA">
              <w:rPr>
                <w:rFonts w:ascii="Arial Narrow" w:eastAsia="Calibri" w:hAnsi="Arial Narrow" w:cs="Arial"/>
                <w:b/>
                <w:sz w:val="20"/>
                <w:szCs w:val="20"/>
              </w:rPr>
            </w:r>
            <w:r w:rsidRPr="00F918CA">
              <w:rPr>
                <w:rFonts w:ascii="Arial Narrow" w:eastAsia="Calibri" w:hAnsi="Arial Narrow" w:cs="Arial"/>
                <w:b/>
                <w:sz w:val="20"/>
                <w:szCs w:val="20"/>
              </w:rPr>
              <w:fldChar w:fldCharType="separate"/>
            </w:r>
            <w:r w:rsidRPr="00F918CA">
              <w:rPr>
                <w:rFonts w:ascii="Arial Narrow" w:eastAsia="Calibri" w:hAnsi="Arial Narrow" w:cs="Arial"/>
                <w:b/>
                <w:sz w:val="20"/>
                <w:szCs w:val="20"/>
              </w:rPr>
              <w:fldChar w:fldCharType="end"/>
            </w:r>
            <w:r w:rsidRPr="00F918CA">
              <w:rPr>
                <w:rFonts w:ascii="Arial Narrow" w:eastAsia="Calibri" w:hAnsi="Arial Narrow" w:cs="Arial"/>
                <w:sz w:val="20"/>
                <w:szCs w:val="20"/>
              </w:rPr>
              <w:t>Medical Practitioners</w:t>
            </w:r>
          </w:p>
        </w:tc>
      </w:tr>
      <w:tr w:rsidR="00E541FA" w:rsidRPr="009F2AA4" w14:paraId="4B8E2C3E" w14:textId="77777777" w:rsidTr="00F918CA">
        <w:trPr>
          <w:trHeight w:val="20"/>
        </w:trPr>
        <w:tc>
          <w:tcPr>
            <w:tcW w:w="9016" w:type="dxa"/>
            <w:tcBorders>
              <w:top w:val="single" w:sz="4" w:space="0" w:color="000000"/>
              <w:left w:val="single" w:sz="4" w:space="0" w:color="auto"/>
              <w:bottom w:val="single" w:sz="4" w:space="0" w:color="000000"/>
              <w:right w:val="single" w:sz="4" w:space="0" w:color="000000"/>
            </w:tcBorders>
            <w:tcMar>
              <w:top w:w="15" w:type="dxa"/>
              <w:bottom w:w="15" w:type="dxa"/>
            </w:tcMar>
            <w:vAlign w:val="center"/>
          </w:tcPr>
          <w:p w14:paraId="736A2EB1" w14:textId="77777777" w:rsidR="00E541FA" w:rsidRPr="00F918CA" w:rsidRDefault="00E541FA" w:rsidP="00921FF3">
            <w:pPr>
              <w:keepLines/>
              <w:spacing w:before="0" w:after="0"/>
              <w:jc w:val="left"/>
              <w:rPr>
                <w:rFonts w:ascii="Arial Narrow" w:eastAsia="Calibri" w:hAnsi="Arial Narrow" w:cs="Arial"/>
                <w:sz w:val="20"/>
                <w:szCs w:val="20"/>
              </w:rPr>
            </w:pPr>
            <w:r w:rsidRPr="00F918CA">
              <w:rPr>
                <w:rFonts w:ascii="Arial Narrow" w:eastAsia="Calibri" w:hAnsi="Arial Narrow" w:cs="Arial"/>
                <w:b/>
                <w:sz w:val="20"/>
                <w:szCs w:val="20"/>
              </w:rPr>
              <w:t xml:space="preserve">Restriction type: </w:t>
            </w:r>
            <w:r w:rsidRPr="00F918CA">
              <w:fldChar w:fldCharType="begin">
                <w:ffData>
                  <w:name w:val="Bookmark Copy 3"/>
                  <w:enabled/>
                  <w:calcOnExit w:val="0"/>
                  <w:checkBox>
                    <w:sizeAuto/>
                    <w:default w:val="0"/>
                    <w:checked/>
                  </w:checkBox>
                </w:ffData>
              </w:fldChar>
            </w:r>
            <w:r w:rsidRPr="00F918CA">
              <w:rPr>
                <w:rFonts w:ascii="Arial Narrow" w:eastAsia="Calibri" w:hAnsi="Arial Narrow" w:cs="Arial"/>
                <w:b/>
                <w:sz w:val="20"/>
                <w:szCs w:val="20"/>
              </w:rPr>
              <w:instrText xml:space="preserve"> FORMCHECKBOX </w:instrText>
            </w:r>
            <w:r w:rsidRPr="00F918CA">
              <w:rPr>
                <w:rFonts w:ascii="Arial Narrow" w:eastAsia="Calibri" w:hAnsi="Arial Narrow" w:cs="Arial"/>
                <w:b/>
                <w:sz w:val="20"/>
                <w:szCs w:val="20"/>
              </w:rPr>
            </w:r>
            <w:r w:rsidRPr="00F918CA">
              <w:rPr>
                <w:rFonts w:ascii="Arial Narrow" w:eastAsia="Calibri" w:hAnsi="Arial Narrow" w:cs="Arial"/>
                <w:b/>
                <w:sz w:val="20"/>
                <w:szCs w:val="20"/>
              </w:rPr>
              <w:fldChar w:fldCharType="separate"/>
            </w:r>
            <w:r w:rsidRPr="00F918CA">
              <w:rPr>
                <w:rFonts w:ascii="Arial Narrow" w:eastAsia="Calibri" w:hAnsi="Arial Narrow" w:cs="Arial"/>
                <w:b/>
                <w:sz w:val="20"/>
                <w:szCs w:val="20"/>
              </w:rPr>
              <w:fldChar w:fldCharType="end"/>
            </w:r>
            <w:r w:rsidRPr="00F918CA">
              <w:rPr>
                <w:rFonts w:ascii="Arial Narrow" w:eastAsia="Calibri" w:hAnsi="Arial Narrow" w:cs="Arial"/>
                <w:sz w:val="20"/>
                <w:szCs w:val="20"/>
              </w:rPr>
              <w:t xml:space="preserve">Authority Required (Streamlined) [new code] </w:t>
            </w:r>
          </w:p>
        </w:tc>
      </w:tr>
      <w:tr w:rsidR="00E541FA" w:rsidRPr="009F2AA4" w14:paraId="5AADAC59" w14:textId="77777777" w:rsidTr="00F918CA">
        <w:trPr>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6A6909E6" w14:textId="77777777" w:rsidR="00E541FA" w:rsidRPr="00F918CA" w:rsidRDefault="00E541FA" w:rsidP="00921FF3">
            <w:pPr>
              <w:spacing w:before="0" w:after="0"/>
              <w:jc w:val="left"/>
              <w:rPr>
                <w:rFonts w:ascii="Arial Narrow" w:eastAsia="Times New Roman" w:hAnsi="Arial Narrow" w:cs="Times New Roman"/>
                <w:b/>
                <w:bCs/>
                <w:sz w:val="20"/>
                <w:szCs w:val="20"/>
                <w:lang w:eastAsia="en-AU"/>
              </w:rPr>
            </w:pPr>
            <w:r w:rsidRPr="00F918CA">
              <w:rPr>
                <w:rFonts w:ascii="Arial Narrow" w:eastAsia="Times New Roman" w:hAnsi="Arial Narrow" w:cs="Times New Roman"/>
                <w:b/>
                <w:bCs/>
                <w:sz w:val="20"/>
                <w:szCs w:val="20"/>
                <w:lang w:eastAsia="en-AU"/>
              </w:rPr>
              <w:t>Administrative Advice:</w:t>
            </w:r>
            <w:r w:rsidRPr="00F918CA">
              <w:rPr>
                <w:rFonts w:ascii="Times New Roman" w:eastAsia="Calibri" w:hAnsi="Times New Roman" w:cs="Times New Roman"/>
                <w:szCs w:val="24"/>
              </w:rPr>
              <w:t xml:space="preserve"> </w:t>
            </w:r>
            <w:r w:rsidRPr="00F918CA">
              <w:rPr>
                <w:rFonts w:ascii="Arial Narrow" w:eastAsia="Times New Roman" w:hAnsi="Arial Narrow" w:cs="Times New Roman"/>
                <w:bCs/>
                <w:sz w:val="20"/>
                <w:szCs w:val="20"/>
                <w:lang w:eastAsia="en-AU"/>
              </w:rPr>
              <w:t>No increase in the maximum quantity or number of units may be authorised</w:t>
            </w:r>
          </w:p>
        </w:tc>
      </w:tr>
      <w:tr w:rsidR="00E541FA" w:rsidRPr="009F2AA4" w14:paraId="0CC53946" w14:textId="77777777" w:rsidTr="00F918CA">
        <w:trPr>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30A6DEFC" w14:textId="77777777" w:rsidR="00E541FA" w:rsidRPr="00F918CA" w:rsidRDefault="00E541FA" w:rsidP="00921FF3">
            <w:pPr>
              <w:spacing w:before="0" w:after="0"/>
              <w:jc w:val="left"/>
              <w:rPr>
                <w:rFonts w:ascii="Arial Narrow" w:eastAsia="Times New Roman" w:hAnsi="Arial Narrow" w:cs="Times New Roman"/>
                <w:b/>
                <w:bCs/>
                <w:sz w:val="20"/>
                <w:szCs w:val="20"/>
                <w:lang w:eastAsia="en-AU"/>
              </w:rPr>
            </w:pPr>
            <w:r w:rsidRPr="00F918CA">
              <w:rPr>
                <w:rFonts w:ascii="Arial Narrow" w:eastAsia="Times New Roman" w:hAnsi="Arial Narrow" w:cs="Times New Roman"/>
                <w:b/>
                <w:bCs/>
                <w:sz w:val="20"/>
                <w:szCs w:val="20"/>
                <w:lang w:eastAsia="en-AU"/>
              </w:rPr>
              <w:t>Administrative Advice:</w:t>
            </w:r>
            <w:r w:rsidRPr="00F918CA">
              <w:rPr>
                <w:rFonts w:ascii="Times New Roman" w:eastAsia="Calibri" w:hAnsi="Times New Roman" w:cs="Times New Roman"/>
                <w:szCs w:val="24"/>
              </w:rPr>
              <w:t xml:space="preserve"> </w:t>
            </w:r>
            <w:r w:rsidRPr="00F918CA">
              <w:rPr>
                <w:rFonts w:ascii="Arial Narrow" w:eastAsia="Times New Roman" w:hAnsi="Arial Narrow" w:cs="Times New Roman"/>
                <w:bCs/>
                <w:sz w:val="20"/>
                <w:szCs w:val="20"/>
                <w:lang w:eastAsia="en-AU"/>
              </w:rPr>
              <w:t>No increase in the maximum number of repeats may be authorised</w:t>
            </w:r>
          </w:p>
        </w:tc>
      </w:tr>
      <w:tr w:rsidR="00E541FA" w:rsidRPr="009F2AA4" w14:paraId="4FD4C349" w14:textId="77777777" w:rsidTr="00F918CA">
        <w:trPr>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528B94B5" w14:textId="77777777" w:rsidR="00E541FA" w:rsidRPr="00F918CA" w:rsidRDefault="00E541FA" w:rsidP="00921FF3">
            <w:pPr>
              <w:spacing w:before="0" w:after="0"/>
              <w:jc w:val="left"/>
              <w:rPr>
                <w:rFonts w:ascii="Arial Narrow" w:eastAsia="Times New Roman" w:hAnsi="Arial Narrow" w:cs="Times New Roman"/>
                <w:b/>
                <w:bCs/>
                <w:sz w:val="20"/>
                <w:szCs w:val="20"/>
                <w:lang w:eastAsia="en-AU"/>
              </w:rPr>
            </w:pPr>
            <w:r w:rsidRPr="00F918CA">
              <w:rPr>
                <w:rFonts w:ascii="Arial Narrow" w:eastAsia="Times New Roman" w:hAnsi="Arial Narrow" w:cs="Times New Roman"/>
                <w:b/>
                <w:bCs/>
                <w:i/>
                <w:iCs/>
                <w:sz w:val="20"/>
                <w:szCs w:val="20"/>
                <w:lang w:eastAsia="en-AU"/>
              </w:rPr>
              <w:t>Administrative Advice:</w:t>
            </w:r>
            <w:r w:rsidRPr="00F918CA">
              <w:rPr>
                <w:rFonts w:ascii="Arial Narrow" w:eastAsia="Times New Roman" w:hAnsi="Arial Narrow" w:cs="Times New Roman"/>
                <w:i/>
                <w:iCs/>
                <w:sz w:val="20"/>
                <w:szCs w:val="20"/>
                <w:lang w:eastAsia="en-AU"/>
              </w:rPr>
              <w:t xml:space="preserve"> Pharmaceutical benefits that have the form selpercatinib 40 mg capsule and selpercatinib 40 mg tablet are equivalent for the purposes of substitution</w:t>
            </w:r>
          </w:p>
        </w:tc>
      </w:tr>
      <w:tr w:rsidR="00E541FA" w:rsidRPr="009F2AA4" w14:paraId="7436F7AF" w14:textId="77777777" w:rsidTr="00F918CA">
        <w:trPr>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1C0B2FD6" w14:textId="77777777" w:rsidR="00E541FA" w:rsidRPr="00F918CA" w:rsidRDefault="00E541FA" w:rsidP="00921FF3">
            <w:pPr>
              <w:spacing w:before="0" w:after="0"/>
              <w:jc w:val="left"/>
              <w:rPr>
                <w:rFonts w:ascii="Arial Narrow" w:eastAsia="Times New Roman" w:hAnsi="Arial Narrow" w:cs="Times New Roman"/>
                <w:b/>
                <w:bCs/>
                <w:i/>
                <w:iCs/>
                <w:sz w:val="20"/>
                <w:szCs w:val="20"/>
                <w:lang w:eastAsia="en-AU"/>
              </w:rPr>
            </w:pPr>
            <w:r w:rsidRPr="00F918CA">
              <w:rPr>
                <w:rFonts w:ascii="Arial Narrow" w:eastAsia="Times New Roman" w:hAnsi="Arial Narrow" w:cs="Times New Roman"/>
                <w:b/>
                <w:bCs/>
                <w:i/>
                <w:iCs/>
                <w:sz w:val="20"/>
                <w:szCs w:val="20"/>
                <w:lang w:eastAsia="en-AU"/>
              </w:rPr>
              <w:t>Administrative Advice:</w:t>
            </w:r>
            <w:r w:rsidRPr="00F918CA">
              <w:rPr>
                <w:rFonts w:ascii="Arial Narrow" w:eastAsia="Times New Roman" w:hAnsi="Arial Narrow" w:cs="Times New Roman"/>
                <w:i/>
                <w:iCs/>
                <w:sz w:val="20"/>
                <w:szCs w:val="20"/>
                <w:lang w:eastAsia="en-AU"/>
              </w:rPr>
              <w:t xml:space="preserve"> Pharmaceutical benefits that have the form selpercatinib 80 mg capsule and selpercatinib 80 mg tablet are equivalent for the purposes of substitution</w:t>
            </w:r>
          </w:p>
        </w:tc>
      </w:tr>
      <w:tr w:rsidR="00E541FA" w:rsidRPr="009F2AA4" w14:paraId="338C89AC"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67D36312" w14:textId="77777777" w:rsidR="00E541FA" w:rsidRPr="009F2AA4" w:rsidRDefault="00E541FA" w:rsidP="00921FF3">
            <w:pPr>
              <w:keepLines/>
              <w:spacing w:before="0" w:after="0"/>
              <w:jc w:val="left"/>
              <w:rPr>
                <w:rFonts w:ascii="Arial Narrow" w:eastAsia="Times New Roman" w:hAnsi="Arial Narrow" w:cs="Times New Roman"/>
                <w:b/>
                <w:bCs/>
                <w:color w:val="333333"/>
                <w:sz w:val="20"/>
                <w:szCs w:val="20"/>
                <w:lang w:eastAsia="en-AU"/>
              </w:rPr>
            </w:pPr>
            <w:r w:rsidRPr="009F2AA4">
              <w:rPr>
                <w:rFonts w:ascii="Arial Narrow" w:eastAsia="Times New Roman" w:hAnsi="Arial Narrow" w:cs="Times New Roman"/>
                <w:b/>
                <w:bCs/>
                <w:color w:val="333333"/>
                <w:sz w:val="20"/>
                <w:szCs w:val="20"/>
                <w:lang w:eastAsia="en-AU"/>
              </w:rPr>
              <w:t xml:space="preserve">Severity: </w:t>
            </w:r>
            <w:r w:rsidRPr="009F2AA4">
              <w:rPr>
                <w:rFonts w:ascii="Arial Narrow" w:eastAsia="Times New Roman" w:hAnsi="Arial Narrow" w:cs="Times New Roman"/>
                <w:bCs/>
                <w:sz w:val="20"/>
                <w:szCs w:val="20"/>
                <w:lang w:eastAsia="en-AU"/>
              </w:rPr>
              <w:t>Advanced or metastatic</w:t>
            </w:r>
          </w:p>
        </w:tc>
      </w:tr>
      <w:tr w:rsidR="00E541FA" w:rsidRPr="009F2AA4" w14:paraId="088CE588"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25A00FDA" w14:textId="77777777" w:rsidR="00E541FA" w:rsidRPr="009F2AA4" w:rsidRDefault="00E541FA" w:rsidP="00921FF3">
            <w:pPr>
              <w:keepLines/>
              <w:spacing w:before="0" w:after="0"/>
              <w:jc w:val="left"/>
              <w:rPr>
                <w:rFonts w:ascii="Arial Narrow" w:eastAsia="Times New Roman" w:hAnsi="Arial Narrow" w:cs="Times New Roman"/>
                <w:b/>
                <w:bCs/>
                <w:color w:val="333333"/>
                <w:sz w:val="20"/>
                <w:szCs w:val="20"/>
                <w:lang w:eastAsia="en-AU"/>
              </w:rPr>
            </w:pPr>
            <w:r w:rsidRPr="009F2AA4">
              <w:rPr>
                <w:rFonts w:ascii="Arial Narrow" w:eastAsia="Times New Roman" w:hAnsi="Arial Narrow" w:cs="Times New Roman"/>
                <w:b/>
                <w:bCs/>
                <w:color w:val="333333"/>
                <w:sz w:val="20"/>
                <w:szCs w:val="20"/>
                <w:lang w:eastAsia="en-AU"/>
              </w:rPr>
              <w:t xml:space="preserve">Condition: </w:t>
            </w:r>
            <w:r w:rsidRPr="009F2AA4">
              <w:rPr>
                <w:rFonts w:ascii="Arial Narrow" w:eastAsia="Times New Roman" w:hAnsi="Arial Narrow" w:cs="Times New Roman"/>
                <w:bCs/>
                <w:color w:val="333333"/>
                <w:sz w:val="20"/>
                <w:szCs w:val="20"/>
                <w:lang w:eastAsia="en-AU"/>
              </w:rPr>
              <w:t>Medullary Thyroid Cancer</w:t>
            </w:r>
            <w:r w:rsidRPr="009F2AA4">
              <w:rPr>
                <w:rFonts w:ascii="Arial Narrow" w:eastAsia="Times New Roman" w:hAnsi="Arial Narrow" w:cs="Times New Roman"/>
                <w:b/>
                <w:bCs/>
                <w:color w:val="333333"/>
                <w:sz w:val="20"/>
                <w:szCs w:val="20"/>
                <w:lang w:eastAsia="en-AU"/>
              </w:rPr>
              <w:t xml:space="preserve"> </w:t>
            </w:r>
          </w:p>
        </w:tc>
      </w:tr>
      <w:tr w:rsidR="00E541FA" w:rsidRPr="009F2AA4" w14:paraId="4F7EB9B1"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7568C5F2" w14:textId="7D499D0F" w:rsidR="00E541FA" w:rsidRPr="009F2AA4" w:rsidRDefault="00E541FA" w:rsidP="00921FF3">
            <w:pPr>
              <w:keepLines/>
              <w:spacing w:before="0" w:after="0"/>
              <w:jc w:val="left"/>
              <w:rPr>
                <w:rFonts w:ascii="Arial Narrow" w:eastAsia="Times New Roman" w:hAnsi="Arial Narrow" w:cs="Times New Roman"/>
                <w:color w:val="333333"/>
                <w:sz w:val="20"/>
                <w:szCs w:val="20"/>
                <w:lang w:eastAsia="en-AU"/>
              </w:rPr>
            </w:pPr>
            <w:r w:rsidRPr="009F2AA4">
              <w:rPr>
                <w:rFonts w:ascii="Arial Narrow" w:eastAsia="Times New Roman" w:hAnsi="Arial Narrow" w:cs="Times New Roman"/>
                <w:b/>
                <w:bCs/>
                <w:color w:val="333333"/>
                <w:sz w:val="20"/>
                <w:szCs w:val="20"/>
                <w:lang w:eastAsia="en-AU"/>
              </w:rPr>
              <w:t>Indication:</w:t>
            </w:r>
            <w:r w:rsidRPr="009F2AA4">
              <w:rPr>
                <w:rFonts w:ascii="Arial Narrow" w:eastAsia="Times New Roman" w:hAnsi="Arial Narrow" w:cs="Times New Roman"/>
                <w:color w:val="333333"/>
                <w:sz w:val="20"/>
                <w:szCs w:val="20"/>
                <w:lang w:eastAsia="en-AU"/>
              </w:rPr>
              <w:t xml:space="preserve"> </w:t>
            </w:r>
            <w:r w:rsidRPr="009F2AA4" w:rsidDel="00D266FE">
              <w:rPr>
                <w:rFonts w:ascii="Arial Narrow" w:eastAsia="Times New Roman" w:hAnsi="Arial Narrow" w:cs="Times New Roman"/>
                <w:color w:val="333333"/>
                <w:sz w:val="20"/>
                <w:szCs w:val="20"/>
                <w:lang w:eastAsia="en-AU"/>
              </w:rPr>
              <w:t>Advanced or</w:t>
            </w:r>
            <w:r w:rsidRPr="009F2AA4">
              <w:rPr>
                <w:rFonts w:ascii="Arial Narrow" w:eastAsia="Times New Roman" w:hAnsi="Arial Narrow" w:cs="Times New Roman"/>
                <w:color w:val="333333"/>
                <w:sz w:val="20"/>
                <w:szCs w:val="20"/>
                <w:lang w:eastAsia="en-AU"/>
              </w:rPr>
              <w:t xml:space="preserve"> metastatic medullary thyroid cancer </w:t>
            </w:r>
          </w:p>
        </w:tc>
      </w:tr>
      <w:tr w:rsidR="00E541FA" w:rsidRPr="009F2AA4" w14:paraId="410C94DD"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527A8351" w14:textId="77777777" w:rsidR="00E541FA" w:rsidRPr="009F2AA4" w:rsidRDefault="00E541FA" w:rsidP="00921FF3">
            <w:pPr>
              <w:spacing w:before="0" w:after="0"/>
              <w:jc w:val="left"/>
              <w:rPr>
                <w:rFonts w:ascii="Arial Narrow" w:eastAsia="Times New Roman" w:hAnsi="Arial Narrow" w:cs="Times New Roman"/>
                <w:strike/>
                <w:sz w:val="20"/>
                <w:szCs w:val="20"/>
                <w:lang w:eastAsia="en-AU"/>
              </w:rPr>
            </w:pPr>
            <w:r w:rsidRPr="009F2AA4">
              <w:rPr>
                <w:rFonts w:ascii="Arial Narrow" w:eastAsia="Times New Roman" w:hAnsi="Arial Narrow" w:cs="Times New Roman"/>
                <w:b/>
                <w:bCs/>
                <w:strike/>
                <w:color w:val="333333"/>
                <w:sz w:val="20"/>
                <w:szCs w:val="20"/>
                <w:lang w:eastAsia="en-AU"/>
              </w:rPr>
              <w:t>Treatment Phase:</w:t>
            </w:r>
            <w:r w:rsidRPr="009F2AA4">
              <w:rPr>
                <w:rFonts w:ascii="Arial Narrow" w:eastAsia="Times New Roman" w:hAnsi="Arial Narrow" w:cs="Times New Roman"/>
                <w:strike/>
                <w:color w:val="FF0000"/>
                <w:sz w:val="20"/>
                <w:szCs w:val="20"/>
                <w:lang w:eastAsia="en-AU"/>
              </w:rPr>
              <w:t xml:space="preserve"> </w:t>
            </w:r>
            <w:r w:rsidRPr="009F2AA4">
              <w:rPr>
                <w:rFonts w:ascii="Arial Narrow" w:eastAsia="Times New Roman" w:hAnsi="Arial Narrow" w:cs="Times New Roman"/>
                <w:strike/>
                <w:sz w:val="20"/>
                <w:szCs w:val="20"/>
                <w:lang w:eastAsia="en-AU"/>
              </w:rPr>
              <w:t xml:space="preserve">Initial treatment </w:t>
            </w:r>
          </w:p>
        </w:tc>
      </w:tr>
      <w:tr w:rsidR="00E541FA" w:rsidRPr="009F2AA4" w14:paraId="6DAFC28C" w14:textId="77777777" w:rsidTr="00F918CA">
        <w:trPr>
          <w:cantSplit/>
          <w:trHeight w:val="208"/>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171A7965" w14:textId="77777777" w:rsidR="00E541FA" w:rsidRPr="009F2AA4" w:rsidRDefault="00E541FA" w:rsidP="00921FF3">
            <w:pPr>
              <w:spacing w:before="0" w:after="0"/>
              <w:jc w:val="left"/>
              <w:rPr>
                <w:rFonts w:ascii="Arial Narrow" w:eastAsia="Times New Roman" w:hAnsi="Arial Narrow" w:cs="Times New Roman"/>
                <w:sz w:val="20"/>
                <w:szCs w:val="20"/>
                <w:lang w:eastAsia="en-AU"/>
              </w:rPr>
            </w:pPr>
            <w:r w:rsidRPr="009F2AA4">
              <w:rPr>
                <w:rFonts w:ascii="Arial Narrow" w:eastAsia="Times New Roman" w:hAnsi="Arial Narrow" w:cs="Times New Roman"/>
                <w:b/>
                <w:bCs/>
                <w:color w:val="333333"/>
                <w:sz w:val="20"/>
                <w:szCs w:val="20"/>
                <w:lang w:eastAsia="en-AU"/>
              </w:rPr>
              <w:t xml:space="preserve">Clinical criteria: </w:t>
            </w:r>
          </w:p>
        </w:tc>
      </w:tr>
      <w:tr w:rsidR="00E541FA" w:rsidRPr="009F2AA4" w14:paraId="4E81A3FE"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204D3F49" w14:textId="5F4127DA" w:rsidR="00E541FA" w:rsidRPr="009F2AA4" w:rsidRDefault="00E541FA" w:rsidP="00921FF3">
            <w:pPr>
              <w:spacing w:before="0" w:after="0"/>
              <w:jc w:val="left"/>
              <w:rPr>
                <w:rFonts w:ascii="Arial Narrow" w:eastAsia="Times New Roman" w:hAnsi="Arial Narrow" w:cs="Times New Roman"/>
                <w:i/>
                <w:iCs/>
                <w:color w:val="333333"/>
                <w:sz w:val="20"/>
                <w:szCs w:val="20"/>
                <w:lang w:eastAsia="en-AU"/>
              </w:rPr>
            </w:pPr>
            <w:r w:rsidRPr="009F2AA4">
              <w:rPr>
                <w:rFonts w:ascii="Arial Narrow" w:eastAsia="Times New Roman" w:hAnsi="Arial Narrow" w:cs="Times New Roman"/>
                <w:color w:val="333333"/>
                <w:sz w:val="20"/>
                <w:szCs w:val="20"/>
                <w:lang w:eastAsia="en-AU"/>
              </w:rPr>
              <w:t xml:space="preserve">The condition must have evidence of </w:t>
            </w:r>
            <w:r w:rsidRPr="009F2AA4">
              <w:rPr>
                <w:rFonts w:ascii="Arial Narrow" w:eastAsia="Times New Roman" w:hAnsi="Arial Narrow" w:cs="Times New Roman"/>
                <w:strike/>
                <w:color w:val="333333"/>
                <w:sz w:val="20"/>
                <w:szCs w:val="20"/>
                <w:lang w:eastAsia="en-AU"/>
              </w:rPr>
              <w:t>rearranged during transfection</w:t>
            </w:r>
            <w:r w:rsidRPr="009F2AA4">
              <w:rPr>
                <w:rFonts w:ascii="Arial Narrow" w:eastAsia="Times New Roman" w:hAnsi="Arial Narrow" w:cs="Times New Roman"/>
                <w:color w:val="333333"/>
                <w:sz w:val="20"/>
                <w:szCs w:val="20"/>
                <w:lang w:eastAsia="en-AU"/>
              </w:rPr>
              <w:t xml:space="preserve"> </w:t>
            </w:r>
            <w:r w:rsidRPr="009F2AA4" w:rsidDel="00263714">
              <w:rPr>
                <w:rFonts w:ascii="Arial Narrow" w:eastAsia="Times New Roman" w:hAnsi="Arial Narrow" w:cs="Times New Roman"/>
                <w:color w:val="333333"/>
                <w:sz w:val="20"/>
                <w:szCs w:val="20"/>
                <w:lang w:eastAsia="en-AU"/>
              </w:rPr>
              <w:t>(</w:t>
            </w:r>
            <w:r w:rsidRPr="009F2AA4">
              <w:rPr>
                <w:rFonts w:ascii="Arial Narrow" w:eastAsia="Times New Roman" w:hAnsi="Arial Narrow" w:cs="Times New Roman"/>
                <w:color w:val="333333"/>
                <w:sz w:val="20"/>
                <w:szCs w:val="20"/>
                <w:lang w:eastAsia="en-AU"/>
              </w:rPr>
              <w:t xml:space="preserve">RET </w:t>
            </w:r>
            <w:r w:rsidRPr="009F2AA4" w:rsidDel="00263714">
              <w:rPr>
                <w:rFonts w:ascii="Arial Narrow" w:eastAsia="Times New Roman" w:hAnsi="Arial Narrow" w:cs="Times New Roman"/>
                <w:color w:val="333333"/>
                <w:sz w:val="20"/>
                <w:szCs w:val="20"/>
                <w:lang w:eastAsia="en-AU"/>
              </w:rPr>
              <w:t xml:space="preserve">gene </w:t>
            </w:r>
            <w:r w:rsidRPr="009F2AA4">
              <w:rPr>
                <w:rFonts w:ascii="Arial Narrow" w:eastAsia="Times New Roman" w:hAnsi="Arial Narrow" w:cs="Times New Roman"/>
                <w:color w:val="333333"/>
                <w:sz w:val="20"/>
                <w:szCs w:val="20"/>
                <w:lang w:eastAsia="en-AU"/>
              </w:rPr>
              <w:t xml:space="preserve">variant </w:t>
            </w:r>
            <w:r w:rsidRPr="009F2AA4">
              <w:rPr>
                <w:rFonts w:ascii="Arial Narrow" w:eastAsia="Times New Roman" w:hAnsi="Arial Narrow" w:cs="Times New Roman"/>
                <w:i/>
                <w:iCs/>
                <w:strike/>
                <w:color w:val="333333"/>
                <w:sz w:val="20"/>
                <w:szCs w:val="20"/>
                <w:lang w:eastAsia="en-AU"/>
              </w:rPr>
              <w:t>mutant</w:t>
            </w:r>
            <w:r w:rsidRPr="009F2AA4" w:rsidDel="00263714">
              <w:rPr>
                <w:rFonts w:ascii="Arial Narrow" w:eastAsia="Times New Roman" w:hAnsi="Arial Narrow" w:cs="Times New Roman"/>
                <w:i/>
                <w:iCs/>
                <w:color w:val="333333"/>
                <w:sz w:val="20"/>
                <w:szCs w:val="20"/>
                <w:lang w:eastAsia="en-AU"/>
              </w:rPr>
              <w:t xml:space="preserve"> in tumour material</w:t>
            </w:r>
            <w:r w:rsidRPr="009F2AA4" w:rsidDel="00263714">
              <w:rPr>
                <w:rFonts w:ascii="Arial Narrow" w:eastAsia="Times New Roman" w:hAnsi="Arial Narrow" w:cs="Times New Roman"/>
                <w:color w:val="333333"/>
                <w:sz w:val="20"/>
                <w:szCs w:val="20"/>
                <w:lang w:eastAsia="en-AU"/>
              </w:rPr>
              <w:t xml:space="preserve"> </w:t>
            </w:r>
            <w:r w:rsidRPr="009F2AA4">
              <w:rPr>
                <w:rFonts w:ascii="Arial Narrow" w:eastAsia="Times New Roman" w:hAnsi="Arial Narrow" w:cs="Times New Roman"/>
                <w:strike/>
                <w:color w:val="333333"/>
                <w:sz w:val="20"/>
                <w:szCs w:val="20"/>
                <w:lang w:eastAsia="en-AU"/>
              </w:rPr>
              <w:t>mutation</w:t>
            </w:r>
            <w:r w:rsidRPr="009F2AA4">
              <w:rPr>
                <w:rFonts w:ascii="Arial Narrow" w:eastAsia="Times New Roman" w:hAnsi="Arial Narrow" w:cs="Times New Roman"/>
                <w:color w:val="333333"/>
                <w:sz w:val="20"/>
                <w:szCs w:val="20"/>
                <w:lang w:eastAsia="en-AU"/>
              </w:rPr>
              <w:t xml:space="preserve"> </w:t>
            </w:r>
            <w:r w:rsidRPr="001C439C">
              <w:rPr>
                <w:rFonts w:ascii="Arial Narrow" w:eastAsia="Times New Roman" w:hAnsi="Arial Narrow" w:cs="Times New Roman"/>
                <w:color w:val="333333"/>
                <w:sz w:val="20"/>
                <w:szCs w:val="20"/>
                <w:lang w:eastAsia="en-AU"/>
              </w:rPr>
              <w:t>– this evidence has been obtained</w:t>
            </w:r>
            <w:r w:rsidRPr="009F2AA4">
              <w:rPr>
                <w:rFonts w:ascii="Arial Narrow" w:eastAsia="Times New Roman" w:hAnsi="Arial Narrow" w:cs="Times New Roman"/>
                <w:color w:val="333333"/>
                <w:sz w:val="20"/>
                <w:szCs w:val="20"/>
                <w:lang w:eastAsia="en-AU"/>
              </w:rPr>
              <w:t xml:space="preserve"> prior to commencing </w:t>
            </w:r>
            <w:r w:rsidRPr="009F2AA4">
              <w:rPr>
                <w:rFonts w:ascii="Arial Narrow" w:eastAsia="Times New Roman" w:hAnsi="Arial Narrow" w:cs="Times New Roman"/>
                <w:i/>
                <w:iCs/>
                <w:color w:val="333333"/>
                <w:sz w:val="20"/>
                <w:szCs w:val="20"/>
                <w:lang w:eastAsia="en-AU"/>
              </w:rPr>
              <w:t>treatment with</w:t>
            </w:r>
            <w:r w:rsidRPr="009F2AA4">
              <w:rPr>
                <w:rFonts w:ascii="Arial Narrow" w:eastAsia="Times New Roman" w:hAnsi="Arial Narrow" w:cs="Times New Roman"/>
                <w:color w:val="333333"/>
                <w:sz w:val="20"/>
                <w:szCs w:val="20"/>
                <w:lang w:eastAsia="en-AU"/>
              </w:rPr>
              <w:t xml:space="preserve"> this drug</w:t>
            </w:r>
          </w:p>
        </w:tc>
      </w:tr>
      <w:tr w:rsidR="00E541FA" w:rsidRPr="009F2AA4" w14:paraId="3161857C"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1CCE4CB5" w14:textId="4D9E9A40" w:rsidR="00E541FA" w:rsidRPr="00C440E9" w:rsidRDefault="00E541FA" w:rsidP="00921FF3">
            <w:pPr>
              <w:spacing w:before="0" w:after="0"/>
              <w:jc w:val="left"/>
              <w:rPr>
                <w:rFonts w:ascii="Arial Narrow" w:eastAsia="Times New Roman" w:hAnsi="Arial Narrow" w:cs="Times New Roman"/>
                <w:b/>
                <w:bCs/>
                <w:i/>
                <w:iCs/>
                <w:color w:val="333333"/>
                <w:sz w:val="20"/>
                <w:szCs w:val="20"/>
                <w:lang w:eastAsia="en-AU"/>
              </w:rPr>
            </w:pPr>
            <w:r w:rsidRPr="00C440E9">
              <w:rPr>
                <w:rFonts w:ascii="Arial Narrow" w:eastAsia="Times New Roman" w:hAnsi="Arial Narrow" w:cs="Times New Roman"/>
                <w:b/>
                <w:bCs/>
                <w:i/>
                <w:iCs/>
                <w:color w:val="333333"/>
                <w:sz w:val="20"/>
                <w:szCs w:val="20"/>
                <w:lang w:eastAsia="en-AU"/>
              </w:rPr>
              <w:t>AND</w:t>
            </w:r>
          </w:p>
        </w:tc>
      </w:tr>
      <w:tr w:rsidR="00E541FA" w:rsidRPr="009F2AA4" w14:paraId="7E745B37"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1D526EE0" w14:textId="77777777" w:rsidR="00E541FA" w:rsidRPr="009F2AA4" w:rsidRDefault="00E541FA" w:rsidP="00921FF3">
            <w:pPr>
              <w:spacing w:before="0" w:after="0"/>
              <w:jc w:val="left"/>
              <w:rPr>
                <w:rFonts w:ascii="Arial Narrow" w:eastAsia="Times New Roman" w:hAnsi="Arial Narrow" w:cs="Times New Roman"/>
                <w:color w:val="333333"/>
                <w:sz w:val="20"/>
                <w:szCs w:val="20"/>
                <w:lang w:eastAsia="en-AU"/>
              </w:rPr>
            </w:pPr>
            <w:r w:rsidRPr="009F2AA4">
              <w:rPr>
                <w:rFonts w:ascii="Arial Narrow" w:eastAsia="Times New Roman" w:hAnsi="Arial Narrow" w:cs="Times New Roman"/>
                <w:b/>
                <w:bCs/>
                <w:color w:val="333333"/>
                <w:sz w:val="20"/>
                <w:szCs w:val="20"/>
                <w:lang w:eastAsia="en-AU"/>
              </w:rPr>
              <w:t>Clinical criteria:</w:t>
            </w:r>
          </w:p>
        </w:tc>
      </w:tr>
      <w:tr w:rsidR="00E541FA" w:rsidRPr="009F2AA4" w14:paraId="66E7C931"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300264F5" w14:textId="77777777" w:rsidR="00E541FA" w:rsidRPr="009F2AA4" w:rsidRDefault="00E541FA" w:rsidP="00921FF3">
            <w:pPr>
              <w:spacing w:before="0" w:after="0"/>
              <w:jc w:val="left"/>
              <w:rPr>
                <w:rFonts w:ascii="Arial Narrow" w:eastAsia="Times New Roman" w:hAnsi="Arial Narrow" w:cs="Times New Roman"/>
                <w:color w:val="FF0000"/>
                <w:sz w:val="20"/>
                <w:szCs w:val="20"/>
                <w:lang w:eastAsia="en-AU"/>
              </w:rPr>
            </w:pPr>
            <w:r w:rsidRPr="009F2AA4">
              <w:rPr>
                <w:rFonts w:ascii="Arial Narrow" w:eastAsia="Times New Roman" w:hAnsi="Arial Narrow" w:cs="Times New Roman"/>
                <w:color w:val="333333"/>
                <w:sz w:val="20"/>
                <w:szCs w:val="20"/>
                <w:lang w:eastAsia="en-AU"/>
              </w:rPr>
              <w:t>Patient must have a World Health Organisation (WHO) Eastern Cooperative Oncology Group (ECOG) performance status score of no higher than 2 at treatment initiation</w:t>
            </w:r>
          </w:p>
        </w:tc>
      </w:tr>
      <w:tr w:rsidR="00E541FA" w:rsidRPr="009F2AA4" w14:paraId="0085D901"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578410D0" w14:textId="77777777" w:rsidR="00E541FA" w:rsidRPr="009F2AA4" w:rsidRDefault="00E541FA" w:rsidP="00921FF3">
            <w:pPr>
              <w:spacing w:before="0" w:after="0"/>
              <w:jc w:val="left"/>
              <w:rPr>
                <w:rFonts w:ascii="Arial Narrow" w:eastAsia="Times New Roman" w:hAnsi="Arial Narrow" w:cs="Times New Roman"/>
                <w:color w:val="333333"/>
                <w:sz w:val="20"/>
                <w:szCs w:val="20"/>
                <w:lang w:eastAsia="en-AU"/>
              </w:rPr>
            </w:pPr>
            <w:r w:rsidRPr="009F2AA4">
              <w:rPr>
                <w:rFonts w:ascii="Arial Narrow" w:eastAsia="Times New Roman" w:hAnsi="Arial Narrow" w:cs="Times New Roman"/>
                <w:b/>
                <w:bCs/>
                <w:color w:val="333333"/>
                <w:sz w:val="20"/>
                <w:szCs w:val="20"/>
                <w:lang w:eastAsia="en-AU"/>
              </w:rPr>
              <w:t>AND</w:t>
            </w:r>
          </w:p>
        </w:tc>
      </w:tr>
      <w:tr w:rsidR="00E541FA" w:rsidRPr="009F2AA4" w14:paraId="3DB6F3D9"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7583007F" w14:textId="77777777" w:rsidR="00E541FA" w:rsidRPr="009F2AA4" w:rsidRDefault="00E541FA" w:rsidP="00921FF3">
            <w:pPr>
              <w:spacing w:before="0" w:after="0"/>
              <w:jc w:val="left"/>
              <w:rPr>
                <w:rFonts w:ascii="Arial Narrow" w:eastAsia="Times New Roman" w:hAnsi="Arial Narrow" w:cs="Times New Roman"/>
                <w:color w:val="333333"/>
                <w:sz w:val="20"/>
                <w:szCs w:val="20"/>
                <w:lang w:eastAsia="en-AU"/>
              </w:rPr>
            </w:pPr>
            <w:r w:rsidRPr="009F2AA4">
              <w:rPr>
                <w:rFonts w:ascii="Arial Narrow" w:eastAsia="Times New Roman" w:hAnsi="Arial Narrow" w:cs="Times New Roman"/>
                <w:b/>
                <w:bCs/>
                <w:color w:val="333333"/>
                <w:sz w:val="20"/>
                <w:szCs w:val="20"/>
                <w:lang w:eastAsia="en-AU"/>
              </w:rPr>
              <w:t>Clinical criteria:</w:t>
            </w:r>
          </w:p>
        </w:tc>
      </w:tr>
      <w:tr w:rsidR="00E541FA" w:rsidRPr="009F2AA4" w14:paraId="6E14E2C9"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0762A306" w14:textId="77777777" w:rsidR="00E541FA" w:rsidRPr="009F2AA4" w:rsidRDefault="00E541FA" w:rsidP="00921FF3">
            <w:pPr>
              <w:spacing w:before="0" w:after="0"/>
              <w:jc w:val="left"/>
              <w:rPr>
                <w:rFonts w:ascii="Arial Narrow" w:eastAsia="Times New Roman" w:hAnsi="Arial Narrow" w:cs="Times New Roman"/>
                <w:color w:val="333333"/>
                <w:sz w:val="20"/>
                <w:szCs w:val="20"/>
                <w:lang w:eastAsia="en-AU"/>
              </w:rPr>
            </w:pPr>
            <w:r w:rsidRPr="009F2AA4">
              <w:rPr>
                <w:rFonts w:ascii="Arial Narrow" w:eastAsia="Times New Roman" w:hAnsi="Arial Narrow" w:cs="Times New Roman"/>
                <w:color w:val="333333"/>
                <w:sz w:val="20"/>
                <w:szCs w:val="20"/>
                <w:lang w:eastAsia="en-AU"/>
              </w:rPr>
              <w:t>The treatment must be the sole PBS-subsidised systemic anti-cancer therapy for this PBS indication.</w:t>
            </w:r>
          </w:p>
        </w:tc>
      </w:tr>
      <w:tr w:rsidR="00E541FA" w:rsidRPr="009F2AA4" w14:paraId="38345FF4"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56208252" w14:textId="77777777" w:rsidR="00E541FA" w:rsidRPr="009F2AA4" w:rsidRDefault="00E541FA" w:rsidP="00921FF3">
            <w:pPr>
              <w:spacing w:before="0" w:after="0"/>
              <w:jc w:val="left"/>
              <w:rPr>
                <w:rFonts w:ascii="Arial Narrow" w:eastAsia="Times New Roman" w:hAnsi="Arial Narrow" w:cs="Times New Roman"/>
                <w:i/>
                <w:iCs/>
                <w:color w:val="333333"/>
                <w:sz w:val="20"/>
                <w:szCs w:val="20"/>
                <w:lang w:eastAsia="en-AU"/>
              </w:rPr>
            </w:pPr>
            <w:r w:rsidRPr="009F2AA4">
              <w:rPr>
                <w:rFonts w:ascii="Arial Narrow" w:eastAsia="Times New Roman" w:hAnsi="Arial Narrow" w:cs="Times New Roman"/>
                <w:b/>
                <w:bCs/>
                <w:i/>
                <w:iCs/>
                <w:color w:val="333333"/>
                <w:sz w:val="20"/>
                <w:szCs w:val="20"/>
                <w:lang w:eastAsia="en-AU"/>
              </w:rPr>
              <w:t>AND</w:t>
            </w:r>
          </w:p>
        </w:tc>
      </w:tr>
      <w:tr w:rsidR="00E541FA" w:rsidRPr="009F2AA4" w14:paraId="76498E07"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7AB7BFE4" w14:textId="77777777" w:rsidR="00E541FA" w:rsidRPr="009F2AA4" w:rsidRDefault="00E541FA" w:rsidP="00921FF3">
            <w:pPr>
              <w:keepNext/>
              <w:spacing w:before="0" w:after="0"/>
              <w:jc w:val="left"/>
              <w:rPr>
                <w:rFonts w:ascii="Arial Narrow" w:eastAsia="Times New Roman" w:hAnsi="Arial Narrow" w:cs="Times New Roman"/>
                <w:strike/>
                <w:color w:val="333333"/>
                <w:sz w:val="20"/>
                <w:szCs w:val="20"/>
                <w:lang w:eastAsia="en-AU"/>
              </w:rPr>
            </w:pPr>
            <w:r w:rsidRPr="009F2AA4">
              <w:rPr>
                <w:rFonts w:ascii="Arial Narrow" w:eastAsia="Times New Roman" w:hAnsi="Arial Narrow" w:cs="Times New Roman"/>
                <w:b/>
                <w:bCs/>
                <w:i/>
                <w:iCs/>
                <w:color w:val="333333"/>
                <w:sz w:val="20"/>
                <w:szCs w:val="20"/>
                <w:lang w:eastAsia="en-AU"/>
              </w:rPr>
              <w:t>Clinical criteria</w:t>
            </w:r>
            <w:r w:rsidRPr="009F2AA4">
              <w:rPr>
                <w:rFonts w:ascii="Arial Narrow" w:eastAsia="Times New Roman" w:hAnsi="Arial Narrow" w:cs="Times New Roman"/>
                <w:b/>
                <w:bCs/>
                <w:strike/>
                <w:color w:val="333333"/>
                <w:sz w:val="20"/>
                <w:szCs w:val="20"/>
                <w:lang w:eastAsia="en-AU"/>
              </w:rPr>
              <w:t xml:space="preserve"> Treatment criteria:</w:t>
            </w:r>
          </w:p>
        </w:tc>
      </w:tr>
      <w:tr w:rsidR="00E541FA" w:rsidRPr="009F2AA4" w14:paraId="7B748B97"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236BD91A" w14:textId="77777777" w:rsidR="00E541FA" w:rsidRPr="009F2AA4" w:rsidRDefault="00E541FA" w:rsidP="00921FF3">
            <w:pPr>
              <w:spacing w:before="0" w:after="0"/>
              <w:jc w:val="left"/>
              <w:rPr>
                <w:rFonts w:ascii="Arial Narrow" w:eastAsia="Calibri" w:hAnsi="Arial Narrow" w:cs="Arial Narrow"/>
                <w:i/>
                <w:iCs/>
                <w:sz w:val="20"/>
                <w:szCs w:val="20"/>
              </w:rPr>
            </w:pPr>
            <w:r w:rsidRPr="009F2AA4">
              <w:rPr>
                <w:rFonts w:ascii="Arial Narrow" w:eastAsia="Times New Roman" w:hAnsi="Arial Narrow" w:cs="Times New Roman"/>
                <w:color w:val="333333"/>
                <w:sz w:val="20"/>
                <w:szCs w:val="20"/>
                <w:lang w:eastAsia="en-AU"/>
              </w:rPr>
              <w:t xml:space="preserve">Patient must be </w:t>
            </w:r>
            <w:r w:rsidRPr="009F2AA4">
              <w:rPr>
                <w:rFonts w:ascii="Arial Narrow" w:eastAsia="Times New Roman" w:hAnsi="Arial Narrow" w:cs="Times New Roman"/>
                <w:i/>
                <w:iCs/>
                <w:color w:val="333333"/>
                <w:sz w:val="20"/>
                <w:szCs w:val="20"/>
                <w:lang w:eastAsia="en-AU"/>
              </w:rPr>
              <w:t>initiating</w:t>
            </w:r>
            <w:r w:rsidRPr="009F2AA4">
              <w:rPr>
                <w:rFonts w:ascii="Arial Narrow" w:eastAsia="Times New Roman" w:hAnsi="Arial Narrow" w:cs="Times New Roman"/>
                <w:color w:val="333333"/>
                <w:sz w:val="20"/>
                <w:szCs w:val="20"/>
                <w:lang w:eastAsia="en-AU"/>
              </w:rPr>
              <w:t xml:space="preserve"> </w:t>
            </w:r>
            <w:r w:rsidRPr="009F2AA4">
              <w:rPr>
                <w:rFonts w:ascii="Arial Narrow" w:eastAsia="Times New Roman" w:hAnsi="Arial Narrow" w:cs="Times New Roman"/>
                <w:strike/>
                <w:color w:val="333333"/>
                <w:sz w:val="20"/>
                <w:szCs w:val="20"/>
                <w:lang w:eastAsia="en-AU"/>
              </w:rPr>
              <w:t>undergoing initial</w:t>
            </w:r>
            <w:r w:rsidRPr="009F2AA4">
              <w:rPr>
                <w:rFonts w:ascii="Arial Narrow" w:eastAsia="Times New Roman" w:hAnsi="Arial Narrow" w:cs="Times New Roman"/>
                <w:color w:val="333333"/>
                <w:sz w:val="20"/>
                <w:szCs w:val="20"/>
                <w:lang w:eastAsia="en-AU"/>
              </w:rPr>
              <w:t xml:space="preserve"> treatment with this drug; or</w:t>
            </w:r>
          </w:p>
        </w:tc>
      </w:tr>
      <w:tr w:rsidR="00E541FA" w:rsidRPr="009F2AA4" w14:paraId="78E9913E"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6D65E405" w14:textId="77777777" w:rsidR="00E541FA" w:rsidRPr="009F2AA4" w:rsidRDefault="00E541FA" w:rsidP="00921FF3">
            <w:pPr>
              <w:spacing w:before="0" w:after="0"/>
              <w:jc w:val="left"/>
              <w:rPr>
                <w:rFonts w:ascii="Arial Narrow" w:eastAsia="Calibri" w:hAnsi="Arial Narrow" w:cs="Arial Narrow"/>
                <w:i/>
                <w:iCs/>
                <w:sz w:val="20"/>
                <w:szCs w:val="20"/>
              </w:rPr>
            </w:pPr>
            <w:r w:rsidRPr="009F2AA4">
              <w:rPr>
                <w:rFonts w:ascii="Arial Narrow" w:eastAsia="Times New Roman" w:hAnsi="Arial Narrow" w:cs="Times New Roman"/>
                <w:color w:val="333333"/>
                <w:sz w:val="20"/>
                <w:szCs w:val="20"/>
                <w:lang w:eastAsia="en-AU"/>
              </w:rPr>
              <w:t xml:space="preserve">Patient must be </w:t>
            </w:r>
            <w:r w:rsidRPr="009F2AA4">
              <w:rPr>
                <w:rFonts w:ascii="Arial Narrow" w:eastAsia="Times New Roman" w:hAnsi="Arial Narrow" w:cs="Times New Roman"/>
                <w:strike/>
                <w:color w:val="333333"/>
                <w:sz w:val="20"/>
                <w:szCs w:val="20"/>
                <w:lang w:eastAsia="en-AU"/>
              </w:rPr>
              <w:t>undergoing</w:t>
            </w:r>
            <w:r w:rsidRPr="009F2AA4">
              <w:rPr>
                <w:rFonts w:ascii="Arial Narrow" w:eastAsia="Times New Roman" w:hAnsi="Arial Narrow" w:cs="Times New Roman"/>
                <w:color w:val="333333"/>
                <w:sz w:val="20"/>
                <w:szCs w:val="20"/>
                <w:lang w:eastAsia="en-AU"/>
              </w:rPr>
              <w:t xml:space="preserve"> </w:t>
            </w:r>
            <w:r w:rsidRPr="009F2AA4">
              <w:rPr>
                <w:rFonts w:ascii="Arial Narrow" w:eastAsia="Times New Roman" w:hAnsi="Arial Narrow" w:cs="Times New Roman"/>
                <w:i/>
                <w:iCs/>
                <w:color w:val="333333"/>
                <w:sz w:val="20"/>
                <w:szCs w:val="20"/>
                <w:lang w:eastAsia="en-AU"/>
              </w:rPr>
              <w:t>continuing</w:t>
            </w:r>
            <w:r w:rsidRPr="009F2AA4">
              <w:rPr>
                <w:rFonts w:ascii="Arial Narrow" w:eastAsia="Times New Roman" w:hAnsi="Arial Narrow" w:cs="Times New Roman"/>
                <w:color w:val="333333"/>
                <w:sz w:val="20"/>
                <w:szCs w:val="20"/>
                <w:lang w:eastAsia="en-AU"/>
              </w:rPr>
              <w:t xml:space="preserve"> treatment with this drug, with an absence of further disease progression </w:t>
            </w:r>
            <w:r w:rsidRPr="009F2AA4">
              <w:rPr>
                <w:rFonts w:ascii="Arial Narrow" w:eastAsia="Times New Roman" w:hAnsi="Arial Narrow" w:cs="Times New Roman"/>
                <w:i/>
                <w:iCs/>
                <w:color w:val="333333"/>
                <w:sz w:val="20"/>
                <w:szCs w:val="20"/>
                <w:lang w:eastAsia="en-AU"/>
              </w:rPr>
              <w:t>while being treated with this drug</w:t>
            </w:r>
            <w:r w:rsidRPr="009F2AA4">
              <w:rPr>
                <w:rFonts w:ascii="Arial Narrow" w:eastAsia="Times New Roman" w:hAnsi="Arial Narrow" w:cs="Times New Roman"/>
                <w:color w:val="333333"/>
                <w:sz w:val="20"/>
                <w:szCs w:val="20"/>
                <w:lang w:eastAsia="en-AU"/>
              </w:rPr>
              <w:t xml:space="preserve"> </w:t>
            </w:r>
            <w:r w:rsidRPr="009F2AA4">
              <w:rPr>
                <w:rFonts w:ascii="Arial Narrow" w:eastAsia="Times New Roman" w:hAnsi="Arial Narrow" w:cs="Times New Roman"/>
                <w:strike/>
                <w:color w:val="333333"/>
                <w:sz w:val="20"/>
                <w:szCs w:val="20"/>
                <w:lang w:eastAsia="en-AU"/>
              </w:rPr>
              <w:t>since the last prescription</w:t>
            </w:r>
          </w:p>
        </w:tc>
      </w:tr>
      <w:tr w:rsidR="00E541FA" w:rsidRPr="009F2AA4" w14:paraId="4D0823D9"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hideMark/>
          </w:tcPr>
          <w:p w14:paraId="5014E7A9" w14:textId="77777777" w:rsidR="00E541FA" w:rsidRPr="009F2AA4" w:rsidRDefault="00E541FA" w:rsidP="00921FF3">
            <w:pPr>
              <w:spacing w:before="0" w:after="0"/>
              <w:rPr>
                <w:rFonts w:ascii="Arial Narrow" w:eastAsia="Times New Roman" w:hAnsi="Arial Narrow" w:cs="Times New Roman"/>
                <w:i/>
                <w:iCs/>
                <w:sz w:val="20"/>
                <w:szCs w:val="20"/>
                <w:lang w:eastAsia="en-AU"/>
              </w:rPr>
            </w:pPr>
            <w:r w:rsidRPr="009F2AA4">
              <w:rPr>
                <w:rFonts w:ascii="Arial Narrow" w:eastAsia="Times New Roman" w:hAnsi="Arial Narrow" w:cs="Times New Roman"/>
                <w:b/>
                <w:bCs/>
                <w:i/>
                <w:iCs/>
                <w:sz w:val="20"/>
                <w:szCs w:val="20"/>
                <w:lang w:eastAsia="en-AU"/>
              </w:rPr>
              <w:t xml:space="preserve">Prescribing Instructions: </w:t>
            </w:r>
            <w:r w:rsidRPr="009F2AA4">
              <w:rPr>
                <w:rFonts w:ascii="Arial Narrow" w:eastAsia="Times New Roman" w:hAnsi="Arial Narrow" w:cs="Times New Roman"/>
                <w:i/>
                <w:iCs/>
                <w:sz w:val="20"/>
                <w:szCs w:val="20"/>
                <w:lang w:eastAsia="en-AU"/>
              </w:rPr>
              <w:t>Medical practitioners must prescribe the appropriate quantities of appropriate strength(s) to provide sufficient drug, based on the weight of the patient, adequate for 4 weeks per dispensing, according to the specified dosage in the approved Therapeutic Goods Administration (TGA) Product Information (PI). A separate authority prescription form must be completed for each strength requested.</w:t>
            </w:r>
          </w:p>
        </w:tc>
      </w:tr>
      <w:tr w:rsidR="00E541FA" w:rsidRPr="009F2AA4" w14:paraId="0E92A1E1" w14:textId="77777777" w:rsidTr="00F918CA">
        <w:trPr>
          <w:cantSplit/>
          <w:trHeight w:val="20"/>
        </w:trPr>
        <w:tc>
          <w:tcPr>
            <w:tcW w:w="9016" w:type="dxa"/>
            <w:tcBorders>
              <w:top w:val="single" w:sz="4" w:space="0" w:color="000000"/>
              <w:left w:val="single" w:sz="4" w:space="0" w:color="000000"/>
              <w:bottom w:val="single" w:sz="4" w:space="0" w:color="000000"/>
              <w:right w:val="single" w:sz="4" w:space="0" w:color="000000"/>
            </w:tcBorders>
            <w:tcMar>
              <w:top w:w="15" w:type="dxa"/>
              <w:bottom w:w="15" w:type="dxa"/>
            </w:tcMar>
            <w:vAlign w:val="center"/>
          </w:tcPr>
          <w:p w14:paraId="72ED2433" w14:textId="77777777" w:rsidR="00E541FA" w:rsidRPr="009F2AA4" w:rsidRDefault="00E541FA" w:rsidP="00921FF3">
            <w:pPr>
              <w:spacing w:before="0" w:after="0"/>
              <w:rPr>
                <w:rFonts w:ascii="Arial Narrow" w:eastAsia="Times New Roman" w:hAnsi="Arial Narrow" w:cs="Times New Roman"/>
                <w:b/>
                <w:bCs/>
                <w:i/>
                <w:iCs/>
                <w:sz w:val="20"/>
                <w:szCs w:val="20"/>
                <w:lang w:eastAsia="en-AU"/>
              </w:rPr>
            </w:pPr>
            <w:r w:rsidRPr="009F2AA4">
              <w:rPr>
                <w:rFonts w:ascii="Arial Narrow" w:eastAsia="Times New Roman" w:hAnsi="Arial Narrow" w:cs="Times New Roman"/>
                <w:b/>
                <w:bCs/>
                <w:i/>
                <w:iCs/>
                <w:sz w:val="20"/>
                <w:szCs w:val="20"/>
                <w:lang w:eastAsia="en-AU"/>
              </w:rPr>
              <w:t>Prescribing Instructions:</w:t>
            </w:r>
            <w:r w:rsidRPr="009F2AA4">
              <w:rPr>
                <w:rFonts w:ascii="Arial Narrow" w:eastAsia="Times New Roman" w:hAnsi="Arial Narrow" w:cs="Times New Roman"/>
                <w:i/>
                <w:iCs/>
                <w:sz w:val="20"/>
                <w:szCs w:val="20"/>
                <w:lang w:eastAsia="en-AU"/>
              </w:rPr>
              <w:t xml:space="preserve"> Medical practitioners may prescribe selpercatinib 80 mg with a quantity of up to 56 units where the dose does not exceed 120 mg twice daily (i.e., in combination with selpercatinib 40 mg). Selpercatinib 80 mg with a quantity of 112 units must be prescribed only where the dose is 160 mg twice daily to provide 28 days of treatment per dispensing. Prescribers should refer to the TGA PI for dosing and dose adjustments regimens.</w:t>
            </w:r>
          </w:p>
        </w:tc>
      </w:tr>
    </w:tbl>
    <w:p w14:paraId="2A58F734" w14:textId="77777777" w:rsidR="000E652F" w:rsidRPr="009F2AA4" w:rsidRDefault="000E652F" w:rsidP="00921FF3">
      <w:pPr>
        <w:pStyle w:val="3-BodyText"/>
        <w:numPr>
          <w:ilvl w:val="0"/>
          <w:numId w:val="0"/>
        </w:numPr>
        <w:ind w:left="720"/>
      </w:pPr>
    </w:p>
    <w:p w14:paraId="3C780E82" w14:textId="1CC8F799" w:rsidR="002F03F5" w:rsidRPr="009F2AA4" w:rsidRDefault="008F23FF" w:rsidP="00921FF3">
      <w:pPr>
        <w:pStyle w:val="3-BodyText"/>
        <w:rPr>
          <w:color w:val="000000" w:themeColor="text1"/>
        </w:rPr>
      </w:pPr>
      <w:bookmarkStart w:id="11" w:name="_Ref226874009"/>
      <w:r w:rsidRPr="009F2AA4">
        <w:t xml:space="preserve">No special pricing arrangements (SPA) were proposed. The requested approved ex-manufacturer price (AEMP) was $3,950.00 for the 80 mg strength and $1,975.00 for the 40 mg strength (56 pack) (equivalent to the published price for NSCLC). </w:t>
      </w:r>
      <w:bookmarkEnd w:id="11"/>
    </w:p>
    <w:p w14:paraId="7C38D6E7" w14:textId="25774863" w:rsidR="00117C77" w:rsidRPr="00E541FA" w:rsidRDefault="008F23FF" w:rsidP="00921FF3">
      <w:pPr>
        <w:pStyle w:val="3-BodyText"/>
      </w:pPr>
      <w:bookmarkStart w:id="12" w:name="_Ref226528776"/>
      <w:r w:rsidRPr="009F2AA4">
        <w:lastRenderedPageBreak/>
        <w:t xml:space="preserve">The requested restriction for initial treatment with selpercatinib in patients with locally </w:t>
      </w:r>
      <w:r w:rsidRPr="00E541FA">
        <w:t>advanced or metastatic MTC with a</w:t>
      </w:r>
      <w:r w:rsidR="00923547" w:rsidRPr="00E541FA">
        <w:t xml:space="preserve"> </w:t>
      </w:r>
      <w:r w:rsidR="00923547" w:rsidRPr="00886ED6">
        <w:rPr>
          <w:i/>
        </w:rPr>
        <w:t>RET</w:t>
      </w:r>
      <w:r w:rsidR="00923547" w:rsidRPr="00E541FA">
        <w:t xml:space="preserve"> </w:t>
      </w:r>
      <w:r w:rsidRPr="00E541FA">
        <w:t>variant was broader than the TGA indication, clinical evidence, economic model, and financial estimates because it did not specify unresectable or progressive disease and would have allowed patients with indolent disease to access treatment.</w:t>
      </w:r>
      <w:bookmarkEnd w:id="12"/>
      <w:r w:rsidRPr="00E541FA">
        <w:t xml:space="preserve"> </w:t>
      </w:r>
    </w:p>
    <w:p w14:paraId="0BB50DC8" w14:textId="31D50EFA" w:rsidR="00E541FA" w:rsidRPr="00E541FA" w:rsidRDefault="00DC26F9" w:rsidP="00921FF3">
      <w:pPr>
        <w:pStyle w:val="3-BodyText"/>
      </w:pPr>
      <w:bookmarkStart w:id="13" w:name="_Ref226875007"/>
      <w:bookmarkStart w:id="14" w:name="_Ref226528810"/>
      <w:r w:rsidRPr="00E541FA">
        <w:t>In t</w:t>
      </w:r>
      <w:r w:rsidR="008F23FF" w:rsidRPr="00E541FA">
        <w:t>he</w:t>
      </w:r>
      <w:r w:rsidR="00117C77" w:rsidRPr="00E541FA">
        <w:t xml:space="preserve"> Pre-Sub</w:t>
      </w:r>
      <w:r w:rsidRPr="00E541FA">
        <w:t>c</w:t>
      </w:r>
      <w:r w:rsidR="00117C77" w:rsidRPr="00E541FA">
        <w:t>ommittee Response</w:t>
      </w:r>
      <w:r w:rsidR="008F23FF" w:rsidRPr="00E541FA">
        <w:t xml:space="preserve"> </w:t>
      </w:r>
      <w:r w:rsidR="004300E0">
        <w:t>(</w:t>
      </w:r>
      <w:r w:rsidR="008F23FF" w:rsidRPr="00E541FA">
        <w:t>PSCR</w:t>
      </w:r>
      <w:r w:rsidR="004300E0">
        <w:t>)</w:t>
      </w:r>
      <w:r w:rsidRPr="00E541FA">
        <w:t xml:space="preserve">, the sponsor corrected </w:t>
      </w:r>
      <w:r w:rsidR="00327728" w:rsidRPr="00E541FA">
        <w:t xml:space="preserve">an </w:t>
      </w:r>
      <w:r w:rsidR="008F23FF" w:rsidRPr="00E541FA">
        <w:t xml:space="preserve">omission of </w:t>
      </w:r>
      <w:r w:rsidRPr="00E541FA">
        <w:t>‘</w:t>
      </w:r>
      <w:r w:rsidR="008F23FF" w:rsidRPr="00E541FA">
        <w:t>unresectable disease and documented disease progression</w:t>
      </w:r>
      <w:r w:rsidR="00EE2469" w:rsidRPr="00E541FA">
        <w:t>’ (</w:t>
      </w:r>
      <w:r w:rsidR="008F23FF" w:rsidRPr="00E541FA">
        <w:t>as per the LIBRETTO-531 trial</w:t>
      </w:r>
      <w:r w:rsidR="00CB43C4" w:rsidRPr="00E541FA">
        <w:t>).</w:t>
      </w:r>
      <w:bookmarkEnd w:id="13"/>
      <w:r w:rsidR="00CB603F" w:rsidRPr="00E541FA" w:rsidDel="00CB603F">
        <w:t xml:space="preserve"> </w:t>
      </w:r>
      <w:bookmarkEnd w:id="14"/>
    </w:p>
    <w:p w14:paraId="2E03084A" w14:textId="771E15F8" w:rsidR="00120437" w:rsidRPr="009F2AA4" w:rsidRDefault="008F23FF" w:rsidP="00921FF3">
      <w:pPr>
        <w:pStyle w:val="3-BodyText"/>
      </w:pPr>
      <w:r w:rsidRPr="00E541FA">
        <w:t xml:space="preserve">The ESCs noted inconsistency </w:t>
      </w:r>
      <w:r w:rsidR="00EC0FBB" w:rsidRPr="00E541FA">
        <w:t xml:space="preserve">between </w:t>
      </w:r>
      <w:r w:rsidRPr="00E541FA">
        <w:t xml:space="preserve">the proposed PBS </w:t>
      </w:r>
      <w:r w:rsidR="00EC0FBB" w:rsidRPr="00E541FA">
        <w:t xml:space="preserve">restriction </w:t>
      </w:r>
      <w:r w:rsidRPr="00E541FA">
        <w:t>and MBS test population</w:t>
      </w:r>
      <w:r w:rsidR="002F2A28" w:rsidRPr="00E541FA">
        <w:t>,</w:t>
      </w:r>
      <w:r w:rsidRPr="00E541FA">
        <w:t xml:space="preserve"> </w:t>
      </w:r>
      <w:r w:rsidR="00AC056D" w:rsidRPr="00E541FA">
        <w:t>with</w:t>
      </w:r>
      <w:r w:rsidRPr="00E541FA">
        <w:t xml:space="preserve"> MBS item specif</w:t>
      </w:r>
      <w:r w:rsidR="00AC056D" w:rsidRPr="00E541FA">
        <w:t>ying</w:t>
      </w:r>
      <w:r w:rsidRPr="00E541FA">
        <w:t xml:space="preserve"> “MTC patients without germline variants”, whereas the proposed PBS listing specified </w:t>
      </w:r>
      <w:r w:rsidR="005C78B3" w:rsidRPr="00E541FA">
        <w:t xml:space="preserve">MTC patients </w:t>
      </w:r>
      <w:r w:rsidRPr="00E541FA">
        <w:t>“with a</w:t>
      </w:r>
      <w:r w:rsidR="00923547" w:rsidRPr="00E541FA">
        <w:t xml:space="preserve"> </w:t>
      </w:r>
      <w:r w:rsidR="00923547" w:rsidRPr="00886ED6">
        <w:rPr>
          <w:i/>
        </w:rPr>
        <w:t>RET</w:t>
      </w:r>
      <w:r w:rsidR="00923547" w:rsidRPr="00E541FA">
        <w:t xml:space="preserve"> </w:t>
      </w:r>
      <w:r w:rsidRPr="00E541FA">
        <w:t xml:space="preserve">alteration (somatic or germline)…”. The ESCs considered that the MBS item </w:t>
      </w:r>
      <w:r w:rsidR="00C509F9" w:rsidRPr="00E541FA">
        <w:t xml:space="preserve">should </w:t>
      </w:r>
      <w:r w:rsidRPr="00E541FA">
        <w:t xml:space="preserve">specify </w:t>
      </w:r>
      <w:r w:rsidR="00A57EBB" w:rsidRPr="00E541FA">
        <w:t xml:space="preserve">patients </w:t>
      </w:r>
      <w:r w:rsidRPr="00E541FA">
        <w:t>who “do not have a known germline variant”, as patients with a known germline variant would already be eligible under the PBS restriction.</w:t>
      </w:r>
      <w:r w:rsidR="00BD7DE3" w:rsidRPr="00E541FA">
        <w:t xml:space="preserve"> </w:t>
      </w:r>
      <w:r w:rsidR="00D81353" w:rsidRPr="00E541FA">
        <w:t>T</w:t>
      </w:r>
      <w:r w:rsidRPr="00E541FA">
        <w:t xml:space="preserve">he ESCs </w:t>
      </w:r>
      <w:r w:rsidR="00D81353" w:rsidRPr="00E541FA">
        <w:t xml:space="preserve">further </w:t>
      </w:r>
      <w:r w:rsidRPr="00E541FA">
        <w:t xml:space="preserve">considered that both the MBS item descriptor and the PBS restriction should </w:t>
      </w:r>
      <w:r w:rsidR="00D81353" w:rsidRPr="00E541FA">
        <w:t>consistently</w:t>
      </w:r>
      <w:r w:rsidR="0089595C" w:rsidRPr="00E541FA">
        <w:t xml:space="preserve"> use</w:t>
      </w:r>
      <w:r w:rsidRPr="00E541FA">
        <w:t xml:space="preserve"> the gene’s abbreviation</w:t>
      </w:r>
      <w:r w:rsidR="0089595C" w:rsidRPr="00E541FA">
        <w:t>,</w:t>
      </w:r>
      <w:r w:rsidRPr="00E541FA">
        <w:t xml:space="preserve"> ‘</w:t>
      </w:r>
      <w:r w:rsidRPr="00886ED6">
        <w:rPr>
          <w:i/>
        </w:rPr>
        <w:t>RET’</w:t>
      </w:r>
      <w:r w:rsidR="00BA2B2B" w:rsidRPr="00E541FA">
        <w:t xml:space="preserve"> (</w:t>
      </w:r>
      <w:r w:rsidRPr="00E541FA">
        <w:t>rather than the full term</w:t>
      </w:r>
      <w:r w:rsidR="00BA2B2B" w:rsidRPr="00E541FA">
        <w:t>)</w:t>
      </w:r>
      <w:r w:rsidRPr="00E541FA">
        <w:t>, and refer to ‘activating</w:t>
      </w:r>
      <w:r w:rsidR="00923547" w:rsidRPr="00E541FA">
        <w:t xml:space="preserve"> </w:t>
      </w:r>
      <w:r w:rsidR="00923547" w:rsidRPr="00886ED6">
        <w:rPr>
          <w:i/>
        </w:rPr>
        <w:t>RET</w:t>
      </w:r>
      <w:r w:rsidR="00923547" w:rsidRPr="00E541FA">
        <w:t xml:space="preserve"> </w:t>
      </w:r>
      <w:r w:rsidRPr="00E541FA">
        <w:t>variants’</w:t>
      </w:r>
      <w:r w:rsidR="00D176E3" w:rsidRPr="00E541FA">
        <w:t>,</w:t>
      </w:r>
      <w:r w:rsidRPr="00E541FA">
        <w:t xml:space="preserve"> </w:t>
      </w:r>
      <w:r w:rsidR="00D176E3" w:rsidRPr="00E541FA">
        <w:t>with</w:t>
      </w:r>
      <w:r w:rsidRPr="00E541FA">
        <w:t xml:space="preserve"> an explanatory note included alongside the MBS item</w:t>
      </w:r>
      <w:r w:rsidR="00D176E3" w:rsidRPr="00E541FA">
        <w:t xml:space="preserve"> to</w:t>
      </w:r>
      <w:r w:rsidRPr="00E541FA">
        <w:t xml:space="preserve"> defin</w:t>
      </w:r>
      <w:r w:rsidR="00D176E3" w:rsidRPr="00E541FA">
        <w:t>e</w:t>
      </w:r>
      <w:r w:rsidRPr="00E541FA">
        <w:t xml:space="preserve"> activating</w:t>
      </w:r>
      <w:r w:rsidR="00923547" w:rsidRPr="00E541FA">
        <w:t xml:space="preserve"> </w:t>
      </w:r>
      <w:r w:rsidR="00923547" w:rsidRPr="00886ED6">
        <w:rPr>
          <w:i/>
        </w:rPr>
        <w:t>RET</w:t>
      </w:r>
      <w:r w:rsidR="00923547" w:rsidRPr="00E541FA">
        <w:t xml:space="preserve"> </w:t>
      </w:r>
      <w:r w:rsidRPr="00E541FA">
        <w:t>variants.</w:t>
      </w:r>
    </w:p>
    <w:p w14:paraId="3A9949F0" w14:textId="4D9E750E" w:rsidR="009067E4" w:rsidRPr="009F2AA4" w:rsidRDefault="009067E4" w:rsidP="00921FF3">
      <w:pPr>
        <w:pStyle w:val="3-BodyText"/>
        <w:numPr>
          <w:ilvl w:val="0"/>
          <w:numId w:val="0"/>
        </w:numPr>
      </w:pPr>
      <w:r w:rsidRPr="009F2AA4">
        <w:rPr>
          <w:i/>
          <w:iCs/>
        </w:rPr>
        <w:t>For more detail on PBAC’s view, see section 7 PBAC outcome.</w:t>
      </w:r>
    </w:p>
    <w:p w14:paraId="3C780E86" w14:textId="77777777" w:rsidR="002F03F5" w:rsidRPr="009F2AA4" w:rsidRDefault="008F23FF" w:rsidP="00921FF3">
      <w:pPr>
        <w:pStyle w:val="PBACESHeading1"/>
        <w:spacing w:before="160" w:after="160"/>
        <w:rPr>
          <w:b/>
        </w:rPr>
      </w:pPr>
      <w:bookmarkStart w:id="15" w:name="_Toc219261663"/>
      <w:bookmarkStart w:id="16" w:name="_Toc476306884"/>
      <w:bookmarkStart w:id="17" w:name="_Toc219898321"/>
      <w:bookmarkEnd w:id="15"/>
      <w:r w:rsidRPr="009F2AA4">
        <w:rPr>
          <w:b/>
        </w:rPr>
        <w:t>Population and disease</w:t>
      </w:r>
      <w:bookmarkEnd w:id="16"/>
      <w:bookmarkEnd w:id="17"/>
    </w:p>
    <w:p w14:paraId="3C780E87" w14:textId="77777777" w:rsidR="002F03F5" w:rsidRPr="009F2AA4" w:rsidRDefault="008F23FF" w:rsidP="00921FF3">
      <w:pPr>
        <w:pStyle w:val="3-BodyText"/>
        <w:rPr>
          <w:color w:val="000000" w:themeColor="text1"/>
        </w:rPr>
      </w:pPr>
      <w:r w:rsidRPr="009F2AA4">
        <w:rPr>
          <w:color w:val="000000" w:themeColor="text1"/>
        </w:rPr>
        <w:t>MTC is a neuroendocrine tumour arising from parafollicular C cells within the thyroid, and accounts for 4% of thyroid cancers.</w:t>
      </w:r>
      <w:r w:rsidRPr="009F2AA4">
        <w:rPr>
          <w:rStyle w:val="FootnoteReference"/>
          <w:color w:val="000000" w:themeColor="text1"/>
        </w:rPr>
        <w:footnoteReference w:id="1"/>
      </w:r>
      <w:r w:rsidRPr="009F2AA4">
        <w:rPr>
          <w:color w:val="000000" w:themeColor="text1"/>
        </w:rPr>
        <w:t xml:space="preserve"> There are two subtypes of MTC:</w:t>
      </w:r>
    </w:p>
    <w:p w14:paraId="3C780E88" w14:textId="27710148" w:rsidR="002F03F5" w:rsidRPr="009F2AA4" w:rsidRDefault="008F23FF" w:rsidP="00921FF3">
      <w:pPr>
        <w:pStyle w:val="MainBodyBulletPoint"/>
      </w:pPr>
      <w:r w:rsidRPr="009F2AA4">
        <w:t>(i) Sporadic MTC</w:t>
      </w:r>
      <w:r w:rsidR="00825E09">
        <w:t xml:space="preserve"> (</w:t>
      </w:r>
      <w:r w:rsidRPr="009F2AA4">
        <w:t>75-80% of MTC cases</w:t>
      </w:r>
      <w:r w:rsidR="00825E09">
        <w:t>)</w:t>
      </w:r>
      <w:r w:rsidRPr="009F2AA4">
        <w:t>, predominantly affect</w:t>
      </w:r>
      <w:r w:rsidR="00A01200">
        <w:t>ing</w:t>
      </w:r>
      <w:r w:rsidRPr="009F2AA4">
        <w:t xml:space="preserve"> patients in their fifth or sixth decade of life.</w:t>
      </w:r>
    </w:p>
    <w:p w14:paraId="3C780E89" w14:textId="14FFBB86" w:rsidR="002F03F5" w:rsidRPr="009F2AA4" w:rsidRDefault="008F23FF" w:rsidP="00921FF3">
      <w:pPr>
        <w:pStyle w:val="MainBodyBulletPoint"/>
      </w:pPr>
      <w:r w:rsidRPr="009F2AA4">
        <w:t>(ii) Hereditary MTC</w:t>
      </w:r>
      <w:r w:rsidR="00F2281D">
        <w:t xml:space="preserve"> (</w:t>
      </w:r>
      <w:r w:rsidR="00F2281D" w:rsidRPr="009F2AA4">
        <w:t>20-25% of all MTC cases</w:t>
      </w:r>
      <w:r w:rsidR="00F2281D">
        <w:t>)</w:t>
      </w:r>
      <w:r w:rsidRPr="009F2AA4">
        <w:t>, which is primarily due to germline variants in the</w:t>
      </w:r>
      <w:r w:rsidR="00923547" w:rsidRPr="00923547">
        <w:rPr>
          <w:i/>
        </w:rPr>
        <w:t xml:space="preserve"> RET </w:t>
      </w:r>
      <w:r w:rsidRPr="009F2AA4">
        <w:t>gene , with onset typically within a patient’s third decade of life.</w:t>
      </w:r>
    </w:p>
    <w:p w14:paraId="3C780E8A" w14:textId="5383A51D" w:rsidR="002F03F5" w:rsidRPr="009F2AA4" w:rsidRDefault="008F23FF" w:rsidP="00921FF3">
      <w:pPr>
        <w:pStyle w:val="3-BodyText"/>
        <w:rPr>
          <w:color w:val="0066FF"/>
        </w:rPr>
      </w:pPr>
      <w:r w:rsidRPr="009F2AA4">
        <w:rPr>
          <w:color w:val="000000" w:themeColor="text1"/>
        </w:rPr>
        <w:t>The submission stated that clinically significant</w:t>
      </w:r>
      <w:r w:rsidR="00923547" w:rsidRPr="00923547">
        <w:rPr>
          <w:i/>
          <w:color w:val="000000" w:themeColor="text1"/>
        </w:rPr>
        <w:t xml:space="preserve"> RET </w:t>
      </w:r>
      <w:r w:rsidRPr="009F2AA4">
        <w:rPr>
          <w:color w:val="000000" w:themeColor="text1"/>
        </w:rPr>
        <w:t xml:space="preserve">variants were present in 70% of all MTC patients (98% of hereditary and 50-60% of sporadic MTC) and may be higher in patients with </w:t>
      </w:r>
      <w:r w:rsidRPr="009F2AA4">
        <w:t>locally advanced or metastatic disease (94%).</w:t>
      </w:r>
      <w:r w:rsidRPr="009F2AA4">
        <w:rPr>
          <w:rStyle w:val="FootnoteReference"/>
        </w:rPr>
        <w:footnoteReference w:id="2"/>
      </w:r>
      <w:r w:rsidRPr="009F2AA4">
        <w:t xml:space="preserve"> </w:t>
      </w:r>
    </w:p>
    <w:p w14:paraId="3C780E8C" w14:textId="3D615D71" w:rsidR="002F03F5" w:rsidRPr="009F2AA4" w:rsidRDefault="008F23FF" w:rsidP="00921FF3">
      <w:pPr>
        <w:pStyle w:val="3-BodyText"/>
        <w:rPr>
          <w:color w:val="0066FF"/>
        </w:rPr>
      </w:pPr>
      <w:bookmarkStart w:id="18" w:name="_Ref226897888"/>
      <w:r w:rsidRPr="009F2AA4">
        <w:t xml:space="preserve">Approximately half of MTC patients present with stage III/IV MTC, of whom 10-20% may present with distant metastases in the brain, bones, lungs and liver. Papachristos 2023 (N=235) investigated MTC patients who underwent surgery at the Royal North Shore Hospital in Sydney, Australia and reported 45% and 9% had locally </w:t>
      </w:r>
      <w:r w:rsidRPr="009F2AA4">
        <w:lastRenderedPageBreak/>
        <w:t>advanced and metastatic MTC at presentation, respectively.</w:t>
      </w:r>
      <w:r w:rsidRPr="009F2AA4">
        <w:rPr>
          <w:rStyle w:val="FootnoteReference"/>
        </w:rPr>
        <w:footnoteReference w:id="3"/>
      </w:r>
      <w:r w:rsidR="00666A5D">
        <w:t xml:space="preserve"> </w:t>
      </w:r>
      <w:r w:rsidR="00666A5D" w:rsidRPr="00EF7609">
        <w:t xml:space="preserve">Kesby 2022 </w:t>
      </w:r>
      <w:r w:rsidR="00666A5D">
        <w:t xml:space="preserve">reported that </w:t>
      </w:r>
      <w:r w:rsidR="00120AEA">
        <w:t xml:space="preserve">of the </w:t>
      </w:r>
      <w:r w:rsidR="00666A5D" w:rsidRPr="00EF7609">
        <w:t>MTC patients who experienced disease recurrence or progression (92/154), 28% (26/92) had locally advanced recurrence and 52% (48/92) had distant metastases.</w:t>
      </w:r>
      <w:bookmarkEnd w:id="18"/>
    </w:p>
    <w:p w14:paraId="3C780E8D" w14:textId="633E5C0D" w:rsidR="002F03F5" w:rsidRPr="009F2AA4" w:rsidRDefault="008F23FF" w:rsidP="00921FF3">
      <w:pPr>
        <w:pStyle w:val="3-BodyText"/>
        <w:rPr>
          <w:color w:val="0066FF"/>
        </w:rPr>
      </w:pPr>
      <w:bookmarkStart w:id="19" w:name="_Ref216647124"/>
      <w:r w:rsidRPr="009F2AA4">
        <w:t>The disease behaviour of MTC can range from indolent to aggressive. Santillan 2025 considered MTC as a relatively slow growing tumour with favourable long-term outcomes, including in patients with known metastatic disease.</w:t>
      </w:r>
      <w:r w:rsidRPr="009F2AA4">
        <w:rPr>
          <w:rStyle w:val="FootnoteReference"/>
        </w:rPr>
        <w:footnoteReference w:id="4"/>
      </w:r>
      <w:r w:rsidRPr="009F2AA4">
        <w:t xml:space="preserve"> Kesby 2022 reported the 5 and 10 year survival in locally advanced disease as 86-92% and 76-77% compared to 66% and 53% in metastatic disease, over a median follow up of 7.5 years. The median overall survival (OS) in locally advanced or metastatic MTC patients was 18.8 to 19.3 years and 11.8 years in the subset of patients with metastatic MTC.</w:t>
      </w:r>
      <w:bookmarkEnd w:id="19"/>
      <w:r w:rsidRPr="009F2AA4">
        <w:t xml:space="preserve"> However, the long-term survival of patients with locally advanced or metastatic MTC with a</w:t>
      </w:r>
      <w:r w:rsidR="00923547" w:rsidRPr="00923547">
        <w:rPr>
          <w:i/>
        </w:rPr>
        <w:t xml:space="preserve"> RET </w:t>
      </w:r>
      <w:r w:rsidRPr="009F2AA4">
        <w:t>variant and unresectable and progressive disease is uncertain.</w:t>
      </w:r>
    </w:p>
    <w:p w14:paraId="3C780E8E" w14:textId="55B96FC1" w:rsidR="002F03F5" w:rsidRPr="009F2AA4" w:rsidRDefault="008F23FF" w:rsidP="00921FF3">
      <w:pPr>
        <w:pStyle w:val="3-BodyText"/>
        <w:rPr>
          <w:color w:val="0066FF"/>
        </w:rPr>
      </w:pPr>
      <w:bookmarkStart w:id="20" w:name="_Ref222831866"/>
      <w:bookmarkStart w:id="21" w:name="_Ref219895044"/>
      <w:bookmarkStart w:id="22" w:name="_Ref216647257"/>
      <w:r w:rsidRPr="009F2AA4">
        <w:t>Patients with radiographic evidence of disease progression have tumours considered more aggressive with worse disease burden and survival outcomes.</w:t>
      </w:r>
      <w:bookmarkEnd w:id="20"/>
      <w:r w:rsidRPr="009F2AA4">
        <w:t xml:space="preserve"> </w:t>
      </w:r>
      <w:bookmarkEnd w:id="21"/>
      <w:bookmarkEnd w:id="22"/>
    </w:p>
    <w:p w14:paraId="3C780E8F" w14:textId="1F31C91A" w:rsidR="002F03F5" w:rsidRPr="009F2AA4" w:rsidRDefault="008F23FF" w:rsidP="00921FF3">
      <w:pPr>
        <w:pStyle w:val="3-BodyText"/>
        <w:rPr>
          <w:color w:val="0066FF"/>
        </w:rPr>
      </w:pPr>
      <w:r w:rsidRPr="009F2AA4">
        <w:t>MTC may be suspected following clinical examination, imaging</w:t>
      </w:r>
      <w:r w:rsidR="009A23AB">
        <w:t>,</w:t>
      </w:r>
      <w:r w:rsidRPr="009F2AA4">
        <w:t xml:space="preserve"> and blood tests, </w:t>
      </w:r>
      <w:r w:rsidR="00075DCE">
        <w:t>and</w:t>
      </w:r>
      <w:r w:rsidR="00075DCE" w:rsidRPr="009F2AA4">
        <w:t xml:space="preserve"> </w:t>
      </w:r>
      <w:r w:rsidR="00BD7DE3" w:rsidRPr="009F2AA4">
        <w:t>confir</w:t>
      </w:r>
      <w:r w:rsidR="00BD7DE3">
        <w:t>med</w:t>
      </w:r>
      <w:r w:rsidRPr="009F2AA4">
        <w:t xml:space="preserve"> only after histopathological assessment of surgical or biopsy specimen. The PICO Advisory Sub Committee (PASC) “noted advice from the applicant’s clinical experts that confirmation of MTC would only occur after surgical resection (if feasible), so</w:t>
      </w:r>
      <w:r w:rsidR="00923547" w:rsidRPr="00923547">
        <w:rPr>
          <w:i/>
        </w:rPr>
        <w:t xml:space="preserve"> RET </w:t>
      </w:r>
      <w:r w:rsidRPr="009F2AA4">
        <w:t>testing (either somatic or germline) would occur after this” (p4, Ratified PICO Confirmation 1804).</w:t>
      </w:r>
    </w:p>
    <w:p w14:paraId="2AD4F554" w14:textId="53B011A7" w:rsidR="00664B19" w:rsidRDefault="008F23FF" w:rsidP="00921FF3">
      <w:pPr>
        <w:pStyle w:val="3-BodyText"/>
        <w:rPr>
          <w:color w:val="0066FF"/>
        </w:rPr>
      </w:pPr>
      <w:r w:rsidRPr="009F2AA4">
        <w:t xml:space="preserve">For patients with unresectable disease, BSC involving palliative care and symptomatic management as well as systemic therapy with kinase inhibitors are recommended (e.g., multikinase inhibitors [MKIs] such as cabozantinib and </w:t>
      </w:r>
      <w:proofErr w:type="spellStart"/>
      <w:r w:rsidRPr="009F2AA4">
        <w:t>vandetanib</w:t>
      </w:r>
      <w:proofErr w:type="spellEnd"/>
      <w:r w:rsidRPr="009F2AA4">
        <w:t>, or selective</w:t>
      </w:r>
      <w:r w:rsidR="00923547" w:rsidRPr="00923547">
        <w:rPr>
          <w:i/>
        </w:rPr>
        <w:t xml:space="preserve"> </w:t>
      </w:r>
      <w:r w:rsidR="00923547" w:rsidRPr="00D04547">
        <w:rPr>
          <w:iCs/>
        </w:rPr>
        <w:t>RET</w:t>
      </w:r>
      <w:r w:rsidR="00923547" w:rsidRPr="00923547">
        <w:rPr>
          <w:i/>
        </w:rPr>
        <w:t xml:space="preserve"> </w:t>
      </w:r>
      <w:r w:rsidRPr="009F2AA4">
        <w:t>inhibitors such as selpercatinib in</w:t>
      </w:r>
      <w:r w:rsidR="00923547" w:rsidRPr="00923547">
        <w:rPr>
          <w:i/>
        </w:rPr>
        <w:t xml:space="preserve"> RET </w:t>
      </w:r>
      <w:r w:rsidRPr="009F2AA4">
        <w:t>variant MTC). The NCCN guidelines did not consider kinase inhibitor therapies were appropriate for patients with indolent disease, given these patients present with more favourable outcomes, and systemic therapies may offer low benefit to risk ratio.</w:t>
      </w:r>
      <w:bookmarkStart w:id="23" w:name="_Ref219050881"/>
    </w:p>
    <w:p w14:paraId="2AB8629E" w14:textId="1B23DAFC" w:rsidR="009067E4" w:rsidRPr="00B73859" w:rsidRDefault="008F23FF" w:rsidP="00921FF3">
      <w:pPr>
        <w:pStyle w:val="3-BodyText"/>
        <w:rPr>
          <w:color w:val="0066FF"/>
        </w:rPr>
      </w:pPr>
      <w:bookmarkStart w:id="24" w:name="_Ref225341493"/>
      <w:r w:rsidRPr="009F2AA4">
        <w:t>Selpercatinib is an orally available, highly potent, highly selective, small molecule inhibitor of the</w:t>
      </w:r>
      <w:r w:rsidR="00923547" w:rsidRPr="00923547">
        <w:rPr>
          <w:i/>
        </w:rPr>
        <w:t xml:space="preserve"> </w:t>
      </w:r>
      <w:r w:rsidR="00923547" w:rsidRPr="00D04547">
        <w:rPr>
          <w:iCs/>
        </w:rPr>
        <w:t>RET</w:t>
      </w:r>
      <w:r w:rsidR="00923547" w:rsidRPr="00923547">
        <w:rPr>
          <w:i/>
        </w:rPr>
        <w:t xml:space="preserve"> </w:t>
      </w:r>
      <w:r w:rsidRPr="009F2AA4">
        <w:t>receptor tyrosine kinase. The submission noted that selpercatinib has shown &gt;250-fold selectivity for</w:t>
      </w:r>
      <w:r w:rsidR="00923547" w:rsidRPr="00923547">
        <w:rPr>
          <w:i/>
        </w:rPr>
        <w:t xml:space="preserve"> </w:t>
      </w:r>
      <w:r w:rsidR="00923547" w:rsidRPr="00D04547">
        <w:rPr>
          <w:iCs/>
        </w:rPr>
        <w:t>RET</w:t>
      </w:r>
      <w:r w:rsidR="00923547" w:rsidRPr="00923547">
        <w:rPr>
          <w:i/>
        </w:rPr>
        <w:t xml:space="preserve"> </w:t>
      </w:r>
      <w:r w:rsidRPr="009F2AA4">
        <w:t>kinase compared to non-</w:t>
      </w:r>
      <w:r w:rsidRPr="00064CF2">
        <w:t>RET</w:t>
      </w:r>
      <w:r w:rsidRPr="009F2AA4">
        <w:t xml:space="preserve"> kinases when tested in a large in vitro screening which supported the biological rationale for targeting RET.</w:t>
      </w:r>
      <w:bookmarkEnd w:id="23"/>
      <w:bookmarkEnd w:id="24"/>
      <w:r w:rsidR="009067E4" w:rsidRPr="009F2AA4">
        <w:t xml:space="preserve"> </w:t>
      </w:r>
    </w:p>
    <w:p w14:paraId="45CAC911" w14:textId="77777777" w:rsidR="00B73859" w:rsidRPr="00664B19" w:rsidRDefault="00B73859" w:rsidP="00B73859">
      <w:pPr>
        <w:pStyle w:val="3-BodyText"/>
        <w:numPr>
          <w:ilvl w:val="0"/>
          <w:numId w:val="0"/>
        </w:numPr>
        <w:ind w:left="720"/>
        <w:rPr>
          <w:color w:val="0066FF"/>
        </w:rPr>
      </w:pPr>
    </w:p>
    <w:p w14:paraId="3C780E91" w14:textId="1AC8EA49" w:rsidR="002F03F5" w:rsidRPr="009F2AA4" w:rsidRDefault="009067E4" w:rsidP="00921FF3">
      <w:pPr>
        <w:pStyle w:val="3-BodyText"/>
        <w:numPr>
          <w:ilvl w:val="0"/>
          <w:numId w:val="0"/>
        </w:numPr>
        <w:spacing w:before="0" w:after="120"/>
        <w:ind w:left="720" w:hanging="720"/>
        <w:rPr>
          <w:i/>
          <w:iCs/>
        </w:rPr>
      </w:pPr>
      <w:r w:rsidRPr="009F2AA4">
        <w:rPr>
          <w:i/>
          <w:iCs/>
        </w:rPr>
        <w:t>For more detail on PBAC’s view, see section 7 PBAC outcome.</w:t>
      </w:r>
    </w:p>
    <w:p w14:paraId="3C780E92" w14:textId="77777777" w:rsidR="002F03F5" w:rsidRPr="009F2AA4" w:rsidRDefault="008F23FF" w:rsidP="00921FF3">
      <w:pPr>
        <w:pStyle w:val="PBACESHeading1"/>
        <w:rPr>
          <w:b/>
          <w:bCs/>
        </w:rPr>
      </w:pPr>
      <w:bookmarkStart w:id="25" w:name="_Toc413139275"/>
      <w:bookmarkStart w:id="26" w:name="_Toc219898322"/>
      <w:r w:rsidRPr="009F2AA4">
        <w:rPr>
          <w:b/>
          <w:bCs/>
        </w:rPr>
        <w:lastRenderedPageBreak/>
        <w:t>Comparator</w:t>
      </w:r>
      <w:bookmarkEnd w:id="25"/>
      <w:bookmarkEnd w:id="26"/>
    </w:p>
    <w:p w14:paraId="3C780E93" w14:textId="6620A72D" w:rsidR="002F03F5" w:rsidRPr="009F2AA4" w:rsidRDefault="00DB3D80" w:rsidP="00921FF3">
      <w:pPr>
        <w:pStyle w:val="3-BodyText"/>
        <w:spacing w:before="160"/>
      </w:pPr>
      <w:r>
        <w:t xml:space="preserve">The submission nominated </w:t>
      </w:r>
      <w:r w:rsidR="008F23FF" w:rsidRPr="009F2AA4">
        <w:t xml:space="preserve">BSC as the main comparator for selpercatinib, </w:t>
      </w:r>
      <w:r>
        <w:t xml:space="preserve">which </w:t>
      </w:r>
      <w:r w:rsidR="008F23FF" w:rsidRPr="009F2AA4">
        <w:t>include</w:t>
      </w:r>
      <w:r w:rsidR="009D2C83">
        <w:t>d</w:t>
      </w:r>
      <w:r w:rsidR="008F23FF" w:rsidRPr="009F2AA4">
        <w:t xml:space="preserve"> symptom control (e.g., diarrhoea) or palliative care (e.g., pain management). </w:t>
      </w:r>
    </w:p>
    <w:p w14:paraId="3C780E94" w14:textId="4657240A" w:rsidR="002F03F5" w:rsidRPr="009F2AA4" w:rsidRDefault="008F23FF" w:rsidP="00921FF3">
      <w:pPr>
        <w:pStyle w:val="3-BodyText"/>
        <w:spacing w:before="160"/>
      </w:pPr>
      <w:bookmarkStart w:id="27" w:name="_Ref222140180"/>
      <w:r w:rsidRPr="009F2AA4">
        <w:t xml:space="preserve">Cabozantinib and </w:t>
      </w:r>
      <w:proofErr w:type="spellStart"/>
      <w:r w:rsidRPr="009F2AA4">
        <w:t>vandetanib</w:t>
      </w:r>
      <w:proofErr w:type="spellEnd"/>
      <w:r w:rsidRPr="009F2AA4">
        <w:t xml:space="preserve"> are MKIs that were nominated as secondary comparators. </w:t>
      </w:r>
      <w:r w:rsidRPr="00C65D87">
        <w:t xml:space="preserve">Cabozantinib inhibits VEGFR2, MET and </w:t>
      </w:r>
      <w:r w:rsidRPr="00D04547">
        <w:t>RET</w:t>
      </w:r>
      <w:r w:rsidRPr="00C65D87">
        <w:t xml:space="preserve">, and </w:t>
      </w:r>
      <w:proofErr w:type="spellStart"/>
      <w:r w:rsidRPr="00C65D87">
        <w:t>vandetanib</w:t>
      </w:r>
      <w:proofErr w:type="spellEnd"/>
      <w:r w:rsidRPr="00C65D87">
        <w:t xml:space="preserve"> inhibits </w:t>
      </w:r>
      <w:r w:rsidRPr="00023680">
        <w:t>VEGFR</w:t>
      </w:r>
      <w:r w:rsidR="004371DE" w:rsidRPr="00023680">
        <w:t>2</w:t>
      </w:r>
      <w:r w:rsidRPr="00C65D87">
        <w:t>, EGFR, and RET. The primary therapeutic target of MKIs is VEGFR2 to inhibit angiogenesis, limiting tumour growth and are used to treat MTC regardless of</w:t>
      </w:r>
      <w:r w:rsidR="00923547" w:rsidRPr="00D04547">
        <w:t xml:space="preserve"> RET </w:t>
      </w:r>
      <w:r w:rsidRPr="00C65D87">
        <w:t xml:space="preserve">variant status (pp14-5, Ratified PICO Confirmation 1804). While the submission considered cabozantinib and </w:t>
      </w:r>
      <w:proofErr w:type="spellStart"/>
      <w:r w:rsidRPr="00C65D87">
        <w:t>vandetanib</w:t>
      </w:r>
      <w:proofErr w:type="spellEnd"/>
      <w:r w:rsidRPr="00C65D87">
        <w:t xml:space="preserve"> as the current standard of care (SOC), the NCCN and ESMO guidelines noted preference for selective</w:t>
      </w:r>
      <w:r w:rsidR="00923547" w:rsidRPr="00D04547">
        <w:t xml:space="preserve"> RET </w:t>
      </w:r>
      <w:r w:rsidRPr="00C65D87">
        <w:t>inhibitors</w:t>
      </w:r>
      <w:r w:rsidRPr="009F2AA4">
        <w:t xml:space="preserve"> in</w:t>
      </w:r>
      <w:r w:rsidR="00923547" w:rsidRPr="00923547">
        <w:rPr>
          <w:i/>
        </w:rPr>
        <w:t xml:space="preserve"> RET </w:t>
      </w:r>
      <w:r w:rsidRPr="009F2AA4">
        <w:t xml:space="preserve">variant MTC (e.g., selpercatinib or pralsetinib). The </w:t>
      </w:r>
      <w:r w:rsidRPr="00904505">
        <w:t>ESCs noted that chemotherapy may also be considered, rarely, for MTC</w:t>
      </w:r>
      <w:bookmarkEnd w:id="27"/>
    </w:p>
    <w:p w14:paraId="4F342618" w14:textId="2B2A9BB9" w:rsidR="009067E4" w:rsidRPr="009F2AA4" w:rsidRDefault="008F23FF" w:rsidP="00921FF3">
      <w:pPr>
        <w:pStyle w:val="3-BodyText"/>
        <w:spacing w:before="160"/>
      </w:pPr>
      <w:r w:rsidRPr="009F2AA4">
        <w:t xml:space="preserve">The evaluation </w:t>
      </w:r>
      <w:r w:rsidRPr="00904505">
        <w:t>and the ESCs</w:t>
      </w:r>
      <w:r w:rsidRPr="009F2AA4">
        <w:t xml:space="preserve"> considered that the</w:t>
      </w:r>
      <w:r w:rsidR="00850304">
        <w:t xml:space="preserve"> nominated </w:t>
      </w:r>
      <w:r w:rsidR="007A6A3D">
        <w:t>comparators</w:t>
      </w:r>
      <w:r w:rsidR="00850304">
        <w:t xml:space="preserve"> </w:t>
      </w:r>
      <w:r w:rsidRPr="009F2AA4">
        <w:t xml:space="preserve">were reasonable, noting that access to MKIs for the treatment of MTC in Australia was limited (cabozantinib is not TGA approved for MTC, and </w:t>
      </w:r>
      <w:proofErr w:type="spellStart"/>
      <w:r w:rsidRPr="009F2AA4">
        <w:t>vandetanib</w:t>
      </w:r>
      <w:proofErr w:type="spellEnd"/>
      <w:r w:rsidRPr="009F2AA4">
        <w:t xml:space="preserve"> is TGA approved for patients with symptomatic or progressive MTC with unresectable locally advanced or metastatic disease but is not PBS listed). According to the Australian sample from Papachristos 2023, treatment with kinase inhibitors was only reported in 30/235 (12.8%) MTC patients, of which 20/235 (8.5%) had cabozantinib or </w:t>
      </w:r>
      <w:proofErr w:type="spellStart"/>
      <w:r w:rsidRPr="009F2AA4">
        <w:t>vandetanib</w:t>
      </w:r>
      <w:proofErr w:type="spellEnd"/>
      <w:r w:rsidRPr="009F2AA4">
        <w:t>.</w:t>
      </w:r>
      <w:r w:rsidR="007E3114">
        <w:t xml:space="preserve"> </w:t>
      </w:r>
    </w:p>
    <w:p w14:paraId="3C780E95" w14:textId="6E4BBC5B" w:rsidR="002F03F5" w:rsidRPr="00850304" w:rsidRDefault="009067E4" w:rsidP="00921FF3">
      <w:pPr>
        <w:pStyle w:val="3-BodyText"/>
        <w:numPr>
          <w:ilvl w:val="0"/>
          <w:numId w:val="0"/>
        </w:numPr>
        <w:spacing w:before="0" w:after="120"/>
        <w:ind w:left="720" w:hanging="720"/>
        <w:rPr>
          <w:i/>
          <w:iCs/>
        </w:rPr>
      </w:pPr>
      <w:r w:rsidRPr="00850304">
        <w:rPr>
          <w:i/>
          <w:iCs/>
        </w:rPr>
        <w:t>For more detail on PBAC’s view, see section 7 PBAC outcome.</w:t>
      </w:r>
    </w:p>
    <w:p w14:paraId="3C780E96" w14:textId="77777777" w:rsidR="002F03F5" w:rsidRPr="009F2AA4" w:rsidRDefault="008F23FF" w:rsidP="00921FF3">
      <w:pPr>
        <w:pStyle w:val="PBACESHeading1"/>
        <w:spacing w:before="160" w:after="160"/>
        <w:rPr>
          <w:b/>
          <w:bCs/>
        </w:rPr>
      </w:pPr>
      <w:bookmarkStart w:id="28" w:name="_Toc219898323"/>
      <w:r w:rsidRPr="009F2AA4">
        <w:rPr>
          <w:b/>
          <w:bCs/>
        </w:rPr>
        <w:t>Consideration of the evidence</w:t>
      </w:r>
      <w:bookmarkEnd w:id="28"/>
    </w:p>
    <w:p w14:paraId="38F71377" w14:textId="77777777" w:rsidR="00F47405" w:rsidRPr="009F2AA4" w:rsidRDefault="00F47405" w:rsidP="00921FF3">
      <w:pPr>
        <w:pStyle w:val="PBACESHeading2"/>
        <w:spacing w:before="200" w:afterLines="100" w:after="240"/>
        <w:ind w:left="862" w:hanging="862"/>
        <w:rPr>
          <w:rFonts w:ascii="Calibri" w:hAnsi="Calibri" w:cs="Calibri"/>
        </w:rPr>
      </w:pPr>
      <w:bookmarkStart w:id="29" w:name="_Hlk76375935"/>
      <w:bookmarkStart w:id="30" w:name="_Toc219898324"/>
      <w:r w:rsidRPr="009F2AA4">
        <w:rPr>
          <w:rFonts w:ascii="Calibri" w:hAnsi="Calibri" w:cs="Calibri"/>
        </w:rPr>
        <w:t>Sponsor hearing</w:t>
      </w:r>
    </w:p>
    <w:p w14:paraId="500966AE" w14:textId="3C5F358C" w:rsidR="00F47405" w:rsidRPr="009F2AA4" w:rsidRDefault="00F47405" w:rsidP="00921FF3">
      <w:pPr>
        <w:pStyle w:val="3-BodyText"/>
        <w:rPr>
          <w:snapToGrid w:val="0"/>
        </w:rPr>
      </w:pPr>
      <w:r w:rsidRPr="009F2AA4">
        <w:rPr>
          <w:snapToGrid w:val="0"/>
        </w:rPr>
        <w:t>There was no hearing for this item</w:t>
      </w:r>
      <w:r w:rsidR="007166D7" w:rsidRPr="009F2AA4">
        <w:rPr>
          <w:snapToGrid w:val="0"/>
        </w:rPr>
        <w:t>.</w:t>
      </w:r>
    </w:p>
    <w:p w14:paraId="22ADE0C6" w14:textId="6BFC8CC8" w:rsidR="00F47405" w:rsidRPr="009F2AA4" w:rsidRDefault="00F47405" w:rsidP="00921FF3">
      <w:pPr>
        <w:pStyle w:val="PBACESHeading2"/>
        <w:spacing w:before="200" w:afterLines="100" w:after="240"/>
        <w:ind w:left="862" w:hanging="862"/>
        <w:rPr>
          <w:rFonts w:ascii="Calibri" w:hAnsi="Calibri" w:cs="Calibri"/>
        </w:rPr>
      </w:pPr>
      <w:r w:rsidRPr="009F2AA4">
        <w:rPr>
          <w:rFonts w:ascii="Calibri" w:hAnsi="Calibri" w:cs="Calibri"/>
        </w:rPr>
        <w:t>Consumer input</w:t>
      </w:r>
    </w:p>
    <w:p w14:paraId="12A5788B" w14:textId="0266290F" w:rsidR="00C25953" w:rsidRPr="00285E0D" w:rsidRDefault="00F47405" w:rsidP="00921FF3">
      <w:pPr>
        <w:pStyle w:val="3-BodyText"/>
        <w:rPr>
          <w:snapToGrid w:val="0"/>
        </w:rPr>
      </w:pPr>
      <w:bookmarkStart w:id="31" w:name="_Ref224906211"/>
      <w:bookmarkStart w:id="32" w:name="_Hlk76382618"/>
      <w:r w:rsidRPr="001A4A5E">
        <w:rPr>
          <w:snapToGrid w:val="0"/>
        </w:rPr>
        <w:t>The PBAC noted and welcomed the input from individuals (</w:t>
      </w:r>
      <w:r w:rsidR="00A12825" w:rsidRPr="001A4A5E">
        <w:rPr>
          <w:snapToGrid w:val="0"/>
        </w:rPr>
        <w:t>8</w:t>
      </w:r>
      <w:r w:rsidRPr="001A4A5E">
        <w:rPr>
          <w:snapToGrid w:val="0"/>
        </w:rPr>
        <w:t>), health care professionals (</w:t>
      </w:r>
      <w:r w:rsidR="00B6396E" w:rsidRPr="001A4A5E">
        <w:rPr>
          <w:snapToGrid w:val="0"/>
        </w:rPr>
        <w:t>2</w:t>
      </w:r>
      <w:r w:rsidRPr="001A4A5E">
        <w:rPr>
          <w:snapToGrid w:val="0"/>
        </w:rPr>
        <w:t xml:space="preserve">) and </w:t>
      </w:r>
      <w:r w:rsidR="00A12825" w:rsidRPr="001A4A5E">
        <w:rPr>
          <w:snapToGrid w:val="0"/>
        </w:rPr>
        <w:t xml:space="preserve">consumer </w:t>
      </w:r>
      <w:r w:rsidRPr="001A4A5E">
        <w:rPr>
          <w:snapToGrid w:val="0"/>
        </w:rPr>
        <w:t xml:space="preserve">organisations (1) via the Office of Health Technology Assessment Consultation Hub. </w:t>
      </w:r>
      <w:r w:rsidR="00B6396E" w:rsidRPr="001A4A5E">
        <w:rPr>
          <w:snapToGrid w:val="0"/>
        </w:rPr>
        <w:t>Consumers described MTC as a rare</w:t>
      </w:r>
      <w:r w:rsidR="004F075A">
        <w:rPr>
          <w:snapToGrid w:val="0"/>
        </w:rPr>
        <w:t xml:space="preserve"> and</w:t>
      </w:r>
      <w:r w:rsidR="00B6396E" w:rsidRPr="001A4A5E">
        <w:rPr>
          <w:snapToGrid w:val="0"/>
        </w:rPr>
        <w:t xml:space="preserve"> life</w:t>
      </w:r>
      <w:r w:rsidR="00B6396E" w:rsidRPr="001A4A5E">
        <w:rPr>
          <w:rFonts w:ascii="Cambria Math" w:hAnsi="Cambria Math" w:cs="Cambria Math"/>
          <w:snapToGrid w:val="0"/>
        </w:rPr>
        <w:t>‑</w:t>
      </w:r>
      <w:r w:rsidR="00B6396E" w:rsidRPr="001A4A5E">
        <w:rPr>
          <w:snapToGrid w:val="0"/>
        </w:rPr>
        <w:t>threatening disease associated with profound impacts on physical functioning, independence, emotional wellbeing and the ability to work. Input highlighted limited and poorly tolerated existing treatment options, with many patients reporting inadequate responses to chemotherapy and significant side effects from cabozantinib</w:t>
      </w:r>
      <w:r w:rsidR="001A4A5E" w:rsidRPr="001A4A5E">
        <w:rPr>
          <w:snapToGrid w:val="0"/>
        </w:rPr>
        <w:t xml:space="preserve"> (which is not PBS listed</w:t>
      </w:r>
      <w:r w:rsidR="008769F8">
        <w:rPr>
          <w:snapToGrid w:val="0"/>
        </w:rPr>
        <w:t xml:space="preserve"> for MTC</w:t>
      </w:r>
      <w:r w:rsidR="001A4A5E" w:rsidRPr="001A4A5E">
        <w:rPr>
          <w:snapToGrid w:val="0"/>
        </w:rPr>
        <w:t>)</w:t>
      </w:r>
      <w:r w:rsidR="000F4AA2" w:rsidRPr="001A4A5E">
        <w:rPr>
          <w:snapToGrid w:val="0"/>
        </w:rPr>
        <w:t xml:space="preserve">. </w:t>
      </w:r>
      <w:r w:rsidR="00C25953" w:rsidRPr="001A4A5E">
        <w:rPr>
          <w:snapToGrid w:val="0"/>
        </w:rPr>
        <w:t>Consumer</w:t>
      </w:r>
      <w:r w:rsidR="000F3D0F" w:rsidRPr="001A4A5E">
        <w:rPr>
          <w:snapToGrid w:val="0"/>
        </w:rPr>
        <w:t>s</w:t>
      </w:r>
      <w:r w:rsidR="00C25953" w:rsidRPr="001A4A5E">
        <w:rPr>
          <w:snapToGrid w:val="0"/>
        </w:rPr>
        <w:t xml:space="preserve"> using selpercatinib described it as a highly effective targeted therapy offering substantial clinical benefit</w:t>
      </w:r>
      <w:r w:rsidR="00D83FCA" w:rsidRPr="001A4A5E">
        <w:rPr>
          <w:snapToGrid w:val="0"/>
        </w:rPr>
        <w:t xml:space="preserve">s, including </w:t>
      </w:r>
      <w:r w:rsidR="00C25953" w:rsidRPr="001A4A5E">
        <w:rPr>
          <w:snapToGrid w:val="0"/>
        </w:rPr>
        <w:t>long</w:t>
      </w:r>
      <w:r w:rsidR="00C25953" w:rsidRPr="001A4A5E">
        <w:rPr>
          <w:rFonts w:ascii="Cambria Math" w:hAnsi="Cambria Math" w:cs="Cambria Math"/>
          <w:snapToGrid w:val="0"/>
        </w:rPr>
        <w:t>‑</w:t>
      </w:r>
      <w:r w:rsidR="00C25953" w:rsidRPr="001A4A5E">
        <w:rPr>
          <w:snapToGrid w:val="0"/>
        </w:rPr>
        <w:t xml:space="preserve">term disease stability, and meaningful functional recovery. Consumers reported that selpercatinib generally has </w:t>
      </w:r>
      <w:r w:rsidR="000C4FE3">
        <w:rPr>
          <w:snapToGrid w:val="0"/>
        </w:rPr>
        <w:t>typically mild</w:t>
      </w:r>
      <w:r w:rsidR="000C4FE3" w:rsidRPr="001A4A5E">
        <w:rPr>
          <w:snapToGrid w:val="0"/>
        </w:rPr>
        <w:t xml:space="preserve"> </w:t>
      </w:r>
      <w:r w:rsidR="00C25953" w:rsidRPr="001A4A5E">
        <w:rPr>
          <w:snapToGrid w:val="0"/>
        </w:rPr>
        <w:t>side effects and is better tolerated than current alternatives, enabling improved quality of life</w:t>
      </w:r>
      <w:r w:rsidR="00180595" w:rsidRPr="001A4A5E">
        <w:rPr>
          <w:snapToGrid w:val="0"/>
        </w:rPr>
        <w:t xml:space="preserve"> and</w:t>
      </w:r>
      <w:r w:rsidR="00C25953" w:rsidRPr="001A4A5E">
        <w:rPr>
          <w:snapToGrid w:val="0"/>
        </w:rPr>
        <w:t xml:space="preserve"> restoration of normal daily activities</w:t>
      </w:r>
      <w:r w:rsidR="00063B17" w:rsidRPr="001A4A5E">
        <w:rPr>
          <w:snapToGrid w:val="0"/>
        </w:rPr>
        <w:t>.</w:t>
      </w:r>
      <w:bookmarkEnd w:id="31"/>
      <w:r w:rsidR="00063B17" w:rsidRPr="001A4A5E">
        <w:rPr>
          <w:snapToGrid w:val="0"/>
        </w:rPr>
        <w:t xml:space="preserve"> </w:t>
      </w:r>
      <w:r w:rsidR="00285E0D" w:rsidRPr="00285E0D">
        <w:rPr>
          <w:snapToGrid w:val="0"/>
        </w:rPr>
        <w:t xml:space="preserve">Health professionals described </w:t>
      </w:r>
      <w:r w:rsidR="00AD57AA">
        <w:rPr>
          <w:snapToGrid w:val="0"/>
        </w:rPr>
        <w:t>s</w:t>
      </w:r>
      <w:r w:rsidR="00AD57AA" w:rsidRPr="00285E0D">
        <w:rPr>
          <w:snapToGrid w:val="0"/>
        </w:rPr>
        <w:t>elpercatinib</w:t>
      </w:r>
      <w:r w:rsidR="00285E0D" w:rsidRPr="00285E0D">
        <w:rPr>
          <w:snapToGrid w:val="0"/>
        </w:rPr>
        <w:t xml:space="preserve"> as </w:t>
      </w:r>
      <w:r w:rsidR="00285E0D">
        <w:rPr>
          <w:snapToGrid w:val="0"/>
        </w:rPr>
        <w:t xml:space="preserve">the </w:t>
      </w:r>
      <w:r w:rsidR="00285E0D" w:rsidRPr="00285E0D">
        <w:rPr>
          <w:snapToGrid w:val="0"/>
        </w:rPr>
        <w:t xml:space="preserve">standard of care </w:t>
      </w:r>
      <w:r w:rsidR="00285E0D" w:rsidRPr="00285E0D">
        <w:rPr>
          <w:snapToGrid w:val="0"/>
        </w:rPr>
        <w:lastRenderedPageBreak/>
        <w:t>internationally</w:t>
      </w:r>
      <w:r w:rsidR="00285E0D">
        <w:rPr>
          <w:snapToGrid w:val="0"/>
        </w:rPr>
        <w:t xml:space="preserve">, noting it was </w:t>
      </w:r>
      <w:r w:rsidR="00285E0D" w:rsidRPr="00285E0D">
        <w:rPr>
          <w:snapToGrid w:val="0"/>
        </w:rPr>
        <w:t>effective and well tolerated and can lead to many years of disease control which is particularly important for younger patients with</w:t>
      </w:r>
      <w:r w:rsidR="00285E0D">
        <w:rPr>
          <w:snapToGrid w:val="0"/>
        </w:rPr>
        <w:t xml:space="preserve"> </w:t>
      </w:r>
      <w:r w:rsidR="00AD57AA">
        <w:rPr>
          <w:snapToGrid w:val="0"/>
        </w:rPr>
        <w:t xml:space="preserve">metastatic </w:t>
      </w:r>
      <w:r w:rsidR="00285E0D">
        <w:rPr>
          <w:snapToGrid w:val="0"/>
        </w:rPr>
        <w:t>MTC</w:t>
      </w:r>
      <w:r w:rsidR="00285E0D" w:rsidRPr="00285E0D">
        <w:rPr>
          <w:snapToGrid w:val="0"/>
        </w:rPr>
        <w:t>. The advantage of oral treatment enabling treatment at home was noted with cost being the main barrier to access</w:t>
      </w:r>
    </w:p>
    <w:p w14:paraId="48B5FFBD" w14:textId="162C93DB" w:rsidR="000F3D0F" w:rsidRPr="00AD19A1" w:rsidRDefault="000F3D0F" w:rsidP="00921FF3">
      <w:pPr>
        <w:pStyle w:val="3-BodyText"/>
        <w:rPr>
          <w:snapToGrid w:val="0"/>
        </w:rPr>
      </w:pPr>
      <w:bookmarkStart w:id="33" w:name="_Ref224906212"/>
      <w:bookmarkEnd w:id="29"/>
      <w:bookmarkEnd w:id="32"/>
      <w:r w:rsidRPr="009F2AA4">
        <w:rPr>
          <w:snapToGrid w:val="0"/>
        </w:rPr>
        <w:t>The PBAC noted the advice from Rare Cancers Australia, which highlighted the significant unmet need for effective targeted therapies</w:t>
      </w:r>
      <w:r w:rsidR="00180595" w:rsidRPr="009F2AA4">
        <w:rPr>
          <w:snapToGrid w:val="0"/>
        </w:rPr>
        <w:t xml:space="preserve"> in this population and</w:t>
      </w:r>
      <w:r w:rsidRPr="009F2AA4">
        <w:rPr>
          <w:snapToGrid w:val="0"/>
        </w:rPr>
        <w:t xml:space="preserve"> </w:t>
      </w:r>
      <w:r w:rsidR="001E3F84">
        <w:rPr>
          <w:snapToGrid w:val="0"/>
        </w:rPr>
        <w:t xml:space="preserve">the </w:t>
      </w:r>
      <w:r w:rsidRPr="009F2AA4">
        <w:rPr>
          <w:snapToGrid w:val="0"/>
        </w:rPr>
        <w:t>distress caused when patients cannot access recommended treatment</w:t>
      </w:r>
      <w:r w:rsidR="00DE649E">
        <w:rPr>
          <w:snapToGrid w:val="0"/>
        </w:rPr>
        <w:t>s</w:t>
      </w:r>
      <w:r w:rsidRPr="009F2AA4">
        <w:rPr>
          <w:snapToGrid w:val="0"/>
        </w:rPr>
        <w:t>. The organisation advised that selpercatinib offers meaningful improvements in symptoms, function and wellbeing for people with RET</w:t>
      </w:r>
      <w:r w:rsidRPr="00AD19A1">
        <w:rPr>
          <w:rFonts w:ascii="Cambria Math" w:hAnsi="Cambria Math" w:cs="Cambria Math"/>
          <w:snapToGrid w:val="0"/>
        </w:rPr>
        <w:t>‑</w:t>
      </w:r>
      <w:r w:rsidRPr="009F2AA4">
        <w:rPr>
          <w:snapToGrid w:val="0"/>
        </w:rPr>
        <w:t>positive MTC</w:t>
      </w:r>
      <w:r w:rsidR="004A2D95">
        <w:rPr>
          <w:snapToGrid w:val="0"/>
        </w:rPr>
        <w:t>.</w:t>
      </w:r>
      <w:bookmarkEnd w:id="33"/>
    </w:p>
    <w:p w14:paraId="03EB11B4" w14:textId="6EF10950" w:rsidR="00AD19A1" w:rsidRPr="00AD19A1" w:rsidRDefault="00AD19A1" w:rsidP="00921FF3">
      <w:pPr>
        <w:pStyle w:val="3-BodyText"/>
        <w:rPr>
          <w:snapToGrid w:val="0"/>
        </w:rPr>
      </w:pPr>
      <w:r>
        <w:rPr>
          <w:snapToGrid w:val="0"/>
        </w:rPr>
        <w:t xml:space="preserve">The PBAC considered that </w:t>
      </w:r>
      <w:r w:rsidRPr="00AD19A1">
        <w:rPr>
          <w:snapToGrid w:val="0"/>
        </w:rPr>
        <w:t>the consumer input</w:t>
      </w:r>
      <w:r w:rsidR="00F902ED">
        <w:rPr>
          <w:snapToGrid w:val="0"/>
        </w:rPr>
        <w:t xml:space="preserve"> indicated that </w:t>
      </w:r>
      <w:r w:rsidRPr="00AD19A1">
        <w:rPr>
          <w:snapToGrid w:val="0"/>
        </w:rPr>
        <w:t>the most important clinical need is</w:t>
      </w:r>
      <w:r w:rsidR="00007AA2">
        <w:rPr>
          <w:snapToGrid w:val="0"/>
        </w:rPr>
        <w:t xml:space="preserve"> for an</w:t>
      </w:r>
      <w:r w:rsidRPr="00AD19A1">
        <w:rPr>
          <w:snapToGrid w:val="0"/>
        </w:rPr>
        <w:t xml:space="preserve"> effective systemic therapy with </w:t>
      </w:r>
      <w:r w:rsidR="00007AA2" w:rsidRPr="00007AA2">
        <w:rPr>
          <w:snapToGrid w:val="0"/>
        </w:rPr>
        <w:t>a favourable tolerability profile</w:t>
      </w:r>
      <w:r w:rsidR="00007AA2">
        <w:rPr>
          <w:snapToGrid w:val="0"/>
        </w:rPr>
        <w:t>.</w:t>
      </w:r>
    </w:p>
    <w:p w14:paraId="3C780E97" w14:textId="77777777" w:rsidR="002F03F5" w:rsidRPr="009F2AA4" w:rsidRDefault="008F23FF" w:rsidP="00921FF3">
      <w:pPr>
        <w:pStyle w:val="PBACESHeading2"/>
        <w:spacing w:before="200" w:afterLines="100" w:after="240"/>
        <w:ind w:left="862" w:hanging="862"/>
        <w:rPr>
          <w:rFonts w:ascii="Calibri" w:hAnsi="Calibri" w:cs="Calibri"/>
        </w:rPr>
      </w:pPr>
      <w:r w:rsidRPr="009F2AA4">
        <w:rPr>
          <w:rFonts w:ascii="Calibri" w:hAnsi="Calibri" w:cs="Calibri"/>
        </w:rPr>
        <w:t>Overview of the evidence base</w:t>
      </w:r>
      <w:bookmarkEnd w:id="30"/>
    </w:p>
    <w:p w14:paraId="3C780E98" w14:textId="2CC1702F" w:rsidR="002F03F5" w:rsidRPr="009F2AA4" w:rsidRDefault="008F23FF" w:rsidP="00921FF3">
      <w:pPr>
        <w:pStyle w:val="3-BodyText"/>
      </w:pPr>
      <w:r w:rsidRPr="009F2AA4">
        <w:t>The submission present</w:t>
      </w:r>
      <w:r w:rsidR="00BB2069">
        <w:t>ed</w:t>
      </w:r>
      <w:r w:rsidRPr="009F2AA4">
        <w:t xml:space="preserve"> linked evidence to support the contention that targeting clinically significant</w:t>
      </w:r>
      <w:r w:rsidR="00923547" w:rsidRPr="00923547">
        <w:rPr>
          <w:i/>
        </w:rPr>
        <w:t xml:space="preserve"> RET </w:t>
      </w:r>
      <w:r w:rsidRPr="009F2AA4">
        <w:t>gene variants in patients with advanced or metastatic MTC with selpercatinib will lead to improved health outcomes including PFS and OS (</w:t>
      </w:r>
      <w:r w:rsidR="004A2D95">
        <w:fldChar w:fldCharType="begin"/>
      </w:r>
      <w:r w:rsidR="004A2D95">
        <w:instrText xml:space="preserve"> REF _Ref225335746 \h </w:instrText>
      </w:r>
      <w:r w:rsidR="004A2D95">
        <w:fldChar w:fldCharType="separate"/>
      </w:r>
      <w:r w:rsidR="003A3B69">
        <w:t xml:space="preserve">Table </w:t>
      </w:r>
      <w:r w:rsidR="003A3B69">
        <w:rPr>
          <w:noProof/>
        </w:rPr>
        <w:t>2</w:t>
      </w:r>
      <w:r w:rsidR="004A2D95">
        <w:fldChar w:fldCharType="end"/>
      </w:r>
      <w:r w:rsidRPr="009F2AA4">
        <w:t>).</w:t>
      </w:r>
    </w:p>
    <w:p w14:paraId="1DA21631" w14:textId="7C5599F8" w:rsidR="00850FFA" w:rsidRDefault="00850FFA" w:rsidP="00921FF3">
      <w:pPr>
        <w:pStyle w:val="Caption"/>
      </w:pPr>
      <w:bookmarkStart w:id="34" w:name="_Ref225335746"/>
      <w:r>
        <w:lastRenderedPageBreak/>
        <w:t xml:space="preserve">Table </w:t>
      </w:r>
      <w:r>
        <w:fldChar w:fldCharType="begin"/>
      </w:r>
      <w:r>
        <w:instrText>SEQ Table \* ARABIC</w:instrText>
      </w:r>
      <w:r>
        <w:fldChar w:fldCharType="separate"/>
      </w:r>
      <w:r w:rsidR="003A3B69">
        <w:rPr>
          <w:noProof/>
        </w:rPr>
        <w:t>2</w:t>
      </w:r>
      <w:r>
        <w:fldChar w:fldCharType="end"/>
      </w:r>
      <w:bookmarkEnd w:id="34"/>
      <w:r>
        <w:t>:</w:t>
      </w:r>
      <w:r w:rsidR="007E3114">
        <w:t xml:space="preserve"> </w:t>
      </w:r>
      <w:r w:rsidRPr="00B22D83">
        <w:t>Summary of the linked evidence approach</w:t>
      </w:r>
    </w:p>
    <w:tbl>
      <w:tblPr>
        <w:tblW w:w="5000" w:type="pct"/>
        <w:tblLayout w:type="fixed"/>
        <w:tblLook w:val="04A0" w:firstRow="1" w:lastRow="0" w:firstColumn="1" w:lastColumn="0" w:noHBand="0" w:noVBand="1"/>
        <w:tblCaption w:val="Table 2: Summary of the linked evidence approach"/>
      </w:tblPr>
      <w:tblGrid>
        <w:gridCol w:w="1705"/>
        <w:gridCol w:w="3713"/>
        <w:gridCol w:w="1419"/>
        <w:gridCol w:w="1169"/>
        <w:gridCol w:w="1010"/>
      </w:tblGrid>
      <w:tr w:rsidR="002F03F5" w:rsidRPr="009F2AA4" w14:paraId="3C780E9F" w14:textId="77777777" w:rsidTr="005F43B4">
        <w:trPr>
          <w:cantSplit/>
        </w:trPr>
        <w:tc>
          <w:tcPr>
            <w:tcW w:w="1707" w:type="dxa"/>
            <w:tcBorders>
              <w:top w:val="single" w:sz="4" w:space="0" w:color="000000"/>
              <w:left w:val="single" w:sz="4" w:space="0" w:color="000000"/>
              <w:bottom w:val="single" w:sz="4" w:space="0" w:color="000000"/>
              <w:right w:val="single" w:sz="4" w:space="0" w:color="000000"/>
            </w:tcBorders>
            <w:vAlign w:val="center"/>
          </w:tcPr>
          <w:p w14:paraId="3C780E9A" w14:textId="77777777" w:rsidR="002F03F5" w:rsidRPr="009F2AA4" w:rsidRDefault="002F03F5" w:rsidP="00921FF3">
            <w:pPr>
              <w:pStyle w:val="TableText"/>
              <w:keepNext/>
              <w:widowControl/>
              <w:rPr>
                <w:b/>
              </w:rPr>
            </w:pPr>
          </w:p>
        </w:tc>
        <w:tc>
          <w:tcPr>
            <w:tcW w:w="3717" w:type="dxa"/>
            <w:tcBorders>
              <w:top w:val="single" w:sz="4" w:space="0" w:color="000000"/>
              <w:left w:val="single" w:sz="4" w:space="0" w:color="000000"/>
              <w:bottom w:val="single" w:sz="4" w:space="0" w:color="000000"/>
              <w:right w:val="single" w:sz="4" w:space="0" w:color="000000"/>
            </w:tcBorders>
            <w:vAlign w:val="center"/>
            <w:hideMark/>
          </w:tcPr>
          <w:p w14:paraId="3C780E9B" w14:textId="77777777" w:rsidR="002F03F5" w:rsidRPr="009F2AA4" w:rsidRDefault="008F23FF" w:rsidP="00921FF3">
            <w:pPr>
              <w:pStyle w:val="TableRowHeader"/>
              <w:keepNext/>
              <w:widowControl/>
            </w:pPr>
            <w:r w:rsidRPr="009F2AA4">
              <w:t>Type of evidence supplied</w:t>
            </w:r>
          </w:p>
        </w:tc>
        <w:tc>
          <w:tcPr>
            <w:tcW w:w="1421" w:type="dxa"/>
            <w:tcBorders>
              <w:top w:val="single" w:sz="4" w:space="0" w:color="000000"/>
              <w:left w:val="single" w:sz="4" w:space="0" w:color="000000"/>
              <w:bottom w:val="single" w:sz="4" w:space="0" w:color="000000"/>
              <w:right w:val="single" w:sz="4" w:space="0" w:color="000000"/>
            </w:tcBorders>
            <w:vAlign w:val="center"/>
            <w:hideMark/>
          </w:tcPr>
          <w:p w14:paraId="3C780E9C" w14:textId="77777777" w:rsidR="002F03F5" w:rsidRPr="009F2AA4" w:rsidRDefault="008F23FF" w:rsidP="00921FF3">
            <w:pPr>
              <w:pStyle w:val="TableRowHeader"/>
              <w:keepNext/>
              <w:widowControl/>
            </w:pPr>
            <w:r w:rsidRPr="009F2AA4">
              <w:t>Extent of evidence supplied</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C780E9D" w14:textId="77777777" w:rsidR="002F03F5" w:rsidRPr="009F2AA4" w:rsidRDefault="008F23FF" w:rsidP="00921FF3">
            <w:pPr>
              <w:pStyle w:val="TableRowHeader"/>
              <w:keepNext/>
              <w:widowControl/>
            </w:pPr>
            <w:r w:rsidRPr="009F2AA4">
              <w:t>Overall risk of bias in clinical trials</w:t>
            </w:r>
          </w:p>
        </w:tc>
        <w:tc>
          <w:tcPr>
            <w:tcW w:w="1011" w:type="dxa"/>
            <w:tcBorders>
              <w:top w:val="single" w:sz="4" w:space="0" w:color="000000"/>
              <w:left w:val="single" w:sz="4" w:space="0" w:color="000000"/>
              <w:bottom w:val="single" w:sz="4" w:space="0" w:color="000000"/>
              <w:right w:val="single" w:sz="4" w:space="0" w:color="000000"/>
            </w:tcBorders>
          </w:tcPr>
          <w:p w14:paraId="3C780E9E" w14:textId="77777777" w:rsidR="002F03F5" w:rsidRPr="009F2AA4" w:rsidRDefault="008F23FF" w:rsidP="00921FF3">
            <w:pPr>
              <w:pStyle w:val="TableRowHeader"/>
              <w:keepNext/>
              <w:widowControl/>
            </w:pPr>
            <w:r w:rsidRPr="009F2AA4">
              <w:t>Used in economic model</w:t>
            </w:r>
          </w:p>
        </w:tc>
      </w:tr>
      <w:tr w:rsidR="002F03F5" w:rsidRPr="009F2AA4" w14:paraId="3C780EA5" w14:textId="77777777" w:rsidTr="005F43B4">
        <w:trPr>
          <w:cantSplit/>
        </w:trPr>
        <w:tc>
          <w:tcPr>
            <w:tcW w:w="1707" w:type="dxa"/>
            <w:tcBorders>
              <w:top w:val="single" w:sz="4" w:space="0" w:color="000000"/>
              <w:left w:val="single" w:sz="4" w:space="0" w:color="000000"/>
              <w:bottom w:val="single" w:sz="4" w:space="0" w:color="000000"/>
              <w:right w:val="single" w:sz="4" w:space="0" w:color="000000"/>
            </w:tcBorders>
            <w:vAlign w:val="center"/>
            <w:hideMark/>
          </w:tcPr>
          <w:p w14:paraId="3C780EA0" w14:textId="77777777" w:rsidR="002F03F5" w:rsidRPr="009F2AA4" w:rsidRDefault="008F23FF" w:rsidP="00921FF3">
            <w:pPr>
              <w:pStyle w:val="TableText"/>
              <w:keepNext/>
              <w:widowControl/>
            </w:pPr>
            <w:r w:rsidRPr="009F2AA4">
              <w:t>Accuracy and performance of the test (cross sectional accuracy)</w:t>
            </w:r>
          </w:p>
        </w:tc>
        <w:tc>
          <w:tcPr>
            <w:tcW w:w="3717" w:type="dxa"/>
            <w:tcBorders>
              <w:top w:val="single" w:sz="4" w:space="0" w:color="000000"/>
              <w:left w:val="single" w:sz="4" w:space="0" w:color="000000"/>
              <w:bottom w:val="single" w:sz="4" w:space="0" w:color="000000"/>
              <w:right w:val="single" w:sz="4" w:space="0" w:color="000000"/>
            </w:tcBorders>
            <w:hideMark/>
          </w:tcPr>
          <w:p w14:paraId="3C780EA1" w14:textId="77777777" w:rsidR="002F03F5" w:rsidRPr="009F2AA4" w:rsidRDefault="008F23FF" w:rsidP="00921FF3">
            <w:pPr>
              <w:pStyle w:val="TableText"/>
              <w:keepNext/>
              <w:widowControl/>
            </w:pPr>
            <w:r w:rsidRPr="009F2AA4">
              <w:t xml:space="preserve">The submission did not present test validity evidence. </w:t>
            </w:r>
          </w:p>
        </w:tc>
        <w:tc>
          <w:tcPr>
            <w:tcW w:w="1421" w:type="dxa"/>
            <w:tcBorders>
              <w:top w:val="single" w:sz="4" w:space="0" w:color="000000"/>
              <w:left w:val="single" w:sz="4" w:space="0" w:color="000000"/>
              <w:bottom w:val="single" w:sz="4" w:space="0" w:color="000000"/>
              <w:right w:val="single" w:sz="4" w:space="0" w:color="000000"/>
            </w:tcBorders>
            <w:vAlign w:val="center"/>
            <w:hideMark/>
          </w:tcPr>
          <w:p w14:paraId="3C780EA2" w14:textId="77777777" w:rsidR="002F03F5" w:rsidRPr="009F2AA4" w:rsidRDefault="000421D8" w:rsidP="00921FF3">
            <w:pPr>
              <w:pStyle w:val="TableText"/>
              <w:keepNext/>
              <w:widowControl/>
            </w:pPr>
            <w:sdt>
              <w:sdtPr>
                <w:id w:val="1634520415"/>
                <w14:checkbox>
                  <w14:checked w14:val="1"/>
                  <w14:checkedState w14:val="2612" w14:font="MS Gothic"/>
                  <w14:uncheckedState w14:val="2610" w14:font="MS Gothic"/>
                </w14:checkbox>
              </w:sdtPr>
              <w:sdtEndPr/>
              <w:sdtContent>
                <w:r w:rsidR="008F23FF" w:rsidRPr="009F2AA4">
                  <w:rPr>
                    <w:rFonts w:ascii="MS Gothic" w:eastAsia="MS Gothic" w:hAnsi="MS Gothic"/>
                  </w:rPr>
                  <w:t>☒</w:t>
                </w:r>
              </w:sdtContent>
            </w:sdt>
            <w:r w:rsidR="008F23FF" w:rsidRPr="009F2AA4">
              <w:tab/>
              <w:t>k=0</w:t>
            </w:r>
            <w:r w:rsidR="008F23FF" w:rsidRPr="009F2AA4">
              <w:tab/>
              <w:t>n=NA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C780EA3" w14:textId="77777777" w:rsidR="002F03F5" w:rsidRPr="009F2AA4" w:rsidRDefault="008F23FF" w:rsidP="00921FF3">
            <w:pPr>
              <w:pStyle w:val="TableText"/>
              <w:keepNext/>
              <w:widowControl/>
            </w:pPr>
            <w:r w:rsidRPr="009F2AA4">
              <w:t>NA</w:t>
            </w:r>
          </w:p>
        </w:tc>
        <w:tc>
          <w:tcPr>
            <w:tcW w:w="1011" w:type="dxa"/>
            <w:tcBorders>
              <w:top w:val="single" w:sz="4" w:space="0" w:color="000000"/>
              <w:left w:val="single" w:sz="4" w:space="0" w:color="000000"/>
              <w:bottom w:val="single" w:sz="4" w:space="0" w:color="000000"/>
              <w:right w:val="single" w:sz="4" w:space="0" w:color="000000"/>
            </w:tcBorders>
            <w:vAlign w:val="center"/>
          </w:tcPr>
          <w:p w14:paraId="3C780EA4" w14:textId="77777777" w:rsidR="002F03F5" w:rsidRPr="009F2AA4" w:rsidRDefault="008F23FF" w:rsidP="00921FF3">
            <w:pPr>
              <w:pStyle w:val="TableText"/>
              <w:keepNext/>
              <w:widowControl/>
            </w:pPr>
            <w:r w:rsidRPr="009F2AA4">
              <w:t>No</w:t>
            </w:r>
          </w:p>
        </w:tc>
      </w:tr>
      <w:tr w:rsidR="002F03F5" w:rsidRPr="009F2AA4" w14:paraId="3C780EAB" w14:textId="77777777" w:rsidTr="005F43B4">
        <w:trPr>
          <w:cantSplit/>
        </w:trPr>
        <w:tc>
          <w:tcPr>
            <w:tcW w:w="1707" w:type="dxa"/>
            <w:tcBorders>
              <w:top w:val="single" w:sz="4" w:space="0" w:color="000000"/>
              <w:left w:val="single" w:sz="4" w:space="0" w:color="000000"/>
              <w:bottom w:val="single" w:sz="4" w:space="0" w:color="000000"/>
              <w:right w:val="single" w:sz="4" w:space="0" w:color="000000"/>
            </w:tcBorders>
            <w:vAlign w:val="center"/>
            <w:hideMark/>
          </w:tcPr>
          <w:p w14:paraId="3C780EA6" w14:textId="77777777" w:rsidR="002F03F5" w:rsidRPr="009F2AA4" w:rsidRDefault="008F23FF" w:rsidP="00921FF3">
            <w:pPr>
              <w:pStyle w:val="TableText"/>
              <w:keepNext/>
              <w:widowControl/>
            </w:pPr>
            <w:r w:rsidRPr="009F2AA4">
              <w:t>Prognostic evidence (longitudinal accuracy)</w:t>
            </w:r>
          </w:p>
        </w:tc>
        <w:tc>
          <w:tcPr>
            <w:tcW w:w="3717" w:type="dxa"/>
            <w:tcBorders>
              <w:top w:val="single" w:sz="4" w:space="0" w:color="000000"/>
              <w:left w:val="single" w:sz="4" w:space="0" w:color="000000"/>
              <w:bottom w:val="single" w:sz="4" w:space="0" w:color="000000"/>
              <w:right w:val="single" w:sz="4" w:space="0" w:color="000000"/>
            </w:tcBorders>
            <w:hideMark/>
          </w:tcPr>
          <w:p w14:paraId="3C780EA7" w14:textId="0879789F" w:rsidR="002F03F5" w:rsidRPr="009F2AA4" w:rsidRDefault="008F23FF" w:rsidP="00921FF3">
            <w:pPr>
              <w:pStyle w:val="TableText"/>
              <w:keepNext/>
              <w:widowControl/>
            </w:pPr>
            <w:r w:rsidRPr="009F2AA4">
              <w:t>Elisei 2008 was a 10 year retrospective study that investigated the prognostic impact of somatic</w:t>
            </w:r>
            <w:r w:rsidR="00923547" w:rsidRPr="00923547">
              <w:rPr>
                <w:i/>
              </w:rPr>
              <w:t xml:space="preserve"> RET </w:t>
            </w:r>
            <w:r w:rsidRPr="009F2AA4">
              <w:t>variants compared to</w:t>
            </w:r>
            <w:r w:rsidR="00923547" w:rsidRPr="00923547">
              <w:rPr>
                <w:i/>
              </w:rPr>
              <w:t xml:space="preserve"> RET </w:t>
            </w:r>
            <w:r w:rsidRPr="009F2AA4">
              <w:t>wildtype in patients with MTC (N=100).</w:t>
            </w:r>
          </w:p>
        </w:tc>
        <w:tc>
          <w:tcPr>
            <w:tcW w:w="1421" w:type="dxa"/>
            <w:tcBorders>
              <w:top w:val="single" w:sz="4" w:space="0" w:color="000000"/>
              <w:left w:val="single" w:sz="4" w:space="0" w:color="000000"/>
              <w:bottom w:val="single" w:sz="4" w:space="0" w:color="000000"/>
              <w:right w:val="single" w:sz="4" w:space="0" w:color="000000"/>
            </w:tcBorders>
            <w:vAlign w:val="center"/>
            <w:hideMark/>
          </w:tcPr>
          <w:p w14:paraId="3C780EA8" w14:textId="77777777" w:rsidR="002F03F5" w:rsidRPr="009F2AA4" w:rsidRDefault="000421D8" w:rsidP="00921FF3">
            <w:pPr>
              <w:pStyle w:val="TableText"/>
              <w:keepNext/>
              <w:widowControl/>
            </w:pPr>
            <w:sdt>
              <w:sdtPr>
                <w:id w:val="595984052"/>
                <w14:checkbox>
                  <w14:checked w14:val="1"/>
                  <w14:checkedState w14:val="2612" w14:font="MS Gothic"/>
                  <w14:uncheckedState w14:val="2610" w14:font="MS Gothic"/>
                </w14:checkbox>
              </w:sdtPr>
              <w:sdtEndPr/>
              <w:sdtContent>
                <w:r w:rsidR="008F23FF" w:rsidRPr="009F2AA4">
                  <w:rPr>
                    <w:rFonts w:ascii="MS Gothic" w:eastAsia="MS Gothic" w:hAnsi="MS Gothic"/>
                  </w:rPr>
                  <w:t>☒</w:t>
                </w:r>
              </w:sdtContent>
            </w:sdt>
            <w:r w:rsidR="008F23FF" w:rsidRPr="009F2AA4">
              <w:tab/>
              <w:t>k=1</w:t>
            </w:r>
            <w:r w:rsidR="008F23FF" w:rsidRPr="009F2AA4">
              <w:tab/>
              <w:t>n=100</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C780EA9" w14:textId="77777777" w:rsidR="002F03F5" w:rsidRPr="009F2AA4" w:rsidRDefault="008F23FF" w:rsidP="00921FF3">
            <w:pPr>
              <w:pStyle w:val="TableText"/>
              <w:keepNext/>
              <w:widowControl/>
            </w:pPr>
            <w:r w:rsidRPr="009F2AA4">
              <w:t>Low to moderate risk</w:t>
            </w:r>
          </w:p>
        </w:tc>
        <w:tc>
          <w:tcPr>
            <w:tcW w:w="1011" w:type="dxa"/>
            <w:tcBorders>
              <w:top w:val="single" w:sz="4" w:space="0" w:color="000000"/>
              <w:left w:val="single" w:sz="4" w:space="0" w:color="000000"/>
              <w:bottom w:val="single" w:sz="4" w:space="0" w:color="000000"/>
              <w:right w:val="single" w:sz="4" w:space="0" w:color="000000"/>
            </w:tcBorders>
            <w:vAlign w:val="center"/>
          </w:tcPr>
          <w:p w14:paraId="3C780EAA" w14:textId="77777777" w:rsidR="002F03F5" w:rsidRPr="009F2AA4" w:rsidRDefault="008F23FF" w:rsidP="00921FF3">
            <w:pPr>
              <w:pStyle w:val="TableText"/>
              <w:keepNext/>
              <w:widowControl/>
            </w:pPr>
            <w:r w:rsidRPr="009F2AA4">
              <w:t>No</w:t>
            </w:r>
          </w:p>
        </w:tc>
      </w:tr>
      <w:tr w:rsidR="002F03F5" w:rsidRPr="009F2AA4" w14:paraId="3C780EB1" w14:textId="77777777" w:rsidTr="005F43B4">
        <w:trPr>
          <w:cantSplit/>
        </w:trPr>
        <w:tc>
          <w:tcPr>
            <w:tcW w:w="1707" w:type="dxa"/>
            <w:tcBorders>
              <w:top w:val="single" w:sz="4" w:space="0" w:color="000000"/>
              <w:left w:val="single" w:sz="4" w:space="0" w:color="000000"/>
              <w:bottom w:val="single" w:sz="4" w:space="0" w:color="000000"/>
              <w:right w:val="single" w:sz="4" w:space="0" w:color="000000"/>
            </w:tcBorders>
            <w:vAlign w:val="center"/>
            <w:hideMark/>
          </w:tcPr>
          <w:p w14:paraId="3C780EAC" w14:textId="77777777" w:rsidR="002F03F5" w:rsidRPr="009F2AA4" w:rsidRDefault="008F23FF" w:rsidP="00921FF3">
            <w:pPr>
              <w:pStyle w:val="TableText"/>
              <w:keepNext/>
              <w:widowControl/>
            </w:pPr>
            <w:r w:rsidRPr="009F2AA4">
              <w:t xml:space="preserve">Change in patient management </w:t>
            </w:r>
          </w:p>
        </w:tc>
        <w:tc>
          <w:tcPr>
            <w:tcW w:w="3717" w:type="dxa"/>
            <w:tcBorders>
              <w:top w:val="single" w:sz="4" w:space="0" w:color="000000"/>
              <w:left w:val="single" w:sz="4" w:space="0" w:color="000000"/>
              <w:bottom w:val="single" w:sz="4" w:space="0" w:color="000000"/>
              <w:right w:val="single" w:sz="4" w:space="0" w:color="000000"/>
            </w:tcBorders>
            <w:hideMark/>
          </w:tcPr>
          <w:p w14:paraId="3C780EAD" w14:textId="77777777" w:rsidR="002F03F5" w:rsidRPr="009F2AA4" w:rsidRDefault="008F23FF" w:rsidP="00921FF3">
            <w:pPr>
              <w:pStyle w:val="TableText"/>
              <w:keepNext/>
              <w:widowControl/>
            </w:pPr>
            <w:r w:rsidRPr="009F2AA4">
              <w:t>Local and international clinical management guidelines (Gild 2023; ESMO [Filetti 2022] and NCCN [Haddad 2022]).</w:t>
            </w:r>
          </w:p>
        </w:tc>
        <w:tc>
          <w:tcPr>
            <w:tcW w:w="1421" w:type="dxa"/>
            <w:tcBorders>
              <w:top w:val="single" w:sz="4" w:space="0" w:color="000000"/>
              <w:left w:val="single" w:sz="4" w:space="0" w:color="000000"/>
              <w:bottom w:val="single" w:sz="4" w:space="0" w:color="000000"/>
              <w:right w:val="single" w:sz="4" w:space="0" w:color="000000"/>
            </w:tcBorders>
            <w:vAlign w:val="center"/>
            <w:hideMark/>
          </w:tcPr>
          <w:p w14:paraId="3C780EAE" w14:textId="74C6F140" w:rsidR="002F03F5" w:rsidRPr="009F2AA4" w:rsidRDefault="000421D8" w:rsidP="00921FF3">
            <w:pPr>
              <w:pStyle w:val="TableText"/>
              <w:keepNext/>
              <w:widowControl/>
            </w:pPr>
            <w:sdt>
              <w:sdtPr>
                <w:id w:val="-1073273002"/>
                <w14:checkbox>
                  <w14:checked w14:val="1"/>
                  <w14:checkedState w14:val="2612" w14:font="MS Gothic"/>
                  <w14:uncheckedState w14:val="2610" w14:font="MS Gothic"/>
                </w14:checkbox>
              </w:sdtPr>
              <w:sdtEndPr/>
              <w:sdtContent>
                <w:r w:rsidR="008F23FF" w:rsidRPr="009F2AA4">
                  <w:rPr>
                    <w:rFonts w:ascii="MS Gothic" w:eastAsia="MS Gothic" w:hAnsi="MS Gothic"/>
                  </w:rPr>
                  <w:t>☒</w:t>
                </w:r>
              </w:sdtContent>
            </w:sdt>
            <w:r w:rsidR="008F23FF" w:rsidRPr="009F2AA4">
              <w:tab/>
              <w:t>k=3</w:t>
            </w:r>
            <w:r w:rsidR="007E3114">
              <w:t xml:space="preserve">                            </w:t>
            </w:r>
            <w:r w:rsidR="008F23FF" w:rsidRPr="009F2AA4">
              <w:t xml:space="preserve"> </w:t>
            </w:r>
            <w:r w:rsidR="008F23FF" w:rsidRPr="009F2AA4">
              <w:tab/>
              <w:t>n=NA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C780EAF" w14:textId="77777777" w:rsidR="002F03F5" w:rsidRPr="009F2AA4" w:rsidRDefault="008F23FF" w:rsidP="00921FF3">
            <w:pPr>
              <w:pStyle w:val="TableText"/>
              <w:keepNext/>
              <w:widowControl/>
            </w:pPr>
            <w:r w:rsidRPr="009F2AA4">
              <w:t>NA</w:t>
            </w:r>
          </w:p>
        </w:tc>
        <w:tc>
          <w:tcPr>
            <w:tcW w:w="1011" w:type="dxa"/>
            <w:tcBorders>
              <w:top w:val="single" w:sz="4" w:space="0" w:color="000000"/>
              <w:left w:val="single" w:sz="4" w:space="0" w:color="000000"/>
              <w:bottom w:val="single" w:sz="4" w:space="0" w:color="000000"/>
              <w:right w:val="single" w:sz="4" w:space="0" w:color="000000"/>
            </w:tcBorders>
            <w:vAlign w:val="center"/>
          </w:tcPr>
          <w:p w14:paraId="3C780EB0" w14:textId="77777777" w:rsidR="002F03F5" w:rsidRPr="009F2AA4" w:rsidRDefault="008F23FF" w:rsidP="00921FF3">
            <w:pPr>
              <w:pStyle w:val="TableText"/>
              <w:keepNext/>
              <w:widowControl/>
            </w:pPr>
            <w:r w:rsidRPr="009F2AA4">
              <w:t>NA</w:t>
            </w:r>
          </w:p>
        </w:tc>
      </w:tr>
      <w:tr w:rsidR="002F03F5" w:rsidRPr="009F2AA4" w14:paraId="3C780EBD" w14:textId="77777777" w:rsidTr="005F43B4">
        <w:trPr>
          <w:cantSplit/>
        </w:trPr>
        <w:tc>
          <w:tcPr>
            <w:tcW w:w="1707" w:type="dxa"/>
            <w:tcBorders>
              <w:left w:val="single" w:sz="4" w:space="0" w:color="000000"/>
              <w:bottom w:val="single" w:sz="4" w:space="0" w:color="000000"/>
              <w:right w:val="single" w:sz="4" w:space="0" w:color="000000"/>
            </w:tcBorders>
            <w:vAlign w:val="center"/>
          </w:tcPr>
          <w:p w14:paraId="3C780EB2" w14:textId="77777777" w:rsidR="002F03F5" w:rsidRPr="009F2AA4" w:rsidRDefault="008F23FF" w:rsidP="00921FF3">
            <w:pPr>
              <w:pStyle w:val="TableText"/>
              <w:keepNext/>
              <w:widowControl/>
            </w:pPr>
            <w:r w:rsidRPr="009F2AA4">
              <w:t>Treatment effect (enriched)</w:t>
            </w:r>
          </w:p>
        </w:tc>
        <w:tc>
          <w:tcPr>
            <w:tcW w:w="3717" w:type="dxa"/>
            <w:tcBorders>
              <w:left w:val="single" w:sz="4" w:space="0" w:color="000000"/>
              <w:bottom w:val="single" w:sz="4" w:space="0" w:color="000000"/>
              <w:right w:val="single" w:sz="4" w:space="0" w:color="000000"/>
            </w:tcBorders>
          </w:tcPr>
          <w:p w14:paraId="3C780EB3" w14:textId="08E42C5D" w:rsidR="002F03F5" w:rsidRPr="009F2AA4" w:rsidRDefault="008F23FF" w:rsidP="00921FF3">
            <w:pPr>
              <w:pStyle w:val="TableText"/>
              <w:keepNext/>
              <w:widowControl/>
            </w:pPr>
            <w:r w:rsidRPr="009F2AA4">
              <w:t>A single pairwise Bucher ITC of selpercatinib from LIBRETTO-531 and placebo from EXAM informed the primary clinical claim of selpercatinib vs BSC in the</w:t>
            </w:r>
            <w:r w:rsidR="00923547" w:rsidRPr="00923547">
              <w:rPr>
                <w:i/>
              </w:rPr>
              <w:t xml:space="preserve"> RET </w:t>
            </w:r>
            <w:r w:rsidRPr="009F2AA4">
              <w:t>variant population.</w:t>
            </w:r>
          </w:p>
          <w:p w14:paraId="3C780EB4" w14:textId="77777777" w:rsidR="002F03F5" w:rsidRPr="009F2AA4" w:rsidRDefault="002F03F5" w:rsidP="00921FF3">
            <w:pPr>
              <w:pStyle w:val="TableText"/>
              <w:keepNext/>
              <w:widowControl/>
            </w:pPr>
          </w:p>
          <w:p w14:paraId="3C780EB5" w14:textId="2D8708C5" w:rsidR="002F03F5" w:rsidRPr="009F2AA4" w:rsidRDefault="008F23FF" w:rsidP="00921FF3">
            <w:pPr>
              <w:pStyle w:val="TableText"/>
              <w:keepNext/>
              <w:widowControl/>
            </w:pPr>
            <w:r w:rsidRPr="009F2AA4">
              <w:t xml:space="preserve">LIBRETTO-531 was a phase III open label randomised controlled trial of selpercatinib (n=193) vs physician’s choice of cabozantinib or </w:t>
            </w:r>
            <w:proofErr w:type="spellStart"/>
            <w:r w:rsidRPr="009F2AA4">
              <w:t>vandetanib</w:t>
            </w:r>
            <w:proofErr w:type="spellEnd"/>
            <w:r w:rsidRPr="009F2AA4">
              <w:t xml:space="preserve"> (n=98) in patients with advanced or metastatic MTC who had a</w:t>
            </w:r>
            <w:r w:rsidR="00923547" w:rsidRPr="00923547">
              <w:rPr>
                <w:i/>
              </w:rPr>
              <w:t xml:space="preserve"> RET </w:t>
            </w:r>
            <w:r w:rsidRPr="009F2AA4">
              <w:t>variant (determined by NGS or PCR), with unresectable disease, documented disease progression per RECIST v1.1, and were treatment naïve to kinase inhibitors.</w:t>
            </w:r>
          </w:p>
          <w:p w14:paraId="3C780EB6" w14:textId="77777777" w:rsidR="002F03F5" w:rsidRPr="009F2AA4" w:rsidRDefault="002F03F5" w:rsidP="00921FF3">
            <w:pPr>
              <w:pStyle w:val="TableText"/>
              <w:keepNext/>
              <w:widowControl/>
            </w:pPr>
          </w:p>
          <w:p w14:paraId="3C780EB7" w14:textId="42318DF1" w:rsidR="002F03F5" w:rsidRPr="009F2AA4" w:rsidRDefault="008F23FF" w:rsidP="00921FF3">
            <w:pPr>
              <w:pStyle w:val="TableText"/>
              <w:keepNext/>
              <w:widowControl/>
            </w:pPr>
            <w:r w:rsidRPr="009F2AA4">
              <w:t>EXAM was a phase III double blinded, randomised control trial of cabozantinib (n=219) vs placebo (n=111) in advanced or metastatic MTC patients irrespective of</w:t>
            </w:r>
            <w:r w:rsidR="00923547" w:rsidRPr="00923547">
              <w:rPr>
                <w:i/>
              </w:rPr>
              <w:t xml:space="preserve"> RET </w:t>
            </w:r>
            <w:r w:rsidRPr="009F2AA4">
              <w:t xml:space="preserve">variant status (determined by PCR), with unresectable disease, documented disease progression per </w:t>
            </w:r>
            <w:proofErr w:type="spellStart"/>
            <w:r w:rsidRPr="009F2AA4">
              <w:t>mRECIST</w:t>
            </w:r>
            <w:proofErr w:type="spellEnd"/>
            <w:r w:rsidRPr="009F2AA4">
              <w:t>, and were treatment exposed to kinase inhibitors. The</w:t>
            </w:r>
            <w:r w:rsidR="00923547" w:rsidRPr="00923547">
              <w:rPr>
                <w:i/>
              </w:rPr>
              <w:t xml:space="preserve"> RET </w:t>
            </w:r>
            <w:r w:rsidRPr="009F2AA4">
              <w:t>variant subgroup informed the ITC.</w:t>
            </w:r>
          </w:p>
        </w:tc>
        <w:tc>
          <w:tcPr>
            <w:tcW w:w="1421" w:type="dxa"/>
            <w:tcBorders>
              <w:left w:val="single" w:sz="4" w:space="0" w:color="000000"/>
              <w:bottom w:val="single" w:sz="4" w:space="0" w:color="000000"/>
              <w:right w:val="single" w:sz="4" w:space="0" w:color="000000"/>
            </w:tcBorders>
            <w:vAlign w:val="center"/>
          </w:tcPr>
          <w:p w14:paraId="3C780EB8" w14:textId="77777777" w:rsidR="002F03F5" w:rsidRPr="009F2AA4" w:rsidRDefault="000421D8" w:rsidP="00921FF3">
            <w:pPr>
              <w:pStyle w:val="TableText"/>
              <w:keepNext/>
              <w:widowControl/>
            </w:pPr>
            <w:sdt>
              <w:sdtPr>
                <w:id w:val="1860619119"/>
                <w14:checkbox>
                  <w14:checked w14:val="1"/>
                  <w14:checkedState w14:val="2612" w14:font="MS Gothic"/>
                  <w14:uncheckedState w14:val="2610" w14:font="MS Gothic"/>
                </w14:checkbox>
              </w:sdtPr>
              <w:sdtEndPr/>
              <w:sdtContent>
                <w:r w:rsidR="008F23FF" w:rsidRPr="009F2AA4">
                  <w:rPr>
                    <w:rFonts w:ascii="MS Gothic" w:eastAsia="MS Gothic" w:hAnsi="MS Gothic"/>
                  </w:rPr>
                  <w:t>☒</w:t>
                </w:r>
              </w:sdtContent>
            </w:sdt>
            <w:r w:rsidR="008F23FF" w:rsidRPr="009F2AA4">
              <w:tab/>
              <w:t>k=2</w:t>
            </w:r>
            <w:r w:rsidR="008F23FF" w:rsidRPr="009F2AA4">
              <w:tab/>
              <w:t>n=621</w:t>
            </w:r>
          </w:p>
        </w:tc>
        <w:tc>
          <w:tcPr>
            <w:tcW w:w="1170" w:type="dxa"/>
            <w:tcBorders>
              <w:left w:val="single" w:sz="4" w:space="0" w:color="000000"/>
              <w:bottom w:val="single" w:sz="4" w:space="0" w:color="000000"/>
              <w:right w:val="single" w:sz="4" w:space="0" w:color="000000"/>
            </w:tcBorders>
            <w:vAlign w:val="center"/>
          </w:tcPr>
          <w:p w14:paraId="3C780EB9" w14:textId="77777777" w:rsidR="002F03F5" w:rsidRPr="009F2AA4" w:rsidRDefault="008F23FF" w:rsidP="00921FF3">
            <w:pPr>
              <w:pStyle w:val="TableText"/>
              <w:keepNext/>
              <w:widowControl/>
            </w:pPr>
            <w:r w:rsidRPr="009F2AA4">
              <w:t>LIBRETTO-531 low to moderate risk</w:t>
            </w:r>
          </w:p>
          <w:p w14:paraId="3C780EBA" w14:textId="77777777" w:rsidR="002F03F5" w:rsidRPr="009F2AA4" w:rsidRDefault="002F03F5" w:rsidP="00921FF3">
            <w:pPr>
              <w:pStyle w:val="TableText"/>
              <w:keepNext/>
              <w:widowControl/>
            </w:pPr>
          </w:p>
          <w:p w14:paraId="3C780EBB" w14:textId="77777777" w:rsidR="002F03F5" w:rsidRPr="009F2AA4" w:rsidRDefault="008F23FF" w:rsidP="00921FF3">
            <w:pPr>
              <w:pStyle w:val="TableText"/>
              <w:keepNext/>
              <w:widowControl/>
            </w:pPr>
            <w:r w:rsidRPr="009F2AA4">
              <w:t xml:space="preserve">EXAM moderate risk </w:t>
            </w:r>
          </w:p>
        </w:tc>
        <w:tc>
          <w:tcPr>
            <w:tcW w:w="1011" w:type="dxa"/>
            <w:tcBorders>
              <w:top w:val="single" w:sz="4" w:space="0" w:color="000000"/>
              <w:left w:val="single" w:sz="4" w:space="0" w:color="000000"/>
              <w:bottom w:val="single" w:sz="4" w:space="0" w:color="000000"/>
              <w:right w:val="single" w:sz="4" w:space="0" w:color="000000"/>
            </w:tcBorders>
            <w:vAlign w:val="center"/>
          </w:tcPr>
          <w:p w14:paraId="3C780EBC" w14:textId="77777777" w:rsidR="002F03F5" w:rsidRPr="009F2AA4" w:rsidRDefault="008F23FF" w:rsidP="00921FF3">
            <w:pPr>
              <w:pStyle w:val="TableText"/>
              <w:keepNext/>
              <w:widowControl/>
            </w:pPr>
            <w:r w:rsidRPr="009F2AA4">
              <w:t xml:space="preserve">Yes </w:t>
            </w:r>
          </w:p>
        </w:tc>
      </w:tr>
    </w:tbl>
    <w:p w14:paraId="3C780EBE" w14:textId="77777777" w:rsidR="002F03F5" w:rsidRPr="009F2AA4" w:rsidRDefault="008F23FF" w:rsidP="00921FF3">
      <w:pPr>
        <w:pStyle w:val="TableFooter"/>
        <w:keepNext/>
        <w:widowControl/>
      </w:pPr>
      <w:r w:rsidRPr="009F2AA4">
        <w:t>Source: Sections 2A to 2D of the submission</w:t>
      </w:r>
    </w:p>
    <w:p w14:paraId="3C780EBF" w14:textId="77777777" w:rsidR="002F03F5" w:rsidRPr="009F2AA4" w:rsidRDefault="008F23FF" w:rsidP="00921FF3">
      <w:pPr>
        <w:pStyle w:val="TableFooter"/>
        <w:keepNext/>
        <w:widowControl/>
      </w:pPr>
      <w:r w:rsidRPr="009F2AA4">
        <w:t xml:space="preserve">BSC = best supportive care; ESMO = European Society for Medical Oncology; k=number of studies; </w:t>
      </w:r>
      <w:proofErr w:type="spellStart"/>
      <w:r w:rsidRPr="009F2AA4">
        <w:t>mRECIST</w:t>
      </w:r>
      <w:proofErr w:type="spellEnd"/>
      <w:r w:rsidRPr="009F2AA4">
        <w:t xml:space="preserve"> = modified Response Evaluation Criteria in Solid Tumours; MTC = medullary thyroid cancer; n=number of patients; NA = not applicable; NATA = National Association of Testing Authorities; NCCN = National Comprehensive Cancer Network; NGS = next generation sequencing; PCR = polymerase chain reaction; RECIST = Response Evaluation Criteria in Solid Tumours</w:t>
      </w:r>
    </w:p>
    <w:p w14:paraId="3C780EC0" w14:textId="58305F75" w:rsidR="002F03F5" w:rsidRPr="009F2AA4" w:rsidRDefault="008F23FF" w:rsidP="00921FF3">
      <w:pPr>
        <w:pStyle w:val="3-BodyText"/>
        <w:rPr>
          <w:color w:val="3366FF"/>
        </w:rPr>
      </w:pPr>
      <w:r w:rsidRPr="009F2AA4">
        <w:t xml:space="preserve">The available evidence is presented in </w:t>
      </w:r>
      <w:r w:rsidR="003D5760">
        <w:fldChar w:fldCharType="begin"/>
      </w:r>
      <w:r w:rsidR="003D5760">
        <w:instrText xml:space="preserve"> REF _Ref225335793 \h </w:instrText>
      </w:r>
      <w:r w:rsidR="003D5760">
        <w:fldChar w:fldCharType="separate"/>
      </w:r>
      <w:r w:rsidR="003A3B69">
        <w:t xml:space="preserve">Table </w:t>
      </w:r>
      <w:r w:rsidR="003A3B69">
        <w:rPr>
          <w:noProof/>
        </w:rPr>
        <w:t>3</w:t>
      </w:r>
      <w:r w:rsidR="003D5760">
        <w:fldChar w:fldCharType="end"/>
      </w:r>
      <w:r w:rsidR="001F5944">
        <w:t>.</w:t>
      </w:r>
    </w:p>
    <w:p w14:paraId="7A3B09D3" w14:textId="2A3C7AB7" w:rsidR="00850FFA" w:rsidRDefault="00850FFA" w:rsidP="00921FF3">
      <w:pPr>
        <w:pStyle w:val="Caption"/>
      </w:pPr>
      <w:bookmarkStart w:id="35" w:name="_Ref225335793"/>
      <w:r>
        <w:t xml:space="preserve">Table </w:t>
      </w:r>
      <w:r>
        <w:fldChar w:fldCharType="begin"/>
      </w:r>
      <w:r>
        <w:instrText>SEQ Table \* ARABIC</w:instrText>
      </w:r>
      <w:r>
        <w:fldChar w:fldCharType="separate"/>
      </w:r>
      <w:r w:rsidR="003A3B69">
        <w:rPr>
          <w:noProof/>
        </w:rPr>
        <w:t>3</w:t>
      </w:r>
      <w:r>
        <w:fldChar w:fldCharType="end"/>
      </w:r>
      <w:bookmarkEnd w:id="35"/>
      <w:r>
        <w:t>:</w:t>
      </w:r>
      <w:r w:rsidR="007E3114">
        <w:t xml:space="preserve"> </w:t>
      </w:r>
      <w:r w:rsidRPr="005C77EE">
        <w:t>Data availability to inform comparisons</w:t>
      </w:r>
    </w:p>
    <w:tbl>
      <w:tblPr>
        <w:tblW w:w="5000" w:type="pct"/>
        <w:tblLayout w:type="fixed"/>
        <w:tblLook w:val="04A0" w:firstRow="1" w:lastRow="0" w:firstColumn="1" w:lastColumn="0" w:noHBand="0" w:noVBand="1"/>
        <w:tblCaption w:val="Table 3: Data availability to inform comparisons"/>
      </w:tblPr>
      <w:tblGrid>
        <w:gridCol w:w="2688"/>
        <w:gridCol w:w="3163"/>
        <w:gridCol w:w="3165"/>
      </w:tblGrid>
      <w:tr w:rsidR="002F03F5" w:rsidRPr="009F2AA4" w14:paraId="3C780EC5" w14:textId="77777777" w:rsidTr="005F43B4">
        <w:tc>
          <w:tcPr>
            <w:tcW w:w="2690" w:type="dxa"/>
            <w:tcBorders>
              <w:top w:val="single" w:sz="4" w:space="0" w:color="000000"/>
              <w:left w:val="single" w:sz="4" w:space="0" w:color="000000"/>
              <w:bottom w:val="single" w:sz="4" w:space="0" w:color="000000"/>
              <w:right w:val="single" w:sz="4" w:space="0" w:color="000000"/>
            </w:tcBorders>
          </w:tcPr>
          <w:p w14:paraId="3C780EC2" w14:textId="77777777" w:rsidR="002F03F5" w:rsidRPr="009F2AA4" w:rsidRDefault="002F03F5" w:rsidP="00921FF3">
            <w:pPr>
              <w:pStyle w:val="TableText"/>
              <w:widowControl/>
            </w:pPr>
          </w:p>
        </w:tc>
        <w:tc>
          <w:tcPr>
            <w:tcW w:w="3167" w:type="dxa"/>
            <w:tcBorders>
              <w:top w:val="single" w:sz="4" w:space="0" w:color="000000"/>
              <w:left w:val="single" w:sz="4" w:space="0" w:color="000000"/>
              <w:bottom w:val="single" w:sz="4" w:space="0" w:color="000000"/>
              <w:right w:val="single" w:sz="4" w:space="0" w:color="000000"/>
            </w:tcBorders>
            <w:vAlign w:val="center"/>
            <w:hideMark/>
          </w:tcPr>
          <w:p w14:paraId="3C780EC3" w14:textId="77777777" w:rsidR="002F03F5" w:rsidRPr="009F2AA4" w:rsidRDefault="008F23FF" w:rsidP="00921FF3">
            <w:pPr>
              <w:pStyle w:val="TableText"/>
              <w:widowControl/>
              <w:jc w:val="center"/>
              <w:rPr>
                <w:b/>
              </w:rPr>
            </w:pPr>
            <w:r w:rsidRPr="009F2AA4">
              <w:rPr>
                <w:b/>
              </w:rPr>
              <w:t>Selpercatinib</w:t>
            </w:r>
          </w:p>
        </w:tc>
        <w:tc>
          <w:tcPr>
            <w:tcW w:w="3169" w:type="dxa"/>
            <w:tcBorders>
              <w:top w:val="single" w:sz="4" w:space="0" w:color="000000"/>
              <w:left w:val="single" w:sz="4" w:space="0" w:color="000000"/>
              <w:bottom w:val="single" w:sz="4" w:space="0" w:color="000000"/>
              <w:right w:val="single" w:sz="4" w:space="0" w:color="000000"/>
            </w:tcBorders>
            <w:vAlign w:val="center"/>
            <w:hideMark/>
          </w:tcPr>
          <w:p w14:paraId="3C780EC4" w14:textId="77777777" w:rsidR="002F03F5" w:rsidRPr="009F2AA4" w:rsidRDefault="008F23FF" w:rsidP="00921FF3">
            <w:pPr>
              <w:pStyle w:val="TableText"/>
              <w:widowControl/>
              <w:jc w:val="center"/>
              <w:rPr>
                <w:b/>
                <w:vertAlign w:val="superscript"/>
              </w:rPr>
            </w:pPr>
            <w:r w:rsidRPr="009F2AA4">
              <w:rPr>
                <w:b/>
              </w:rPr>
              <w:t>Best supportive care</w:t>
            </w:r>
          </w:p>
        </w:tc>
      </w:tr>
      <w:tr w:rsidR="002F03F5" w:rsidRPr="009F2AA4" w14:paraId="3C780EC9" w14:textId="77777777" w:rsidTr="005F43B4">
        <w:tc>
          <w:tcPr>
            <w:tcW w:w="2690" w:type="dxa"/>
            <w:tcBorders>
              <w:top w:val="single" w:sz="4" w:space="0" w:color="000000"/>
              <w:left w:val="single" w:sz="4" w:space="0" w:color="000000"/>
              <w:bottom w:val="single" w:sz="4" w:space="0" w:color="000000"/>
              <w:right w:val="single" w:sz="4" w:space="0" w:color="000000"/>
            </w:tcBorders>
            <w:hideMark/>
          </w:tcPr>
          <w:p w14:paraId="3C780EC6" w14:textId="77777777" w:rsidR="002F03F5" w:rsidRPr="009F2AA4" w:rsidRDefault="008F23FF" w:rsidP="00921FF3">
            <w:pPr>
              <w:pStyle w:val="TableText"/>
              <w:widowControl/>
            </w:pPr>
            <w:r w:rsidRPr="009F2AA4">
              <w:t>Biomarker test variant</w:t>
            </w:r>
          </w:p>
        </w:tc>
        <w:tc>
          <w:tcPr>
            <w:tcW w:w="3167" w:type="dxa"/>
            <w:tcBorders>
              <w:top w:val="single" w:sz="4" w:space="0" w:color="000000"/>
              <w:left w:val="single" w:sz="4" w:space="0" w:color="000000"/>
              <w:bottom w:val="single" w:sz="4" w:space="0" w:color="000000"/>
              <w:right w:val="single" w:sz="4" w:space="0" w:color="000000"/>
            </w:tcBorders>
            <w:vAlign w:val="center"/>
            <w:hideMark/>
          </w:tcPr>
          <w:p w14:paraId="3C780EC7" w14:textId="77777777" w:rsidR="002F03F5" w:rsidRPr="009F2AA4" w:rsidRDefault="008F23FF" w:rsidP="00921FF3">
            <w:pPr>
              <w:pStyle w:val="TableText"/>
              <w:widowControl/>
              <w:jc w:val="center"/>
            </w:pPr>
            <w:r w:rsidRPr="009F2AA4">
              <w:t>LIBRETTO-531</w:t>
            </w:r>
          </w:p>
        </w:tc>
        <w:tc>
          <w:tcPr>
            <w:tcW w:w="3169" w:type="dxa"/>
            <w:tcBorders>
              <w:top w:val="single" w:sz="4" w:space="0" w:color="000000"/>
              <w:left w:val="single" w:sz="4" w:space="0" w:color="000000"/>
              <w:bottom w:val="single" w:sz="4" w:space="0" w:color="000000"/>
              <w:right w:val="single" w:sz="4" w:space="0" w:color="000000"/>
            </w:tcBorders>
            <w:vAlign w:val="center"/>
            <w:hideMark/>
          </w:tcPr>
          <w:p w14:paraId="3C780EC8" w14:textId="77777777" w:rsidR="002F03F5" w:rsidRPr="009F2AA4" w:rsidRDefault="008F23FF" w:rsidP="00921FF3">
            <w:pPr>
              <w:pStyle w:val="TableText"/>
              <w:widowControl/>
              <w:jc w:val="center"/>
            </w:pPr>
            <w:r w:rsidRPr="009F2AA4">
              <w:t>EXAM</w:t>
            </w:r>
          </w:p>
        </w:tc>
      </w:tr>
      <w:tr w:rsidR="002F03F5" w:rsidRPr="009F2AA4" w14:paraId="3C780ECD" w14:textId="77777777" w:rsidTr="005F43B4">
        <w:tc>
          <w:tcPr>
            <w:tcW w:w="2690" w:type="dxa"/>
            <w:tcBorders>
              <w:top w:val="single" w:sz="4" w:space="0" w:color="000000"/>
              <w:left w:val="single" w:sz="4" w:space="0" w:color="000000"/>
              <w:bottom w:val="single" w:sz="4" w:space="0" w:color="000000"/>
              <w:right w:val="single" w:sz="4" w:space="0" w:color="000000"/>
            </w:tcBorders>
            <w:hideMark/>
          </w:tcPr>
          <w:p w14:paraId="3C780ECA" w14:textId="77777777" w:rsidR="002F03F5" w:rsidRPr="009F2AA4" w:rsidRDefault="008F23FF" w:rsidP="00921FF3">
            <w:pPr>
              <w:pStyle w:val="TableText"/>
              <w:widowControl/>
            </w:pPr>
            <w:r w:rsidRPr="009F2AA4">
              <w:t>Biomarker test wildtype</w:t>
            </w:r>
            <w:r w:rsidRPr="009F2AA4">
              <w:rPr>
                <w:b/>
              </w:rPr>
              <w:t xml:space="preserve"> </w:t>
            </w:r>
          </w:p>
        </w:tc>
        <w:tc>
          <w:tcPr>
            <w:tcW w:w="3167" w:type="dxa"/>
            <w:tcBorders>
              <w:top w:val="single" w:sz="4" w:space="0" w:color="000000"/>
              <w:left w:val="single" w:sz="4" w:space="0" w:color="000000"/>
              <w:bottom w:val="single" w:sz="4" w:space="0" w:color="000000"/>
              <w:right w:val="single" w:sz="4" w:space="0" w:color="000000"/>
            </w:tcBorders>
            <w:vAlign w:val="center"/>
            <w:hideMark/>
          </w:tcPr>
          <w:p w14:paraId="3C780ECB" w14:textId="77777777" w:rsidR="002F03F5" w:rsidRPr="009F2AA4" w:rsidRDefault="008F23FF" w:rsidP="00921FF3">
            <w:pPr>
              <w:pStyle w:val="TableText"/>
              <w:widowControl/>
              <w:jc w:val="center"/>
            </w:pPr>
            <w:r w:rsidRPr="009F2AA4">
              <w:t>Not available/presented</w:t>
            </w:r>
          </w:p>
        </w:tc>
        <w:tc>
          <w:tcPr>
            <w:tcW w:w="3169" w:type="dxa"/>
            <w:tcBorders>
              <w:top w:val="single" w:sz="4" w:space="0" w:color="000000"/>
              <w:left w:val="single" w:sz="4" w:space="0" w:color="000000"/>
              <w:bottom w:val="single" w:sz="4" w:space="0" w:color="000000"/>
              <w:right w:val="single" w:sz="4" w:space="0" w:color="000000"/>
            </w:tcBorders>
            <w:vAlign w:val="center"/>
            <w:hideMark/>
          </w:tcPr>
          <w:p w14:paraId="3C780ECC" w14:textId="77777777" w:rsidR="002F03F5" w:rsidRPr="009F2AA4" w:rsidRDefault="008F23FF" w:rsidP="00921FF3">
            <w:pPr>
              <w:pStyle w:val="TableText"/>
              <w:widowControl/>
              <w:jc w:val="center"/>
            </w:pPr>
            <w:r w:rsidRPr="009F2AA4">
              <w:t>EXAM</w:t>
            </w:r>
          </w:p>
        </w:tc>
      </w:tr>
    </w:tbl>
    <w:p w14:paraId="3C780ECE" w14:textId="77777777" w:rsidR="002F03F5" w:rsidRPr="009F2AA4" w:rsidRDefault="008F23FF" w:rsidP="00921FF3">
      <w:pPr>
        <w:pStyle w:val="TableFooter"/>
        <w:widowControl/>
      </w:pPr>
      <w:r w:rsidRPr="009F2AA4">
        <w:t>Source: Section 2A to 2D of the submission</w:t>
      </w:r>
    </w:p>
    <w:p w14:paraId="3C780ECF" w14:textId="09F18EEB" w:rsidR="002F03F5" w:rsidRPr="009F2AA4" w:rsidRDefault="008F23FF" w:rsidP="00921FF3">
      <w:pPr>
        <w:pStyle w:val="3-BodyText"/>
      </w:pPr>
      <w:r w:rsidRPr="009F2AA4">
        <w:lastRenderedPageBreak/>
        <w:t>The submission only presented evidence of selpercatinib in the</w:t>
      </w:r>
      <w:r w:rsidR="00923547" w:rsidRPr="00923547">
        <w:rPr>
          <w:i/>
        </w:rPr>
        <w:t xml:space="preserve"> RET </w:t>
      </w:r>
      <w:r w:rsidRPr="009F2AA4">
        <w:t>variant population (LIBRETTO-531) and did not present evidence of selpercatinib in the</w:t>
      </w:r>
      <w:r w:rsidR="00923547" w:rsidRPr="00923547">
        <w:rPr>
          <w:i/>
        </w:rPr>
        <w:t xml:space="preserve"> RET </w:t>
      </w:r>
      <w:r w:rsidRPr="009F2AA4">
        <w:t>wildtype population. It was acknowledged that evidence of selpercatinib in</w:t>
      </w:r>
      <w:r w:rsidR="00923547" w:rsidRPr="00923547">
        <w:rPr>
          <w:i/>
        </w:rPr>
        <w:t xml:space="preserve"> RET </w:t>
      </w:r>
      <w:r w:rsidRPr="009F2AA4">
        <w:t>wildtype was limited</w:t>
      </w:r>
      <w:r w:rsidR="00AE0CD9">
        <w:t xml:space="preserve"> (</w:t>
      </w:r>
      <w:r w:rsidR="00695AE6">
        <w:t xml:space="preserve">discussed further in paragraphs </w:t>
      </w:r>
      <w:r w:rsidR="00695AE6">
        <w:fldChar w:fldCharType="begin"/>
      </w:r>
      <w:r w:rsidR="00695AE6">
        <w:instrText xml:space="preserve"> REF _Ref225335920 \r \h </w:instrText>
      </w:r>
      <w:r w:rsidR="00695AE6">
        <w:fldChar w:fldCharType="separate"/>
      </w:r>
      <w:r w:rsidR="001617F9">
        <w:t>6.41</w:t>
      </w:r>
      <w:r w:rsidR="00695AE6">
        <w:fldChar w:fldCharType="end"/>
      </w:r>
      <w:r w:rsidR="00695AE6">
        <w:t xml:space="preserve"> - </w:t>
      </w:r>
      <w:r w:rsidR="00695AE6">
        <w:fldChar w:fldCharType="begin"/>
      </w:r>
      <w:r w:rsidR="00695AE6">
        <w:instrText xml:space="preserve"> REF _Ref225335921 \r \h </w:instrText>
      </w:r>
      <w:r w:rsidR="00695AE6">
        <w:fldChar w:fldCharType="separate"/>
      </w:r>
      <w:r w:rsidR="001617F9">
        <w:t>6.42</w:t>
      </w:r>
      <w:r w:rsidR="00695AE6">
        <w:fldChar w:fldCharType="end"/>
      </w:r>
      <w:r w:rsidR="00695AE6">
        <w:t>)</w:t>
      </w:r>
      <w:r w:rsidRPr="009F2AA4">
        <w:t xml:space="preserve">. </w:t>
      </w:r>
    </w:p>
    <w:p w14:paraId="3C780ED0" w14:textId="77777777" w:rsidR="002F03F5" w:rsidRPr="009F2AA4" w:rsidRDefault="008F23FF" w:rsidP="00921FF3">
      <w:pPr>
        <w:pStyle w:val="PBACESHeading2"/>
        <w:rPr>
          <w:rFonts w:ascii="Calibri" w:hAnsi="Calibri" w:cs="Calibri"/>
        </w:rPr>
      </w:pPr>
      <w:bookmarkStart w:id="36" w:name="_Toc219898325"/>
      <w:r w:rsidRPr="009F2AA4">
        <w:rPr>
          <w:rFonts w:ascii="Calibri" w:hAnsi="Calibri" w:cs="Calibri"/>
        </w:rPr>
        <w:t>Clinical trials on the safety/effectiveness of selpercatinib</w:t>
      </w:r>
      <w:bookmarkEnd w:id="36"/>
    </w:p>
    <w:p w14:paraId="3C780ED1" w14:textId="25CB1D83" w:rsidR="002F03F5" w:rsidRPr="009F2AA4" w:rsidRDefault="008F23FF" w:rsidP="00921FF3">
      <w:pPr>
        <w:pStyle w:val="3-BodyText"/>
      </w:pPr>
      <w:r w:rsidRPr="009F2AA4">
        <w:t xml:space="preserve">No head-to-head trials for the comparison of selpercatinib and BSC were available. Instead, the submission was informed by a pairwise Bucher indirect treatment comparison (ITC) of selpercatinib vs BSC </w:t>
      </w:r>
      <w:r w:rsidRPr="00BF0225">
        <w:t>based on the LIBRETTO-531 ITT cohort (i.e.,</w:t>
      </w:r>
      <w:r w:rsidR="00923547" w:rsidRPr="00BF0225">
        <w:rPr>
          <w:i/>
        </w:rPr>
        <w:t xml:space="preserve"> RET </w:t>
      </w:r>
      <w:r w:rsidRPr="00BF0225">
        <w:t xml:space="preserve">variant; N=291) and </w:t>
      </w:r>
      <w:r w:rsidRPr="009F2AA4">
        <w:t>the EXAM</w:t>
      </w:r>
      <w:r w:rsidR="00923547" w:rsidRPr="00923547">
        <w:rPr>
          <w:i/>
        </w:rPr>
        <w:t xml:space="preserve"> RET </w:t>
      </w:r>
      <w:r w:rsidRPr="009F2AA4">
        <w:t>variant subgroup (n=169/330)</w:t>
      </w:r>
      <w:r w:rsidR="00750DC4">
        <w:t>,</w:t>
      </w:r>
      <w:r w:rsidRPr="009F2AA4">
        <w:t xml:space="preserve"> using placebo as a proxy for BSC and cabozantinib or </w:t>
      </w:r>
      <w:proofErr w:type="spellStart"/>
      <w:r w:rsidRPr="009F2AA4">
        <w:t>vandetanib</w:t>
      </w:r>
      <w:proofErr w:type="spellEnd"/>
      <w:r w:rsidRPr="009F2AA4">
        <w:t xml:space="preserve"> as the common reference. </w:t>
      </w:r>
    </w:p>
    <w:p w14:paraId="3C780ED2" w14:textId="4573BF02" w:rsidR="002F03F5" w:rsidRPr="009F2AA4" w:rsidRDefault="008F23FF" w:rsidP="00921FF3">
      <w:pPr>
        <w:pStyle w:val="3-BodyText"/>
      </w:pPr>
      <w:r w:rsidRPr="009F2AA4">
        <w:t xml:space="preserve">The ZETA trial </w:t>
      </w:r>
      <w:r w:rsidR="00C03CA8">
        <w:t>(</w:t>
      </w:r>
      <w:proofErr w:type="spellStart"/>
      <w:r w:rsidR="00C03CA8">
        <w:t>vandet</w:t>
      </w:r>
      <w:r w:rsidR="00750DC4">
        <w:t>a</w:t>
      </w:r>
      <w:r w:rsidR="00C03CA8">
        <w:t>nib</w:t>
      </w:r>
      <w:proofErr w:type="spellEnd"/>
      <w:r w:rsidR="00C03CA8">
        <w:t xml:space="preserve"> vs placebo) </w:t>
      </w:r>
      <w:r w:rsidRPr="009F2AA4">
        <w:t>was also identified</w:t>
      </w:r>
      <w:r w:rsidR="00EA702D">
        <w:t xml:space="preserve"> by the submission</w:t>
      </w:r>
      <w:r w:rsidRPr="009F2AA4">
        <w:t xml:space="preserve"> but did not inform the clinical claim. The submission included ZETA in the ITC sensitivity analysis that informed efficacy in the BSC arm. However, noting that ZETA had reduced comparability with LIBRETTO-531 and EXAM, primarily since it did not require documented disease progression at enrolment, the evaluation considered that the exclusion of ZETA was reasonable. </w:t>
      </w:r>
    </w:p>
    <w:p w14:paraId="3C780ED3" w14:textId="4E086D7F" w:rsidR="002F03F5" w:rsidRPr="009F2AA4" w:rsidRDefault="008F23FF" w:rsidP="00921FF3">
      <w:pPr>
        <w:pStyle w:val="3-BodyText"/>
        <w:rPr>
          <w:color w:val="0070C0"/>
        </w:rPr>
      </w:pPr>
      <w:r w:rsidRPr="009F2AA4">
        <w:t>Details of the trials presented in the submission are provided in</w:t>
      </w:r>
      <w:r w:rsidR="00BF38E4">
        <w:t xml:space="preserve"> </w:t>
      </w:r>
      <w:r w:rsidR="00BF38E4">
        <w:fldChar w:fldCharType="begin"/>
      </w:r>
      <w:r w:rsidR="00BF38E4">
        <w:instrText xml:space="preserve"> REF _Ref225335953 \h </w:instrText>
      </w:r>
      <w:r w:rsidR="00BF38E4">
        <w:fldChar w:fldCharType="separate"/>
      </w:r>
      <w:r w:rsidR="003A3B69">
        <w:t xml:space="preserve">Table </w:t>
      </w:r>
      <w:r w:rsidR="003A3B69">
        <w:rPr>
          <w:noProof/>
        </w:rPr>
        <w:t>4</w:t>
      </w:r>
      <w:r w:rsidR="00BF38E4">
        <w:fldChar w:fldCharType="end"/>
      </w:r>
      <w:r w:rsidR="001F5944">
        <w:t>.</w:t>
      </w:r>
    </w:p>
    <w:p w14:paraId="49471771" w14:textId="4841F83F" w:rsidR="00850FFA" w:rsidRDefault="00850FFA" w:rsidP="00921FF3">
      <w:pPr>
        <w:pStyle w:val="Caption"/>
      </w:pPr>
      <w:bookmarkStart w:id="37" w:name="_Ref225335953"/>
      <w:r>
        <w:lastRenderedPageBreak/>
        <w:t xml:space="preserve">Table </w:t>
      </w:r>
      <w:r>
        <w:fldChar w:fldCharType="begin"/>
      </w:r>
      <w:r>
        <w:instrText>SEQ Table \* ARABIC</w:instrText>
      </w:r>
      <w:r>
        <w:fldChar w:fldCharType="separate"/>
      </w:r>
      <w:r w:rsidR="003A3B69">
        <w:rPr>
          <w:noProof/>
        </w:rPr>
        <w:t>4</w:t>
      </w:r>
      <w:r>
        <w:fldChar w:fldCharType="end"/>
      </w:r>
      <w:bookmarkEnd w:id="37"/>
      <w:r>
        <w:t>:</w:t>
      </w:r>
      <w:r w:rsidR="007E3114">
        <w:t xml:space="preserve"> </w:t>
      </w:r>
      <w:r w:rsidRPr="00842EC0">
        <w:t>Trials and associated reports presented in the submission</w:t>
      </w:r>
    </w:p>
    <w:tbl>
      <w:tblPr>
        <w:tblW w:w="5000" w:type="pct"/>
        <w:tblLayout w:type="fixed"/>
        <w:tblCellMar>
          <w:left w:w="28" w:type="dxa"/>
          <w:right w:w="28" w:type="dxa"/>
        </w:tblCellMar>
        <w:tblLook w:val="01E0" w:firstRow="1" w:lastRow="1" w:firstColumn="1" w:lastColumn="1" w:noHBand="0" w:noVBand="0"/>
        <w:tblCaption w:val="Table 4: Trials and associated reports presented in the submission"/>
      </w:tblPr>
      <w:tblGrid>
        <w:gridCol w:w="1254"/>
        <w:gridCol w:w="5669"/>
        <w:gridCol w:w="2093"/>
      </w:tblGrid>
      <w:tr w:rsidR="002F03F5" w:rsidRPr="009F2AA4" w14:paraId="3C780ED8" w14:textId="77777777" w:rsidTr="005F43B4">
        <w:trPr>
          <w:cantSplit/>
        </w:trPr>
        <w:tc>
          <w:tcPr>
            <w:tcW w:w="1256" w:type="dxa"/>
            <w:tcBorders>
              <w:top w:val="single" w:sz="4" w:space="0" w:color="000000"/>
              <w:left w:val="single" w:sz="4" w:space="0" w:color="000000"/>
              <w:bottom w:val="single" w:sz="4" w:space="0" w:color="000000"/>
              <w:right w:val="single" w:sz="4" w:space="0" w:color="000000"/>
            </w:tcBorders>
            <w:vAlign w:val="bottom"/>
          </w:tcPr>
          <w:p w14:paraId="3C780ED5" w14:textId="77777777" w:rsidR="002F03F5" w:rsidRPr="009F2AA4" w:rsidRDefault="008F23FF" w:rsidP="00921FF3">
            <w:pPr>
              <w:pStyle w:val="TableText"/>
              <w:keepNext/>
              <w:widowControl/>
              <w:jc w:val="center"/>
              <w:rPr>
                <w:b/>
              </w:rPr>
            </w:pPr>
            <w:r w:rsidRPr="009F2AA4">
              <w:rPr>
                <w:b/>
              </w:rPr>
              <w:t>Trial ID</w:t>
            </w:r>
          </w:p>
        </w:tc>
        <w:tc>
          <w:tcPr>
            <w:tcW w:w="5675" w:type="dxa"/>
            <w:tcBorders>
              <w:top w:val="single" w:sz="4" w:space="0" w:color="000000"/>
              <w:left w:val="single" w:sz="4" w:space="0" w:color="000000"/>
              <w:bottom w:val="single" w:sz="4" w:space="0" w:color="000000"/>
              <w:right w:val="single" w:sz="4" w:space="0" w:color="000000"/>
            </w:tcBorders>
            <w:vAlign w:val="bottom"/>
          </w:tcPr>
          <w:p w14:paraId="3C780ED6" w14:textId="77777777" w:rsidR="002F03F5" w:rsidRPr="009F2AA4" w:rsidRDefault="008F23FF" w:rsidP="00921FF3">
            <w:pPr>
              <w:pStyle w:val="TableText"/>
              <w:keepNext/>
              <w:widowControl/>
              <w:jc w:val="center"/>
              <w:rPr>
                <w:b/>
              </w:rPr>
            </w:pPr>
            <w:r w:rsidRPr="009F2AA4">
              <w:rPr>
                <w:b/>
              </w:rPr>
              <w:t>Protocol title/ Publication title</w:t>
            </w:r>
          </w:p>
        </w:tc>
        <w:tc>
          <w:tcPr>
            <w:tcW w:w="2095" w:type="dxa"/>
            <w:tcBorders>
              <w:top w:val="single" w:sz="4" w:space="0" w:color="000000"/>
              <w:left w:val="single" w:sz="4" w:space="0" w:color="000000"/>
              <w:bottom w:val="single" w:sz="4" w:space="0" w:color="000000"/>
              <w:right w:val="single" w:sz="4" w:space="0" w:color="000000"/>
            </w:tcBorders>
            <w:vAlign w:val="bottom"/>
          </w:tcPr>
          <w:p w14:paraId="3C780ED7" w14:textId="77777777" w:rsidR="002F03F5" w:rsidRPr="009F2AA4" w:rsidRDefault="008F23FF" w:rsidP="00921FF3">
            <w:pPr>
              <w:pStyle w:val="TableText"/>
              <w:keepNext/>
              <w:widowControl/>
              <w:jc w:val="center"/>
              <w:rPr>
                <w:b/>
              </w:rPr>
            </w:pPr>
            <w:r w:rsidRPr="009F2AA4">
              <w:rPr>
                <w:b/>
              </w:rPr>
              <w:t>Publication citation</w:t>
            </w:r>
          </w:p>
        </w:tc>
      </w:tr>
      <w:tr w:rsidR="002F03F5" w:rsidRPr="009F2AA4" w14:paraId="3C780EDA" w14:textId="77777777" w:rsidTr="005F43B4">
        <w:trPr>
          <w:cantSplit/>
        </w:trPr>
        <w:tc>
          <w:tcPr>
            <w:tcW w:w="9026" w:type="dxa"/>
            <w:gridSpan w:val="3"/>
            <w:tcBorders>
              <w:top w:val="single" w:sz="4" w:space="0" w:color="000000"/>
              <w:left w:val="single" w:sz="4" w:space="0" w:color="000000"/>
              <w:bottom w:val="single" w:sz="4" w:space="0" w:color="000000"/>
              <w:right w:val="single" w:sz="4" w:space="0" w:color="000000"/>
            </w:tcBorders>
          </w:tcPr>
          <w:p w14:paraId="3C780ED9" w14:textId="77777777" w:rsidR="002F03F5" w:rsidRPr="009F2AA4" w:rsidRDefault="008F23FF" w:rsidP="00921FF3">
            <w:pPr>
              <w:pStyle w:val="TableText"/>
              <w:keepNext/>
              <w:widowControl/>
            </w:pPr>
            <w:r w:rsidRPr="009F2AA4">
              <w:t xml:space="preserve">Direct randomised trials used to inform the indirect comparison </w:t>
            </w:r>
          </w:p>
        </w:tc>
      </w:tr>
      <w:tr w:rsidR="002F03F5" w:rsidRPr="009F2AA4" w14:paraId="3C780EE1" w14:textId="77777777" w:rsidTr="005F43B4">
        <w:trPr>
          <w:cantSplit/>
        </w:trPr>
        <w:tc>
          <w:tcPr>
            <w:tcW w:w="1256" w:type="dxa"/>
            <w:tcBorders>
              <w:top w:val="single" w:sz="4" w:space="0" w:color="000000"/>
              <w:left w:val="single" w:sz="4" w:space="0" w:color="000000"/>
              <w:right w:val="single" w:sz="4" w:space="0" w:color="000000"/>
            </w:tcBorders>
          </w:tcPr>
          <w:p w14:paraId="3C780EDB" w14:textId="77777777" w:rsidR="002F03F5" w:rsidRPr="009F2AA4" w:rsidRDefault="008F23FF" w:rsidP="00921FF3">
            <w:pPr>
              <w:pStyle w:val="TableText"/>
              <w:keepNext/>
              <w:widowControl/>
            </w:pPr>
            <w:r w:rsidRPr="009F2AA4">
              <w:t>LIBRETTO-531</w:t>
            </w:r>
          </w:p>
          <w:p w14:paraId="3C780EDC" w14:textId="77777777" w:rsidR="002F03F5" w:rsidRPr="009F2AA4" w:rsidRDefault="002F03F5" w:rsidP="00921FF3">
            <w:pPr>
              <w:pStyle w:val="TableText"/>
              <w:keepNext/>
              <w:widowControl/>
            </w:pPr>
          </w:p>
          <w:p w14:paraId="3C780EDD" w14:textId="77777777" w:rsidR="002F03F5" w:rsidRPr="009F2AA4" w:rsidRDefault="008F23FF" w:rsidP="00921FF3">
            <w:pPr>
              <w:pStyle w:val="TableText"/>
              <w:keepNext/>
              <w:widowControl/>
            </w:pPr>
            <w:r w:rsidRPr="009F2AA4">
              <w:t>NCT04211337</w:t>
            </w:r>
          </w:p>
        </w:tc>
        <w:tc>
          <w:tcPr>
            <w:tcW w:w="5675" w:type="dxa"/>
            <w:tcBorders>
              <w:top w:val="single" w:sz="4" w:space="0" w:color="000000"/>
              <w:left w:val="single" w:sz="4" w:space="0" w:color="000000"/>
              <w:right w:val="single" w:sz="4" w:space="0" w:color="000000"/>
            </w:tcBorders>
          </w:tcPr>
          <w:p w14:paraId="3C780EDE" w14:textId="3C50C57E" w:rsidR="002F03F5" w:rsidRPr="009F2AA4" w:rsidRDefault="008F23FF" w:rsidP="00921FF3">
            <w:pPr>
              <w:pStyle w:val="TableText"/>
              <w:keepNext/>
              <w:widowControl/>
            </w:pPr>
            <w:r w:rsidRPr="009F2AA4">
              <w:t xml:space="preserve">A Multicenter, Randomized, Open label, Phase 3 Trial Comparing Selpercatinib to Physicians Choice of Cabozantinib or </w:t>
            </w:r>
            <w:proofErr w:type="spellStart"/>
            <w:r w:rsidRPr="009F2AA4">
              <w:t>Vandetanib</w:t>
            </w:r>
            <w:proofErr w:type="spellEnd"/>
            <w:r w:rsidRPr="009F2AA4">
              <w:t xml:space="preserve"> in Patients with Progressive, Advanced, Kinase Inhibitor Naïve,</w:t>
            </w:r>
            <w:r w:rsidR="00923547" w:rsidRPr="00923547">
              <w:rPr>
                <w:i/>
              </w:rPr>
              <w:t xml:space="preserve"> RET </w:t>
            </w:r>
            <w:r w:rsidRPr="009F2AA4">
              <w:t>Mutant Medullary Thyroid Cancer (LIBRETTO-531)</w:t>
            </w:r>
          </w:p>
        </w:tc>
        <w:tc>
          <w:tcPr>
            <w:tcW w:w="2095" w:type="dxa"/>
            <w:tcBorders>
              <w:top w:val="single" w:sz="4" w:space="0" w:color="000000"/>
              <w:left w:val="single" w:sz="4" w:space="0" w:color="000000"/>
              <w:right w:val="single" w:sz="4" w:space="0" w:color="000000"/>
            </w:tcBorders>
          </w:tcPr>
          <w:p w14:paraId="3C780EDF" w14:textId="77777777" w:rsidR="002F03F5" w:rsidRPr="009F2AA4" w:rsidRDefault="008F23FF" w:rsidP="00921FF3">
            <w:pPr>
              <w:pStyle w:val="TableText"/>
              <w:keepNext/>
              <w:widowControl/>
            </w:pPr>
            <w:r w:rsidRPr="009F2AA4">
              <w:t>CSR Interim analysis 22 May 2023</w:t>
            </w:r>
          </w:p>
          <w:p w14:paraId="3C780EE0" w14:textId="77777777" w:rsidR="002F03F5" w:rsidRPr="009F2AA4" w:rsidRDefault="008F23FF" w:rsidP="00921FF3">
            <w:pPr>
              <w:pStyle w:val="TableText"/>
              <w:keepNext/>
              <w:widowControl/>
            </w:pPr>
            <w:r w:rsidRPr="009F2AA4">
              <w:t>Updated analysis 11 March 2024</w:t>
            </w:r>
          </w:p>
        </w:tc>
      </w:tr>
      <w:tr w:rsidR="002F03F5" w:rsidRPr="009F2AA4" w14:paraId="3C780EE5" w14:textId="77777777" w:rsidTr="005F43B4">
        <w:trPr>
          <w:cantSplit/>
        </w:trPr>
        <w:tc>
          <w:tcPr>
            <w:tcW w:w="1256" w:type="dxa"/>
            <w:tcBorders>
              <w:left w:val="single" w:sz="4" w:space="0" w:color="000000"/>
              <w:right w:val="single" w:sz="4" w:space="0" w:color="000000"/>
            </w:tcBorders>
          </w:tcPr>
          <w:p w14:paraId="3C780EE2"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EE3" w14:textId="217469CA" w:rsidR="002F03F5" w:rsidRPr="009F2AA4" w:rsidRDefault="008F23FF" w:rsidP="00921FF3">
            <w:pPr>
              <w:pStyle w:val="TableText"/>
              <w:keepNext/>
              <w:widowControl/>
            </w:pPr>
            <w:r w:rsidRPr="00B73859">
              <w:rPr>
                <w:lang w:val="pt-BR"/>
              </w:rPr>
              <w:t xml:space="preserve">Hernando, J., Tarasova, V., Hu, M. I., et al. 2020. </w:t>
            </w:r>
            <w:r w:rsidRPr="009F2AA4">
              <w:t>LIBRETTO-531: Selpercatinib in patients with treatment (Tx) naïve</w:t>
            </w:r>
            <w:r w:rsidR="00923547" w:rsidRPr="00923547">
              <w:rPr>
                <w:i/>
              </w:rPr>
              <w:t xml:space="preserve"> RET </w:t>
            </w:r>
            <w:r w:rsidRPr="009F2AA4">
              <w:t xml:space="preserve">mutant medullary thyroid cancer (MTC). </w:t>
            </w:r>
          </w:p>
        </w:tc>
        <w:tc>
          <w:tcPr>
            <w:tcW w:w="2095" w:type="dxa"/>
            <w:tcBorders>
              <w:left w:val="single" w:sz="4" w:space="0" w:color="000000"/>
              <w:right w:val="single" w:sz="4" w:space="0" w:color="000000"/>
            </w:tcBorders>
          </w:tcPr>
          <w:p w14:paraId="3C780EE4" w14:textId="77777777" w:rsidR="002F03F5" w:rsidRPr="009F2AA4" w:rsidRDefault="008F23FF" w:rsidP="00921FF3">
            <w:pPr>
              <w:pStyle w:val="TableText"/>
              <w:keepNext/>
              <w:widowControl/>
            </w:pPr>
            <w:r w:rsidRPr="009F2AA4">
              <w:t>Annals of Oncology, 31(Supplement 4), S1091.</w:t>
            </w:r>
          </w:p>
        </w:tc>
      </w:tr>
      <w:tr w:rsidR="002F03F5" w:rsidRPr="009F2AA4" w14:paraId="3C780EE9" w14:textId="77777777" w:rsidTr="005F43B4">
        <w:trPr>
          <w:cantSplit/>
        </w:trPr>
        <w:tc>
          <w:tcPr>
            <w:tcW w:w="1256" w:type="dxa"/>
            <w:tcBorders>
              <w:left w:val="single" w:sz="4" w:space="0" w:color="000000"/>
              <w:right w:val="single" w:sz="4" w:space="0" w:color="000000"/>
            </w:tcBorders>
          </w:tcPr>
          <w:p w14:paraId="3C780EE6"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EE7" w14:textId="6A62689E" w:rsidR="002F03F5" w:rsidRPr="009F2AA4" w:rsidRDefault="008F23FF" w:rsidP="00921FF3">
            <w:pPr>
              <w:pStyle w:val="TableText"/>
              <w:keepNext/>
              <w:widowControl/>
            </w:pPr>
            <w:r w:rsidRPr="009F2AA4">
              <w:t>Wirth, L. J., Brose, M. S., Elisei, R., et al. 2022. LIBRETTO-531: a phase III study of selpercatinib in multikinase inhibitor naïve</w:t>
            </w:r>
            <w:r w:rsidR="00923547" w:rsidRPr="00923547">
              <w:rPr>
                <w:i/>
              </w:rPr>
              <w:t xml:space="preserve"> RET </w:t>
            </w:r>
            <w:r w:rsidRPr="009F2AA4">
              <w:t xml:space="preserve">mutant medullary thyroid cancer. </w:t>
            </w:r>
          </w:p>
        </w:tc>
        <w:tc>
          <w:tcPr>
            <w:tcW w:w="2095" w:type="dxa"/>
            <w:tcBorders>
              <w:left w:val="single" w:sz="4" w:space="0" w:color="000000"/>
              <w:right w:val="single" w:sz="4" w:space="0" w:color="000000"/>
            </w:tcBorders>
          </w:tcPr>
          <w:p w14:paraId="3C780EE8" w14:textId="77777777" w:rsidR="002F03F5" w:rsidRPr="009F2AA4" w:rsidRDefault="008F23FF" w:rsidP="00921FF3">
            <w:pPr>
              <w:pStyle w:val="TableText"/>
              <w:keepNext/>
              <w:widowControl/>
            </w:pPr>
            <w:r w:rsidRPr="009F2AA4">
              <w:t>Future Oncol, 18, 3143 3150.</w:t>
            </w:r>
          </w:p>
        </w:tc>
      </w:tr>
      <w:tr w:rsidR="002F03F5" w:rsidRPr="009F2AA4" w14:paraId="3C780EED" w14:textId="77777777" w:rsidTr="005F43B4">
        <w:trPr>
          <w:cantSplit/>
        </w:trPr>
        <w:tc>
          <w:tcPr>
            <w:tcW w:w="1256" w:type="dxa"/>
            <w:tcBorders>
              <w:left w:val="single" w:sz="4" w:space="0" w:color="000000"/>
              <w:right w:val="single" w:sz="4" w:space="0" w:color="000000"/>
            </w:tcBorders>
          </w:tcPr>
          <w:p w14:paraId="3C780EEA"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EEB" w14:textId="2B81910A" w:rsidR="002F03F5" w:rsidRPr="009F2AA4" w:rsidRDefault="008F23FF" w:rsidP="00921FF3">
            <w:pPr>
              <w:pStyle w:val="TableText"/>
              <w:keepNext/>
              <w:widowControl/>
            </w:pPr>
            <w:r w:rsidRPr="00B73859">
              <w:rPr>
                <w:lang w:val="pt-BR"/>
              </w:rPr>
              <w:t xml:space="preserve">Hadoux, J., Elisei, R., Brose, M. S., et al. 2023. </w:t>
            </w:r>
            <w:r w:rsidRPr="009F2AA4">
              <w:t xml:space="preserve">LBA3 Randomised phase III study of selpercatinib vs cabozantinib or </w:t>
            </w:r>
            <w:proofErr w:type="spellStart"/>
            <w:r w:rsidRPr="009F2AA4">
              <w:t>vandetanib</w:t>
            </w:r>
            <w:proofErr w:type="spellEnd"/>
            <w:r w:rsidRPr="009F2AA4">
              <w:t xml:space="preserve"> in advanced, kinase inhibitor naïve,</w:t>
            </w:r>
            <w:r w:rsidR="00923547" w:rsidRPr="00923547">
              <w:rPr>
                <w:i/>
              </w:rPr>
              <w:t xml:space="preserve"> RET </w:t>
            </w:r>
            <w:r w:rsidRPr="009F2AA4">
              <w:t xml:space="preserve">mutant medullary thyroid cancer. </w:t>
            </w:r>
          </w:p>
        </w:tc>
        <w:tc>
          <w:tcPr>
            <w:tcW w:w="2095" w:type="dxa"/>
            <w:tcBorders>
              <w:left w:val="single" w:sz="4" w:space="0" w:color="000000"/>
              <w:right w:val="single" w:sz="4" w:space="0" w:color="000000"/>
            </w:tcBorders>
          </w:tcPr>
          <w:p w14:paraId="3C780EEC" w14:textId="77777777" w:rsidR="002F03F5" w:rsidRPr="009F2AA4" w:rsidRDefault="008F23FF" w:rsidP="00921FF3">
            <w:pPr>
              <w:pStyle w:val="TableText"/>
              <w:keepNext/>
              <w:widowControl/>
            </w:pPr>
            <w:r w:rsidRPr="009F2AA4">
              <w:t>Annals of Oncology, 34(Supplement 2), S1338.</w:t>
            </w:r>
          </w:p>
        </w:tc>
      </w:tr>
      <w:tr w:rsidR="002F03F5" w:rsidRPr="009F2AA4" w14:paraId="3C780EF1" w14:textId="77777777" w:rsidTr="005F43B4">
        <w:trPr>
          <w:cantSplit/>
        </w:trPr>
        <w:tc>
          <w:tcPr>
            <w:tcW w:w="1256" w:type="dxa"/>
            <w:tcBorders>
              <w:left w:val="single" w:sz="4" w:space="0" w:color="000000"/>
              <w:right w:val="single" w:sz="4" w:space="0" w:color="000000"/>
            </w:tcBorders>
          </w:tcPr>
          <w:p w14:paraId="3C780EEE"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EEF" w14:textId="0BDB151B" w:rsidR="002F03F5" w:rsidRPr="009F2AA4" w:rsidRDefault="008F23FF" w:rsidP="00921FF3">
            <w:pPr>
              <w:pStyle w:val="TableText"/>
              <w:keepNext/>
              <w:widowControl/>
            </w:pPr>
            <w:r w:rsidRPr="00B73859">
              <w:rPr>
                <w:lang w:val="pt-BR"/>
              </w:rPr>
              <w:t xml:space="preserve">Hadoux, J., Elisei, R., Brose, M. S., et al. 2023. </w:t>
            </w:r>
            <w:r w:rsidRPr="009F2AA4">
              <w:t>Phase 3 Trial of Selpercatinib in Advanced</w:t>
            </w:r>
            <w:r w:rsidR="00923547" w:rsidRPr="00923547">
              <w:rPr>
                <w:i/>
              </w:rPr>
              <w:t xml:space="preserve"> RET </w:t>
            </w:r>
            <w:r w:rsidRPr="009F2AA4">
              <w:t xml:space="preserve">Mutant Medullary Thyroid Cancer. </w:t>
            </w:r>
          </w:p>
        </w:tc>
        <w:tc>
          <w:tcPr>
            <w:tcW w:w="2095" w:type="dxa"/>
            <w:tcBorders>
              <w:left w:val="single" w:sz="4" w:space="0" w:color="000000"/>
              <w:right w:val="single" w:sz="4" w:space="0" w:color="000000"/>
            </w:tcBorders>
          </w:tcPr>
          <w:p w14:paraId="3C780EF0" w14:textId="77777777" w:rsidR="002F03F5" w:rsidRPr="009F2AA4" w:rsidRDefault="008F23FF" w:rsidP="00921FF3">
            <w:pPr>
              <w:pStyle w:val="TableText"/>
              <w:keepNext/>
              <w:widowControl/>
            </w:pPr>
            <w:r w:rsidRPr="009F2AA4">
              <w:t>N Engl J Med, 389, 1851 1861.</w:t>
            </w:r>
          </w:p>
        </w:tc>
      </w:tr>
      <w:tr w:rsidR="002F03F5" w:rsidRPr="009F2AA4" w14:paraId="3C780EF5" w14:textId="77777777" w:rsidTr="005F43B4">
        <w:trPr>
          <w:cantSplit/>
        </w:trPr>
        <w:tc>
          <w:tcPr>
            <w:tcW w:w="1256" w:type="dxa"/>
            <w:tcBorders>
              <w:left w:val="single" w:sz="4" w:space="0" w:color="000000"/>
              <w:right w:val="single" w:sz="4" w:space="0" w:color="000000"/>
            </w:tcBorders>
          </w:tcPr>
          <w:p w14:paraId="3C780EF2"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EF3" w14:textId="77777777" w:rsidR="002F03F5" w:rsidRPr="009F2AA4" w:rsidRDefault="008F23FF" w:rsidP="00921FF3">
            <w:pPr>
              <w:pStyle w:val="TableText"/>
              <w:keepNext/>
              <w:widowControl/>
            </w:pPr>
            <w:r w:rsidRPr="009F2AA4">
              <w:t xml:space="preserve">Brose, M. S., Robinson, B., Wirth, L. J., et al. 2024. Comparative patient reported tolerability (PRT): a multiplicity controlled analysis of LIBRETTO-531, a randomised controlled trial (RCT) in medullary thyroid cancer (MTC). </w:t>
            </w:r>
          </w:p>
        </w:tc>
        <w:tc>
          <w:tcPr>
            <w:tcW w:w="2095" w:type="dxa"/>
            <w:tcBorders>
              <w:left w:val="single" w:sz="4" w:space="0" w:color="000000"/>
              <w:right w:val="single" w:sz="4" w:space="0" w:color="000000"/>
            </w:tcBorders>
          </w:tcPr>
          <w:p w14:paraId="3C780EF4" w14:textId="77777777" w:rsidR="002F03F5" w:rsidRPr="009F2AA4" w:rsidRDefault="008F23FF" w:rsidP="00921FF3">
            <w:pPr>
              <w:pStyle w:val="TableText"/>
              <w:keepNext/>
              <w:widowControl/>
            </w:pPr>
            <w:r w:rsidRPr="009F2AA4">
              <w:t xml:space="preserve">Journal of clinical oncology, Vol.42, 2024 05 31 to 2024 06 04. </w:t>
            </w:r>
          </w:p>
        </w:tc>
      </w:tr>
      <w:tr w:rsidR="002F03F5" w:rsidRPr="009F2AA4" w14:paraId="3C780EF9" w14:textId="77777777" w:rsidTr="005F43B4">
        <w:trPr>
          <w:cantSplit/>
        </w:trPr>
        <w:tc>
          <w:tcPr>
            <w:tcW w:w="1256" w:type="dxa"/>
            <w:tcBorders>
              <w:left w:val="single" w:sz="4" w:space="0" w:color="000000"/>
              <w:bottom w:val="single" w:sz="4" w:space="0" w:color="000000"/>
              <w:right w:val="single" w:sz="4" w:space="0" w:color="000000"/>
            </w:tcBorders>
          </w:tcPr>
          <w:p w14:paraId="3C780EF6" w14:textId="77777777" w:rsidR="002F03F5" w:rsidRPr="009F2AA4" w:rsidRDefault="002F03F5" w:rsidP="00921FF3">
            <w:pPr>
              <w:pStyle w:val="TableText"/>
              <w:keepNext/>
              <w:widowControl/>
            </w:pPr>
          </w:p>
        </w:tc>
        <w:tc>
          <w:tcPr>
            <w:tcW w:w="5675" w:type="dxa"/>
            <w:tcBorders>
              <w:left w:val="single" w:sz="4" w:space="0" w:color="000000"/>
              <w:bottom w:val="single" w:sz="4" w:space="0" w:color="000000"/>
              <w:right w:val="single" w:sz="4" w:space="0" w:color="000000"/>
            </w:tcBorders>
          </w:tcPr>
          <w:p w14:paraId="3C780EF7" w14:textId="23903344" w:rsidR="002F03F5" w:rsidRPr="009F2AA4" w:rsidRDefault="008F23FF" w:rsidP="00921FF3">
            <w:pPr>
              <w:pStyle w:val="TableText"/>
              <w:keepNext/>
              <w:widowControl/>
            </w:pPr>
            <w:r w:rsidRPr="00B73859">
              <w:rPr>
                <w:lang w:val="pt-BR"/>
              </w:rPr>
              <w:t xml:space="preserve">Hadoux, J., Elisei, R., Brose, M., et al. 2024. </w:t>
            </w:r>
            <w:r w:rsidRPr="009F2AA4">
              <w:t xml:space="preserve">Randomised phase 3 study of selpercatinib vs cabozantinib or </w:t>
            </w:r>
            <w:proofErr w:type="spellStart"/>
            <w:r w:rsidRPr="009F2AA4">
              <w:t>vandetanib</w:t>
            </w:r>
            <w:proofErr w:type="spellEnd"/>
            <w:r w:rsidRPr="009F2AA4">
              <w:t xml:space="preserve"> in advanced, kinase inhibitor naïve,</w:t>
            </w:r>
            <w:r w:rsidR="00923547" w:rsidRPr="00923547">
              <w:rPr>
                <w:i/>
              </w:rPr>
              <w:t xml:space="preserve"> RET </w:t>
            </w:r>
            <w:r w:rsidRPr="009F2AA4">
              <w:t xml:space="preserve">mutant medullary thyroid cancer. </w:t>
            </w:r>
          </w:p>
        </w:tc>
        <w:tc>
          <w:tcPr>
            <w:tcW w:w="2095" w:type="dxa"/>
            <w:tcBorders>
              <w:left w:val="single" w:sz="4" w:space="0" w:color="000000"/>
              <w:bottom w:val="single" w:sz="4" w:space="0" w:color="000000"/>
              <w:right w:val="single" w:sz="4" w:space="0" w:color="000000"/>
            </w:tcBorders>
          </w:tcPr>
          <w:p w14:paraId="3C780EF8" w14:textId="77777777" w:rsidR="002F03F5" w:rsidRPr="009F2AA4" w:rsidRDefault="008F23FF" w:rsidP="00921FF3">
            <w:pPr>
              <w:pStyle w:val="TableText"/>
              <w:keepNext/>
              <w:widowControl/>
            </w:pPr>
            <w:r w:rsidRPr="009F2AA4">
              <w:t>Oncology research and treatment, 47, 2024 02.</w:t>
            </w:r>
          </w:p>
        </w:tc>
      </w:tr>
      <w:tr w:rsidR="002F03F5" w:rsidRPr="009F2AA4" w14:paraId="3C780EFF" w14:textId="77777777" w:rsidTr="005F43B4">
        <w:trPr>
          <w:cantSplit/>
        </w:trPr>
        <w:tc>
          <w:tcPr>
            <w:tcW w:w="1256" w:type="dxa"/>
            <w:tcBorders>
              <w:top w:val="single" w:sz="4" w:space="0" w:color="000000"/>
              <w:left w:val="single" w:sz="4" w:space="0" w:color="000000"/>
              <w:right w:val="single" w:sz="4" w:space="0" w:color="000000"/>
            </w:tcBorders>
          </w:tcPr>
          <w:p w14:paraId="3C780EFA" w14:textId="77777777" w:rsidR="002F03F5" w:rsidRPr="009F2AA4" w:rsidRDefault="008F23FF" w:rsidP="00921FF3">
            <w:pPr>
              <w:pStyle w:val="TableText"/>
              <w:keepNext/>
              <w:widowControl/>
            </w:pPr>
            <w:r w:rsidRPr="009F2AA4">
              <w:t>EXAM</w:t>
            </w:r>
          </w:p>
          <w:p w14:paraId="3C780EFB" w14:textId="77777777" w:rsidR="002F03F5" w:rsidRPr="009F2AA4" w:rsidRDefault="002F03F5" w:rsidP="00921FF3">
            <w:pPr>
              <w:pStyle w:val="TableText"/>
              <w:keepNext/>
              <w:widowControl/>
            </w:pPr>
          </w:p>
          <w:p w14:paraId="3C780EFC" w14:textId="77777777" w:rsidR="002F03F5" w:rsidRPr="009F2AA4" w:rsidRDefault="008F23FF" w:rsidP="00921FF3">
            <w:pPr>
              <w:pStyle w:val="TableText"/>
              <w:keepNext/>
              <w:widowControl/>
            </w:pPr>
            <w:r w:rsidRPr="009F2AA4">
              <w:t>NCT00704730</w:t>
            </w:r>
          </w:p>
        </w:tc>
        <w:tc>
          <w:tcPr>
            <w:tcW w:w="5675" w:type="dxa"/>
            <w:tcBorders>
              <w:top w:val="single" w:sz="4" w:space="0" w:color="000000"/>
              <w:left w:val="single" w:sz="4" w:space="0" w:color="000000"/>
              <w:right w:val="single" w:sz="4" w:space="0" w:color="000000"/>
            </w:tcBorders>
          </w:tcPr>
          <w:p w14:paraId="3C780EFD" w14:textId="77777777" w:rsidR="002F03F5" w:rsidRPr="009F2AA4" w:rsidRDefault="008F23FF" w:rsidP="00921FF3">
            <w:pPr>
              <w:pStyle w:val="TableText"/>
              <w:keepNext/>
              <w:widowControl/>
            </w:pPr>
            <w:r w:rsidRPr="009F2AA4">
              <w:t xml:space="preserve">An International, Randomised, Double Blinded, Phase 3 Efficacy Study of XL184 Vs Placebo in Subjects with Unresectable, Locally Advanced, or Metastatic Medullary Thyroid Cancer. </w:t>
            </w:r>
          </w:p>
        </w:tc>
        <w:tc>
          <w:tcPr>
            <w:tcW w:w="2095" w:type="dxa"/>
            <w:tcBorders>
              <w:top w:val="single" w:sz="4" w:space="0" w:color="000000"/>
              <w:left w:val="single" w:sz="4" w:space="0" w:color="000000"/>
              <w:right w:val="single" w:sz="4" w:space="0" w:color="000000"/>
            </w:tcBorders>
          </w:tcPr>
          <w:p w14:paraId="3C780EFE" w14:textId="77777777" w:rsidR="002F03F5" w:rsidRPr="009F2AA4" w:rsidRDefault="008F23FF" w:rsidP="00921FF3">
            <w:pPr>
              <w:pStyle w:val="TableText"/>
              <w:keepNext/>
              <w:widowControl/>
            </w:pPr>
            <w:r w:rsidRPr="009F2AA4">
              <w:t>September 2020 Completed</w:t>
            </w:r>
          </w:p>
        </w:tc>
      </w:tr>
      <w:tr w:rsidR="002F03F5" w:rsidRPr="009F2AA4" w14:paraId="3C780F03" w14:textId="77777777" w:rsidTr="005F43B4">
        <w:trPr>
          <w:cantSplit/>
        </w:trPr>
        <w:tc>
          <w:tcPr>
            <w:tcW w:w="1256" w:type="dxa"/>
            <w:tcBorders>
              <w:left w:val="single" w:sz="4" w:space="0" w:color="000000"/>
              <w:right w:val="single" w:sz="4" w:space="0" w:color="000000"/>
            </w:tcBorders>
          </w:tcPr>
          <w:p w14:paraId="3C780F00"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F01" w14:textId="77777777" w:rsidR="002F03F5" w:rsidRPr="009F2AA4" w:rsidRDefault="008F23FF" w:rsidP="00921FF3">
            <w:pPr>
              <w:pStyle w:val="TableText"/>
              <w:keepNext/>
              <w:widowControl/>
            </w:pPr>
            <w:r w:rsidRPr="009F2AA4">
              <w:t xml:space="preserve">Cohen, E. E. W., Elisei, R., Schlumberger, M. J., et al. 2012. Clinical Activity and Pharmacokinetics (PK) of Cabozantinib (XL184) in Patients with Progressive Medullary Thyroid Carcinoma (MTC). </w:t>
            </w:r>
          </w:p>
        </w:tc>
        <w:tc>
          <w:tcPr>
            <w:tcW w:w="2095" w:type="dxa"/>
            <w:tcBorders>
              <w:left w:val="single" w:sz="4" w:space="0" w:color="000000"/>
              <w:right w:val="single" w:sz="4" w:space="0" w:color="000000"/>
            </w:tcBorders>
          </w:tcPr>
          <w:p w14:paraId="3C780F02" w14:textId="77777777" w:rsidR="002F03F5" w:rsidRPr="009F2AA4" w:rsidRDefault="008F23FF" w:rsidP="00921FF3">
            <w:pPr>
              <w:pStyle w:val="TableText"/>
              <w:keepNext/>
              <w:widowControl/>
            </w:pPr>
            <w:r w:rsidRPr="009F2AA4">
              <w:t>Annals of Oncology, 23, ix154 ix155.</w:t>
            </w:r>
          </w:p>
        </w:tc>
      </w:tr>
      <w:tr w:rsidR="002F03F5" w:rsidRPr="009F2AA4" w14:paraId="3C780F07" w14:textId="77777777" w:rsidTr="005F43B4">
        <w:trPr>
          <w:cantSplit/>
        </w:trPr>
        <w:tc>
          <w:tcPr>
            <w:tcW w:w="1256" w:type="dxa"/>
            <w:tcBorders>
              <w:left w:val="single" w:sz="4" w:space="0" w:color="000000"/>
              <w:right w:val="single" w:sz="4" w:space="0" w:color="000000"/>
            </w:tcBorders>
          </w:tcPr>
          <w:p w14:paraId="3C780F04"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F05" w14:textId="77777777" w:rsidR="002F03F5" w:rsidRPr="009F2AA4" w:rsidRDefault="008F23FF" w:rsidP="00921FF3">
            <w:pPr>
              <w:pStyle w:val="TableText"/>
              <w:keepNext/>
              <w:widowControl/>
            </w:pPr>
            <w:r w:rsidRPr="009F2AA4">
              <w:t xml:space="preserve">Elisei, R., Schlumberger, M. J., Müller, S. P., et al. 2013. Cabozantinib in progressive medullary thyroid cancer. </w:t>
            </w:r>
          </w:p>
        </w:tc>
        <w:tc>
          <w:tcPr>
            <w:tcW w:w="2095" w:type="dxa"/>
            <w:tcBorders>
              <w:left w:val="single" w:sz="4" w:space="0" w:color="000000"/>
              <w:right w:val="single" w:sz="4" w:space="0" w:color="000000"/>
            </w:tcBorders>
          </w:tcPr>
          <w:p w14:paraId="3C780F06" w14:textId="77777777" w:rsidR="002F03F5" w:rsidRPr="009F2AA4" w:rsidRDefault="008F23FF" w:rsidP="00921FF3">
            <w:pPr>
              <w:pStyle w:val="TableText"/>
              <w:keepNext/>
              <w:widowControl/>
            </w:pPr>
            <w:r w:rsidRPr="009F2AA4">
              <w:t>J Clin Oncol, 31, 3639 46.</w:t>
            </w:r>
          </w:p>
        </w:tc>
      </w:tr>
      <w:tr w:rsidR="002F03F5" w:rsidRPr="009F2AA4" w14:paraId="3C780F0B" w14:textId="77777777" w:rsidTr="005F43B4">
        <w:trPr>
          <w:cantSplit/>
        </w:trPr>
        <w:tc>
          <w:tcPr>
            <w:tcW w:w="1256" w:type="dxa"/>
            <w:tcBorders>
              <w:left w:val="single" w:sz="4" w:space="0" w:color="000000"/>
              <w:right w:val="single" w:sz="4" w:space="0" w:color="000000"/>
            </w:tcBorders>
          </w:tcPr>
          <w:p w14:paraId="3C780F08"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F09" w14:textId="77777777" w:rsidR="002F03F5" w:rsidRPr="009F2AA4" w:rsidRDefault="008F23FF" w:rsidP="00921FF3">
            <w:pPr>
              <w:pStyle w:val="TableText"/>
              <w:keepNext/>
              <w:widowControl/>
            </w:pPr>
            <w:r w:rsidRPr="009F2AA4">
              <w:t xml:space="preserve">Schlumberger, M., Elisei, R., Müller, S., et al. 2015. Final overall survival analysis of EXAM, an international, double blind, randomised, placebo controlled phase III trial of cabozantinib (Cabo) in medullary thyroid carcinoma (MTC) patients with documented RECIST progression at baseline. </w:t>
            </w:r>
          </w:p>
        </w:tc>
        <w:tc>
          <w:tcPr>
            <w:tcW w:w="2095" w:type="dxa"/>
            <w:tcBorders>
              <w:left w:val="single" w:sz="4" w:space="0" w:color="000000"/>
              <w:right w:val="single" w:sz="4" w:space="0" w:color="000000"/>
            </w:tcBorders>
          </w:tcPr>
          <w:p w14:paraId="3C780F0A" w14:textId="77777777" w:rsidR="002F03F5" w:rsidRPr="009F2AA4" w:rsidRDefault="008F23FF" w:rsidP="00921FF3">
            <w:pPr>
              <w:pStyle w:val="TableText"/>
              <w:keepNext/>
              <w:widowControl/>
            </w:pPr>
            <w:r w:rsidRPr="009F2AA4">
              <w:t>Journal of Clinical Oncology, 33, 6012 6012.</w:t>
            </w:r>
          </w:p>
        </w:tc>
      </w:tr>
      <w:tr w:rsidR="002F03F5" w:rsidRPr="009F2AA4" w14:paraId="3C780F0F" w14:textId="77777777" w:rsidTr="005F43B4">
        <w:trPr>
          <w:cantSplit/>
        </w:trPr>
        <w:tc>
          <w:tcPr>
            <w:tcW w:w="1256" w:type="dxa"/>
            <w:tcBorders>
              <w:left w:val="single" w:sz="4" w:space="0" w:color="000000"/>
              <w:right w:val="single" w:sz="4" w:space="0" w:color="000000"/>
            </w:tcBorders>
          </w:tcPr>
          <w:p w14:paraId="3C780F0C"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F0D" w14:textId="77777777" w:rsidR="002F03F5" w:rsidRPr="009F2AA4" w:rsidRDefault="008F23FF" w:rsidP="00921FF3">
            <w:pPr>
              <w:pStyle w:val="TableText"/>
              <w:keepNext/>
              <w:widowControl/>
            </w:pPr>
            <w:r w:rsidRPr="009F2AA4">
              <w:t>Schlumberger, M., Elisei, R., Müller, S., et al. 2017. Overall survival analysis of EXAM, a phase III trial of cabozantinib in patients with radiographically progressive medullary thyroid carcinoma.</w:t>
            </w:r>
          </w:p>
        </w:tc>
        <w:tc>
          <w:tcPr>
            <w:tcW w:w="2095" w:type="dxa"/>
            <w:tcBorders>
              <w:left w:val="single" w:sz="4" w:space="0" w:color="000000"/>
              <w:right w:val="single" w:sz="4" w:space="0" w:color="000000"/>
            </w:tcBorders>
          </w:tcPr>
          <w:p w14:paraId="3C780F0E" w14:textId="77777777" w:rsidR="002F03F5" w:rsidRPr="009F2AA4" w:rsidRDefault="008F23FF" w:rsidP="00921FF3">
            <w:pPr>
              <w:pStyle w:val="TableText"/>
              <w:keepNext/>
              <w:widowControl/>
            </w:pPr>
            <w:r w:rsidRPr="009F2AA4">
              <w:t>Annals of oncology: Official Journal Of The European Society For Medical Oncology, Vol.28, 2813 2819p.</w:t>
            </w:r>
          </w:p>
        </w:tc>
      </w:tr>
      <w:tr w:rsidR="002F03F5" w:rsidRPr="009F2AA4" w14:paraId="3C780F13" w14:textId="77777777" w:rsidTr="005F43B4">
        <w:trPr>
          <w:cantSplit/>
        </w:trPr>
        <w:tc>
          <w:tcPr>
            <w:tcW w:w="1256" w:type="dxa"/>
            <w:tcBorders>
              <w:left w:val="single" w:sz="4" w:space="0" w:color="000000"/>
              <w:right w:val="single" w:sz="4" w:space="0" w:color="000000"/>
            </w:tcBorders>
          </w:tcPr>
          <w:p w14:paraId="3C780F10"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F11" w14:textId="77777777" w:rsidR="002F03F5" w:rsidRPr="009F2AA4" w:rsidRDefault="008F23FF" w:rsidP="00921FF3">
            <w:pPr>
              <w:pStyle w:val="TableText"/>
              <w:keepNext/>
              <w:widowControl/>
            </w:pPr>
            <w:r w:rsidRPr="009F2AA4">
              <w:t xml:space="preserve">Shah, M., Elisei, R., Muller, S., et al. 2012. Clinical activity of cabozantinib (xl184) in medullary thyroid carcinoma (MTC) patients (PTS): subgroup analysis in the phase 3 study (exam). </w:t>
            </w:r>
          </w:p>
        </w:tc>
        <w:tc>
          <w:tcPr>
            <w:tcW w:w="2095" w:type="dxa"/>
            <w:tcBorders>
              <w:left w:val="single" w:sz="4" w:space="0" w:color="000000"/>
              <w:right w:val="single" w:sz="4" w:space="0" w:color="000000"/>
            </w:tcBorders>
          </w:tcPr>
          <w:p w14:paraId="3C780F12" w14:textId="77777777" w:rsidR="002F03F5" w:rsidRPr="009F2AA4" w:rsidRDefault="008F23FF" w:rsidP="00921FF3">
            <w:pPr>
              <w:pStyle w:val="TableText"/>
              <w:keepNext/>
              <w:widowControl/>
            </w:pPr>
            <w:r w:rsidRPr="009F2AA4">
              <w:t>Thyroid, 22, A45.</w:t>
            </w:r>
          </w:p>
        </w:tc>
      </w:tr>
      <w:tr w:rsidR="002F03F5" w:rsidRPr="009F2AA4" w14:paraId="3C780F17" w14:textId="77777777" w:rsidTr="005F43B4">
        <w:trPr>
          <w:cantSplit/>
        </w:trPr>
        <w:tc>
          <w:tcPr>
            <w:tcW w:w="1256" w:type="dxa"/>
            <w:tcBorders>
              <w:left w:val="single" w:sz="4" w:space="0" w:color="000000"/>
              <w:right w:val="single" w:sz="4" w:space="0" w:color="000000"/>
            </w:tcBorders>
          </w:tcPr>
          <w:p w14:paraId="3C780F14" w14:textId="77777777" w:rsidR="002F03F5" w:rsidRPr="009F2AA4" w:rsidRDefault="002F03F5" w:rsidP="00921FF3">
            <w:pPr>
              <w:pStyle w:val="TableText"/>
              <w:keepNext/>
              <w:widowControl/>
            </w:pPr>
          </w:p>
        </w:tc>
        <w:tc>
          <w:tcPr>
            <w:tcW w:w="5675" w:type="dxa"/>
            <w:tcBorders>
              <w:left w:val="single" w:sz="4" w:space="0" w:color="000000"/>
              <w:right w:val="single" w:sz="4" w:space="0" w:color="000000"/>
            </w:tcBorders>
          </w:tcPr>
          <w:p w14:paraId="3C780F15" w14:textId="48188A00" w:rsidR="002F03F5" w:rsidRPr="009F2AA4" w:rsidRDefault="008F23FF" w:rsidP="00921FF3">
            <w:pPr>
              <w:pStyle w:val="TableText"/>
              <w:keepNext/>
              <w:widowControl/>
            </w:pPr>
            <w:r w:rsidRPr="009F2AA4">
              <w:t>Sherman, S. I., Clary, D. O., Elisei, R., et al. 2016. Correlative analyses of</w:t>
            </w:r>
            <w:r w:rsidR="00923547" w:rsidRPr="00923547">
              <w:rPr>
                <w:i/>
              </w:rPr>
              <w:t xml:space="preserve"> RET </w:t>
            </w:r>
            <w:r w:rsidRPr="009F2AA4">
              <w:t xml:space="preserve">and RAS mutations in a phase 3 trial of cabozantinib in patients with progressive, metastatic medullary thyroid cancer. </w:t>
            </w:r>
          </w:p>
        </w:tc>
        <w:tc>
          <w:tcPr>
            <w:tcW w:w="2095" w:type="dxa"/>
            <w:tcBorders>
              <w:left w:val="single" w:sz="4" w:space="0" w:color="000000"/>
              <w:right w:val="single" w:sz="4" w:space="0" w:color="000000"/>
            </w:tcBorders>
          </w:tcPr>
          <w:p w14:paraId="3C780F16" w14:textId="77777777" w:rsidR="002F03F5" w:rsidRPr="009F2AA4" w:rsidRDefault="008F23FF" w:rsidP="00921FF3">
            <w:pPr>
              <w:pStyle w:val="TableText"/>
              <w:keepNext/>
              <w:widowControl/>
            </w:pPr>
            <w:r w:rsidRPr="009F2AA4">
              <w:t>Cancer, 122, 3856 3864.</w:t>
            </w:r>
          </w:p>
        </w:tc>
      </w:tr>
      <w:tr w:rsidR="002F03F5" w:rsidRPr="009F2AA4" w14:paraId="3C780F1B" w14:textId="77777777" w:rsidTr="005F43B4">
        <w:trPr>
          <w:cantSplit/>
        </w:trPr>
        <w:tc>
          <w:tcPr>
            <w:tcW w:w="1256" w:type="dxa"/>
            <w:tcBorders>
              <w:left w:val="single" w:sz="4" w:space="0" w:color="000000"/>
              <w:bottom w:val="single" w:sz="4" w:space="0" w:color="000000"/>
              <w:right w:val="single" w:sz="4" w:space="0" w:color="000000"/>
            </w:tcBorders>
          </w:tcPr>
          <w:p w14:paraId="3C780F18" w14:textId="77777777" w:rsidR="002F03F5" w:rsidRPr="009F2AA4" w:rsidRDefault="002F03F5" w:rsidP="00921FF3">
            <w:pPr>
              <w:pStyle w:val="TableText"/>
              <w:keepNext/>
              <w:widowControl/>
            </w:pPr>
          </w:p>
        </w:tc>
        <w:tc>
          <w:tcPr>
            <w:tcW w:w="5675" w:type="dxa"/>
            <w:tcBorders>
              <w:left w:val="single" w:sz="4" w:space="0" w:color="000000"/>
              <w:bottom w:val="single" w:sz="4" w:space="0" w:color="000000"/>
              <w:right w:val="single" w:sz="4" w:space="0" w:color="000000"/>
            </w:tcBorders>
          </w:tcPr>
          <w:p w14:paraId="3C780F19" w14:textId="094D9516" w:rsidR="002F03F5" w:rsidRPr="009F2AA4" w:rsidRDefault="008F23FF" w:rsidP="00921FF3">
            <w:pPr>
              <w:pStyle w:val="TableText"/>
              <w:keepNext/>
              <w:widowControl/>
            </w:pPr>
            <w:r w:rsidRPr="009F2AA4">
              <w:t>Sherman, S. I., Cohen, E. E. W., Schoffski, P., et al. 2013. Efficacy of cabozantinib (Cabo) in medullary thyroid cancer (MTC) patients with RAS or</w:t>
            </w:r>
            <w:r w:rsidR="00923547" w:rsidRPr="00923547">
              <w:rPr>
                <w:i/>
              </w:rPr>
              <w:t xml:space="preserve"> RET </w:t>
            </w:r>
            <w:r w:rsidRPr="009F2AA4">
              <w:t xml:space="preserve">mutations: Results from a phase III study. </w:t>
            </w:r>
          </w:p>
        </w:tc>
        <w:tc>
          <w:tcPr>
            <w:tcW w:w="2095" w:type="dxa"/>
            <w:tcBorders>
              <w:left w:val="single" w:sz="4" w:space="0" w:color="000000"/>
              <w:bottom w:val="single" w:sz="4" w:space="0" w:color="000000"/>
              <w:right w:val="single" w:sz="4" w:space="0" w:color="000000"/>
            </w:tcBorders>
          </w:tcPr>
          <w:p w14:paraId="3C780F1A" w14:textId="77777777" w:rsidR="002F03F5" w:rsidRPr="009F2AA4" w:rsidRDefault="008F23FF" w:rsidP="00921FF3">
            <w:pPr>
              <w:pStyle w:val="TableText"/>
              <w:keepNext/>
              <w:widowControl/>
            </w:pPr>
            <w:r w:rsidRPr="009F2AA4">
              <w:t>Journal of Clinical Oncology, 31, 6000 6000.</w:t>
            </w:r>
          </w:p>
        </w:tc>
      </w:tr>
    </w:tbl>
    <w:p w14:paraId="3C780F1C" w14:textId="77777777" w:rsidR="002F03F5" w:rsidRPr="009F2AA4" w:rsidRDefault="008F23FF" w:rsidP="00921FF3">
      <w:pPr>
        <w:pStyle w:val="TableFooter"/>
        <w:keepNext/>
        <w:widowControl/>
      </w:pPr>
      <w:r w:rsidRPr="009F2AA4">
        <w:t>Source: Table 2-3, pp62 4 of the submission</w:t>
      </w:r>
    </w:p>
    <w:p w14:paraId="3C780F1D" w14:textId="77777777" w:rsidR="002F03F5" w:rsidRPr="009F2AA4" w:rsidRDefault="008F23FF" w:rsidP="00921FF3">
      <w:pPr>
        <w:pStyle w:val="TableFooter"/>
        <w:keepNext/>
        <w:widowControl/>
        <w:rPr>
          <w:u w:val="single"/>
        </w:rPr>
      </w:pPr>
      <w:r w:rsidRPr="009F2AA4">
        <w:t xml:space="preserve"> </w:t>
      </w:r>
    </w:p>
    <w:p w14:paraId="3C780F1E" w14:textId="652381D6" w:rsidR="002F03F5" w:rsidRPr="009F2AA4" w:rsidRDefault="008F23FF" w:rsidP="00921FF3">
      <w:pPr>
        <w:pStyle w:val="3-BodyText"/>
        <w:rPr>
          <w:color w:val="0066FF"/>
        </w:rPr>
      </w:pPr>
      <w:r w:rsidRPr="009F2AA4">
        <w:t xml:space="preserve">The key features of the randomised trials are summarised in </w:t>
      </w:r>
      <w:r w:rsidR="000967EB">
        <w:fldChar w:fldCharType="begin"/>
      </w:r>
      <w:r w:rsidR="000967EB">
        <w:instrText xml:space="preserve"> REF _Ref225336047 \h </w:instrText>
      </w:r>
      <w:r w:rsidR="000967EB">
        <w:fldChar w:fldCharType="separate"/>
      </w:r>
      <w:r w:rsidR="003A3B69">
        <w:t xml:space="preserve">Table </w:t>
      </w:r>
      <w:r w:rsidR="003A3B69">
        <w:rPr>
          <w:noProof/>
        </w:rPr>
        <w:t>5</w:t>
      </w:r>
      <w:r w:rsidR="000967EB">
        <w:fldChar w:fldCharType="end"/>
      </w:r>
      <w:r w:rsidR="001F5944">
        <w:t>.</w:t>
      </w:r>
    </w:p>
    <w:p w14:paraId="484E1275" w14:textId="38ED8D92" w:rsidR="00850FFA" w:rsidRDefault="00850FFA" w:rsidP="00921FF3">
      <w:pPr>
        <w:pStyle w:val="Caption"/>
      </w:pPr>
      <w:bookmarkStart w:id="38" w:name="_Ref225336047"/>
      <w:r>
        <w:lastRenderedPageBreak/>
        <w:t xml:space="preserve">Table </w:t>
      </w:r>
      <w:r>
        <w:fldChar w:fldCharType="begin"/>
      </w:r>
      <w:r>
        <w:instrText>SEQ Table \* ARABIC</w:instrText>
      </w:r>
      <w:r>
        <w:fldChar w:fldCharType="separate"/>
      </w:r>
      <w:r w:rsidR="003A3B69">
        <w:rPr>
          <w:noProof/>
        </w:rPr>
        <w:t>5</w:t>
      </w:r>
      <w:r>
        <w:fldChar w:fldCharType="end"/>
      </w:r>
      <w:bookmarkEnd w:id="38"/>
      <w:r>
        <w:t>:</w:t>
      </w:r>
      <w:r w:rsidR="007E3114">
        <w:t xml:space="preserve"> </w:t>
      </w:r>
      <w:r w:rsidRPr="00936AB5">
        <w:t>Key features of the included evidence</w:t>
      </w:r>
    </w:p>
    <w:tbl>
      <w:tblPr>
        <w:tblW w:w="5000" w:type="pct"/>
        <w:tblLayout w:type="fixed"/>
        <w:tblCellMar>
          <w:left w:w="28" w:type="dxa"/>
          <w:right w:w="28" w:type="dxa"/>
        </w:tblCellMar>
        <w:tblLook w:val="04A0" w:firstRow="1" w:lastRow="0" w:firstColumn="1" w:lastColumn="0" w:noHBand="0" w:noVBand="1"/>
        <w:tblCaption w:val="Table 5: Key features of the included evidence"/>
      </w:tblPr>
      <w:tblGrid>
        <w:gridCol w:w="986"/>
        <w:gridCol w:w="1260"/>
        <w:gridCol w:w="2068"/>
        <w:gridCol w:w="3062"/>
        <w:gridCol w:w="991"/>
        <w:gridCol w:w="649"/>
      </w:tblGrid>
      <w:tr w:rsidR="002F03F5" w:rsidRPr="009F2AA4" w14:paraId="3C780F26" w14:textId="77777777" w:rsidTr="005F43B4">
        <w:trPr>
          <w:cantSplit/>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3C780F20" w14:textId="77777777" w:rsidR="002F03F5" w:rsidRPr="009F2AA4" w:rsidRDefault="008F23FF" w:rsidP="00921FF3">
            <w:pPr>
              <w:pStyle w:val="TableText"/>
              <w:keepNext/>
              <w:widowControl/>
              <w:jc w:val="center"/>
              <w:rPr>
                <w:b/>
              </w:rPr>
            </w:pPr>
            <w:r w:rsidRPr="009F2AA4">
              <w:rPr>
                <w:b/>
              </w:rPr>
              <w:t>Trial</w:t>
            </w:r>
          </w:p>
        </w:tc>
        <w:tc>
          <w:tcPr>
            <w:tcW w:w="1261" w:type="dxa"/>
            <w:tcBorders>
              <w:top w:val="single" w:sz="4" w:space="0" w:color="000000"/>
              <w:left w:val="single" w:sz="4" w:space="0" w:color="000000"/>
              <w:bottom w:val="single" w:sz="4" w:space="0" w:color="000000"/>
              <w:right w:val="single" w:sz="4" w:space="0" w:color="000000"/>
            </w:tcBorders>
            <w:vAlign w:val="center"/>
            <w:hideMark/>
          </w:tcPr>
          <w:p w14:paraId="3C780F21" w14:textId="77777777" w:rsidR="002F03F5" w:rsidRPr="009F2AA4" w:rsidRDefault="008F23FF" w:rsidP="00921FF3">
            <w:pPr>
              <w:pStyle w:val="TableText"/>
              <w:keepNext/>
              <w:widowControl/>
              <w:jc w:val="center"/>
              <w:rPr>
                <w:b/>
              </w:rPr>
            </w:pPr>
            <w:r w:rsidRPr="009F2AA4">
              <w:rPr>
                <w:b/>
              </w:rPr>
              <w:t>N</w:t>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3C780F22" w14:textId="77777777" w:rsidR="002F03F5" w:rsidRPr="009F2AA4" w:rsidRDefault="008F23FF" w:rsidP="00921FF3">
            <w:pPr>
              <w:pStyle w:val="TableText"/>
              <w:keepNext/>
              <w:widowControl/>
              <w:jc w:val="center"/>
              <w:rPr>
                <w:b/>
              </w:rPr>
            </w:pPr>
            <w:r w:rsidRPr="009F2AA4">
              <w:rPr>
                <w:b/>
              </w:rPr>
              <w:t>Design/duration</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C780F23" w14:textId="77777777" w:rsidR="002F03F5" w:rsidRPr="009F2AA4" w:rsidRDefault="008F23FF" w:rsidP="00921FF3">
            <w:pPr>
              <w:pStyle w:val="TableText"/>
              <w:keepNext/>
              <w:widowControl/>
              <w:jc w:val="center"/>
              <w:rPr>
                <w:b/>
              </w:rPr>
            </w:pPr>
            <w:r w:rsidRPr="009F2AA4">
              <w:rPr>
                <w:b/>
              </w:rPr>
              <w:t>Patient population</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C780F24" w14:textId="77777777" w:rsidR="002F03F5" w:rsidRPr="009F2AA4" w:rsidRDefault="008F23FF" w:rsidP="00921FF3">
            <w:pPr>
              <w:pStyle w:val="TableText"/>
              <w:keepNext/>
              <w:widowControl/>
              <w:jc w:val="center"/>
              <w:rPr>
                <w:b/>
              </w:rPr>
            </w:pPr>
            <w:r w:rsidRPr="009F2AA4">
              <w:rPr>
                <w:b/>
              </w:rPr>
              <w:t>Outcomes</w:t>
            </w:r>
          </w:p>
        </w:tc>
        <w:tc>
          <w:tcPr>
            <w:tcW w:w="650" w:type="dxa"/>
            <w:tcBorders>
              <w:top w:val="single" w:sz="4" w:space="0" w:color="000000"/>
              <w:left w:val="single" w:sz="4" w:space="0" w:color="000000"/>
              <w:bottom w:val="single" w:sz="4" w:space="0" w:color="000000"/>
              <w:right w:val="single" w:sz="4" w:space="0" w:color="000000"/>
            </w:tcBorders>
            <w:vAlign w:val="center"/>
            <w:hideMark/>
          </w:tcPr>
          <w:p w14:paraId="3C780F25" w14:textId="77777777" w:rsidR="002F03F5" w:rsidRPr="009F2AA4" w:rsidRDefault="008F23FF" w:rsidP="00921FF3">
            <w:pPr>
              <w:pStyle w:val="TableText"/>
              <w:keepNext/>
              <w:widowControl/>
              <w:jc w:val="center"/>
              <w:rPr>
                <w:b/>
              </w:rPr>
            </w:pPr>
            <w:r w:rsidRPr="009F2AA4">
              <w:rPr>
                <w:b/>
              </w:rPr>
              <w:t>Used in model</w:t>
            </w:r>
          </w:p>
        </w:tc>
      </w:tr>
      <w:tr w:rsidR="002F03F5" w:rsidRPr="009F2AA4" w14:paraId="3C780F28" w14:textId="77777777" w:rsidTr="005F43B4">
        <w:trPr>
          <w:cantSplit/>
        </w:trPr>
        <w:tc>
          <w:tcPr>
            <w:tcW w:w="9026" w:type="dxa"/>
            <w:gridSpan w:val="6"/>
            <w:tcBorders>
              <w:top w:val="single" w:sz="4" w:space="0" w:color="000000"/>
              <w:left w:val="single" w:sz="4" w:space="0" w:color="000000"/>
              <w:bottom w:val="single" w:sz="4" w:space="0" w:color="000000"/>
              <w:right w:val="single" w:sz="4" w:space="0" w:color="000000"/>
            </w:tcBorders>
            <w:vAlign w:val="center"/>
            <w:hideMark/>
          </w:tcPr>
          <w:p w14:paraId="3C780F27" w14:textId="77777777" w:rsidR="002F03F5" w:rsidRPr="00B73859" w:rsidRDefault="008F23FF" w:rsidP="00921FF3">
            <w:pPr>
              <w:pStyle w:val="TableText"/>
              <w:keepNext/>
              <w:widowControl/>
              <w:rPr>
                <w:b/>
                <w:lang w:val="pt-BR"/>
              </w:rPr>
            </w:pPr>
            <w:r w:rsidRPr="00B73859">
              <w:rPr>
                <w:b/>
                <w:lang w:val="pt-BR"/>
              </w:rPr>
              <w:t xml:space="preserve">Selpercatinib vs cabozantinib or vandetanib </w:t>
            </w:r>
          </w:p>
        </w:tc>
      </w:tr>
      <w:tr w:rsidR="002F03F5" w:rsidRPr="009F2AA4" w14:paraId="3C780F32" w14:textId="77777777" w:rsidTr="005F43B4">
        <w:trPr>
          <w:cantSplit/>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3C780F29" w14:textId="77777777" w:rsidR="002F03F5" w:rsidRPr="009F2AA4" w:rsidRDefault="008F23FF" w:rsidP="00921FF3">
            <w:pPr>
              <w:pStyle w:val="TableText"/>
              <w:keepNext/>
              <w:widowControl/>
            </w:pPr>
            <w:r w:rsidRPr="009F2AA4">
              <w:t>LIBRETTO-531</w:t>
            </w:r>
          </w:p>
        </w:tc>
        <w:tc>
          <w:tcPr>
            <w:tcW w:w="1261" w:type="dxa"/>
            <w:tcBorders>
              <w:top w:val="single" w:sz="4" w:space="0" w:color="000000"/>
              <w:left w:val="single" w:sz="4" w:space="0" w:color="000000"/>
              <w:bottom w:val="single" w:sz="4" w:space="0" w:color="000000"/>
              <w:right w:val="single" w:sz="4" w:space="0" w:color="000000"/>
            </w:tcBorders>
            <w:vAlign w:val="center"/>
            <w:hideMark/>
          </w:tcPr>
          <w:p w14:paraId="3C780F2A" w14:textId="77777777" w:rsidR="002F03F5" w:rsidRPr="009F2AA4" w:rsidRDefault="008F23FF" w:rsidP="00921FF3">
            <w:pPr>
              <w:pStyle w:val="TableText"/>
              <w:keepNext/>
              <w:widowControl/>
            </w:pPr>
            <w:r w:rsidRPr="009F2AA4">
              <w:t>SELP 193</w:t>
            </w:r>
          </w:p>
          <w:p w14:paraId="3C780F2B" w14:textId="77777777" w:rsidR="002F03F5" w:rsidRPr="009F2AA4" w:rsidRDefault="008F23FF" w:rsidP="00921FF3">
            <w:pPr>
              <w:pStyle w:val="TableText"/>
              <w:keepNext/>
              <w:widowControl/>
            </w:pPr>
            <w:r w:rsidRPr="009F2AA4">
              <w:t>CABO/VAND 98</w:t>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3C780F2C" w14:textId="77777777" w:rsidR="002F03F5" w:rsidRPr="009F2AA4" w:rsidRDefault="008F23FF" w:rsidP="00921FF3">
            <w:pPr>
              <w:pStyle w:val="TableText"/>
              <w:keepNext/>
              <w:widowControl/>
            </w:pPr>
            <w:r w:rsidRPr="009F2AA4">
              <w:t>P3, R, OL, MC</w:t>
            </w:r>
          </w:p>
          <w:p w14:paraId="3C780F2D" w14:textId="77777777" w:rsidR="002F03F5" w:rsidRPr="009F2AA4" w:rsidRDefault="008F23FF" w:rsidP="00921FF3">
            <w:pPr>
              <w:pStyle w:val="TableText"/>
              <w:keepNext/>
              <w:widowControl/>
            </w:pPr>
            <w:r w:rsidRPr="009F2AA4">
              <w:t xml:space="preserve">Median follow up PFS 17 22 mths/OS 25 mths </w:t>
            </w:r>
          </w:p>
          <w:p w14:paraId="3C780F2E" w14:textId="77777777" w:rsidR="002F03F5" w:rsidRPr="009F2AA4" w:rsidRDefault="002F03F5" w:rsidP="00921FF3">
            <w:pPr>
              <w:pStyle w:val="TableText"/>
              <w:keepNext/>
              <w:widowControl/>
            </w:pP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C780F2F" w14:textId="11AD5682" w:rsidR="002F03F5" w:rsidRPr="009F2AA4" w:rsidRDefault="008F23FF" w:rsidP="00921FF3">
            <w:pPr>
              <w:pStyle w:val="TableText"/>
              <w:keepNext/>
              <w:widowControl/>
            </w:pPr>
            <w:r w:rsidRPr="009F2AA4">
              <w:t>Adult</w:t>
            </w:r>
            <w:r w:rsidR="00923547" w:rsidRPr="00923547">
              <w:rPr>
                <w:i/>
              </w:rPr>
              <w:t xml:space="preserve"> RET </w:t>
            </w:r>
            <w:r w:rsidRPr="009F2AA4">
              <w:t xml:space="preserve">variant, unresectable LA/M MTC, ECOG PS 0 2, treatment naïve, with disease progression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C780F30" w14:textId="77777777" w:rsidR="002F03F5" w:rsidRPr="009F2AA4" w:rsidRDefault="008F23FF" w:rsidP="00921FF3">
            <w:pPr>
              <w:pStyle w:val="TableText"/>
              <w:keepNext/>
              <w:widowControl/>
            </w:pPr>
            <w:r w:rsidRPr="009F2AA4">
              <w:t>PFS (RECIST v1.1), OS</w:t>
            </w:r>
          </w:p>
        </w:tc>
        <w:tc>
          <w:tcPr>
            <w:tcW w:w="650" w:type="dxa"/>
            <w:tcBorders>
              <w:top w:val="single" w:sz="4" w:space="0" w:color="000000"/>
              <w:left w:val="single" w:sz="4" w:space="0" w:color="000000"/>
              <w:bottom w:val="single" w:sz="4" w:space="0" w:color="000000"/>
              <w:right w:val="single" w:sz="4" w:space="0" w:color="000000"/>
            </w:tcBorders>
            <w:vAlign w:val="center"/>
            <w:hideMark/>
          </w:tcPr>
          <w:p w14:paraId="3C780F31" w14:textId="77777777" w:rsidR="002F03F5" w:rsidRPr="009F2AA4" w:rsidRDefault="008F23FF" w:rsidP="00921FF3">
            <w:pPr>
              <w:pStyle w:val="TableText"/>
              <w:keepNext/>
              <w:widowControl/>
            </w:pPr>
            <w:r w:rsidRPr="009F2AA4">
              <w:t>Yes</w:t>
            </w:r>
          </w:p>
        </w:tc>
      </w:tr>
      <w:tr w:rsidR="002F03F5" w:rsidRPr="009F2AA4" w14:paraId="3C780F34" w14:textId="77777777" w:rsidTr="005F43B4">
        <w:trPr>
          <w:cantSplit/>
        </w:trPr>
        <w:tc>
          <w:tcPr>
            <w:tcW w:w="9026" w:type="dxa"/>
            <w:gridSpan w:val="6"/>
            <w:tcBorders>
              <w:top w:val="single" w:sz="4" w:space="0" w:color="000000"/>
              <w:left w:val="single" w:sz="4" w:space="0" w:color="000000"/>
              <w:bottom w:val="single" w:sz="4" w:space="0" w:color="000000"/>
              <w:right w:val="single" w:sz="4" w:space="0" w:color="000000"/>
            </w:tcBorders>
            <w:vAlign w:val="center"/>
          </w:tcPr>
          <w:p w14:paraId="3C780F33" w14:textId="77777777" w:rsidR="002F03F5" w:rsidRPr="00B17556" w:rsidRDefault="008F23FF" w:rsidP="00921FF3">
            <w:pPr>
              <w:pStyle w:val="TableText"/>
              <w:keepNext/>
              <w:widowControl/>
              <w:rPr>
                <w:b/>
                <w:bCs/>
              </w:rPr>
            </w:pPr>
            <w:r w:rsidRPr="00B17556">
              <w:rPr>
                <w:b/>
                <w:bCs/>
              </w:rPr>
              <w:t xml:space="preserve">Cabozantinib vs placebo </w:t>
            </w:r>
          </w:p>
        </w:tc>
      </w:tr>
      <w:tr w:rsidR="002F03F5" w:rsidRPr="009F2AA4" w14:paraId="3C780F3D" w14:textId="77777777" w:rsidTr="005F43B4">
        <w:trPr>
          <w:cantSplit/>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3C780F35" w14:textId="77777777" w:rsidR="002F03F5" w:rsidRPr="009F2AA4" w:rsidRDefault="008F23FF" w:rsidP="00921FF3">
            <w:pPr>
              <w:pStyle w:val="TableText"/>
              <w:keepNext/>
              <w:widowControl/>
            </w:pPr>
            <w:r w:rsidRPr="009F2AA4">
              <w:t>EXAM</w:t>
            </w:r>
          </w:p>
        </w:tc>
        <w:tc>
          <w:tcPr>
            <w:tcW w:w="1261" w:type="dxa"/>
            <w:tcBorders>
              <w:top w:val="single" w:sz="4" w:space="0" w:color="000000"/>
              <w:left w:val="single" w:sz="4" w:space="0" w:color="000000"/>
              <w:bottom w:val="single" w:sz="4" w:space="0" w:color="000000"/>
              <w:right w:val="single" w:sz="4" w:space="0" w:color="000000"/>
            </w:tcBorders>
            <w:vAlign w:val="center"/>
            <w:hideMark/>
          </w:tcPr>
          <w:p w14:paraId="3C780F36" w14:textId="77777777" w:rsidR="002F03F5" w:rsidRPr="009F2AA4" w:rsidRDefault="008F23FF" w:rsidP="00921FF3">
            <w:pPr>
              <w:pStyle w:val="TableText"/>
              <w:keepNext/>
              <w:widowControl/>
            </w:pPr>
            <w:r w:rsidRPr="009F2AA4">
              <w:t>CABO 219</w:t>
            </w:r>
          </w:p>
          <w:p w14:paraId="3C780F37" w14:textId="6491D595" w:rsidR="002F03F5" w:rsidRPr="009F2AA4" w:rsidRDefault="008F23FF" w:rsidP="00921FF3">
            <w:pPr>
              <w:pStyle w:val="TableText"/>
              <w:keepNext/>
              <w:widowControl/>
            </w:pPr>
            <w:r w:rsidRPr="009F2AA4">
              <w:t>PBO</w:t>
            </w:r>
            <w:r w:rsidR="007E3114">
              <w:t xml:space="preserve"> </w:t>
            </w:r>
            <w:r w:rsidRPr="009F2AA4">
              <w:t>111</w:t>
            </w:r>
          </w:p>
        </w:tc>
        <w:tc>
          <w:tcPr>
            <w:tcW w:w="2070" w:type="dxa"/>
            <w:tcBorders>
              <w:top w:val="single" w:sz="4" w:space="0" w:color="000000"/>
              <w:left w:val="single" w:sz="4" w:space="0" w:color="000000"/>
              <w:bottom w:val="single" w:sz="4" w:space="0" w:color="000000"/>
              <w:right w:val="single" w:sz="4" w:space="0" w:color="000000"/>
            </w:tcBorders>
            <w:vAlign w:val="center"/>
            <w:hideMark/>
          </w:tcPr>
          <w:p w14:paraId="3C780F38" w14:textId="77777777" w:rsidR="002F03F5" w:rsidRPr="009F2AA4" w:rsidRDefault="008F23FF" w:rsidP="00921FF3">
            <w:pPr>
              <w:pStyle w:val="TableText"/>
              <w:keepNext/>
              <w:widowControl/>
            </w:pPr>
            <w:r w:rsidRPr="009F2AA4">
              <w:t>P3, R, DB, MC</w:t>
            </w:r>
          </w:p>
          <w:p w14:paraId="3C780F39" w14:textId="77777777" w:rsidR="002F03F5" w:rsidRPr="009F2AA4" w:rsidRDefault="008F23FF" w:rsidP="00921FF3">
            <w:pPr>
              <w:pStyle w:val="TableText"/>
              <w:keepNext/>
              <w:widowControl/>
            </w:pPr>
            <w:r w:rsidRPr="009F2AA4">
              <w:t>Minimum follow up 42 mths</w:t>
            </w:r>
          </w:p>
        </w:tc>
        <w:tc>
          <w:tcPr>
            <w:tcW w:w="3065" w:type="dxa"/>
            <w:tcBorders>
              <w:top w:val="single" w:sz="4" w:space="0" w:color="000000"/>
              <w:left w:val="single" w:sz="4" w:space="0" w:color="000000"/>
              <w:bottom w:val="single" w:sz="4" w:space="0" w:color="000000"/>
              <w:right w:val="single" w:sz="4" w:space="0" w:color="000000"/>
            </w:tcBorders>
            <w:vAlign w:val="center"/>
            <w:hideMark/>
          </w:tcPr>
          <w:p w14:paraId="3C780F3A" w14:textId="0087AC23" w:rsidR="002F03F5" w:rsidRPr="009F2AA4" w:rsidRDefault="008F23FF" w:rsidP="00921FF3">
            <w:pPr>
              <w:pStyle w:val="TableText"/>
              <w:keepNext/>
              <w:widowControl/>
            </w:pPr>
            <w:r w:rsidRPr="009F2AA4">
              <w:t>Adult</w:t>
            </w:r>
            <w:r w:rsidR="00923547" w:rsidRPr="00923547">
              <w:rPr>
                <w:i/>
                <w:iCs/>
              </w:rPr>
              <w:t xml:space="preserve"> RET </w:t>
            </w:r>
            <w:r w:rsidRPr="009F2AA4">
              <w:t>variant,</w:t>
            </w:r>
            <w:r w:rsidR="00923547" w:rsidRPr="00923547">
              <w:rPr>
                <w:i/>
              </w:rPr>
              <w:t xml:space="preserve"> RET </w:t>
            </w:r>
            <w:r w:rsidRPr="009F2AA4">
              <w:t xml:space="preserve">wildtype, and unknown, unresectable LA/M MTC, ECOG PS 0 2, with disease progression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C780F3B" w14:textId="77777777" w:rsidR="002F03F5" w:rsidRPr="009F2AA4" w:rsidRDefault="008F23FF" w:rsidP="00921FF3">
            <w:pPr>
              <w:pStyle w:val="TableText"/>
              <w:keepNext/>
              <w:widowControl/>
            </w:pPr>
            <w:r w:rsidRPr="009F2AA4">
              <w:t>PFS (</w:t>
            </w:r>
            <w:proofErr w:type="spellStart"/>
            <w:r w:rsidRPr="009F2AA4">
              <w:t>mRECIST</w:t>
            </w:r>
            <w:proofErr w:type="spellEnd"/>
            <w:r w:rsidRPr="009F2AA4">
              <w:t>), OS</w:t>
            </w:r>
          </w:p>
        </w:tc>
        <w:tc>
          <w:tcPr>
            <w:tcW w:w="650" w:type="dxa"/>
            <w:tcBorders>
              <w:top w:val="single" w:sz="4" w:space="0" w:color="000000"/>
              <w:left w:val="single" w:sz="4" w:space="0" w:color="000000"/>
              <w:bottom w:val="single" w:sz="4" w:space="0" w:color="000000"/>
              <w:right w:val="single" w:sz="4" w:space="0" w:color="000000"/>
            </w:tcBorders>
            <w:vAlign w:val="center"/>
            <w:hideMark/>
          </w:tcPr>
          <w:p w14:paraId="3C780F3C" w14:textId="77777777" w:rsidR="002F03F5" w:rsidRPr="009F2AA4" w:rsidRDefault="008F23FF" w:rsidP="00921FF3">
            <w:pPr>
              <w:pStyle w:val="TableText"/>
              <w:keepNext/>
              <w:widowControl/>
            </w:pPr>
            <w:r w:rsidRPr="009F2AA4">
              <w:t>Yes</w:t>
            </w:r>
          </w:p>
        </w:tc>
      </w:tr>
    </w:tbl>
    <w:p w14:paraId="3C780F3E" w14:textId="77777777" w:rsidR="002F03F5" w:rsidRPr="009F2AA4" w:rsidRDefault="008F23FF" w:rsidP="00921FF3">
      <w:pPr>
        <w:pStyle w:val="TableFooter"/>
        <w:keepNext/>
        <w:widowControl/>
      </w:pPr>
      <w:r w:rsidRPr="009F2AA4">
        <w:t>Source: Section 2D.3.1 of the submission</w:t>
      </w:r>
    </w:p>
    <w:p w14:paraId="3C780F3F" w14:textId="77777777" w:rsidR="002F03F5" w:rsidRPr="009F2AA4" w:rsidRDefault="008F23FF" w:rsidP="00921FF3">
      <w:pPr>
        <w:pStyle w:val="TableFooter"/>
        <w:keepNext/>
        <w:widowControl/>
      </w:pPr>
      <w:r w:rsidRPr="009F2AA4">
        <w:t xml:space="preserve">CABO = cabozantinib; DB=double blind; LA/M = locally advanced or metastatic; MC=multi centre; </w:t>
      </w:r>
      <w:proofErr w:type="spellStart"/>
      <w:r w:rsidRPr="009F2AA4">
        <w:t>mRECIST</w:t>
      </w:r>
      <w:proofErr w:type="spellEnd"/>
      <w:r w:rsidRPr="009F2AA4">
        <w:t xml:space="preserve"> = modified Response Evaluation Criteria In Solid Tumours; mths = months; MTC = medullary thyroid cancer; OL=open label; OS=overall survival; PBO = placebo; PFS=progression free survival; P3 = phase III; R=randomised; RECIST = Response Evaluation Criteria In Solid Tumours; SELP = selpercatinib; WHO = World Health Organisation. </w:t>
      </w:r>
    </w:p>
    <w:p w14:paraId="3C780F40" w14:textId="77777777" w:rsidR="002F03F5" w:rsidRPr="009F2AA4" w:rsidRDefault="008F23FF" w:rsidP="00921FF3">
      <w:pPr>
        <w:pStyle w:val="TableFooter"/>
        <w:keepNext/>
        <w:widowControl/>
        <w:rPr>
          <w:u w:val="single"/>
        </w:rPr>
      </w:pPr>
      <w:r w:rsidRPr="009F2AA4">
        <w:rPr>
          <w:u w:val="single"/>
        </w:rPr>
        <w:t>Notes:</w:t>
      </w:r>
    </w:p>
    <w:p w14:paraId="3C780F41" w14:textId="052C3526" w:rsidR="002F03F5" w:rsidRPr="009F2AA4" w:rsidRDefault="008F23FF" w:rsidP="00921FF3">
      <w:pPr>
        <w:pStyle w:val="TableFooter"/>
        <w:keepNext/>
        <w:widowControl/>
        <w:rPr>
          <w:iCs/>
        </w:rPr>
      </w:pPr>
      <w:r w:rsidRPr="009F2AA4">
        <w:rPr>
          <w:iCs/>
        </w:rPr>
        <w:t>LIBRETTO-531 randomisation stratification factors were</w:t>
      </w:r>
      <w:r w:rsidR="00923547" w:rsidRPr="00923547">
        <w:rPr>
          <w:i/>
          <w:iCs/>
        </w:rPr>
        <w:t xml:space="preserve"> RET </w:t>
      </w:r>
      <w:r w:rsidRPr="009F2AA4">
        <w:rPr>
          <w:iCs/>
        </w:rPr>
        <w:t xml:space="preserve">alteration status (M918T vs non M918T) and control treatment received (cabozantinib vs </w:t>
      </w:r>
      <w:proofErr w:type="spellStart"/>
      <w:r w:rsidRPr="009F2AA4">
        <w:rPr>
          <w:iCs/>
        </w:rPr>
        <w:t>vandetanib</w:t>
      </w:r>
      <w:proofErr w:type="spellEnd"/>
      <w:r w:rsidRPr="009F2AA4">
        <w:rPr>
          <w:iCs/>
        </w:rPr>
        <w:t>).</w:t>
      </w:r>
    </w:p>
    <w:p w14:paraId="3C780F42" w14:textId="77777777" w:rsidR="002F03F5" w:rsidRPr="009F2AA4" w:rsidRDefault="008F23FF" w:rsidP="00921FF3">
      <w:pPr>
        <w:pStyle w:val="TableFooter"/>
        <w:keepNext/>
        <w:widowControl/>
        <w:rPr>
          <w:iCs/>
        </w:rPr>
      </w:pPr>
      <w:r w:rsidRPr="009F2AA4">
        <w:rPr>
          <w:iCs/>
        </w:rPr>
        <w:t>EXAM randomisation stratification factors were age (≥65 or &lt;65 years) and prior tyrosine kinase inhibitors (yes or no)</w:t>
      </w:r>
    </w:p>
    <w:p w14:paraId="3C780F43" w14:textId="132FBB33" w:rsidR="002F03F5" w:rsidRPr="009F2AA4" w:rsidRDefault="008F23FF" w:rsidP="00921FF3">
      <w:pPr>
        <w:pStyle w:val="3-BodyText"/>
      </w:pPr>
      <w:bookmarkStart w:id="39" w:name="_Ref222212361"/>
      <w:bookmarkStart w:id="40" w:name="_Ref216648243"/>
      <w:r w:rsidRPr="009F2AA4">
        <w:t xml:space="preserve">Locally advanced or metastatic MTC patients with unresectable MTC and documented disease progression within 14 months of enrolment were included in LIBRETTO-531 and EXAM. There was a substantial proportion of patients with metastatic disease enrolled in LIBRETTO-531, 141/193 (73.1%) in the selpercatinib arm and 83/98 (84.7%) in the cabozantinib or </w:t>
      </w:r>
      <w:proofErr w:type="spellStart"/>
      <w:r w:rsidRPr="009F2AA4">
        <w:t>vandetanib</w:t>
      </w:r>
      <w:proofErr w:type="spellEnd"/>
      <w:r w:rsidRPr="009F2AA4">
        <w:t xml:space="preserve"> arm; and in EXAM, 191/219 (87.2%) in the cabozantinib arm and 96/111 (86.5%) in the placebo arm.</w:t>
      </w:r>
      <w:bookmarkEnd w:id="39"/>
      <w:r w:rsidRPr="009F2AA4">
        <w:t xml:space="preserve"> </w:t>
      </w:r>
      <w:bookmarkEnd w:id="40"/>
      <w:r w:rsidR="001D03F0" w:rsidRPr="00A37681">
        <w:t>A lower proportion of patients had prior radiotherapy in the selpercatinib arm compared to the control arm, which was noted by the TGA Delegate to potentially favour PFS and ORR in the selpercatinib arm.</w:t>
      </w:r>
    </w:p>
    <w:p w14:paraId="3C780F44" w14:textId="276EC18E" w:rsidR="002F03F5" w:rsidRPr="009F2AA4" w:rsidRDefault="008F23FF" w:rsidP="00921FF3">
      <w:pPr>
        <w:pStyle w:val="3-BodyText"/>
      </w:pPr>
      <w:bookmarkStart w:id="41" w:name="_Ref222212313"/>
      <w:r w:rsidRPr="009F2AA4">
        <w:t xml:space="preserve">In LIBRETTO-531, after experiencing disease progression, 35/98 (35.7%) patients in the cabozantinib or </w:t>
      </w:r>
      <w:proofErr w:type="spellStart"/>
      <w:r w:rsidRPr="009F2AA4">
        <w:t>vandetanib</w:t>
      </w:r>
      <w:proofErr w:type="spellEnd"/>
      <w:r w:rsidRPr="009F2AA4">
        <w:t xml:space="preserve"> arm crossed over to selpercatinib, and 20/193 (10.4%) patients in the selpercatinib arm continued treatment beyond progression.</w:t>
      </w:r>
      <w:r w:rsidRPr="009F2AA4">
        <w:rPr>
          <w:rStyle w:val="FootnoteReference"/>
        </w:rPr>
        <w:footnoteReference w:id="5"/>
      </w:r>
      <w:r w:rsidRPr="009F2AA4">
        <w:t xml:space="preserve"> The evaluation considered that both these treatment scenarios likely confounded OS estimates. In EXAM, crossover was not permitted</w:t>
      </w:r>
      <w:r w:rsidR="00EF6557">
        <w:t>,</w:t>
      </w:r>
      <w:r w:rsidRPr="009F2AA4">
        <w:t xml:space="preserve"> but patients in the placebo arm received subsequent therapies (predominantly </w:t>
      </w:r>
      <w:r w:rsidR="00EF6557">
        <w:t>M</w:t>
      </w:r>
      <w:r w:rsidRPr="009F2AA4">
        <w:t xml:space="preserve">KIs including </w:t>
      </w:r>
      <w:proofErr w:type="spellStart"/>
      <w:r w:rsidRPr="009F2AA4">
        <w:t>vandetanib</w:t>
      </w:r>
      <w:proofErr w:type="spellEnd"/>
      <w:r w:rsidRPr="009F2AA4">
        <w:t xml:space="preserve"> (21.6% [24/111]) and cabozantinib (8.1% [9/111]). </w:t>
      </w:r>
      <w:r w:rsidR="00A813B2">
        <w:t>As</w:t>
      </w:r>
      <w:r w:rsidRPr="009F2AA4">
        <w:t xml:space="preserve"> the requested restriction required that patients </w:t>
      </w:r>
      <w:r w:rsidRPr="00A813B2">
        <w:t>discontinue treatment following disease progression, the evaluation and the ESCs considered that the OS benefit in LIBRETTO-531 was potentially overestimated relative to clinical practice.</w:t>
      </w:r>
      <w:bookmarkEnd w:id="41"/>
      <w:r w:rsidRPr="009F2AA4">
        <w:t xml:space="preserve"> </w:t>
      </w:r>
    </w:p>
    <w:p w14:paraId="3C780F46" w14:textId="77777777" w:rsidR="002F03F5" w:rsidRPr="009F2AA4" w:rsidRDefault="008F23FF" w:rsidP="00921FF3">
      <w:pPr>
        <w:pStyle w:val="3-BodyText"/>
      </w:pPr>
      <w:r w:rsidRPr="009F2AA4">
        <w:t xml:space="preserve">Potentially important prognostic factors including serum calcitonin and CEA levels and doubling times, histological tumour grade (low vs high), and tumour grade (stage III vs </w:t>
      </w:r>
      <w:r w:rsidRPr="009F2AA4">
        <w:lastRenderedPageBreak/>
        <w:t>IV) were not accounted for in randomisation stratification or subgroup analyses in LIBRETTO-531 or EXAM.</w:t>
      </w:r>
    </w:p>
    <w:p w14:paraId="3C780F47" w14:textId="77777777" w:rsidR="002F03F5" w:rsidRPr="009F2AA4" w:rsidRDefault="008F23FF" w:rsidP="00921FF3">
      <w:pPr>
        <w:pStyle w:val="PBACESHeading2"/>
        <w:spacing w:before="200" w:afterLines="100" w:after="240"/>
        <w:ind w:left="862" w:hanging="862"/>
        <w:rPr>
          <w:rFonts w:ascii="Calibri" w:hAnsi="Calibri" w:cs="Calibri"/>
        </w:rPr>
      </w:pPr>
      <w:bookmarkStart w:id="42" w:name="_Toc219898326"/>
      <w:r w:rsidRPr="009F2AA4">
        <w:rPr>
          <w:rFonts w:ascii="Calibri" w:hAnsi="Calibri" w:cs="Calibri"/>
        </w:rPr>
        <w:t>Comparative effectiveness</w:t>
      </w:r>
      <w:bookmarkEnd w:id="42"/>
    </w:p>
    <w:p w14:paraId="3C780F48" w14:textId="66C945FE" w:rsidR="002F03F5" w:rsidRPr="009F2AA4" w:rsidRDefault="008F23FF" w:rsidP="00921FF3">
      <w:pPr>
        <w:pStyle w:val="3-BodyText"/>
      </w:pPr>
      <w:r w:rsidRPr="009F2AA4">
        <w:t>A summary of PFS and OS results from LIBRETTO-531 and EXAM as well as the ITC base case results of LIBRETTO-531 vs EXAM are presented in</w:t>
      </w:r>
      <w:r w:rsidR="00AE720C">
        <w:t xml:space="preserve"> </w:t>
      </w:r>
      <w:r w:rsidR="00AE720C">
        <w:fldChar w:fldCharType="begin"/>
      </w:r>
      <w:r w:rsidR="00AE720C">
        <w:instrText xml:space="preserve"> REF _Ref225336108 \h </w:instrText>
      </w:r>
      <w:r w:rsidR="00AE720C">
        <w:fldChar w:fldCharType="separate"/>
      </w:r>
      <w:r w:rsidR="003A3B69">
        <w:t xml:space="preserve">Table </w:t>
      </w:r>
      <w:r w:rsidR="003A3B69">
        <w:rPr>
          <w:noProof/>
        </w:rPr>
        <w:t>6</w:t>
      </w:r>
      <w:r w:rsidR="00AE720C">
        <w:fldChar w:fldCharType="end"/>
      </w:r>
      <w:r w:rsidRPr="009F2AA4">
        <w:t>.</w:t>
      </w:r>
    </w:p>
    <w:p w14:paraId="7D1B775E" w14:textId="77777777" w:rsidR="00275DA9" w:rsidRDefault="00FF7D4A" w:rsidP="00921FF3">
      <w:pPr>
        <w:pStyle w:val="Caption"/>
      </w:pPr>
      <w:bookmarkStart w:id="43" w:name="_Ref225336108"/>
      <w:r>
        <w:t xml:space="preserve">Table </w:t>
      </w:r>
      <w:r>
        <w:fldChar w:fldCharType="begin"/>
      </w:r>
      <w:r>
        <w:instrText>SEQ Table \* ARABIC</w:instrText>
      </w:r>
      <w:r>
        <w:fldChar w:fldCharType="separate"/>
      </w:r>
      <w:r w:rsidR="003A3B69">
        <w:rPr>
          <w:noProof/>
        </w:rPr>
        <w:t>6</w:t>
      </w:r>
      <w:r>
        <w:fldChar w:fldCharType="end"/>
      </w:r>
      <w:bookmarkEnd w:id="43"/>
      <w:r>
        <w:t>:</w:t>
      </w:r>
      <w:r w:rsidR="007E3114">
        <w:t xml:space="preserve"> </w:t>
      </w:r>
      <w:r w:rsidRPr="003C4C84">
        <w:t>Overview of PFS and OS in LIBRETTO-531</w:t>
      </w:r>
      <w:r w:rsidR="00646E12">
        <w:t xml:space="preserve"> and</w:t>
      </w:r>
      <w:r w:rsidR="007E3114">
        <w:t xml:space="preserve"> </w:t>
      </w:r>
      <w:r w:rsidRPr="003C4C84">
        <w:t>EXAM</w:t>
      </w:r>
      <w:r w:rsidR="00395CC8">
        <w:t xml:space="preserve"> </w:t>
      </w:r>
      <w:r w:rsidRPr="003C4C84">
        <w:t>and the ITC base case results of LIBRETTO-531 vs</w:t>
      </w:r>
    </w:p>
    <w:p w14:paraId="7F06F521" w14:textId="0978DF4E" w:rsidR="00FF7D4A" w:rsidRDefault="00FF7D4A" w:rsidP="00921FF3">
      <w:pPr>
        <w:pStyle w:val="Caption"/>
      </w:pPr>
      <w:r w:rsidRPr="003C4C84">
        <w:t>EXAM</w:t>
      </w:r>
    </w:p>
    <w:tbl>
      <w:tblPr>
        <w:tblStyle w:val="ASDTable1"/>
        <w:tblW w:w="5000" w:type="pct"/>
        <w:tblLayout w:type="fixed"/>
        <w:tblLook w:val="04A0" w:firstRow="1" w:lastRow="0" w:firstColumn="1" w:lastColumn="0" w:noHBand="0" w:noVBand="1"/>
        <w:tblCaption w:val="Table 6: Overview of PFS and OS in LIBRETTO-531 and EXAM and the ITC base case results of LIBRETTO-531 vs"/>
      </w:tblPr>
      <w:tblGrid>
        <w:gridCol w:w="2155"/>
        <w:gridCol w:w="990"/>
        <w:gridCol w:w="1800"/>
        <w:gridCol w:w="990"/>
        <w:gridCol w:w="1581"/>
        <w:gridCol w:w="1500"/>
      </w:tblGrid>
      <w:tr w:rsidR="002F03F5" w:rsidRPr="009F2AA4" w14:paraId="3C780F4E" w14:textId="77777777" w:rsidTr="005F43B4">
        <w:trPr>
          <w:cantSplit/>
          <w:trHeight w:val="188"/>
        </w:trPr>
        <w:tc>
          <w:tcPr>
            <w:tcW w:w="2157" w:type="dxa"/>
            <w:vMerge w:val="restart"/>
            <w:vAlign w:val="center"/>
          </w:tcPr>
          <w:p w14:paraId="3C780F4A" w14:textId="77777777" w:rsidR="002F03F5" w:rsidRPr="009F2AA4" w:rsidRDefault="002F03F5" w:rsidP="00921FF3">
            <w:pPr>
              <w:pStyle w:val="TableRowHeader"/>
              <w:keepNext/>
              <w:keepLines/>
              <w:widowControl/>
              <w:jc w:val="left"/>
              <w:rPr>
                <w:rFonts w:eastAsia="Times New Roman" w:cs="Times New Roman"/>
              </w:rPr>
            </w:pPr>
          </w:p>
        </w:tc>
        <w:tc>
          <w:tcPr>
            <w:tcW w:w="2793" w:type="dxa"/>
            <w:gridSpan w:val="2"/>
            <w:vAlign w:val="center"/>
          </w:tcPr>
          <w:p w14:paraId="3C780F4B" w14:textId="77777777" w:rsidR="002F03F5" w:rsidRPr="009F2AA4" w:rsidRDefault="008F23FF" w:rsidP="00921FF3">
            <w:pPr>
              <w:pStyle w:val="TableRowHeader"/>
              <w:keepNext/>
              <w:keepLines/>
              <w:widowControl/>
              <w:rPr>
                <w:rFonts w:eastAsia="Times New Roman" w:cs="Times New Roman"/>
              </w:rPr>
            </w:pPr>
            <w:r w:rsidRPr="009F2AA4">
              <w:rPr>
                <w:rFonts w:eastAsia="Times New Roman" w:cs="Times New Roman"/>
              </w:rPr>
              <w:t xml:space="preserve">Intervention </w:t>
            </w:r>
          </w:p>
        </w:tc>
        <w:tc>
          <w:tcPr>
            <w:tcW w:w="2574" w:type="dxa"/>
            <w:gridSpan w:val="2"/>
            <w:vAlign w:val="center"/>
          </w:tcPr>
          <w:p w14:paraId="3C780F4C" w14:textId="77777777" w:rsidR="002F03F5" w:rsidRPr="009F2AA4" w:rsidRDefault="008F23FF" w:rsidP="00921FF3">
            <w:pPr>
              <w:pStyle w:val="TableRowHeader"/>
              <w:keepNext/>
              <w:keepLines/>
              <w:widowControl/>
              <w:rPr>
                <w:rFonts w:eastAsia="Times New Roman" w:cs="Times New Roman"/>
              </w:rPr>
            </w:pPr>
            <w:r w:rsidRPr="009F2AA4">
              <w:rPr>
                <w:rFonts w:eastAsia="Times New Roman" w:cs="Times New Roman"/>
              </w:rPr>
              <w:t>Comparator</w:t>
            </w:r>
          </w:p>
        </w:tc>
        <w:tc>
          <w:tcPr>
            <w:tcW w:w="1502" w:type="dxa"/>
            <w:vMerge w:val="restart"/>
          </w:tcPr>
          <w:p w14:paraId="3C780F4D" w14:textId="77777777" w:rsidR="002F03F5" w:rsidRPr="009F2AA4" w:rsidRDefault="008F23FF" w:rsidP="00921FF3">
            <w:pPr>
              <w:pStyle w:val="TableRowHeader"/>
              <w:keepNext/>
              <w:keepLines/>
              <w:widowControl/>
              <w:rPr>
                <w:vertAlign w:val="superscript"/>
              </w:rPr>
            </w:pPr>
            <w:r w:rsidRPr="009F2AA4">
              <w:rPr>
                <w:rFonts w:eastAsia="Times New Roman" w:cs="Times New Roman"/>
              </w:rPr>
              <w:t xml:space="preserve">HR (95% CI); p </w:t>
            </w:r>
            <w:proofErr w:type="spellStart"/>
            <w:r w:rsidRPr="009F2AA4">
              <w:rPr>
                <w:rFonts w:eastAsia="Times New Roman" w:cs="Times New Roman"/>
              </w:rPr>
              <w:t>value</w:t>
            </w:r>
            <w:r w:rsidRPr="009F2AA4">
              <w:rPr>
                <w:rFonts w:eastAsia="Times New Roman" w:cs="Times New Roman"/>
                <w:vertAlign w:val="superscript"/>
              </w:rPr>
              <w:t>b</w:t>
            </w:r>
            <w:proofErr w:type="spellEnd"/>
          </w:p>
        </w:tc>
      </w:tr>
      <w:tr w:rsidR="002F03F5" w:rsidRPr="009F2AA4" w14:paraId="3C780F55" w14:textId="77777777" w:rsidTr="005F43B4">
        <w:trPr>
          <w:cantSplit/>
          <w:trHeight w:val="20"/>
        </w:trPr>
        <w:tc>
          <w:tcPr>
            <w:tcW w:w="2157" w:type="dxa"/>
            <w:vMerge/>
            <w:vAlign w:val="center"/>
          </w:tcPr>
          <w:p w14:paraId="3C780F4F" w14:textId="77777777" w:rsidR="002F03F5" w:rsidRPr="009F2AA4" w:rsidRDefault="002F03F5" w:rsidP="00921FF3">
            <w:pPr>
              <w:pStyle w:val="TableRowHeader"/>
              <w:keepNext/>
              <w:keepLines/>
              <w:widowControl/>
              <w:jc w:val="left"/>
              <w:rPr>
                <w:rFonts w:eastAsia="Times New Roman" w:cs="Times New Roman"/>
              </w:rPr>
            </w:pPr>
          </w:p>
        </w:tc>
        <w:tc>
          <w:tcPr>
            <w:tcW w:w="991" w:type="dxa"/>
            <w:tcBorders>
              <w:right w:val="nil"/>
            </w:tcBorders>
            <w:vAlign w:val="center"/>
          </w:tcPr>
          <w:p w14:paraId="3C780F50" w14:textId="77777777" w:rsidR="002F03F5" w:rsidRPr="009F2AA4" w:rsidRDefault="008F23FF" w:rsidP="00921FF3">
            <w:pPr>
              <w:pStyle w:val="TableRowHeader"/>
              <w:keepNext/>
              <w:keepLines/>
              <w:widowControl/>
              <w:rPr>
                <w:rFonts w:eastAsia="Times New Roman" w:cs="Times New Roman"/>
              </w:rPr>
            </w:pPr>
            <w:r w:rsidRPr="009F2AA4">
              <w:rPr>
                <w:rFonts w:eastAsia="Times New Roman" w:cs="Times New Roman"/>
              </w:rPr>
              <w:t xml:space="preserve">Events n/N </w:t>
            </w:r>
          </w:p>
        </w:tc>
        <w:tc>
          <w:tcPr>
            <w:tcW w:w="1802" w:type="dxa"/>
            <w:vAlign w:val="center"/>
          </w:tcPr>
          <w:p w14:paraId="3C780F51" w14:textId="77777777" w:rsidR="002F03F5" w:rsidRPr="009F2AA4" w:rsidRDefault="008F23FF" w:rsidP="00921FF3">
            <w:pPr>
              <w:pStyle w:val="TableRowHeader"/>
              <w:keepNext/>
              <w:keepLines/>
              <w:widowControl/>
              <w:rPr>
                <w:rFonts w:eastAsia="Times New Roman" w:cs="Times New Roman"/>
              </w:rPr>
            </w:pPr>
            <w:r w:rsidRPr="009F2AA4">
              <w:rPr>
                <w:rFonts w:eastAsia="Times New Roman" w:cs="Times New Roman"/>
              </w:rPr>
              <w:t>Median, months (95% CI)</w:t>
            </w:r>
            <w:r w:rsidRPr="009F2AA4">
              <w:rPr>
                <w:rFonts w:eastAsia="Times New Roman" w:cs="Times New Roman"/>
                <w:vertAlign w:val="superscript"/>
              </w:rPr>
              <w:t>a</w:t>
            </w:r>
          </w:p>
        </w:tc>
        <w:tc>
          <w:tcPr>
            <w:tcW w:w="991" w:type="dxa"/>
            <w:tcBorders>
              <w:left w:val="nil"/>
              <w:right w:val="nil"/>
            </w:tcBorders>
            <w:vAlign w:val="center"/>
          </w:tcPr>
          <w:p w14:paraId="3C780F52" w14:textId="77777777" w:rsidR="002F03F5" w:rsidRPr="009F2AA4" w:rsidRDefault="008F23FF" w:rsidP="00921FF3">
            <w:pPr>
              <w:pStyle w:val="TableRowHeader"/>
              <w:keepNext/>
              <w:keepLines/>
              <w:widowControl/>
              <w:rPr>
                <w:rFonts w:eastAsia="Times New Roman" w:cs="Times New Roman"/>
              </w:rPr>
            </w:pPr>
            <w:r w:rsidRPr="009F2AA4">
              <w:rPr>
                <w:rFonts w:eastAsia="Times New Roman" w:cs="Times New Roman"/>
              </w:rPr>
              <w:t xml:space="preserve">Events n/N </w:t>
            </w:r>
          </w:p>
        </w:tc>
        <w:tc>
          <w:tcPr>
            <w:tcW w:w="1583" w:type="dxa"/>
            <w:vAlign w:val="center"/>
          </w:tcPr>
          <w:p w14:paraId="3C780F53" w14:textId="77777777" w:rsidR="002F03F5" w:rsidRPr="009F2AA4" w:rsidRDefault="008F23FF" w:rsidP="00921FF3">
            <w:pPr>
              <w:pStyle w:val="TableRowHeader"/>
              <w:keepNext/>
              <w:keepLines/>
              <w:widowControl/>
              <w:rPr>
                <w:rFonts w:eastAsia="Times New Roman" w:cs="Times New Roman"/>
              </w:rPr>
            </w:pPr>
            <w:r w:rsidRPr="009F2AA4">
              <w:rPr>
                <w:rFonts w:eastAsia="Times New Roman" w:cs="Times New Roman"/>
              </w:rPr>
              <w:t>Median, months (95% CI)</w:t>
            </w:r>
            <w:r w:rsidRPr="009F2AA4">
              <w:rPr>
                <w:rFonts w:eastAsia="Times New Roman" w:cs="Times New Roman"/>
                <w:vertAlign w:val="superscript"/>
              </w:rPr>
              <w:t>a</w:t>
            </w:r>
          </w:p>
        </w:tc>
        <w:tc>
          <w:tcPr>
            <w:tcW w:w="1502" w:type="dxa"/>
            <w:vMerge/>
            <w:vAlign w:val="center"/>
          </w:tcPr>
          <w:p w14:paraId="3C780F54" w14:textId="77777777" w:rsidR="002F03F5" w:rsidRPr="009F2AA4" w:rsidRDefault="002F03F5" w:rsidP="00921FF3">
            <w:pPr>
              <w:pStyle w:val="TableText"/>
              <w:keepNext/>
              <w:keepLines/>
              <w:widowControl/>
              <w:jc w:val="center"/>
              <w:rPr>
                <w:rFonts w:eastAsia="Times New Roman" w:cs="Times New Roman"/>
              </w:rPr>
            </w:pPr>
          </w:p>
        </w:tc>
      </w:tr>
      <w:tr w:rsidR="002F03F5" w:rsidRPr="009F2AA4" w14:paraId="3C780F57" w14:textId="77777777" w:rsidTr="005F43B4">
        <w:trPr>
          <w:cantSplit/>
          <w:trHeight w:val="20"/>
        </w:trPr>
        <w:tc>
          <w:tcPr>
            <w:tcW w:w="9026" w:type="dxa"/>
            <w:gridSpan w:val="6"/>
            <w:vAlign w:val="center"/>
          </w:tcPr>
          <w:p w14:paraId="3C780F56" w14:textId="77777777" w:rsidR="002F03F5" w:rsidRPr="00B73859" w:rsidRDefault="008F23FF" w:rsidP="00921FF3">
            <w:pPr>
              <w:pStyle w:val="TableText"/>
              <w:keepNext/>
              <w:keepLines/>
              <w:widowControl/>
              <w:rPr>
                <w:b/>
                <w:vertAlign w:val="superscript"/>
                <w:lang w:val="pt-BR"/>
              </w:rPr>
            </w:pPr>
            <w:r w:rsidRPr="00B73859">
              <w:rPr>
                <w:rFonts w:eastAsia="Times New Roman" w:cs="Times New Roman"/>
                <w:b/>
                <w:lang w:val="pt-BR"/>
              </w:rPr>
              <w:t xml:space="preserve">PFS: LIBRETTO-531 selpercatinib vs cabozantinib or vandetanib </w:t>
            </w:r>
          </w:p>
        </w:tc>
      </w:tr>
      <w:tr w:rsidR="002F03F5" w:rsidRPr="009F2AA4" w14:paraId="3C780F5E" w14:textId="77777777" w:rsidTr="005F43B4">
        <w:trPr>
          <w:cantSplit/>
          <w:trHeight w:val="20"/>
        </w:trPr>
        <w:tc>
          <w:tcPr>
            <w:tcW w:w="2157" w:type="dxa"/>
            <w:shd w:val="clear" w:color="auto" w:fill="E7E6E6" w:themeFill="background2"/>
            <w:vAlign w:val="center"/>
          </w:tcPr>
          <w:p w14:paraId="3C780F58" w14:textId="77777777" w:rsidR="002F03F5" w:rsidRPr="009F2AA4" w:rsidRDefault="008F23FF" w:rsidP="00921FF3">
            <w:pPr>
              <w:pStyle w:val="TableText"/>
              <w:keepNext/>
              <w:keepLines/>
              <w:widowControl/>
              <w:rPr>
                <w:bCs/>
              </w:rPr>
            </w:pPr>
            <w:r w:rsidRPr="009F2AA4">
              <w:rPr>
                <w:rFonts w:eastAsia="Times New Roman" w:cs="Times New Roman"/>
                <w:bCs/>
              </w:rPr>
              <w:t>ITT (</w:t>
            </w:r>
            <w:r w:rsidRPr="009F2AA4">
              <w:rPr>
                <w:rFonts w:eastAsia="Times New Roman" w:cs="Times New Roman"/>
                <w:bCs/>
                <w:i/>
                <w:iCs/>
              </w:rPr>
              <w:t>RET</w:t>
            </w:r>
            <w:r w:rsidRPr="009F2AA4">
              <w:rPr>
                <w:rFonts w:eastAsia="Times New Roman" w:cs="Times New Roman"/>
                <w:bCs/>
              </w:rPr>
              <w:t xml:space="preserve"> variant)</w:t>
            </w:r>
          </w:p>
        </w:tc>
        <w:tc>
          <w:tcPr>
            <w:tcW w:w="991" w:type="dxa"/>
            <w:shd w:val="clear" w:color="auto" w:fill="E7E6E6" w:themeFill="background2"/>
            <w:vAlign w:val="center"/>
          </w:tcPr>
          <w:p w14:paraId="3C780F59"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 xml:space="preserve">34/193 </w:t>
            </w:r>
          </w:p>
        </w:tc>
        <w:tc>
          <w:tcPr>
            <w:tcW w:w="1802" w:type="dxa"/>
            <w:shd w:val="clear" w:color="auto" w:fill="E7E6E6" w:themeFill="background2"/>
          </w:tcPr>
          <w:p w14:paraId="3C780F5A"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Not reached (35.8, NE)</w:t>
            </w:r>
          </w:p>
        </w:tc>
        <w:tc>
          <w:tcPr>
            <w:tcW w:w="991" w:type="dxa"/>
            <w:shd w:val="clear" w:color="auto" w:fill="E7E6E6" w:themeFill="background2"/>
            <w:vAlign w:val="center"/>
          </w:tcPr>
          <w:p w14:paraId="3C780F5B"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47/98</w:t>
            </w:r>
          </w:p>
        </w:tc>
        <w:tc>
          <w:tcPr>
            <w:tcW w:w="1583" w:type="dxa"/>
            <w:shd w:val="clear" w:color="auto" w:fill="E7E6E6" w:themeFill="background2"/>
            <w:vAlign w:val="center"/>
          </w:tcPr>
          <w:p w14:paraId="3C780F5C"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13.9 (12.2, 19.5)</w:t>
            </w:r>
          </w:p>
        </w:tc>
        <w:tc>
          <w:tcPr>
            <w:tcW w:w="1502" w:type="dxa"/>
            <w:shd w:val="clear" w:color="auto" w:fill="E7E6E6" w:themeFill="background2"/>
            <w:vAlign w:val="center"/>
          </w:tcPr>
          <w:p w14:paraId="3C780F5D"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b/>
                <w:bCs/>
              </w:rPr>
              <w:t>0.202 (0.128, 0.320); &lt;0.0001</w:t>
            </w:r>
          </w:p>
        </w:tc>
      </w:tr>
      <w:tr w:rsidR="002F03F5" w:rsidRPr="009F2AA4" w14:paraId="3C780F60" w14:textId="77777777" w:rsidTr="005F43B4">
        <w:trPr>
          <w:cantSplit/>
          <w:trHeight w:val="20"/>
        </w:trPr>
        <w:tc>
          <w:tcPr>
            <w:tcW w:w="9026" w:type="dxa"/>
            <w:gridSpan w:val="6"/>
            <w:vAlign w:val="center"/>
          </w:tcPr>
          <w:p w14:paraId="3C780F5F" w14:textId="77777777" w:rsidR="002F03F5" w:rsidRPr="00B73859" w:rsidRDefault="008F23FF" w:rsidP="00921FF3">
            <w:pPr>
              <w:pStyle w:val="TableText"/>
              <w:keepNext/>
              <w:keepLines/>
              <w:widowControl/>
              <w:rPr>
                <w:b/>
                <w:vertAlign w:val="superscript"/>
                <w:lang w:val="pt-BR"/>
              </w:rPr>
            </w:pPr>
            <w:r w:rsidRPr="00B73859">
              <w:rPr>
                <w:rFonts w:eastAsia="Times New Roman" w:cs="Times New Roman"/>
                <w:b/>
                <w:lang w:val="pt-BR"/>
              </w:rPr>
              <w:t xml:space="preserve">PFS: EXAM cabozantinib vs placebo </w:t>
            </w:r>
          </w:p>
        </w:tc>
      </w:tr>
      <w:tr w:rsidR="002F03F5" w:rsidRPr="009F2AA4" w14:paraId="3C780F67" w14:textId="77777777" w:rsidTr="005F43B4">
        <w:trPr>
          <w:cantSplit/>
          <w:trHeight w:val="20"/>
        </w:trPr>
        <w:tc>
          <w:tcPr>
            <w:tcW w:w="2157" w:type="dxa"/>
            <w:vAlign w:val="center"/>
          </w:tcPr>
          <w:p w14:paraId="3C780F61" w14:textId="69E5A677" w:rsidR="002F03F5" w:rsidRPr="009F2AA4" w:rsidRDefault="008F23FF" w:rsidP="00921FF3">
            <w:pPr>
              <w:pStyle w:val="TableText"/>
              <w:keepNext/>
              <w:keepLines/>
              <w:widowControl/>
              <w:rPr>
                <w:bCs/>
              </w:rPr>
            </w:pPr>
            <w:r w:rsidRPr="009F2AA4">
              <w:rPr>
                <w:rFonts w:eastAsia="Times New Roman" w:cs="Times New Roman"/>
                <w:bCs/>
              </w:rPr>
              <w:t>ITT (any</w:t>
            </w:r>
            <w:r w:rsidR="00923547" w:rsidRPr="00923547">
              <w:rPr>
                <w:rFonts w:eastAsia="Times New Roman" w:cs="Times New Roman"/>
                <w:bCs/>
                <w:i/>
              </w:rPr>
              <w:t xml:space="preserve"> RET </w:t>
            </w:r>
            <w:r w:rsidRPr="009F2AA4">
              <w:rPr>
                <w:rFonts w:eastAsia="Times New Roman" w:cs="Times New Roman"/>
                <w:bCs/>
              </w:rPr>
              <w:t>status)</w:t>
            </w:r>
          </w:p>
        </w:tc>
        <w:tc>
          <w:tcPr>
            <w:tcW w:w="991" w:type="dxa"/>
            <w:vAlign w:val="center"/>
          </w:tcPr>
          <w:p w14:paraId="3C780F62"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79/219</w:t>
            </w:r>
          </w:p>
        </w:tc>
        <w:tc>
          <w:tcPr>
            <w:tcW w:w="1802" w:type="dxa"/>
            <w:vAlign w:val="center"/>
          </w:tcPr>
          <w:p w14:paraId="3C780F63"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11.2 (NR, NR)</w:t>
            </w:r>
          </w:p>
        </w:tc>
        <w:tc>
          <w:tcPr>
            <w:tcW w:w="991" w:type="dxa"/>
            <w:vAlign w:val="center"/>
          </w:tcPr>
          <w:p w14:paraId="3C780F64"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60/111</w:t>
            </w:r>
          </w:p>
        </w:tc>
        <w:tc>
          <w:tcPr>
            <w:tcW w:w="1583" w:type="dxa"/>
            <w:vAlign w:val="center"/>
          </w:tcPr>
          <w:p w14:paraId="3C780F65"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4.0 (NR, NR)</w:t>
            </w:r>
          </w:p>
        </w:tc>
        <w:tc>
          <w:tcPr>
            <w:tcW w:w="1502" w:type="dxa"/>
            <w:vAlign w:val="center"/>
          </w:tcPr>
          <w:p w14:paraId="3C780F66" w14:textId="77777777" w:rsidR="002F03F5" w:rsidRPr="009F2AA4" w:rsidRDefault="008F23FF" w:rsidP="00921FF3">
            <w:pPr>
              <w:pStyle w:val="TableText"/>
              <w:keepNext/>
              <w:keepLines/>
              <w:widowControl/>
              <w:jc w:val="center"/>
              <w:rPr>
                <w:b/>
                <w:bCs/>
              </w:rPr>
            </w:pPr>
            <w:r w:rsidRPr="009F2AA4">
              <w:rPr>
                <w:rFonts w:eastAsia="Times New Roman" w:cs="Times New Roman"/>
                <w:b/>
                <w:bCs/>
              </w:rPr>
              <w:t>0.28 (0.19, 0.40); &lt;0.0001</w:t>
            </w:r>
          </w:p>
        </w:tc>
      </w:tr>
      <w:tr w:rsidR="002F03F5" w:rsidRPr="009F2AA4" w14:paraId="3C780F6E" w14:textId="77777777" w:rsidTr="005F43B4">
        <w:trPr>
          <w:cantSplit/>
          <w:trHeight w:val="20"/>
        </w:trPr>
        <w:tc>
          <w:tcPr>
            <w:tcW w:w="2157" w:type="dxa"/>
            <w:shd w:val="clear" w:color="auto" w:fill="E7E6E6" w:themeFill="background2"/>
            <w:vAlign w:val="center"/>
          </w:tcPr>
          <w:p w14:paraId="3C780F68" w14:textId="77777777" w:rsidR="002F03F5" w:rsidRPr="009F2AA4" w:rsidRDefault="008F23FF" w:rsidP="00921FF3">
            <w:pPr>
              <w:pStyle w:val="TableText"/>
              <w:keepNext/>
              <w:keepLines/>
              <w:widowControl/>
              <w:ind w:left="144"/>
              <w:rPr>
                <w:vertAlign w:val="superscript"/>
              </w:rPr>
            </w:pPr>
            <w:r w:rsidRPr="009F2AA4">
              <w:rPr>
                <w:rFonts w:eastAsia="Times New Roman" w:cs="Times New Roman"/>
                <w:i/>
                <w:iCs/>
              </w:rPr>
              <w:t>RET</w:t>
            </w:r>
            <w:r w:rsidRPr="009F2AA4">
              <w:rPr>
                <w:rFonts w:eastAsia="Times New Roman" w:cs="Times New Roman"/>
              </w:rPr>
              <w:t xml:space="preserve"> variant</w:t>
            </w:r>
          </w:p>
        </w:tc>
        <w:tc>
          <w:tcPr>
            <w:tcW w:w="991" w:type="dxa"/>
            <w:shd w:val="clear" w:color="auto" w:fill="E7E6E6" w:themeFill="background2"/>
            <w:vAlign w:val="center"/>
          </w:tcPr>
          <w:p w14:paraId="3C780F69" w14:textId="77777777" w:rsidR="002F03F5" w:rsidRPr="009F2AA4" w:rsidRDefault="008F23FF" w:rsidP="00921FF3">
            <w:pPr>
              <w:pStyle w:val="TableText"/>
              <w:keepNext/>
              <w:keepLines/>
              <w:widowControl/>
              <w:jc w:val="center"/>
              <w:rPr>
                <w:i/>
                <w:iCs/>
              </w:rPr>
            </w:pPr>
            <w:r w:rsidRPr="009F2AA4">
              <w:rPr>
                <w:rFonts w:eastAsia="Times New Roman" w:cs="Times New Roman"/>
              </w:rPr>
              <w:t>NR/107</w:t>
            </w:r>
          </w:p>
        </w:tc>
        <w:tc>
          <w:tcPr>
            <w:tcW w:w="1802" w:type="dxa"/>
            <w:shd w:val="clear" w:color="auto" w:fill="E7E6E6" w:themeFill="background2"/>
            <w:vAlign w:val="center"/>
          </w:tcPr>
          <w:p w14:paraId="3C780F6A"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13.8 (NE, NE)</w:t>
            </w:r>
          </w:p>
        </w:tc>
        <w:tc>
          <w:tcPr>
            <w:tcW w:w="991" w:type="dxa"/>
            <w:shd w:val="clear" w:color="auto" w:fill="E7E6E6" w:themeFill="background2"/>
            <w:vAlign w:val="center"/>
          </w:tcPr>
          <w:p w14:paraId="3C780F6B"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NR/62</w:t>
            </w:r>
          </w:p>
        </w:tc>
        <w:tc>
          <w:tcPr>
            <w:tcW w:w="1583" w:type="dxa"/>
            <w:shd w:val="clear" w:color="auto" w:fill="E7E6E6" w:themeFill="background2"/>
            <w:vAlign w:val="center"/>
          </w:tcPr>
          <w:p w14:paraId="3C780F6C"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4.6 (NE, NE)</w:t>
            </w:r>
          </w:p>
        </w:tc>
        <w:tc>
          <w:tcPr>
            <w:tcW w:w="1502" w:type="dxa"/>
            <w:shd w:val="clear" w:color="auto" w:fill="E7E6E6" w:themeFill="background2"/>
            <w:vAlign w:val="center"/>
          </w:tcPr>
          <w:p w14:paraId="3C780F6D"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0.23 (0.14, 0.38); &lt;0.0001</w:t>
            </w:r>
          </w:p>
        </w:tc>
      </w:tr>
      <w:tr w:rsidR="002F03F5" w:rsidRPr="009F2AA4" w14:paraId="3C780F70" w14:textId="77777777" w:rsidTr="005F43B4">
        <w:trPr>
          <w:cantSplit/>
          <w:trHeight w:val="20"/>
        </w:trPr>
        <w:tc>
          <w:tcPr>
            <w:tcW w:w="9026" w:type="dxa"/>
            <w:gridSpan w:val="6"/>
            <w:vAlign w:val="center"/>
          </w:tcPr>
          <w:p w14:paraId="3C780F6F" w14:textId="77777777" w:rsidR="002F03F5" w:rsidRPr="00B73859" w:rsidRDefault="008F23FF" w:rsidP="00921FF3">
            <w:pPr>
              <w:pStyle w:val="TableText"/>
              <w:keepNext/>
              <w:keepLines/>
              <w:widowControl/>
              <w:rPr>
                <w:b/>
                <w:vertAlign w:val="superscript"/>
                <w:lang w:val="pt-BR"/>
              </w:rPr>
            </w:pPr>
            <w:r w:rsidRPr="00B73859">
              <w:rPr>
                <w:rFonts w:eastAsia="Times New Roman" w:cs="Times New Roman"/>
                <w:b/>
                <w:lang w:val="pt-BR"/>
              </w:rPr>
              <w:t xml:space="preserve">OS: LIBRETTO-531 selpercatinib vs cabozantinib/vandetanib </w:t>
            </w:r>
          </w:p>
        </w:tc>
      </w:tr>
      <w:tr w:rsidR="002F03F5" w:rsidRPr="009F2AA4" w14:paraId="3C780F77" w14:textId="77777777" w:rsidTr="005F43B4">
        <w:trPr>
          <w:cantSplit/>
          <w:trHeight w:val="20"/>
        </w:trPr>
        <w:tc>
          <w:tcPr>
            <w:tcW w:w="2157" w:type="dxa"/>
            <w:shd w:val="clear" w:color="auto" w:fill="E7E6E6" w:themeFill="background2"/>
            <w:vAlign w:val="center"/>
          </w:tcPr>
          <w:p w14:paraId="3C780F71" w14:textId="77777777" w:rsidR="002F03F5" w:rsidRPr="009F2AA4" w:rsidRDefault="008F23FF" w:rsidP="00921FF3">
            <w:pPr>
              <w:pStyle w:val="TableText"/>
              <w:keepNext/>
              <w:keepLines/>
              <w:widowControl/>
              <w:rPr>
                <w:bCs/>
              </w:rPr>
            </w:pPr>
            <w:r w:rsidRPr="009F2AA4">
              <w:rPr>
                <w:rFonts w:eastAsia="Times New Roman" w:cs="Times New Roman"/>
                <w:bCs/>
              </w:rPr>
              <w:t>ITT (</w:t>
            </w:r>
            <w:r w:rsidRPr="009F2AA4">
              <w:rPr>
                <w:rFonts w:eastAsia="Times New Roman" w:cs="Times New Roman"/>
                <w:bCs/>
                <w:i/>
                <w:iCs/>
              </w:rPr>
              <w:t>RET</w:t>
            </w:r>
            <w:r w:rsidRPr="009F2AA4">
              <w:rPr>
                <w:rFonts w:eastAsia="Times New Roman" w:cs="Times New Roman"/>
                <w:bCs/>
              </w:rPr>
              <w:t xml:space="preserve"> variant)</w:t>
            </w:r>
          </w:p>
        </w:tc>
        <w:tc>
          <w:tcPr>
            <w:tcW w:w="991" w:type="dxa"/>
            <w:shd w:val="clear" w:color="auto" w:fill="E7E6E6" w:themeFill="background2"/>
            <w:vAlign w:val="center"/>
          </w:tcPr>
          <w:p w14:paraId="3C780F72"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10/193</w:t>
            </w:r>
          </w:p>
        </w:tc>
        <w:tc>
          <w:tcPr>
            <w:tcW w:w="1802" w:type="dxa"/>
            <w:shd w:val="clear" w:color="auto" w:fill="E7E6E6" w:themeFill="background2"/>
            <w:vAlign w:val="center"/>
          </w:tcPr>
          <w:p w14:paraId="3C780F73"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Not reached</w:t>
            </w:r>
          </w:p>
        </w:tc>
        <w:tc>
          <w:tcPr>
            <w:tcW w:w="991" w:type="dxa"/>
            <w:shd w:val="clear" w:color="auto" w:fill="E7E6E6" w:themeFill="background2"/>
            <w:vAlign w:val="center"/>
          </w:tcPr>
          <w:p w14:paraId="3C780F74"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16/98</w:t>
            </w:r>
          </w:p>
        </w:tc>
        <w:tc>
          <w:tcPr>
            <w:tcW w:w="1583" w:type="dxa"/>
            <w:shd w:val="clear" w:color="auto" w:fill="E7E6E6" w:themeFill="background2"/>
            <w:vAlign w:val="center"/>
          </w:tcPr>
          <w:p w14:paraId="3C780F75"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Not reached</w:t>
            </w:r>
          </w:p>
        </w:tc>
        <w:tc>
          <w:tcPr>
            <w:tcW w:w="1502" w:type="dxa"/>
            <w:shd w:val="clear" w:color="auto" w:fill="E7E6E6" w:themeFill="background2"/>
            <w:vAlign w:val="center"/>
          </w:tcPr>
          <w:p w14:paraId="3C780F76"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0.275 (0.124, 0.608); 0.0007</w:t>
            </w:r>
          </w:p>
        </w:tc>
      </w:tr>
      <w:tr w:rsidR="002F03F5" w:rsidRPr="009F2AA4" w14:paraId="3C780F79" w14:textId="77777777" w:rsidTr="005F43B4">
        <w:trPr>
          <w:cantSplit/>
          <w:trHeight w:val="20"/>
        </w:trPr>
        <w:tc>
          <w:tcPr>
            <w:tcW w:w="9026" w:type="dxa"/>
            <w:gridSpan w:val="6"/>
            <w:vAlign w:val="center"/>
          </w:tcPr>
          <w:p w14:paraId="3C780F78" w14:textId="77777777" w:rsidR="002F03F5" w:rsidRPr="00B73859" w:rsidRDefault="008F23FF" w:rsidP="00921FF3">
            <w:pPr>
              <w:pStyle w:val="TableText"/>
              <w:keepNext/>
              <w:keepLines/>
              <w:widowControl/>
              <w:rPr>
                <w:b/>
                <w:vertAlign w:val="superscript"/>
                <w:lang w:val="pt-BR"/>
              </w:rPr>
            </w:pPr>
            <w:r w:rsidRPr="00B73859">
              <w:rPr>
                <w:rFonts w:eastAsia="Times New Roman" w:cs="Times New Roman"/>
                <w:b/>
                <w:lang w:val="pt-BR"/>
              </w:rPr>
              <w:t>OS: EXAM cabozantinib vs placebo</w:t>
            </w:r>
          </w:p>
        </w:tc>
      </w:tr>
      <w:tr w:rsidR="002F03F5" w:rsidRPr="009F2AA4" w14:paraId="3C780F80" w14:textId="77777777" w:rsidTr="005F43B4">
        <w:trPr>
          <w:cantSplit/>
          <w:trHeight w:val="20"/>
        </w:trPr>
        <w:tc>
          <w:tcPr>
            <w:tcW w:w="2157" w:type="dxa"/>
            <w:vAlign w:val="center"/>
          </w:tcPr>
          <w:p w14:paraId="3C780F7A" w14:textId="0F2BE048" w:rsidR="002F03F5" w:rsidRPr="009F2AA4" w:rsidRDefault="008F23FF" w:rsidP="00921FF3">
            <w:pPr>
              <w:pStyle w:val="TableText"/>
              <w:keepNext/>
              <w:keepLines/>
              <w:widowControl/>
              <w:rPr>
                <w:bCs/>
              </w:rPr>
            </w:pPr>
            <w:r w:rsidRPr="009F2AA4">
              <w:rPr>
                <w:rFonts w:eastAsia="Times New Roman" w:cs="Times New Roman"/>
                <w:bCs/>
              </w:rPr>
              <w:t>ITT (any</w:t>
            </w:r>
            <w:r w:rsidR="00923547" w:rsidRPr="00923547">
              <w:rPr>
                <w:rFonts w:eastAsia="Times New Roman" w:cs="Times New Roman"/>
                <w:bCs/>
                <w:i/>
              </w:rPr>
              <w:t xml:space="preserve"> RET </w:t>
            </w:r>
            <w:r w:rsidRPr="009F2AA4">
              <w:rPr>
                <w:rFonts w:eastAsia="Times New Roman" w:cs="Times New Roman"/>
                <w:bCs/>
              </w:rPr>
              <w:t>status)</w:t>
            </w:r>
          </w:p>
        </w:tc>
        <w:tc>
          <w:tcPr>
            <w:tcW w:w="991" w:type="dxa"/>
            <w:vAlign w:val="center"/>
          </w:tcPr>
          <w:p w14:paraId="3C780F7B"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141/219</w:t>
            </w:r>
          </w:p>
        </w:tc>
        <w:tc>
          <w:tcPr>
            <w:tcW w:w="1802" w:type="dxa"/>
            <w:vAlign w:val="center"/>
          </w:tcPr>
          <w:p w14:paraId="3C780F7C"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26.6 (NR, NR)</w:t>
            </w:r>
          </w:p>
        </w:tc>
        <w:tc>
          <w:tcPr>
            <w:tcW w:w="991" w:type="dxa"/>
            <w:vAlign w:val="center"/>
          </w:tcPr>
          <w:p w14:paraId="3C780F7D"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71/111</w:t>
            </w:r>
          </w:p>
        </w:tc>
        <w:tc>
          <w:tcPr>
            <w:tcW w:w="1583" w:type="dxa"/>
            <w:vAlign w:val="center"/>
          </w:tcPr>
          <w:p w14:paraId="3C780F7E"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21.1 (NR, NR)</w:t>
            </w:r>
          </w:p>
        </w:tc>
        <w:tc>
          <w:tcPr>
            <w:tcW w:w="1502" w:type="dxa"/>
            <w:vAlign w:val="center"/>
          </w:tcPr>
          <w:p w14:paraId="3C780F7F"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0.85 (0.64, 1.12); 0.24</w:t>
            </w:r>
          </w:p>
        </w:tc>
      </w:tr>
      <w:tr w:rsidR="002F03F5" w:rsidRPr="009F2AA4" w14:paraId="3C780F87" w14:textId="77777777" w:rsidTr="005F43B4">
        <w:trPr>
          <w:cantSplit/>
          <w:trHeight w:val="20"/>
        </w:trPr>
        <w:tc>
          <w:tcPr>
            <w:tcW w:w="2157" w:type="dxa"/>
            <w:shd w:val="clear" w:color="auto" w:fill="E7E6E6" w:themeFill="background2"/>
            <w:vAlign w:val="center"/>
          </w:tcPr>
          <w:p w14:paraId="3C780F81" w14:textId="77777777" w:rsidR="002F03F5" w:rsidRPr="009F2AA4" w:rsidRDefault="008F23FF" w:rsidP="00921FF3">
            <w:pPr>
              <w:pStyle w:val="TableText"/>
              <w:keepNext/>
              <w:keepLines/>
              <w:widowControl/>
              <w:ind w:left="144"/>
              <w:rPr>
                <w:vertAlign w:val="superscript"/>
              </w:rPr>
            </w:pPr>
            <w:r w:rsidRPr="009F2AA4">
              <w:rPr>
                <w:rFonts w:eastAsia="Times New Roman" w:cs="Times New Roman"/>
                <w:i/>
                <w:iCs/>
              </w:rPr>
              <w:t>RET</w:t>
            </w:r>
            <w:r w:rsidRPr="009F2AA4">
              <w:rPr>
                <w:rFonts w:eastAsia="Times New Roman" w:cs="Times New Roman"/>
              </w:rPr>
              <w:t xml:space="preserve"> variant</w:t>
            </w:r>
          </w:p>
        </w:tc>
        <w:tc>
          <w:tcPr>
            <w:tcW w:w="991" w:type="dxa"/>
            <w:shd w:val="clear" w:color="auto" w:fill="E7E6E6" w:themeFill="background2"/>
            <w:vAlign w:val="center"/>
          </w:tcPr>
          <w:p w14:paraId="3C780F82" w14:textId="77777777" w:rsidR="002F03F5" w:rsidRPr="009F2AA4" w:rsidRDefault="008F23FF" w:rsidP="00921FF3">
            <w:pPr>
              <w:pStyle w:val="TableText"/>
              <w:keepNext/>
              <w:keepLines/>
              <w:widowControl/>
              <w:jc w:val="center"/>
              <w:rPr>
                <w:i/>
                <w:iCs/>
              </w:rPr>
            </w:pPr>
            <w:r w:rsidRPr="009F2AA4">
              <w:rPr>
                <w:rFonts w:eastAsia="Times New Roman" w:cs="Times New Roman"/>
              </w:rPr>
              <w:t>NR/107</w:t>
            </w:r>
          </w:p>
        </w:tc>
        <w:tc>
          <w:tcPr>
            <w:tcW w:w="1802" w:type="dxa"/>
            <w:shd w:val="clear" w:color="auto" w:fill="E7E6E6" w:themeFill="background2"/>
            <w:vAlign w:val="center"/>
          </w:tcPr>
          <w:p w14:paraId="3C780F83"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 xml:space="preserve"> NR (NR, NR)</w:t>
            </w:r>
          </w:p>
        </w:tc>
        <w:tc>
          <w:tcPr>
            <w:tcW w:w="991" w:type="dxa"/>
            <w:shd w:val="clear" w:color="auto" w:fill="E7E6E6" w:themeFill="background2"/>
            <w:vAlign w:val="center"/>
          </w:tcPr>
          <w:p w14:paraId="3C780F84" w14:textId="77777777" w:rsidR="002F03F5" w:rsidRPr="009F2AA4" w:rsidRDefault="008F23FF" w:rsidP="00921FF3">
            <w:pPr>
              <w:pStyle w:val="TableText"/>
              <w:keepNext/>
              <w:keepLines/>
              <w:widowControl/>
              <w:jc w:val="center"/>
              <w:rPr>
                <w:i/>
                <w:iCs/>
              </w:rPr>
            </w:pPr>
            <w:r w:rsidRPr="009F2AA4">
              <w:rPr>
                <w:rFonts w:eastAsia="Times New Roman" w:cs="Times New Roman"/>
              </w:rPr>
              <w:t>NR/62</w:t>
            </w:r>
          </w:p>
        </w:tc>
        <w:tc>
          <w:tcPr>
            <w:tcW w:w="1583" w:type="dxa"/>
            <w:shd w:val="clear" w:color="auto" w:fill="E7E6E6" w:themeFill="background2"/>
            <w:vAlign w:val="center"/>
          </w:tcPr>
          <w:p w14:paraId="3C780F85"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NR (NR, NR)</w:t>
            </w:r>
          </w:p>
        </w:tc>
        <w:tc>
          <w:tcPr>
            <w:tcW w:w="1502" w:type="dxa"/>
            <w:shd w:val="clear" w:color="auto" w:fill="E7E6E6" w:themeFill="background2"/>
            <w:vAlign w:val="center"/>
          </w:tcPr>
          <w:p w14:paraId="3C780F86" w14:textId="77777777" w:rsidR="002F03F5" w:rsidRPr="009F2AA4" w:rsidRDefault="008F23FF" w:rsidP="00921FF3">
            <w:pPr>
              <w:pStyle w:val="TableText"/>
              <w:keepNext/>
              <w:keepLines/>
              <w:widowControl/>
              <w:jc w:val="center"/>
              <w:rPr>
                <w:rFonts w:eastAsia="Times New Roman" w:cs="Times New Roman"/>
              </w:rPr>
            </w:pPr>
            <w:r w:rsidRPr="009F2AA4">
              <w:rPr>
                <w:rFonts w:eastAsia="Times New Roman" w:cs="Times New Roman"/>
              </w:rPr>
              <w:t xml:space="preserve">0.79 (0.54, 1.17); NR </w:t>
            </w:r>
          </w:p>
        </w:tc>
      </w:tr>
      <w:tr w:rsidR="002F03F5" w:rsidRPr="009F2AA4" w14:paraId="3C780F89" w14:textId="77777777" w:rsidTr="005F43B4">
        <w:trPr>
          <w:cantSplit/>
          <w:trHeight w:val="20"/>
        </w:trPr>
        <w:tc>
          <w:tcPr>
            <w:tcW w:w="9026" w:type="dxa"/>
            <w:gridSpan w:val="6"/>
            <w:vAlign w:val="center"/>
          </w:tcPr>
          <w:p w14:paraId="3C780F88" w14:textId="77777777" w:rsidR="002F03F5" w:rsidRPr="009F2AA4" w:rsidRDefault="008F23FF" w:rsidP="00921FF3">
            <w:pPr>
              <w:pStyle w:val="TableText"/>
              <w:keepNext/>
              <w:keepLines/>
              <w:widowControl/>
              <w:jc w:val="right"/>
              <w:rPr>
                <w:i/>
                <w:iCs/>
              </w:rPr>
            </w:pPr>
            <w:r w:rsidRPr="009F2AA4">
              <w:rPr>
                <w:rFonts w:eastAsia="Times New Roman" w:cs="Times New Roman"/>
                <w:b/>
                <w:bCs/>
              </w:rPr>
              <w:t>Base case Bucher ITC: selpercatinib LIBRETTO-531 (ITT [</w:t>
            </w:r>
            <w:r w:rsidRPr="009F2AA4">
              <w:rPr>
                <w:rFonts w:eastAsia="Times New Roman" w:cs="Times New Roman"/>
                <w:b/>
                <w:bCs/>
                <w:i/>
                <w:iCs/>
              </w:rPr>
              <w:t xml:space="preserve">RET </w:t>
            </w:r>
            <w:r w:rsidRPr="009F2AA4">
              <w:rPr>
                <w:rFonts w:eastAsia="Times New Roman" w:cs="Times New Roman"/>
                <w:b/>
                <w:bCs/>
              </w:rPr>
              <w:t>variant]) vs placebo EXAM (</w:t>
            </w:r>
            <w:r w:rsidRPr="009F2AA4">
              <w:rPr>
                <w:rFonts w:eastAsia="Times New Roman" w:cs="Times New Roman"/>
                <w:b/>
                <w:bCs/>
                <w:i/>
                <w:iCs/>
              </w:rPr>
              <w:t xml:space="preserve">RET </w:t>
            </w:r>
            <w:r w:rsidRPr="009F2AA4">
              <w:rPr>
                <w:rFonts w:eastAsia="Times New Roman" w:cs="Times New Roman"/>
                <w:b/>
                <w:bCs/>
              </w:rPr>
              <w:t>variant subgroup)</w:t>
            </w:r>
          </w:p>
        </w:tc>
      </w:tr>
      <w:tr w:rsidR="002F03F5" w:rsidRPr="009F2AA4" w14:paraId="3C780F8C" w14:textId="77777777" w:rsidTr="005F43B4">
        <w:trPr>
          <w:cantSplit/>
          <w:trHeight w:val="20"/>
        </w:trPr>
        <w:tc>
          <w:tcPr>
            <w:tcW w:w="7524" w:type="dxa"/>
            <w:gridSpan w:val="5"/>
            <w:vAlign w:val="center"/>
          </w:tcPr>
          <w:p w14:paraId="3C780F8A" w14:textId="77777777" w:rsidR="002F03F5" w:rsidRPr="009F2AA4" w:rsidRDefault="008F23FF" w:rsidP="00921FF3">
            <w:pPr>
              <w:pStyle w:val="TableText"/>
              <w:keepNext/>
              <w:keepLines/>
              <w:widowControl/>
              <w:jc w:val="right"/>
              <w:rPr>
                <w:bCs/>
              </w:rPr>
            </w:pPr>
            <w:r w:rsidRPr="009F2AA4">
              <w:rPr>
                <w:rFonts w:eastAsia="Times New Roman" w:cs="Times New Roman"/>
                <w:bCs/>
              </w:rPr>
              <w:t xml:space="preserve">Bucher ITC PFS HR </w:t>
            </w:r>
          </w:p>
        </w:tc>
        <w:tc>
          <w:tcPr>
            <w:tcW w:w="1502" w:type="dxa"/>
            <w:vAlign w:val="center"/>
          </w:tcPr>
          <w:p w14:paraId="3C780F8B" w14:textId="77777777" w:rsidR="002F03F5" w:rsidRPr="009F2AA4" w:rsidRDefault="008F23FF" w:rsidP="00921FF3">
            <w:pPr>
              <w:pStyle w:val="TableText"/>
              <w:keepNext/>
              <w:keepLines/>
              <w:widowControl/>
              <w:jc w:val="center"/>
              <w:rPr>
                <w:bCs/>
                <w:i/>
                <w:iCs/>
              </w:rPr>
            </w:pPr>
            <w:r w:rsidRPr="009F2AA4">
              <w:rPr>
                <w:rFonts w:eastAsia="Times New Roman" w:cs="Times New Roman"/>
                <w:bCs/>
              </w:rPr>
              <w:t>0.05 (0.02, 0.09)</w:t>
            </w:r>
          </w:p>
        </w:tc>
      </w:tr>
      <w:tr w:rsidR="002F03F5" w:rsidRPr="009F2AA4" w14:paraId="3C780F8F" w14:textId="77777777" w:rsidTr="005F43B4">
        <w:trPr>
          <w:cantSplit/>
          <w:trHeight w:val="20"/>
        </w:trPr>
        <w:tc>
          <w:tcPr>
            <w:tcW w:w="7524" w:type="dxa"/>
            <w:gridSpan w:val="5"/>
            <w:vAlign w:val="center"/>
          </w:tcPr>
          <w:p w14:paraId="3C780F8D" w14:textId="77777777" w:rsidR="002F03F5" w:rsidRPr="009F2AA4" w:rsidRDefault="008F23FF" w:rsidP="00921FF3">
            <w:pPr>
              <w:pStyle w:val="TableText"/>
              <w:keepNext/>
              <w:keepLines/>
              <w:widowControl/>
              <w:jc w:val="right"/>
              <w:rPr>
                <w:bCs/>
                <w:i/>
                <w:iCs/>
              </w:rPr>
            </w:pPr>
            <w:r w:rsidRPr="009F2AA4">
              <w:rPr>
                <w:rFonts w:eastAsia="Times New Roman" w:cs="Times New Roman"/>
                <w:bCs/>
              </w:rPr>
              <w:t xml:space="preserve">Bucher ITC OS HR </w:t>
            </w:r>
          </w:p>
        </w:tc>
        <w:tc>
          <w:tcPr>
            <w:tcW w:w="1502" w:type="dxa"/>
            <w:vAlign w:val="center"/>
          </w:tcPr>
          <w:p w14:paraId="3C780F8E" w14:textId="77777777" w:rsidR="002F03F5" w:rsidRPr="009F2AA4" w:rsidRDefault="008F23FF" w:rsidP="00921FF3">
            <w:pPr>
              <w:pStyle w:val="TableText"/>
              <w:keepNext/>
              <w:keepLines/>
              <w:widowControl/>
              <w:jc w:val="center"/>
              <w:rPr>
                <w:bCs/>
                <w:i/>
                <w:iCs/>
              </w:rPr>
            </w:pPr>
            <w:r w:rsidRPr="009F2AA4">
              <w:rPr>
                <w:rFonts w:eastAsia="Times New Roman" w:cs="Times New Roman"/>
                <w:bCs/>
              </w:rPr>
              <w:t>0.22 (0.09, 0.53)</w:t>
            </w:r>
          </w:p>
        </w:tc>
      </w:tr>
    </w:tbl>
    <w:p w14:paraId="3C780F90" w14:textId="77777777" w:rsidR="002F03F5" w:rsidRPr="009F2AA4" w:rsidRDefault="008F23FF" w:rsidP="00921FF3">
      <w:pPr>
        <w:pStyle w:val="TableFooter"/>
        <w:keepNext/>
        <w:keepLines/>
        <w:widowControl/>
      </w:pPr>
      <w:r w:rsidRPr="009F2AA4">
        <w:t>Source: Table 2-18, p85 of the submission (LIBRETTO-531); Table 14.2.2.1.2 Attachment 2.5 LIBRETTO-531 data tables May 2024; Table 1, Scherman 2016 (EXAM); Figure 1A and 2 pp4 5, Schlumberger 2017 (EXAM); Figure 3, p51, NICE TA516 Assessment Report</w:t>
      </w:r>
    </w:p>
    <w:p w14:paraId="3C780F91" w14:textId="77777777" w:rsidR="002F03F5" w:rsidRPr="009F2AA4" w:rsidRDefault="008F23FF" w:rsidP="00921FF3">
      <w:pPr>
        <w:pStyle w:val="TableFooter"/>
        <w:keepNext/>
        <w:keepLines/>
        <w:widowControl/>
      </w:pPr>
      <w:r w:rsidRPr="009F2AA4">
        <w:rPr>
          <w:rFonts w:eastAsia="Calibri"/>
        </w:rPr>
        <w:t xml:space="preserve">BICR = blinded independent central review; CI = confidence interval; HR = hazard ratio; ITC = indirect treatment comparison; ITT = intention to treat; n/N = number of events; </w:t>
      </w:r>
      <w:r w:rsidRPr="009F2AA4">
        <w:t xml:space="preserve">NE = not evaluable; NR = not reported; OS = overall survival; PFS = progression free survival </w:t>
      </w:r>
    </w:p>
    <w:p w14:paraId="3C780F92" w14:textId="77777777" w:rsidR="002F03F5" w:rsidRPr="009F2AA4" w:rsidRDefault="008F23FF" w:rsidP="00921FF3">
      <w:pPr>
        <w:pStyle w:val="TableFooter"/>
        <w:keepNext/>
        <w:keepLines/>
        <w:widowControl/>
      </w:pPr>
      <w:proofErr w:type="spellStart"/>
      <w:r w:rsidRPr="009F2AA4">
        <w:rPr>
          <w:vertAlign w:val="superscript"/>
        </w:rPr>
        <w:t>a</w:t>
      </w:r>
      <w:proofErr w:type="spellEnd"/>
      <w:r w:rsidRPr="009F2AA4">
        <w:t xml:space="preserve"> EXAM reported median PFS in weeks (as per Table 1, Sherman 2016), thus for comparability with the other trials, these values were converted to months by dividing by 4.345</w:t>
      </w:r>
    </w:p>
    <w:p w14:paraId="3C780F93" w14:textId="77777777" w:rsidR="002F03F5" w:rsidRPr="009F2AA4" w:rsidRDefault="008F23FF" w:rsidP="00921FF3">
      <w:pPr>
        <w:pStyle w:val="TableFooter"/>
        <w:keepNext/>
        <w:keepLines/>
        <w:widowControl/>
      </w:pPr>
      <w:r w:rsidRPr="009F2AA4">
        <w:rPr>
          <w:vertAlign w:val="superscript"/>
        </w:rPr>
        <w:t>b</w:t>
      </w:r>
      <w:r w:rsidRPr="009F2AA4">
        <w:t xml:space="preserve"> LIBRETTO-531 and EXAM reported stratified HRs based on the respective randomisation strata. </w:t>
      </w:r>
    </w:p>
    <w:p w14:paraId="3C780F94" w14:textId="77777777" w:rsidR="002F03F5" w:rsidRPr="009F2AA4" w:rsidRDefault="008F23FF" w:rsidP="00921FF3">
      <w:pPr>
        <w:pStyle w:val="TableFooter"/>
        <w:keepNext/>
        <w:keepLines/>
        <w:widowControl/>
        <w:rPr>
          <w:u w:val="single"/>
        </w:rPr>
      </w:pPr>
      <w:r w:rsidRPr="009F2AA4">
        <w:rPr>
          <w:u w:val="single"/>
        </w:rPr>
        <w:t>Notes:</w:t>
      </w:r>
    </w:p>
    <w:p w14:paraId="3C780F95" w14:textId="77777777" w:rsidR="002F03F5" w:rsidRPr="009F2AA4" w:rsidRDefault="008F23FF" w:rsidP="00921FF3">
      <w:pPr>
        <w:pStyle w:val="TableFooter"/>
        <w:keepNext/>
        <w:keepLines/>
        <w:widowControl/>
      </w:pPr>
      <w:r w:rsidRPr="009F2AA4">
        <w:rPr>
          <w:b/>
          <w:bCs/>
        </w:rPr>
        <w:t xml:space="preserve">Bold </w:t>
      </w:r>
      <w:r w:rsidRPr="009F2AA4">
        <w:t xml:space="preserve">text indicates statistically significant threshold met. Only applied to outcomes included in statistical analysis hierarchy. </w:t>
      </w:r>
    </w:p>
    <w:p w14:paraId="3C780F97" w14:textId="77777777" w:rsidR="002F03F5" w:rsidRPr="009F2AA4" w:rsidRDefault="008F23FF" w:rsidP="00921FF3">
      <w:pPr>
        <w:pStyle w:val="TableFooter"/>
        <w:keepNext/>
        <w:keepLines/>
        <w:widowControl/>
      </w:pPr>
      <w:r w:rsidRPr="009F2AA4">
        <w:t>Grey shaded cells indicate patients that informed the indirect comparison.</w:t>
      </w:r>
    </w:p>
    <w:p w14:paraId="3C780F98" w14:textId="77777777" w:rsidR="002F03F5" w:rsidRPr="009F2AA4" w:rsidRDefault="008F23FF" w:rsidP="00921FF3">
      <w:pPr>
        <w:pStyle w:val="TableFooter"/>
        <w:keepNext/>
        <w:keepLines/>
        <w:widowControl/>
      </w:pPr>
      <w:r w:rsidRPr="009F2AA4">
        <w:t xml:space="preserve">PFS in LIBRETTO-531 was according to the RECIST v1.1 and in EXAM was according to the </w:t>
      </w:r>
      <w:proofErr w:type="spellStart"/>
      <w:r w:rsidRPr="009F2AA4">
        <w:t>mRECIST</w:t>
      </w:r>
      <w:proofErr w:type="spellEnd"/>
    </w:p>
    <w:p w14:paraId="3C780F99" w14:textId="77777777" w:rsidR="002F03F5" w:rsidRPr="009F2AA4" w:rsidRDefault="008F23FF" w:rsidP="00921FF3">
      <w:pPr>
        <w:pStyle w:val="TableFooter"/>
        <w:keepNext/>
        <w:keepLines/>
        <w:widowControl/>
      </w:pPr>
      <w:r w:rsidRPr="009F2AA4">
        <w:t>Data cutoff dates and median follow up duration:</w:t>
      </w:r>
    </w:p>
    <w:p w14:paraId="3C780F9A" w14:textId="77777777" w:rsidR="002F03F5" w:rsidRPr="009F2AA4" w:rsidRDefault="008F23FF" w:rsidP="00921FF3">
      <w:pPr>
        <w:pStyle w:val="TableFooter"/>
        <w:keepNext/>
        <w:keepLines/>
        <w:widowControl/>
        <w:numPr>
          <w:ilvl w:val="0"/>
          <w:numId w:val="5"/>
        </w:numPr>
        <w:ind w:left="284" w:hanging="284"/>
      </w:pPr>
      <w:r w:rsidRPr="009F2AA4">
        <w:t>LIBRETTO-531 DCO March 2024, median follow up 17.4 22.1 months for PFS, median follow up 25 months for OS</w:t>
      </w:r>
    </w:p>
    <w:p w14:paraId="3C780F9B" w14:textId="77777777" w:rsidR="002F03F5" w:rsidRPr="009F2AA4" w:rsidRDefault="008F23FF" w:rsidP="00921FF3">
      <w:pPr>
        <w:pStyle w:val="TableFooter"/>
        <w:keepNext/>
        <w:keepLines/>
        <w:widowControl/>
        <w:numPr>
          <w:ilvl w:val="0"/>
          <w:numId w:val="5"/>
        </w:numPr>
        <w:spacing w:after="240"/>
        <w:ind w:left="284" w:hanging="284"/>
      </w:pPr>
      <w:r w:rsidRPr="009F2AA4">
        <w:t>EXAM DCO June 2011, median follow up of 13.9 months for PFS, minimum 42 months follow up for OS</w:t>
      </w:r>
    </w:p>
    <w:p w14:paraId="159EF5EC" w14:textId="37225F81" w:rsidR="001F5944" w:rsidRDefault="008F23FF" w:rsidP="00921FF3">
      <w:pPr>
        <w:pStyle w:val="3-BodyText"/>
      </w:pPr>
      <w:r w:rsidRPr="009F2AA4">
        <w:t>The PFS and OS Kaplan Meier (KM) curves from LIBRETTO-531 are shown in</w:t>
      </w:r>
      <w:r w:rsidR="001F5944">
        <w:t xml:space="preserve"> </w:t>
      </w:r>
      <w:r w:rsidR="00750DC4">
        <w:fldChar w:fldCharType="begin"/>
      </w:r>
      <w:r w:rsidR="00750DC4">
        <w:instrText xml:space="preserve"> REF _Ref226450251 \h </w:instrText>
      </w:r>
      <w:r w:rsidR="001F5944">
        <w:instrText xml:space="preserve"> \* MERGEFORMAT </w:instrText>
      </w:r>
      <w:r w:rsidR="00750DC4">
        <w:fldChar w:fldCharType="separate"/>
      </w:r>
      <w:r w:rsidR="003A3B69">
        <w:rPr>
          <w:noProof/>
        </w:rPr>
        <w:t>Figure</w:t>
      </w:r>
      <w:r w:rsidR="003A3B69">
        <w:t xml:space="preserve"> </w:t>
      </w:r>
      <w:r w:rsidR="003A3B69">
        <w:rPr>
          <w:noProof/>
        </w:rPr>
        <w:t>1</w:t>
      </w:r>
      <w:r w:rsidR="00750DC4">
        <w:fldChar w:fldCharType="end"/>
      </w:r>
      <w:r w:rsidRPr="009F2AA4">
        <w:t xml:space="preserve"> and</w:t>
      </w:r>
      <w:r w:rsidR="00750DC4">
        <w:t xml:space="preserve"> </w:t>
      </w:r>
      <w:r w:rsidR="00750DC4">
        <w:fldChar w:fldCharType="begin"/>
      </w:r>
      <w:r w:rsidR="00750DC4">
        <w:instrText xml:space="preserve"> REF _Ref225265181 \h </w:instrText>
      </w:r>
      <w:r w:rsidR="001F5944">
        <w:instrText xml:space="preserve"> \* MERGEFORMAT </w:instrText>
      </w:r>
      <w:r w:rsidR="00750DC4">
        <w:fldChar w:fldCharType="separate"/>
      </w:r>
      <w:r w:rsidR="003A3B69">
        <w:t xml:space="preserve">Figure </w:t>
      </w:r>
      <w:r w:rsidR="003A3B69">
        <w:rPr>
          <w:noProof/>
        </w:rPr>
        <w:t>2</w:t>
      </w:r>
      <w:r w:rsidR="00750DC4">
        <w:fldChar w:fldCharType="end"/>
      </w:r>
      <w:r w:rsidR="00750DC4">
        <w:t>.</w:t>
      </w:r>
      <w:r w:rsidRPr="009F2AA4">
        <w:t xml:space="preserve"> </w:t>
      </w:r>
      <w:bookmarkStart w:id="44" w:name="_Ref226450251"/>
    </w:p>
    <w:p w14:paraId="40C2D0A1" w14:textId="77777777" w:rsidR="001F5944" w:rsidRDefault="001F5944" w:rsidP="00921FF3">
      <w:pPr>
        <w:pStyle w:val="Caption"/>
      </w:pPr>
    </w:p>
    <w:p w14:paraId="51E701C1" w14:textId="4BDF98F0" w:rsidR="00FF7D4A" w:rsidRDefault="00FF7D4A" w:rsidP="00921FF3">
      <w:pPr>
        <w:pStyle w:val="Caption"/>
      </w:pPr>
      <w:r>
        <w:t xml:space="preserve">Figure </w:t>
      </w:r>
      <w:r>
        <w:fldChar w:fldCharType="begin"/>
      </w:r>
      <w:r>
        <w:instrText>SEQ Figure \* ARABIC</w:instrText>
      </w:r>
      <w:r>
        <w:fldChar w:fldCharType="separate"/>
      </w:r>
      <w:r w:rsidR="003A3B69">
        <w:rPr>
          <w:noProof/>
        </w:rPr>
        <w:t>1</w:t>
      </w:r>
      <w:r>
        <w:fldChar w:fldCharType="end"/>
      </w:r>
      <w:bookmarkEnd w:id="44"/>
      <w:r>
        <w:t>:</w:t>
      </w:r>
      <w:r w:rsidR="007E3114">
        <w:t xml:space="preserve"> </w:t>
      </w:r>
      <w:r w:rsidRPr="00A705C1">
        <w:t>PFS per RECIST v1.1 assessed by BICR KM plot in LIBRETTO-531 trial ITT (DCO March 2024)</w:t>
      </w:r>
    </w:p>
    <w:p w14:paraId="3C780F9E" w14:textId="77777777" w:rsidR="002F03F5" w:rsidRPr="009F2AA4" w:rsidRDefault="008F23FF" w:rsidP="00921FF3">
      <w:pPr>
        <w:pStyle w:val="Caption"/>
      </w:pPr>
      <w:r w:rsidRPr="009F2AA4">
        <w:rPr>
          <w:b w:val="0"/>
          <w:bCs w:val="0"/>
          <w:iCs w:val="0"/>
          <w:noProof/>
        </w:rPr>
        <w:drawing>
          <wp:inline distT="0" distB="0" distL="0" distR="0" wp14:anchorId="3C7815C7" wp14:editId="2C9D0EB7">
            <wp:extent cx="5731510" cy="2653665"/>
            <wp:effectExtent l="0" t="0" r="2540" b="0"/>
            <wp:docPr id="3" name="Picture 2" descr="Figure 1: PFS per RECIST v1.1 assessed by BICR KM plot in LIBRETTO-531 trial ITT (DCO March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Figure 1: PFS per RECIST v1.1 assessed by BICR KM plot in LIBRETTO-531 trial ITT (DCO March 2024)"/>
                    <pic:cNvPicPr>
                      <a:picLocks noChangeAspect="1" noChangeArrowheads="1"/>
                    </pic:cNvPicPr>
                  </pic:nvPicPr>
                  <pic:blipFill>
                    <a:blip r:embed="rId11"/>
                    <a:srcRect t="10677" b="19880"/>
                    <a:stretch>
                      <a:fillRect/>
                    </a:stretch>
                  </pic:blipFill>
                  <pic:spPr bwMode="auto">
                    <a:xfrm>
                      <a:off x="0" y="0"/>
                      <a:ext cx="5731510" cy="2653665"/>
                    </a:xfrm>
                    <a:prstGeom prst="rect">
                      <a:avLst/>
                    </a:prstGeom>
                    <a:noFill/>
                  </pic:spPr>
                </pic:pic>
              </a:graphicData>
            </a:graphic>
          </wp:inline>
        </w:drawing>
      </w:r>
    </w:p>
    <w:p w14:paraId="3C780F9F" w14:textId="77777777" w:rsidR="002F03F5" w:rsidRPr="009F2AA4" w:rsidRDefault="008F23FF" w:rsidP="00921FF3">
      <w:pPr>
        <w:pStyle w:val="TableFooter"/>
        <w:widowControl/>
      </w:pPr>
      <w:r w:rsidRPr="009F2AA4">
        <w:t xml:space="preserve">Source: Figure 14.2.1.1.2, Attachment “f_14_2_1_1_2” to the submission </w:t>
      </w:r>
    </w:p>
    <w:p w14:paraId="3C780FA0" w14:textId="77777777" w:rsidR="002F03F5" w:rsidRPr="009F2AA4" w:rsidRDefault="008F23FF" w:rsidP="00921FF3">
      <w:pPr>
        <w:pStyle w:val="TableFooter"/>
        <w:widowControl/>
      </w:pPr>
      <w:r w:rsidRPr="009F2AA4">
        <w:rPr>
          <w:rFonts w:eastAsia="Calibri"/>
        </w:rPr>
        <w:t xml:space="preserve">BICR = blinded independent central review; </w:t>
      </w:r>
      <w:r w:rsidRPr="009F2AA4">
        <w:t>CI = confidence interval; HR = hazard ratio; ITT = intention to treat; PFS = progression free survival; RECIST v1.1 = Response Evaluation Criteria In Solid Tumours version 1.1</w:t>
      </w:r>
    </w:p>
    <w:p w14:paraId="3C780FA1" w14:textId="77777777" w:rsidR="002F03F5" w:rsidRPr="009F2AA4" w:rsidRDefault="008F23FF" w:rsidP="00921FF3">
      <w:pPr>
        <w:pStyle w:val="TableFooter"/>
        <w:widowControl/>
      </w:pPr>
      <w:r w:rsidRPr="009F2AA4">
        <w:rPr>
          <w:vertAlign w:val="superscript"/>
        </w:rPr>
        <w:t>a</w:t>
      </w:r>
      <w:r w:rsidRPr="009F2AA4">
        <w:t xml:space="preserve"> HR – IWRS stratified HR from Cox proportional hazard model and 95% CI of selpercatinib vs cabozantinib or </w:t>
      </w:r>
      <w:proofErr w:type="spellStart"/>
      <w:r w:rsidRPr="009F2AA4">
        <w:t>vandetanib</w:t>
      </w:r>
      <w:proofErr w:type="spellEnd"/>
    </w:p>
    <w:p w14:paraId="3C780FA2" w14:textId="77777777" w:rsidR="002F03F5" w:rsidRPr="009F2AA4" w:rsidRDefault="008F23FF" w:rsidP="00921FF3">
      <w:pPr>
        <w:pStyle w:val="TableFooter"/>
        <w:widowControl/>
      </w:pPr>
      <w:r w:rsidRPr="009F2AA4">
        <w:rPr>
          <w:vertAlign w:val="superscript"/>
        </w:rPr>
        <w:t>b</w:t>
      </w:r>
      <w:r w:rsidRPr="009F2AA4">
        <w:t xml:space="preserve"> Log rank IWRS stratified p value (2 sided) for comparison of selpercatinib vs cabozantinib or </w:t>
      </w:r>
      <w:proofErr w:type="spellStart"/>
      <w:r w:rsidRPr="009F2AA4">
        <w:t>vandetanib</w:t>
      </w:r>
      <w:proofErr w:type="spellEnd"/>
    </w:p>
    <w:p w14:paraId="6C217CF5" w14:textId="4A620E86" w:rsidR="00FF7D4A" w:rsidRDefault="00FF7D4A" w:rsidP="00921FF3">
      <w:pPr>
        <w:pStyle w:val="Caption"/>
        <w:jc w:val="both"/>
      </w:pPr>
      <w:bookmarkStart w:id="45" w:name="_Ref225265181"/>
      <w:r>
        <w:t xml:space="preserve">Figure </w:t>
      </w:r>
      <w:r>
        <w:fldChar w:fldCharType="begin"/>
      </w:r>
      <w:r>
        <w:instrText>SEQ Figure \* ARABIC</w:instrText>
      </w:r>
      <w:r>
        <w:fldChar w:fldCharType="separate"/>
      </w:r>
      <w:r w:rsidR="003A3B69">
        <w:rPr>
          <w:noProof/>
        </w:rPr>
        <w:t>2</w:t>
      </w:r>
      <w:r>
        <w:fldChar w:fldCharType="end"/>
      </w:r>
      <w:bookmarkEnd w:id="45"/>
      <w:r>
        <w:t>:</w:t>
      </w:r>
      <w:r w:rsidR="007E3114">
        <w:t xml:space="preserve"> </w:t>
      </w:r>
      <w:r w:rsidRPr="006C017C">
        <w:t>OS KM plot in LIBRETTO-531 trial ITT</w:t>
      </w:r>
    </w:p>
    <w:p w14:paraId="3C780FA4" w14:textId="77777777" w:rsidR="002F03F5" w:rsidRPr="009F2AA4" w:rsidRDefault="008F23FF" w:rsidP="00921FF3">
      <w:pPr>
        <w:pStyle w:val="3-BodyText"/>
        <w:numPr>
          <w:ilvl w:val="0"/>
          <w:numId w:val="0"/>
        </w:numPr>
        <w:ind w:left="720" w:hanging="720"/>
      </w:pPr>
      <w:r w:rsidRPr="009F2AA4">
        <w:rPr>
          <w:noProof/>
        </w:rPr>
        <w:drawing>
          <wp:inline distT="0" distB="0" distL="0" distR="0" wp14:anchorId="3C7815C9" wp14:editId="41FABA7D">
            <wp:extent cx="5731510" cy="2724150"/>
            <wp:effectExtent l="0" t="0" r="2540" b="0"/>
            <wp:docPr id="4" name="Image2" descr="Figure 2: OS KM plot in LIBRETTO-531 trial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Figure 2: OS KM plot in LIBRETTO-531 trial ITT"/>
                    <pic:cNvPicPr>
                      <a:picLocks noChangeAspect="1" noChangeArrowheads="1"/>
                    </pic:cNvPicPr>
                  </pic:nvPicPr>
                  <pic:blipFill>
                    <a:blip r:embed="rId12"/>
                    <a:srcRect t="8480" b="20222"/>
                    <a:stretch>
                      <a:fillRect/>
                    </a:stretch>
                  </pic:blipFill>
                  <pic:spPr bwMode="auto">
                    <a:xfrm>
                      <a:off x="0" y="0"/>
                      <a:ext cx="5731510" cy="2724150"/>
                    </a:xfrm>
                    <a:prstGeom prst="rect">
                      <a:avLst/>
                    </a:prstGeom>
                    <a:noFill/>
                  </pic:spPr>
                </pic:pic>
              </a:graphicData>
            </a:graphic>
          </wp:inline>
        </w:drawing>
      </w:r>
    </w:p>
    <w:p w14:paraId="3C780FA5" w14:textId="77777777" w:rsidR="002F03F5" w:rsidRPr="009F2AA4" w:rsidRDefault="008F23FF" w:rsidP="00921FF3">
      <w:pPr>
        <w:pStyle w:val="TableFooter"/>
        <w:widowControl/>
      </w:pPr>
      <w:r w:rsidRPr="009F2AA4">
        <w:t xml:space="preserve">Source: Figure 14.2.2.1.2, Attachment “f_14_2_2_1_2” to the submission </w:t>
      </w:r>
    </w:p>
    <w:p w14:paraId="3C780FA6" w14:textId="77777777" w:rsidR="002F03F5" w:rsidRPr="009F2AA4" w:rsidRDefault="008F23FF" w:rsidP="00921FF3">
      <w:pPr>
        <w:pStyle w:val="TableFooter"/>
        <w:widowControl/>
        <w:rPr>
          <w:rFonts w:eastAsia="Calibri"/>
        </w:rPr>
      </w:pPr>
      <w:r w:rsidRPr="009F2AA4">
        <w:rPr>
          <w:rFonts w:eastAsia="Calibri"/>
        </w:rPr>
        <w:t>CI = confidence interval; HR = hazard ratio; ITT = intention to treat; OS = overall survival</w:t>
      </w:r>
    </w:p>
    <w:p w14:paraId="3C780FA7" w14:textId="77777777" w:rsidR="002F03F5" w:rsidRPr="009F2AA4" w:rsidRDefault="008F23FF" w:rsidP="00921FF3">
      <w:pPr>
        <w:pStyle w:val="TableFooter"/>
        <w:widowControl/>
      </w:pPr>
      <w:r w:rsidRPr="009F2AA4">
        <w:rPr>
          <w:vertAlign w:val="superscript"/>
        </w:rPr>
        <w:t>a</w:t>
      </w:r>
      <w:r w:rsidRPr="009F2AA4">
        <w:t xml:space="preserve"> HR – IWRS stratified HR from Cox proportional hazard model and 95% CI of selpercatinib vs cabozantinib or </w:t>
      </w:r>
      <w:proofErr w:type="spellStart"/>
      <w:r w:rsidRPr="009F2AA4">
        <w:t>vandetanib</w:t>
      </w:r>
      <w:proofErr w:type="spellEnd"/>
    </w:p>
    <w:p w14:paraId="3C780FA8" w14:textId="77777777" w:rsidR="002F03F5" w:rsidRPr="009F2AA4" w:rsidRDefault="008F23FF" w:rsidP="00921FF3">
      <w:pPr>
        <w:pStyle w:val="TableFooter"/>
        <w:widowControl/>
      </w:pPr>
      <w:r w:rsidRPr="009F2AA4">
        <w:rPr>
          <w:vertAlign w:val="superscript"/>
        </w:rPr>
        <w:t>b</w:t>
      </w:r>
      <w:r w:rsidRPr="009F2AA4">
        <w:t xml:space="preserve"> Log rank IWRS stratified p value (2 sided) for comparison of selpercatinib vs cabozantinib or </w:t>
      </w:r>
      <w:proofErr w:type="spellStart"/>
      <w:r w:rsidRPr="009F2AA4">
        <w:t>vandetanib</w:t>
      </w:r>
      <w:proofErr w:type="spellEnd"/>
    </w:p>
    <w:p w14:paraId="3C780FA9" w14:textId="3B731881" w:rsidR="002F03F5" w:rsidRPr="009F2AA4" w:rsidRDefault="008F23FF" w:rsidP="00921FF3">
      <w:pPr>
        <w:pStyle w:val="3-BodyText"/>
      </w:pPr>
      <w:r w:rsidRPr="009F2AA4">
        <w:t>The PFS and OS KM curves from EXAM (intention to treat [ITT] and</w:t>
      </w:r>
      <w:r w:rsidR="00923547" w:rsidRPr="00923547">
        <w:rPr>
          <w:i/>
        </w:rPr>
        <w:t xml:space="preserve"> RET </w:t>
      </w:r>
      <w:r w:rsidRPr="009F2AA4">
        <w:t xml:space="preserve">variant subgroups) are shown in </w:t>
      </w:r>
      <w:r w:rsidR="00A34F06">
        <w:fldChar w:fldCharType="begin"/>
      </w:r>
      <w:r w:rsidR="00A34F06">
        <w:instrText xml:space="preserve"> REF _Ref225265199 \h </w:instrText>
      </w:r>
      <w:r w:rsidR="00A34F06">
        <w:fldChar w:fldCharType="separate"/>
      </w:r>
      <w:r w:rsidR="003A3B69">
        <w:t xml:space="preserve">Figure </w:t>
      </w:r>
      <w:r w:rsidR="003A3B69">
        <w:rPr>
          <w:noProof/>
        </w:rPr>
        <w:t>3</w:t>
      </w:r>
      <w:r w:rsidR="00A34F06">
        <w:fldChar w:fldCharType="end"/>
      </w:r>
      <w:r w:rsidRPr="009F2AA4">
        <w:t xml:space="preserve"> and </w:t>
      </w:r>
      <w:r w:rsidR="00A34F06">
        <w:fldChar w:fldCharType="begin"/>
      </w:r>
      <w:r w:rsidR="00A34F06">
        <w:instrText xml:space="preserve"> REF _Ref225265201 \h </w:instrText>
      </w:r>
      <w:r w:rsidR="00A34F06">
        <w:fldChar w:fldCharType="separate"/>
      </w:r>
      <w:r w:rsidR="003A3B69">
        <w:t xml:space="preserve">Figure </w:t>
      </w:r>
      <w:r w:rsidR="003A3B69">
        <w:rPr>
          <w:noProof/>
        </w:rPr>
        <w:t>4</w:t>
      </w:r>
      <w:r w:rsidR="00A34F06">
        <w:fldChar w:fldCharType="end"/>
      </w:r>
      <w:r w:rsidR="001F5944">
        <w:t>.</w:t>
      </w:r>
    </w:p>
    <w:p w14:paraId="4921AD22" w14:textId="03573454" w:rsidR="00525B7B" w:rsidRDefault="00525B7B" w:rsidP="00921FF3">
      <w:pPr>
        <w:pStyle w:val="Caption"/>
        <w:rPr>
          <w:i/>
        </w:rPr>
      </w:pPr>
    </w:p>
    <w:p w14:paraId="29E818AF" w14:textId="1599012F" w:rsidR="00FF7D4A" w:rsidRDefault="00FF7D4A" w:rsidP="00921FF3">
      <w:pPr>
        <w:pStyle w:val="Caption"/>
      </w:pPr>
      <w:bookmarkStart w:id="46" w:name="_Ref225265199"/>
      <w:r>
        <w:t xml:space="preserve">Figure </w:t>
      </w:r>
      <w:r>
        <w:fldChar w:fldCharType="begin"/>
      </w:r>
      <w:r>
        <w:instrText>SEQ Figure \* ARABIC</w:instrText>
      </w:r>
      <w:r>
        <w:fldChar w:fldCharType="separate"/>
      </w:r>
      <w:r w:rsidR="003A3B69">
        <w:rPr>
          <w:noProof/>
        </w:rPr>
        <w:t>3</w:t>
      </w:r>
      <w:r>
        <w:fldChar w:fldCharType="end"/>
      </w:r>
      <w:bookmarkEnd w:id="46"/>
      <w:r>
        <w:t>:</w:t>
      </w:r>
      <w:r w:rsidR="007E3114">
        <w:t xml:space="preserve"> </w:t>
      </w:r>
      <w:r w:rsidRPr="00AA2F0D">
        <w:t>PFS KM curves in EXAM ITT population (top left) and</w:t>
      </w:r>
      <w:r w:rsidR="00923547" w:rsidRPr="00923547">
        <w:rPr>
          <w:i/>
        </w:rPr>
        <w:t xml:space="preserve"> RET </w:t>
      </w:r>
      <w:r w:rsidRPr="00AA2F0D">
        <w:t>variant (top right), wildtype (bottom left) and unknown (bottom right) subgroups (DCO April 2011)</w:t>
      </w:r>
    </w:p>
    <w:p w14:paraId="3C780FAB" w14:textId="77777777" w:rsidR="002F03F5" w:rsidRPr="009F2AA4" w:rsidRDefault="008F23FF" w:rsidP="00921FF3">
      <w:pPr>
        <w:pStyle w:val="TableText"/>
        <w:widowControl/>
      </w:pPr>
      <w:r w:rsidRPr="009F2AA4">
        <w:rPr>
          <w:noProof/>
        </w:rPr>
        <w:drawing>
          <wp:inline distT="0" distB="0" distL="0" distR="0" wp14:anchorId="3C7815CB" wp14:editId="3AD14BC4">
            <wp:extent cx="5731510" cy="3223895"/>
            <wp:effectExtent l="0" t="0" r="2540" b="0"/>
            <wp:docPr id="5" name="Graphic 1" descr="Figure 3: PFS KM curves in EXAM ITT population (top left) and RET variant (top right), wildtype (bottom left) and unknown (bottom right) subgroups (DCO April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1" descr="Figure 3: PFS KM curves in EXAM ITT population (top left) and RET variant (top right), wildtype (bottom left) and unknown (bottom right) subgroups (DCO April 2011)"/>
                    <pic:cNvPicPr>
                      <a:picLocks noChangeAspect="1" noChangeArrowheads="1"/>
                    </pic:cNvPicPr>
                  </pic:nvPicPr>
                  <pic:blipFill>
                    <a:blip r:embed="rId13">
                      <a:extLst>
                        <a:ext uri="{96DAC541-7B7A-43D3-8B79-37D633B846F1}">
                          <asvg:svgBlip xmlns:asvg="http://schemas.microsoft.com/office/drawing/2016/SVG/main" r:embed="rId14"/>
                        </a:ext>
                      </a:extLst>
                    </a:blip>
                    <a:stretch>
                      <a:fillRect/>
                    </a:stretch>
                  </pic:blipFill>
                  <pic:spPr bwMode="auto">
                    <a:xfrm>
                      <a:off x="0" y="0"/>
                      <a:ext cx="5731510" cy="3223895"/>
                    </a:xfrm>
                    <a:prstGeom prst="rect">
                      <a:avLst/>
                    </a:prstGeom>
                    <a:noFill/>
                  </pic:spPr>
                </pic:pic>
              </a:graphicData>
            </a:graphic>
          </wp:inline>
        </w:drawing>
      </w:r>
    </w:p>
    <w:p w14:paraId="3C780FAC" w14:textId="77777777" w:rsidR="002F03F5" w:rsidRPr="009F2AA4" w:rsidRDefault="008F23FF" w:rsidP="00921FF3">
      <w:pPr>
        <w:pStyle w:val="TableFooter"/>
        <w:widowControl/>
      </w:pPr>
      <w:r w:rsidRPr="009F2AA4">
        <w:t>Source: Figure 2A, p5, Elisei 2013 (EXAM) and Figure 1, p5, Sherman 2016 (EXAM)</w:t>
      </w:r>
    </w:p>
    <w:p w14:paraId="3C780FAD" w14:textId="77777777" w:rsidR="002F03F5" w:rsidRPr="009F2AA4" w:rsidRDefault="008F23FF" w:rsidP="00921FF3">
      <w:pPr>
        <w:pStyle w:val="TableFooter"/>
        <w:widowControl/>
      </w:pPr>
      <w:r w:rsidRPr="009F2AA4">
        <w:t>CI = confidence interval; HR = hazard ratio; ITT = intention to treat; KM = Kaplan Meier; n = number of patients; PFS = progression free survival</w:t>
      </w:r>
    </w:p>
    <w:p w14:paraId="3B5857D8" w14:textId="09104585" w:rsidR="00FF7D4A" w:rsidRDefault="00FF7D4A" w:rsidP="00921FF3">
      <w:pPr>
        <w:pStyle w:val="Caption"/>
      </w:pPr>
      <w:bookmarkStart w:id="47" w:name="_Ref225265201"/>
      <w:r>
        <w:t xml:space="preserve">Figure </w:t>
      </w:r>
      <w:r>
        <w:fldChar w:fldCharType="begin"/>
      </w:r>
      <w:r>
        <w:instrText>SEQ Figure \* ARABIC</w:instrText>
      </w:r>
      <w:r>
        <w:fldChar w:fldCharType="separate"/>
      </w:r>
      <w:r w:rsidR="003A3B69">
        <w:rPr>
          <w:noProof/>
        </w:rPr>
        <w:t>4</w:t>
      </w:r>
      <w:r>
        <w:fldChar w:fldCharType="end"/>
      </w:r>
      <w:bookmarkEnd w:id="47"/>
      <w:r>
        <w:t>:</w:t>
      </w:r>
      <w:r w:rsidR="007E3114">
        <w:t xml:space="preserve"> </w:t>
      </w:r>
      <w:r w:rsidRPr="00D019A0">
        <w:t>OS KM plot in EXAM ITT (DCO August 2014)</w:t>
      </w:r>
    </w:p>
    <w:p w14:paraId="3C780FAF" w14:textId="77777777" w:rsidR="002F03F5" w:rsidRPr="009F2AA4" w:rsidRDefault="008F23FF" w:rsidP="00921FF3">
      <w:pPr>
        <w:pStyle w:val="TableText"/>
        <w:widowControl/>
      </w:pPr>
      <w:r w:rsidRPr="009F2AA4">
        <w:rPr>
          <w:noProof/>
        </w:rPr>
        <w:drawing>
          <wp:inline distT="0" distB="0" distL="0" distR="0" wp14:anchorId="3C7815CD" wp14:editId="070993F5">
            <wp:extent cx="4465955" cy="2625725"/>
            <wp:effectExtent l="0" t="0" r="0" b="0"/>
            <wp:docPr id="6" name="Picture 1" descr="Figure 4: OS KM plot in EXAM ITT (DCO August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Figure 4: OS KM plot in EXAM ITT (DCO August 2014)"/>
                    <pic:cNvPicPr>
                      <a:picLocks noChangeAspect="1" noChangeArrowheads="1"/>
                    </pic:cNvPicPr>
                  </pic:nvPicPr>
                  <pic:blipFill>
                    <a:blip r:embed="rId15"/>
                    <a:stretch>
                      <a:fillRect/>
                    </a:stretch>
                  </pic:blipFill>
                  <pic:spPr bwMode="auto">
                    <a:xfrm>
                      <a:off x="0" y="0"/>
                      <a:ext cx="4465955" cy="2625725"/>
                    </a:xfrm>
                    <a:prstGeom prst="rect">
                      <a:avLst/>
                    </a:prstGeom>
                    <a:noFill/>
                  </pic:spPr>
                </pic:pic>
              </a:graphicData>
            </a:graphic>
          </wp:inline>
        </w:drawing>
      </w:r>
    </w:p>
    <w:p w14:paraId="3C780FB0" w14:textId="77777777" w:rsidR="002F03F5" w:rsidRPr="009F2AA4" w:rsidRDefault="008F23FF" w:rsidP="00921FF3">
      <w:pPr>
        <w:pStyle w:val="TableFooter"/>
        <w:widowControl/>
      </w:pPr>
      <w:r w:rsidRPr="009F2AA4">
        <w:t xml:space="preserve">Source: Figure 1A, p3, </w:t>
      </w:r>
      <w:proofErr w:type="spellStart"/>
      <w:r w:rsidRPr="009F2AA4">
        <w:t>Schlumbeger</w:t>
      </w:r>
      <w:proofErr w:type="spellEnd"/>
      <w:r w:rsidRPr="009F2AA4">
        <w:t xml:space="preserve"> 2017</w:t>
      </w:r>
    </w:p>
    <w:p w14:paraId="3C780FB1" w14:textId="77777777" w:rsidR="002F03F5" w:rsidRPr="009F2AA4" w:rsidRDefault="008F23FF" w:rsidP="00921FF3">
      <w:pPr>
        <w:pStyle w:val="TableFooter"/>
        <w:widowControl/>
      </w:pPr>
      <w:r w:rsidRPr="009F2AA4">
        <w:t>HR = hazard ratio; ITT = intention to treat; KM = Kaplan Meier; n = number of patients; OS = overall survival</w:t>
      </w:r>
    </w:p>
    <w:p w14:paraId="3C780FB2" w14:textId="77777777" w:rsidR="002F03F5" w:rsidRPr="009F2AA4" w:rsidRDefault="008F23FF" w:rsidP="00921FF3">
      <w:pPr>
        <w:pStyle w:val="TableFooter"/>
        <w:widowControl/>
      </w:pPr>
      <w:r w:rsidRPr="009F2AA4">
        <w:rPr>
          <w:vertAlign w:val="superscript"/>
        </w:rPr>
        <w:t>a</w:t>
      </w:r>
      <w:r w:rsidRPr="009F2AA4">
        <w:t xml:space="preserve"> Analyses were stratified by randomisation stratification factors</w:t>
      </w:r>
    </w:p>
    <w:p w14:paraId="3C780FB3" w14:textId="76F17601" w:rsidR="002F03F5" w:rsidRPr="0046092E" w:rsidRDefault="008F23FF" w:rsidP="00921FF3">
      <w:pPr>
        <w:pStyle w:val="3-BodyText"/>
        <w:rPr>
          <w:color w:val="3366FF"/>
        </w:rPr>
      </w:pPr>
      <w:r w:rsidRPr="009F2AA4">
        <w:t xml:space="preserve">In LIBRETTO-531, selpercatinib demonstrated a significant PFS benefit over cabozantinib or </w:t>
      </w:r>
      <w:proofErr w:type="spellStart"/>
      <w:r w:rsidRPr="009F2AA4">
        <w:t>vandetanib</w:t>
      </w:r>
      <w:proofErr w:type="spellEnd"/>
      <w:r w:rsidRPr="009F2AA4">
        <w:t xml:space="preserve"> in the ITT (</w:t>
      </w:r>
      <w:r w:rsidRPr="0046092E">
        <w:rPr>
          <w:i/>
          <w:iCs/>
        </w:rPr>
        <w:t>RET</w:t>
      </w:r>
      <w:r w:rsidRPr="009F2AA4">
        <w:t xml:space="preserve"> variant) population (hazard ratio [HR] = 0.202, 95% CI 0.128, 0.320, p&lt;0.0001); and in EXAM cabozantinib demonstrated a </w:t>
      </w:r>
      <w:r w:rsidRPr="009F2AA4">
        <w:lastRenderedPageBreak/>
        <w:t>significant PFS benefit over placebo in the ITT population (HR = 0.28, 95% CI 0.19, 0.40, p&lt;0.0001) with a consistent trend observed in the</w:t>
      </w:r>
      <w:r w:rsidR="00923547" w:rsidRPr="00923547">
        <w:rPr>
          <w:i/>
        </w:rPr>
        <w:t xml:space="preserve"> RET </w:t>
      </w:r>
      <w:r w:rsidRPr="009F2AA4">
        <w:t xml:space="preserve">variant subgroup (HR = 0.23, 95% CI 0.14, 0.38). </w:t>
      </w:r>
    </w:p>
    <w:p w14:paraId="2B11B319" w14:textId="77777777" w:rsidR="00DD2382" w:rsidRPr="0046092E" w:rsidRDefault="00930B39" w:rsidP="00921FF3">
      <w:pPr>
        <w:pStyle w:val="3-BodyText"/>
        <w:rPr>
          <w:color w:val="3366FF"/>
        </w:rPr>
      </w:pPr>
      <w:r w:rsidRPr="00AD57AA">
        <w:t>The observed HR</w:t>
      </w:r>
      <w:r w:rsidR="008E09C8" w:rsidRPr="00AD57AA">
        <w:t xml:space="preserve"> for death from any cause in LIBRETTO-531 was 0.275 with wide confidence intervals (</w:t>
      </w:r>
      <w:r w:rsidR="00124FEE" w:rsidRPr="00AD57AA">
        <w:t xml:space="preserve">95%CI: </w:t>
      </w:r>
      <w:r w:rsidR="008E09C8" w:rsidRPr="00AD57AA">
        <w:t xml:space="preserve">0.124, 0.608) due to low event rates. </w:t>
      </w:r>
      <w:r w:rsidR="008E09C8" w:rsidRPr="00AD57AA" w:rsidDel="00605393">
        <w:t xml:space="preserve">In </w:t>
      </w:r>
      <w:r w:rsidR="008E09C8" w:rsidRPr="00605393" w:rsidDel="00605393">
        <w:t>EXAM, no significant OS difference was observed (ITT HR = 0.85, 95% CI 0.64, 1.12;</w:t>
      </w:r>
      <w:r w:rsidR="008E09C8" w:rsidRPr="00EC6E9F" w:rsidDel="00605393">
        <w:rPr>
          <w:i/>
        </w:rPr>
        <w:t xml:space="preserve"> RET </w:t>
      </w:r>
      <w:r w:rsidR="008E09C8" w:rsidRPr="00605393" w:rsidDel="00605393">
        <w:t>variant subgroup: HR = 0.79, 95% CI 0.54, 1.17), however there was a trend in favour of the intervention arms.</w:t>
      </w:r>
    </w:p>
    <w:p w14:paraId="3C780FB5" w14:textId="6449988D" w:rsidR="002F03F5" w:rsidRPr="009F2AA4" w:rsidRDefault="00CC17C4" w:rsidP="00921FF3">
      <w:pPr>
        <w:pStyle w:val="3-BodyText"/>
        <w:rPr>
          <w:color w:val="3366FF"/>
        </w:rPr>
      </w:pPr>
      <w:r>
        <w:t>In LIBRETTO-531, t</w:t>
      </w:r>
      <w:r w:rsidR="008F23FF" w:rsidRPr="009F2AA4">
        <w:t xml:space="preserve">he overall response rate </w:t>
      </w:r>
      <w:r w:rsidR="00F4716C">
        <w:t xml:space="preserve">(ORR) </w:t>
      </w:r>
      <w:r w:rsidR="008F23FF" w:rsidRPr="009F2AA4">
        <w:t xml:space="preserve">was higher in the selpercatinib arm (159/193 [82.3%]) compared to the cabozantinib or </w:t>
      </w:r>
      <w:proofErr w:type="spellStart"/>
      <w:r w:rsidR="008F23FF" w:rsidRPr="009F2AA4">
        <w:t>vandetanib</w:t>
      </w:r>
      <w:proofErr w:type="spellEnd"/>
      <w:r w:rsidR="008F23FF" w:rsidRPr="009F2AA4">
        <w:t xml:space="preserve"> arm (43/98 [43.9%]; odds ratio [OR] = 6.0, 95% CI 3.5, 10.4); risk difference [RD] = 0.39, 95% CI 0.27, 0.50).</w:t>
      </w:r>
    </w:p>
    <w:p w14:paraId="3C780FB6" w14:textId="699D27AD" w:rsidR="002F03F5" w:rsidRPr="00F43FA7" w:rsidRDefault="008F23FF" w:rsidP="00921FF3">
      <w:pPr>
        <w:pStyle w:val="3-BodyText"/>
      </w:pPr>
      <w:bookmarkStart w:id="48" w:name="_Ref216649426"/>
      <w:r w:rsidRPr="00F43FA7">
        <w:t xml:space="preserve">In the Bucher ITC using cabozantinib or </w:t>
      </w:r>
      <w:proofErr w:type="spellStart"/>
      <w:r w:rsidRPr="00F43FA7">
        <w:t>vandetanib</w:t>
      </w:r>
      <w:proofErr w:type="spellEnd"/>
      <w:r w:rsidRPr="00F43FA7">
        <w:t xml:space="preserve"> as the common reference, selpercatinib demonstrated improved PFS (HR = 0.05, 95% CI 0.02, 0.09) and OS (HR = 0.22, 95% CI 0.09, 0.53) compared to placebo. In EXAM, while the point estimate </w:t>
      </w:r>
      <w:r w:rsidR="00E44578">
        <w:t xml:space="preserve">of the </w:t>
      </w:r>
      <w:r w:rsidRPr="00F43FA7">
        <w:t>HR</w:t>
      </w:r>
      <w:r w:rsidR="00743C86">
        <w:t>s</w:t>
      </w:r>
      <w:r w:rsidR="00E44578">
        <w:t xml:space="preserve"> for OS</w:t>
      </w:r>
      <w:r w:rsidRPr="00F43FA7">
        <w:t xml:space="preserve"> trended in favour of cabozantinib, a significant OS difference was not demonstrated against placebo</w:t>
      </w:r>
      <w:r w:rsidR="008E09C8">
        <w:t xml:space="preserve">. </w:t>
      </w:r>
      <w:r w:rsidRPr="00F43FA7">
        <w:t>As such, the evaluation considered that a conservative approach of assuming no survival difference between cabozantinib/</w:t>
      </w:r>
      <w:proofErr w:type="spellStart"/>
      <w:r w:rsidRPr="00F43FA7">
        <w:t>vandetanib</w:t>
      </w:r>
      <w:proofErr w:type="spellEnd"/>
      <w:r w:rsidRPr="00F43FA7">
        <w:t xml:space="preserve"> and placebo (i.e., OS HR = 1) meant that for the indirect comparison of selpercatinib vs placebo</w:t>
      </w:r>
      <w:bookmarkEnd w:id="48"/>
      <w:r w:rsidRPr="00F43FA7">
        <w:t>, the OS HR would default to that observed in LIBRETTO-531 (</w:t>
      </w:r>
      <w:r w:rsidR="002F7225">
        <w:t>i</w:t>
      </w:r>
      <w:r w:rsidR="00D077E1">
        <w:t>.</w:t>
      </w:r>
      <w:r w:rsidR="002F7225">
        <w:t>e</w:t>
      </w:r>
      <w:r w:rsidR="00D077E1">
        <w:t>.,</w:t>
      </w:r>
      <w:r w:rsidR="002F7225">
        <w:t xml:space="preserve"> </w:t>
      </w:r>
      <w:r w:rsidRPr="00F43FA7">
        <w:t>OS HR = 0.275, 95% CI 0.124, 0.608).</w:t>
      </w:r>
      <w:r w:rsidR="007E3114">
        <w:t xml:space="preserve"> </w:t>
      </w:r>
    </w:p>
    <w:p w14:paraId="3C780FB7" w14:textId="0639CA68" w:rsidR="002F03F5" w:rsidRPr="0091376E" w:rsidRDefault="008F23FF" w:rsidP="00921FF3">
      <w:pPr>
        <w:pStyle w:val="3-BodyText"/>
      </w:pPr>
      <w:bookmarkStart w:id="49" w:name="_Ref225336956"/>
      <w:bookmarkStart w:id="50" w:name="_Ref222210033"/>
      <w:bookmarkStart w:id="51" w:name="_Ref222240638"/>
      <w:r w:rsidRPr="0091376E">
        <w:t xml:space="preserve">The PSCR </w:t>
      </w:r>
      <w:r w:rsidR="00551F1C">
        <w:t xml:space="preserve">and Pre-PBAC response </w:t>
      </w:r>
      <w:r w:rsidRPr="0091376E">
        <w:t xml:space="preserve">maintained that the ITC OS HR was appropriate to inform the comparative treatment effect of selpercatinib vs placebo, as there is likely a modest benefit of cabozantinib over placebo which </w:t>
      </w:r>
      <w:r w:rsidR="00336D36">
        <w:t>EXAM</w:t>
      </w:r>
      <w:r w:rsidRPr="0091376E">
        <w:t xml:space="preserve"> was not powered to detect</w:t>
      </w:r>
      <w:r w:rsidR="00E83C7E">
        <w:t>.</w:t>
      </w:r>
      <w:r w:rsidRPr="0091376E">
        <w:t xml:space="preserve"> Further, the PSCR noted that the </w:t>
      </w:r>
      <w:r w:rsidR="009D5461">
        <w:t>assumption</w:t>
      </w:r>
      <w:r w:rsidR="001770E9" w:rsidRPr="0091376E">
        <w:t xml:space="preserve"> </w:t>
      </w:r>
      <w:r w:rsidRPr="0091376E">
        <w:t>that the OS of cabozantinib is the same as placebo would disregard the ITC analysis, resulting in a naïve indirect comparison of selpercatinib to placebo. The ESCs considered that given the available evidence, the OS estimate from EXAM was uncertain and assuming a survival difference in EXAM to inform the ITC of selpercatinib vs placebo potentially overestimated the OS benefit of selpercatinib.</w:t>
      </w:r>
      <w:bookmarkEnd w:id="49"/>
      <w:r w:rsidR="007E3114">
        <w:t xml:space="preserve"> </w:t>
      </w:r>
      <w:bookmarkEnd w:id="50"/>
      <w:bookmarkEnd w:id="51"/>
    </w:p>
    <w:p w14:paraId="3C780FB8" w14:textId="77777777" w:rsidR="002F03F5" w:rsidRPr="00D10830" w:rsidRDefault="008F23FF" w:rsidP="00921FF3">
      <w:pPr>
        <w:pStyle w:val="3-BodyText"/>
        <w:rPr>
          <w:color w:val="3366FF"/>
        </w:rPr>
      </w:pPr>
      <w:bookmarkStart w:id="52" w:name="_Ref216623328"/>
      <w:r w:rsidRPr="00D10830">
        <w:t>The evaluation and the ESCs considered the ITC results alongside transitivity concerns:</w:t>
      </w:r>
      <w:bookmarkEnd w:id="52"/>
      <w:r w:rsidRPr="00D10830">
        <w:t xml:space="preserve"> </w:t>
      </w:r>
    </w:p>
    <w:p w14:paraId="3C780FB9" w14:textId="2EEC9536" w:rsidR="002F03F5" w:rsidRPr="009F2AA4" w:rsidRDefault="008F23FF" w:rsidP="00921FF3">
      <w:pPr>
        <w:pStyle w:val="MainBodyBulletPoint"/>
      </w:pPr>
      <w:r w:rsidRPr="009F2AA4">
        <w:t xml:space="preserve">The magnitude of benefit was potentially overestimated given that a higher proportion of patients from EXAM had metastatic disease (86.9% [287/330] vs 76.9% [224/291]), received prior systemic therapies (38.7% [128/330] vs 2.1% [6/291]) and prior radiotherapy (49.1% [162/330] vs 33.3% [97/291]) compared to LIBRETTO-531 (see paragraph </w:t>
      </w:r>
      <w:r w:rsidRPr="009F2AA4">
        <w:fldChar w:fldCharType="begin"/>
      </w:r>
      <w:r w:rsidRPr="009F2AA4">
        <w:instrText xml:space="preserve"> REF _Ref222212361 \r \r \h </w:instrText>
      </w:r>
      <w:r w:rsidRPr="009F2AA4">
        <w:fldChar w:fldCharType="separate"/>
      </w:r>
      <w:r w:rsidR="001617F9">
        <w:t>6.12</w:t>
      </w:r>
      <w:r w:rsidRPr="009F2AA4">
        <w:fldChar w:fldCharType="end"/>
      </w:r>
      <w:r w:rsidRPr="009F2AA4">
        <w:t xml:space="preserve">). </w:t>
      </w:r>
    </w:p>
    <w:p w14:paraId="3C780FBB" w14:textId="47A336F7" w:rsidR="002F03F5" w:rsidRDefault="008F23FF" w:rsidP="00921FF3">
      <w:pPr>
        <w:pStyle w:val="MainBodyBulletPoint"/>
      </w:pPr>
      <w:r w:rsidRPr="009F2AA4">
        <w:t xml:space="preserve">The issues pertaining to OS from LIBRETTO-531 carried through to the ITC results (i.e., immature OS data, crossover to selpercatinib, and continued treatment with selpercatinib beyond disease progression. See paragraphs </w:t>
      </w:r>
      <w:r w:rsidRPr="009F2AA4">
        <w:fldChar w:fldCharType="begin"/>
      </w:r>
      <w:r w:rsidRPr="009F2AA4">
        <w:instrText xml:space="preserve"> REF _Ref222212313 \r \r \h </w:instrText>
      </w:r>
      <w:r w:rsidRPr="009F2AA4">
        <w:fldChar w:fldCharType="separate"/>
      </w:r>
      <w:r w:rsidR="001617F9">
        <w:t>6.13</w:t>
      </w:r>
      <w:r w:rsidRPr="009F2AA4">
        <w:fldChar w:fldCharType="end"/>
      </w:r>
      <w:r w:rsidR="00C03132">
        <w:t xml:space="preserve"> and</w:t>
      </w:r>
      <w:r w:rsidRPr="009F2AA4">
        <w:t xml:space="preserve"> </w:t>
      </w:r>
      <w:r w:rsidRPr="009F2AA4">
        <w:fldChar w:fldCharType="begin"/>
      </w:r>
      <w:r w:rsidRPr="009F2AA4">
        <w:instrText xml:space="preserve"> REF _Ref222210033 \r \r \h </w:instrText>
      </w:r>
      <w:r w:rsidRPr="009F2AA4">
        <w:fldChar w:fldCharType="separate"/>
      </w:r>
      <w:r w:rsidR="001617F9">
        <w:t>6.22</w:t>
      </w:r>
      <w:r w:rsidRPr="009F2AA4">
        <w:fldChar w:fldCharType="end"/>
      </w:r>
      <w:r w:rsidRPr="009F2AA4">
        <w:t>).</w:t>
      </w:r>
    </w:p>
    <w:p w14:paraId="690A796A" w14:textId="692E776F" w:rsidR="009709CF" w:rsidRPr="00DF712D" w:rsidRDefault="00DF712D" w:rsidP="00921FF3">
      <w:pPr>
        <w:pStyle w:val="3-BodyText"/>
      </w:pPr>
      <w:bookmarkStart w:id="53" w:name="_Ref226898591"/>
      <w:r w:rsidRPr="00D858F9">
        <w:t>LIBRETTO-531 and EXAM included more patients with metastatic disease compared to patients expected in clinical practice</w:t>
      </w:r>
      <w:r w:rsidR="000330EE">
        <w:t xml:space="preserve"> </w:t>
      </w:r>
      <w:r w:rsidRPr="00D858F9">
        <w:t xml:space="preserve">(76.9-86.9% </w:t>
      </w:r>
      <w:r w:rsidR="000330EE">
        <w:t xml:space="preserve">in trials </w:t>
      </w:r>
      <w:r w:rsidRPr="00D858F9">
        <w:t>vs 9% at presentation [Papachristos 2023]</w:t>
      </w:r>
      <w:r w:rsidR="00F42E1F">
        <w:t xml:space="preserve"> and 52% at recurrence [Kesby 2022], see paragraph </w:t>
      </w:r>
      <w:r w:rsidR="000330EE">
        <w:fldChar w:fldCharType="begin"/>
      </w:r>
      <w:r w:rsidR="000330EE">
        <w:instrText xml:space="preserve"> REF _Ref226897888 \r \h </w:instrText>
      </w:r>
      <w:r w:rsidR="000330EE">
        <w:fldChar w:fldCharType="separate"/>
      </w:r>
      <w:r w:rsidR="001617F9">
        <w:t>4.3</w:t>
      </w:r>
      <w:r w:rsidR="000330EE">
        <w:fldChar w:fldCharType="end"/>
      </w:r>
      <w:r w:rsidRPr="00D858F9">
        <w:t>).</w:t>
      </w:r>
      <w:bookmarkEnd w:id="53"/>
    </w:p>
    <w:p w14:paraId="3C780FBD" w14:textId="77777777" w:rsidR="002F03F5" w:rsidRPr="009F2AA4" w:rsidRDefault="008F23FF" w:rsidP="00921FF3">
      <w:pPr>
        <w:pStyle w:val="PBACESHeading2"/>
        <w:spacing w:before="200" w:afterLines="100" w:after="240"/>
        <w:ind w:left="862" w:hanging="862"/>
        <w:rPr>
          <w:rFonts w:ascii="Calibri" w:hAnsi="Calibri" w:cs="Calibri"/>
        </w:rPr>
      </w:pPr>
      <w:bookmarkStart w:id="54" w:name="_Toc433202796"/>
      <w:bookmarkStart w:id="55" w:name="_Toc487029168"/>
      <w:bookmarkStart w:id="56" w:name="_Toc219898327"/>
      <w:bookmarkEnd w:id="54"/>
      <w:bookmarkEnd w:id="55"/>
      <w:r w:rsidRPr="009F2AA4">
        <w:rPr>
          <w:rFonts w:ascii="Calibri" w:hAnsi="Calibri" w:cs="Calibri"/>
        </w:rPr>
        <w:lastRenderedPageBreak/>
        <w:t>Comparative harms</w:t>
      </w:r>
      <w:bookmarkEnd w:id="56"/>
    </w:p>
    <w:p w14:paraId="1800EEF8" w14:textId="790805B5" w:rsidR="00E17273" w:rsidRDefault="008F23FF" w:rsidP="00921FF3">
      <w:pPr>
        <w:pStyle w:val="3-BodyText"/>
      </w:pPr>
      <w:r w:rsidRPr="009F2AA4">
        <w:t xml:space="preserve">A summary of safety results in LIBRETTO-531 and EXAM (safety analysis sets) is presented in </w:t>
      </w:r>
      <w:r w:rsidR="00FD3107">
        <w:fldChar w:fldCharType="begin"/>
      </w:r>
      <w:r w:rsidR="00FD3107">
        <w:instrText xml:space="preserve"> REF _Ref225336346 \h </w:instrText>
      </w:r>
      <w:r w:rsidR="00FD3107">
        <w:fldChar w:fldCharType="separate"/>
      </w:r>
      <w:r w:rsidR="003A3B69">
        <w:t xml:space="preserve">Table </w:t>
      </w:r>
      <w:r w:rsidR="003A3B69">
        <w:rPr>
          <w:noProof/>
        </w:rPr>
        <w:t>7</w:t>
      </w:r>
      <w:r w:rsidR="00FD3107">
        <w:fldChar w:fldCharType="end"/>
      </w:r>
      <w:r w:rsidRPr="009F2AA4">
        <w:t>.</w:t>
      </w:r>
    </w:p>
    <w:p w14:paraId="7A66BDA5" w14:textId="625F2336" w:rsidR="00E17273" w:rsidRDefault="00E17273" w:rsidP="00921FF3">
      <w:pPr>
        <w:pStyle w:val="Caption"/>
      </w:pPr>
      <w:bookmarkStart w:id="57" w:name="_Ref225336346"/>
      <w:r>
        <w:t xml:space="preserve">Table </w:t>
      </w:r>
      <w:r>
        <w:fldChar w:fldCharType="begin"/>
      </w:r>
      <w:r>
        <w:instrText>SEQ Table \* ARABIC</w:instrText>
      </w:r>
      <w:r>
        <w:fldChar w:fldCharType="separate"/>
      </w:r>
      <w:r w:rsidR="003A3B69">
        <w:rPr>
          <w:noProof/>
        </w:rPr>
        <w:t>7</w:t>
      </w:r>
      <w:r>
        <w:fldChar w:fldCharType="end"/>
      </w:r>
      <w:bookmarkEnd w:id="57"/>
      <w:r>
        <w:t>:</w:t>
      </w:r>
      <w:r w:rsidR="007E3114">
        <w:t xml:space="preserve"> </w:t>
      </w:r>
      <w:r w:rsidRPr="005972AD">
        <w:t>Summary of safety results LIBRETTO-531 and EXAM (SAS)</w:t>
      </w:r>
    </w:p>
    <w:tbl>
      <w:tblPr>
        <w:tblW w:w="5000" w:type="pct"/>
        <w:tblLayout w:type="fixed"/>
        <w:tblCellMar>
          <w:left w:w="5" w:type="dxa"/>
          <w:right w:w="5" w:type="dxa"/>
        </w:tblCellMar>
        <w:tblLook w:val="04A0" w:firstRow="1" w:lastRow="0" w:firstColumn="1" w:lastColumn="0" w:noHBand="0" w:noVBand="1"/>
      </w:tblPr>
      <w:tblGrid>
        <w:gridCol w:w="2895"/>
        <w:gridCol w:w="1529"/>
        <w:gridCol w:w="1532"/>
        <w:gridCol w:w="1529"/>
        <w:gridCol w:w="1531"/>
      </w:tblGrid>
      <w:tr w:rsidR="002F03F5" w:rsidRPr="009F2AA4" w14:paraId="3C780FC3" w14:textId="77777777" w:rsidTr="00046D8F">
        <w:trPr>
          <w:tblHeader/>
        </w:trPr>
        <w:tc>
          <w:tcPr>
            <w:tcW w:w="2897" w:type="dxa"/>
            <w:tcBorders>
              <w:top w:val="single" w:sz="4" w:space="0" w:color="000000"/>
              <w:left w:val="single" w:sz="4" w:space="0" w:color="000000"/>
              <w:bottom w:val="single" w:sz="4" w:space="0" w:color="000000"/>
              <w:right w:val="single" w:sz="4" w:space="0" w:color="000000"/>
            </w:tcBorders>
            <w:vAlign w:val="center"/>
          </w:tcPr>
          <w:p w14:paraId="3C780FC0" w14:textId="77777777" w:rsidR="002F03F5" w:rsidRPr="009F2AA4" w:rsidRDefault="002F03F5" w:rsidP="00921FF3">
            <w:pPr>
              <w:pStyle w:val="TableRowHeader"/>
              <w:widowControl/>
              <w:rPr>
                <w:lang w:eastAsia="en-AU"/>
              </w:rPr>
            </w:pPr>
          </w:p>
        </w:tc>
        <w:tc>
          <w:tcPr>
            <w:tcW w:w="3065" w:type="dxa"/>
            <w:gridSpan w:val="2"/>
            <w:tcBorders>
              <w:top w:val="single" w:sz="4" w:space="0" w:color="000000"/>
              <w:left w:val="single" w:sz="4" w:space="0" w:color="000000"/>
              <w:bottom w:val="single" w:sz="4" w:space="0" w:color="000000"/>
              <w:right w:val="single" w:sz="4" w:space="0" w:color="000000"/>
            </w:tcBorders>
            <w:vAlign w:val="center"/>
          </w:tcPr>
          <w:p w14:paraId="3C780FC1" w14:textId="77777777" w:rsidR="002F03F5" w:rsidRPr="009F2AA4" w:rsidRDefault="008F23FF" w:rsidP="00921FF3">
            <w:pPr>
              <w:pStyle w:val="TableRowHeader"/>
              <w:widowControl/>
              <w:rPr>
                <w:lang w:eastAsia="en-AU"/>
              </w:rPr>
            </w:pPr>
            <w:r w:rsidRPr="009F2AA4">
              <w:rPr>
                <w:lang w:eastAsia="en-AU"/>
              </w:rPr>
              <w:t>LIBRETTO-531</w:t>
            </w:r>
          </w:p>
        </w:tc>
        <w:tc>
          <w:tcPr>
            <w:tcW w:w="3064" w:type="dxa"/>
            <w:gridSpan w:val="2"/>
            <w:tcBorders>
              <w:top w:val="single" w:sz="4" w:space="0" w:color="000000"/>
              <w:left w:val="single" w:sz="4" w:space="0" w:color="000000"/>
              <w:bottom w:val="single" w:sz="4" w:space="0" w:color="000000"/>
              <w:right w:val="single" w:sz="4" w:space="0" w:color="000000"/>
            </w:tcBorders>
            <w:vAlign w:val="center"/>
          </w:tcPr>
          <w:p w14:paraId="3C780FC2" w14:textId="77777777" w:rsidR="002F03F5" w:rsidRPr="009F2AA4" w:rsidRDefault="008F23FF" w:rsidP="00921FF3">
            <w:pPr>
              <w:pStyle w:val="TableRowHeader"/>
              <w:widowControl/>
              <w:rPr>
                <w:vertAlign w:val="superscript"/>
                <w:lang w:eastAsia="en-AU"/>
              </w:rPr>
            </w:pPr>
            <w:r w:rsidRPr="009F2AA4">
              <w:rPr>
                <w:lang w:eastAsia="en-AU"/>
              </w:rPr>
              <w:t xml:space="preserve">EXAM </w:t>
            </w:r>
          </w:p>
        </w:tc>
      </w:tr>
      <w:tr w:rsidR="002F03F5" w:rsidRPr="009F2AA4" w14:paraId="3C780FCC" w14:textId="77777777" w:rsidTr="00046D8F">
        <w:trPr>
          <w:tblHeader/>
        </w:trPr>
        <w:tc>
          <w:tcPr>
            <w:tcW w:w="2897" w:type="dxa"/>
            <w:tcBorders>
              <w:top w:val="single" w:sz="4" w:space="0" w:color="000000"/>
              <w:left w:val="single" w:sz="4" w:space="0" w:color="000000"/>
              <w:bottom w:val="single" w:sz="4" w:space="0" w:color="000000"/>
              <w:right w:val="single" w:sz="4" w:space="0" w:color="000000"/>
            </w:tcBorders>
            <w:vAlign w:val="center"/>
          </w:tcPr>
          <w:p w14:paraId="3C780FC4" w14:textId="77777777" w:rsidR="002F03F5" w:rsidRPr="009F2AA4" w:rsidRDefault="008F23FF" w:rsidP="00921FF3">
            <w:pPr>
              <w:pStyle w:val="TableRowHeader"/>
              <w:widowControl/>
              <w:rPr>
                <w:lang w:eastAsia="en-AU"/>
              </w:rPr>
            </w:pPr>
            <w:r w:rsidRPr="009F2AA4">
              <w:rPr>
                <w:lang w:eastAsia="en-AU"/>
              </w:rPr>
              <w:t>AE</w:t>
            </w:r>
          </w:p>
        </w:tc>
        <w:tc>
          <w:tcPr>
            <w:tcW w:w="1531" w:type="dxa"/>
            <w:tcBorders>
              <w:top w:val="single" w:sz="4" w:space="0" w:color="000000"/>
              <w:left w:val="single" w:sz="4" w:space="0" w:color="000000"/>
              <w:bottom w:val="single" w:sz="4" w:space="0" w:color="000000"/>
              <w:right w:val="single" w:sz="4" w:space="0" w:color="000000"/>
            </w:tcBorders>
            <w:vAlign w:val="center"/>
          </w:tcPr>
          <w:p w14:paraId="3C780FC5" w14:textId="77777777" w:rsidR="002F03F5" w:rsidRPr="009F2AA4" w:rsidRDefault="008F23FF" w:rsidP="00921FF3">
            <w:pPr>
              <w:pStyle w:val="TableRowHeader"/>
              <w:widowControl/>
              <w:rPr>
                <w:lang w:eastAsia="en-AU"/>
              </w:rPr>
            </w:pPr>
            <w:r w:rsidRPr="009F2AA4">
              <w:rPr>
                <w:lang w:eastAsia="en-AU"/>
              </w:rPr>
              <w:t>SELP</w:t>
            </w:r>
          </w:p>
          <w:p w14:paraId="3C780FC6" w14:textId="77777777" w:rsidR="002F03F5" w:rsidRPr="009F2AA4" w:rsidRDefault="008F23FF" w:rsidP="00921FF3">
            <w:pPr>
              <w:pStyle w:val="TableRowHeader"/>
              <w:widowControl/>
              <w:rPr>
                <w:lang w:eastAsia="en-AU"/>
              </w:rPr>
            </w:pPr>
            <w:r w:rsidRPr="009F2AA4">
              <w:rPr>
                <w:lang w:eastAsia="en-AU"/>
              </w:rPr>
              <w:t>(N=193)</w:t>
            </w:r>
          </w:p>
        </w:tc>
        <w:tc>
          <w:tcPr>
            <w:tcW w:w="1534" w:type="dxa"/>
            <w:tcBorders>
              <w:top w:val="single" w:sz="4" w:space="0" w:color="000000"/>
              <w:left w:val="single" w:sz="4" w:space="0" w:color="000000"/>
              <w:bottom w:val="single" w:sz="4" w:space="0" w:color="000000"/>
              <w:right w:val="single" w:sz="4" w:space="0" w:color="000000"/>
            </w:tcBorders>
            <w:vAlign w:val="center"/>
          </w:tcPr>
          <w:p w14:paraId="3C780FC7" w14:textId="77777777" w:rsidR="002F03F5" w:rsidRPr="009F2AA4" w:rsidRDefault="008F23FF" w:rsidP="00921FF3">
            <w:pPr>
              <w:pStyle w:val="TableRowHeader"/>
              <w:widowControl/>
              <w:rPr>
                <w:lang w:eastAsia="en-AU"/>
              </w:rPr>
            </w:pPr>
            <w:r w:rsidRPr="009F2AA4">
              <w:rPr>
                <w:lang w:eastAsia="en-AU"/>
              </w:rPr>
              <w:t>CABO/VAND (N=97)</w:t>
            </w:r>
          </w:p>
        </w:tc>
        <w:tc>
          <w:tcPr>
            <w:tcW w:w="1531" w:type="dxa"/>
            <w:tcBorders>
              <w:top w:val="single" w:sz="4" w:space="0" w:color="000000"/>
              <w:left w:val="single" w:sz="4" w:space="0" w:color="000000"/>
              <w:bottom w:val="single" w:sz="4" w:space="0" w:color="000000"/>
              <w:right w:val="single" w:sz="4" w:space="0" w:color="000000"/>
            </w:tcBorders>
            <w:vAlign w:val="center"/>
          </w:tcPr>
          <w:p w14:paraId="3C780FC8" w14:textId="77777777" w:rsidR="002F03F5" w:rsidRPr="009F2AA4" w:rsidRDefault="008F23FF" w:rsidP="00921FF3">
            <w:pPr>
              <w:pStyle w:val="TableRowHeader"/>
              <w:widowControl/>
              <w:rPr>
                <w:lang w:eastAsia="en-AU"/>
              </w:rPr>
            </w:pPr>
            <w:r w:rsidRPr="009F2AA4">
              <w:rPr>
                <w:lang w:eastAsia="en-AU"/>
              </w:rPr>
              <w:t>CABO</w:t>
            </w:r>
          </w:p>
          <w:p w14:paraId="3C780FC9" w14:textId="77777777" w:rsidR="002F03F5" w:rsidRPr="009F2AA4" w:rsidRDefault="008F23FF" w:rsidP="00921FF3">
            <w:pPr>
              <w:pStyle w:val="TableRowHeader"/>
              <w:widowControl/>
              <w:rPr>
                <w:lang w:eastAsia="en-AU"/>
              </w:rPr>
            </w:pPr>
            <w:r w:rsidRPr="009F2AA4">
              <w:rPr>
                <w:lang w:eastAsia="en-AU"/>
              </w:rPr>
              <w:t>(N=214)</w:t>
            </w:r>
          </w:p>
        </w:tc>
        <w:tc>
          <w:tcPr>
            <w:tcW w:w="1533" w:type="dxa"/>
            <w:tcBorders>
              <w:top w:val="single" w:sz="4" w:space="0" w:color="000000"/>
              <w:left w:val="single" w:sz="4" w:space="0" w:color="000000"/>
              <w:bottom w:val="single" w:sz="4" w:space="0" w:color="000000"/>
              <w:right w:val="single" w:sz="4" w:space="0" w:color="000000"/>
            </w:tcBorders>
            <w:vAlign w:val="center"/>
          </w:tcPr>
          <w:p w14:paraId="3C780FCA" w14:textId="77777777" w:rsidR="002F03F5" w:rsidRPr="009F2AA4" w:rsidRDefault="008F23FF" w:rsidP="00921FF3">
            <w:pPr>
              <w:pStyle w:val="TableRowHeader"/>
              <w:widowControl/>
              <w:rPr>
                <w:lang w:eastAsia="en-AU"/>
              </w:rPr>
            </w:pPr>
            <w:r w:rsidRPr="009F2AA4">
              <w:rPr>
                <w:lang w:eastAsia="en-AU"/>
              </w:rPr>
              <w:t xml:space="preserve">PBO </w:t>
            </w:r>
          </w:p>
          <w:p w14:paraId="3C780FCB" w14:textId="77777777" w:rsidR="002F03F5" w:rsidRPr="009F2AA4" w:rsidRDefault="008F23FF" w:rsidP="00921FF3">
            <w:pPr>
              <w:pStyle w:val="TableRowHeader"/>
              <w:widowControl/>
              <w:rPr>
                <w:lang w:eastAsia="en-AU"/>
              </w:rPr>
            </w:pPr>
            <w:r w:rsidRPr="009F2AA4">
              <w:rPr>
                <w:lang w:eastAsia="en-AU"/>
              </w:rPr>
              <w:t>(N=109)</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7: Summary of safety results LIBRETTO-531 and EXAM (SAS)"/>
      </w:tblPr>
      <w:tblGrid>
        <w:gridCol w:w="2895"/>
        <w:gridCol w:w="1530"/>
        <w:gridCol w:w="1531"/>
        <w:gridCol w:w="1529"/>
        <w:gridCol w:w="1531"/>
      </w:tblGrid>
      <w:tr w:rsidR="00476A25" w:rsidRPr="009F2AA4" w14:paraId="3C780FD2" w14:textId="77777777" w:rsidTr="0009661B">
        <w:tc>
          <w:tcPr>
            <w:tcW w:w="1605" w:type="pct"/>
            <w:vAlign w:val="center"/>
          </w:tcPr>
          <w:p w14:paraId="3C780FCD" w14:textId="77777777" w:rsidR="002F03F5" w:rsidRPr="009F2AA4" w:rsidRDefault="008F23FF" w:rsidP="00921FF3">
            <w:pPr>
              <w:pStyle w:val="TableText"/>
              <w:widowControl/>
              <w:rPr>
                <w:lang w:eastAsia="en-AU"/>
              </w:rPr>
            </w:pPr>
            <w:r w:rsidRPr="009F2AA4">
              <w:rPr>
                <w:lang w:eastAsia="en-AU"/>
              </w:rPr>
              <w:t>Any TEAE</w:t>
            </w:r>
          </w:p>
        </w:tc>
        <w:tc>
          <w:tcPr>
            <w:tcW w:w="848" w:type="pct"/>
            <w:shd w:val="clear" w:color="auto" w:fill="E7E6E6" w:themeFill="background2"/>
            <w:vAlign w:val="center"/>
          </w:tcPr>
          <w:p w14:paraId="3C780FCE" w14:textId="77777777" w:rsidR="002F03F5" w:rsidRPr="009F2AA4" w:rsidRDefault="008F23FF" w:rsidP="00921FF3">
            <w:pPr>
              <w:pStyle w:val="TableText"/>
              <w:widowControl/>
              <w:jc w:val="center"/>
              <w:rPr>
                <w:bCs/>
                <w:lang w:eastAsia="en-AU"/>
              </w:rPr>
            </w:pPr>
            <w:r w:rsidRPr="009F2AA4">
              <w:t>192 (99.5)</w:t>
            </w:r>
          </w:p>
        </w:tc>
        <w:tc>
          <w:tcPr>
            <w:tcW w:w="849" w:type="pct"/>
            <w:vAlign w:val="center"/>
          </w:tcPr>
          <w:p w14:paraId="3C780FCF" w14:textId="77777777" w:rsidR="002F03F5" w:rsidRPr="009F2AA4" w:rsidRDefault="008F23FF" w:rsidP="00921FF3">
            <w:pPr>
              <w:pStyle w:val="TableText"/>
              <w:widowControl/>
              <w:jc w:val="center"/>
              <w:rPr>
                <w:bCs/>
                <w:lang w:eastAsia="en-AU"/>
              </w:rPr>
            </w:pPr>
            <w:r w:rsidRPr="009F2AA4">
              <w:t>96 (99.0)</w:t>
            </w:r>
          </w:p>
        </w:tc>
        <w:tc>
          <w:tcPr>
            <w:tcW w:w="848" w:type="pct"/>
            <w:vAlign w:val="center"/>
          </w:tcPr>
          <w:p w14:paraId="3C780FD0" w14:textId="77777777" w:rsidR="002F03F5" w:rsidRPr="009F2AA4" w:rsidRDefault="008F23FF" w:rsidP="00921FF3">
            <w:pPr>
              <w:pStyle w:val="TableText"/>
              <w:widowControl/>
              <w:jc w:val="center"/>
              <w:rPr>
                <w:lang w:eastAsia="en-AU"/>
              </w:rPr>
            </w:pPr>
            <w:r w:rsidRPr="009F2AA4">
              <w:rPr>
                <w:lang w:eastAsia="en-AU"/>
              </w:rPr>
              <w:t>214 (100)</w:t>
            </w:r>
          </w:p>
        </w:tc>
        <w:tc>
          <w:tcPr>
            <w:tcW w:w="849" w:type="pct"/>
            <w:shd w:val="clear" w:color="auto" w:fill="E7E6E6" w:themeFill="background2"/>
            <w:vAlign w:val="center"/>
          </w:tcPr>
          <w:p w14:paraId="3C780FD1" w14:textId="77777777" w:rsidR="002F03F5" w:rsidRPr="009F2AA4" w:rsidRDefault="008F23FF" w:rsidP="00921FF3">
            <w:pPr>
              <w:pStyle w:val="TableText"/>
              <w:widowControl/>
              <w:jc w:val="center"/>
              <w:rPr>
                <w:lang w:eastAsia="en-AU"/>
              </w:rPr>
            </w:pPr>
            <w:r w:rsidRPr="009F2AA4">
              <w:rPr>
                <w:lang w:eastAsia="en-AU"/>
              </w:rPr>
              <w:t>104 (95)</w:t>
            </w:r>
          </w:p>
        </w:tc>
      </w:tr>
      <w:tr w:rsidR="00476A25" w:rsidRPr="009F2AA4" w14:paraId="3C780FD8" w14:textId="77777777" w:rsidTr="0009661B">
        <w:tc>
          <w:tcPr>
            <w:tcW w:w="1605" w:type="pct"/>
            <w:vAlign w:val="center"/>
          </w:tcPr>
          <w:p w14:paraId="3C780FD3" w14:textId="77777777" w:rsidR="002F03F5" w:rsidRPr="009F2AA4" w:rsidRDefault="008F23FF" w:rsidP="00921FF3">
            <w:pPr>
              <w:pStyle w:val="TableText"/>
              <w:widowControl/>
              <w:ind w:left="144"/>
              <w:rPr>
                <w:lang w:eastAsia="en-AU"/>
              </w:rPr>
            </w:pPr>
            <w:r w:rsidRPr="009F2AA4">
              <w:rPr>
                <w:lang w:eastAsia="en-AU"/>
              </w:rPr>
              <w:t>Treatment related</w:t>
            </w:r>
          </w:p>
        </w:tc>
        <w:tc>
          <w:tcPr>
            <w:tcW w:w="848" w:type="pct"/>
            <w:shd w:val="clear" w:color="auto" w:fill="E7E6E6" w:themeFill="background2"/>
            <w:vAlign w:val="center"/>
          </w:tcPr>
          <w:p w14:paraId="3C780FD4" w14:textId="77777777" w:rsidR="002F03F5" w:rsidRPr="009F2AA4" w:rsidRDefault="008F23FF" w:rsidP="00921FF3">
            <w:pPr>
              <w:pStyle w:val="TableText"/>
              <w:widowControl/>
              <w:jc w:val="center"/>
              <w:rPr>
                <w:bCs/>
                <w:lang w:eastAsia="en-AU"/>
              </w:rPr>
            </w:pPr>
            <w:r w:rsidRPr="009F2AA4">
              <w:t>178 (92.2)</w:t>
            </w:r>
          </w:p>
        </w:tc>
        <w:tc>
          <w:tcPr>
            <w:tcW w:w="849" w:type="pct"/>
            <w:vAlign w:val="center"/>
          </w:tcPr>
          <w:p w14:paraId="3C780FD5" w14:textId="77777777" w:rsidR="002F03F5" w:rsidRPr="009F2AA4" w:rsidRDefault="008F23FF" w:rsidP="00921FF3">
            <w:pPr>
              <w:pStyle w:val="TableText"/>
              <w:widowControl/>
              <w:jc w:val="center"/>
              <w:rPr>
                <w:bCs/>
                <w:lang w:eastAsia="en-AU"/>
              </w:rPr>
            </w:pPr>
            <w:r w:rsidRPr="009F2AA4">
              <w:t>95 (97.9)</w:t>
            </w:r>
          </w:p>
        </w:tc>
        <w:tc>
          <w:tcPr>
            <w:tcW w:w="848" w:type="pct"/>
            <w:vAlign w:val="center"/>
          </w:tcPr>
          <w:p w14:paraId="3C780FD6" w14:textId="77777777" w:rsidR="002F03F5" w:rsidRPr="009F2AA4" w:rsidRDefault="008F23FF" w:rsidP="00921FF3">
            <w:pPr>
              <w:pStyle w:val="TableText"/>
              <w:widowControl/>
              <w:jc w:val="center"/>
              <w:rPr>
                <w:lang w:eastAsia="en-AU"/>
              </w:rPr>
            </w:pPr>
            <w:r w:rsidRPr="009F2AA4">
              <w:rPr>
                <w:lang w:eastAsia="en-AU"/>
              </w:rPr>
              <w:t>NR</w:t>
            </w:r>
          </w:p>
        </w:tc>
        <w:tc>
          <w:tcPr>
            <w:tcW w:w="849" w:type="pct"/>
            <w:shd w:val="clear" w:color="auto" w:fill="E7E6E6" w:themeFill="background2"/>
            <w:vAlign w:val="center"/>
          </w:tcPr>
          <w:p w14:paraId="3C780FD7" w14:textId="77777777" w:rsidR="002F03F5" w:rsidRPr="009F2AA4" w:rsidRDefault="008F23FF" w:rsidP="00921FF3">
            <w:pPr>
              <w:pStyle w:val="TableText"/>
              <w:widowControl/>
              <w:jc w:val="center"/>
              <w:rPr>
                <w:lang w:eastAsia="en-AU"/>
              </w:rPr>
            </w:pPr>
            <w:r w:rsidRPr="009F2AA4">
              <w:rPr>
                <w:lang w:eastAsia="en-AU"/>
              </w:rPr>
              <w:t>NR</w:t>
            </w:r>
          </w:p>
        </w:tc>
      </w:tr>
      <w:tr w:rsidR="00476A25" w:rsidRPr="009F2AA4" w14:paraId="3C780FDE" w14:textId="77777777" w:rsidTr="0009661B">
        <w:tc>
          <w:tcPr>
            <w:tcW w:w="1605" w:type="pct"/>
            <w:vAlign w:val="center"/>
          </w:tcPr>
          <w:p w14:paraId="3C780FD9" w14:textId="77777777" w:rsidR="002F03F5" w:rsidRPr="009F2AA4" w:rsidRDefault="008F23FF" w:rsidP="00921FF3">
            <w:pPr>
              <w:pStyle w:val="TableText"/>
              <w:widowControl/>
              <w:rPr>
                <w:lang w:eastAsia="en-AU"/>
              </w:rPr>
            </w:pPr>
            <w:r w:rsidRPr="009F2AA4">
              <w:rPr>
                <w:lang w:eastAsia="en-AU"/>
              </w:rPr>
              <w:t>Grade ≥3 TEAE</w:t>
            </w:r>
          </w:p>
        </w:tc>
        <w:tc>
          <w:tcPr>
            <w:tcW w:w="848" w:type="pct"/>
            <w:shd w:val="clear" w:color="auto" w:fill="E7E6E6" w:themeFill="background2"/>
            <w:vAlign w:val="center"/>
          </w:tcPr>
          <w:p w14:paraId="3C780FDA" w14:textId="77777777" w:rsidR="002F03F5" w:rsidRPr="009F2AA4" w:rsidRDefault="008F23FF" w:rsidP="00921FF3">
            <w:pPr>
              <w:pStyle w:val="TableText"/>
              <w:widowControl/>
              <w:jc w:val="center"/>
              <w:rPr>
                <w:bCs/>
                <w:lang w:eastAsia="en-AU"/>
              </w:rPr>
            </w:pPr>
            <w:r w:rsidRPr="009F2AA4">
              <w:t>119 (61.7)</w:t>
            </w:r>
          </w:p>
        </w:tc>
        <w:tc>
          <w:tcPr>
            <w:tcW w:w="849" w:type="pct"/>
            <w:vAlign w:val="center"/>
          </w:tcPr>
          <w:p w14:paraId="3C780FDB" w14:textId="77777777" w:rsidR="002F03F5" w:rsidRPr="009F2AA4" w:rsidRDefault="008F23FF" w:rsidP="00921FF3">
            <w:pPr>
              <w:pStyle w:val="TableText"/>
              <w:widowControl/>
              <w:jc w:val="center"/>
              <w:rPr>
                <w:bCs/>
                <w:lang w:eastAsia="en-AU"/>
              </w:rPr>
            </w:pPr>
            <w:r w:rsidRPr="009F2AA4">
              <w:t>79 (81.4)</w:t>
            </w:r>
          </w:p>
        </w:tc>
        <w:tc>
          <w:tcPr>
            <w:tcW w:w="848" w:type="pct"/>
            <w:vAlign w:val="center"/>
          </w:tcPr>
          <w:p w14:paraId="3C780FDC" w14:textId="77777777" w:rsidR="002F03F5" w:rsidRPr="009F2AA4" w:rsidRDefault="008F23FF" w:rsidP="00921FF3">
            <w:pPr>
              <w:pStyle w:val="TableText"/>
              <w:widowControl/>
              <w:jc w:val="center"/>
              <w:rPr>
                <w:lang w:eastAsia="en-AU"/>
              </w:rPr>
            </w:pPr>
            <w:r w:rsidRPr="009F2AA4">
              <w:rPr>
                <w:lang w:eastAsia="en-AU"/>
              </w:rPr>
              <w:t>167 (78)</w:t>
            </w:r>
          </w:p>
        </w:tc>
        <w:tc>
          <w:tcPr>
            <w:tcW w:w="849" w:type="pct"/>
            <w:shd w:val="clear" w:color="auto" w:fill="E7E6E6" w:themeFill="background2"/>
            <w:vAlign w:val="center"/>
          </w:tcPr>
          <w:p w14:paraId="3C780FDD" w14:textId="77777777" w:rsidR="002F03F5" w:rsidRPr="009F2AA4" w:rsidRDefault="008F23FF" w:rsidP="00921FF3">
            <w:pPr>
              <w:pStyle w:val="TableText"/>
              <w:widowControl/>
              <w:jc w:val="center"/>
              <w:rPr>
                <w:lang w:eastAsia="en-AU"/>
              </w:rPr>
            </w:pPr>
            <w:r w:rsidRPr="009F2AA4">
              <w:rPr>
                <w:lang w:eastAsia="en-AU"/>
              </w:rPr>
              <w:t>36 (33)</w:t>
            </w:r>
          </w:p>
        </w:tc>
      </w:tr>
      <w:tr w:rsidR="00476A25" w:rsidRPr="009F2AA4" w14:paraId="3C780FE4" w14:textId="77777777" w:rsidTr="0009661B">
        <w:tc>
          <w:tcPr>
            <w:tcW w:w="1605" w:type="pct"/>
            <w:vAlign w:val="center"/>
          </w:tcPr>
          <w:p w14:paraId="3C780FDF" w14:textId="77777777" w:rsidR="002F03F5" w:rsidRPr="009F2AA4" w:rsidRDefault="008F23FF" w:rsidP="00921FF3">
            <w:pPr>
              <w:pStyle w:val="TableText"/>
              <w:widowControl/>
              <w:ind w:left="144"/>
              <w:rPr>
                <w:lang w:eastAsia="en-AU"/>
              </w:rPr>
            </w:pPr>
            <w:r w:rsidRPr="009F2AA4">
              <w:rPr>
                <w:lang w:eastAsia="en-AU"/>
              </w:rPr>
              <w:t>Treatment related</w:t>
            </w:r>
          </w:p>
        </w:tc>
        <w:tc>
          <w:tcPr>
            <w:tcW w:w="848" w:type="pct"/>
            <w:shd w:val="clear" w:color="auto" w:fill="E7E6E6" w:themeFill="background2"/>
            <w:vAlign w:val="center"/>
          </w:tcPr>
          <w:p w14:paraId="3C780FE0" w14:textId="77777777" w:rsidR="002F03F5" w:rsidRPr="009F2AA4" w:rsidRDefault="008F23FF" w:rsidP="00921FF3">
            <w:pPr>
              <w:pStyle w:val="TableText"/>
              <w:widowControl/>
              <w:jc w:val="center"/>
              <w:rPr>
                <w:bCs/>
                <w:lang w:eastAsia="en-AU"/>
              </w:rPr>
            </w:pPr>
            <w:r w:rsidRPr="009F2AA4">
              <w:t>84 (43.5)</w:t>
            </w:r>
          </w:p>
        </w:tc>
        <w:tc>
          <w:tcPr>
            <w:tcW w:w="849" w:type="pct"/>
            <w:vAlign w:val="center"/>
          </w:tcPr>
          <w:p w14:paraId="3C780FE1" w14:textId="77777777" w:rsidR="002F03F5" w:rsidRPr="009F2AA4" w:rsidRDefault="008F23FF" w:rsidP="00921FF3">
            <w:pPr>
              <w:pStyle w:val="TableText"/>
              <w:widowControl/>
              <w:jc w:val="center"/>
              <w:rPr>
                <w:bCs/>
                <w:lang w:eastAsia="en-AU"/>
              </w:rPr>
            </w:pPr>
            <w:r w:rsidRPr="009F2AA4">
              <w:t>71 (73.2)</w:t>
            </w:r>
          </w:p>
        </w:tc>
        <w:tc>
          <w:tcPr>
            <w:tcW w:w="848" w:type="pct"/>
            <w:vAlign w:val="center"/>
          </w:tcPr>
          <w:p w14:paraId="3C780FE2" w14:textId="77777777" w:rsidR="002F03F5" w:rsidRPr="009F2AA4" w:rsidRDefault="008F23FF" w:rsidP="00921FF3">
            <w:pPr>
              <w:pStyle w:val="TableText"/>
              <w:widowControl/>
              <w:jc w:val="center"/>
              <w:rPr>
                <w:lang w:eastAsia="en-AU"/>
              </w:rPr>
            </w:pPr>
            <w:r w:rsidRPr="009F2AA4">
              <w:rPr>
                <w:lang w:eastAsia="en-AU"/>
              </w:rPr>
              <w:t>NR</w:t>
            </w:r>
          </w:p>
        </w:tc>
        <w:tc>
          <w:tcPr>
            <w:tcW w:w="849" w:type="pct"/>
            <w:shd w:val="clear" w:color="auto" w:fill="E7E6E6" w:themeFill="background2"/>
            <w:vAlign w:val="center"/>
          </w:tcPr>
          <w:p w14:paraId="3C780FE3" w14:textId="77777777" w:rsidR="002F03F5" w:rsidRPr="009F2AA4" w:rsidRDefault="008F23FF" w:rsidP="00921FF3">
            <w:pPr>
              <w:pStyle w:val="TableText"/>
              <w:widowControl/>
              <w:jc w:val="center"/>
              <w:rPr>
                <w:lang w:eastAsia="en-AU"/>
              </w:rPr>
            </w:pPr>
            <w:r w:rsidRPr="009F2AA4">
              <w:rPr>
                <w:lang w:eastAsia="en-AU"/>
              </w:rPr>
              <w:t>NR</w:t>
            </w:r>
          </w:p>
        </w:tc>
      </w:tr>
      <w:tr w:rsidR="00476A25" w:rsidRPr="009F2AA4" w14:paraId="3C780FEA"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0FE5" w14:textId="77777777" w:rsidR="002F03F5" w:rsidRPr="009F2AA4" w:rsidRDefault="008F23FF" w:rsidP="00921FF3">
            <w:pPr>
              <w:pStyle w:val="TableText"/>
              <w:widowControl/>
              <w:rPr>
                <w:lang w:eastAsia="en-AU"/>
              </w:rPr>
            </w:pPr>
            <w:r w:rsidRPr="009F2AA4">
              <w:rPr>
                <w:lang w:eastAsia="en-AU"/>
              </w:rPr>
              <w:t>Any SAE</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E6" w14:textId="77777777" w:rsidR="002F03F5" w:rsidRPr="009F2AA4" w:rsidRDefault="008F23FF" w:rsidP="00921FF3">
            <w:pPr>
              <w:pStyle w:val="TableText"/>
              <w:widowControl/>
              <w:jc w:val="center"/>
              <w:rPr>
                <w:bCs/>
                <w:lang w:eastAsia="en-AU"/>
              </w:rPr>
            </w:pPr>
            <w:r w:rsidRPr="009F2AA4">
              <w:t>59 (30.6)</w:t>
            </w:r>
          </w:p>
        </w:tc>
        <w:tc>
          <w:tcPr>
            <w:tcW w:w="849" w:type="pct"/>
            <w:tcBorders>
              <w:top w:val="single" w:sz="4" w:space="0" w:color="auto"/>
              <w:left w:val="single" w:sz="4" w:space="0" w:color="auto"/>
              <w:bottom w:val="single" w:sz="4" w:space="0" w:color="auto"/>
              <w:right w:val="single" w:sz="4" w:space="0" w:color="auto"/>
            </w:tcBorders>
            <w:vAlign w:val="center"/>
          </w:tcPr>
          <w:p w14:paraId="3C780FE7" w14:textId="77777777" w:rsidR="002F03F5" w:rsidRPr="009F2AA4" w:rsidRDefault="008F23FF" w:rsidP="00921FF3">
            <w:pPr>
              <w:pStyle w:val="TableText"/>
              <w:widowControl/>
              <w:jc w:val="center"/>
              <w:rPr>
                <w:bCs/>
                <w:lang w:eastAsia="en-AU"/>
              </w:rPr>
            </w:pPr>
            <w:r w:rsidRPr="009F2AA4">
              <w:t>33 (34.0)</w:t>
            </w:r>
          </w:p>
        </w:tc>
        <w:tc>
          <w:tcPr>
            <w:tcW w:w="848" w:type="pct"/>
            <w:tcBorders>
              <w:top w:val="single" w:sz="4" w:space="0" w:color="auto"/>
              <w:left w:val="single" w:sz="4" w:space="0" w:color="auto"/>
              <w:bottom w:val="single" w:sz="4" w:space="0" w:color="auto"/>
              <w:right w:val="single" w:sz="4" w:space="0" w:color="auto"/>
            </w:tcBorders>
            <w:vAlign w:val="center"/>
          </w:tcPr>
          <w:p w14:paraId="3C780FE8" w14:textId="77777777" w:rsidR="002F03F5" w:rsidRPr="009F2AA4" w:rsidRDefault="008F23FF" w:rsidP="00921FF3">
            <w:pPr>
              <w:pStyle w:val="TableText"/>
              <w:widowControl/>
              <w:jc w:val="center"/>
              <w:rPr>
                <w:lang w:eastAsia="en-AU"/>
              </w:rPr>
            </w:pPr>
            <w:r w:rsidRPr="009F2AA4">
              <w:rPr>
                <w:lang w:eastAsia="en-AU"/>
              </w:rPr>
              <w:t>113 (53)</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E9" w14:textId="77777777" w:rsidR="002F03F5" w:rsidRPr="009F2AA4" w:rsidRDefault="008F23FF" w:rsidP="00921FF3">
            <w:pPr>
              <w:pStyle w:val="TableText"/>
              <w:widowControl/>
              <w:jc w:val="center"/>
              <w:rPr>
                <w:lang w:eastAsia="en-AU"/>
              </w:rPr>
            </w:pPr>
            <w:r w:rsidRPr="009F2AA4">
              <w:rPr>
                <w:lang w:eastAsia="en-AU"/>
              </w:rPr>
              <w:t>26 (24)</w:t>
            </w:r>
          </w:p>
        </w:tc>
      </w:tr>
      <w:tr w:rsidR="00476A25" w:rsidRPr="009F2AA4" w14:paraId="3C780FF0"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0FEB" w14:textId="77777777" w:rsidR="002F03F5" w:rsidRPr="009F2AA4" w:rsidRDefault="008F23FF" w:rsidP="00921FF3">
            <w:pPr>
              <w:pStyle w:val="TableText"/>
              <w:widowControl/>
              <w:ind w:left="144"/>
              <w:rPr>
                <w:lang w:eastAsia="en-AU"/>
              </w:rPr>
            </w:pPr>
            <w:r w:rsidRPr="009F2AA4">
              <w:rPr>
                <w:lang w:eastAsia="en-AU"/>
              </w:rPr>
              <w:t>Treatment related</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EC" w14:textId="77777777" w:rsidR="002F03F5" w:rsidRPr="009F2AA4" w:rsidRDefault="008F23FF" w:rsidP="00921FF3">
            <w:pPr>
              <w:pStyle w:val="TableText"/>
              <w:widowControl/>
              <w:jc w:val="center"/>
              <w:rPr>
                <w:bCs/>
                <w:lang w:eastAsia="en-AU"/>
              </w:rPr>
            </w:pPr>
            <w:r w:rsidRPr="009F2AA4">
              <w:t>18 (9.3)</w:t>
            </w:r>
          </w:p>
        </w:tc>
        <w:tc>
          <w:tcPr>
            <w:tcW w:w="849" w:type="pct"/>
            <w:tcBorders>
              <w:top w:val="single" w:sz="4" w:space="0" w:color="auto"/>
              <w:left w:val="single" w:sz="4" w:space="0" w:color="auto"/>
              <w:bottom w:val="single" w:sz="4" w:space="0" w:color="auto"/>
              <w:right w:val="single" w:sz="4" w:space="0" w:color="auto"/>
            </w:tcBorders>
            <w:vAlign w:val="center"/>
          </w:tcPr>
          <w:p w14:paraId="3C780FED" w14:textId="77777777" w:rsidR="002F03F5" w:rsidRPr="009F2AA4" w:rsidRDefault="008F23FF" w:rsidP="00921FF3">
            <w:pPr>
              <w:pStyle w:val="TableText"/>
              <w:widowControl/>
              <w:jc w:val="center"/>
              <w:rPr>
                <w:bCs/>
                <w:lang w:eastAsia="en-AU"/>
              </w:rPr>
            </w:pPr>
            <w:r w:rsidRPr="009F2AA4">
              <w:t>17 (17.5)</w:t>
            </w:r>
          </w:p>
        </w:tc>
        <w:tc>
          <w:tcPr>
            <w:tcW w:w="848" w:type="pct"/>
            <w:tcBorders>
              <w:top w:val="single" w:sz="4" w:space="0" w:color="auto"/>
              <w:left w:val="single" w:sz="4" w:space="0" w:color="auto"/>
              <w:bottom w:val="single" w:sz="4" w:space="0" w:color="auto"/>
              <w:right w:val="single" w:sz="4" w:space="0" w:color="auto"/>
            </w:tcBorders>
            <w:vAlign w:val="center"/>
          </w:tcPr>
          <w:p w14:paraId="3C780FEE" w14:textId="77777777" w:rsidR="002F03F5" w:rsidRPr="009F2AA4" w:rsidRDefault="008F23FF" w:rsidP="00921FF3">
            <w:pPr>
              <w:pStyle w:val="TableText"/>
              <w:widowControl/>
              <w:jc w:val="center"/>
              <w:rPr>
                <w:lang w:eastAsia="en-AU"/>
              </w:rPr>
            </w:pPr>
            <w:r w:rsidRPr="009F2AA4">
              <w:rPr>
                <w:lang w:eastAsia="en-AU"/>
              </w:rPr>
              <w:t>NR</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EF" w14:textId="77777777" w:rsidR="002F03F5" w:rsidRPr="009F2AA4" w:rsidRDefault="008F23FF" w:rsidP="00921FF3">
            <w:pPr>
              <w:pStyle w:val="TableText"/>
              <w:widowControl/>
              <w:jc w:val="center"/>
              <w:rPr>
                <w:lang w:eastAsia="en-AU"/>
              </w:rPr>
            </w:pPr>
            <w:r w:rsidRPr="009F2AA4">
              <w:rPr>
                <w:lang w:eastAsia="en-AU"/>
              </w:rPr>
              <w:t>NR</w:t>
            </w:r>
          </w:p>
        </w:tc>
      </w:tr>
      <w:tr w:rsidR="00476A25" w:rsidRPr="009F2AA4" w14:paraId="3C780FF6"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0FF1" w14:textId="77777777" w:rsidR="002F03F5" w:rsidRPr="009F2AA4" w:rsidRDefault="008F23FF" w:rsidP="00921FF3">
            <w:pPr>
              <w:pStyle w:val="TableText"/>
              <w:widowControl/>
              <w:rPr>
                <w:lang w:eastAsia="en-AU"/>
              </w:rPr>
            </w:pPr>
            <w:r w:rsidRPr="009F2AA4">
              <w:rPr>
                <w:lang w:eastAsia="en-AU"/>
              </w:rPr>
              <w:t xml:space="preserve">AE leading to treatment discontinuation </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F2" w14:textId="77777777" w:rsidR="002F03F5" w:rsidRPr="009F2AA4" w:rsidRDefault="008F23FF" w:rsidP="00921FF3">
            <w:pPr>
              <w:pStyle w:val="TableText"/>
              <w:widowControl/>
              <w:jc w:val="center"/>
              <w:rPr>
                <w:bCs/>
                <w:lang w:eastAsia="en-AU"/>
              </w:rPr>
            </w:pPr>
            <w:r w:rsidRPr="009F2AA4">
              <w:t>11 (5.7)</w:t>
            </w:r>
          </w:p>
        </w:tc>
        <w:tc>
          <w:tcPr>
            <w:tcW w:w="849" w:type="pct"/>
            <w:tcBorders>
              <w:top w:val="single" w:sz="4" w:space="0" w:color="auto"/>
              <w:left w:val="single" w:sz="4" w:space="0" w:color="auto"/>
              <w:bottom w:val="single" w:sz="4" w:space="0" w:color="auto"/>
              <w:right w:val="single" w:sz="4" w:space="0" w:color="auto"/>
            </w:tcBorders>
            <w:vAlign w:val="center"/>
          </w:tcPr>
          <w:p w14:paraId="3C780FF3" w14:textId="77777777" w:rsidR="002F03F5" w:rsidRPr="009F2AA4" w:rsidRDefault="008F23FF" w:rsidP="00921FF3">
            <w:pPr>
              <w:pStyle w:val="TableText"/>
              <w:widowControl/>
              <w:jc w:val="center"/>
              <w:rPr>
                <w:bCs/>
                <w:lang w:eastAsia="en-AU"/>
              </w:rPr>
            </w:pPr>
            <w:r w:rsidRPr="009F2AA4">
              <w:t>30 (30.9)</w:t>
            </w:r>
          </w:p>
        </w:tc>
        <w:tc>
          <w:tcPr>
            <w:tcW w:w="848" w:type="pct"/>
            <w:tcBorders>
              <w:top w:val="single" w:sz="4" w:space="0" w:color="auto"/>
              <w:left w:val="single" w:sz="4" w:space="0" w:color="auto"/>
              <w:bottom w:val="single" w:sz="4" w:space="0" w:color="auto"/>
              <w:right w:val="single" w:sz="4" w:space="0" w:color="auto"/>
            </w:tcBorders>
            <w:vAlign w:val="center"/>
          </w:tcPr>
          <w:p w14:paraId="3C780FF4" w14:textId="77777777" w:rsidR="002F03F5" w:rsidRPr="009F2AA4" w:rsidRDefault="008F23FF" w:rsidP="00921FF3">
            <w:pPr>
              <w:pStyle w:val="TableText"/>
              <w:widowControl/>
              <w:jc w:val="center"/>
              <w:rPr>
                <w:lang w:eastAsia="en-AU"/>
              </w:rPr>
            </w:pPr>
            <w:r w:rsidRPr="009F2AA4">
              <w:rPr>
                <w:lang w:eastAsia="en-AU"/>
              </w:rPr>
              <w:t>49 (23)</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F5" w14:textId="77777777" w:rsidR="002F03F5" w:rsidRPr="009F2AA4" w:rsidRDefault="008F23FF" w:rsidP="00921FF3">
            <w:pPr>
              <w:pStyle w:val="TableText"/>
              <w:widowControl/>
              <w:jc w:val="center"/>
              <w:rPr>
                <w:lang w:eastAsia="en-AU"/>
              </w:rPr>
            </w:pPr>
            <w:r w:rsidRPr="009F2AA4">
              <w:rPr>
                <w:lang w:eastAsia="en-AU"/>
              </w:rPr>
              <w:t>10 (9)</w:t>
            </w:r>
          </w:p>
        </w:tc>
      </w:tr>
      <w:tr w:rsidR="00476A25" w:rsidRPr="009F2AA4" w14:paraId="3C780FFC"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0FF7" w14:textId="77777777" w:rsidR="002F03F5" w:rsidRPr="009F2AA4" w:rsidRDefault="008F23FF" w:rsidP="00921FF3">
            <w:pPr>
              <w:pStyle w:val="TableText"/>
              <w:widowControl/>
              <w:ind w:left="144"/>
              <w:rPr>
                <w:lang w:eastAsia="en-AU"/>
              </w:rPr>
            </w:pPr>
            <w:r w:rsidRPr="009F2AA4">
              <w:rPr>
                <w:lang w:eastAsia="en-AU"/>
              </w:rPr>
              <w:t>Treatment related</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F8" w14:textId="77777777" w:rsidR="002F03F5" w:rsidRPr="009F2AA4" w:rsidRDefault="008F23FF" w:rsidP="00921FF3">
            <w:pPr>
              <w:pStyle w:val="TableText"/>
              <w:widowControl/>
              <w:jc w:val="center"/>
              <w:rPr>
                <w:bCs/>
                <w:lang w:eastAsia="en-AU"/>
              </w:rPr>
            </w:pPr>
            <w:r w:rsidRPr="009F2AA4">
              <w:t>5 (2.6)</w:t>
            </w:r>
          </w:p>
        </w:tc>
        <w:tc>
          <w:tcPr>
            <w:tcW w:w="849" w:type="pct"/>
            <w:tcBorders>
              <w:top w:val="single" w:sz="4" w:space="0" w:color="auto"/>
              <w:left w:val="single" w:sz="4" w:space="0" w:color="auto"/>
              <w:bottom w:val="single" w:sz="4" w:space="0" w:color="auto"/>
              <w:right w:val="single" w:sz="4" w:space="0" w:color="auto"/>
            </w:tcBorders>
            <w:vAlign w:val="center"/>
          </w:tcPr>
          <w:p w14:paraId="3C780FF9" w14:textId="77777777" w:rsidR="002F03F5" w:rsidRPr="009F2AA4" w:rsidRDefault="008F23FF" w:rsidP="00921FF3">
            <w:pPr>
              <w:pStyle w:val="TableText"/>
              <w:widowControl/>
              <w:jc w:val="center"/>
              <w:rPr>
                <w:bCs/>
                <w:lang w:eastAsia="en-AU"/>
              </w:rPr>
            </w:pPr>
            <w:r w:rsidRPr="009F2AA4">
              <w:t>25 (25.8)</w:t>
            </w:r>
          </w:p>
        </w:tc>
        <w:tc>
          <w:tcPr>
            <w:tcW w:w="848" w:type="pct"/>
            <w:tcBorders>
              <w:top w:val="single" w:sz="4" w:space="0" w:color="auto"/>
              <w:left w:val="single" w:sz="4" w:space="0" w:color="auto"/>
              <w:bottom w:val="single" w:sz="4" w:space="0" w:color="auto"/>
              <w:right w:val="single" w:sz="4" w:space="0" w:color="auto"/>
            </w:tcBorders>
            <w:vAlign w:val="center"/>
          </w:tcPr>
          <w:p w14:paraId="3C780FFA" w14:textId="77777777" w:rsidR="002F03F5" w:rsidRPr="009F2AA4" w:rsidRDefault="008F23FF" w:rsidP="00921FF3">
            <w:pPr>
              <w:pStyle w:val="TableText"/>
              <w:widowControl/>
              <w:jc w:val="center"/>
              <w:rPr>
                <w:lang w:eastAsia="en-AU"/>
              </w:rPr>
            </w:pPr>
            <w:r w:rsidRPr="009F2AA4">
              <w:rPr>
                <w:lang w:eastAsia="en-AU"/>
              </w:rPr>
              <w:t>NR</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FB" w14:textId="77777777" w:rsidR="002F03F5" w:rsidRPr="009F2AA4" w:rsidRDefault="008F23FF" w:rsidP="00921FF3">
            <w:pPr>
              <w:pStyle w:val="TableText"/>
              <w:widowControl/>
              <w:jc w:val="center"/>
              <w:rPr>
                <w:lang w:eastAsia="en-AU"/>
              </w:rPr>
            </w:pPr>
            <w:r w:rsidRPr="009F2AA4">
              <w:rPr>
                <w:lang w:eastAsia="en-AU"/>
              </w:rPr>
              <w:t>NR</w:t>
            </w:r>
          </w:p>
        </w:tc>
      </w:tr>
      <w:tr w:rsidR="00476A25" w:rsidRPr="009F2AA4" w14:paraId="3C781002"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0FFD" w14:textId="77777777" w:rsidR="002F03F5" w:rsidRPr="009F2AA4" w:rsidRDefault="008F23FF" w:rsidP="00921FF3">
            <w:pPr>
              <w:pStyle w:val="TableText"/>
              <w:widowControl/>
              <w:rPr>
                <w:lang w:eastAsia="en-AU"/>
              </w:rPr>
            </w:pPr>
            <w:r w:rsidRPr="009F2AA4">
              <w:rPr>
                <w:lang w:eastAsia="en-AU"/>
              </w:rPr>
              <w:t>SAE leading to treatment discontinuation</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FFE" w14:textId="77777777" w:rsidR="002F03F5" w:rsidRPr="009F2AA4" w:rsidRDefault="008F23FF" w:rsidP="00921FF3">
            <w:pPr>
              <w:pStyle w:val="TableText"/>
              <w:widowControl/>
              <w:jc w:val="center"/>
              <w:rPr>
                <w:bCs/>
                <w:lang w:eastAsia="en-AU"/>
              </w:rPr>
            </w:pPr>
            <w:r w:rsidRPr="009F2AA4">
              <w:t>7 (3.6)</w:t>
            </w:r>
          </w:p>
        </w:tc>
        <w:tc>
          <w:tcPr>
            <w:tcW w:w="849" w:type="pct"/>
            <w:tcBorders>
              <w:top w:val="single" w:sz="4" w:space="0" w:color="auto"/>
              <w:left w:val="single" w:sz="4" w:space="0" w:color="auto"/>
              <w:bottom w:val="single" w:sz="4" w:space="0" w:color="auto"/>
              <w:right w:val="single" w:sz="4" w:space="0" w:color="auto"/>
            </w:tcBorders>
            <w:vAlign w:val="center"/>
          </w:tcPr>
          <w:p w14:paraId="3C780FFF" w14:textId="77777777" w:rsidR="002F03F5" w:rsidRPr="009F2AA4" w:rsidRDefault="008F23FF" w:rsidP="00921FF3">
            <w:pPr>
              <w:pStyle w:val="TableText"/>
              <w:widowControl/>
              <w:jc w:val="center"/>
              <w:rPr>
                <w:bCs/>
                <w:lang w:eastAsia="en-AU"/>
              </w:rPr>
            </w:pPr>
            <w:r w:rsidRPr="009F2AA4">
              <w:t>10 (10.3)</w:t>
            </w:r>
          </w:p>
        </w:tc>
        <w:tc>
          <w:tcPr>
            <w:tcW w:w="848" w:type="pct"/>
            <w:tcBorders>
              <w:top w:val="single" w:sz="4" w:space="0" w:color="auto"/>
              <w:left w:val="single" w:sz="4" w:space="0" w:color="auto"/>
              <w:bottom w:val="single" w:sz="4" w:space="0" w:color="auto"/>
              <w:right w:val="single" w:sz="4" w:space="0" w:color="auto"/>
            </w:tcBorders>
            <w:vAlign w:val="center"/>
          </w:tcPr>
          <w:p w14:paraId="3C781000" w14:textId="77777777" w:rsidR="002F03F5" w:rsidRPr="009F2AA4" w:rsidRDefault="008F23FF" w:rsidP="00921FF3">
            <w:pPr>
              <w:pStyle w:val="TableText"/>
              <w:widowControl/>
              <w:jc w:val="center"/>
              <w:rPr>
                <w:lang w:eastAsia="en-AU"/>
              </w:rPr>
            </w:pPr>
            <w:r w:rsidRPr="009F2AA4">
              <w:rPr>
                <w:lang w:eastAsia="en-AU"/>
              </w:rPr>
              <w:t>NR</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01" w14:textId="77777777" w:rsidR="002F03F5" w:rsidRPr="009F2AA4" w:rsidRDefault="008F23FF" w:rsidP="00921FF3">
            <w:pPr>
              <w:pStyle w:val="TableText"/>
              <w:widowControl/>
              <w:jc w:val="center"/>
              <w:rPr>
                <w:lang w:eastAsia="en-AU"/>
              </w:rPr>
            </w:pPr>
            <w:r w:rsidRPr="009F2AA4">
              <w:rPr>
                <w:lang w:eastAsia="en-AU"/>
              </w:rPr>
              <w:t>NR</w:t>
            </w:r>
          </w:p>
        </w:tc>
      </w:tr>
      <w:tr w:rsidR="00476A25" w:rsidRPr="009F2AA4" w14:paraId="3C781008"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03" w14:textId="77777777" w:rsidR="002F03F5" w:rsidRPr="009F2AA4" w:rsidRDefault="008F23FF" w:rsidP="00921FF3">
            <w:pPr>
              <w:pStyle w:val="TableText"/>
              <w:widowControl/>
              <w:ind w:left="144"/>
              <w:rPr>
                <w:lang w:eastAsia="en-AU"/>
              </w:rPr>
            </w:pPr>
            <w:r w:rsidRPr="009F2AA4">
              <w:rPr>
                <w:lang w:eastAsia="en-AU"/>
              </w:rPr>
              <w:t>Treatment related</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04" w14:textId="77777777" w:rsidR="002F03F5" w:rsidRPr="009F2AA4" w:rsidRDefault="008F23FF" w:rsidP="00921FF3">
            <w:pPr>
              <w:pStyle w:val="TableText"/>
              <w:widowControl/>
              <w:jc w:val="center"/>
              <w:rPr>
                <w:bCs/>
                <w:lang w:eastAsia="en-AU"/>
              </w:rPr>
            </w:pPr>
            <w:r w:rsidRPr="009F2AA4">
              <w:t>2 (1.0)</w:t>
            </w:r>
          </w:p>
        </w:tc>
        <w:tc>
          <w:tcPr>
            <w:tcW w:w="849" w:type="pct"/>
            <w:tcBorders>
              <w:top w:val="single" w:sz="4" w:space="0" w:color="auto"/>
              <w:left w:val="single" w:sz="4" w:space="0" w:color="auto"/>
              <w:bottom w:val="single" w:sz="4" w:space="0" w:color="auto"/>
              <w:right w:val="single" w:sz="4" w:space="0" w:color="auto"/>
            </w:tcBorders>
            <w:vAlign w:val="center"/>
          </w:tcPr>
          <w:p w14:paraId="3C781005" w14:textId="77777777" w:rsidR="002F03F5" w:rsidRPr="009F2AA4" w:rsidRDefault="008F23FF" w:rsidP="00921FF3">
            <w:pPr>
              <w:pStyle w:val="TableText"/>
              <w:widowControl/>
              <w:jc w:val="center"/>
              <w:rPr>
                <w:bCs/>
                <w:lang w:eastAsia="en-AU"/>
              </w:rPr>
            </w:pPr>
            <w:r w:rsidRPr="009F2AA4">
              <w:t>6 (6.3)</w:t>
            </w:r>
          </w:p>
        </w:tc>
        <w:tc>
          <w:tcPr>
            <w:tcW w:w="848" w:type="pct"/>
            <w:tcBorders>
              <w:top w:val="single" w:sz="4" w:space="0" w:color="auto"/>
              <w:left w:val="single" w:sz="4" w:space="0" w:color="auto"/>
              <w:bottom w:val="single" w:sz="4" w:space="0" w:color="auto"/>
              <w:right w:val="single" w:sz="4" w:space="0" w:color="auto"/>
            </w:tcBorders>
            <w:vAlign w:val="center"/>
          </w:tcPr>
          <w:p w14:paraId="3C781006" w14:textId="77777777" w:rsidR="002F03F5" w:rsidRPr="009F2AA4" w:rsidRDefault="008F23FF" w:rsidP="00921FF3">
            <w:pPr>
              <w:pStyle w:val="TableText"/>
              <w:widowControl/>
              <w:jc w:val="center"/>
              <w:rPr>
                <w:lang w:eastAsia="en-AU"/>
              </w:rPr>
            </w:pPr>
            <w:r w:rsidRPr="009F2AA4">
              <w:rPr>
                <w:lang w:eastAsia="en-AU"/>
              </w:rPr>
              <w:t>NR</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07" w14:textId="77777777" w:rsidR="002F03F5" w:rsidRPr="009F2AA4" w:rsidRDefault="008F23FF" w:rsidP="00921FF3">
            <w:pPr>
              <w:pStyle w:val="TableText"/>
              <w:widowControl/>
              <w:jc w:val="center"/>
              <w:rPr>
                <w:lang w:eastAsia="en-AU"/>
              </w:rPr>
            </w:pPr>
            <w:r w:rsidRPr="009F2AA4">
              <w:rPr>
                <w:lang w:eastAsia="en-AU"/>
              </w:rPr>
              <w:t>NR</w:t>
            </w:r>
          </w:p>
        </w:tc>
      </w:tr>
      <w:tr w:rsidR="00476A25" w:rsidRPr="009F2AA4" w14:paraId="3C78100E"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09" w14:textId="77777777" w:rsidR="002F03F5" w:rsidRPr="009F2AA4" w:rsidRDefault="008F23FF" w:rsidP="00921FF3">
            <w:pPr>
              <w:pStyle w:val="TableText"/>
              <w:widowControl/>
              <w:rPr>
                <w:lang w:eastAsia="en-AU"/>
              </w:rPr>
            </w:pPr>
            <w:r w:rsidRPr="009F2AA4">
              <w:rPr>
                <w:lang w:eastAsia="en-AU"/>
              </w:rPr>
              <w:t xml:space="preserve">Deaths </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0A" w14:textId="77777777" w:rsidR="002F03F5" w:rsidRPr="009F2AA4" w:rsidRDefault="008F23FF" w:rsidP="00921FF3">
            <w:pPr>
              <w:pStyle w:val="TableText"/>
              <w:widowControl/>
              <w:jc w:val="center"/>
              <w:rPr>
                <w:bCs/>
                <w:lang w:eastAsia="en-AU"/>
              </w:rPr>
            </w:pPr>
            <w:r w:rsidRPr="009F2AA4">
              <w:t>10 (5.2)</w:t>
            </w:r>
          </w:p>
        </w:tc>
        <w:tc>
          <w:tcPr>
            <w:tcW w:w="849" w:type="pct"/>
            <w:tcBorders>
              <w:top w:val="single" w:sz="4" w:space="0" w:color="auto"/>
              <w:left w:val="single" w:sz="4" w:space="0" w:color="auto"/>
              <w:bottom w:val="single" w:sz="4" w:space="0" w:color="auto"/>
              <w:right w:val="single" w:sz="4" w:space="0" w:color="auto"/>
            </w:tcBorders>
            <w:vAlign w:val="center"/>
          </w:tcPr>
          <w:p w14:paraId="3C78100B" w14:textId="77777777" w:rsidR="002F03F5" w:rsidRPr="009F2AA4" w:rsidRDefault="008F23FF" w:rsidP="00921FF3">
            <w:pPr>
              <w:pStyle w:val="TableText"/>
              <w:widowControl/>
              <w:jc w:val="center"/>
              <w:rPr>
                <w:bCs/>
                <w:lang w:eastAsia="en-AU"/>
              </w:rPr>
            </w:pPr>
            <w:r w:rsidRPr="009F2AA4">
              <w:t>16 (16.5)</w:t>
            </w:r>
          </w:p>
        </w:tc>
        <w:tc>
          <w:tcPr>
            <w:tcW w:w="848" w:type="pct"/>
            <w:tcBorders>
              <w:top w:val="single" w:sz="4" w:space="0" w:color="auto"/>
              <w:left w:val="single" w:sz="4" w:space="0" w:color="auto"/>
              <w:bottom w:val="single" w:sz="4" w:space="0" w:color="auto"/>
              <w:right w:val="single" w:sz="4" w:space="0" w:color="auto"/>
            </w:tcBorders>
            <w:vAlign w:val="center"/>
          </w:tcPr>
          <w:p w14:paraId="3C78100C" w14:textId="77777777" w:rsidR="002F03F5" w:rsidRPr="009F2AA4" w:rsidRDefault="008F23FF" w:rsidP="00921FF3">
            <w:pPr>
              <w:pStyle w:val="TableText"/>
              <w:widowControl/>
              <w:jc w:val="center"/>
              <w:rPr>
                <w:lang w:eastAsia="en-AU"/>
              </w:rPr>
            </w:pPr>
            <w:r w:rsidRPr="009F2AA4">
              <w:rPr>
                <w:lang w:eastAsia="en-AU"/>
              </w:rPr>
              <w:t>141 (65.8)</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0D" w14:textId="77777777" w:rsidR="002F03F5" w:rsidRPr="009F2AA4" w:rsidRDefault="008F23FF" w:rsidP="00921FF3">
            <w:pPr>
              <w:pStyle w:val="TableText"/>
              <w:widowControl/>
              <w:jc w:val="center"/>
              <w:rPr>
                <w:lang w:eastAsia="en-AU"/>
              </w:rPr>
            </w:pPr>
            <w:r w:rsidRPr="009F2AA4">
              <w:rPr>
                <w:lang w:eastAsia="en-AU"/>
              </w:rPr>
              <w:t>77 (70.6)</w:t>
            </w:r>
          </w:p>
        </w:tc>
      </w:tr>
      <w:tr w:rsidR="00476A25" w:rsidRPr="009F2AA4" w14:paraId="3C781014"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0F" w14:textId="77777777" w:rsidR="002F03F5" w:rsidRPr="009F2AA4" w:rsidRDefault="008F23FF" w:rsidP="00921FF3">
            <w:pPr>
              <w:pStyle w:val="TableText"/>
              <w:widowControl/>
              <w:ind w:left="144"/>
              <w:rPr>
                <w:lang w:eastAsia="en-AU"/>
              </w:rPr>
            </w:pPr>
            <w:r w:rsidRPr="009F2AA4">
              <w:rPr>
                <w:lang w:eastAsia="en-AU"/>
              </w:rPr>
              <w:t>Deaths due to AE on treatment</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10" w14:textId="77777777" w:rsidR="002F03F5" w:rsidRPr="009F2AA4" w:rsidRDefault="008F23FF" w:rsidP="00921FF3">
            <w:pPr>
              <w:pStyle w:val="TableText"/>
              <w:widowControl/>
              <w:jc w:val="center"/>
              <w:rPr>
                <w:bCs/>
                <w:vertAlign w:val="superscript"/>
                <w:lang w:eastAsia="en-AU"/>
              </w:rPr>
            </w:pPr>
            <w:r w:rsidRPr="009F2AA4">
              <w:t>5 (2.6)</w:t>
            </w:r>
            <w:r w:rsidRPr="009F2AA4">
              <w:rPr>
                <w:vertAlign w:val="superscript"/>
              </w:rPr>
              <w:t>a</w:t>
            </w:r>
          </w:p>
        </w:tc>
        <w:tc>
          <w:tcPr>
            <w:tcW w:w="849" w:type="pct"/>
            <w:tcBorders>
              <w:top w:val="single" w:sz="4" w:space="0" w:color="auto"/>
              <w:left w:val="single" w:sz="4" w:space="0" w:color="auto"/>
              <w:bottom w:val="single" w:sz="4" w:space="0" w:color="auto"/>
              <w:right w:val="single" w:sz="4" w:space="0" w:color="auto"/>
            </w:tcBorders>
            <w:vAlign w:val="center"/>
          </w:tcPr>
          <w:p w14:paraId="3C781011" w14:textId="77777777" w:rsidR="002F03F5" w:rsidRPr="009F2AA4" w:rsidRDefault="008F23FF" w:rsidP="00921FF3">
            <w:pPr>
              <w:pStyle w:val="TableText"/>
              <w:widowControl/>
              <w:jc w:val="center"/>
              <w:rPr>
                <w:bCs/>
                <w:vertAlign w:val="superscript"/>
                <w:lang w:eastAsia="en-AU"/>
              </w:rPr>
            </w:pPr>
            <w:r w:rsidRPr="009F2AA4">
              <w:t>3 (3.1)</w:t>
            </w:r>
            <w:r w:rsidRPr="009F2AA4">
              <w:rPr>
                <w:vertAlign w:val="superscript"/>
              </w:rPr>
              <w:t>b</w:t>
            </w:r>
          </w:p>
        </w:tc>
        <w:tc>
          <w:tcPr>
            <w:tcW w:w="848" w:type="pct"/>
            <w:tcBorders>
              <w:top w:val="single" w:sz="4" w:space="0" w:color="auto"/>
              <w:left w:val="single" w:sz="4" w:space="0" w:color="auto"/>
              <w:bottom w:val="single" w:sz="4" w:space="0" w:color="auto"/>
              <w:right w:val="single" w:sz="4" w:space="0" w:color="auto"/>
            </w:tcBorders>
            <w:vAlign w:val="center"/>
          </w:tcPr>
          <w:p w14:paraId="3C781012" w14:textId="77777777" w:rsidR="002F03F5" w:rsidRPr="009F2AA4" w:rsidRDefault="008F23FF" w:rsidP="00921FF3">
            <w:pPr>
              <w:pStyle w:val="TableText"/>
              <w:widowControl/>
              <w:jc w:val="center"/>
              <w:rPr>
                <w:lang w:eastAsia="en-AU"/>
              </w:rPr>
            </w:pPr>
            <w:proofErr w:type="spellStart"/>
            <w:r w:rsidRPr="009F2AA4">
              <w:rPr>
                <w:lang w:eastAsia="en-AU"/>
              </w:rPr>
              <w:t>NR</w:t>
            </w:r>
            <w:r w:rsidRPr="009F2AA4">
              <w:rPr>
                <w:vertAlign w:val="superscript"/>
                <w:lang w:eastAsia="en-AU"/>
              </w:rPr>
              <w:t>c</w:t>
            </w:r>
            <w:proofErr w:type="spellEnd"/>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13" w14:textId="77777777" w:rsidR="002F03F5" w:rsidRPr="009F2AA4" w:rsidRDefault="008F23FF" w:rsidP="00921FF3">
            <w:pPr>
              <w:pStyle w:val="TableText"/>
              <w:widowControl/>
              <w:jc w:val="center"/>
              <w:rPr>
                <w:vertAlign w:val="superscript"/>
                <w:lang w:eastAsia="en-AU"/>
              </w:rPr>
            </w:pPr>
            <w:proofErr w:type="spellStart"/>
            <w:r w:rsidRPr="009F2AA4">
              <w:rPr>
                <w:lang w:eastAsia="en-AU"/>
              </w:rPr>
              <w:t>NR</w:t>
            </w:r>
            <w:r w:rsidRPr="009F2AA4">
              <w:rPr>
                <w:vertAlign w:val="superscript"/>
                <w:lang w:eastAsia="en-AU"/>
              </w:rPr>
              <w:t>c</w:t>
            </w:r>
            <w:proofErr w:type="spellEnd"/>
          </w:p>
        </w:tc>
      </w:tr>
      <w:tr w:rsidR="00476A25" w:rsidRPr="009F2AA4" w14:paraId="3C78101A"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15" w14:textId="77777777" w:rsidR="002F03F5" w:rsidRPr="009F2AA4" w:rsidRDefault="008F23FF" w:rsidP="00921FF3">
            <w:pPr>
              <w:pStyle w:val="TableText"/>
              <w:widowControl/>
              <w:ind w:left="144"/>
              <w:rPr>
                <w:lang w:eastAsia="en-AU"/>
              </w:rPr>
            </w:pPr>
            <w:r w:rsidRPr="009F2AA4">
              <w:rPr>
                <w:lang w:eastAsia="en-AU"/>
              </w:rPr>
              <w:t>Death due to study disease</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16" w14:textId="77777777" w:rsidR="002F03F5" w:rsidRPr="009F2AA4" w:rsidRDefault="008F23FF" w:rsidP="00921FF3">
            <w:pPr>
              <w:pStyle w:val="TableText"/>
              <w:widowControl/>
              <w:jc w:val="center"/>
            </w:pPr>
            <w:r w:rsidRPr="009F2AA4">
              <w:t>1 (0.5)</w:t>
            </w:r>
          </w:p>
        </w:tc>
        <w:tc>
          <w:tcPr>
            <w:tcW w:w="849" w:type="pct"/>
            <w:tcBorders>
              <w:top w:val="single" w:sz="4" w:space="0" w:color="auto"/>
              <w:left w:val="single" w:sz="4" w:space="0" w:color="auto"/>
              <w:bottom w:val="single" w:sz="4" w:space="0" w:color="auto"/>
              <w:right w:val="single" w:sz="4" w:space="0" w:color="auto"/>
            </w:tcBorders>
            <w:vAlign w:val="center"/>
          </w:tcPr>
          <w:p w14:paraId="3C781017" w14:textId="77777777" w:rsidR="002F03F5" w:rsidRPr="009F2AA4" w:rsidRDefault="008F23FF" w:rsidP="00921FF3">
            <w:pPr>
              <w:pStyle w:val="TableText"/>
              <w:widowControl/>
              <w:jc w:val="center"/>
            </w:pPr>
            <w:r w:rsidRPr="009F2AA4">
              <w:t>3 (3.1)</w:t>
            </w:r>
          </w:p>
        </w:tc>
        <w:tc>
          <w:tcPr>
            <w:tcW w:w="848" w:type="pct"/>
            <w:tcBorders>
              <w:top w:val="single" w:sz="4" w:space="0" w:color="auto"/>
              <w:left w:val="single" w:sz="4" w:space="0" w:color="auto"/>
              <w:bottom w:val="single" w:sz="4" w:space="0" w:color="auto"/>
              <w:right w:val="single" w:sz="4" w:space="0" w:color="auto"/>
            </w:tcBorders>
            <w:vAlign w:val="center"/>
          </w:tcPr>
          <w:p w14:paraId="3C781018" w14:textId="77777777" w:rsidR="002F03F5" w:rsidRPr="009F2AA4" w:rsidRDefault="008F23FF" w:rsidP="00921FF3">
            <w:pPr>
              <w:pStyle w:val="TableText"/>
              <w:widowControl/>
              <w:jc w:val="center"/>
              <w:rPr>
                <w:lang w:eastAsia="en-AU"/>
              </w:rPr>
            </w:pPr>
            <w:r w:rsidRPr="009F2AA4">
              <w:rPr>
                <w:lang w:eastAsia="en-AU"/>
              </w:rPr>
              <w:t>NR</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19" w14:textId="77777777" w:rsidR="002F03F5" w:rsidRPr="009F2AA4" w:rsidRDefault="008F23FF" w:rsidP="00921FF3">
            <w:pPr>
              <w:pStyle w:val="TableText"/>
              <w:widowControl/>
              <w:jc w:val="center"/>
              <w:rPr>
                <w:lang w:eastAsia="en-AU"/>
              </w:rPr>
            </w:pPr>
            <w:r w:rsidRPr="009F2AA4">
              <w:rPr>
                <w:lang w:eastAsia="en-AU"/>
              </w:rPr>
              <w:t>NR</w:t>
            </w:r>
          </w:p>
        </w:tc>
      </w:tr>
    </w:tbl>
    <w:tbl>
      <w:tblPr>
        <w:tblW w:w="5000" w:type="pct"/>
        <w:tblLayout w:type="fixed"/>
        <w:tblCellMar>
          <w:left w:w="5" w:type="dxa"/>
          <w:right w:w="5" w:type="dxa"/>
        </w:tblCellMar>
        <w:tblLook w:val="04A0" w:firstRow="1" w:lastRow="0" w:firstColumn="1" w:lastColumn="0" w:noHBand="0" w:noVBand="1"/>
      </w:tblPr>
      <w:tblGrid>
        <w:gridCol w:w="8964"/>
        <w:gridCol w:w="57"/>
      </w:tblGrid>
      <w:tr w:rsidR="002F03F5" w:rsidRPr="009F2AA4" w14:paraId="3C78101D" w14:textId="77777777" w:rsidTr="00046D8F">
        <w:tc>
          <w:tcPr>
            <w:tcW w:w="8969" w:type="dxa"/>
            <w:tcBorders>
              <w:top w:val="single" w:sz="4" w:space="0" w:color="000000"/>
              <w:left w:val="single" w:sz="4" w:space="0" w:color="000000"/>
              <w:bottom w:val="single" w:sz="4" w:space="0" w:color="000000"/>
              <w:right w:val="single" w:sz="4" w:space="0" w:color="000000"/>
            </w:tcBorders>
            <w:vAlign w:val="center"/>
          </w:tcPr>
          <w:p w14:paraId="3C78101B" w14:textId="77777777" w:rsidR="002F03F5" w:rsidRPr="009F2AA4" w:rsidRDefault="008F23FF" w:rsidP="00921FF3">
            <w:pPr>
              <w:pStyle w:val="TableText"/>
              <w:widowControl/>
            </w:pPr>
            <w:r w:rsidRPr="009F2AA4">
              <w:rPr>
                <w:b/>
                <w:bCs/>
                <w:lang w:eastAsia="en-AU"/>
              </w:rPr>
              <w:t>Grade ≥3 TEAE</w:t>
            </w:r>
          </w:p>
        </w:tc>
        <w:tc>
          <w:tcPr>
            <w:tcW w:w="57" w:type="dxa"/>
          </w:tcPr>
          <w:p w14:paraId="3C78101C" w14:textId="77777777" w:rsidR="002F03F5" w:rsidRPr="009F2AA4" w:rsidRDefault="002F03F5" w:rsidP="00921FF3"/>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95"/>
        <w:gridCol w:w="1530"/>
        <w:gridCol w:w="1531"/>
        <w:gridCol w:w="1529"/>
        <w:gridCol w:w="1531"/>
      </w:tblGrid>
      <w:tr w:rsidR="00476A25" w:rsidRPr="009F2AA4" w14:paraId="3C781023"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1E" w14:textId="77777777" w:rsidR="002F03F5" w:rsidRPr="009F2AA4" w:rsidRDefault="008F23FF" w:rsidP="00921FF3">
            <w:pPr>
              <w:pStyle w:val="TableText"/>
              <w:widowControl/>
              <w:ind w:left="144"/>
              <w:rPr>
                <w:lang w:eastAsia="en-AU"/>
              </w:rPr>
            </w:pPr>
            <w:r w:rsidRPr="009F2AA4">
              <w:t>Hypertension</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1F" w14:textId="77777777" w:rsidR="002F03F5" w:rsidRPr="009F2AA4" w:rsidRDefault="008F23FF" w:rsidP="00921FF3">
            <w:pPr>
              <w:pStyle w:val="TableText"/>
              <w:widowControl/>
              <w:jc w:val="center"/>
            </w:pPr>
            <w:r w:rsidRPr="009F2AA4">
              <w:rPr>
                <w:bCs/>
              </w:rPr>
              <w:t>41 (21.2)</w:t>
            </w:r>
          </w:p>
        </w:tc>
        <w:tc>
          <w:tcPr>
            <w:tcW w:w="849" w:type="pct"/>
            <w:tcBorders>
              <w:top w:val="single" w:sz="4" w:space="0" w:color="auto"/>
              <w:left w:val="single" w:sz="4" w:space="0" w:color="auto"/>
              <w:bottom w:val="single" w:sz="4" w:space="0" w:color="auto"/>
              <w:right w:val="single" w:sz="4" w:space="0" w:color="auto"/>
            </w:tcBorders>
            <w:vAlign w:val="center"/>
          </w:tcPr>
          <w:p w14:paraId="3C781020" w14:textId="77777777" w:rsidR="002F03F5" w:rsidRPr="009F2AA4" w:rsidRDefault="008F23FF" w:rsidP="00921FF3">
            <w:pPr>
              <w:pStyle w:val="TableText"/>
              <w:widowControl/>
              <w:jc w:val="center"/>
            </w:pPr>
            <w:r w:rsidRPr="009F2AA4">
              <w:rPr>
                <w:bCs/>
              </w:rPr>
              <w:t>17 (17.5)</w:t>
            </w:r>
          </w:p>
        </w:tc>
        <w:tc>
          <w:tcPr>
            <w:tcW w:w="848" w:type="pct"/>
            <w:tcBorders>
              <w:top w:val="single" w:sz="4" w:space="0" w:color="auto"/>
              <w:left w:val="single" w:sz="4" w:space="0" w:color="auto"/>
              <w:bottom w:val="single" w:sz="4" w:space="0" w:color="auto"/>
              <w:right w:val="single" w:sz="4" w:space="0" w:color="auto"/>
            </w:tcBorders>
            <w:vAlign w:val="center"/>
          </w:tcPr>
          <w:p w14:paraId="3C781021" w14:textId="77777777" w:rsidR="002F03F5" w:rsidRPr="009F2AA4" w:rsidRDefault="008F23FF" w:rsidP="00921FF3">
            <w:pPr>
              <w:pStyle w:val="TableText"/>
              <w:widowControl/>
              <w:jc w:val="center"/>
              <w:rPr>
                <w:lang w:eastAsia="en-AU"/>
              </w:rPr>
            </w:pPr>
            <w:r w:rsidRPr="009F2AA4">
              <w:rPr>
                <w:lang w:eastAsia="en-AU"/>
              </w:rPr>
              <w:t>19 (8.9)</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22" w14:textId="77777777" w:rsidR="002F03F5" w:rsidRPr="009F2AA4" w:rsidRDefault="008F23FF" w:rsidP="00921FF3">
            <w:pPr>
              <w:pStyle w:val="TableText"/>
              <w:widowControl/>
              <w:jc w:val="center"/>
              <w:rPr>
                <w:lang w:eastAsia="en-AU"/>
              </w:rPr>
            </w:pPr>
            <w:r w:rsidRPr="009F2AA4">
              <w:rPr>
                <w:lang w:eastAsia="en-AU"/>
              </w:rPr>
              <w:t>0 (0)</w:t>
            </w:r>
          </w:p>
        </w:tc>
      </w:tr>
      <w:tr w:rsidR="00476A25" w:rsidRPr="009F2AA4" w14:paraId="3C781029"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24" w14:textId="77777777" w:rsidR="002F03F5" w:rsidRPr="009F2AA4" w:rsidRDefault="008F23FF" w:rsidP="00921FF3">
            <w:pPr>
              <w:pStyle w:val="TableText"/>
              <w:widowControl/>
              <w:ind w:left="144"/>
              <w:rPr>
                <w:lang w:eastAsia="en-AU"/>
              </w:rPr>
            </w:pPr>
            <w:r w:rsidRPr="009F2AA4">
              <w:t>ALT increased</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25" w14:textId="77777777" w:rsidR="002F03F5" w:rsidRPr="009F2AA4" w:rsidRDefault="008F23FF" w:rsidP="00921FF3">
            <w:pPr>
              <w:pStyle w:val="TableText"/>
              <w:widowControl/>
              <w:jc w:val="center"/>
            </w:pPr>
            <w:r w:rsidRPr="009F2AA4">
              <w:rPr>
                <w:bCs/>
              </w:rPr>
              <w:t>21 (10.9)</w:t>
            </w:r>
          </w:p>
        </w:tc>
        <w:tc>
          <w:tcPr>
            <w:tcW w:w="849" w:type="pct"/>
            <w:tcBorders>
              <w:top w:val="single" w:sz="4" w:space="0" w:color="auto"/>
              <w:left w:val="single" w:sz="4" w:space="0" w:color="auto"/>
              <w:bottom w:val="single" w:sz="4" w:space="0" w:color="auto"/>
              <w:right w:val="single" w:sz="4" w:space="0" w:color="auto"/>
            </w:tcBorders>
            <w:vAlign w:val="center"/>
          </w:tcPr>
          <w:p w14:paraId="3C781026" w14:textId="77777777" w:rsidR="002F03F5" w:rsidRPr="009F2AA4" w:rsidRDefault="008F23FF" w:rsidP="00921FF3">
            <w:pPr>
              <w:pStyle w:val="TableText"/>
              <w:widowControl/>
              <w:jc w:val="center"/>
            </w:pPr>
            <w:r w:rsidRPr="009F2AA4">
              <w:rPr>
                <w:bCs/>
              </w:rPr>
              <w:t>2 (2.1)</w:t>
            </w:r>
          </w:p>
        </w:tc>
        <w:tc>
          <w:tcPr>
            <w:tcW w:w="848" w:type="pct"/>
            <w:tcBorders>
              <w:top w:val="single" w:sz="4" w:space="0" w:color="auto"/>
              <w:left w:val="single" w:sz="4" w:space="0" w:color="auto"/>
              <w:bottom w:val="single" w:sz="4" w:space="0" w:color="auto"/>
              <w:right w:val="single" w:sz="4" w:space="0" w:color="auto"/>
            </w:tcBorders>
            <w:vAlign w:val="center"/>
          </w:tcPr>
          <w:p w14:paraId="3C781027" w14:textId="77777777" w:rsidR="002F03F5" w:rsidRPr="009F2AA4" w:rsidRDefault="008F23FF" w:rsidP="00921FF3">
            <w:pPr>
              <w:pStyle w:val="TableText"/>
              <w:widowControl/>
              <w:jc w:val="center"/>
              <w:rPr>
                <w:lang w:eastAsia="en-AU"/>
              </w:rPr>
            </w:pPr>
            <w:r w:rsidRPr="009F2AA4">
              <w:rPr>
                <w:lang w:eastAsia="en-AU"/>
              </w:rPr>
              <w:t>11 (5.1)</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28" w14:textId="77777777" w:rsidR="002F03F5" w:rsidRPr="009F2AA4" w:rsidRDefault="008F23FF" w:rsidP="00921FF3">
            <w:pPr>
              <w:pStyle w:val="TableText"/>
              <w:widowControl/>
              <w:jc w:val="center"/>
              <w:rPr>
                <w:lang w:eastAsia="en-AU"/>
              </w:rPr>
            </w:pPr>
            <w:r w:rsidRPr="009F2AA4">
              <w:rPr>
                <w:lang w:eastAsia="en-AU"/>
              </w:rPr>
              <w:t>2 (1.8)</w:t>
            </w:r>
          </w:p>
        </w:tc>
      </w:tr>
      <w:tr w:rsidR="00476A25" w:rsidRPr="009F2AA4" w14:paraId="3C78102F"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2A" w14:textId="77777777" w:rsidR="002F03F5" w:rsidRPr="009F2AA4" w:rsidRDefault="008F23FF" w:rsidP="00921FF3">
            <w:pPr>
              <w:pStyle w:val="TableText"/>
              <w:widowControl/>
              <w:ind w:left="144"/>
              <w:rPr>
                <w:lang w:eastAsia="en-AU"/>
              </w:rPr>
            </w:pPr>
            <w:r w:rsidRPr="009F2AA4">
              <w:t>Electrocardiogram QT prolonged</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2B" w14:textId="77777777" w:rsidR="002F03F5" w:rsidRPr="009F2AA4" w:rsidRDefault="008F23FF" w:rsidP="00921FF3">
            <w:pPr>
              <w:pStyle w:val="TableText"/>
              <w:widowControl/>
              <w:jc w:val="center"/>
            </w:pPr>
            <w:r w:rsidRPr="009F2AA4">
              <w:rPr>
                <w:bCs/>
              </w:rPr>
              <w:t>11 (5.7)</w:t>
            </w:r>
          </w:p>
        </w:tc>
        <w:tc>
          <w:tcPr>
            <w:tcW w:w="849" w:type="pct"/>
            <w:tcBorders>
              <w:top w:val="single" w:sz="4" w:space="0" w:color="auto"/>
              <w:left w:val="single" w:sz="4" w:space="0" w:color="auto"/>
              <w:bottom w:val="single" w:sz="4" w:space="0" w:color="auto"/>
              <w:right w:val="single" w:sz="4" w:space="0" w:color="auto"/>
            </w:tcBorders>
            <w:vAlign w:val="center"/>
          </w:tcPr>
          <w:p w14:paraId="3C78102C" w14:textId="77777777" w:rsidR="002F03F5" w:rsidRPr="009F2AA4" w:rsidRDefault="008F23FF" w:rsidP="00921FF3">
            <w:pPr>
              <w:pStyle w:val="TableText"/>
              <w:widowControl/>
              <w:jc w:val="center"/>
            </w:pPr>
            <w:r w:rsidRPr="009F2AA4">
              <w:rPr>
                <w:bCs/>
              </w:rPr>
              <w:t>3 (3.1)</w:t>
            </w:r>
          </w:p>
        </w:tc>
        <w:tc>
          <w:tcPr>
            <w:tcW w:w="848" w:type="pct"/>
            <w:tcBorders>
              <w:top w:val="single" w:sz="4" w:space="0" w:color="auto"/>
              <w:left w:val="single" w:sz="4" w:space="0" w:color="auto"/>
              <w:bottom w:val="single" w:sz="4" w:space="0" w:color="auto"/>
              <w:right w:val="single" w:sz="4" w:space="0" w:color="auto"/>
            </w:tcBorders>
            <w:vAlign w:val="center"/>
          </w:tcPr>
          <w:p w14:paraId="3C78102D" w14:textId="77777777" w:rsidR="002F03F5" w:rsidRPr="009F2AA4" w:rsidRDefault="008F23FF" w:rsidP="00921FF3">
            <w:pPr>
              <w:pStyle w:val="TableText"/>
              <w:widowControl/>
              <w:jc w:val="center"/>
              <w:rPr>
                <w:lang w:eastAsia="en-AU"/>
              </w:rPr>
            </w:pPr>
            <w:r w:rsidRPr="009F2AA4">
              <w:rPr>
                <w:lang w:eastAsia="en-AU"/>
              </w:rPr>
              <w:t>NR</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2E" w14:textId="77777777" w:rsidR="002F03F5" w:rsidRPr="009F2AA4" w:rsidRDefault="008F23FF" w:rsidP="00921FF3">
            <w:pPr>
              <w:pStyle w:val="TableText"/>
              <w:widowControl/>
              <w:jc w:val="center"/>
              <w:rPr>
                <w:lang w:eastAsia="en-AU"/>
              </w:rPr>
            </w:pPr>
            <w:r w:rsidRPr="009F2AA4">
              <w:rPr>
                <w:lang w:eastAsia="en-AU"/>
              </w:rPr>
              <w:t>NR</w:t>
            </w:r>
          </w:p>
        </w:tc>
      </w:tr>
      <w:tr w:rsidR="00476A25" w:rsidRPr="009F2AA4" w14:paraId="3C781035"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30" w14:textId="77777777" w:rsidR="002F03F5" w:rsidRPr="009F2AA4" w:rsidRDefault="008F23FF" w:rsidP="00921FF3">
            <w:pPr>
              <w:pStyle w:val="TableText"/>
              <w:widowControl/>
              <w:ind w:left="144"/>
              <w:rPr>
                <w:lang w:eastAsia="en-AU"/>
              </w:rPr>
            </w:pPr>
            <w:r w:rsidRPr="009F2AA4">
              <w:t>AST increased</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31" w14:textId="77777777" w:rsidR="002F03F5" w:rsidRPr="009F2AA4" w:rsidRDefault="008F23FF" w:rsidP="00921FF3">
            <w:pPr>
              <w:pStyle w:val="TableText"/>
              <w:widowControl/>
              <w:jc w:val="center"/>
            </w:pPr>
            <w:r w:rsidRPr="009F2AA4">
              <w:rPr>
                <w:bCs/>
              </w:rPr>
              <w:t>10 (5.2)</w:t>
            </w:r>
          </w:p>
        </w:tc>
        <w:tc>
          <w:tcPr>
            <w:tcW w:w="849" w:type="pct"/>
            <w:tcBorders>
              <w:top w:val="single" w:sz="4" w:space="0" w:color="auto"/>
              <w:left w:val="single" w:sz="4" w:space="0" w:color="auto"/>
              <w:bottom w:val="single" w:sz="4" w:space="0" w:color="auto"/>
              <w:right w:val="single" w:sz="4" w:space="0" w:color="auto"/>
            </w:tcBorders>
            <w:vAlign w:val="center"/>
          </w:tcPr>
          <w:p w14:paraId="3C781032" w14:textId="77777777" w:rsidR="002F03F5" w:rsidRPr="009F2AA4" w:rsidRDefault="008F23FF" w:rsidP="00921FF3">
            <w:pPr>
              <w:pStyle w:val="TableText"/>
              <w:widowControl/>
              <w:jc w:val="center"/>
            </w:pPr>
            <w:r w:rsidRPr="009F2AA4">
              <w:rPr>
                <w:bCs/>
              </w:rPr>
              <w:t>3 (3.1)</w:t>
            </w:r>
          </w:p>
        </w:tc>
        <w:tc>
          <w:tcPr>
            <w:tcW w:w="848" w:type="pct"/>
            <w:tcBorders>
              <w:top w:val="single" w:sz="4" w:space="0" w:color="auto"/>
              <w:left w:val="single" w:sz="4" w:space="0" w:color="auto"/>
              <w:bottom w:val="single" w:sz="4" w:space="0" w:color="auto"/>
              <w:right w:val="single" w:sz="4" w:space="0" w:color="auto"/>
            </w:tcBorders>
            <w:vAlign w:val="center"/>
          </w:tcPr>
          <w:p w14:paraId="3C781033" w14:textId="77777777" w:rsidR="002F03F5" w:rsidRPr="009F2AA4" w:rsidRDefault="008F23FF" w:rsidP="00921FF3">
            <w:pPr>
              <w:pStyle w:val="TableText"/>
              <w:widowControl/>
              <w:jc w:val="center"/>
              <w:rPr>
                <w:lang w:eastAsia="en-AU"/>
              </w:rPr>
            </w:pPr>
            <w:r w:rsidRPr="009F2AA4">
              <w:rPr>
                <w:lang w:eastAsia="en-AU"/>
              </w:rPr>
              <w:t>4 (1.9)</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34" w14:textId="77777777" w:rsidR="002F03F5" w:rsidRPr="009F2AA4" w:rsidRDefault="008F23FF" w:rsidP="00921FF3">
            <w:pPr>
              <w:pStyle w:val="TableText"/>
              <w:widowControl/>
              <w:jc w:val="center"/>
              <w:rPr>
                <w:lang w:eastAsia="en-AU"/>
              </w:rPr>
            </w:pPr>
            <w:r w:rsidRPr="009F2AA4">
              <w:rPr>
                <w:lang w:eastAsia="en-AU"/>
              </w:rPr>
              <w:t>0 (0)</w:t>
            </w:r>
          </w:p>
        </w:tc>
      </w:tr>
      <w:tr w:rsidR="00476A25" w:rsidRPr="009F2AA4" w14:paraId="3C78103B"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36" w14:textId="77777777" w:rsidR="002F03F5" w:rsidRPr="009F2AA4" w:rsidRDefault="008F23FF" w:rsidP="00921FF3">
            <w:pPr>
              <w:pStyle w:val="TableText"/>
              <w:widowControl/>
              <w:ind w:left="144"/>
              <w:rPr>
                <w:lang w:eastAsia="en-AU"/>
              </w:rPr>
            </w:pPr>
            <w:r w:rsidRPr="009F2AA4">
              <w:t>Fatigue</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37" w14:textId="77777777" w:rsidR="002F03F5" w:rsidRPr="009F2AA4" w:rsidRDefault="008F23FF" w:rsidP="00921FF3">
            <w:pPr>
              <w:pStyle w:val="TableText"/>
              <w:widowControl/>
              <w:jc w:val="center"/>
            </w:pPr>
            <w:r w:rsidRPr="009F2AA4">
              <w:rPr>
                <w:bCs/>
              </w:rPr>
              <w:t>7 (3.6)</w:t>
            </w:r>
          </w:p>
        </w:tc>
        <w:tc>
          <w:tcPr>
            <w:tcW w:w="849" w:type="pct"/>
            <w:tcBorders>
              <w:top w:val="single" w:sz="4" w:space="0" w:color="auto"/>
              <w:left w:val="single" w:sz="4" w:space="0" w:color="auto"/>
              <w:bottom w:val="single" w:sz="4" w:space="0" w:color="auto"/>
              <w:right w:val="single" w:sz="4" w:space="0" w:color="auto"/>
            </w:tcBorders>
            <w:vAlign w:val="center"/>
          </w:tcPr>
          <w:p w14:paraId="3C781038" w14:textId="77777777" w:rsidR="002F03F5" w:rsidRPr="009F2AA4" w:rsidRDefault="008F23FF" w:rsidP="00921FF3">
            <w:pPr>
              <w:pStyle w:val="TableText"/>
              <w:widowControl/>
              <w:jc w:val="center"/>
            </w:pPr>
            <w:r w:rsidRPr="009F2AA4">
              <w:rPr>
                <w:bCs/>
              </w:rPr>
              <w:t>5 (5.2)</w:t>
            </w:r>
          </w:p>
        </w:tc>
        <w:tc>
          <w:tcPr>
            <w:tcW w:w="848" w:type="pct"/>
            <w:tcBorders>
              <w:top w:val="single" w:sz="4" w:space="0" w:color="auto"/>
              <w:left w:val="single" w:sz="4" w:space="0" w:color="auto"/>
              <w:bottom w:val="single" w:sz="4" w:space="0" w:color="auto"/>
              <w:right w:val="single" w:sz="4" w:space="0" w:color="auto"/>
            </w:tcBorders>
            <w:vAlign w:val="center"/>
          </w:tcPr>
          <w:p w14:paraId="3C781039" w14:textId="77777777" w:rsidR="002F03F5" w:rsidRPr="009F2AA4" w:rsidRDefault="008F23FF" w:rsidP="00921FF3">
            <w:pPr>
              <w:pStyle w:val="TableText"/>
              <w:widowControl/>
              <w:jc w:val="center"/>
              <w:rPr>
                <w:lang w:eastAsia="en-AU"/>
              </w:rPr>
            </w:pPr>
            <w:r w:rsidRPr="009F2AA4">
              <w:rPr>
                <w:lang w:eastAsia="en-AU"/>
              </w:rPr>
              <w:t>21 (9.8)</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3A" w14:textId="77777777" w:rsidR="002F03F5" w:rsidRPr="009F2AA4" w:rsidRDefault="008F23FF" w:rsidP="00921FF3">
            <w:pPr>
              <w:pStyle w:val="TableText"/>
              <w:widowControl/>
              <w:jc w:val="center"/>
              <w:rPr>
                <w:lang w:eastAsia="en-AU"/>
              </w:rPr>
            </w:pPr>
            <w:r w:rsidRPr="009F2AA4">
              <w:rPr>
                <w:lang w:eastAsia="en-AU"/>
              </w:rPr>
              <w:t>3 (2.8)</w:t>
            </w:r>
          </w:p>
        </w:tc>
      </w:tr>
      <w:tr w:rsidR="00476A25" w:rsidRPr="009F2AA4" w14:paraId="3C781041"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3C" w14:textId="77777777" w:rsidR="002F03F5" w:rsidRPr="009F2AA4" w:rsidRDefault="008F23FF" w:rsidP="00921FF3">
            <w:pPr>
              <w:pStyle w:val="TableText"/>
              <w:widowControl/>
              <w:ind w:left="144"/>
              <w:rPr>
                <w:lang w:eastAsia="en-AU"/>
              </w:rPr>
            </w:pPr>
            <w:r w:rsidRPr="009F2AA4">
              <w:t>Diarrhoea</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3D" w14:textId="77777777" w:rsidR="002F03F5" w:rsidRPr="009F2AA4" w:rsidRDefault="008F23FF" w:rsidP="00921FF3">
            <w:pPr>
              <w:pStyle w:val="TableText"/>
              <w:widowControl/>
              <w:jc w:val="center"/>
            </w:pPr>
            <w:r w:rsidRPr="009F2AA4">
              <w:rPr>
                <w:bCs/>
              </w:rPr>
              <w:t>6 (3.1)</w:t>
            </w:r>
          </w:p>
        </w:tc>
        <w:tc>
          <w:tcPr>
            <w:tcW w:w="849" w:type="pct"/>
            <w:tcBorders>
              <w:top w:val="single" w:sz="4" w:space="0" w:color="auto"/>
              <w:left w:val="single" w:sz="4" w:space="0" w:color="auto"/>
              <w:bottom w:val="single" w:sz="4" w:space="0" w:color="auto"/>
              <w:right w:val="single" w:sz="4" w:space="0" w:color="auto"/>
            </w:tcBorders>
            <w:vAlign w:val="center"/>
          </w:tcPr>
          <w:p w14:paraId="3C78103E" w14:textId="77777777" w:rsidR="002F03F5" w:rsidRPr="009F2AA4" w:rsidRDefault="008F23FF" w:rsidP="00921FF3">
            <w:pPr>
              <w:pStyle w:val="TableText"/>
              <w:widowControl/>
              <w:jc w:val="center"/>
            </w:pPr>
            <w:r w:rsidRPr="009F2AA4">
              <w:rPr>
                <w:bCs/>
              </w:rPr>
              <w:t>11 (11.3)</w:t>
            </w:r>
          </w:p>
        </w:tc>
        <w:tc>
          <w:tcPr>
            <w:tcW w:w="848" w:type="pct"/>
            <w:tcBorders>
              <w:top w:val="single" w:sz="4" w:space="0" w:color="auto"/>
              <w:left w:val="single" w:sz="4" w:space="0" w:color="auto"/>
              <w:bottom w:val="single" w:sz="4" w:space="0" w:color="auto"/>
              <w:right w:val="single" w:sz="4" w:space="0" w:color="auto"/>
            </w:tcBorders>
            <w:vAlign w:val="center"/>
          </w:tcPr>
          <w:p w14:paraId="3C78103F" w14:textId="77777777" w:rsidR="002F03F5" w:rsidRPr="009F2AA4" w:rsidRDefault="008F23FF" w:rsidP="00921FF3">
            <w:pPr>
              <w:pStyle w:val="TableText"/>
              <w:widowControl/>
              <w:jc w:val="center"/>
              <w:rPr>
                <w:lang w:eastAsia="en-AU"/>
              </w:rPr>
            </w:pPr>
            <w:r w:rsidRPr="009F2AA4">
              <w:rPr>
                <w:lang w:eastAsia="en-AU"/>
              </w:rPr>
              <w:t>46 (21.5)</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40" w14:textId="77777777" w:rsidR="002F03F5" w:rsidRPr="009F2AA4" w:rsidRDefault="008F23FF" w:rsidP="00921FF3">
            <w:pPr>
              <w:pStyle w:val="TableText"/>
              <w:widowControl/>
              <w:jc w:val="center"/>
              <w:rPr>
                <w:lang w:eastAsia="en-AU"/>
              </w:rPr>
            </w:pPr>
            <w:r w:rsidRPr="009F2AA4">
              <w:rPr>
                <w:lang w:eastAsia="en-AU"/>
              </w:rPr>
              <w:t>2 (1.8)</w:t>
            </w:r>
          </w:p>
        </w:tc>
      </w:tr>
      <w:tr w:rsidR="00476A25" w:rsidRPr="009F2AA4" w14:paraId="3C781047"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42" w14:textId="77777777" w:rsidR="002F03F5" w:rsidRPr="009F2AA4" w:rsidRDefault="008F23FF" w:rsidP="00921FF3">
            <w:pPr>
              <w:pStyle w:val="TableText"/>
              <w:widowControl/>
              <w:ind w:left="144"/>
              <w:rPr>
                <w:lang w:eastAsia="en-AU"/>
              </w:rPr>
            </w:pPr>
            <w:r w:rsidRPr="009F2AA4">
              <w:t>Hypocalcaemia</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43" w14:textId="77777777" w:rsidR="002F03F5" w:rsidRPr="009F2AA4" w:rsidRDefault="008F23FF" w:rsidP="00921FF3">
            <w:pPr>
              <w:pStyle w:val="TableText"/>
              <w:widowControl/>
              <w:jc w:val="center"/>
            </w:pPr>
            <w:r w:rsidRPr="009F2AA4">
              <w:rPr>
                <w:bCs/>
              </w:rPr>
              <w:t>3 (1.6)</w:t>
            </w:r>
          </w:p>
        </w:tc>
        <w:tc>
          <w:tcPr>
            <w:tcW w:w="849" w:type="pct"/>
            <w:tcBorders>
              <w:top w:val="single" w:sz="4" w:space="0" w:color="auto"/>
              <w:left w:val="single" w:sz="4" w:space="0" w:color="auto"/>
              <w:bottom w:val="single" w:sz="4" w:space="0" w:color="auto"/>
              <w:right w:val="single" w:sz="4" w:space="0" w:color="auto"/>
            </w:tcBorders>
            <w:vAlign w:val="center"/>
          </w:tcPr>
          <w:p w14:paraId="3C781044" w14:textId="77777777" w:rsidR="002F03F5" w:rsidRPr="009F2AA4" w:rsidRDefault="008F23FF" w:rsidP="00921FF3">
            <w:pPr>
              <w:pStyle w:val="TableText"/>
              <w:widowControl/>
              <w:jc w:val="center"/>
            </w:pPr>
            <w:r w:rsidRPr="009F2AA4">
              <w:rPr>
                <w:bCs/>
              </w:rPr>
              <w:t>7 (7.2)</w:t>
            </w:r>
          </w:p>
        </w:tc>
        <w:tc>
          <w:tcPr>
            <w:tcW w:w="848" w:type="pct"/>
            <w:tcBorders>
              <w:top w:val="single" w:sz="4" w:space="0" w:color="auto"/>
              <w:left w:val="single" w:sz="4" w:space="0" w:color="auto"/>
              <w:bottom w:val="single" w:sz="4" w:space="0" w:color="auto"/>
              <w:right w:val="single" w:sz="4" w:space="0" w:color="auto"/>
            </w:tcBorders>
            <w:vAlign w:val="center"/>
          </w:tcPr>
          <w:p w14:paraId="3C781045" w14:textId="77777777" w:rsidR="002F03F5" w:rsidRPr="009F2AA4" w:rsidRDefault="008F23FF" w:rsidP="00921FF3">
            <w:pPr>
              <w:pStyle w:val="TableText"/>
              <w:widowControl/>
              <w:jc w:val="center"/>
              <w:rPr>
                <w:lang w:eastAsia="en-AU"/>
              </w:rPr>
            </w:pPr>
            <w:r w:rsidRPr="009F2AA4">
              <w:rPr>
                <w:lang w:eastAsia="en-AU"/>
              </w:rPr>
              <w:t>23 (10.7)</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46" w14:textId="77777777" w:rsidR="002F03F5" w:rsidRPr="009F2AA4" w:rsidRDefault="008F23FF" w:rsidP="00921FF3">
            <w:pPr>
              <w:pStyle w:val="TableText"/>
              <w:widowControl/>
              <w:jc w:val="center"/>
              <w:rPr>
                <w:lang w:eastAsia="en-AU"/>
              </w:rPr>
            </w:pPr>
            <w:r w:rsidRPr="009F2AA4">
              <w:rPr>
                <w:lang w:eastAsia="en-AU"/>
              </w:rPr>
              <w:t>0 (0)</w:t>
            </w:r>
          </w:p>
        </w:tc>
      </w:tr>
      <w:tr w:rsidR="00476A25" w:rsidRPr="009F2AA4" w14:paraId="3C78104D"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48" w14:textId="77777777" w:rsidR="002F03F5" w:rsidRPr="009F2AA4" w:rsidRDefault="008F23FF" w:rsidP="00921FF3">
            <w:pPr>
              <w:pStyle w:val="TableText"/>
              <w:widowControl/>
              <w:ind w:left="144"/>
              <w:rPr>
                <w:lang w:eastAsia="en-AU"/>
              </w:rPr>
            </w:pPr>
            <w:r w:rsidRPr="009F2AA4">
              <w:t>Hypokalaemia</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49" w14:textId="77777777" w:rsidR="002F03F5" w:rsidRPr="009F2AA4" w:rsidRDefault="008F23FF" w:rsidP="00921FF3">
            <w:pPr>
              <w:pStyle w:val="TableText"/>
              <w:widowControl/>
              <w:jc w:val="center"/>
            </w:pPr>
            <w:r w:rsidRPr="009F2AA4">
              <w:rPr>
                <w:bCs/>
              </w:rPr>
              <w:t>2 (1.0)</w:t>
            </w:r>
          </w:p>
        </w:tc>
        <w:tc>
          <w:tcPr>
            <w:tcW w:w="849" w:type="pct"/>
            <w:tcBorders>
              <w:top w:val="single" w:sz="4" w:space="0" w:color="auto"/>
              <w:left w:val="single" w:sz="4" w:space="0" w:color="auto"/>
              <w:bottom w:val="single" w:sz="4" w:space="0" w:color="auto"/>
              <w:right w:val="single" w:sz="4" w:space="0" w:color="auto"/>
            </w:tcBorders>
            <w:vAlign w:val="center"/>
          </w:tcPr>
          <w:p w14:paraId="3C78104A" w14:textId="77777777" w:rsidR="002F03F5" w:rsidRPr="009F2AA4" w:rsidRDefault="008F23FF" w:rsidP="00921FF3">
            <w:pPr>
              <w:pStyle w:val="TableText"/>
              <w:widowControl/>
              <w:jc w:val="center"/>
            </w:pPr>
            <w:r w:rsidRPr="009F2AA4">
              <w:rPr>
                <w:bCs/>
              </w:rPr>
              <w:t>6 (6.2)</w:t>
            </w:r>
          </w:p>
        </w:tc>
        <w:tc>
          <w:tcPr>
            <w:tcW w:w="848" w:type="pct"/>
            <w:tcBorders>
              <w:top w:val="single" w:sz="4" w:space="0" w:color="auto"/>
              <w:left w:val="single" w:sz="4" w:space="0" w:color="auto"/>
              <w:bottom w:val="single" w:sz="4" w:space="0" w:color="auto"/>
              <w:right w:val="single" w:sz="4" w:space="0" w:color="auto"/>
            </w:tcBorders>
            <w:vAlign w:val="center"/>
          </w:tcPr>
          <w:p w14:paraId="3C78104B" w14:textId="77777777" w:rsidR="002F03F5" w:rsidRPr="009F2AA4" w:rsidRDefault="008F23FF" w:rsidP="00921FF3">
            <w:pPr>
              <w:pStyle w:val="TableText"/>
              <w:widowControl/>
              <w:jc w:val="center"/>
              <w:rPr>
                <w:i/>
                <w:iCs/>
                <w:lang w:eastAsia="en-AU"/>
              </w:rPr>
            </w:pPr>
            <w:r w:rsidRPr="009F2AA4">
              <w:rPr>
                <w:lang w:eastAsia="en-AU"/>
              </w:rPr>
              <w:t>NR</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4C" w14:textId="77777777" w:rsidR="002F03F5" w:rsidRPr="009F2AA4" w:rsidRDefault="008F23FF" w:rsidP="00921FF3">
            <w:pPr>
              <w:pStyle w:val="TableText"/>
              <w:widowControl/>
              <w:jc w:val="center"/>
              <w:rPr>
                <w:i/>
                <w:iCs/>
                <w:lang w:eastAsia="en-AU"/>
              </w:rPr>
            </w:pPr>
            <w:r w:rsidRPr="009F2AA4">
              <w:rPr>
                <w:lang w:eastAsia="en-AU"/>
              </w:rPr>
              <w:t>NR</w:t>
            </w:r>
          </w:p>
        </w:tc>
      </w:tr>
      <w:tr w:rsidR="00476A25" w:rsidRPr="009F2AA4" w14:paraId="3C781053"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4E" w14:textId="77777777" w:rsidR="002F03F5" w:rsidRPr="009F2AA4" w:rsidRDefault="008F23FF" w:rsidP="00921FF3">
            <w:pPr>
              <w:pStyle w:val="TableText"/>
              <w:widowControl/>
              <w:ind w:left="144"/>
              <w:rPr>
                <w:lang w:eastAsia="en-AU"/>
              </w:rPr>
            </w:pPr>
            <w:r w:rsidRPr="009F2AA4">
              <w:t>Nausea</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4F" w14:textId="77777777" w:rsidR="002F03F5" w:rsidRPr="009F2AA4" w:rsidRDefault="008F23FF" w:rsidP="00921FF3">
            <w:pPr>
              <w:pStyle w:val="TableText"/>
              <w:widowControl/>
              <w:jc w:val="center"/>
            </w:pPr>
            <w:r w:rsidRPr="009F2AA4">
              <w:rPr>
                <w:bCs/>
              </w:rPr>
              <w:t>2 (1.0)</w:t>
            </w:r>
          </w:p>
        </w:tc>
        <w:tc>
          <w:tcPr>
            <w:tcW w:w="849" w:type="pct"/>
            <w:tcBorders>
              <w:top w:val="single" w:sz="4" w:space="0" w:color="auto"/>
              <w:left w:val="single" w:sz="4" w:space="0" w:color="auto"/>
              <w:bottom w:val="single" w:sz="4" w:space="0" w:color="auto"/>
              <w:right w:val="single" w:sz="4" w:space="0" w:color="auto"/>
            </w:tcBorders>
            <w:vAlign w:val="center"/>
          </w:tcPr>
          <w:p w14:paraId="3C781050" w14:textId="77777777" w:rsidR="002F03F5" w:rsidRPr="009F2AA4" w:rsidRDefault="008F23FF" w:rsidP="00921FF3">
            <w:pPr>
              <w:pStyle w:val="TableText"/>
              <w:widowControl/>
              <w:jc w:val="center"/>
            </w:pPr>
            <w:r w:rsidRPr="009F2AA4">
              <w:rPr>
                <w:bCs/>
              </w:rPr>
              <w:t>5 (5.2)</w:t>
            </w:r>
          </w:p>
        </w:tc>
        <w:tc>
          <w:tcPr>
            <w:tcW w:w="848" w:type="pct"/>
            <w:tcBorders>
              <w:top w:val="single" w:sz="4" w:space="0" w:color="auto"/>
              <w:left w:val="single" w:sz="4" w:space="0" w:color="auto"/>
              <w:bottom w:val="single" w:sz="4" w:space="0" w:color="auto"/>
              <w:right w:val="single" w:sz="4" w:space="0" w:color="auto"/>
            </w:tcBorders>
            <w:vAlign w:val="center"/>
          </w:tcPr>
          <w:p w14:paraId="3C781051" w14:textId="77777777" w:rsidR="002F03F5" w:rsidRPr="009F2AA4" w:rsidRDefault="008F23FF" w:rsidP="00921FF3">
            <w:pPr>
              <w:pStyle w:val="TableText"/>
              <w:widowControl/>
              <w:jc w:val="center"/>
              <w:rPr>
                <w:i/>
                <w:iCs/>
                <w:lang w:eastAsia="en-AU"/>
              </w:rPr>
            </w:pPr>
            <w:r w:rsidRPr="009F2AA4">
              <w:rPr>
                <w:lang w:eastAsia="en-AU"/>
              </w:rPr>
              <w:t>4 (1.9)</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52" w14:textId="77777777" w:rsidR="002F03F5" w:rsidRPr="009F2AA4" w:rsidRDefault="008F23FF" w:rsidP="00921FF3">
            <w:pPr>
              <w:pStyle w:val="TableText"/>
              <w:widowControl/>
              <w:jc w:val="center"/>
              <w:rPr>
                <w:i/>
                <w:iCs/>
                <w:lang w:eastAsia="en-AU"/>
              </w:rPr>
            </w:pPr>
            <w:r w:rsidRPr="009F2AA4">
              <w:rPr>
                <w:lang w:eastAsia="en-AU"/>
              </w:rPr>
              <w:t>0 (0)</w:t>
            </w:r>
          </w:p>
        </w:tc>
      </w:tr>
      <w:tr w:rsidR="00476A25" w:rsidRPr="009F2AA4" w14:paraId="3C781059"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54" w14:textId="77777777" w:rsidR="002F03F5" w:rsidRPr="009F2AA4" w:rsidRDefault="008F23FF" w:rsidP="00921FF3">
            <w:pPr>
              <w:pStyle w:val="TableText"/>
              <w:widowControl/>
              <w:ind w:left="144"/>
              <w:rPr>
                <w:lang w:eastAsia="en-AU"/>
              </w:rPr>
            </w:pPr>
            <w:r w:rsidRPr="009F2AA4">
              <w:t>Weight decreased</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55" w14:textId="77777777" w:rsidR="002F03F5" w:rsidRPr="009F2AA4" w:rsidRDefault="008F23FF" w:rsidP="00921FF3">
            <w:pPr>
              <w:pStyle w:val="TableText"/>
              <w:widowControl/>
              <w:jc w:val="center"/>
            </w:pPr>
            <w:r w:rsidRPr="009F2AA4">
              <w:rPr>
                <w:bCs/>
              </w:rPr>
              <w:t>1 (0.5)</w:t>
            </w:r>
          </w:p>
        </w:tc>
        <w:tc>
          <w:tcPr>
            <w:tcW w:w="849" w:type="pct"/>
            <w:tcBorders>
              <w:top w:val="single" w:sz="4" w:space="0" w:color="auto"/>
              <w:left w:val="single" w:sz="4" w:space="0" w:color="auto"/>
              <w:bottom w:val="single" w:sz="4" w:space="0" w:color="auto"/>
              <w:right w:val="single" w:sz="4" w:space="0" w:color="auto"/>
            </w:tcBorders>
            <w:vAlign w:val="center"/>
          </w:tcPr>
          <w:p w14:paraId="3C781056" w14:textId="77777777" w:rsidR="002F03F5" w:rsidRPr="009F2AA4" w:rsidRDefault="008F23FF" w:rsidP="00921FF3">
            <w:pPr>
              <w:pStyle w:val="TableText"/>
              <w:widowControl/>
              <w:jc w:val="center"/>
            </w:pPr>
            <w:r w:rsidRPr="009F2AA4">
              <w:rPr>
                <w:bCs/>
              </w:rPr>
              <w:t>6 (6.2)</w:t>
            </w:r>
          </w:p>
        </w:tc>
        <w:tc>
          <w:tcPr>
            <w:tcW w:w="848" w:type="pct"/>
            <w:tcBorders>
              <w:top w:val="single" w:sz="4" w:space="0" w:color="auto"/>
              <w:left w:val="single" w:sz="4" w:space="0" w:color="auto"/>
              <w:bottom w:val="single" w:sz="4" w:space="0" w:color="auto"/>
              <w:right w:val="single" w:sz="4" w:space="0" w:color="auto"/>
            </w:tcBorders>
            <w:vAlign w:val="center"/>
          </w:tcPr>
          <w:p w14:paraId="3C781057" w14:textId="77777777" w:rsidR="002F03F5" w:rsidRPr="009F2AA4" w:rsidRDefault="008F23FF" w:rsidP="00921FF3">
            <w:pPr>
              <w:pStyle w:val="TableText"/>
              <w:widowControl/>
              <w:jc w:val="center"/>
              <w:rPr>
                <w:i/>
                <w:iCs/>
                <w:lang w:eastAsia="en-AU"/>
              </w:rPr>
            </w:pPr>
            <w:r w:rsidRPr="009F2AA4">
              <w:rPr>
                <w:lang w:eastAsia="en-AU"/>
              </w:rPr>
              <w:t>21 (9.8)</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58" w14:textId="77777777" w:rsidR="002F03F5" w:rsidRPr="009F2AA4" w:rsidRDefault="008F23FF" w:rsidP="00921FF3">
            <w:pPr>
              <w:pStyle w:val="TableText"/>
              <w:widowControl/>
              <w:jc w:val="center"/>
              <w:rPr>
                <w:i/>
                <w:iCs/>
                <w:lang w:eastAsia="en-AU"/>
              </w:rPr>
            </w:pPr>
            <w:r w:rsidRPr="009F2AA4">
              <w:rPr>
                <w:lang w:eastAsia="en-AU"/>
              </w:rPr>
              <w:t>0 (0)</w:t>
            </w:r>
          </w:p>
        </w:tc>
      </w:tr>
      <w:tr w:rsidR="00476A25" w:rsidRPr="009F2AA4" w14:paraId="3C78105F"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5A" w14:textId="77777777" w:rsidR="002F03F5" w:rsidRPr="009F2AA4" w:rsidRDefault="008F23FF" w:rsidP="00921FF3">
            <w:pPr>
              <w:pStyle w:val="TableText"/>
              <w:widowControl/>
              <w:ind w:left="144"/>
              <w:rPr>
                <w:lang w:eastAsia="en-AU"/>
              </w:rPr>
            </w:pPr>
            <w:r w:rsidRPr="009F2AA4">
              <w:t>Asthenia</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5B" w14:textId="77777777" w:rsidR="002F03F5" w:rsidRPr="009F2AA4" w:rsidRDefault="008F23FF" w:rsidP="00921FF3">
            <w:pPr>
              <w:pStyle w:val="TableText"/>
              <w:widowControl/>
              <w:jc w:val="center"/>
            </w:pPr>
            <w:r w:rsidRPr="009F2AA4">
              <w:rPr>
                <w:bCs/>
              </w:rPr>
              <w:t>1 (0.5)</w:t>
            </w:r>
          </w:p>
        </w:tc>
        <w:tc>
          <w:tcPr>
            <w:tcW w:w="849" w:type="pct"/>
            <w:tcBorders>
              <w:top w:val="single" w:sz="4" w:space="0" w:color="auto"/>
              <w:left w:val="single" w:sz="4" w:space="0" w:color="auto"/>
              <w:bottom w:val="single" w:sz="4" w:space="0" w:color="auto"/>
              <w:right w:val="single" w:sz="4" w:space="0" w:color="auto"/>
            </w:tcBorders>
            <w:vAlign w:val="center"/>
          </w:tcPr>
          <w:p w14:paraId="3C78105C" w14:textId="77777777" w:rsidR="002F03F5" w:rsidRPr="009F2AA4" w:rsidRDefault="008F23FF" w:rsidP="00921FF3">
            <w:pPr>
              <w:pStyle w:val="TableText"/>
              <w:widowControl/>
              <w:jc w:val="center"/>
            </w:pPr>
            <w:r w:rsidRPr="009F2AA4">
              <w:rPr>
                <w:bCs/>
              </w:rPr>
              <w:t>5 (5.2)</w:t>
            </w:r>
          </w:p>
        </w:tc>
        <w:tc>
          <w:tcPr>
            <w:tcW w:w="848" w:type="pct"/>
            <w:tcBorders>
              <w:top w:val="single" w:sz="4" w:space="0" w:color="auto"/>
              <w:left w:val="single" w:sz="4" w:space="0" w:color="auto"/>
              <w:bottom w:val="single" w:sz="4" w:space="0" w:color="auto"/>
              <w:right w:val="single" w:sz="4" w:space="0" w:color="auto"/>
            </w:tcBorders>
            <w:vAlign w:val="center"/>
          </w:tcPr>
          <w:p w14:paraId="3C78105D" w14:textId="77777777" w:rsidR="002F03F5" w:rsidRPr="009F2AA4" w:rsidRDefault="008F23FF" w:rsidP="00921FF3">
            <w:pPr>
              <w:pStyle w:val="TableText"/>
              <w:widowControl/>
              <w:jc w:val="center"/>
              <w:rPr>
                <w:i/>
                <w:iCs/>
                <w:lang w:eastAsia="en-AU"/>
              </w:rPr>
            </w:pPr>
            <w:r w:rsidRPr="009F2AA4">
              <w:rPr>
                <w:lang w:eastAsia="en-AU"/>
              </w:rPr>
              <w:t>14 (6.5)</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5E" w14:textId="77777777" w:rsidR="002F03F5" w:rsidRPr="009F2AA4" w:rsidRDefault="008F23FF" w:rsidP="00921FF3">
            <w:pPr>
              <w:pStyle w:val="TableText"/>
              <w:widowControl/>
              <w:jc w:val="center"/>
              <w:rPr>
                <w:i/>
                <w:iCs/>
                <w:lang w:eastAsia="en-AU"/>
              </w:rPr>
            </w:pPr>
            <w:r w:rsidRPr="009F2AA4">
              <w:rPr>
                <w:lang w:eastAsia="en-AU"/>
              </w:rPr>
              <w:t>2 (1.8)</w:t>
            </w:r>
          </w:p>
        </w:tc>
      </w:tr>
      <w:tr w:rsidR="00476A25" w:rsidRPr="009F2AA4" w14:paraId="3C781065"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60" w14:textId="77777777" w:rsidR="002F03F5" w:rsidRPr="009F2AA4" w:rsidRDefault="008F23FF" w:rsidP="00921FF3">
            <w:pPr>
              <w:pStyle w:val="TableText"/>
              <w:widowControl/>
              <w:ind w:left="144"/>
              <w:rPr>
                <w:lang w:eastAsia="en-AU"/>
              </w:rPr>
            </w:pPr>
            <w:r w:rsidRPr="009F2AA4">
              <w:t>Decreased appetite</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61" w14:textId="77777777" w:rsidR="002F03F5" w:rsidRPr="009F2AA4" w:rsidRDefault="008F23FF" w:rsidP="00921FF3">
            <w:pPr>
              <w:pStyle w:val="TableText"/>
              <w:widowControl/>
              <w:jc w:val="center"/>
            </w:pPr>
            <w:r w:rsidRPr="009F2AA4">
              <w:rPr>
                <w:bCs/>
              </w:rPr>
              <w:t>1 (0.5)</w:t>
            </w:r>
          </w:p>
        </w:tc>
        <w:tc>
          <w:tcPr>
            <w:tcW w:w="849" w:type="pct"/>
            <w:tcBorders>
              <w:top w:val="single" w:sz="4" w:space="0" w:color="auto"/>
              <w:left w:val="single" w:sz="4" w:space="0" w:color="auto"/>
              <w:bottom w:val="single" w:sz="4" w:space="0" w:color="auto"/>
              <w:right w:val="single" w:sz="4" w:space="0" w:color="auto"/>
            </w:tcBorders>
            <w:vAlign w:val="center"/>
          </w:tcPr>
          <w:p w14:paraId="3C781062" w14:textId="77777777" w:rsidR="002F03F5" w:rsidRPr="009F2AA4" w:rsidRDefault="008F23FF" w:rsidP="00921FF3">
            <w:pPr>
              <w:pStyle w:val="TableText"/>
              <w:widowControl/>
              <w:jc w:val="center"/>
            </w:pPr>
            <w:r w:rsidRPr="009F2AA4">
              <w:rPr>
                <w:bCs/>
              </w:rPr>
              <w:t>5 (5.2)</w:t>
            </w:r>
          </w:p>
        </w:tc>
        <w:tc>
          <w:tcPr>
            <w:tcW w:w="848" w:type="pct"/>
            <w:tcBorders>
              <w:top w:val="single" w:sz="4" w:space="0" w:color="auto"/>
              <w:left w:val="single" w:sz="4" w:space="0" w:color="auto"/>
              <w:bottom w:val="single" w:sz="4" w:space="0" w:color="auto"/>
              <w:right w:val="single" w:sz="4" w:space="0" w:color="auto"/>
            </w:tcBorders>
            <w:vAlign w:val="center"/>
          </w:tcPr>
          <w:p w14:paraId="3C781063" w14:textId="77777777" w:rsidR="002F03F5" w:rsidRPr="009F2AA4" w:rsidRDefault="008F23FF" w:rsidP="00921FF3">
            <w:pPr>
              <w:pStyle w:val="TableText"/>
              <w:widowControl/>
              <w:jc w:val="center"/>
              <w:rPr>
                <w:i/>
                <w:iCs/>
                <w:lang w:eastAsia="en-AU"/>
              </w:rPr>
            </w:pPr>
            <w:r w:rsidRPr="009F2AA4">
              <w:rPr>
                <w:lang w:eastAsia="en-AU"/>
              </w:rPr>
              <w:t>15 (7.0)</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64" w14:textId="77777777" w:rsidR="002F03F5" w:rsidRPr="009F2AA4" w:rsidRDefault="008F23FF" w:rsidP="00921FF3">
            <w:pPr>
              <w:pStyle w:val="TableText"/>
              <w:widowControl/>
              <w:jc w:val="center"/>
              <w:rPr>
                <w:i/>
                <w:iCs/>
                <w:lang w:eastAsia="en-AU"/>
              </w:rPr>
            </w:pPr>
            <w:r w:rsidRPr="009F2AA4">
              <w:rPr>
                <w:lang w:eastAsia="en-AU"/>
              </w:rPr>
              <w:t>1 (0.9)</w:t>
            </w:r>
          </w:p>
        </w:tc>
      </w:tr>
      <w:tr w:rsidR="00476A25" w:rsidRPr="009F2AA4" w14:paraId="3C78106B"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66" w14:textId="77777777" w:rsidR="002F03F5" w:rsidRPr="009F2AA4" w:rsidRDefault="008F23FF" w:rsidP="00921FF3">
            <w:pPr>
              <w:pStyle w:val="TableText"/>
              <w:widowControl/>
              <w:ind w:left="144"/>
              <w:rPr>
                <w:lang w:eastAsia="en-AU"/>
              </w:rPr>
            </w:pPr>
            <w:r w:rsidRPr="009F2AA4">
              <w:t>Mucosal inflammation</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67" w14:textId="77777777" w:rsidR="002F03F5" w:rsidRPr="009F2AA4" w:rsidRDefault="008F23FF" w:rsidP="00921FF3">
            <w:pPr>
              <w:pStyle w:val="TableText"/>
              <w:widowControl/>
              <w:jc w:val="center"/>
            </w:pPr>
            <w:r w:rsidRPr="009F2AA4">
              <w:rPr>
                <w:bCs/>
              </w:rPr>
              <w:t>1 (0.5)</w:t>
            </w:r>
          </w:p>
        </w:tc>
        <w:tc>
          <w:tcPr>
            <w:tcW w:w="849" w:type="pct"/>
            <w:tcBorders>
              <w:top w:val="single" w:sz="4" w:space="0" w:color="auto"/>
              <w:left w:val="single" w:sz="4" w:space="0" w:color="auto"/>
              <w:bottom w:val="single" w:sz="4" w:space="0" w:color="auto"/>
              <w:right w:val="single" w:sz="4" w:space="0" w:color="auto"/>
            </w:tcBorders>
            <w:vAlign w:val="center"/>
          </w:tcPr>
          <w:p w14:paraId="3C781068" w14:textId="77777777" w:rsidR="002F03F5" w:rsidRPr="009F2AA4" w:rsidRDefault="008F23FF" w:rsidP="00921FF3">
            <w:pPr>
              <w:pStyle w:val="TableText"/>
              <w:widowControl/>
              <w:jc w:val="center"/>
            </w:pPr>
            <w:r w:rsidRPr="009F2AA4">
              <w:rPr>
                <w:bCs/>
              </w:rPr>
              <w:t>12 (12.4)</w:t>
            </w:r>
          </w:p>
        </w:tc>
        <w:tc>
          <w:tcPr>
            <w:tcW w:w="848" w:type="pct"/>
            <w:tcBorders>
              <w:top w:val="single" w:sz="4" w:space="0" w:color="auto"/>
              <w:left w:val="single" w:sz="4" w:space="0" w:color="auto"/>
              <w:bottom w:val="single" w:sz="4" w:space="0" w:color="auto"/>
              <w:right w:val="single" w:sz="4" w:space="0" w:color="auto"/>
            </w:tcBorders>
            <w:vAlign w:val="center"/>
          </w:tcPr>
          <w:p w14:paraId="3C781069" w14:textId="77777777" w:rsidR="002F03F5" w:rsidRPr="009F2AA4" w:rsidRDefault="008F23FF" w:rsidP="00921FF3">
            <w:pPr>
              <w:pStyle w:val="TableText"/>
              <w:widowControl/>
              <w:jc w:val="center"/>
              <w:rPr>
                <w:i/>
                <w:iCs/>
                <w:lang w:eastAsia="en-AU"/>
              </w:rPr>
            </w:pPr>
            <w:r w:rsidRPr="009F2AA4">
              <w:rPr>
                <w:lang w:eastAsia="en-AU"/>
              </w:rPr>
              <w:t>7 (3.3)</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6A" w14:textId="77777777" w:rsidR="002F03F5" w:rsidRPr="009F2AA4" w:rsidRDefault="008F23FF" w:rsidP="00921FF3">
            <w:pPr>
              <w:pStyle w:val="TableText"/>
              <w:widowControl/>
              <w:jc w:val="center"/>
              <w:rPr>
                <w:i/>
                <w:iCs/>
                <w:lang w:eastAsia="en-AU"/>
              </w:rPr>
            </w:pPr>
            <w:r w:rsidRPr="009F2AA4">
              <w:rPr>
                <w:lang w:eastAsia="en-AU"/>
              </w:rPr>
              <w:t>0 (0)</w:t>
            </w:r>
          </w:p>
        </w:tc>
      </w:tr>
      <w:tr w:rsidR="00476A25" w:rsidRPr="009F2AA4" w14:paraId="3C781071" w14:textId="77777777" w:rsidTr="0009661B">
        <w:tc>
          <w:tcPr>
            <w:tcW w:w="1605" w:type="pct"/>
            <w:tcBorders>
              <w:top w:val="single" w:sz="4" w:space="0" w:color="auto"/>
              <w:left w:val="single" w:sz="4" w:space="0" w:color="auto"/>
              <w:bottom w:val="single" w:sz="4" w:space="0" w:color="auto"/>
              <w:right w:val="single" w:sz="4" w:space="0" w:color="auto"/>
            </w:tcBorders>
            <w:vAlign w:val="center"/>
          </w:tcPr>
          <w:p w14:paraId="3C78106C" w14:textId="77777777" w:rsidR="002F03F5" w:rsidRPr="009F2AA4" w:rsidRDefault="008F23FF" w:rsidP="00921FF3">
            <w:pPr>
              <w:pStyle w:val="TableText"/>
              <w:widowControl/>
              <w:ind w:left="144"/>
              <w:rPr>
                <w:lang w:eastAsia="en-AU"/>
              </w:rPr>
            </w:pPr>
            <w:r w:rsidRPr="009F2AA4">
              <w:t>Palmar-plantar erythrodysaesthesia syndrome</w:t>
            </w:r>
          </w:p>
        </w:tc>
        <w:tc>
          <w:tcPr>
            <w:tcW w:w="84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6D" w14:textId="77777777" w:rsidR="002F03F5" w:rsidRPr="009F2AA4" w:rsidRDefault="008F23FF" w:rsidP="00921FF3">
            <w:pPr>
              <w:pStyle w:val="TableText"/>
              <w:widowControl/>
              <w:jc w:val="center"/>
            </w:pPr>
            <w:r w:rsidRPr="009F2AA4">
              <w:rPr>
                <w:bCs/>
              </w:rPr>
              <w:t>0</w:t>
            </w:r>
          </w:p>
        </w:tc>
        <w:tc>
          <w:tcPr>
            <w:tcW w:w="849" w:type="pct"/>
            <w:tcBorders>
              <w:top w:val="single" w:sz="4" w:space="0" w:color="auto"/>
              <w:left w:val="single" w:sz="4" w:space="0" w:color="auto"/>
              <w:bottom w:val="single" w:sz="4" w:space="0" w:color="auto"/>
              <w:right w:val="single" w:sz="4" w:space="0" w:color="auto"/>
            </w:tcBorders>
            <w:vAlign w:val="center"/>
          </w:tcPr>
          <w:p w14:paraId="3C78106E" w14:textId="77777777" w:rsidR="002F03F5" w:rsidRPr="009F2AA4" w:rsidRDefault="008F23FF" w:rsidP="00921FF3">
            <w:pPr>
              <w:pStyle w:val="TableText"/>
              <w:widowControl/>
              <w:jc w:val="center"/>
            </w:pPr>
            <w:r w:rsidRPr="009F2AA4">
              <w:rPr>
                <w:bCs/>
              </w:rPr>
              <w:t>8 (8.2)</w:t>
            </w:r>
          </w:p>
        </w:tc>
        <w:tc>
          <w:tcPr>
            <w:tcW w:w="848" w:type="pct"/>
            <w:tcBorders>
              <w:top w:val="single" w:sz="4" w:space="0" w:color="auto"/>
              <w:left w:val="single" w:sz="4" w:space="0" w:color="auto"/>
              <w:bottom w:val="single" w:sz="4" w:space="0" w:color="auto"/>
              <w:right w:val="single" w:sz="4" w:space="0" w:color="auto"/>
            </w:tcBorders>
            <w:vAlign w:val="center"/>
          </w:tcPr>
          <w:p w14:paraId="3C78106F" w14:textId="77777777" w:rsidR="002F03F5" w:rsidRPr="009F2AA4" w:rsidRDefault="008F23FF" w:rsidP="00921FF3">
            <w:pPr>
              <w:pStyle w:val="TableText"/>
              <w:widowControl/>
              <w:jc w:val="center"/>
              <w:rPr>
                <w:i/>
                <w:iCs/>
                <w:lang w:eastAsia="en-AU"/>
              </w:rPr>
            </w:pPr>
            <w:r w:rsidRPr="009F2AA4">
              <w:rPr>
                <w:lang w:eastAsia="en-AU"/>
              </w:rPr>
              <w:t>27 (12.6)</w:t>
            </w:r>
          </w:p>
        </w:tc>
        <w:tc>
          <w:tcPr>
            <w:tcW w:w="84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1070" w14:textId="77777777" w:rsidR="002F03F5" w:rsidRPr="009F2AA4" w:rsidRDefault="008F23FF" w:rsidP="00921FF3">
            <w:pPr>
              <w:pStyle w:val="TableText"/>
              <w:widowControl/>
              <w:jc w:val="center"/>
              <w:rPr>
                <w:i/>
                <w:iCs/>
                <w:lang w:eastAsia="en-AU"/>
              </w:rPr>
            </w:pPr>
            <w:r w:rsidRPr="009F2AA4">
              <w:rPr>
                <w:lang w:eastAsia="en-AU"/>
              </w:rPr>
              <w:t>0 (0)</w:t>
            </w:r>
          </w:p>
        </w:tc>
      </w:tr>
    </w:tbl>
    <w:p w14:paraId="3C781072" w14:textId="77777777" w:rsidR="002F03F5" w:rsidRPr="009F2AA4" w:rsidRDefault="008F23FF" w:rsidP="00921FF3">
      <w:pPr>
        <w:pStyle w:val="TableFooter"/>
        <w:widowControl/>
        <w:rPr>
          <w:i/>
          <w:iCs/>
          <w:sz w:val="20"/>
          <w:lang w:eastAsia="en-AU"/>
        </w:rPr>
      </w:pPr>
      <w:r w:rsidRPr="009F2AA4">
        <w:rPr>
          <w:lang w:eastAsia="en-AU"/>
        </w:rPr>
        <w:t>Source: Table 2</w:t>
      </w:r>
      <w:r w:rsidRPr="009F2AA4">
        <w:t>-</w:t>
      </w:r>
      <w:r w:rsidRPr="009F2AA4">
        <w:rPr>
          <w:lang w:eastAsia="en-AU"/>
        </w:rPr>
        <w:t xml:space="preserve">24 and </w:t>
      </w:r>
      <w:r w:rsidRPr="009F2AA4">
        <w:t xml:space="preserve">Table 2 25, p92 (LIBRETTO-531) and Table 2-28, p96 (EXAM) </w:t>
      </w:r>
      <w:r w:rsidRPr="009F2AA4">
        <w:rPr>
          <w:lang w:eastAsia="en-AU"/>
        </w:rPr>
        <w:t xml:space="preserve">of the submission; Table 16, p58, Table 18, p51, Table 19, p51, Table 20, p63, NICE TA516 Assessment Report (EXAM); </w:t>
      </w:r>
      <w:r w:rsidRPr="009F2AA4">
        <w:rPr>
          <w:i/>
          <w:iCs/>
          <w:lang w:eastAsia="en-AU"/>
        </w:rPr>
        <w:t>RD analyses conducted during the evaluation</w:t>
      </w:r>
    </w:p>
    <w:p w14:paraId="3C781073" w14:textId="77777777" w:rsidR="002F03F5" w:rsidRPr="009F2AA4" w:rsidRDefault="008F23FF" w:rsidP="00921FF3">
      <w:pPr>
        <w:pStyle w:val="TableFooter"/>
        <w:widowControl/>
        <w:rPr>
          <w:rFonts w:eastAsia="Calibri"/>
          <w:lang w:eastAsia="en-AU"/>
        </w:rPr>
      </w:pPr>
      <w:r w:rsidRPr="009F2AA4">
        <w:rPr>
          <w:rFonts w:eastAsia="Calibri"/>
          <w:lang w:eastAsia="en-AU"/>
        </w:rPr>
        <w:t xml:space="preserve">AE = adverse event; ALT = alanine transaminase; CABO = cabozantinib; CI = confidence interval; n = number of participants reporting data; N = total participants in group; NE = not evaluable; NR = not reported; PBO = placebo; RD = risk difference; SAE = serious adverse event; SAS = safety analysis set; SELP = selpercatinib; TEAE = treatment emergent adverse event; VAND = </w:t>
      </w:r>
      <w:proofErr w:type="spellStart"/>
      <w:r w:rsidRPr="009F2AA4">
        <w:rPr>
          <w:rFonts w:eastAsia="Calibri"/>
          <w:lang w:eastAsia="en-AU"/>
        </w:rPr>
        <w:t>vandetanib</w:t>
      </w:r>
      <w:proofErr w:type="spellEnd"/>
    </w:p>
    <w:p w14:paraId="3C781074" w14:textId="77777777" w:rsidR="002F03F5" w:rsidRPr="009F2AA4" w:rsidRDefault="008F23FF" w:rsidP="00921FF3">
      <w:pPr>
        <w:pStyle w:val="TableFooter"/>
        <w:widowControl/>
        <w:rPr>
          <w:rFonts w:eastAsia="Calibri"/>
          <w:lang w:eastAsia="en-AU"/>
        </w:rPr>
      </w:pPr>
      <w:r w:rsidRPr="009F2AA4">
        <w:rPr>
          <w:rFonts w:eastAsia="Calibri"/>
          <w:vertAlign w:val="superscript"/>
          <w:lang w:eastAsia="en-AU"/>
        </w:rPr>
        <w:t>a</w:t>
      </w:r>
      <w:r w:rsidRPr="009F2AA4">
        <w:rPr>
          <w:rFonts w:eastAsia="Calibri"/>
          <w:lang w:eastAsia="en-AU"/>
        </w:rPr>
        <w:t xml:space="preserve"> 5 deaths in selpercatinib arm due to diabetic ketoacidosis (1), COVID 19 (1), multiple organ dysfunction syndrome (1), pneumonia (1) and sudden death (1). One death was related to treatment (not reported which one).</w:t>
      </w:r>
    </w:p>
    <w:p w14:paraId="3C781075" w14:textId="77777777" w:rsidR="002F03F5" w:rsidRPr="009F2AA4" w:rsidRDefault="008F23FF" w:rsidP="00921FF3">
      <w:pPr>
        <w:pStyle w:val="TableFooter"/>
        <w:widowControl/>
        <w:rPr>
          <w:rFonts w:eastAsia="Calibri"/>
          <w:lang w:eastAsia="en-AU"/>
        </w:rPr>
      </w:pPr>
      <w:r w:rsidRPr="009F2AA4">
        <w:rPr>
          <w:rFonts w:eastAsia="Calibri"/>
          <w:vertAlign w:val="superscript"/>
          <w:lang w:eastAsia="en-AU"/>
        </w:rPr>
        <w:t>b</w:t>
      </w:r>
      <w:r w:rsidRPr="009F2AA4">
        <w:rPr>
          <w:rFonts w:eastAsia="Calibri"/>
          <w:lang w:eastAsia="en-AU"/>
        </w:rPr>
        <w:t xml:space="preserve"> 3 deaths in cabozantinib/</w:t>
      </w:r>
      <w:proofErr w:type="spellStart"/>
      <w:r w:rsidRPr="009F2AA4">
        <w:rPr>
          <w:rFonts w:eastAsia="Calibri"/>
          <w:lang w:eastAsia="en-AU"/>
        </w:rPr>
        <w:t>vandetanib</w:t>
      </w:r>
      <w:proofErr w:type="spellEnd"/>
      <w:r w:rsidRPr="009F2AA4">
        <w:rPr>
          <w:rFonts w:eastAsia="Calibri"/>
          <w:lang w:eastAsia="en-AU"/>
        </w:rPr>
        <w:t xml:space="preserve"> arm due to cholangitis (1), haemorrhage (1), sudden death (1). </w:t>
      </w:r>
    </w:p>
    <w:p w14:paraId="3C781076" w14:textId="77777777" w:rsidR="002F03F5" w:rsidRPr="009F2AA4" w:rsidRDefault="008F23FF" w:rsidP="00921FF3">
      <w:pPr>
        <w:pStyle w:val="TableFooter"/>
        <w:widowControl/>
        <w:rPr>
          <w:rFonts w:eastAsia="Calibri"/>
          <w:lang w:eastAsia="en-AU"/>
        </w:rPr>
      </w:pPr>
      <w:r w:rsidRPr="009F2AA4">
        <w:rPr>
          <w:rFonts w:eastAsia="Calibri"/>
          <w:vertAlign w:val="superscript"/>
          <w:lang w:eastAsia="en-AU"/>
        </w:rPr>
        <w:t xml:space="preserve">c </w:t>
      </w:r>
      <w:r w:rsidRPr="009F2AA4">
        <w:rPr>
          <w:rFonts w:eastAsia="Calibri"/>
          <w:lang w:eastAsia="en-AU"/>
        </w:rPr>
        <w:t>values not reported but the NICE TA516 Assessment Reported stated that “treatment related remaining at 4 5% for cabozantinib and 1% for placebo at both the interim and final analysis”</w:t>
      </w:r>
    </w:p>
    <w:p w14:paraId="3C781077" w14:textId="77777777" w:rsidR="002F03F5" w:rsidRPr="009F2AA4" w:rsidRDefault="008F23FF" w:rsidP="00921FF3">
      <w:pPr>
        <w:pStyle w:val="TableFooter"/>
        <w:widowControl/>
        <w:rPr>
          <w:rFonts w:eastAsia="Calibri"/>
          <w:u w:val="single"/>
          <w:lang w:eastAsia="en-AU"/>
        </w:rPr>
      </w:pPr>
      <w:r w:rsidRPr="009F2AA4">
        <w:rPr>
          <w:rFonts w:eastAsia="Calibri"/>
          <w:u w:val="single"/>
          <w:lang w:eastAsia="en-AU"/>
        </w:rPr>
        <w:t>Note:</w:t>
      </w:r>
    </w:p>
    <w:p w14:paraId="3C781078" w14:textId="77777777" w:rsidR="002F03F5" w:rsidRPr="009F2AA4" w:rsidRDefault="008F23FF" w:rsidP="00921FF3">
      <w:pPr>
        <w:pStyle w:val="TableFooter"/>
        <w:widowControl/>
        <w:rPr>
          <w:rFonts w:eastAsia="Calibri"/>
          <w:lang w:eastAsia="en-AU"/>
        </w:rPr>
      </w:pPr>
      <w:r w:rsidRPr="009F2AA4">
        <w:rPr>
          <w:rFonts w:eastAsia="Calibri"/>
          <w:lang w:eastAsia="en-AU"/>
        </w:rPr>
        <w:t>Grey shaded cells indicates the treatment arms used in the ITC of AEs</w:t>
      </w:r>
    </w:p>
    <w:p w14:paraId="3C781079" w14:textId="77777777" w:rsidR="002F03F5" w:rsidRPr="009F2AA4" w:rsidRDefault="008F23FF" w:rsidP="00921FF3">
      <w:pPr>
        <w:pStyle w:val="TableFooter"/>
        <w:widowControl/>
        <w:rPr>
          <w:rFonts w:eastAsia="Calibri"/>
          <w:lang w:eastAsia="en-AU"/>
        </w:rPr>
      </w:pPr>
      <w:r w:rsidRPr="009F2AA4">
        <w:rPr>
          <w:rFonts w:eastAsia="Calibri"/>
          <w:lang w:eastAsia="en-AU"/>
        </w:rPr>
        <w:t xml:space="preserve">The AE for EXAM were from NICE TA516 as these were not reported in the publications. The NICE TA516 Assessment Report noted these were from the respective CSRs at the latest DCOs </w:t>
      </w:r>
    </w:p>
    <w:p w14:paraId="3C78107A" w14:textId="77777777" w:rsidR="002F03F5" w:rsidRPr="00596A1D" w:rsidRDefault="008F23FF" w:rsidP="00921FF3">
      <w:pPr>
        <w:pStyle w:val="TableFooter"/>
        <w:widowControl/>
        <w:rPr>
          <w:rFonts w:eastAsia="Calibri"/>
          <w:lang w:eastAsia="en-AU"/>
        </w:rPr>
      </w:pPr>
      <w:r w:rsidRPr="00596A1D">
        <w:rPr>
          <w:rFonts w:eastAsia="Calibri"/>
          <w:lang w:eastAsia="en-AU"/>
        </w:rPr>
        <w:lastRenderedPageBreak/>
        <w:t>The ITC of selpercatinib and placebo was based on the RD from LIBRETTO-531 (selpercatinib vs cabozantinib/</w:t>
      </w:r>
      <w:proofErr w:type="spellStart"/>
      <w:r w:rsidRPr="00596A1D">
        <w:rPr>
          <w:rFonts w:eastAsia="Calibri"/>
          <w:lang w:eastAsia="en-AU"/>
        </w:rPr>
        <w:t>vandetanib</w:t>
      </w:r>
      <w:proofErr w:type="spellEnd"/>
      <w:r w:rsidRPr="00596A1D">
        <w:rPr>
          <w:rFonts w:eastAsia="Calibri"/>
          <w:lang w:eastAsia="en-AU"/>
        </w:rPr>
        <w:t xml:space="preserve">) compared to the RD from EXAM (placebo vs cabozantinib). A RD &lt;0 favoured selpercatinib. </w:t>
      </w:r>
    </w:p>
    <w:p w14:paraId="3C78107B" w14:textId="77777777" w:rsidR="002F03F5" w:rsidRPr="004B2EF2" w:rsidRDefault="008F23FF" w:rsidP="00921FF3">
      <w:pPr>
        <w:pStyle w:val="TableFooter"/>
        <w:widowControl/>
        <w:rPr>
          <w:rFonts w:eastAsia="Calibri"/>
          <w:lang w:eastAsia="en-AU"/>
        </w:rPr>
      </w:pPr>
      <w:r w:rsidRPr="004B2EF2">
        <w:t>Data cutoff dates and median follow up duration</w:t>
      </w:r>
    </w:p>
    <w:p w14:paraId="3C78107C" w14:textId="77777777" w:rsidR="002F03F5" w:rsidRPr="009F2AA4" w:rsidRDefault="008F23FF" w:rsidP="00921FF3">
      <w:pPr>
        <w:pStyle w:val="TableFooter"/>
        <w:widowControl/>
        <w:numPr>
          <w:ilvl w:val="0"/>
          <w:numId w:val="5"/>
        </w:numPr>
        <w:ind w:left="284" w:hanging="284"/>
      </w:pPr>
      <w:r w:rsidRPr="009F2AA4">
        <w:t xml:space="preserve">LIBRETTO-531 DCO March 2024, median follow up for safety NR </w:t>
      </w:r>
    </w:p>
    <w:p w14:paraId="3C78107D" w14:textId="77777777" w:rsidR="002F03F5" w:rsidRPr="009F2AA4" w:rsidRDefault="008F23FF" w:rsidP="00921FF3">
      <w:pPr>
        <w:pStyle w:val="TableFooter"/>
        <w:widowControl/>
        <w:numPr>
          <w:ilvl w:val="0"/>
          <w:numId w:val="5"/>
        </w:numPr>
        <w:ind w:left="284" w:hanging="284"/>
      </w:pPr>
      <w:r w:rsidRPr="009F2AA4">
        <w:t>EXAM DCO August 2014, minimum follow up 42 months</w:t>
      </w:r>
    </w:p>
    <w:p w14:paraId="3C78107E" w14:textId="6C9CB464" w:rsidR="002F03F5" w:rsidRPr="00DA2F9C" w:rsidRDefault="008F23FF" w:rsidP="00921FF3">
      <w:pPr>
        <w:pStyle w:val="3-BodyText"/>
      </w:pPr>
      <w:r w:rsidRPr="00DA2F9C">
        <w:t xml:space="preserve">The evaluation and the ESCs considered that selpercatinib appeared to have a more favourable safety profile compared to cabozantinib and </w:t>
      </w:r>
      <w:proofErr w:type="spellStart"/>
      <w:r w:rsidRPr="00DA2F9C">
        <w:t>vandetanib</w:t>
      </w:r>
      <w:proofErr w:type="spellEnd"/>
      <w:r w:rsidRPr="00DA2F9C">
        <w:t xml:space="preserve"> (62% vs 81% grade 3 AEs, respectively). The ESCs noted that selpercatinib toxicity was driven by hypertension and ALT increase, whereas cabozantinib/</w:t>
      </w:r>
      <w:proofErr w:type="spellStart"/>
      <w:r w:rsidRPr="00DA2F9C">
        <w:t>vandetanib</w:t>
      </w:r>
      <w:proofErr w:type="spellEnd"/>
      <w:r w:rsidRPr="00DA2F9C">
        <w:t xml:space="preserve"> toxicity was driven by diarrhoea. The ESCs considered that prolonged QT, associated with selpercatinib, is clinically significant (5.7% grade 3 AEs), but that can be monitored easily in practice. </w:t>
      </w:r>
    </w:p>
    <w:p w14:paraId="3C78107F" w14:textId="77777777" w:rsidR="002F03F5" w:rsidRPr="00DA2F9C" w:rsidRDefault="008F23FF" w:rsidP="00921FF3">
      <w:pPr>
        <w:pStyle w:val="3-BodyText"/>
      </w:pPr>
      <w:r w:rsidRPr="00DA2F9C">
        <w:t>The ESCs noted that selpercatinib had a less favourable safety profile compared to placebo (62% vs 33% grade 3 AEs, respectively).</w:t>
      </w:r>
    </w:p>
    <w:p w14:paraId="3C781080" w14:textId="77777777" w:rsidR="002F03F5" w:rsidRPr="009F2AA4" w:rsidRDefault="008F23FF" w:rsidP="00921FF3">
      <w:pPr>
        <w:pStyle w:val="PBACESHeading2"/>
        <w:rPr>
          <w:rFonts w:ascii="Calibri" w:hAnsi="Calibri" w:cs="Calibri"/>
        </w:rPr>
      </w:pPr>
      <w:bookmarkStart w:id="58" w:name="_Toc219898328"/>
      <w:r w:rsidRPr="009F2AA4">
        <w:rPr>
          <w:rFonts w:ascii="Calibri" w:hAnsi="Calibri" w:cs="Calibri"/>
        </w:rPr>
        <w:t>Benefits/ harms</w:t>
      </w:r>
      <w:bookmarkEnd w:id="58"/>
    </w:p>
    <w:p w14:paraId="3C781081" w14:textId="2833FE38" w:rsidR="002F03F5" w:rsidRPr="00DA2F9C" w:rsidRDefault="008F23FF" w:rsidP="00921FF3">
      <w:pPr>
        <w:pStyle w:val="3-BodyText"/>
      </w:pPr>
      <w:r w:rsidRPr="00DA2F9C">
        <w:t xml:space="preserve">A summary of the comparative benefits and harms for selpercatinib vs cabozantinib or </w:t>
      </w:r>
      <w:proofErr w:type="spellStart"/>
      <w:r w:rsidRPr="00DA2F9C">
        <w:t>vandetanib</w:t>
      </w:r>
      <w:proofErr w:type="spellEnd"/>
      <w:r w:rsidRPr="00DA2F9C">
        <w:t xml:space="preserve"> based on direct evidence from LIBRETTO-531 is presented in </w:t>
      </w:r>
      <w:r w:rsidR="00A95BE1">
        <w:fldChar w:fldCharType="begin"/>
      </w:r>
      <w:r w:rsidR="00A95BE1">
        <w:instrText xml:space="preserve"> REF _Ref225336447 \h </w:instrText>
      </w:r>
      <w:r w:rsidR="00A95BE1">
        <w:fldChar w:fldCharType="separate"/>
      </w:r>
      <w:r w:rsidR="003A3B69">
        <w:t xml:space="preserve">Table </w:t>
      </w:r>
      <w:r w:rsidR="003A3B69">
        <w:rPr>
          <w:noProof/>
        </w:rPr>
        <w:t>8</w:t>
      </w:r>
      <w:r w:rsidR="00A95BE1">
        <w:fldChar w:fldCharType="end"/>
      </w:r>
      <w:r w:rsidRPr="00DA2F9C">
        <w:t>.</w:t>
      </w:r>
      <w:r w:rsidR="0053056C" w:rsidRPr="00DA2F9C">
        <w:rPr>
          <w:rFonts w:ascii="Segoe UI" w:hAnsi="Segoe UI" w:cs="Segoe UI"/>
          <w:sz w:val="18"/>
          <w:szCs w:val="18"/>
          <w:lang w:eastAsia="en-US"/>
        </w:rPr>
        <w:t xml:space="preserve"> </w:t>
      </w:r>
      <w:r w:rsidR="0053056C" w:rsidRPr="00DA2F9C">
        <w:t xml:space="preserve">The ESCs noted that neither </w:t>
      </w:r>
      <w:r w:rsidR="00123544" w:rsidRPr="00DA2F9C">
        <w:t>cabozantinib</w:t>
      </w:r>
      <w:r w:rsidR="0053056C" w:rsidRPr="00DA2F9C">
        <w:t xml:space="preserve"> nor </w:t>
      </w:r>
      <w:proofErr w:type="spellStart"/>
      <w:r w:rsidR="0053056C" w:rsidRPr="00DA2F9C">
        <w:t>vandetanib</w:t>
      </w:r>
      <w:proofErr w:type="spellEnd"/>
      <w:r w:rsidR="0053056C" w:rsidRPr="00DA2F9C">
        <w:t xml:space="preserve"> are available on the PBS for this indication.</w:t>
      </w:r>
    </w:p>
    <w:p w14:paraId="67E833FF" w14:textId="12A9DDB1" w:rsidR="00E17273" w:rsidRDefault="00E17273" w:rsidP="00921FF3">
      <w:pPr>
        <w:pStyle w:val="Caption"/>
      </w:pPr>
      <w:bookmarkStart w:id="59" w:name="_Toc413139281"/>
      <w:bookmarkEnd w:id="59"/>
    </w:p>
    <w:p w14:paraId="79AB6B00" w14:textId="77777777" w:rsidR="001617F9" w:rsidRDefault="00E17273" w:rsidP="00921FF3">
      <w:pPr>
        <w:pStyle w:val="Caption"/>
      </w:pPr>
      <w:bookmarkStart w:id="60" w:name="_Ref225336447"/>
      <w:r>
        <w:t xml:space="preserve">Table </w:t>
      </w:r>
      <w:r>
        <w:fldChar w:fldCharType="begin"/>
      </w:r>
      <w:r>
        <w:instrText>SEQ Table \* ARABIC</w:instrText>
      </w:r>
      <w:r>
        <w:fldChar w:fldCharType="separate"/>
      </w:r>
      <w:r w:rsidR="003A3B69">
        <w:rPr>
          <w:noProof/>
        </w:rPr>
        <w:t>8</w:t>
      </w:r>
      <w:r>
        <w:fldChar w:fldCharType="end"/>
      </w:r>
      <w:bookmarkEnd w:id="60"/>
      <w:r>
        <w:t>:</w:t>
      </w:r>
      <w:r w:rsidR="007E3114">
        <w:t xml:space="preserve"> </w:t>
      </w:r>
      <w:r w:rsidRPr="006B6415">
        <w:t xml:space="preserve">Summary of comparative benefits and harms for selpercatinib and cabozantinib or </w:t>
      </w:r>
      <w:proofErr w:type="spellStart"/>
      <w:r w:rsidRPr="006B6415">
        <w:t>vandetanib</w:t>
      </w:r>
      <w:proofErr w:type="spellEnd"/>
      <w:r w:rsidRPr="006B6415">
        <w:t xml:space="preserve"> based on</w:t>
      </w:r>
    </w:p>
    <w:p w14:paraId="7A88E2A4" w14:textId="4B0AD573" w:rsidR="00E17273" w:rsidRDefault="00E17273" w:rsidP="00921FF3">
      <w:pPr>
        <w:pStyle w:val="Caption"/>
      </w:pPr>
      <w:r w:rsidRPr="006B6415">
        <w:t>direct evidence (LIBRETTO-531 ITT [RET variant])</w:t>
      </w:r>
    </w:p>
    <w:tbl>
      <w:tblPr>
        <w:tblStyle w:val="TableGrid"/>
        <w:tblW w:w="5000" w:type="pct"/>
        <w:tblLayout w:type="fixed"/>
        <w:tblCellMar>
          <w:left w:w="28" w:type="dxa"/>
          <w:right w:w="28" w:type="dxa"/>
        </w:tblCellMar>
        <w:tblLook w:val="04A0" w:firstRow="1" w:lastRow="0" w:firstColumn="1" w:lastColumn="0" w:noHBand="0" w:noVBand="1"/>
        <w:tblCaption w:val="Table 8: Summary of comparative benefits and harms for selpercatinib and cabozantinib or vandetanib based on"/>
      </w:tblPr>
      <w:tblGrid>
        <w:gridCol w:w="2462"/>
        <w:gridCol w:w="1917"/>
        <w:gridCol w:w="1917"/>
        <w:gridCol w:w="1441"/>
        <w:gridCol w:w="1279"/>
      </w:tblGrid>
      <w:tr w:rsidR="002F03F5" w:rsidRPr="009F2AA4" w14:paraId="3C781084" w14:textId="77777777" w:rsidTr="00046D8F">
        <w:trPr>
          <w:cnfStyle w:val="100000000000" w:firstRow="1" w:lastRow="0" w:firstColumn="0" w:lastColumn="0" w:oddVBand="0" w:evenVBand="0" w:oddHBand="0" w:evenHBand="0" w:firstRowFirstColumn="0" w:firstRowLastColumn="0" w:lastRowFirstColumn="0" w:lastRowLastColumn="0"/>
          <w:trHeight w:val="20"/>
        </w:trPr>
        <w:tc>
          <w:tcPr>
            <w:tcW w:w="9026" w:type="dxa"/>
            <w:gridSpan w:val="5"/>
            <w:tcBorders>
              <w:top w:val="single" w:sz="4" w:space="0" w:color="000000"/>
              <w:left w:val="single" w:sz="4" w:space="0" w:color="000000"/>
              <w:bottom w:val="single" w:sz="4" w:space="0" w:color="000000"/>
              <w:right w:val="single" w:sz="4" w:space="0" w:color="000000"/>
            </w:tcBorders>
          </w:tcPr>
          <w:p w14:paraId="3C781083" w14:textId="77777777" w:rsidR="002F03F5" w:rsidRPr="009F2AA4" w:rsidRDefault="008F23FF" w:rsidP="00921FF3">
            <w:pPr>
              <w:pStyle w:val="In-tableHeading"/>
              <w:rPr>
                <w:b/>
                <w:lang w:val="en-AU"/>
              </w:rPr>
            </w:pPr>
            <w:r w:rsidRPr="009F2AA4">
              <w:rPr>
                <w:b/>
                <w:lang w:val="en-AU"/>
              </w:rPr>
              <w:t>Benefits</w:t>
            </w:r>
          </w:p>
        </w:tc>
      </w:tr>
      <w:tr w:rsidR="002F03F5" w:rsidRPr="009F2AA4" w14:paraId="3C78108A" w14:textId="77777777" w:rsidTr="00046D8F">
        <w:trPr>
          <w:trHeight w:val="20"/>
        </w:trPr>
        <w:tc>
          <w:tcPr>
            <w:tcW w:w="2465" w:type="dxa"/>
            <w:tcBorders>
              <w:top w:val="single" w:sz="4" w:space="0" w:color="000000"/>
              <w:left w:val="single" w:sz="4" w:space="0" w:color="000000"/>
              <w:bottom w:val="single" w:sz="4" w:space="0" w:color="000000"/>
              <w:right w:val="single" w:sz="4" w:space="0" w:color="000000"/>
            </w:tcBorders>
            <w:vAlign w:val="center"/>
          </w:tcPr>
          <w:p w14:paraId="3C781085" w14:textId="77777777" w:rsidR="002F03F5" w:rsidRPr="009F2AA4" w:rsidRDefault="008F23FF" w:rsidP="00921FF3">
            <w:pPr>
              <w:pStyle w:val="In-tableHeading"/>
              <w:jc w:val="center"/>
              <w:rPr>
                <w:lang w:val="en-AU"/>
              </w:rPr>
            </w:pPr>
            <w:r w:rsidRPr="009F2AA4">
              <w:rPr>
                <w:lang w:val="en-AU"/>
              </w:rPr>
              <w:t>Event</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86" w14:textId="77777777" w:rsidR="002F03F5" w:rsidRPr="009F2AA4" w:rsidRDefault="008F23FF" w:rsidP="00921FF3">
            <w:pPr>
              <w:pStyle w:val="In-tableHeading"/>
              <w:jc w:val="center"/>
              <w:rPr>
                <w:lang w:val="en-AU"/>
              </w:rPr>
            </w:pPr>
            <w:r w:rsidRPr="009F2AA4">
              <w:rPr>
                <w:lang w:val="en-AU"/>
              </w:rPr>
              <w:t>Selpercatinib (N=193)</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87" w14:textId="77777777" w:rsidR="002F03F5" w:rsidRPr="009F2AA4" w:rsidRDefault="008F23FF" w:rsidP="00921FF3">
            <w:pPr>
              <w:pStyle w:val="In-tableHeading"/>
              <w:jc w:val="center"/>
              <w:rPr>
                <w:lang w:val="en-AU"/>
              </w:rPr>
            </w:pPr>
            <w:r w:rsidRPr="009F2AA4">
              <w:rPr>
                <w:lang w:val="en-AU"/>
              </w:rPr>
              <w:t xml:space="preserve">Cabozantinib or </w:t>
            </w:r>
            <w:proofErr w:type="spellStart"/>
            <w:r w:rsidRPr="009F2AA4">
              <w:rPr>
                <w:lang w:val="en-AU"/>
              </w:rPr>
              <w:t>vandetanib</w:t>
            </w:r>
            <w:proofErr w:type="spellEnd"/>
            <w:r w:rsidRPr="009F2AA4">
              <w:rPr>
                <w:lang w:val="en-AU"/>
              </w:rPr>
              <w:t xml:space="preserve"> (N=98)</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88" w14:textId="77777777" w:rsidR="002F03F5" w:rsidRPr="009F2AA4" w:rsidRDefault="008F23FF" w:rsidP="00921FF3">
            <w:pPr>
              <w:pStyle w:val="In-tableHeading"/>
              <w:jc w:val="center"/>
              <w:rPr>
                <w:rFonts w:asciiTheme="minorHAnsi" w:hAnsiTheme="minorHAnsi"/>
                <w:lang w:val="en-AU"/>
              </w:rPr>
            </w:pPr>
            <w:r w:rsidRPr="009F2AA4">
              <w:rPr>
                <w:lang w:val="en-AU"/>
              </w:rPr>
              <w:t>Absolute Difference</w:t>
            </w:r>
          </w:p>
        </w:tc>
        <w:tc>
          <w:tcPr>
            <w:tcW w:w="1280" w:type="dxa"/>
            <w:tcBorders>
              <w:top w:val="single" w:sz="4" w:space="0" w:color="000000"/>
              <w:left w:val="single" w:sz="4" w:space="0" w:color="000000"/>
              <w:bottom w:val="single" w:sz="4" w:space="0" w:color="000000"/>
              <w:right w:val="single" w:sz="4" w:space="0" w:color="000000"/>
            </w:tcBorders>
            <w:vAlign w:val="center"/>
          </w:tcPr>
          <w:p w14:paraId="3C781089" w14:textId="77777777" w:rsidR="002F03F5" w:rsidRPr="009F2AA4" w:rsidRDefault="008F23FF" w:rsidP="00921FF3">
            <w:pPr>
              <w:pStyle w:val="In-tableHeading"/>
              <w:jc w:val="center"/>
              <w:rPr>
                <w:lang w:val="en-AU"/>
              </w:rPr>
            </w:pPr>
            <w:r w:rsidRPr="009F2AA4">
              <w:rPr>
                <w:lang w:val="en-AU"/>
              </w:rPr>
              <w:t>HR (95% CI)</w:t>
            </w:r>
          </w:p>
        </w:tc>
      </w:tr>
      <w:tr w:rsidR="002F03F5" w:rsidRPr="009F2AA4" w14:paraId="3C78108C" w14:textId="77777777" w:rsidTr="00046D8F">
        <w:trPr>
          <w:trHeight w:val="20"/>
        </w:trPr>
        <w:tc>
          <w:tcPr>
            <w:tcW w:w="9026" w:type="dxa"/>
            <w:gridSpan w:val="5"/>
            <w:tcBorders>
              <w:top w:val="single" w:sz="4" w:space="0" w:color="000000"/>
              <w:left w:val="single" w:sz="4" w:space="0" w:color="000000"/>
              <w:bottom w:val="single" w:sz="4" w:space="0" w:color="000000"/>
              <w:right w:val="single" w:sz="4" w:space="0" w:color="000000"/>
            </w:tcBorders>
            <w:vAlign w:val="center"/>
          </w:tcPr>
          <w:p w14:paraId="3C78108B" w14:textId="6D9E959E" w:rsidR="002F03F5" w:rsidRPr="009F2AA4" w:rsidRDefault="008F23FF" w:rsidP="00921FF3">
            <w:pPr>
              <w:pStyle w:val="In-tableHeading"/>
              <w:rPr>
                <w:lang w:val="en-AU"/>
              </w:rPr>
            </w:pPr>
            <w:r w:rsidRPr="009F2AA4">
              <w:rPr>
                <w:lang w:val="en-AU"/>
              </w:rPr>
              <w:t>Progression free survival (median duration of follow up PFS 17</w:t>
            </w:r>
            <w:r w:rsidR="00DF21AC" w:rsidRPr="001C5922">
              <w:rPr>
                <w:vertAlign w:val="superscript"/>
                <w:lang w:val="en-AU"/>
              </w:rPr>
              <w:t>a</w:t>
            </w:r>
            <w:r w:rsidRPr="009F2AA4">
              <w:rPr>
                <w:lang w:val="en-AU"/>
              </w:rPr>
              <w:t xml:space="preserve"> </w:t>
            </w:r>
            <w:r w:rsidR="00DF21AC">
              <w:rPr>
                <w:lang w:val="en-AU"/>
              </w:rPr>
              <w:t>–</w:t>
            </w:r>
            <w:r w:rsidR="00C50A7C">
              <w:rPr>
                <w:lang w:val="en-AU"/>
              </w:rPr>
              <w:t xml:space="preserve"> </w:t>
            </w:r>
            <w:r w:rsidRPr="009F2AA4">
              <w:rPr>
                <w:lang w:val="en-AU"/>
              </w:rPr>
              <w:t>22</w:t>
            </w:r>
            <w:r w:rsidR="00DF21AC" w:rsidRPr="001C5922">
              <w:rPr>
                <w:vertAlign w:val="superscript"/>
                <w:lang w:val="en-AU"/>
              </w:rPr>
              <w:t>b</w:t>
            </w:r>
            <w:r w:rsidRPr="009F2AA4">
              <w:rPr>
                <w:lang w:val="en-AU"/>
              </w:rPr>
              <w:t xml:space="preserve"> months)</w:t>
            </w:r>
          </w:p>
        </w:tc>
      </w:tr>
      <w:tr w:rsidR="002F03F5" w:rsidRPr="009F2AA4" w14:paraId="3C781093" w14:textId="77777777" w:rsidTr="00046D8F">
        <w:trPr>
          <w:trHeight w:val="20"/>
        </w:trPr>
        <w:tc>
          <w:tcPr>
            <w:tcW w:w="2465" w:type="dxa"/>
            <w:tcBorders>
              <w:left w:val="single" w:sz="4" w:space="0" w:color="000000"/>
              <w:bottom w:val="single" w:sz="4" w:space="0" w:color="000000"/>
              <w:right w:val="single" w:sz="4" w:space="0" w:color="000000"/>
            </w:tcBorders>
            <w:vAlign w:val="center"/>
          </w:tcPr>
          <w:p w14:paraId="3C78108D" w14:textId="77777777" w:rsidR="002F03F5" w:rsidRPr="009F2AA4" w:rsidRDefault="008F23FF" w:rsidP="00921FF3">
            <w:pPr>
              <w:pStyle w:val="TableText"/>
              <w:keepNext/>
              <w:keepLines/>
              <w:widowControl/>
              <w:rPr>
                <w:lang w:val="en-AU"/>
              </w:rPr>
            </w:pPr>
            <w:r w:rsidRPr="009F2AA4">
              <w:rPr>
                <w:rFonts w:eastAsia="Calibri" w:cs="Arial"/>
                <w:lang w:val="en-AU"/>
              </w:rPr>
              <w:t>Progressed or died, n (%)</w:t>
            </w:r>
          </w:p>
        </w:tc>
        <w:tc>
          <w:tcPr>
            <w:tcW w:w="1919" w:type="dxa"/>
            <w:tcBorders>
              <w:left w:val="single" w:sz="4" w:space="0" w:color="000000"/>
              <w:bottom w:val="single" w:sz="4" w:space="0" w:color="000000"/>
              <w:right w:val="single" w:sz="4" w:space="0" w:color="000000"/>
            </w:tcBorders>
            <w:vAlign w:val="center"/>
          </w:tcPr>
          <w:p w14:paraId="3C78108E" w14:textId="77777777" w:rsidR="002F03F5" w:rsidRPr="009F2AA4" w:rsidRDefault="008F23FF" w:rsidP="00921FF3">
            <w:pPr>
              <w:pStyle w:val="TableText"/>
              <w:keepNext/>
              <w:keepLines/>
              <w:widowControl/>
              <w:jc w:val="center"/>
              <w:rPr>
                <w:lang w:val="en-AU"/>
              </w:rPr>
            </w:pPr>
            <w:r w:rsidRPr="009F2AA4">
              <w:rPr>
                <w:rFonts w:eastAsia="Calibri" w:cs="Arial"/>
                <w:lang w:val="en-AU"/>
              </w:rPr>
              <w:t>34 (17.6)</w:t>
            </w:r>
          </w:p>
        </w:tc>
        <w:tc>
          <w:tcPr>
            <w:tcW w:w="1919" w:type="dxa"/>
            <w:tcBorders>
              <w:left w:val="single" w:sz="4" w:space="0" w:color="000000"/>
              <w:bottom w:val="single" w:sz="4" w:space="0" w:color="000000"/>
              <w:right w:val="single" w:sz="4" w:space="0" w:color="000000"/>
            </w:tcBorders>
            <w:vAlign w:val="center"/>
          </w:tcPr>
          <w:p w14:paraId="3C78108F" w14:textId="77777777" w:rsidR="002F03F5" w:rsidRPr="009F2AA4" w:rsidRDefault="008F23FF" w:rsidP="00921FF3">
            <w:pPr>
              <w:pStyle w:val="TableText"/>
              <w:keepNext/>
              <w:keepLines/>
              <w:widowControl/>
              <w:jc w:val="center"/>
              <w:rPr>
                <w:lang w:val="en-AU"/>
              </w:rPr>
            </w:pPr>
            <w:r w:rsidRPr="009F2AA4">
              <w:rPr>
                <w:rFonts w:eastAsia="Calibri" w:cs="Arial"/>
                <w:lang w:val="en-AU"/>
              </w:rPr>
              <w:t>47 (48.0)</w:t>
            </w:r>
          </w:p>
        </w:tc>
        <w:tc>
          <w:tcPr>
            <w:tcW w:w="1443" w:type="dxa"/>
            <w:tcBorders>
              <w:left w:val="single" w:sz="4" w:space="0" w:color="000000"/>
              <w:bottom w:val="single" w:sz="4" w:space="0" w:color="000000"/>
              <w:right w:val="single" w:sz="4" w:space="0" w:color="000000"/>
            </w:tcBorders>
            <w:vAlign w:val="center"/>
          </w:tcPr>
          <w:p w14:paraId="3C781090" w14:textId="77777777" w:rsidR="002F03F5" w:rsidRPr="009F2AA4" w:rsidRDefault="008F23FF" w:rsidP="00921FF3">
            <w:pPr>
              <w:pStyle w:val="TableText"/>
              <w:keepNext/>
              <w:keepLines/>
              <w:widowControl/>
              <w:jc w:val="center"/>
              <w:rPr>
                <w:lang w:val="en-AU"/>
              </w:rPr>
            </w:pPr>
            <w:r w:rsidRPr="009F2AA4">
              <w:rPr>
                <w:rFonts w:eastAsia="Calibri" w:cs="Arial"/>
                <w:lang w:val="en-AU"/>
              </w:rPr>
              <w:t>-</w:t>
            </w:r>
          </w:p>
        </w:tc>
        <w:tc>
          <w:tcPr>
            <w:tcW w:w="1280" w:type="dxa"/>
            <w:vMerge w:val="restart"/>
            <w:tcBorders>
              <w:left w:val="single" w:sz="4" w:space="0" w:color="000000"/>
              <w:bottom w:val="single" w:sz="4" w:space="0" w:color="000000"/>
              <w:right w:val="single" w:sz="4" w:space="0" w:color="000000"/>
            </w:tcBorders>
            <w:vAlign w:val="center"/>
          </w:tcPr>
          <w:p w14:paraId="3C781091" w14:textId="77777777" w:rsidR="002F03F5" w:rsidRPr="009F2AA4" w:rsidRDefault="008F23FF" w:rsidP="00921FF3">
            <w:pPr>
              <w:pStyle w:val="TableText"/>
              <w:keepNext/>
              <w:keepLines/>
              <w:widowControl/>
              <w:jc w:val="center"/>
              <w:rPr>
                <w:lang w:val="en-AU"/>
              </w:rPr>
            </w:pPr>
            <w:r w:rsidRPr="009F2AA4">
              <w:rPr>
                <w:rFonts w:eastAsia="Calibri" w:cs="Arial"/>
                <w:lang w:val="en-AU"/>
              </w:rPr>
              <w:t xml:space="preserve">0.202 </w:t>
            </w:r>
          </w:p>
          <w:p w14:paraId="3C781092" w14:textId="77777777" w:rsidR="002F03F5" w:rsidRPr="009F2AA4" w:rsidRDefault="008F23FF" w:rsidP="00921FF3">
            <w:pPr>
              <w:pStyle w:val="TableText"/>
              <w:keepNext/>
              <w:keepLines/>
              <w:widowControl/>
              <w:jc w:val="center"/>
              <w:rPr>
                <w:lang w:val="en-AU"/>
              </w:rPr>
            </w:pPr>
            <w:r w:rsidRPr="009F2AA4">
              <w:rPr>
                <w:rFonts w:eastAsia="Calibri" w:cs="Arial"/>
                <w:lang w:val="en-AU"/>
              </w:rPr>
              <w:t>(0.128, 0.320)</w:t>
            </w:r>
          </w:p>
        </w:tc>
      </w:tr>
      <w:tr w:rsidR="002F03F5" w:rsidRPr="009F2AA4" w14:paraId="3C781099" w14:textId="77777777" w:rsidTr="00046D8F">
        <w:trPr>
          <w:trHeight w:val="20"/>
        </w:trPr>
        <w:tc>
          <w:tcPr>
            <w:tcW w:w="2465" w:type="dxa"/>
            <w:tcBorders>
              <w:left w:val="single" w:sz="4" w:space="0" w:color="000000"/>
              <w:bottom w:val="single" w:sz="4" w:space="0" w:color="000000"/>
              <w:right w:val="single" w:sz="4" w:space="0" w:color="000000"/>
            </w:tcBorders>
            <w:vAlign w:val="center"/>
          </w:tcPr>
          <w:p w14:paraId="3C781094" w14:textId="77777777" w:rsidR="002F03F5" w:rsidRPr="009F2AA4" w:rsidRDefault="008F23FF" w:rsidP="00921FF3">
            <w:pPr>
              <w:pStyle w:val="TableText"/>
              <w:keepNext/>
              <w:keepLines/>
              <w:widowControl/>
              <w:rPr>
                <w:lang w:val="en-AU"/>
              </w:rPr>
            </w:pPr>
            <w:r w:rsidRPr="009F2AA4">
              <w:rPr>
                <w:rFonts w:eastAsia="Calibri" w:cs="Arial"/>
                <w:lang w:val="en-AU"/>
              </w:rPr>
              <w:t>Median PFS, months (95% CI)</w:t>
            </w:r>
          </w:p>
        </w:tc>
        <w:tc>
          <w:tcPr>
            <w:tcW w:w="1919" w:type="dxa"/>
            <w:tcBorders>
              <w:left w:val="single" w:sz="4" w:space="0" w:color="000000"/>
              <w:bottom w:val="single" w:sz="4" w:space="0" w:color="000000"/>
              <w:right w:val="single" w:sz="4" w:space="0" w:color="000000"/>
            </w:tcBorders>
            <w:vAlign w:val="center"/>
          </w:tcPr>
          <w:p w14:paraId="3C781095" w14:textId="77777777" w:rsidR="002F03F5" w:rsidRPr="009F2AA4" w:rsidRDefault="008F23FF" w:rsidP="00921FF3">
            <w:pPr>
              <w:pStyle w:val="TableText"/>
              <w:keepNext/>
              <w:keepLines/>
              <w:widowControl/>
              <w:jc w:val="center"/>
              <w:rPr>
                <w:rFonts w:cs="Times New Roman"/>
                <w:szCs w:val="20"/>
                <w:lang w:val="en-AU"/>
              </w:rPr>
            </w:pPr>
            <w:r w:rsidRPr="009F2AA4">
              <w:rPr>
                <w:rFonts w:eastAsia="Calibri" w:cs="Arial"/>
                <w:lang w:val="en-AU"/>
              </w:rPr>
              <w:t>Not reached (35.8, NE)</w:t>
            </w:r>
          </w:p>
        </w:tc>
        <w:tc>
          <w:tcPr>
            <w:tcW w:w="1919" w:type="dxa"/>
            <w:tcBorders>
              <w:left w:val="single" w:sz="4" w:space="0" w:color="000000"/>
              <w:bottom w:val="single" w:sz="4" w:space="0" w:color="000000"/>
              <w:right w:val="single" w:sz="4" w:space="0" w:color="000000"/>
            </w:tcBorders>
            <w:vAlign w:val="center"/>
          </w:tcPr>
          <w:p w14:paraId="3C781096" w14:textId="77777777" w:rsidR="002F03F5" w:rsidRPr="009F2AA4" w:rsidRDefault="008F23FF" w:rsidP="00921FF3">
            <w:pPr>
              <w:pStyle w:val="TableText"/>
              <w:keepNext/>
              <w:keepLines/>
              <w:widowControl/>
              <w:jc w:val="center"/>
              <w:rPr>
                <w:rFonts w:cs="Times New Roman"/>
                <w:szCs w:val="20"/>
                <w:lang w:val="en-AU"/>
              </w:rPr>
            </w:pPr>
            <w:r w:rsidRPr="009F2AA4">
              <w:rPr>
                <w:rFonts w:eastAsia="Calibri" w:cs="Arial"/>
                <w:lang w:val="en-AU"/>
              </w:rPr>
              <w:t>13.9 (12.2, 19.5)</w:t>
            </w:r>
          </w:p>
        </w:tc>
        <w:tc>
          <w:tcPr>
            <w:tcW w:w="1443" w:type="dxa"/>
            <w:tcBorders>
              <w:left w:val="single" w:sz="4" w:space="0" w:color="000000"/>
              <w:bottom w:val="single" w:sz="4" w:space="0" w:color="000000"/>
              <w:right w:val="single" w:sz="4" w:space="0" w:color="000000"/>
            </w:tcBorders>
            <w:vAlign w:val="center"/>
          </w:tcPr>
          <w:p w14:paraId="3C781097" w14:textId="77777777" w:rsidR="002F03F5" w:rsidRPr="009F2AA4" w:rsidRDefault="008F23FF" w:rsidP="00921FF3">
            <w:pPr>
              <w:pStyle w:val="TableText"/>
              <w:keepNext/>
              <w:keepLines/>
              <w:widowControl/>
              <w:jc w:val="center"/>
              <w:rPr>
                <w:lang w:val="en-AU"/>
              </w:rPr>
            </w:pPr>
            <w:r w:rsidRPr="009F2AA4">
              <w:rPr>
                <w:rFonts w:eastAsia="Calibri" w:cs="Arial"/>
                <w:lang w:val="en-AU"/>
              </w:rPr>
              <w:t>NE</w:t>
            </w:r>
          </w:p>
        </w:tc>
        <w:tc>
          <w:tcPr>
            <w:tcW w:w="1280" w:type="dxa"/>
            <w:vMerge/>
            <w:tcBorders>
              <w:left w:val="single" w:sz="4" w:space="0" w:color="000000"/>
              <w:right w:val="single" w:sz="4" w:space="0" w:color="000000"/>
            </w:tcBorders>
            <w:vAlign w:val="center"/>
          </w:tcPr>
          <w:p w14:paraId="3C781098" w14:textId="77777777" w:rsidR="002F03F5" w:rsidRPr="009F2AA4" w:rsidRDefault="002F03F5" w:rsidP="00921FF3">
            <w:pPr>
              <w:pStyle w:val="TableText"/>
              <w:keepNext/>
              <w:keepLines/>
              <w:widowControl/>
              <w:jc w:val="center"/>
              <w:rPr>
                <w:szCs w:val="20"/>
                <w:lang w:val="en-AU"/>
              </w:rPr>
            </w:pPr>
          </w:p>
        </w:tc>
      </w:tr>
      <w:tr w:rsidR="002F03F5" w:rsidRPr="009F2AA4" w14:paraId="3C78109F" w14:textId="77777777" w:rsidTr="00046D8F">
        <w:trPr>
          <w:trHeight w:val="20"/>
        </w:trPr>
        <w:tc>
          <w:tcPr>
            <w:tcW w:w="2465" w:type="dxa"/>
            <w:tcBorders>
              <w:top w:val="single" w:sz="4" w:space="0" w:color="000000"/>
              <w:left w:val="single" w:sz="4" w:space="0" w:color="000000"/>
              <w:bottom w:val="single" w:sz="4" w:space="0" w:color="000000"/>
              <w:right w:val="single" w:sz="4" w:space="0" w:color="000000"/>
            </w:tcBorders>
            <w:vAlign w:val="center"/>
          </w:tcPr>
          <w:p w14:paraId="3C78109A" w14:textId="77777777" w:rsidR="002F03F5" w:rsidRPr="009F2AA4" w:rsidRDefault="008F23FF" w:rsidP="00921FF3">
            <w:pPr>
              <w:pStyle w:val="TableText"/>
              <w:keepNext/>
              <w:keepLines/>
              <w:widowControl/>
              <w:rPr>
                <w:lang w:val="en-AU"/>
              </w:rPr>
            </w:pPr>
            <w:r w:rsidRPr="009F2AA4">
              <w:rPr>
                <w:rFonts w:eastAsia="Calibri" w:cs="Arial"/>
                <w:lang w:val="en-AU"/>
              </w:rPr>
              <w:t>% not progressed at 12 months (95% CI)</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9B" w14:textId="77777777" w:rsidR="002F03F5" w:rsidRPr="009F2AA4" w:rsidRDefault="008F23FF" w:rsidP="00921FF3">
            <w:pPr>
              <w:pStyle w:val="TableText"/>
              <w:keepNext/>
              <w:keepLines/>
              <w:widowControl/>
              <w:jc w:val="center"/>
              <w:rPr>
                <w:lang w:val="en-AU"/>
              </w:rPr>
            </w:pPr>
            <w:r w:rsidRPr="009F2AA4">
              <w:rPr>
                <w:rFonts w:eastAsia="Calibri" w:cs="Arial"/>
                <w:lang w:val="en-AU"/>
              </w:rPr>
              <w:t>90.5 (85.1, 94.0)</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9C" w14:textId="77777777" w:rsidR="002F03F5" w:rsidRPr="009F2AA4" w:rsidRDefault="008F23FF" w:rsidP="00921FF3">
            <w:pPr>
              <w:pStyle w:val="TableText"/>
              <w:keepNext/>
              <w:keepLines/>
              <w:widowControl/>
              <w:jc w:val="center"/>
              <w:rPr>
                <w:szCs w:val="20"/>
                <w:lang w:val="en-AU"/>
              </w:rPr>
            </w:pPr>
            <w:r w:rsidRPr="009F2AA4">
              <w:rPr>
                <w:rFonts w:eastAsia="Calibri" w:cs="Arial"/>
                <w:lang w:val="en-AU"/>
              </w:rPr>
              <w:t>63.9 (51.8, 73.7)</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9D" w14:textId="77777777" w:rsidR="002F03F5" w:rsidRPr="009F2AA4" w:rsidRDefault="008F23FF" w:rsidP="00921FF3">
            <w:pPr>
              <w:pStyle w:val="TableText"/>
              <w:keepNext/>
              <w:keepLines/>
              <w:widowControl/>
              <w:jc w:val="center"/>
              <w:rPr>
                <w:lang w:val="en-AU"/>
              </w:rPr>
            </w:pPr>
            <w:r w:rsidRPr="009F2AA4">
              <w:rPr>
                <w:rFonts w:eastAsia="Calibri" w:cs="Arial"/>
                <w:lang w:val="en-AU"/>
              </w:rPr>
              <w:t>27%</w:t>
            </w:r>
          </w:p>
        </w:tc>
        <w:tc>
          <w:tcPr>
            <w:tcW w:w="1280" w:type="dxa"/>
            <w:vMerge/>
            <w:tcBorders>
              <w:left w:val="single" w:sz="4" w:space="0" w:color="000000"/>
              <w:right w:val="single" w:sz="4" w:space="0" w:color="000000"/>
            </w:tcBorders>
            <w:vAlign w:val="center"/>
          </w:tcPr>
          <w:p w14:paraId="3C78109E" w14:textId="77777777" w:rsidR="002F03F5" w:rsidRPr="009F2AA4" w:rsidRDefault="002F03F5" w:rsidP="00921FF3">
            <w:pPr>
              <w:pStyle w:val="TableText"/>
              <w:keepNext/>
              <w:keepLines/>
              <w:widowControl/>
              <w:jc w:val="center"/>
              <w:rPr>
                <w:lang w:val="en-AU"/>
              </w:rPr>
            </w:pPr>
          </w:p>
        </w:tc>
      </w:tr>
      <w:tr w:rsidR="002F03F5" w:rsidRPr="009F2AA4" w14:paraId="3C7810A5" w14:textId="77777777" w:rsidTr="00046D8F">
        <w:trPr>
          <w:trHeight w:val="20"/>
        </w:trPr>
        <w:tc>
          <w:tcPr>
            <w:tcW w:w="2465" w:type="dxa"/>
            <w:tcBorders>
              <w:top w:val="single" w:sz="4" w:space="0" w:color="000000"/>
              <w:left w:val="single" w:sz="4" w:space="0" w:color="000000"/>
              <w:bottom w:val="single" w:sz="4" w:space="0" w:color="000000"/>
              <w:right w:val="single" w:sz="4" w:space="0" w:color="000000"/>
            </w:tcBorders>
            <w:vAlign w:val="center"/>
          </w:tcPr>
          <w:p w14:paraId="3C7810A0" w14:textId="77777777" w:rsidR="002F03F5" w:rsidRPr="009F2AA4" w:rsidRDefault="008F23FF" w:rsidP="00921FF3">
            <w:pPr>
              <w:pStyle w:val="TableText"/>
              <w:keepNext/>
              <w:keepLines/>
              <w:widowControl/>
              <w:rPr>
                <w:lang w:val="en-AU"/>
              </w:rPr>
            </w:pPr>
            <w:r w:rsidRPr="009F2AA4">
              <w:rPr>
                <w:rFonts w:eastAsia="Calibri" w:cs="Arial"/>
                <w:lang w:val="en-AU"/>
              </w:rPr>
              <w:t>% not progressed at 24 months (95% CI)</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A1" w14:textId="77777777" w:rsidR="002F03F5" w:rsidRPr="009F2AA4" w:rsidRDefault="008F23FF" w:rsidP="00921FF3">
            <w:pPr>
              <w:pStyle w:val="TableText"/>
              <w:keepNext/>
              <w:keepLines/>
              <w:widowControl/>
              <w:jc w:val="center"/>
              <w:rPr>
                <w:szCs w:val="20"/>
                <w:lang w:val="en-AU"/>
              </w:rPr>
            </w:pPr>
            <w:r w:rsidRPr="009F2AA4">
              <w:rPr>
                <w:rFonts w:eastAsia="Calibri" w:cs="Arial"/>
                <w:lang w:val="en-AU"/>
              </w:rPr>
              <w:t>81.5 (74.0, 87.0)</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A2" w14:textId="77777777" w:rsidR="002F03F5" w:rsidRPr="009F2AA4" w:rsidRDefault="008F23FF" w:rsidP="00921FF3">
            <w:pPr>
              <w:pStyle w:val="TableText"/>
              <w:keepNext/>
              <w:keepLines/>
              <w:widowControl/>
              <w:jc w:val="center"/>
              <w:rPr>
                <w:szCs w:val="20"/>
                <w:lang w:val="en-AU"/>
              </w:rPr>
            </w:pPr>
            <w:r w:rsidRPr="009F2AA4">
              <w:rPr>
                <w:rFonts w:eastAsia="Calibri" w:cs="Arial"/>
                <w:lang w:val="en-AU"/>
              </w:rPr>
              <w:t>32.5 (20.6, 44.9)</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A3" w14:textId="77777777" w:rsidR="002F03F5" w:rsidRPr="009F2AA4" w:rsidRDefault="008F23FF" w:rsidP="00921FF3">
            <w:pPr>
              <w:pStyle w:val="TableText"/>
              <w:keepNext/>
              <w:keepLines/>
              <w:widowControl/>
              <w:jc w:val="center"/>
              <w:rPr>
                <w:rFonts w:cs="Times New Roman"/>
                <w:szCs w:val="20"/>
                <w:lang w:val="en-AU"/>
              </w:rPr>
            </w:pPr>
            <w:r w:rsidRPr="009F2AA4">
              <w:rPr>
                <w:rFonts w:eastAsia="Calibri" w:cs="Times New Roman"/>
                <w:szCs w:val="20"/>
                <w:lang w:val="en-AU"/>
              </w:rPr>
              <w:t>49%</w:t>
            </w:r>
          </w:p>
        </w:tc>
        <w:tc>
          <w:tcPr>
            <w:tcW w:w="1280" w:type="dxa"/>
            <w:vMerge/>
            <w:tcBorders>
              <w:left w:val="single" w:sz="4" w:space="0" w:color="000000"/>
              <w:bottom w:val="single" w:sz="4" w:space="0" w:color="000000"/>
              <w:right w:val="single" w:sz="4" w:space="0" w:color="000000"/>
            </w:tcBorders>
            <w:vAlign w:val="center"/>
          </w:tcPr>
          <w:p w14:paraId="3C7810A4" w14:textId="77777777" w:rsidR="002F03F5" w:rsidRPr="009F2AA4" w:rsidRDefault="002F03F5" w:rsidP="00921FF3">
            <w:pPr>
              <w:pStyle w:val="TableText"/>
              <w:keepNext/>
              <w:keepLines/>
              <w:widowControl/>
              <w:jc w:val="center"/>
              <w:rPr>
                <w:lang w:val="en-AU"/>
              </w:rPr>
            </w:pPr>
          </w:p>
        </w:tc>
      </w:tr>
      <w:tr w:rsidR="002F03F5" w:rsidRPr="009F2AA4" w14:paraId="3C7810A7" w14:textId="77777777" w:rsidTr="00046D8F">
        <w:trPr>
          <w:trHeight w:val="20"/>
        </w:trPr>
        <w:tc>
          <w:tcPr>
            <w:tcW w:w="9026" w:type="dxa"/>
            <w:gridSpan w:val="5"/>
            <w:tcBorders>
              <w:top w:val="single" w:sz="4" w:space="0" w:color="000000"/>
              <w:left w:val="single" w:sz="4" w:space="0" w:color="000000"/>
              <w:bottom w:val="single" w:sz="4" w:space="0" w:color="000000"/>
              <w:right w:val="single" w:sz="4" w:space="0" w:color="000000"/>
            </w:tcBorders>
            <w:vAlign w:val="center"/>
          </w:tcPr>
          <w:p w14:paraId="3C7810A6" w14:textId="77777777" w:rsidR="002F03F5" w:rsidRPr="009F2AA4" w:rsidRDefault="008F23FF" w:rsidP="00921FF3">
            <w:pPr>
              <w:pStyle w:val="In-tableHeading"/>
              <w:rPr>
                <w:lang w:val="en-AU"/>
              </w:rPr>
            </w:pPr>
            <w:r w:rsidRPr="009F2AA4">
              <w:rPr>
                <w:lang w:val="en-AU"/>
              </w:rPr>
              <w:t>Overall survival (median duration of follow up 25 months)</w:t>
            </w:r>
          </w:p>
        </w:tc>
      </w:tr>
      <w:tr w:rsidR="002F03F5" w:rsidRPr="009F2AA4" w14:paraId="3C7810AE" w14:textId="77777777" w:rsidTr="00046D8F">
        <w:trPr>
          <w:trHeight w:val="20"/>
        </w:trPr>
        <w:tc>
          <w:tcPr>
            <w:tcW w:w="2465" w:type="dxa"/>
            <w:tcBorders>
              <w:top w:val="single" w:sz="4" w:space="0" w:color="000000"/>
              <w:left w:val="single" w:sz="4" w:space="0" w:color="000000"/>
              <w:bottom w:val="single" w:sz="4" w:space="0" w:color="000000"/>
              <w:right w:val="single" w:sz="4" w:space="0" w:color="000000"/>
            </w:tcBorders>
            <w:vAlign w:val="center"/>
          </w:tcPr>
          <w:p w14:paraId="3C7810A8" w14:textId="77777777" w:rsidR="002F03F5" w:rsidRPr="009F2AA4" w:rsidRDefault="008F23FF" w:rsidP="00921FF3">
            <w:pPr>
              <w:pStyle w:val="TableText"/>
              <w:keepNext/>
              <w:keepLines/>
              <w:widowControl/>
              <w:rPr>
                <w:lang w:val="en-AU"/>
              </w:rPr>
            </w:pPr>
            <w:r w:rsidRPr="009F2AA4">
              <w:rPr>
                <w:rFonts w:eastAsia="Calibri" w:cs="Arial"/>
                <w:lang w:val="en-AU"/>
              </w:rPr>
              <w:t xml:space="preserve">Deaths, n/N (%) </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A9" w14:textId="77777777" w:rsidR="002F03F5" w:rsidRPr="009F2AA4" w:rsidRDefault="008F23FF" w:rsidP="00921FF3">
            <w:pPr>
              <w:pStyle w:val="TableText"/>
              <w:keepNext/>
              <w:keepLines/>
              <w:widowControl/>
              <w:jc w:val="center"/>
              <w:rPr>
                <w:lang w:val="en-AU"/>
              </w:rPr>
            </w:pPr>
            <w:r w:rsidRPr="009F2AA4">
              <w:rPr>
                <w:rFonts w:eastAsia="Calibri" w:cs="Arial"/>
                <w:lang w:val="en-AU"/>
              </w:rPr>
              <w:t>10 (5.2)</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AA" w14:textId="77777777" w:rsidR="002F03F5" w:rsidRPr="009F2AA4" w:rsidRDefault="008F23FF" w:rsidP="00921FF3">
            <w:pPr>
              <w:pStyle w:val="TableText"/>
              <w:keepNext/>
              <w:keepLines/>
              <w:widowControl/>
              <w:jc w:val="center"/>
              <w:rPr>
                <w:lang w:val="en-AU"/>
              </w:rPr>
            </w:pPr>
            <w:r w:rsidRPr="009F2AA4">
              <w:rPr>
                <w:rFonts w:eastAsia="Calibri" w:cs="Arial"/>
                <w:lang w:val="en-AU"/>
              </w:rPr>
              <w:t>16 (16.3)</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AB" w14:textId="77777777" w:rsidR="002F03F5" w:rsidRPr="009F2AA4" w:rsidRDefault="008F23FF" w:rsidP="00921FF3">
            <w:pPr>
              <w:pStyle w:val="TableText"/>
              <w:keepNext/>
              <w:keepLines/>
              <w:widowControl/>
              <w:jc w:val="center"/>
              <w:rPr>
                <w:lang w:val="en-AU"/>
              </w:rPr>
            </w:pPr>
            <w:r w:rsidRPr="009F2AA4">
              <w:rPr>
                <w:rFonts w:eastAsia="Calibri" w:cs="Arial"/>
                <w:lang w:val="en-AU"/>
              </w:rPr>
              <w:t>-</w:t>
            </w:r>
          </w:p>
        </w:tc>
        <w:tc>
          <w:tcPr>
            <w:tcW w:w="1280" w:type="dxa"/>
            <w:vMerge w:val="restart"/>
            <w:tcBorders>
              <w:top w:val="single" w:sz="4" w:space="0" w:color="000000"/>
              <w:left w:val="single" w:sz="4" w:space="0" w:color="000000"/>
              <w:bottom w:val="single" w:sz="4" w:space="0" w:color="000000"/>
              <w:right w:val="single" w:sz="4" w:space="0" w:color="000000"/>
            </w:tcBorders>
            <w:vAlign w:val="center"/>
          </w:tcPr>
          <w:p w14:paraId="3C7810AC" w14:textId="77777777" w:rsidR="002F03F5" w:rsidRPr="009F2AA4" w:rsidRDefault="008F23FF" w:rsidP="00921FF3">
            <w:pPr>
              <w:pStyle w:val="TableText"/>
              <w:keepNext/>
              <w:keepLines/>
              <w:widowControl/>
              <w:jc w:val="center"/>
              <w:rPr>
                <w:szCs w:val="20"/>
                <w:lang w:val="en-AU"/>
              </w:rPr>
            </w:pPr>
            <w:r w:rsidRPr="009F2AA4">
              <w:rPr>
                <w:rFonts w:eastAsia="Calibri" w:cs="Arial"/>
                <w:szCs w:val="20"/>
                <w:lang w:val="en-AU"/>
              </w:rPr>
              <w:t xml:space="preserve">0.275 </w:t>
            </w:r>
          </w:p>
          <w:p w14:paraId="3C7810AD" w14:textId="77777777" w:rsidR="002F03F5" w:rsidRPr="009F2AA4" w:rsidRDefault="008F23FF" w:rsidP="00921FF3">
            <w:pPr>
              <w:pStyle w:val="TableText"/>
              <w:keepNext/>
              <w:keepLines/>
              <w:widowControl/>
              <w:jc w:val="center"/>
              <w:rPr>
                <w:lang w:val="en-AU"/>
              </w:rPr>
            </w:pPr>
            <w:r w:rsidRPr="009F2AA4">
              <w:rPr>
                <w:rFonts w:eastAsia="Calibri" w:cs="Arial"/>
                <w:szCs w:val="20"/>
                <w:lang w:val="en-AU"/>
              </w:rPr>
              <w:t>(0.124, 0.608)</w:t>
            </w:r>
          </w:p>
        </w:tc>
      </w:tr>
      <w:tr w:rsidR="002F03F5" w:rsidRPr="009F2AA4" w14:paraId="3C7810B4" w14:textId="77777777" w:rsidTr="00046D8F">
        <w:trPr>
          <w:trHeight w:val="20"/>
        </w:trPr>
        <w:tc>
          <w:tcPr>
            <w:tcW w:w="2465" w:type="dxa"/>
            <w:tcBorders>
              <w:top w:val="single" w:sz="4" w:space="0" w:color="000000"/>
              <w:left w:val="single" w:sz="4" w:space="0" w:color="000000"/>
              <w:bottom w:val="single" w:sz="4" w:space="0" w:color="000000"/>
              <w:right w:val="single" w:sz="4" w:space="0" w:color="000000"/>
            </w:tcBorders>
            <w:vAlign w:val="center"/>
          </w:tcPr>
          <w:p w14:paraId="3C7810AF" w14:textId="77777777" w:rsidR="002F03F5" w:rsidRPr="009F2AA4" w:rsidRDefault="008F23FF" w:rsidP="00921FF3">
            <w:pPr>
              <w:pStyle w:val="TableText"/>
              <w:keepNext/>
              <w:keepLines/>
              <w:widowControl/>
              <w:rPr>
                <w:lang w:val="en-AU"/>
              </w:rPr>
            </w:pPr>
            <w:r w:rsidRPr="009F2AA4">
              <w:rPr>
                <w:rFonts w:eastAsia="Calibri" w:cs="Arial"/>
                <w:lang w:val="en-AU"/>
              </w:rPr>
              <w:t>Median OS, months (95% CI)</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B0" w14:textId="77777777" w:rsidR="002F03F5" w:rsidRPr="009F2AA4" w:rsidRDefault="008F23FF" w:rsidP="00921FF3">
            <w:pPr>
              <w:pStyle w:val="TableText"/>
              <w:keepNext/>
              <w:keepLines/>
              <w:widowControl/>
              <w:jc w:val="center"/>
              <w:rPr>
                <w:rFonts w:cs="Times New Roman"/>
                <w:szCs w:val="20"/>
                <w:lang w:val="en-AU"/>
              </w:rPr>
            </w:pPr>
            <w:r w:rsidRPr="009F2AA4">
              <w:rPr>
                <w:rFonts w:eastAsia="Calibri" w:cs="Arial"/>
                <w:lang w:val="en-AU"/>
              </w:rPr>
              <w:t>Not reached</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B1" w14:textId="77777777" w:rsidR="002F03F5" w:rsidRPr="009F2AA4" w:rsidRDefault="008F23FF" w:rsidP="00921FF3">
            <w:pPr>
              <w:pStyle w:val="TableText"/>
              <w:keepNext/>
              <w:keepLines/>
              <w:widowControl/>
              <w:jc w:val="center"/>
              <w:rPr>
                <w:rFonts w:cs="Times New Roman"/>
                <w:szCs w:val="20"/>
                <w:lang w:val="en-AU"/>
              </w:rPr>
            </w:pPr>
            <w:r w:rsidRPr="009F2AA4">
              <w:rPr>
                <w:rFonts w:eastAsia="Calibri" w:cs="Arial"/>
                <w:lang w:val="en-AU"/>
              </w:rPr>
              <w:t>Not reached</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B2" w14:textId="77777777" w:rsidR="002F03F5" w:rsidRPr="009F2AA4" w:rsidRDefault="008F23FF" w:rsidP="00921FF3">
            <w:pPr>
              <w:pStyle w:val="TableText"/>
              <w:keepNext/>
              <w:keepLines/>
              <w:widowControl/>
              <w:jc w:val="center"/>
              <w:rPr>
                <w:lang w:val="en-AU"/>
              </w:rPr>
            </w:pPr>
            <w:r w:rsidRPr="009F2AA4">
              <w:rPr>
                <w:rFonts w:eastAsia="Calibri" w:cs="Arial"/>
                <w:lang w:val="en-AU"/>
              </w:rPr>
              <w:t>NE</w:t>
            </w:r>
          </w:p>
        </w:tc>
        <w:tc>
          <w:tcPr>
            <w:tcW w:w="1280" w:type="dxa"/>
            <w:vMerge/>
            <w:tcBorders>
              <w:left w:val="single" w:sz="4" w:space="0" w:color="000000"/>
              <w:right w:val="single" w:sz="4" w:space="0" w:color="000000"/>
            </w:tcBorders>
            <w:vAlign w:val="center"/>
          </w:tcPr>
          <w:p w14:paraId="3C7810B3" w14:textId="77777777" w:rsidR="002F03F5" w:rsidRPr="009F2AA4" w:rsidRDefault="002F03F5" w:rsidP="00921FF3">
            <w:pPr>
              <w:pStyle w:val="TableText"/>
              <w:keepNext/>
              <w:keepLines/>
              <w:widowControl/>
              <w:jc w:val="center"/>
              <w:rPr>
                <w:szCs w:val="20"/>
                <w:lang w:val="en-AU"/>
              </w:rPr>
            </w:pPr>
          </w:p>
        </w:tc>
      </w:tr>
      <w:tr w:rsidR="002F03F5" w:rsidRPr="009F2AA4" w14:paraId="3C7810BA" w14:textId="77777777" w:rsidTr="00046D8F">
        <w:trPr>
          <w:trHeight w:val="20"/>
        </w:trPr>
        <w:tc>
          <w:tcPr>
            <w:tcW w:w="2465" w:type="dxa"/>
            <w:tcBorders>
              <w:top w:val="single" w:sz="4" w:space="0" w:color="000000"/>
              <w:left w:val="single" w:sz="4" w:space="0" w:color="000000"/>
              <w:bottom w:val="single" w:sz="4" w:space="0" w:color="000000"/>
              <w:right w:val="single" w:sz="4" w:space="0" w:color="000000"/>
            </w:tcBorders>
            <w:vAlign w:val="center"/>
          </w:tcPr>
          <w:p w14:paraId="3C7810B5" w14:textId="77777777" w:rsidR="002F03F5" w:rsidRPr="009F2AA4" w:rsidRDefault="008F23FF" w:rsidP="00921FF3">
            <w:pPr>
              <w:pStyle w:val="TableText"/>
              <w:keepNext/>
              <w:keepLines/>
              <w:widowControl/>
              <w:rPr>
                <w:lang w:val="en-AU"/>
              </w:rPr>
            </w:pPr>
            <w:r w:rsidRPr="009F2AA4">
              <w:rPr>
                <w:rFonts w:eastAsia="Calibri" w:cs="Arial"/>
                <w:lang w:val="en-AU"/>
              </w:rPr>
              <w:t xml:space="preserve">% Alive at 12 months (95% CI) </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B6" w14:textId="77777777" w:rsidR="002F03F5" w:rsidRPr="009F2AA4" w:rsidRDefault="008F23FF" w:rsidP="00921FF3">
            <w:pPr>
              <w:pStyle w:val="TableText"/>
              <w:keepNext/>
              <w:keepLines/>
              <w:widowControl/>
              <w:jc w:val="center"/>
              <w:rPr>
                <w:lang w:val="en-AU"/>
              </w:rPr>
            </w:pPr>
            <w:r w:rsidRPr="009F2AA4">
              <w:rPr>
                <w:rFonts w:eastAsia="Calibri" w:cs="Arial"/>
                <w:lang w:val="en-AU"/>
              </w:rPr>
              <w:t>97.9 (94.5,99.2)</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B7" w14:textId="77777777" w:rsidR="002F03F5" w:rsidRPr="009F2AA4" w:rsidRDefault="008F23FF" w:rsidP="00921FF3">
            <w:pPr>
              <w:pStyle w:val="TableText"/>
              <w:keepNext/>
              <w:keepLines/>
              <w:widowControl/>
              <w:jc w:val="center"/>
              <w:rPr>
                <w:szCs w:val="20"/>
                <w:lang w:val="en-AU"/>
              </w:rPr>
            </w:pPr>
            <w:r w:rsidRPr="009F2AA4">
              <w:rPr>
                <w:rFonts w:eastAsia="Calibri" w:cs="Arial"/>
                <w:lang w:val="en-AU"/>
              </w:rPr>
              <w:t>92.4 (84.8,96.3)</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B8" w14:textId="77777777" w:rsidR="002F03F5" w:rsidRPr="009F2AA4" w:rsidRDefault="008F23FF" w:rsidP="00921FF3">
            <w:pPr>
              <w:pStyle w:val="TableText"/>
              <w:keepNext/>
              <w:keepLines/>
              <w:widowControl/>
              <w:jc w:val="center"/>
              <w:rPr>
                <w:lang w:val="en-AU"/>
              </w:rPr>
            </w:pPr>
            <w:r w:rsidRPr="009F2AA4">
              <w:rPr>
                <w:rFonts w:eastAsia="Calibri" w:cs="Arial"/>
                <w:lang w:val="en-AU"/>
              </w:rPr>
              <w:t>5.5%</w:t>
            </w:r>
          </w:p>
        </w:tc>
        <w:tc>
          <w:tcPr>
            <w:tcW w:w="1280" w:type="dxa"/>
            <w:vMerge/>
            <w:tcBorders>
              <w:left w:val="single" w:sz="4" w:space="0" w:color="000000"/>
              <w:right w:val="single" w:sz="4" w:space="0" w:color="000000"/>
            </w:tcBorders>
            <w:vAlign w:val="center"/>
          </w:tcPr>
          <w:p w14:paraId="3C7810B9" w14:textId="77777777" w:rsidR="002F03F5" w:rsidRPr="009F2AA4" w:rsidRDefault="002F03F5" w:rsidP="00921FF3">
            <w:pPr>
              <w:pStyle w:val="TableText"/>
              <w:keepNext/>
              <w:keepLines/>
              <w:widowControl/>
              <w:jc w:val="center"/>
              <w:rPr>
                <w:lang w:val="en-AU"/>
              </w:rPr>
            </w:pPr>
          </w:p>
        </w:tc>
      </w:tr>
      <w:tr w:rsidR="002F03F5" w:rsidRPr="009F2AA4" w14:paraId="3C7810C0" w14:textId="77777777" w:rsidTr="00046D8F">
        <w:trPr>
          <w:trHeight w:val="20"/>
        </w:trPr>
        <w:tc>
          <w:tcPr>
            <w:tcW w:w="2465" w:type="dxa"/>
            <w:tcBorders>
              <w:top w:val="single" w:sz="4" w:space="0" w:color="000000"/>
              <w:left w:val="single" w:sz="4" w:space="0" w:color="000000"/>
              <w:bottom w:val="single" w:sz="4" w:space="0" w:color="000000"/>
              <w:right w:val="single" w:sz="4" w:space="0" w:color="000000"/>
            </w:tcBorders>
            <w:vAlign w:val="center"/>
          </w:tcPr>
          <w:p w14:paraId="3C7810BB" w14:textId="77777777" w:rsidR="002F03F5" w:rsidRPr="009F2AA4" w:rsidRDefault="008F23FF" w:rsidP="00921FF3">
            <w:pPr>
              <w:pStyle w:val="TableText"/>
              <w:keepNext/>
              <w:keepLines/>
              <w:widowControl/>
              <w:rPr>
                <w:lang w:val="en-AU"/>
              </w:rPr>
            </w:pPr>
            <w:r w:rsidRPr="009F2AA4">
              <w:rPr>
                <w:rFonts w:eastAsia="Calibri" w:cs="Arial"/>
                <w:lang w:val="en-AU"/>
              </w:rPr>
              <w:t>% Alive at 24 months (95% CI)</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BC" w14:textId="77777777" w:rsidR="002F03F5" w:rsidRPr="009F2AA4" w:rsidRDefault="008F23FF" w:rsidP="00921FF3">
            <w:pPr>
              <w:pStyle w:val="TableText"/>
              <w:keepNext/>
              <w:keepLines/>
              <w:widowControl/>
              <w:jc w:val="center"/>
              <w:rPr>
                <w:szCs w:val="20"/>
                <w:lang w:val="en-AU"/>
              </w:rPr>
            </w:pPr>
            <w:r w:rsidRPr="009F2AA4">
              <w:rPr>
                <w:rFonts w:eastAsia="Calibri" w:cs="Arial"/>
                <w:lang w:val="en-AU"/>
              </w:rPr>
              <w:t>95.2 (90.5,97.6)</w:t>
            </w:r>
          </w:p>
        </w:tc>
        <w:tc>
          <w:tcPr>
            <w:tcW w:w="1919" w:type="dxa"/>
            <w:tcBorders>
              <w:top w:val="single" w:sz="4" w:space="0" w:color="000000"/>
              <w:left w:val="single" w:sz="4" w:space="0" w:color="000000"/>
              <w:bottom w:val="single" w:sz="4" w:space="0" w:color="000000"/>
              <w:right w:val="single" w:sz="4" w:space="0" w:color="000000"/>
            </w:tcBorders>
            <w:vAlign w:val="center"/>
          </w:tcPr>
          <w:p w14:paraId="3C7810BD" w14:textId="77777777" w:rsidR="002F03F5" w:rsidRPr="009F2AA4" w:rsidRDefault="008F23FF" w:rsidP="00921FF3">
            <w:pPr>
              <w:pStyle w:val="TableText"/>
              <w:keepNext/>
              <w:keepLines/>
              <w:widowControl/>
              <w:jc w:val="center"/>
              <w:rPr>
                <w:szCs w:val="20"/>
                <w:lang w:val="en-AU"/>
              </w:rPr>
            </w:pPr>
            <w:r w:rsidRPr="009F2AA4">
              <w:rPr>
                <w:rFonts w:eastAsia="Calibri" w:cs="Arial"/>
                <w:lang w:val="en-AU"/>
              </w:rPr>
              <w:t>85.4 (75.4,91.5)</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BE" w14:textId="77777777" w:rsidR="002F03F5" w:rsidRPr="009F2AA4" w:rsidRDefault="008F23FF" w:rsidP="00921FF3">
            <w:pPr>
              <w:pStyle w:val="TableText"/>
              <w:keepNext/>
              <w:keepLines/>
              <w:widowControl/>
              <w:jc w:val="center"/>
              <w:rPr>
                <w:lang w:val="en-AU"/>
              </w:rPr>
            </w:pPr>
            <w:r w:rsidRPr="009F2AA4">
              <w:rPr>
                <w:rFonts w:eastAsia="Calibri" w:cs="Arial"/>
                <w:lang w:val="en-AU"/>
              </w:rPr>
              <w:t>9.8%</w:t>
            </w:r>
          </w:p>
        </w:tc>
        <w:tc>
          <w:tcPr>
            <w:tcW w:w="1280" w:type="dxa"/>
            <w:vMerge/>
            <w:tcBorders>
              <w:left w:val="single" w:sz="4" w:space="0" w:color="000000"/>
              <w:bottom w:val="single" w:sz="4" w:space="0" w:color="000000"/>
              <w:right w:val="single" w:sz="4" w:space="0" w:color="000000"/>
            </w:tcBorders>
            <w:vAlign w:val="center"/>
          </w:tcPr>
          <w:p w14:paraId="3C7810BF" w14:textId="77777777" w:rsidR="002F03F5" w:rsidRPr="009F2AA4" w:rsidRDefault="002F03F5" w:rsidP="00921FF3">
            <w:pPr>
              <w:pStyle w:val="TableText"/>
              <w:keepNext/>
              <w:keepLines/>
              <w:widowControl/>
              <w:jc w:val="center"/>
              <w:rPr>
                <w:lang w:val="en-AU"/>
              </w:rPr>
            </w:pPr>
          </w:p>
        </w:tc>
      </w:tr>
    </w:tbl>
    <w:tbl>
      <w:tblPr>
        <w:tblW w:w="5000" w:type="pct"/>
        <w:tblLayout w:type="fixed"/>
        <w:tblCellMar>
          <w:left w:w="28" w:type="dxa"/>
          <w:right w:w="28" w:type="dxa"/>
        </w:tblCellMar>
        <w:tblLook w:val="04A0" w:firstRow="1" w:lastRow="0" w:firstColumn="1" w:lastColumn="0" w:noHBand="0" w:noVBand="1"/>
      </w:tblPr>
      <w:tblGrid>
        <w:gridCol w:w="1882"/>
        <w:gridCol w:w="1352"/>
        <w:gridCol w:w="1441"/>
        <w:gridCol w:w="1438"/>
        <w:gridCol w:w="1440"/>
        <w:gridCol w:w="1463"/>
      </w:tblGrid>
      <w:tr w:rsidR="002F03F5" w:rsidRPr="009F2AA4" w14:paraId="3C7810C2" w14:textId="77777777" w:rsidTr="00046D8F">
        <w:tc>
          <w:tcPr>
            <w:tcW w:w="9026" w:type="dxa"/>
            <w:gridSpan w:val="6"/>
            <w:tcBorders>
              <w:top w:val="single" w:sz="4" w:space="0" w:color="000000"/>
              <w:left w:val="single" w:sz="4" w:space="0" w:color="000000"/>
              <w:bottom w:val="single" w:sz="4" w:space="0" w:color="000000"/>
              <w:right w:val="single" w:sz="4" w:space="0" w:color="000000"/>
            </w:tcBorders>
            <w:vAlign w:val="center"/>
          </w:tcPr>
          <w:p w14:paraId="3C7810C1" w14:textId="77777777" w:rsidR="002F03F5" w:rsidRPr="009F2AA4" w:rsidRDefault="008F23FF" w:rsidP="00921FF3">
            <w:pPr>
              <w:pStyle w:val="In-tableHeading"/>
              <w:rPr>
                <w:lang w:val="en-AU"/>
              </w:rPr>
            </w:pPr>
            <w:r w:rsidRPr="009F2AA4">
              <w:rPr>
                <w:lang w:val="en-AU"/>
              </w:rPr>
              <w:t xml:space="preserve">Harms </w:t>
            </w:r>
          </w:p>
        </w:tc>
      </w:tr>
      <w:tr w:rsidR="002F03F5" w:rsidRPr="009F2AA4" w14:paraId="3C7810CA" w14:textId="77777777" w:rsidTr="00046D8F">
        <w:trPr>
          <w:trHeight w:val="70"/>
        </w:trPr>
        <w:tc>
          <w:tcPr>
            <w:tcW w:w="1883" w:type="dxa"/>
            <w:vMerge w:val="restart"/>
            <w:tcBorders>
              <w:top w:val="single" w:sz="4" w:space="0" w:color="000000"/>
              <w:left w:val="single" w:sz="4" w:space="0" w:color="000000"/>
              <w:bottom w:val="single" w:sz="4" w:space="0" w:color="000000"/>
              <w:right w:val="single" w:sz="4" w:space="0" w:color="000000"/>
            </w:tcBorders>
            <w:vAlign w:val="center"/>
          </w:tcPr>
          <w:p w14:paraId="3C7810C3" w14:textId="77777777" w:rsidR="002F03F5" w:rsidRPr="009F2AA4" w:rsidRDefault="002F03F5" w:rsidP="00921FF3">
            <w:pPr>
              <w:pStyle w:val="In-tableHeading"/>
              <w:rPr>
                <w:lang w:val="en-AU"/>
              </w:rPr>
            </w:pPr>
          </w:p>
        </w:tc>
        <w:tc>
          <w:tcPr>
            <w:tcW w:w="1353" w:type="dxa"/>
            <w:vMerge w:val="restart"/>
            <w:tcBorders>
              <w:top w:val="single" w:sz="4" w:space="0" w:color="000000"/>
              <w:left w:val="single" w:sz="4" w:space="0" w:color="000000"/>
              <w:bottom w:val="single" w:sz="4" w:space="0" w:color="000000"/>
              <w:right w:val="single" w:sz="4" w:space="0" w:color="000000"/>
            </w:tcBorders>
            <w:vAlign w:val="center"/>
          </w:tcPr>
          <w:p w14:paraId="3C7810C4" w14:textId="77777777" w:rsidR="002F03F5" w:rsidRPr="009F2AA4" w:rsidRDefault="008F23FF" w:rsidP="00921FF3">
            <w:pPr>
              <w:pStyle w:val="In-tableHeading"/>
              <w:jc w:val="center"/>
              <w:rPr>
                <w:lang w:val="en-AU"/>
              </w:rPr>
            </w:pPr>
            <w:r w:rsidRPr="009F2AA4">
              <w:rPr>
                <w:lang w:val="en-AU"/>
              </w:rPr>
              <w:t>Selpercatinib</w:t>
            </w:r>
          </w:p>
          <w:p w14:paraId="3C7810C5" w14:textId="77777777" w:rsidR="002F03F5" w:rsidRPr="009F2AA4" w:rsidRDefault="008F23FF" w:rsidP="00921FF3">
            <w:pPr>
              <w:pStyle w:val="In-tableHeading"/>
              <w:jc w:val="center"/>
              <w:rPr>
                <w:lang w:val="en-AU"/>
              </w:rPr>
            </w:pPr>
            <w:r w:rsidRPr="009F2AA4">
              <w:rPr>
                <w:lang w:val="en-AU"/>
              </w:rPr>
              <w:t>n/N</w:t>
            </w:r>
          </w:p>
        </w:tc>
        <w:tc>
          <w:tcPr>
            <w:tcW w:w="1443" w:type="dxa"/>
            <w:vMerge w:val="restart"/>
            <w:tcBorders>
              <w:top w:val="single" w:sz="4" w:space="0" w:color="000000"/>
              <w:left w:val="single" w:sz="4" w:space="0" w:color="000000"/>
              <w:bottom w:val="single" w:sz="4" w:space="0" w:color="000000"/>
              <w:right w:val="single" w:sz="4" w:space="0" w:color="000000"/>
            </w:tcBorders>
            <w:vAlign w:val="center"/>
          </w:tcPr>
          <w:p w14:paraId="3C7810C6" w14:textId="77777777" w:rsidR="002F03F5" w:rsidRPr="00B73859" w:rsidRDefault="008F23FF" w:rsidP="00921FF3">
            <w:pPr>
              <w:pStyle w:val="In-tableHeading"/>
              <w:jc w:val="center"/>
              <w:rPr>
                <w:lang w:val="pt-BR"/>
              </w:rPr>
            </w:pPr>
            <w:r w:rsidRPr="00B73859">
              <w:rPr>
                <w:lang w:val="pt-BR"/>
              </w:rPr>
              <w:t>Cabozantinib or vandetanib n/N</w:t>
            </w:r>
          </w:p>
        </w:tc>
        <w:tc>
          <w:tcPr>
            <w:tcW w:w="2882" w:type="dxa"/>
            <w:gridSpan w:val="2"/>
            <w:tcBorders>
              <w:top w:val="single" w:sz="4" w:space="0" w:color="000000"/>
              <w:left w:val="single" w:sz="4" w:space="0" w:color="000000"/>
              <w:bottom w:val="single" w:sz="4" w:space="0" w:color="000000"/>
              <w:right w:val="single" w:sz="4" w:space="0" w:color="000000"/>
            </w:tcBorders>
            <w:vAlign w:val="center"/>
          </w:tcPr>
          <w:p w14:paraId="3C7810C7" w14:textId="76CA4C35" w:rsidR="002F03F5" w:rsidRPr="009F2AA4" w:rsidRDefault="008F23FF" w:rsidP="00921FF3">
            <w:pPr>
              <w:pStyle w:val="In-tableHeading"/>
              <w:jc w:val="center"/>
              <w:rPr>
                <w:vertAlign w:val="superscript"/>
                <w:lang w:val="en-AU"/>
              </w:rPr>
            </w:pPr>
            <w:r w:rsidRPr="009F2AA4">
              <w:rPr>
                <w:lang w:val="en-AU"/>
              </w:rPr>
              <w:t xml:space="preserve">Event rate/100 </w:t>
            </w:r>
            <w:proofErr w:type="spellStart"/>
            <w:r w:rsidRPr="009F2AA4">
              <w:rPr>
                <w:lang w:val="en-AU"/>
              </w:rPr>
              <w:t>patients</w:t>
            </w:r>
            <w:r w:rsidR="00DF21AC">
              <w:rPr>
                <w:vertAlign w:val="superscript"/>
                <w:lang w:val="en-AU"/>
              </w:rPr>
              <w:t>c</w:t>
            </w:r>
            <w:proofErr w:type="spellEnd"/>
          </w:p>
        </w:tc>
        <w:tc>
          <w:tcPr>
            <w:tcW w:w="1465" w:type="dxa"/>
            <w:vMerge w:val="restart"/>
            <w:tcBorders>
              <w:top w:val="single" w:sz="4" w:space="0" w:color="000000"/>
              <w:left w:val="single" w:sz="4" w:space="0" w:color="000000"/>
              <w:bottom w:val="single" w:sz="4" w:space="0" w:color="000000"/>
              <w:right w:val="single" w:sz="4" w:space="0" w:color="000000"/>
            </w:tcBorders>
            <w:vAlign w:val="center"/>
          </w:tcPr>
          <w:p w14:paraId="3C7810C8" w14:textId="77777777" w:rsidR="002F03F5" w:rsidRPr="009F2AA4" w:rsidRDefault="008F23FF" w:rsidP="00921FF3">
            <w:pPr>
              <w:pStyle w:val="In-tableHeading"/>
              <w:jc w:val="center"/>
              <w:rPr>
                <w:lang w:val="en-AU"/>
              </w:rPr>
            </w:pPr>
            <w:r w:rsidRPr="009F2AA4">
              <w:rPr>
                <w:lang w:val="en-AU"/>
              </w:rPr>
              <w:t>RD</w:t>
            </w:r>
          </w:p>
          <w:p w14:paraId="3C7810C9" w14:textId="77777777" w:rsidR="002F03F5" w:rsidRPr="009F2AA4" w:rsidRDefault="008F23FF" w:rsidP="00921FF3">
            <w:pPr>
              <w:pStyle w:val="In-tableHeading"/>
              <w:jc w:val="center"/>
              <w:rPr>
                <w:lang w:val="en-AU"/>
              </w:rPr>
            </w:pPr>
            <w:r w:rsidRPr="009F2AA4">
              <w:rPr>
                <w:lang w:val="en-AU"/>
              </w:rPr>
              <w:t>(95% CI)</w:t>
            </w:r>
          </w:p>
        </w:tc>
      </w:tr>
      <w:tr w:rsidR="002F03F5" w:rsidRPr="009F2AA4" w14:paraId="3C7810D1" w14:textId="77777777" w:rsidTr="00046D8F">
        <w:trPr>
          <w:trHeight w:val="390"/>
        </w:trPr>
        <w:tc>
          <w:tcPr>
            <w:tcW w:w="1883" w:type="dxa"/>
            <w:vMerge/>
            <w:tcBorders>
              <w:top w:val="single" w:sz="4" w:space="0" w:color="000000"/>
              <w:left w:val="single" w:sz="4" w:space="0" w:color="000000"/>
              <w:bottom w:val="single" w:sz="4" w:space="0" w:color="000000"/>
              <w:right w:val="single" w:sz="4" w:space="0" w:color="000000"/>
            </w:tcBorders>
            <w:vAlign w:val="center"/>
          </w:tcPr>
          <w:p w14:paraId="3C7810CB" w14:textId="77777777" w:rsidR="002F03F5" w:rsidRPr="009F2AA4" w:rsidRDefault="002F03F5" w:rsidP="00921FF3">
            <w:pPr>
              <w:pStyle w:val="In-tableHeading"/>
              <w:rPr>
                <w:lang w:val="en-AU"/>
              </w:rPr>
            </w:pPr>
          </w:p>
        </w:tc>
        <w:tc>
          <w:tcPr>
            <w:tcW w:w="1353" w:type="dxa"/>
            <w:vMerge/>
            <w:tcBorders>
              <w:top w:val="single" w:sz="4" w:space="0" w:color="000000"/>
              <w:left w:val="single" w:sz="4" w:space="0" w:color="000000"/>
              <w:bottom w:val="single" w:sz="4" w:space="0" w:color="000000"/>
              <w:right w:val="single" w:sz="4" w:space="0" w:color="000000"/>
            </w:tcBorders>
            <w:vAlign w:val="center"/>
          </w:tcPr>
          <w:p w14:paraId="3C7810CC" w14:textId="77777777" w:rsidR="002F03F5" w:rsidRPr="009F2AA4" w:rsidRDefault="002F03F5" w:rsidP="00921FF3">
            <w:pPr>
              <w:pStyle w:val="In-tableHeading"/>
              <w:rPr>
                <w:lang w:val="en-AU"/>
              </w:rPr>
            </w:pPr>
          </w:p>
        </w:tc>
        <w:tc>
          <w:tcPr>
            <w:tcW w:w="1443" w:type="dxa"/>
            <w:vMerge/>
            <w:tcBorders>
              <w:top w:val="single" w:sz="4" w:space="0" w:color="000000"/>
              <w:left w:val="single" w:sz="4" w:space="0" w:color="000000"/>
              <w:bottom w:val="single" w:sz="4" w:space="0" w:color="000000"/>
              <w:right w:val="single" w:sz="4" w:space="0" w:color="000000"/>
            </w:tcBorders>
            <w:vAlign w:val="center"/>
          </w:tcPr>
          <w:p w14:paraId="3C7810CD" w14:textId="77777777" w:rsidR="002F03F5" w:rsidRPr="009F2AA4" w:rsidRDefault="002F03F5" w:rsidP="00921FF3">
            <w:pPr>
              <w:pStyle w:val="In-tableHeading"/>
              <w:rPr>
                <w:lang w:val="en-AU"/>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C7810CE" w14:textId="77777777" w:rsidR="002F03F5" w:rsidRPr="009F2AA4" w:rsidRDefault="008F23FF" w:rsidP="00921FF3">
            <w:pPr>
              <w:pStyle w:val="In-tableHeading"/>
              <w:jc w:val="center"/>
              <w:rPr>
                <w:lang w:val="en-AU"/>
              </w:rPr>
            </w:pPr>
            <w:r w:rsidRPr="009F2AA4">
              <w:rPr>
                <w:lang w:val="en-AU"/>
              </w:rPr>
              <w:t>Selpercatinib</w:t>
            </w:r>
          </w:p>
        </w:tc>
        <w:tc>
          <w:tcPr>
            <w:tcW w:w="1442" w:type="dxa"/>
            <w:tcBorders>
              <w:top w:val="single" w:sz="4" w:space="0" w:color="000000"/>
              <w:left w:val="single" w:sz="4" w:space="0" w:color="000000"/>
              <w:bottom w:val="single" w:sz="4" w:space="0" w:color="000000"/>
              <w:right w:val="single" w:sz="4" w:space="0" w:color="000000"/>
            </w:tcBorders>
            <w:vAlign w:val="center"/>
          </w:tcPr>
          <w:p w14:paraId="3C7810CF" w14:textId="77777777" w:rsidR="002F03F5" w:rsidRPr="009F2AA4" w:rsidRDefault="008F23FF" w:rsidP="00921FF3">
            <w:pPr>
              <w:pStyle w:val="In-tableHeading"/>
              <w:jc w:val="center"/>
              <w:rPr>
                <w:lang w:val="en-AU"/>
              </w:rPr>
            </w:pPr>
            <w:r w:rsidRPr="009F2AA4">
              <w:rPr>
                <w:lang w:val="en-AU"/>
              </w:rPr>
              <w:t xml:space="preserve">Cabozantinib or </w:t>
            </w:r>
            <w:proofErr w:type="spellStart"/>
            <w:r w:rsidRPr="009F2AA4">
              <w:rPr>
                <w:lang w:val="en-AU"/>
              </w:rPr>
              <w:t>vandetanib</w:t>
            </w:r>
            <w:proofErr w:type="spellEnd"/>
          </w:p>
        </w:tc>
        <w:tc>
          <w:tcPr>
            <w:tcW w:w="1465" w:type="dxa"/>
            <w:vMerge/>
            <w:tcBorders>
              <w:top w:val="single" w:sz="4" w:space="0" w:color="000000"/>
              <w:left w:val="single" w:sz="4" w:space="0" w:color="000000"/>
              <w:bottom w:val="single" w:sz="4" w:space="0" w:color="000000"/>
              <w:right w:val="single" w:sz="4" w:space="0" w:color="000000"/>
            </w:tcBorders>
            <w:vAlign w:val="center"/>
          </w:tcPr>
          <w:p w14:paraId="3C7810D0" w14:textId="77777777" w:rsidR="002F03F5" w:rsidRPr="009F2AA4" w:rsidRDefault="002F03F5" w:rsidP="00921FF3">
            <w:pPr>
              <w:pStyle w:val="In-tableHeading"/>
              <w:rPr>
                <w:lang w:val="en-AU"/>
              </w:rPr>
            </w:pPr>
          </w:p>
        </w:tc>
      </w:tr>
      <w:tr w:rsidR="002F03F5" w:rsidRPr="009F2AA4" w14:paraId="3C7810D8" w14:textId="77777777" w:rsidTr="00046D8F">
        <w:tc>
          <w:tcPr>
            <w:tcW w:w="1883" w:type="dxa"/>
            <w:tcBorders>
              <w:top w:val="single" w:sz="4" w:space="0" w:color="000000"/>
              <w:left w:val="single" w:sz="4" w:space="0" w:color="000000"/>
              <w:bottom w:val="single" w:sz="4" w:space="0" w:color="000000"/>
              <w:right w:val="single" w:sz="4" w:space="0" w:color="000000"/>
            </w:tcBorders>
            <w:vAlign w:val="center"/>
          </w:tcPr>
          <w:p w14:paraId="3C7810D2" w14:textId="77777777" w:rsidR="002F03F5" w:rsidRPr="009F2AA4" w:rsidRDefault="008F23FF" w:rsidP="00921FF3">
            <w:pPr>
              <w:pStyle w:val="TableText"/>
              <w:keepNext/>
              <w:widowControl/>
            </w:pPr>
            <w:r w:rsidRPr="009F2AA4">
              <w:rPr>
                <w:lang w:eastAsia="en-AU"/>
              </w:rPr>
              <w:t>Grade ≥3 TEAE</w:t>
            </w:r>
          </w:p>
        </w:tc>
        <w:tc>
          <w:tcPr>
            <w:tcW w:w="1353" w:type="dxa"/>
            <w:tcBorders>
              <w:top w:val="single" w:sz="4" w:space="0" w:color="000000"/>
              <w:left w:val="single" w:sz="4" w:space="0" w:color="000000"/>
              <w:bottom w:val="single" w:sz="4" w:space="0" w:color="000000"/>
              <w:right w:val="single" w:sz="4" w:space="0" w:color="000000"/>
            </w:tcBorders>
            <w:vAlign w:val="center"/>
          </w:tcPr>
          <w:p w14:paraId="3C7810D3" w14:textId="77777777" w:rsidR="002F03F5" w:rsidRPr="009F2AA4" w:rsidRDefault="008F23FF" w:rsidP="00921FF3">
            <w:pPr>
              <w:pStyle w:val="TableText"/>
              <w:keepNext/>
              <w:widowControl/>
              <w:jc w:val="center"/>
            </w:pPr>
            <w:r w:rsidRPr="009F2AA4">
              <w:t>119/193</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D4" w14:textId="77777777" w:rsidR="002F03F5" w:rsidRPr="009F2AA4" w:rsidRDefault="008F23FF" w:rsidP="00921FF3">
            <w:pPr>
              <w:pStyle w:val="TableText"/>
              <w:keepNext/>
              <w:widowControl/>
              <w:jc w:val="center"/>
            </w:pPr>
            <w:r w:rsidRPr="009F2AA4">
              <w:t>79/97</w:t>
            </w:r>
          </w:p>
        </w:tc>
        <w:tc>
          <w:tcPr>
            <w:tcW w:w="1440" w:type="dxa"/>
            <w:tcBorders>
              <w:top w:val="single" w:sz="4" w:space="0" w:color="000000"/>
              <w:left w:val="single" w:sz="4" w:space="0" w:color="000000"/>
              <w:bottom w:val="single" w:sz="4" w:space="0" w:color="000000"/>
              <w:right w:val="single" w:sz="4" w:space="0" w:color="000000"/>
            </w:tcBorders>
            <w:vAlign w:val="center"/>
          </w:tcPr>
          <w:p w14:paraId="3C7810D5" w14:textId="77777777" w:rsidR="002F03F5" w:rsidRPr="009F2AA4" w:rsidRDefault="008F23FF" w:rsidP="00921FF3">
            <w:pPr>
              <w:pStyle w:val="TableText"/>
              <w:keepNext/>
              <w:widowControl/>
              <w:jc w:val="center"/>
            </w:pPr>
            <w:r w:rsidRPr="009F2AA4">
              <w:t>61.7</w:t>
            </w:r>
          </w:p>
        </w:tc>
        <w:tc>
          <w:tcPr>
            <w:tcW w:w="1442" w:type="dxa"/>
            <w:tcBorders>
              <w:top w:val="single" w:sz="4" w:space="0" w:color="000000"/>
              <w:left w:val="single" w:sz="4" w:space="0" w:color="000000"/>
              <w:bottom w:val="single" w:sz="4" w:space="0" w:color="000000"/>
              <w:right w:val="single" w:sz="4" w:space="0" w:color="000000"/>
            </w:tcBorders>
            <w:vAlign w:val="center"/>
          </w:tcPr>
          <w:p w14:paraId="3C7810D6" w14:textId="77777777" w:rsidR="002F03F5" w:rsidRPr="009F2AA4" w:rsidRDefault="008F23FF" w:rsidP="00921FF3">
            <w:pPr>
              <w:pStyle w:val="TableText"/>
              <w:keepNext/>
              <w:widowControl/>
              <w:jc w:val="center"/>
            </w:pPr>
            <w:r w:rsidRPr="009F2AA4">
              <w:t>81.4</w:t>
            </w:r>
          </w:p>
        </w:tc>
        <w:tc>
          <w:tcPr>
            <w:tcW w:w="1465" w:type="dxa"/>
            <w:tcBorders>
              <w:top w:val="single" w:sz="4" w:space="0" w:color="000000"/>
              <w:left w:val="single" w:sz="4" w:space="0" w:color="000000"/>
              <w:bottom w:val="single" w:sz="4" w:space="0" w:color="000000"/>
              <w:right w:val="single" w:sz="4" w:space="0" w:color="000000"/>
            </w:tcBorders>
            <w:vAlign w:val="center"/>
          </w:tcPr>
          <w:p w14:paraId="3C7810D7" w14:textId="77777777" w:rsidR="002F03F5" w:rsidRPr="009F2AA4" w:rsidRDefault="008F23FF" w:rsidP="00921FF3">
            <w:pPr>
              <w:pStyle w:val="TableText"/>
              <w:keepNext/>
              <w:widowControl/>
              <w:jc w:val="center"/>
              <w:rPr>
                <w:iCs/>
              </w:rPr>
            </w:pPr>
            <w:r w:rsidRPr="009F2AA4">
              <w:rPr>
                <w:iCs/>
              </w:rPr>
              <w:t>-19.8 (-30.1, -9.4)</w:t>
            </w:r>
          </w:p>
        </w:tc>
      </w:tr>
      <w:tr w:rsidR="002F03F5" w:rsidRPr="009F2AA4" w14:paraId="3C7810DF" w14:textId="77777777" w:rsidTr="00046D8F">
        <w:tc>
          <w:tcPr>
            <w:tcW w:w="1883" w:type="dxa"/>
            <w:tcBorders>
              <w:top w:val="single" w:sz="4" w:space="0" w:color="000000"/>
              <w:left w:val="single" w:sz="4" w:space="0" w:color="000000"/>
              <w:bottom w:val="single" w:sz="4" w:space="0" w:color="000000"/>
              <w:right w:val="single" w:sz="4" w:space="0" w:color="000000"/>
            </w:tcBorders>
            <w:vAlign w:val="center"/>
          </w:tcPr>
          <w:p w14:paraId="3C7810D9" w14:textId="77777777" w:rsidR="002F03F5" w:rsidRPr="009F2AA4" w:rsidRDefault="008F23FF" w:rsidP="00921FF3">
            <w:pPr>
              <w:pStyle w:val="TableText"/>
              <w:keepNext/>
              <w:widowControl/>
            </w:pPr>
            <w:r w:rsidRPr="009F2AA4">
              <w:rPr>
                <w:lang w:eastAsia="en-AU"/>
              </w:rPr>
              <w:t xml:space="preserve">AE leading to treatment discontinuation </w:t>
            </w:r>
          </w:p>
        </w:tc>
        <w:tc>
          <w:tcPr>
            <w:tcW w:w="1353" w:type="dxa"/>
            <w:tcBorders>
              <w:top w:val="single" w:sz="4" w:space="0" w:color="000000"/>
              <w:left w:val="single" w:sz="4" w:space="0" w:color="000000"/>
              <w:bottom w:val="single" w:sz="4" w:space="0" w:color="000000"/>
              <w:right w:val="single" w:sz="4" w:space="0" w:color="000000"/>
            </w:tcBorders>
            <w:vAlign w:val="center"/>
          </w:tcPr>
          <w:p w14:paraId="3C7810DA" w14:textId="77777777" w:rsidR="002F03F5" w:rsidRPr="009F2AA4" w:rsidRDefault="008F23FF" w:rsidP="00921FF3">
            <w:pPr>
              <w:pStyle w:val="TableText"/>
              <w:keepNext/>
              <w:widowControl/>
              <w:jc w:val="center"/>
            </w:pPr>
            <w:r w:rsidRPr="009F2AA4">
              <w:t>11/193</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DB" w14:textId="77777777" w:rsidR="002F03F5" w:rsidRPr="009F2AA4" w:rsidRDefault="008F23FF" w:rsidP="00921FF3">
            <w:pPr>
              <w:pStyle w:val="TableText"/>
              <w:keepNext/>
              <w:widowControl/>
              <w:jc w:val="center"/>
            </w:pPr>
            <w:r w:rsidRPr="009F2AA4">
              <w:t>30/97</w:t>
            </w:r>
          </w:p>
        </w:tc>
        <w:tc>
          <w:tcPr>
            <w:tcW w:w="1440" w:type="dxa"/>
            <w:tcBorders>
              <w:top w:val="single" w:sz="4" w:space="0" w:color="000000"/>
              <w:left w:val="single" w:sz="4" w:space="0" w:color="000000"/>
              <w:bottom w:val="single" w:sz="4" w:space="0" w:color="000000"/>
              <w:right w:val="single" w:sz="4" w:space="0" w:color="000000"/>
            </w:tcBorders>
            <w:vAlign w:val="center"/>
          </w:tcPr>
          <w:p w14:paraId="3C7810DC" w14:textId="77777777" w:rsidR="002F03F5" w:rsidRPr="009F2AA4" w:rsidRDefault="008F23FF" w:rsidP="00921FF3">
            <w:pPr>
              <w:pStyle w:val="TableText"/>
              <w:keepNext/>
              <w:widowControl/>
              <w:jc w:val="center"/>
            </w:pPr>
            <w:r w:rsidRPr="009F2AA4">
              <w:t>30.6</w:t>
            </w:r>
          </w:p>
        </w:tc>
        <w:tc>
          <w:tcPr>
            <w:tcW w:w="1442" w:type="dxa"/>
            <w:tcBorders>
              <w:top w:val="single" w:sz="4" w:space="0" w:color="000000"/>
              <w:left w:val="single" w:sz="4" w:space="0" w:color="000000"/>
              <w:bottom w:val="single" w:sz="4" w:space="0" w:color="000000"/>
              <w:right w:val="single" w:sz="4" w:space="0" w:color="000000"/>
            </w:tcBorders>
            <w:vAlign w:val="center"/>
          </w:tcPr>
          <w:p w14:paraId="3C7810DD" w14:textId="77777777" w:rsidR="002F03F5" w:rsidRPr="009F2AA4" w:rsidRDefault="008F23FF" w:rsidP="00921FF3">
            <w:pPr>
              <w:pStyle w:val="TableText"/>
              <w:keepNext/>
              <w:widowControl/>
              <w:jc w:val="center"/>
            </w:pPr>
            <w:r w:rsidRPr="009F2AA4">
              <w:t>73.2</w:t>
            </w:r>
          </w:p>
        </w:tc>
        <w:tc>
          <w:tcPr>
            <w:tcW w:w="1465" w:type="dxa"/>
            <w:tcBorders>
              <w:top w:val="single" w:sz="4" w:space="0" w:color="000000"/>
              <w:left w:val="single" w:sz="4" w:space="0" w:color="000000"/>
              <w:bottom w:val="single" w:sz="4" w:space="0" w:color="000000"/>
              <w:right w:val="single" w:sz="4" w:space="0" w:color="000000"/>
            </w:tcBorders>
            <w:vAlign w:val="center"/>
          </w:tcPr>
          <w:p w14:paraId="3C7810DE" w14:textId="77777777" w:rsidR="002F03F5" w:rsidRPr="009F2AA4" w:rsidRDefault="008F23FF" w:rsidP="00921FF3">
            <w:pPr>
              <w:pStyle w:val="TableText"/>
              <w:keepNext/>
              <w:widowControl/>
              <w:jc w:val="center"/>
              <w:rPr>
                <w:iCs/>
              </w:rPr>
            </w:pPr>
            <w:r w:rsidRPr="009F2AA4">
              <w:rPr>
                <w:iCs/>
              </w:rPr>
              <w:t>-25.2 (-35.0, -15.5)</w:t>
            </w:r>
          </w:p>
        </w:tc>
      </w:tr>
      <w:tr w:rsidR="002F03F5" w:rsidRPr="009F2AA4" w14:paraId="3C7810E6" w14:textId="77777777" w:rsidTr="00046D8F">
        <w:tc>
          <w:tcPr>
            <w:tcW w:w="1883" w:type="dxa"/>
            <w:tcBorders>
              <w:top w:val="single" w:sz="4" w:space="0" w:color="000000"/>
              <w:left w:val="single" w:sz="4" w:space="0" w:color="000000"/>
              <w:bottom w:val="single" w:sz="4" w:space="0" w:color="000000"/>
              <w:right w:val="single" w:sz="4" w:space="0" w:color="000000"/>
            </w:tcBorders>
            <w:vAlign w:val="center"/>
          </w:tcPr>
          <w:p w14:paraId="3C7810E0" w14:textId="77777777" w:rsidR="002F03F5" w:rsidRPr="009F2AA4" w:rsidRDefault="008F23FF" w:rsidP="00921FF3">
            <w:pPr>
              <w:pStyle w:val="TableText"/>
              <w:keepNext/>
              <w:widowControl/>
              <w:rPr>
                <w:lang w:eastAsia="en-AU"/>
              </w:rPr>
            </w:pPr>
            <w:r w:rsidRPr="009F2AA4">
              <w:t>ALT increase</w:t>
            </w:r>
          </w:p>
        </w:tc>
        <w:tc>
          <w:tcPr>
            <w:tcW w:w="1353" w:type="dxa"/>
            <w:tcBorders>
              <w:top w:val="single" w:sz="4" w:space="0" w:color="000000"/>
              <w:left w:val="single" w:sz="4" w:space="0" w:color="000000"/>
              <w:bottom w:val="single" w:sz="4" w:space="0" w:color="000000"/>
              <w:right w:val="single" w:sz="4" w:space="0" w:color="000000"/>
            </w:tcBorders>
            <w:vAlign w:val="center"/>
          </w:tcPr>
          <w:p w14:paraId="3C7810E1" w14:textId="77777777" w:rsidR="002F03F5" w:rsidRPr="009F2AA4" w:rsidRDefault="008F23FF" w:rsidP="00921FF3">
            <w:pPr>
              <w:pStyle w:val="TableText"/>
              <w:keepNext/>
              <w:widowControl/>
              <w:jc w:val="center"/>
            </w:pPr>
            <w:r w:rsidRPr="009F2AA4">
              <w:rPr>
                <w:bCs/>
                <w:iCs/>
              </w:rPr>
              <w:t>21/</w:t>
            </w:r>
            <w:r w:rsidRPr="009F2AA4">
              <w:t>193</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E2" w14:textId="77777777" w:rsidR="002F03F5" w:rsidRPr="009F2AA4" w:rsidRDefault="008F23FF" w:rsidP="00921FF3">
            <w:pPr>
              <w:pStyle w:val="TableText"/>
              <w:keepNext/>
              <w:widowControl/>
              <w:jc w:val="center"/>
            </w:pPr>
            <w:r w:rsidRPr="009F2AA4">
              <w:rPr>
                <w:bCs/>
                <w:iCs/>
              </w:rPr>
              <w:t>2/</w:t>
            </w:r>
            <w:r w:rsidRPr="009F2AA4">
              <w:t>97</w:t>
            </w:r>
          </w:p>
        </w:tc>
        <w:tc>
          <w:tcPr>
            <w:tcW w:w="1440" w:type="dxa"/>
            <w:tcBorders>
              <w:top w:val="single" w:sz="4" w:space="0" w:color="000000"/>
              <w:left w:val="single" w:sz="4" w:space="0" w:color="000000"/>
              <w:bottom w:val="single" w:sz="4" w:space="0" w:color="000000"/>
              <w:right w:val="single" w:sz="4" w:space="0" w:color="000000"/>
            </w:tcBorders>
            <w:vAlign w:val="center"/>
          </w:tcPr>
          <w:p w14:paraId="3C7810E3" w14:textId="77777777" w:rsidR="002F03F5" w:rsidRPr="009F2AA4" w:rsidRDefault="008F23FF" w:rsidP="00921FF3">
            <w:pPr>
              <w:pStyle w:val="TableText"/>
              <w:keepNext/>
              <w:widowControl/>
              <w:jc w:val="center"/>
            </w:pPr>
            <w:r w:rsidRPr="009F2AA4">
              <w:rPr>
                <w:bCs/>
                <w:iCs/>
              </w:rPr>
              <w:t>10.9</w:t>
            </w:r>
          </w:p>
        </w:tc>
        <w:tc>
          <w:tcPr>
            <w:tcW w:w="1442" w:type="dxa"/>
            <w:tcBorders>
              <w:top w:val="single" w:sz="4" w:space="0" w:color="000000"/>
              <w:left w:val="single" w:sz="4" w:space="0" w:color="000000"/>
              <w:bottom w:val="single" w:sz="4" w:space="0" w:color="000000"/>
              <w:right w:val="single" w:sz="4" w:space="0" w:color="000000"/>
            </w:tcBorders>
            <w:vAlign w:val="center"/>
          </w:tcPr>
          <w:p w14:paraId="3C7810E4" w14:textId="77777777" w:rsidR="002F03F5" w:rsidRPr="009F2AA4" w:rsidRDefault="008F23FF" w:rsidP="00921FF3">
            <w:pPr>
              <w:pStyle w:val="TableText"/>
              <w:keepNext/>
              <w:widowControl/>
              <w:jc w:val="center"/>
            </w:pPr>
            <w:r w:rsidRPr="009F2AA4">
              <w:rPr>
                <w:bCs/>
                <w:iCs/>
              </w:rPr>
              <w:t>2.1</w:t>
            </w:r>
          </w:p>
        </w:tc>
        <w:tc>
          <w:tcPr>
            <w:tcW w:w="1465" w:type="dxa"/>
            <w:tcBorders>
              <w:top w:val="single" w:sz="4" w:space="0" w:color="000000"/>
              <w:left w:val="single" w:sz="4" w:space="0" w:color="000000"/>
              <w:bottom w:val="single" w:sz="4" w:space="0" w:color="000000"/>
              <w:right w:val="single" w:sz="4" w:space="0" w:color="000000"/>
            </w:tcBorders>
            <w:vAlign w:val="center"/>
          </w:tcPr>
          <w:p w14:paraId="3C7810E5" w14:textId="77777777" w:rsidR="002F03F5" w:rsidRPr="009F2AA4" w:rsidRDefault="008F23FF" w:rsidP="00921FF3">
            <w:pPr>
              <w:pStyle w:val="TableText"/>
              <w:keepNext/>
              <w:widowControl/>
              <w:jc w:val="center"/>
              <w:rPr>
                <w:iCs/>
              </w:rPr>
            </w:pPr>
            <w:r w:rsidRPr="009F2AA4">
              <w:rPr>
                <w:iCs/>
              </w:rPr>
              <w:t>8.8 (3.6, 14.0)</w:t>
            </w:r>
          </w:p>
        </w:tc>
      </w:tr>
      <w:tr w:rsidR="002F03F5" w:rsidRPr="009F2AA4" w14:paraId="3C7810ED" w14:textId="77777777" w:rsidTr="00046D8F">
        <w:tc>
          <w:tcPr>
            <w:tcW w:w="1883" w:type="dxa"/>
            <w:tcBorders>
              <w:top w:val="single" w:sz="4" w:space="0" w:color="000000"/>
              <w:left w:val="single" w:sz="4" w:space="0" w:color="000000"/>
              <w:bottom w:val="single" w:sz="4" w:space="0" w:color="000000"/>
              <w:right w:val="single" w:sz="4" w:space="0" w:color="000000"/>
            </w:tcBorders>
            <w:vAlign w:val="center"/>
          </w:tcPr>
          <w:p w14:paraId="3C7810E7" w14:textId="77777777" w:rsidR="002F03F5" w:rsidRPr="009F2AA4" w:rsidRDefault="008F23FF" w:rsidP="00921FF3">
            <w:pPr>
              <w:pStyle w:val="TableText"/>
              <w:keepNext/>
              <w:widowControl/>
              <w:rPr>
                <w:lang w:eastAsia="en-AU"/>
              </w:rPr>
            </w:pPr>
            <w:r w:rsidRPr="009F2AA4">
              <w:rPr>
                <w:iCs/>
              </w:rPr>
              <w:t>Diarrhoea</w:t>
            </w:r>
          </w:p>
        </w:tc>
        <w:tc>
          <w:tcPr>
            <w:tcW w:w="1353" w:type="dxa"/>
            <w:tcBorders>
              <w:top w:val="single" w:sz="4" w:space="0" w:color="000000"/>
              <w:left w:val="single" w:sz="4" w:space="0" w:color="000000"/>
              <w:bottom w:val="single" w:sz="4" w:space="0" w:color="000000"/>
              <w:right w:val="single" w:sz="4" w:space="0" w:color="000000"/>
            </w:tcBorders>
            <w:vAlign w:val="center"/>
          </w:tcPr>
          <w:p w14:paraId="3C7810E8" w14:textId="77777777" w:rsidR="002F03F5" w:rsidRPr="009F2AA4" w:rsidRDefault="008F23FF" w:rsidP="00921FF3">
            <w:pPr>
              <w:pStyle w:val="TableText"/>
              <w:keepNext/>
              <w:widowControl/>
              <w:jc w:val="center"/>
            </w:pPr>
            <w:r w:rsidRPr="009F2AA4">
              <w:rPr>
                <w:bCs/>
                <w:iCs/>
              </w:rPr>
              <w:t>6/</w:t>
            </w:r>
            <w:r w:rsidRPr="009F2AA4">
              <w:t>193</w:t>
            </w:r>
          </w:p>
        </w:tc>
        <w:tc>
          <w:tcPr>
            <w:tcW w:w="1443" w:type="dxa"/>
            <w:tcBorders>
              <w:top w:val="single" w:sz="4" w:space="0" w:color="000000"/>
              <w:left w:val="single" w:sz="4" w:space="0" w:color="000000"/>
              <w:bottom w:val="single" w:sz="4" w:space="0" w:color="000000"/>
              <w:right w:val="single" w:sz="4" w:space="0" w:color="000000"/>
            </w:tcBorders>
            <w:vAlign w:val="center"/>
          </w:tcPr>
          <w:p w14:paraId="3C7810E9" w14:textId="77777777" w:rsidR="002F03F5" w:rsidRPr="009F2AA4" w:rsidRDefault="008F23FF" w:rsidP="00921FF3">
            <w:pPr>
              <w:pStyle w:val="TableText"/>
              <w:keepNext/>
              <w:widowControl/>
              <w:jc w:val="center"/>
            </w:pPr>
            <w:r w:rsidRPr="009F2AA4">
              <w:rPr>
                <w:bCs/>
                <w:iCs/>
              </w:rPr>
              <w:t>11/</w:t>
            </w:r>
            <w:r w:rsidRPr="009F2AA4">
              <w:t>97</w:t>
            </w:r>
          </w:p>
        </w:tc>
        <w:tc>
          <w:tcPr>
            <w:tcW w:w="1440" w:type="dxa"/>
            <w:tcBorders>
              <w:top w:val="single" w:sz="4" w:space="0" w:color="000000"/>
              <w:left w:val="single" w:sz="4" w:space="0" w:color="000000"/>
              <w:bottom w:val="single" w:sz="4" w:space="0" w:color="000000"/>
              <w:right w:val="single" w:sz="4" w:space="0" w:color="000000"/>
            </w:tcBorders>
            <w:vAlign w:val="center"/>
          </w:tcPr>
          <w:p w14:paraId="3C7810EA" w14:textId="77777777" w:rsidR="002F03F5" w:rsidRPr="009F2AA4" w:rsidRDefault="008F23FF" w:rsidP="00921FF3">
            <w:pPr>
              <w:pStyle w:val="TableText"/>
              <w:keepNext/>
              <w:widowControl/>
              <w:jc w:val="center"/>
            </w:pPr>
            <w:r w:rsidRPr="009F2AA4">
              <w:rPr>
                <w:bCs/>
                <w:iCs/>
              </w:rPr>
              <w:t>3.1</w:t>
            </w:r>
          </w:p>
        </w:tc>
        <w:tc>
          <w:tcPr>
            <w:tcW w:w="1442" w:type="dxa"/>
            <w:tcBorders>
              <w:top w:val="single" w:sz="4" w:space="0" w:color="000000"/>
              <w:left w:val="single" w:sz="4" w:space="0" w:color="000000"/>
              <w:bottom w:val="single" w:sz="4" w:space="0" w:color="000000"/>
              <w:right w:val="single" w:sz="4" w:space="0" w:color="000000"/>
            </w:tcBorders>
            <w:vAlign w:val="center"/>
          </w:tcPr>
          <w:p w14:paraId="3C7810EB" w14:textId="77777777" w:rsidR="002F03F5" w:rsidRPr="009F2AA4" w:rsidRDefault="008F23FF" w:rsidP="00921FF3">
            <w:pPr>
              <w:pStyle w:val="TableText"/>
              <w:keepNext/>
              <w:widowControl/>
              <w:jc w:val="center"/>
            </w:pPr>
            <w:r w:rsidRPr="009F2AA4">
              <w:rPr>
                <w:bCs/>
                <w:iCs/>
              </w:rPr>
              <w:t>11.3</w:t>
            </w:r>
          </w:p>
        </w:tc>
        <w:tc>
          <w:tcPr>
            <w:tcW w:w="1465" w:type="dxa"/>
            <w:tcBorders>
              <w:top w:val="single" w:sz="4" w:space="0" w:color="000000"/>
              <w:left w:val="single" w:sz="4" w:space="0" w:color="000000"/>
              <w:bottom w:val="single" w:sz="4" w:space="0" w:color="000000"/>
              <w:right w:val="single" w:sz="4" w:space="0" w:color="000000"/>
            </w:tcBorders>
            <w:vAlign w:val="center"/>
          </w:tcPr>
          <w:p w14:paraId="3C7810EC" w14:textId="77777777" w:rsidR="002F03F5" w:rsidRPr="009F2AA4" w:rsidRDefault="008F23FF" w:rsidP="00921FF3">
            <w:pPr>
              <w:pStyle w:val="TableText"/>
              <w:keepNext/>
              <w:widowControl/>
              <w:jc w:val="center"/>
              <w:rPr>
                <w:iCs/>
              </w:rPr>
            </w:pPr>
            <w:r w:rsidRPr="009F2AA4">
              <w:rPr>
                <w:iCs/>
              </w:rPr>
              <w:t>-8.2 (-15.0, -1.5)</w:t>
            </w:r>
          </w:p>
        </w:tc>
      </w:tr>
    </w:tbl>
    <w:p w14:paraId="3C7810EE" w14:textId="77777777" w:rsidR="002F03F5" w:rsidRPr="009F2AA4" w:rsidRDefault="008F23FF" w:rsidP="00921FF3">
      <w:pPr>
        <w:pStyle w:val="TableFooter"/>
        <w:keepNext/>
        <w:widowControl/>
      </w:pPr>
      <w:r w:rsidRPr="009F2AA4">
        <w:t xml:space="preserve">Source: </w:t>
      </w:r>
      <w:r w:rsidRPr="009F2AA4">
        <w:rPr>
          <w:lang w:eastAsia="en-AU"/>
        </w:rPr>
        <w:t>Table 2</w:t>
      </w:r>
      <w:r w:rsidRPr="009F2AA4">
        <w:t>-</w:t>
      </w:r>
      <w:r w:rsidRPr="009F2AA4">
        <w:rPr>
          <w:lang w:eastAsia="en-AU"/>
        </w:rPr>
        <w:t>24, p92 of the submission (LIBRETTO-531)</w:t>
      </w:r>
    </w:p>
    <w:p w14:paraId="3C7810EF" w14:textId="77777777" w:rsidR="002F03F5" w:rsidRPr="009F2AA4" w:rsidRDefault="008F23FF" w:rsidP="00921FF3">
      <w:pPr>
        <w:pStyle w:val="TableFooter"/>
        <w:keepNext/>
        <w:widowControl/>
      </w:pPr>
      <w:r w:rsidRPr="009F2AA4">
        <w:t>AE = adverse event; ALT = alanine transaminase; CI = confidence interval; HR = hazard ratio; NE = not evaluable; OS = overall survival; PFS = progression free survival; RD = risk difference; TEAE = treatment emergent adverse event</w:t>
      </w:r>
    </w:p>
    <w:p w14:paraId="005F78E7" w14:textId="56EBF360" w:rsidR="00DF21AC" w:rsidRPr="00B73859" w:rsidRDefault="008F23FF" w:rsidP="00921FF3">
      <w:pPr>
        <w:pStyle w:val="TableFooter"/>
        <w:keepNext/>
        <w:widowControl/>
        <w:rPr>
          <w:lang w:val="pt-BR"/>
        </w:rPr>
      </w:pPr>
      <w:r w:rsidRPr="00B73859">
        <w:rPr>
          <w:vertAlign w:val="superscript"/>
          <w:lang w:val="pt-BR"/>
        </w:rPr>
        <w:t>a</w:t>
      </w:r>
      <w:r w:rsidRPr="00B73859">
        <w:rPr>
          <w:lang w:val="pt-BR"/>
        </w:rPr>
        <w:t xml:space="preserve"> </w:t>
      </w:r>
      <w:r w:rsidR="00DF21AC" w:rsidRPr="00B73859">
        <w:rPr>
          <w:lang w:val="pt-BR"/>
        </w:rPr>
        <w:t>Cabozantinib / vandetanib arm</w:t>
      </w:r>
    </w:p>
    <w:p w14:paraId="0CA3D860" w14:textId="1A7E3F27" w:rsidR="00DF21AC" w:rsidRPr="00B73859" w:rsidRDefault="00DF21AC" w:rsidP="00921FF3">
      <w:pPr>
        <w:pStyle w:val="TableFooter"/>
        <w:keepNext/>
        <w:widowControl/>
        <w:rPr>
          <w:lang w:val="pt-BR"/>
        </w:rPr>
      </w:pPr>
      <w:r w:rsidRPr="00B73859">
        <w:rPr>
          <w:vertAlign w:val="superscript"/>
          <w:lang w:val="pt-BR"/>
        </w:rPr>
        <w:t xml:space="preserve">b </w:t>
      </w:r>
      <w:r w:rsidRPr="00B73859">
        <w:rPr>
          <w:lang w:val="pt-BR"/>
        </w:rPr>
        <w:t>Selpercatinib arm</w:t>
      </w:r>
    </w:p>
    <w:p w14:paraId="3C7810F0" w14:textId="743C0CD2" w:rsidR="002F03F5" w:rsidRPr="009F2AA4" w:rsidRDefault="00DF21AC" w:rsidP="00921FF3">
      <w:pPr>
        <w:pStyle w:val="TableFooter"/>
        <w:keepNext/>
        <w:widowControl/>
      </w:pPr>
      <w:r w:rsidRPr="001C5922">
        <w:rPr>
          <w:vertAlign w:val="superscript"/>
        </w:rPr>
        <w:t>c</w:t>
      </w:r>
      <w:r>
        <w:t xml:space="preserve"> </w:t>
      </w:r>
      <w:r w:rsidR="008F23FF" w:rsidRPr="009F2AA4">
        <w:t xml:space="preserve">Over trial period of 45 months (median safety follow up not reported) </w:t>
      </w:r>
    </w:p>
    <w:p w14:paraId="3C7810F1" w14:textId="77777777" w:rsidR="002F03F5" w:rsidRPr="009F2AA4" w:rsidRDefault="008F23FF" w:rsidP="00921FF3">
      <w:pPr>
        <w:pStyle w:val="TableFooter"/>
        <w:keepNext/>
        <w:widowControl/>
        <w:rPr>
          <w:u w:val="single"/>
        </w:rPr>
      </w:pPr>
      <w:r w:rsidRPr="009F2AA4">
        <w:rPr>
          <w:u w:val="single"/>
        </w:rPr>
        <w:t>Notes:</w:t>
      </w:r>
    </w:p>
    <w:p w14:paraId="3C7810F2" w14:textId="77777777" w:rsidR="002F03F5" w:rsidRPr="009F2AA4" w:rsidRDefault="008F23FF" w:rsidP="00921FF3">
      <w:pPr>
        <w:pStyle w:val="TableFooter"/>
        <w:keepNext/>
        <w:widowControl/>
      </w:pPr>
      <w:r w:rsidRPr="009F2AA4">
        <w:t>Only AEs that had RDs excluding zero were presented</w:t>
      </w:r>
    </w:p>
    <w:p w14:paraId="3C7810F3" w14:textId="77777777" w:rsidR="002F03F5" w:rsidRPr="009F2AA4" w:rsidRDefault="008F23FF" w:rsidP="00921FF3">
      <w:pPr>
        <w:pStyle w:val="TableFooter"/>
        <w:keepNext/>
        <w:widowControl/>
      </w:pPr>
      <w:r w:rsidRPr="009F2AA4">
        <w:t xml:space="preserve">RD calculations were based on indirect comparison of RDs using cabozantinib or </w:t>
      </w:r>
      <w:proofErr w:type="spellStart"/>
      <w:r w:rsidRPr="009F2AA4">
        <w:t>vandetanib</w:t>
      </w:r>
      <w:proofErr w:type="spellEnd"/>
      <w:r w:rsidRPr="009F2AA4">
        <w:t xml:space="preserve"> as the common reference</w:t>
      </w:r>
    </w:p>
    <w:p w14:paraId="3C7810F4" w14:textId="77777777" w:rsidR="002F03F5" w:rsidRPr="009F2AA4" w:rsidRDefault="008F23FF" w:rsidP="00921FF3">
      <w:pPr>
        <w:pStyle w:val="3-BodyText"/>
      </w:pPr>
      <w:r w:rsidRPr="009F2AA4">
        <w:t xml:space="preserve">On the basis of direct evidence presented by the submission, for every 100 patients treated with selpercatinib in comparison with cabozantinib or </w:t>
      </w:r>
      <w:proofErr w:type="spellStart"/>
      <w:r w:rsidRPr="009F2AA4">
        <w:t>vandetanib</w:t>
      </w:r>
      <w:proofErr w:type="spellEnd"/>
      <w:r w:rsidRPr="009F2AA4">
        <w:t>:</w:t>
      </w:r>
    </w:p>
    <w:p w14:paraId="3C7810F5" w14:textId="5C46E515" w:rsidR="002F03F5" w:rsidRPr="009F2AA4" w:rsidRDefault="008F23FF" w:rsidP="00921FF3">
      <w:pPr>
        <w:pStyle w:val="ListBullet"/>
        <w:tabs>
          <w:tab w:val="left" w:pos="1080"/>
        </w:tabs>
        <w:spacing w:before="0" w:after="120"/>
        <w:ind w:left="1077" w:hanging="357"/>
        <w:contextualSpacing w:val="0"/>
      </w:pPr>
      <w:r w:rsidRPr="009F2AA4">
        <w:t>Approximately 27 additional patients would be progression-free at 12 months</w:t>
      </w:r>
      <w:r w:rsidR="00C4162E">
        <w:t>.</w:t>
      </w:r>
    </w:p>
    <w:p w14:paraId="3C7810F6" w14:textId="1730F984" w:rsidR="002F03F5" w:rsidRPr="009F2AA4" w:rsidRDefault="008F23FF" w:rsidP="00921FF3">
      <w:pPr>
        <w:pStyle w:val="ListBullet"/>
        <w:tabs>
          <w:tab w:val="left" w:pos="1080"/>
        </w:tabs>
        <w:spacing w:before="0" w:after="120"/>
        <w:ind w:left="1077" w:hanging="357"/>
        <w:contextualSpacing w:val="0"/>
      </w:pPr>
      <w:r w:rsidRPr="009F2AA4">
        <w:t>Approximately 49 additional patients would be progression-free at 24 months</w:t>
      </w:r>
      <w:r w:rsidR="00C4162E">
        <w:t>.</w:t>
      </w:r>
    </w:p>
    <w:p w14:paraId="3C7810F7" w14:textId="77777777" w:rsidR="002F03F5" w:rsidRPr="009F2AA4" w:rsidRDefault="008F23FF" w:rsidP="00921FF3">
      <w:pPr>
        <w:pStyle w:val="ListBullet"/>
        <w:tabs>
          <w:tab w:val="left" w:pos="1080"/>
        </w:tabs>
        <w:spacing w:before="0" w:after="120"/>
        <w:ind w:left="1077" w:hanging="357"/>
        <w:contextualSpacing w:val="0"/>
      </w:pPr>
      <w:r w:rsidRPr="009F2AA4">
        <w:t xml:space="preserve">Approximately 20 fewer patients would experience grade </w:t>
      </w:r>
      <w:r w:rsidRPr="009F2AA4">
        <w:rPr>
          <w:rFonts w:cstheme="minorHAnsi"/>
        </w:rPr>
        <w:t>≥</w:t>
      </w:r>
      <w:r w:rsidRPr="009F2AA4">
        <w:t>3 TEAE.</w:t>
      </w:r>
    </w:p>
    <w:p w14:paraId="3C7810F8" w14:textId="77777777" w:rsidR="002F03F5" w:rsidRPr="009F2AA4" w:rsidRDefault="008F23FF" w:rsidP="00921FF3">
      <w:pPr>
        <w:pStyle w:val="ListBullet"/>
        <w:tabs>
          <w:tab w:val="left" w:pos="1080"/>
        </w:tabs>
        <w:spacing w:before="0" w:after="120"/>
        <w:ind w:left="1077" w:hanging="357"/>
        <w:contextualSpacing w:val="0"/>
      </w:pPr>
      <w:r w:rsidRPr="009F2AA4">
        <w:t>Approximately 25 fewer patients would experience an AE leading to discontinuation of treatment.</w:t>
      </w:r>
    </w:p>
    <w:p w14:paraId="3C7810F9" w14:textId="23533CF4" w:rsidR="002F03F5" w:rsidRPr="009F2AA4" w:rsidRDefault="008F23FF" w:rsidP="00921FF3">
      <w:pPr>
        <w:pStyle w:val="ListBullet"/>
        <w:tabs>
          <w:tab w:val="left" w:pos="1080"/>
        </w:tabs>
        <w:spacing w:before="0" w:after="120"/>
        <w:ind w:left="1077" w:hanging="357"/>
        <w:contextualSpacing w:val="0"/>
      </w:pPr>
      <w:r w:rsidRPr="009F2AA4">
        <w:t xml:space="preserve">Approximately 8 fewer patients would experience </w:t>
      </w:r>
      <w:r w:rsidRPr="009F2AA4">
        <w:rPr>
          <w:lang w:eastAsia="en-AU"/>
        </w:rPr>
        <w:t>grade ≥3</w:t>
      </w:r>
      <w:r w:rsidRPr="009F2AA4">
        <w:t xml:space="preserve"> diarrhoea</w:t>
      </w:r>
      <w:r w:rsidR="00F32CB7">
        <w:t>.</w:t>
      </w:r>
      <w:r w:rsidRPr="009F2AA4">
        <w:t xml:space="preserve"> </w:t>
      </w:r>
    </w:p>
    <w:p w14:paraId="3C7810FA" w14:textId="77777777" w:rsidR="002F03F5" w:rsidRPr="009F2AA4" w:rsidRDefault="008F23FF" w:rsidP="00921FF3">
      <w:pPr>
        <w:pStyle w:val="ListBullet"/>
        <w:tabs>
          <w:tab w:val="left" w:pos="1080"/>
        </w:tabs>
        <w:spacing w:before="0" w:after="120"/>
        <w:ind w:left="1077" w:hanging="357"/>
        <w:contextualSpacing w:val="0"/>
      </w:pPr>
      <w:r w:rsidRPr="009F2AA4">
        <w:t xml:space="preserve">Approximately 9 additional patients would experience liver toxicity as measured by a </w:t>
      </w:r>
      <w:r w:rsidRPr="009F2AA4">
        <w:rPr>
          <w:lang w:eastAsia="en-AU"/>
        </w:rPr>
        <w:t>grade ≥3</w:t>
      </w:r>
      <w:r w:rsidRPr="009F2AA4">
        <w:t xml:space="preserve"> increase in ALT.</w:t>
      </w:r>
    </w:p>
    <w:p w14:paraId="3C7810FB" w14:textId="033BA90B" w:rsidR="002F03F5" w:rsidRPr="009F2AA4" w:rsidRDefault="008F23FF" w:rsidP="00921FF3">
      <w:pPr>
        <w:pStyle w:val="3-BodyText"/>
      </w:pPr>
      <w:r w:rsidRPr="009F2AA4">
        <w:t xml:space="preserve">A benefits and harms table </w:t>
      </w:r>
      <w:r w:rsidR="00676057">
        <w:t xml:space="preserve">is </w:t>
      </w:r>
      <w:r w:rsidRPr="009F2AA4">
        <w:t xml:space="preserve">not presented for the indirect comparison of selpercatinib (LIBRETTO-531) and placebo (EXAM). </w:t>
      </w:r>
    </w:p>
    <w:p w14:paraId="3C7810FC" w14:textId="77777777" w:rsidR="002F03F5" w:rsidRPr="009F2AA4" w:rsidRDefault="008F23FF" w:rsidP="00921FF3">
      <w:pPr>
        <w:pStyle w:val="PBACESHeading2"/>
        <w:spacing w:before="200" w:afterLines="100" w:after="240"/>
        <w:ind w:left="862" w:hanging="862"/>
        <w:rPr>
          <w:rFonts w:ascii="Calibri" w:hAnsi="Calibri" w:cs="Calibri"/>
        </w:rPr>
      </w:pPr>
      <w:bookmarkStart w:id="61" w:name="_Toc219898329"/>
      <w:r w:rsidRPr="009F2AA4">
        <w:rPr>
          <w:rFonts w:ascii="Calibri" w:hAnsi="Calibri" w:cs="Calibri"/>
        </w:rPr>
        <w:lastRenderedPageBreak/>
        <w:t>Clinical claim</w:t>
      </w:r>
      <w:bookmarkEnd w:id="61"/>
    </w:p>
    <w:p w14:paraId="2ED2BF02" w14:textId="2C49CD5F" w:rsidR="003E35FA" w:rsidRDefault="008F23FF" w:rsidP="00921FF3">
      <w:pPr>
        <w:pStyle w:val="3-BodyText"/>
      </w:pPr>
      <w:r w:rsidRPr="009F2AA4">
        <w:t xml:space="preserve">The submission’s primary clinical claim described selpercatinib as superior in terms of effectiveness and inferior but manageable in terms of safety compared to placebo (as a proxy for BSC) based on indirect evidence using cabozantinib or </w:t>
      </w:r>
      <w:proofErr w:type="spellStart"/>
      <w:r w:rsidRPr="009F2AA4">
        <w:t>vandetanib</w:t>
      </w:r>
      <w:proofErr w:type="spellEnd"/>
      <w:r w:rsidRPr="009F2AA4">
        <w:t xml:space="preserve"> as the common reference. </w:t>
      </w:r>
      <w:bookmarkStart w:id="62" w:name="_Ref216617914"/>
      <w:r w:rsidRPr="00995B17">
        <w:t xml:space="preserve">This claim was predicated on the submission’s secondary clinical claim that described selpercatinib as superior in terms of effectiveness and noninferior in terms of safety against cabozantinib or </w:t>
      </w:r>
      <w:proofErr w:type="spellStart"/>
      <w:r w:rsidRPr="00995B17">
        <w:t>vandetanib</w:t>
      </w:r>
      <w:proofErr w:type="spellEnd"/>
      <w:r w:rsidRPr="00995B17">
        <w:t xml:space="preserve"> based on direct evidence from LIBRETTO-531</w:t>
      </w:r>
      <w:r w:rsidR="006F26DB">
        <w:t xml:space="preserve">. </w:t>
      </w:r>
    </w:p>
    <w:p w14:paraId="3C7810FF" w14:textId="397D4A18" w:rsidR="002F03F5" w:rsidRPr="00B63430" w:rsidRDefault="008F23FF" w:rsidP="00921FF3">
      <w:pPr>
        <w:pStyle w:val="3-BodyText"/>
      </w:pPr>
      <w:bookmarkStart w:id="63" w:name="_Ref226960930"/>
      <w:bookmarkEnd w:id="62"/>
      <w:r w:rsidRPr="002A4492">
        <w:t xml:space="preserve">The evaluation and the ESCs considered that the primary clinical claim of </w:t>
      </w:r>
      <w:r w:rsidRPr="00B63430">
        <w:t>selpercatinib vs placebo (as a proxy for BSC) was adequately supported, but the magnitude of effect was overestimated</w:t>
      </w:r>
      <w:r w:rsidR="00266072" w:rsidRPr="00B63430">
        <w:t>,</w:t>
      </w:r>
      <w:r w:rsidRPr="00B63430">
        <w:t xml:space="preserve"> since:</w:t>
      </w:r>
      <w:bookmarkEnd w:id="63"/>
    </w:p>
    <w:p w14:paraId="3C781100" w14:textId="077B1364" w:rsidR="002F03F5" w:rsidRPr="00B63430" w:rsidRDefault="008F23FF" w:rsidP="00921FF3">
      <w:pPr>
        <w:pStyle w:val="MainBodyBulletPoint"/>
      </w:pPr>
      <w:r w:rsidRPr="00B63430">
        <w:t xml:space="preserve">A </w:t>
      </w:r>
      <w:r w:rsidR="002F5658">
        <w:t xml:space="preserve">less favourable </w:t>
      </w:r>
      <w:r w:rsidRPr="00B63430">
        <w:t xml:space="preserve">OS HR was assumed for the placebo arm in the ITC despite the fact that cabozantinib did not demonstrate a significant OS difference against placebo in EXAM (see paragraph </w:t>
      </w:r>
      <w:r w:rsidRPr="00B63430">
        <w:fldChar w:fldCharType="begin"/>
      </w:r>
      <w:r w:rsidRPr="00B63430">
        <w:instrText xml:space="preserve"> REF _Ref216649426 \r \r \h </w:instrText>
      </w:r>
      <w:r w:rsidR="00615A0F" w:rsidRPr="00C41EC7">
        <w:instrText xml:space="preserve"> \* MERGEFORMAT </w:instrText>
      </w:r>
      <w:r w:rsidRPr="00B63430">
        <w:fldChar w:fldCharType="separate"/>
      </w:r>
      <w:r w:rsidR="001617F9">
        <w:t>6.21</w:t>
      </w:r>
      <w:r w:rsidRPr="00B63430">
        <w:fldChar w:fldCharType="end"/>
      </w:r>
      <w:r w:rsidRPr="00B63430">
        <w:t xml:space="preserve">). </w:t>
      </w:r>
    </w:p>
    <w:p w14:paraId="3C781101" w14:textId="7A2DAAE2" w:rsidR="002F03F5" w:rsidRPr="009F2AA4" w:rsidRDefault="008F23FF" w:rsidP="00921FF3">
      <w:pPr>
        <w:pStyle w:val="MainBodyBulletPoint"/>
      </w:pPr>
      <w:r w:rsidRPr="00B63430">
        <w:t>EXAM included a higher proportion of patients with metastatic disease, prior systemic therapies, and prior radiotherapy compared to patients in LIBRETTO-</w:t>
      </w:r>
      <w:r w:rsidRPr="009F2AA4">
        <w:t xml:space="preserve">531 (see paragraph </w:t>
      </w:r>
      <w:r w:rsidRPr="009F2AA4">
        <w:fldChar w:fldCharType="begin"/>
      </w:r>
      <w:r w:rsidRPr="009F2AA4">
        <w:instrText xml:space="preserve"> REF _Ref216623328 \r \r \h </w:instrText>
      </w:r>
      <w:r w:rsidRPr="009F2AA4">
        <w:fldChar w:fldCharType="separate"/>
      </w:r>
      <w:r w:rsidR="001617F9">
        <w:t>6.23</w:t>
      </w:r>
      <w:r w:rsidRPr="009F2AA4">
        <w:fldChar w:fldCharType="end"/>
      </w:r>
      <w:r w:rsidRPr="009F2AA4">
        <w:t xml:space="preserve">). </w:t>
      </w:r>
    </w:p>
    <w:p w14:paraId="3C781102" w14:textId="6A52E360" w:rsidR="002F03F5" w:rsidRPr="009F2AA4" w:rsidRDefault="008F23FF" w:rsidP="00921FF3">
      <w:pPr>
        <w:pStyle w:val="MainBodyBulletPoint"/>
      </w:pPr>
      <w:r w:rsidRPr="009F2AA4">
        <w:t xml:space="preserve">The selpercatinib PFS and OS HRs from LIBRETTO-531 were potentially overestimated since the cabozantinib or </w:t>
      </w:r>
      <w:proofErr w:type="spellStart"/>
      <w:r w:rsidRPr="009F2AA4">
        <w:t>vandetanib</w:t>
      </w:r>
      <w:proofErr w:type="spellEnd"/>
      <w:r w:rsidRPr="009F2AA4">
        <w:t xml:space="preserve"> arm included a higher proportion of patients with metastatic disease and prior radiotherapy compared to the selpercatinib arm (see paragraph </w:t>
      </w:r>
      <w:r w:rsidRPr="009F2AA4">
        <w:fldChar w:fldCharType="begin"/>
      </w:r>
      <w:r w:rsidRPr="009F2AA4">
        <w:instrText xml:space="preserve"> REF _Ref216648243 \r \r \h </w:instrText>
      </w:r>
      <w:r w:rsidRPr="009F2AA4">
        <w:fldChar w:fldCharType="separate"/>
      </w:r>
      <w:r w:rsidR="001617F9">
        <w:t>6.12</w:t>
      </w:r>
      <w:r w:rsidRPr="009F2AA4">
        <w:fldChar w:fldCharType="end"/>
      </w:r>
      <w:r w:rsidRPr="009F2AA4">
        <w:t>).</w:t>
      </w:r>
    </w:p>
    <w:p w14:paraId="3C781103" w14:textId="0A0794FD" w:rsidR="002F03F5" w:rsidRPr="009F2AA4" w:rsidRDefault="008F23FF" w:rsidP="00921FF3">
      <w:pPr>
        <w:pStyle w:val="MainBodyBulletPoint"/>
      </w:pPr>
      <w:r w:rsidRPr="009F2AA4">
        <w:t>The selpercatinib OS HR from LIBRETTO-531 was confounded</w:t>
      </w:r>
      <w:r w:rsidR="00916576">
        <w:t>,</w:t>
      </w:r>
      <w:r w:rsidRPr="009F2AA4">
        <w:t xml:space="preserve"> as patients in the selpercatinib arm could continue treatment beyond disease progression, though this was considered alongside crossover </w:t>
      </w:r>
      <w:r w:rsidR="000715E4">
        <w:t xml:space="preserve">from </w:t>
      </w:r>
      <w:r w:rsidR="00B56A4A">
        <w:t>cabozantinib</w:t>
      </w:r>
      <w:r w:rsidR="000715E4">
        <w:t xml:space="preserve">/ </w:t>
      </w:r>
      <w:proofErr w:type="spellStart"/>
      <w:r w:rsidR="00B56A4A">
        <w:t>vandetanib</w:t>
      </w:r>
      <w:proofErr w:type="spellEnd"/>
      <w:r w:rsidR="000715E4">
        <w:t xml:space="preserve"> </w:t>
      </w:r>
      <w:r w:rsidRPr="009F2AA4">
        <w:t>to selpercatinib</w:t>
      </w:r>
      <w:r w:rsidR="004D4981">
        <w:t xml:space="preserve"> (paragraph </w:t>
      </w:r>
      <w:r w:rsidR="002D4D22">
        <w:fldChar w:fldCharType="begin"/>
      </w:r>
      <w:r w:rsidR="002D4D22">
        <w:instrText xml:space="preserve"> REF _Ref222212313 \r \h </w:instrText>
      </w:r>
      <w:r w:rsidR="002D4D22">
        <w:fldChar w:fldCharType="separate"/>
      </w:r>
      <w:r w:rsidR="001617F9">
        <w:t>6.13</w:t>
      </w:r>
      <w:r w:rsidR="002D4D22">
        <w:fldChar w:fldCharType="end"/>
      </w:r>
      <w:r w:rsidR="004D4981">
        <w:t>)</w:t>
      </w:r>
      <w:r w:rsidRPr="009F2AA4">
        <w:t>. In addition, the interpretation of the OS HR was limited by immature data</w:t>
      </w:r>
      <w:r w:rsidR="00AD554D">
        <w:t>.</w:t>
      </w:r>
      <w:r w:rsidRPr="009F2AA4">
        <w:t xml:space="preserve"> </w:t>
      </w:r>
    </w:p>
    <w:p w14:paraId="3C781104" w14:textId="673CDF85" w:rsidR="002F03F5" w:rsidRPr="002A4492" w:rsidRDefault="008F23FF" w:rsidP="00921FF3">
      <w:pPr>
        <w:pStyle w:val="3-BodyText"/>
      </w:pPr>
      <w:bookmarkStart w:id="64" w:name="_Ref226960305"/>
      <w:r w:rsidRPr="007B6D52">
        <w:t xml:space="preserve">The ESCs noted that even with the </w:t>
      </w:r>
      <w:r w:rsidR="00B56A4A">
        <w:t xml:space="preserve">PSCR-proposed </w:t>
      </w:r>
      <w:r w:rsidRPr="007B6D52">
        <w:t xml:space="preserve">changes to the requested PBS population </w:t>
      </w:r>
      <w:r w:rsidR="00B56A4A">
        <w:t>to</w:t>
      </w:r>
      <w:r w:rsidR="00B56A4A" w:rsidRPr="007B6D52">
        <w:t xml:space="preserve"> </w:t>
      </w:r>
      <w:r w:rsidRPr="007B6D52">
        <w:t>reflect the population from LIBRETTO-531</w:t>
      </w:r>
      <w:r w:rsidR="00B56A4A">
        <w:t xml:space="preserve"> (i.e. documented disease progression)</w:t>
      </w:r>
      <w:r w:rsidRPr="007B6D52">
        <w:t xml:space="preserve">, there may be reduced generalisability </w:t>
      </w:r>
      <w:r w:rsidR="00B56A4A">
        <w:t>to Australian</w:t>
      </w:r>
      <w:r w:rsidRPr="002A4492">
        <w:t xml:space="preserve"> clinical practice</w:t>
      </w:r>
      <w:r w:rsidR="00B56A4A">
        <w:t>,</w:t>
      </w:r>
      <w:r w:rsidRPr="002A4492">
        <w:t xml:space="preserve"> since there may be a lower proportion of patients with metastatic disease in practice </w:t>
      </w:r>
      <w:r w:rsidR="00A53F45">
        <w:t xml:space="preserve">(see paragraph </w:t>
      </w:r>
      <w:r w:rsidR="00A53F45">
        <w:fldChar w:fldCharType="begin"/>
      </w:r>
      <w:r w:rsidR="00A53F45">
        <w:instrText xml:space="preserve"> REF _Ref226898591 \r \h </w:instrText>
      </w:r>
      <w:r w:rsidR="00A53F45">
        <w:fldChar w:fldCharType="separate"/>
      </w:r>
      <w:r w:rsidR="001617F9">
        <w:t>6.24</w:t>
      </w:r>
      <w:r w:rsidR="00A53F45">
        <w:fldChar w:fldCharType="end"/>
      </w:r>
      <w:r w:rsidR="00A53F45">
        <w:t>).</w:t>
      </w:r>
      <w:bookmarkEnd w:id="64"/>
      <w:r w:rsidR="00A53F45">
        <w:t xml:space="preserve"> </w:t>
      </w:r>
    </w:p>
    <w:p w14:paraId="22CEABD6" w14:textId="0E3388EB" w:rsidR="000E649E" w:rsidRDefault="000E649E" w:rsidP="00921FF3">
      <w:pPr>
        <w:pStyle w:val="3-BodyText"/>
      </w:pPr>
      <w:r>
        <w:t xml:space="preserve">The </w:t>
      </w:r>
      <w:r w:rsidRPr="00995B17">
        <w:t xml:space="preserve">evaluation </w:t>
      </w:r>
      <w:r>
        <w:t xml:space="preserve">and the ESCs </w:t>
      </w:r>
      <w:r w:rsidRPr="002A4492">
        <w:t xml:space="preserve">considered </w:t>
      </w:r>
      <w:r>
        <w:t xml:space="preserve">that the secondary </w:t>
      </w:r>
      <w:r w:rsidR="00EE57E0">
        <w:t xml:space="preserve">effectiveness </w:t>
      </w:r>
      <w:r>
        <w:t xml:space="preserve">claim </w:t>
      </w:r>
      <w:r w:rsidR="00EE57E0">
        <w:t xml:space="preserve">versus </w:t>
      </w:r>
      <w:r w:rsidR="00EE57E0" w:rsidRPr="002A4492">
        <w:t xml:space="preserve">cabozantinib/ </w:t>
      </w:r>
      <w:proofErr w:type="spellStart"/>
      <w:r w:rsidR="00EE57E0" w:rsidRPr="002A4492">
        <w:t>vandetanib</w:t>
      </w:r>
      <w:proofErr w:type="spellEnd"/>
      <w:r w:rsidR="00EE57E0" w:rsidRPr="002A4492">
        <w:t xml:space="preserve"> </w:t>
      </w:r>
      <w:r w:rsidRPr="002A4492">
        <w:t>was adequately supported</w:t>
      </w:r>
      <w:r>
        <w:t xml:space="preserve"> </w:t>
      </w:r>
      <w:r w:rsidR="005B61C9">
        <w:t>b</w:t>
      </w:r>
      <w:r w:rsidRPr="002A4492">
        <w:t>ased on the LIBRETTO-531 trial, not</w:t>
      </w:r>
      <w:r>
        <w:t>ing that:</w:t>
      </w:r>
    </w:p>
    <w:p w14:paraId="6DA2F094" w14:textId="61A26E70" w:rsidR="000E649E" w:rsidRDefault="00C41EC7" w:rsidP="00921FF3">
      <w:pPr>
        <w:pStyle w:val="MainBodyBulletPoint"/>
      </w:pPr>
      <w:r>
        <w:t>A</w:t>
      </w:r>
      <w:r w:rsidR="000E649E" w:rsidRPr="002A4492">
        <w:t xml:space="preserve"> PFS benefit for selpercatinib vs cabozantinib/ </w:t>
      </w:r>
      <w:proofErr w:type="spellStart"/>
      <w:r w:rsidR="000E649E" w:rsidRPr="002A4492">
        <w:t>vandetanib</w:t>
      </w:r>
      <w:proofErr w:type="spellEnd"/>
      <w:r w:rsidR="000E649E" w:rsidRPr="002A4492">
        <w:t xml:space="preserve"> with a hazard ratio (HR) of 0.202 (95% confidence interval (CI): 0.128, 0.320). </w:t>
      </w:r>
    </w:p>
    <w:p w14:paraId="1EF454AE" w14:textId="18F64879" w:rsidR="000E649E" w:rsidRPr="002A4492" w:rsidRDefault="000E649E" w:rsidP="00921FF3">
      <w:pPr>
        <w:pStyle w:val="MainBodyBulletPoint"/>
      </w:pPr>
      <w:r>
        <w:t xml:space="preserve">An </w:t>
      </w:r>
      <w:r w:rsidRPr="002A4492">
        <w:t>OS benefit for selpercatinib (HR 0.275)</w:t>
      </w:r>
      <w:r>
        <w:t>, with</w:t>
      </w:r>
      <w:r w:rsidRPr="002A4492">
        <w:t xml:space="preserve"> wide confidence intervals (95% CI: 0.124, 0.608) due to the data immaturity (&lt;10% events)</w:t>
      </w:r>
      <w:r>
        <w:t>,</w:t>
      </w:r>
      <w:r w:rsidRPr="002A4492">
        <w:t xml:space="preserve"> and considered the magnitude of the OS benefit was highly uncertain. </w:t>
      </w:r>
      <w:r>
        <w:t xml:space="preserve">The Pre-PBAC response noted </w:t>
      </w:r>
      <w:r>
        <w:lastRenderedPageBreak/>
        <w:t xml:space="preserve">that </w:t>
      </w:r>
      <w:r w:rsidRPr="00F153AE">
        <w:t xml:space="preserve">median OS is not expected to be reached in the selpercatinib arm for </w:t>
      </w:r>
      <w:r>
        <w:t>a number of years, and considered that it would be unethical to delay treatment during this time.</w:t>
      </w:r>
    </w:p>
    <w:p w14:paraId="3C781105" w14:textId="2FB115CD" w:rsidR="002F03F5" w:rsidRPr="002A4492" w:rsidRDefault="008F23FF" w:rsidP="00921FF3">
      <w:pPr>
        <w:pStyle w:val="3-BodyText"/>
      </w:pPr>
      <w:r w:rsidRPr="002A4492">
        <w:t>The evaluation and the ESCs considered the claim that selpercatinib was inferior in terms of safety compared to placebo, was reasonable.</w:t>
      </w:r>
    </w:p>
    <w:p w14:paraId="3C781106" w14:textId="77777777" w:rsidR="002F03F5" w:rsidRPr="002A4492" w:rsidRDefault="008F23FF" w:rsidP="00921FF3">
      <w:pPr>
        <w:pStyle w:val="3-BodyText"/>
      </w:pPr>
      <w:r w:rsidRPr="002A4492">
        <w:t xml:space="preserve">The evaluation and the ESCs considered that the secondary claim that selpercatinib was noninferior in terms of safety compared to cabozantinib or </w:t>
      </w:r>
      <w:proofErr w:type="spellStart"/>
      <w:r w:rsidRPr="002A4492">
        <w:t>vandetanib</w:t>
      </w:r>
      <w:proofErr w:type="spellEnd"/>
      <w:r w:rsidRPr="002A4492">
        <w:t xml:space="preserve"> was also reasonable. </w:t>
      </w:r>
    </w:p>
    <w:p w14:paraId="1584A8A6" w14:textId="6ED7EF15" w:rsidR="00D27A4E" w:rsidRDefault="006B1A75" w:rsidP="00921FF3">
      <w:pPr>
        <w:pStyle w:val="3-BodyText"/>
      </w:pPr>
      <w:bookmarkStart w:id="65" w:name="_Hlk76376200"/>
      <w:r w:rsidRPr="002A4492">
        <w:t xml:space="preserve">The PBAC considered that the claim of superior comparative effectiveness </w:t>
      </w:r>
      <w:r w:rsidR="009E6E4A">
        <w:t xml:space="preserve">compared to placebo (as a proxy for BSC) </w:t>
      </w:r>
      <w:r w:rsidRPr="002A4492">
        <w:t>was</w:t>
      </w:r>
      <w:r w:rsidR="009F248E" w:rsidRPr="002A4492">
        <w:t xml:space="preserve"> </w:t>
      </w:r>
      <w:r w:rsidR="00AB2BE3" w:rsidRPr="002A4492">
        <w:t xml:space="preserve">reasonable. The claim was </w:t>
      </w:r>
      <w:r w:rsidR="00D27A4E" w:rsidRPr="002A4492">
        <w:t>adequately supported by the data for PFS (clinically meaningful improvement with moderate certainty)</w:t>
      </w:r>
      <w:r w:rsidR="00AB2BE3" w:rsidRPr="002A4492">
        <w:t xml:space="preserve"> and </w:t>
      </w:r>
      <w:r w:rsidR="0050668E">
        <w:t>OS</w:t>
      </w:r>
      <w:r w:rsidR="005E7474" w:rsidRPr="002A4492">
        <w:t xml:space="preserve">, however the </w:t>
      </w:r>
      <w:r w:rsidR="00D27A4E" w:rsidRPr="002A4492">
        <w:t xml:space="preserve">magnitude of </w:t>
      </w:r>
      <w:r w:rsidR="0050668E">
        <w:t xml:space="preserve">OS </w:t>
      </w:r>
      <w:r w:rsidR="00D27A4E" w:rsidRPr="002A4492">
        <w:t xml:space="preserve">benefit </w:t>
      </w:r>
      <w:r w:rsidR="005E7474" w:rsidRPr="002A4492">
        <w:t xml:space="preserve">was </w:t>
      </w:r>
      <w:r w:rsidR="00D27A4E" w:rsidRPr="002A4492">
        <w:t>highly uncertain</w:t>
      </w:r>
      <w:r w:rsidR="005E7474" w:rsidRPr="002A4492">
        <w:t xml:space="preserve">. </w:t>
      </w:r>
    </w:p>
    <w:p w14:paraId="6C4F04CF" w14:textId="644A8450" w:rsidR="001E071B" w:rsidRPr="002A4492" w:rsidRDefault="001E071B" w:rsidP="00921FF3">
      <w:pPr>
        <w:pStyle w:val="3-BodyText"/>
      </w:pPr>
      <w:r>
        <w:t xml:space="preserve">The PBAC considered that the secondary claim of </w:t>
      </w:r>
      <w:r w:rsidR="00820126">
        <w:t xml:space="preserve">superior comparative effectiveness </w:t>
      </w:r>
      <w:r w:rsidR="00820126" w:rsidRPr="00820126">
        <w:t xml:space="preserve">versus cabozantinib/ </w:t>
      </w:r>
      <w:proofErr w:type="spellStart"/>
      <w:r w:rsidR="00820126" w:rsidRPr="00820126">
        <w:t>vandetanib</w:t>
      </w:r>
      <w:proofErr w:type="spellEnd"/>
      <w:r w:rsidR="00820126" w:rsidRPr="00820126">
        <w:t xml:space="preserve"> was adequately supported based on the LIBRETTO-531 trial</w:t>
      </w:r>
      <w:r w:rsidR="00820126">
        <w:t>.</w:t>
      </w:r>
    </w:p>
    <w:p w14:paraId="4D7192BE" w14:textId="39FBDDD8" w:rsidR="00B6293D" w:rsidRDefault="006B1A75" w:rsidP="00921FF3">
      <w:pPr>
        <w:pStyle w:val="3-BodyText"/>
      </w:pPr>
      <w:r w:rsidRPr="002A4492">
        <w:t>The PBAC considered that the claim of inferior comparative safety</w:t>
      </w:r>
      <w:r w:rsidR="00CC2B27">
        <w:t xml:space="preserve"> compared to BSC</w:t>
      </w:r>
      <w:r w:rsidRPr="002A4492">
        <w:t xml:space="preserve"> was reasonable.</w:t>
      </w:r>
      <w:bookmarkEnd w:id="65"/>
      <w:r w:rsidR="00A148B3">
        <w:t xml:space="preserve"> T</w:t>
      </w:r>
      <w:r w:rsidR="0048170A" w:rsidRPr="002A4492">
        <w:t xml:space="preserve">he PBAC </w:t>
      </w:r>
      <w:r w:rsidR="009F248E" w:rsidRPr="002A4492">
        <w:t>considered that the</w:t>
      </w:r>
      <w:r w:rsidR="009F248E" w:rsidRPr="00FB7051">
        <w:t xml:space="preserve"> </w:t>
      </w:r>
      <w:r w:rsidR="008D383B" w:rsidRPr="00FB7051">
        <w:t>term ‘manageable’ was not informative</w:t>
      </w:r>
      <w:r w:rsidR="009F248E" w:rsidRPr="00FB7051">
        <w:t xml:space="preserve">. </w:t>
      </w:r>
    </w:p>
    <w:p w14:paraId="61816AFE" w14:textId="273FF85F" w:rsidR="00820126" w:rsidRPr="001D2980" w:rsidRDefault="00820126" w:rsidP="00921FF3">
      <w:pPr>
        <w:pStyle w:val="3-BodyText"/>
      </w:pPr>
      <w:r w:rsidRPr="00820126">
        <w:t xml:space="preserve">The PBAC considered that the </w:t>
      </w:r>
      <w:r>
        <w:t xml:space="preserve">secondary </w:t>
      </w:r>
      <w:r w:rsidRPr="00820126">
        <w:t xml:space="preserve">claim of </w:t>
      </w:r>
      <w:r>
        <w:t>non</w:t>
      </w:r>
      <w:r w:rsidRPr="00820126">
        <w:t xml:space="preserve">inferior comparative safety compared to </w:t>
      </w:r>
      <w:r w:rsidRPr="002A4492">
        <w:t xml:space="preserve">cabozantinib or </w:t>
      </w:r>
      <w:proofErr w:type="spellStart"/>
      <w:r w:rsidRPr="002A4492">
        <w:t>vandetanib</w:t>
      </w:r>
      <w:proofErr w:type="spellEnd"/>
      <w:r w:rsidRPr="002A4492">
        <w:t xml:space="preserve"> was reasonable</w:t>
      </w:r>
      <w:r w:rsidRPr="00820126">
        <w:t xml:space="preserve">. </w:t>
      </w:r>
    </w:p>
    <w:p w14:paraId="3C781107" w14:textId="77777777" w:rsidR="002F03F5" w:rsidRPr="009F2AA4" w:rsidRDefault="008F23FF" w:rsidP="00921FF3">
      <w:pPr>
        <w:pStyle w:val="PBACESHeading2"/>
        <w:spacing w:before="200" w:afterLines="100" w:after="240"/>
        <w:ind w:left="862" w:hanging="862"/>
        <w:rPr>
          <w:rFonts w:ascii="Calibri" w:hAnsi="Calibri" w:cs="Calibri"/>
        </w:rPr>
      </w:pPr>
      <w:bookmarkStart w:id="66" w:name="_Toc219898330"/>
      <w:r w:rsidRPr="009F2AA4">
        <w:rPr>
          <w:rFonts w:ascii="Calibri" w:hAnsi="Calibri" w:cs="Calibri"/>
        </w:rPr>
        <w:t>Claim of codependence</w:t>
      </w:r>
      <w:bookmarkEnd w:id="66"/>
    </w:p>
    <w:p w14:paraId="34E083AB" w14:textId="572D1B9B" w:rsidR="009B4F62" w:rsidRPr="002A4492" w:rsidRDefault="009B4F62" w:rsidP="00921FF3">
      <w:pPr>
        <w:pStyle w:val="3-BodyText"/>
        <w:rPr>
          <w:rStyle w:val="FootnoteCharacters"/>
          <w:vertAlign w:val="baseline"/>
        </w:rPr>
      </w:pPr>
      <w:bookmarkStart w:id="67" w:name="_Ref225335920"/>
      <w:r w:rsidRPr="002A4492">
        <w:t>The prognostic evidence presented by the submission (Elisei 2008) suggested that</w:t>
      </w:r>
      <w:r w:rsidR="00923547" w:rsidRPr="00923547">
        <w:rPr>
          <w:i/>
        </w:rPr>
        <w:t xml:space="preserve"> RET </w:t>
      </w:r>
      <w:r w:rsidRPr="002A4492">
        <w:t>variant was associated with lower OS (approximately 75% alive at 10 years in the</w:t>
      </w:r>
      <w:r w:rsidR="00923547" w:rsidRPr="00923547">
        <w:rPr>
          <w:i/>
        </w:rPr>
        <w:t xml:space="preserve"> RET </w:t>
      </w:r>
      <w:r w:rsidRPr="002A4492">
        <w:t>variant group vs 100% in the</w:t>
      </w:r>
      <w:r w:rsidR="00923547" w:rsidRPr="00923547">
        <w:rPr>
          <w:i/>
        </w:rPr>
        <w:t xml:space="preserve"> RET </w:t>
      </w:r>
      <w:r w:rsidRPr="002A4492">
        <w:t>wildtype group). A similar association was also observed in Ciampi 2019. However, the evaluation considered that this may also be related to the fact that</w:t>
      </w:r>
      <w:r w:rsidR="00923547" w:rsidRPr="00923547">
        <w:rPr>
          <w:i/>
        </w:rPr>
        <w:t xml:space="preserve"> RET </w:t>
      </w:r>
      <w:r w:rsidRPr="002A4492">
        <w:t>variants were correlated with more advanced disease at diagnosis rather than poorer prognosis from baseline</w:t>
      </w:r>
      <w:r w:rsidR="005A1319">
        <w:t>,</w:t>
      </w:r>
      <w:r w:rsidRPr="002A4492">
        <w:t xml:space="preserve"> but</w:t>
      </w:r>
      <w:r w:rsidR="005A1319">
        <w:t xml:space="preserve"> noted that</w:t>
      </w:r>
      <w:r w:rsidRPr="002A4492">
        <w:t xml:space="preserve"> the evidence to suggest</w:t>
      </w:r>
      <w:r w:rsidR="00923547" w:rsidRPr="00923547">
        <w:rPr>
          <w:i/>
        </w:rPr>
        <w:t xml:space="preserve"> RET </w:t>
      </w:r>
      <w:r w:rsidRPr="002A4492">
        <w:t>variant patients had worse prognosis than</w:t>
      </w:r>
      <w:r w:rsidR="00923547" w:rsidRPr="00923547">
        <w:rPr>
          <w:i/>
        </w:rPr>
        <w:t xml:space="preserve"> RET </w:t>
      </w:r>
      <w:r w:rsidRPr="002A4492">
        <w:t>wildtype at baseline was insufficient. With selective</w:t>
      </w:r>
      <w:r w:rsidR="00923547" w:rsidRPr="00923547">
        <w:rPr>
          <w:i/>
        </w:rPr>
        <w:t xml:space="preserve"> </w:t>
      </w:r>
      <w:r w:rsidR="00923547" w:rsidRPr="004E586C">
        <w:rPr>
          <w:iCs/>
        </w:rPr>
        <w:t>RET</w:t>
      </w:r>
      <w:r w:rsidR="00923547" w:rsidRPr="00923547">
        <w:rPr>
          <w:i/>
        </w:rPr>
        <w:t xml:space="preserve"> </w:t>
      </w:r>
      <w:r w:rsidRPr="002A4492">
        <w:t>inhibitors and MKIs available in the current treatment landscape, any potential differences in survival between</w:t>
      </w:r>
      <w:r w:rsidR="00923547" w:rsidRPr="00923547">
        <w:rPr>
          <w:i/>
        </w:rPr>
        <w:t xml:space="preserve"> RET </w:t>
      </w:r>
      <w:r w:rsidRPr="002A4492">
        <w:t>variants and its complement may be less apparent than in the past based on Shirali 2024.</w:t>
      </w:r>
      <w:r w:rsidRPr="002A4492">
        <w:rPr>
          <w:rStyle w:val="FootnoteCharacters"/>
          <w:vertAlign w:val="baseline"/>
        </w:rPr>
        <w:t xml:space="preserve"> </w:t>
      </w:r>
      <w:r w:rsidRPr="004E586C">
        <w:rPr>
          <w:rStyle w:val="FootnoteReference"/>
        </w:rPr>
        <w:footnoteReference w:id="6"/>
      </w:r>
      <w:r w:rsidRPr="004E586C">
        <w:rPr>
          <w:vertAlign w:val="superscript"/>
        </w:rPr>
        <w:t xml:space="preserve">, </w:t>
      </w:r>
      <w:r w:rsidRPr="004E586C">
        <w:rPr>
          <w:rStyle w:val="FootnoteReference"/>
        </w:rPr>
        <w:footnoteReference w:id="7"/>
      </w:r>
      <w:r w:rsidRPr="004E586C">
        <w:rPr>
          <w:rStyle w:val="FootnoteCharacters"/>
        </w:rPr>
        <w:t xml:space="preserve">, </w:t>
      </w:r>
      <w:r w:rsidRPr="004E586C">
        <w:rPr>
          <w:rStyle w:val="FootnoteReference"/>
        </w:rPr>
        <w:footnoteReference w:id="8"/>
      </w:r>
      <w:bookmarkEnd w:id="67"/>
    </w:p>
    <w:p w14:paraId="24281229" w14:textId="0E5F9476" w:rsidR="009B4F62" w:rsidRPr="009E43FC" w:rsidRDefault="009B4F62" w:rsidP="00921FF3">
      <w:pPr>
        <w:pStyle w:val="3-BodyText"/>
      </w:pPr>
      <w:bookmarkStart w:id="68" w:name="_Ref225335921"/>
      <w:r w:rsidRPr="002A4492">
        <w:lastRenderedPageBreak/>
        <w:t xml:space="preserve">The </w:t>
      </w:r>
      <w:r w:rsidR="00ED6CAC">
        <w:t>evaluation</w:t>
      </w:r>
      <w:r w:rsidR="00ED6CAC" w:rsidRPr="002A4492">
        <w:t xml:space="preserve"> </w:t>
      </w:r>
      <w:r w:rsidRPr="002A4492">
        <w:t>noted there was evidence of improved efficacy with selpercatinib in advanced or metastatic MTC patients who have a documented</w:t>
      </w:r>
      <w:r w:rsidR="00923547" w:rsidRPr="00923547">
        <w:rPr>
          <w:i/>
        </w:rPr>
        <w:t xml:space="preserve"> RET </w:t>
      </w:r>
      <w:r w:rsidRPr="002A4492">
        <w:t xml:space="preserve">variant when compared to cabozantinib or </w:t>
      </w:r>
      <w:proofErr w:type="spellStart"/>
      <w:r w:rsidRPr="002A4492">
        <w:t>vandetanib</w:t>
      </w:r>
      <w:proofErr w:type="spellEnd"/>
      <w:r w:rsidRPr="002A4492">
        <w:t xml:space="preserve"> (LIBRETTO-531) and BSC (LIBRETTO-531 vs EXAM). However, no evidence was presented in the submission and no trials were identified by the evaluation that examined efficacy (or safety) outcomes for selpercatinib treatment in patients with</w:t>
      </w:r>
      <w:r w:rsidR="00923547" w:rsidRPr="00923547">
        <w:rPr>
          <w:i/>
        </w:rPr>
        <w:t xml:space="preserve"> RET </w:t>
      </w:r>
      <w:r w:rsidRPr="002A4492">
        <w:t>wildtype to inform</w:t>
      </w:r>
      <w:r w:rsidRPr="009E43FC">
        <w:t xml:space="preserve"> whether</w:t>
      </w:r>
      <w:r w:rsidR="00923547" w:rsidRPr="00923547">
        <w:rPr>
          <w:i/>
        </w:rPr>
        <w:t xml:space="preserve"> RET </w:t>
      </w:r>
      <w:r w:rsidRPr="009E43FC">
        <w:t xml:space="preserve">variant was a treatment effect modifier. The evaluation and the ESCs considered that the claim of </w:t>
      </w:r>
      <w:r w:rsidR="00044F91" w:rsidRPr="009E43FC">
        <w:t>co-dependency</w:t>
      </w:r>
      <w:r w:rsidRPr="009E43FC">
        <w:t xml:space="preserve"> was not directly supported by the presented evidence, but there may be a biological rationale for targeting</w:t>
      </w:r>
      <w:r w:rsidR="00923547" w:rsidRPr="00923547">
        <w:rPr>
          <w:i/>
        </w:rPr>
        <w:t xml:space="preserve"> </w:t>
      </w:r>
      <w:r w:rsidR="00923547" w:rsidRPr="004E586C">
        <w:rPr>
          <w:iCs/>
        </w:rPr>
        <w:t>RET</w:t>
      </w:r>
      <w:r w:rsidR="00923547" w:rsidRPr="00923547">
        <w:rPr>
          <w:i/>
        </w:rPr>
        <w:t xml:space="preserve"> </w:t>
      </w:r>
      <w:r w:rsidRPr="009E43FC">
        <w:t xml:space="preserve">with selpercatinib (see paragraph </w:t>
      </w:r>
      <w:r w:rsidRPr="009E43FC">
        <w:fldChar w:fldCharType="begin"/>
      </w:r>
      <w:r w:rsidRPr="009E43FC">
        <w:instrText xml:space="preserve"> REF _Ref219050881 \r \r \h </w:instrText>
      </w:r>
      <w:r w:rsidR="009E43FC" w:rsidRPr="009E43FC">
        <w:instrText xml:space="preserve"> \* MERGEFORMAT </w:instrText>
      </w:r>
      <w:r w:rsidRPr="009E43FC">
        <w:fldChar w:fldCharType="separate"/>
      </w:r>
      <w:r w:rsidR="001617F9">
        <w:t>4.7</w:t>
      </w:r>
      <w:r w:rsidRPr="009E43FC">
        <w:fldChar w:fldCharType="end"/>
      </w:r>
      <w:r w:rsidRPr="009E43FC">
        <w:t xml:space="preserve">). Of note, the TGA </w:t>
      </w:r>
      <w:r w:rsidR="00B56A4A">
        <w:t>approved</w:t>
      </w:r>
      <w:r w:rsidRPr="009E43FC">
        <w:t xml:space="preserve"> selpercatinib for treatment in patients with a</w:t>
      </w:r>
      <w:r w:rsidR="00923547" w:rsidRPr="00923547">
        <w:rPr>
          <w:i/>
        </w:rPr>
        <w:t xml:space="preserve"> RET </w:t>
      </w:r>
      <w:r w:rsidRPr="009E43FC">
        <w:t xml:space="preserve">variant (see paragraph </w:t>
      </w:r>
      <w:r w:rsidRPr="009E43FC">
        <w:fldChar w:fldCharType="begin"/>
      </w:r>
      <w:r w:rsidRPr="009E43FC">
        <w:instrText xml:space="preserve"> REF _Ref219191505 \r \r \h </w:instrText>
      </w:r>
      <w:r w:rsidR="009E43FC" w:rsidRPr="009E43FC">
        <w:instrText xml:space="preserve"> \* MERGEFORMAT </w:instrText>
      </w:r>
      <w:r w:rsidRPr="009E43FC">
        <w:fldChar w:fldCharType="separate"/>
      </w:r>
      <w:r w:rsidR="001617F9">
        <w:t>2.1</w:t>
      </w:r>
      <w:r w:rsidRPr="009E43FC">
        <w:fldChar w:fldCharType="end"/>
      </w:r>
      <w:r w:rsidRPr="009E43FC">
        <w:t>), and the NCCN and ESMO guidelines note preference for selective</w:t>
      </w:r>
      <w:r w:rsidR="00923547" w:rsidRPr="00923547">
        <w:rPr>
          <w:i/>
        </w:rPr>
        <w:t xml:space="preserve"> </w:t>
      </w:r>
      <w:r w:rsidR="00923547" w:rsidRPr="004E586C">
        <w:rPr>
          <w:iCs/>
        </w:rPr>
        <w:t>RET</w:t>
      </w:r>
      <w:r w:rsidR="00923547" w:rsidRPr="00923547">
        <w:rPr>
          <w:i/>
        </w:rPr>
        <w:t xml:space="preserve"> </w:t>
      </w:r>
      <w:r w:rsidRPr="009E43FC">
        <w:t>inhibitors in</w:t>
      </w:r>
      <w:r w:rsidR="00923547" w:rsidRPr="00923547">
        <w:rPr>
          <w:i/>
        </w:rPr>
        <w:t xml:space="preserve"> RET </w:t>
      </w:r>
      <w:r w:rsidRPr="009E43FC">
        <w:t xml:space="preserve">variant MTC (see paragraph </w:t>
      </w:r>
      <w:r w:rsidRPr="009E43FC">
        <w:fldChar w:fldCharType="begin"/>
      </w:r>
      <w:r w:rsidRPr="009E43FC">
        <w:instrText xml:space="preserve"> REF _Ref222140180 \r \r \h </w:instrText>
      </w:r>
      <w:r w:rsidR="009E43FC" w:rsidRPr="009E43FC">
        <w:instrText xml:space="preserve"> \* MERGEFORMAT </w:instrText>
      </w:r>
      <w:r w:rsidRPr="009E43FC">
        <w:fldChar w:fldCharType="separate"/>
      </w:r>
      <w:r w:rsidR="001617F9">
        <w:t>5.2</w:t>
      </w:r>
      <w:r w:rsidRPr="009E43FC">
        <w:fldChar w:fldCharType="end"/>
      </w:r>
      <w:r w:rsidRPr="009E43FC">
        <w:t>).</w:t>
      </w:r>
      <w:bookmarkEnd w:id="68"/>
      <w:r w:rsidRPr="009E43FC">
        <w:t xml:space="preserve"> </w:t>
      </w:r>
    </w:p>
    <w:p w14:paraId="3C781109" w14:textId="77777777" w:rsidR="002F03F5" w:rsidRPr="009F2AA4" w:rsidRDefault="008F23FF" w:rsidP="00921FF3">
      <w:pPr>
        <w:pStyle w:val="PBACESHeading2"/>
        <w:spacing w:before="200" w:afterLines="100" w:after="240"/>
        <w:ind w:left="862" w:hanging="862"/>
        <w:rPr>
          <w:rFonts w:ascii="Calibri" w:hAnsi="Calibri" w:cs="Calibri"/>
        </w:rPr>
      </w:pPr>
      <w:bookmarkStart w:id="69" w:name="_Toc413139282"/>
      <w:bookmarkStart w:id="70" w:name="_Toc219898331"/>
      <w:r w:rsidRPr="009F2AA4">
        <w:rPr>
          <w:rFonts w:ascii="Calibri" w:hAnsi="Calibri" w:cs="Calibri"/>
        </w:rPr>
        <w:t>Economic analysis</w:t>
      </w:r>
      <w:bookmarkEnd w:id="69"/>
      <w:bookmarkEnd w:id="70"/>
    </w:p>
    <w:p w14:paraId="3C78110A" w14:textId="67C22932" w:rsidR="002F03F5" w:rsidRPr="009F2AA4" w:rsidRDefault="008F23FF" w:rsidP="00921FF3">
      <w:pPr>
        <w:pStyle w:val="3-BodyText"/>
        <w:rPr>
          <w:color w:val="3366FF"/>
        </w:rPr>
      </w:pPr>
      <w:r w:rsidRPr="009F2AA4">
        <w:t xml:space="preserve">The submission presented a modelled economic evaluation, based on an indirect comparison of </w:t>
      </w:r>
      <w:r w:rsidRPr="002A4492">
        <w:t>selpercatinib</w:t>
      </w:r>
      <w:r w:rsidRPr="009F2AA4">
        <w:t xml:space="preserve"> and BSC in a population of patients with advanced or metastatic MTC who have a confirmed</w:t>
      </w:r>
      <w:r w:rsidR="00923547" w:rsidRPr="00923547">
        <w:rPr>
          <w:i/>
        </w:rPr>
        <w:t xml:space="preserve"> RET </w:t>
      </w:r>
      <w:r w:rsidRPr="009F2AA4">
        <w:t xml:space="preserve">variant. </w:t>
      </w:r>
    </w:p>
    <w:p w14:paraId="3C78110B" w14:textId="55D86CF4" w:rsidR="002F03F5" w:rsidRPr="009F2AA4" w:rsidRDefault="008F23FF" w:rsidP="00921FF3">
      <w:pPr>
        <w:pStyle w:val="3-BodyText"/>
        <w:rPr>
          <w:color w:val="3366FF"/>
        </w:rPr>
      </w:pPr>
      <w:r w:rsidRPr="009F2AA4">
        <w:t>The type of economic evaluation presented was a cost utility analysis (CUA).</w:t>
      </w:r>
      <w:r w:rsidR="0060067F">
        <w:t xml:space="preserve"> </w:t>
      </w:r>
    </w:p>
    <w:p w14:paraId="5ABEAFAC" w14:textId="70F94933" w:rsidR="00E17273" w:rsidRDefault="007E3114" w:rsidP="00921FF3">
      <w:pPr>
        <w:pStyle w:val="Caption"/>
        <w:ind w:left="0" w:firstLine="0"/>
      </w:pPr>
      <w:r>
        <w:t xml:space="preserve"> </w:t>
      </w:r>
    </w:p>
    <w:p w14:paraId="5959148A" w14:textId="373E0114" w:rsidR="00E17273" w:rsidRDefault="00E17273" w:rsidP="00921FF3">
      <w:pPr>
        <w:pStyle w:val="Caption"/>
      </w:pPr>
      <w:r>
        <w:t xml:space="preserve">Table </w:t>
      </w:r>
      <w:r>
        <w:fldChar w:fldCharType="begin"/>
      </w:r>
      <w:r>
        <w:instrText>SEQ Table \* ARABIC</w:instrText>
      </w:r>
      <w:r>
        <w:fldChar w:fldCharType="separate"/>
      </w:r>
      <w:r w:rsidR="003A3B69">
        <w:rPr>
          <w:noProof/>
        </w:rPr>
        <w:t>9</w:t>
      </w:r>
      <w:r>
        <w:fldChar w:fldCharType="end"/>
      </w:r>
      <w:r>
        <w:t>:</w:t>
      </w:r>
      <w:r w:rsidR="007E3114">
        <w:t xml:space="preserve"> </w:t>
      </w:r>
      <w:r w:rsidRPr="007D38E8">
        <w:t>Summary of model structure, key inputs and rationale</w:t>
      </w:r>
    </w:p>
    <w:tbl>
      <w:tblPr>
        <w:tblW w:w="5000" w:type="pct"/>
        <w:tblLayout w:type="fixed"/>
        <w:tblCellMar>
          <w:left w:w="5" w:type="dxa"/>
          <w:right w:w="5" w:type="dxa"/>
        </w:tblCellMar>
        <w:tblLook w:val="01E0" w:firstRow="1" w:lastRow="1" w:firstColumn="1" w:lastColumn="1" w:noHBand="0" w:noVBand="0"/>
        <w:tblCaption w:val="Table 9: Summary of model structure, key inputs and rationale"/>
      </w:tblPr>
      <w:tblGrid>
        <w:gridCol w:w="1158"/>
        <w:gridCol w:w="4327"/>
        <w:gridCol w:w="3531"/>
      </w:tblGrid>
      <w:tr w:rsidR="002F03F5" w:rsidRPr="009F2AA4" w14:paraId="3C781110" w14:textId="77777777" w:rsidTr="00173793">
        <w:trPr>
          <w:cantSplit/>
          <w:tblHeader/>
        </w:trPr>
        <w:tc>
          <w:tcPr>
            <w:tcW w:w="1159" w:type="dxa"/>
            <w:tcBorders>
              <w:top w:val="single" w:sz="4" w:space="0" w:color="000000"/>
              <w:left w:val="single" w:sz="4" w:space="0" w:color="000000"/>
              <w:bottom w:val="single" w:sz="4" w:space="0" w:color="000000"/>
              <w:right w:val="single" w:sz="4" w:space="0" w:color="000000"/>
            </w:tcBorders>
            <w:vAlign w:val="center"/>
          </w:tcPr>
          <w:p w14:paraId="3C78110D" w14:textId="77777777" w:rsidR="002F03F5" w:rsidRPr="009F2AA4" w:rsidRDefault="008F23FF" w:rsidP="00921FF3">
            <w:pPr>
              <w:pStyle w:val="TableText"/>
              <w:widowControl/>
              <w:ind w:left="57"/>
              <w:rPr>
                <w:b/>
              </w:rPr>
            </w:pPr>
            <w:r w:rsidRPr="009F2AA4">
              <w:rPr>
                <w:b/>
              </w:rPr>
              <w:t xml:space="preserve">Component </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0E" w14:textId="77777777" w:rsidR="002F03F5" w:rsidRPr="009F2AA4" w:rsidRDefault="008F23FF" w:rsidP="00921FF3">
            <w:pPr>
              <w:pStyle w:val="TableText"/>
              <w:widowControl/>
              <w:ind w:left="57"/>
              <w:rPr>
                <w:b/>
              </w:rPr>
            </w:pPr>
            <w:r w:rsidRPr="009F2AA4">
              <w:rPr>
                <w:b/>
              </w:rPr>
              <w:t>Description</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0F" w14:textId="77777777" w:rsidR="002F03F5" w:rsidRPr="009F2AA4" w:rsidRDefault="008F23FF" w:rsidP="00921FF3">
            <w:pPr>
              <w:pStyle w:val="TableText"/>
              <w:widowControl/>
              <w:ind w:left="57"/>
              <w:rPr>
                <w:b/>
              </w:rPr>
            </w:pPr>
            <w:r w:rsidRPr="009F2AA4">
              <w:rPr>
                <w:b/>
              </w:rPr>
              <w:t>Justification/comments</w:t>
            </w:r>
          </w:p>
        </w:tc>
      </w:tr>
      <w:tr w:rsidR="002F03F5" w:rsidRPr="009F2AA4" w14:paraId="3C781114"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11" w14:textId="77777777" w:rsidR="002F03F5" w:rsidRPr="009F2AA4" w:rsidRDefault="008F23FF" w:rsidP="00921FF3">
            <w:pPr>
              <w:pStyle w:val="TableText"/>
              <w:widowControl/>
              <w:ind w:left="57" w:right="57"/>
            </w:pPr>
            <w:r w:rsidRPr="009F2AA4">
              <w:t>Comparison modelled</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12" w14:textId="58A43C03" w:rsidR="002F03F5" w:rsidRPr="009F2AA4" w:rsidRDefault="008F23FF" w:rsidP="00921FF3">
            <w:pPr>
              <w:pStyle w:val="TableText"/>
              <w:widowControl/>
              <w:ind w:left="57" w:right="57"/>
            </w:pPr>
            <w:r w:rsidRPr="009F2AA4">
              <w:rPr>
                <w:i/>
                <w:iCs/>
              </w:rPr>
              <w:t xml:space="preserve">RET </w:t>
            </w:r>
            <w:r w:rsidRPr="009F2AA4">
              <w:t>variant testing and treatment with selpercatinib compared to no</w:t>
            </w:r>
            <w:r w:rsidR="00923547" w:rsidRPr="00923547">
              <w:rPr>
                <w:i/>
              </w:rPr>
              <w:t xml:space="preserve"> RET </w:t>
            </w:r>
            <w:r w:rsidRPr="009F2AA4">
              <w:t>variant testing and treatment with BSC in stage III/IV MTC patients with a</w:t>
            </w:r>
            <w:r w:rsidR="00923547" w:rsidRPr="00923547">
              <w:rPr>
                <w:i/>
              </w:rPr>
              <w:t xml:space="preserve"> RET </w:t>
            </w:r>
            <w:r w:rsidRPr="009F2AA4">
              <w:t>variant.</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13" w14:textId="77777777" w:rsidR="002F03F5" w:rsidRPr="009F2AA4" w:rsidRDefault="008F23FF" w:rsidP="00921FF3">
            <w:pPr>
              <w:pStyle w:val="TableText"/>
              <w:widowControl/>
              <w:ind w:left="57" w:right="57"/>
            </w:pPr>
            <w:r w:rsidRPr="009F2AA4">
              <w:t xml:space="preserve">It was acknowledged that testing costs were applied in this manner to represent the testing scenario in absence of test sensitivity/specificity parameters. </w:t>
            </w:r>
          </w:p>
        </w:tc>
      </w:tr>
      <w:tr w:rsidR="002F03F5" w:rsidRPr="009F2AA4" w14:paraId="3C781118"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15" w14:textId="77777777" w:rsidR="002F03F5" w:rsidRPr="009F2AA4" w:rsidRDefault="008F23FF" w:rsidP="00921FF3">
            <w:pPr>
              <w:pStyle w:val="TableText"/>
              <w:widowControl/>
              <w:ind w:left="57" w:right="57"/>
              <w:rPr>
                <w:rFonts w:ascii="Times" w:eastAsia="Times New Roman" w:hAnsi="Times" w:cs="Times New Roman"/>
                <w:szCs w:val="20"/>
              </w:rPr>
            </w:pPr>
            <w:r w:rsidRPr="009F2AA4">
              <w:t>Outcomes</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16" w14:textId="77777777" w:rsidR="002F03F5" w:rsidRPr="009F2AA4" w:rsidRDefault="008F23FF" w:rsidP="00921FF3">
            <w:pPr>
              <w:pStyle w:val="TableText"/>
              <w:widowControl/>
              <w:ind w:left="57" w:right="57"/>
              <w:rPr>
                <w:rFonts w:ascii="Times" w:eastAsia="Times New Roman" w:hAnsi="Times" w:cs="Times New Roman"/>
                <w:szCs w:val="20"/>
              </w:rPr>
            </w:pPr>
            <w:r w:rsidRPr="009F2AA4">
              <w:t>LYG, QALYs gained</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17" w14:textId="77777777" w:rsidR="002F03F5" w:rsidRPr="009F2AA4" w:rsidRDefault="008F23FF" w:rsidP="00921FF3">
            <w:pPr>
              <w:pStyle w:val="TableText"/>
              <w:widowControl/>
              <w:ind w:left="57" w:right="57"/>
            </w:pPr>
            <w:r w:rsidRPr="009F2AA4">
              <w:t>Reasonable.</w:t>
            </w:r>
          </w:p>
        </w:tc>
      </w:tr>
      <w:tr w:rsidR="002F03F5" w:rsidRPr="009F2AA4" w14:paraId="3C78111C"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19" w14:textId="77777777" w:rsidR="002F03F5" w:rsidRPr="009F2AA4" w:rsidRDefault="008F23FF" w:rsidP="00921FF3">
            <w:pPr>
              <w:pStyle w:val="TableText"/>
              <w:widowControl/>
              <w:ind w:left="57" w:right="57"/>
              <w:rPr>
                <w:rFonts w:ascii="Times" w:eastAsia="Times New Roman" w:hAnsi="Times" w:cs="Times New Roman"/>
                <w:szCs w:val="20"/>
              </w:rPr>
            </w:pPr>
            <w:r w:rsidRPr="009F2AA4">
              <w:t>Time horizon</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1A" w14:textId="77777777" w:rsidR="002F03F5" w:rsidRPr="009F2AA4" w:rsidRDefault="008F23FF" w:rsidP="00921FF3">
            <w:pPr>
              <w:pStyle w:val="TableText"/>
              <w:widowControl/>
              <w:ind w:left="57" w:right="57"/>
            </w:pPr>
            <w:r w:rsidRPr="009F2AA4">
              <w:t>25 years vs trial period of 45 months in LIBRETTO-531.</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1B" w14:textId="77777777" w:rsidR="002F03F5" w:rsidRPr="009F2AA4" w:rsidRDefault="008F23FF" w:rsidP="00921FF3">
            <w:pPr>
              <w:pStyle w:val="TableText"/>
              <w:widowControl/>
              <w:ind w:left="57" w:right="57"/>
            </w:pPr>
            <w:r w:rsidRPr="009F2AA4">
              <w:t>A time horizon of 25 years based on 45 months of trial data may not be reasonable.</w:t>
            </w:r>
          </w:p>
        </w:tc>
      </w:tr>
      <w:tr w:rsidR="002F03F5" w:rsidRPr="009F2AA4" w14:paraId="3C781120"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1D" w14:textId="77777777" w:rsidR="002F03F5" w:rsidRPr="009F2AA4" w:rsidRDefault="008F23FF" w:rsidP="00921FF3">
            <w:pPr>
              <w:pStyle w:val="TableText"/>
              <w:widowControl/>
              <w:ind w:left="57" w:right="57"/>
              <w:rPr>
                <w:rFonts w:ascii="Times" w:eastAsia="Times New Roman" w:hAnsi="Times" w:cs="Times New Roman"/>
                <w:szCs w:val="20"/>
              </w:rPr>
            </w:pPr>
            <w:r w:rsidRPr="009F2AA4">
              <w:t>Methods used to generate results</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1E" w14:textId="77777777" w:rsidR="002F03F5" w:rsidRPr="009F2AA4" w:rsidRDefault="008F23FF" w:rsidP="00921FF3">
            <w:pPr>
              <w:pStyle w:val="TableText"/>
              <w:widowControl/>
              <w:ind w:left="57" w:right="57"/>
              <w:rPr>
                <w:rFonts w:ascii="Times" w:eastAsia="Times New Roman" w:hAnsi="Times" w:cs="Times New Roman"/>
                <w:szCs w:val="20"/>
              </w:rPr>
            </w:pPr>
            <w:r w:rsidRPr="009F2AA4">
              <w:t xml:space="preserve">Partitioned survival model (PF, PD, and death) using Excel. </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1F" w14:textId="77777777" w:rsidR="002F03F5" w:rsidRPr="009F2AA4" w:rsidRDefault="008F23FF" w:rsidP="00921FF3">
            <w:pPr>
              <w:pStyle w:val="TableText"/>
              <w:widowControl/>
              <w:ind w:left="57" w:right="57"/>
            </w:pPr>
            <w:r w:rsidRPr="009F2AA4">
              <w:t>Reasonable.</w:t>
            </w:r>
          </w:p>
        </w:tc>
      </w:tr>
      <w:tr w:rsidR="002F03F5" w:rsidRPr="009F2AA4" w14:paraId="3C781124"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21" w14:textId="77777777" w:rsidR="002F03F5" w:rsidRPr="009F2AA4" w:rsidRDefault="008F23FF" w:rsidP="00921FF3">
            <w:pPr>
              <w:pStyle w:val="TableText"/>
              <w:widowControl/>
              <w:ind w:left="57" w:right="57"/>
              <w:rPr>
                <w:rFonts w:ascii="Times" w:eastAsia="Times New Roman" w:hAnsi="Times" w:cs="Times New Roman"/>
                <w:szCs w:val="20"/>
              </w:rPr>
            </w:pPr>
            <w:r w:rsidRPr="009F2AA4">
              <w:t>Cycle length</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22" w14:textId="77777777" w:rsidR="002F03F5" w:rsidRPr="009F2AA4" w:rsidRDefault="008F23FF" w:rsidP="00921FF3">
            <w:pPr>
              <w:pStyle w:val="TableText"/>
              <w:widowControl/>
              <w:ind w:left="57" w:right="57"/>
              <w:rPr>
                <w:rFonts w:ascii="Times" w:eastAsia="Times New Roman" w:hAnsi="Times" w:cs="Times New Roman"/>
                <w:szCs w:val="20"/>
              </w:rPr>
            </w:pPr>
            <w:r w:rsidRPr="009F2AA4">
              <w:t>Weekly cycle length</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23" w14:textId="5A5AEA25" w:rsidR="002F03F5" w:rsidRPr="009F2AA4" w:rsidRDefault="002F03F5" w:rsidP="00921FF3">
            <w:pPr>
              <w:pStyle w:val="TableText"/>
              <w:widowControl/>
              <w:ind w:left="57" w:right="57"/>
            </w:pPr>
          </w:p>
        </w:tc>
      </w:tr>
      <w:tr w:rsidR="002F03F5" w:rsidRPr="009F2AA4" w14:paraId="3C781128"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25" w14:textId="77777777" w:rsidR="002F03F5" w:rsidRPr="009F2AA4" w:rsidRDefault="008F23FF" w:rsidP="00921FF3">
            <w:pPr>
              <w:pStyle w:val="TableText"/>
              <w:widowControl/>
              <w:ind w:left="57" w:right="57"/>
            </w:pPr>
            <w:r w:rsidRPr="009F2AA4">
              <w:t>Test parameters</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26" w14:textId="3AA7EF8C" w:rsidR="002F03F5" w:rsidRPr="009F2AA4" w:rsidRDefault="008F23FF" w:rsidP="00921FF3">
            <w:pPr>
              <w:pStyle w:val="TableText"/>
              <w:widowControl/>
              <w:ind w:left="57" w:right="57"/>
            </w:pPr>
            <w:r w:rsidRPr="009F2AA4">
              <w:t>No test accuracy parameters were included in the base case. A once off cost of $1,189 per</w:t>
            </w:r>
            <w:r w:rsidR="00923547" w:rsidRPr="00923547">
              <w:rPr>
                <w:i/>
              </w:rPr>
              <w:t xml:space="preserve"> RET </w:t>
            </w:r>
            <w:r w:rsidRPr="009F2AA4">
              <w:t>variant identified was applied in the selpercatinib arm based on the NNT (2.92) and proposed MBS fee ($400). NNT was estimated based on the proportion of MTC patients diagnosed or progressed to stage III/IV disease (85%), the proportion with progressive and symptomatic disease (57.22%) and the proportion of MTC with a</w:t>
            </w:r>
            <w:r w:rsidR="00923547" w:rsidRPr="00923547">
              <w:rPr>
                <w:i/>
              </w:rPr>
              <w:t xml:space="preserve"> RET </w:t>
            </w:r>
            <w:r w:rsidRPr="009F2AA4">
              <w:t>variant (70%).</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27" w14:textId="581A39F9" w:rsidR="002F03F5" w:rsidRPr="009F2AA4" w:rsidRDefault="008F23FF" w:rsidP="00921FF3">
            <w:pPr>
              <w:pStyle w:val="TableText"/>
              <w:widowControl/>
              <w:ind w:left="57" w:right="57"/>
            </w:pPr>
            <w:r w:rsidRPr="009F2AA4">
              <w:t>For consistency with the test population (patients diagnosed with MTC i.e., irrespective of stage of disease or progression status), the NNT should be estimated from the proportion of MTC expected to have a</w:t>
            </w:r>
            <w:r w:rsidR="00923547" w:rsidRPr="00923547">
              <w:rPr>
                <w:i/>
              </w:rPr>
              <w:t xml:space="preserve"> RET </w:t>
            </w:r>
            <w:r w:rsidRPr="009F2AA4">
              <w:t xml:space="preserve">variant (i.e., 1/70% = 1.43). NNT was not a key driver in the model. </w:t>
            </w:r>
          </w:p>
        </w:tc>
      </w:tr>
      <w:tr w:rsidR="002F03F5" w:rsidRPr="009F2AA4" w14:paraId="3C78112C"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29" w14:textId="77777777" w:rsidR="002F03F5" w:rsidRPr="009F2AA4" w:rsidRDefault="008F23FF" w:rsidP="00921FF3">
            <w:pPr>
              <w:pStyle w:val="TableText"/>
              <w:widowControl/>
              <w:ind w:left="57" w:right="57"/>
            </w:pPr>
            <w:r w:rsidRPr="009F2AA4">
              <w:t>Implications of false positive and false wildtype results</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2A" w14:textId="77777777" w:rsidR="002F03F5" w:rsidRPr="009F2AA4" w:rsidRDefault="008F23FF" w:rsidP="00921FF3">
            <w:pPr>
              <w:pStyle w:val="TableText"/>
              <w:widowControl/>
              <w:ind w:left="57" w:right="57"/>
            </w:pPr>
            <w:r w:rsidRPr="009F2AA4">
              <w:t xml:space="preserve">Assumed 100% sensitivity and 100% specificity. </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2B" w14:textId="2E6EE740" w:rsidR="002F03F5" w:rsidRPr="009F2AA4" w:rsidRDefault="008F23FF" w:rsidP="00921FF3">
            <w:pPr>
              <w:pStyle w:val="TableText"/>
              <w:widowControl/>
              <w:ind w:left="57" w:right="57"/>
            </w:pPr>
            <w:r w:rsidRPr="009F2AA4">
              <w:t xml:space="preserve">Test parameters were not considered in the model. </w:t>
            </w:r>
            <w:r w:rsidRPr="00B237F9">
              <w:t>The ESCs considered this was reasonable.</w:t>
            </w:r>
            <w:r w:rsidR="007E3114">
              <w:t xml:space="preserve"> </w:t>
            </w:r>
          </w:p>
        </w:tc>
      </w:tr>
      <w:tr w:rsidR="002F03F5" w:rsidRPr="009F2AA4" w14:paraId="3C781130"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2D" w14:textId="77777777" w:rsidR="002F03F5" w:rsidRPr="009F2AA4" w:rsidRDefault="008F23FF" w:rsidP="00921FF3">
            <w:pPr>
              <w:pStyle w:val="TableText"/>
              <w:widowControl/>
              <w:ind w:left="57" w:right="57"/>
            </w:pPr>
            <w:r w:rsidRPr="009F2AA4">
              <w:lastRenderedPageBreak/>
              <w:t xml:space="preserve">Allocation to health states </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2E" w14:textId="7DE2FC28" w:rsidR="002F03F5" w:rsidRPr="009F2AA4" w:rsidRDefault="008F23FF" w:rsidP="00921FF3">
            <w:pPr>
              <w:pStyle w:val="TableText"/>
              <w:widowControl/>
              <w:ind w:left="57" w:right="57"/>
            </w:pPr>
            <w:r w:rsidRPr="009F2AA4">
              <w:t>LIBRETTO-531 informed the transitions in the selpercatinib arm. A HR approach was adopted to inform the transitions in the BSC arm based on the ITC of LIBRETTO-531 (ITT;</w:t>
            </w:r>
            <w:r w:rsidR="00923547" w:rsidRPr="00923547">
              <w:rPr>
                <w:i/>
              </w:rPr>
              <w:t xml:space="preserve"> RET </w:t>
            </w:r>
            <w:r w:rsidRPr="009F2AA4">
              <w:t>variant) and EXAM (RET variant subgroup).</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2F" w14:textId="77777777" w:rsidR="002F03F5" w:rsidRPr="009F2AA4" w:rsidRDefault="008F23FF" w:rsidP="00921FF3">
            <w:pPr>
              <w:pStyle w:val="TableText"/>
              <w:widowControl/>
              <w:ind w:left="57" w:right="57"/>
            </w:pPr>
            <w:r w:rsidRPr="009F2AA4">
              <w:t xml:space="preserve">The OS HR from the ITC was not appropriate since there was no significant OS difference observed between cabozantinib and placebo in the EXAM trial. The OS HR from LIBRETTO-531 was more appropriate but was also associated with uncertainties. </w:t>
            </w:r>
          </w:p>
        </w:tc>
      </w:tr>
      <w:tr w:rsidR="002F03F5" w:rsidRPr="009F2AA4" w14:paraId="3C781136"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31" w14:textId="77777777" w:rsidR="002F03F5" w:rsidRPr="009F2AA4" w:rsidRDefault="008F23FF" w:rsidP="00921FF3">
            <w:pPr>
              <w:pStyle w:val="TableText"/>
              <w:widowControl/>
              <w:ind w:left="57" w:right="57"/>
            </w:pPr>
            <w:r w:rsidRPr="009F2AA4">
              <w:t>Extrapolation method</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32" w14:textId="61DF5161" w:rsidR="002F03F5" w:rsidRPr="009F2AA4" w:rsidRDefault="008F23FF" w:rsidP="00921FF3">
            <w:pPr>
              <w:pStyle w:val="TableText"/>
              <w:widowControl/>
              <w:ind w:left="57" w:right="57"/>
            </w:pPr>
            <w:r w:rsidRPr="009F2AA4">
              <w:t>No KM data was used in the model. Parametric models were fitted to the selpercatinib arm to extrapolate PFS and OS based on visual fit, statistical fit, and clinical plausibility. OS extrapolation was selected based on an arbitrary decision that if survival at 25 years was &gt;32% the extrapolation was not clinically plausible</w:t>
            </w:r>
            <w:r w:rsidRPr="009F2AA4">
              <w:rPr>
                <w:vertAlign w:val="superscript"/>
              </w:rPr>
              <w:t>a</w:t>
            </w:r>
            <w:r w:rsidRPr="009F2AA4">
              <w:t xml:space="preserve"> PFS was extrapolated using the Weibull function and OS was extrapolated using the Spline knot 3 function. ToT in the selpercatinib arm was assumed to equal PFS. BSC was modelled by applying the inverse PFS HR (0.05) and OS HR (0.22) derived from the ITC to the selpercatinib arm. No convergence was assumed.</w:t>
            </w:r>
          </w:p>
          <w:p w14:paraId="3C781133" w14:textId="77777777" w:rsidR="002F03F5" w:rsidRPr="009F2AA4" w:rsidRDefault="002F03F5" w:rsidP="00921FF3">
            <w:pPr>
              <w:pStyle w:val="TableText"/>
              <w:widowControl/>
              <w:ind w:left="57" w:right="57"/>
            </w:pPr>
          </w:p>
        </w:tc>
        <w:tc>
          <w:tcPr>
            <w:tcW w:w="3535" w:type="dxa"/>
            <w:tcBorders>
              <w:top w:val="single" w:sz="4" w:space="0" w:color="000000"/>
              <w:left w:val="single" w:sz="4" w:space="0" w:color="000000"/>
              <w:bottom w:val="single" w:sz="4" w:space="0" w:color="000000"/>
              <w:right w:val="single" w:sz="4" w:space="0" w:color="000000"/>
            </w:tcBorders>
            <w:vAlign w:val="center"/>
          </w:tcPr>
          <w:p w14:paraId="3C781134" w14:textId="77DECEF9" w:rsidR="002F03F5" w:rsidRPr="009F2AA4" w:rsidRDefault="008F23FF" w:rsidP="00921FF3">
            <w:pPr>
              <w:pStyle w:val="TableText"/>
              <w:widowControl/>
              <w:ind w:left="57" w:right="57"/>
            </w:pPr>
            <w:r w:rsidRPr="009F2AA4">
              <w:t>OS, ToT, and PFS modelling were key drivers of the model.</w:t>
            </w:r>
          </w:p>
          <w:p w14:paraId="3C781135" w14:textId="77777777" w:rsidR="002F03F5" w:rsidRPr="009F2AA4" w:rsidRDefault="008F23FF" w:rsidP="00921FF3">
            <w:pPr>
              <w:pStyle w:val="TableText"/>
              <w:widowControl/>
              <w:ind w:left="57" w:right="57"/>
            </w:pPr>
            <w:r w:rsidRPr="009F2AA4">
              <w:t xml:space="preserve"> </w:t>
            </w:r>
          </w:p>
        </w:tc>
      </w:tr>
      <w:tr w:rsidR="002F03F5" w:rsidRPr="009F2AA4" w14:paraId="3C78113A"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37" w14:textId="77777777" w:rsidR="002F03F5" w:rsidRPr="009F2AA4" w:rsidRDefault="008F23FF" w:rsidP="00921FF3">
            <w:pPr>
              <w:pStyle w:val="TableText"/>
              <w:widowControl/>
              <w:ind w:left="57" w:right="57"/>
            </w:pPr>
            <w:r w:rsidRPr="009F2AA4">
              <w:t>Health related quality of life</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38" w14:textId="77777777" w:rsidR="002F03F5" w:rsidRPr="009F2AA4" w:rsidRDefault="008F23FF" w:rsidP="00921FF3">
            <w:pPr>
              <w:pStyle w:val="TableText"/>
              <w:widowControl/>
              <w:ind w:left="57" w:right="57"/>
            </w:pPr>
            <w:r w:rsidRPr="009F2AA4">
              <w:t xml:space="preserve">Utility values for PF and PD health states were informed from LIBRETTO-531 EQ 5D 5L index score using Australian tariffs (Norman 2023). PF = 0.8839 and PD = 0.8672. </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39" w14:textId="77777777" w:rsidR="002F03F5" w:rsidRPr="009F2AA4" w:rsidRDefault="008F23FF" w:rsidP="00921FF3">
            <w:pPr>
              <w:pStyle w:val="TableText"/>
              <w:widowControl/>
              <w:ind w:left="57" w:right="57"/>
            </w:pPr>
            <w:r w:rsidRPr="009F2AA4">
              <w:t xml:space="preserve">The PD utility (0.8672) was informed by 61/291 patients from LIBRETTO-531 and was potentially biased. </w:t>
            </w:r>
          </w:p>
        </w:tc>
      </w:tr>
      <w:tr w:rsidR="002F03F5" w:rsidRPr="009F2AA4" w14:paraId="3C781141" w14:textId="77777777" w:rsidTr="00173793">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113B" w14:textId="77777777" w:rsidR="002F03F5" w:rsidRPr="009F2AA4" w:rsidRDefault="008F23FF" w:rsidP="00921FF3">
            <w:pPr>
              <w:pStyle w:val="TableText"/>
              <w:widowControl/>
              <w:ind w:left="57" w:right="57"/>
            </w:pPr>
            <w:r w:rsidRPr="009F2AA4">
              <w:t>Selpercatinib costs</w:t>
            </w:r>
          </w:p>
        </w:tc>
        <w:tc>
          <w:tcPr>
            <w:tcW w:w="4332" w:type="dxa"/>
            <w:tcBorders>
              <w:top w:val="single" w:sz="4" w:space="0" w:color="000000"/>
              <w:left w:val="single" w:sz="4" w:space="0" w:color="000000"/>
              <w:bottom w:val="single" w:sz="4" w:space="0" w:color="000000"/>
              <w:right w:val="single" w:sz="4" w:space="0" w:color="000000"/>
            </w:tcBorders>
            <w:vAlign w:val="center"/>
          </w:tcPr>
          <w:p w14:paraId="3C78113C" w14:textId="77777777" w:rsidR="002F03F5" w:rsidRPr="00F80736" w:rsidRDefault="008F23FF" w:rsidP="00921FF3">
            <w:pPr>
              <w:pStyle w:val="TableText"/>
              <w:widowControl/>
              <w:ind w:left="57" w:right="57"/>
            </w:pPr>
            <w:r w:rsidRPr="009F2AA4">
              <w:t xml:space="preserve">The submission assumed the following dose reductions for selpercatinib based </w:t>
            </w:r>
            <w:r w:rsidRPr="00F80736">
              <w:t>on 141 patients:</w:t>
            </w:r>
          </w:p>
          <w:p w14:paraId="3C78113D" w14:textId="77777777" w:rsidR="002F03F5" w:rsidRPr="00F80736" w:rsidRDefault="008F23FF" w:rsidP="00921FF3">
            <w:pPr>
              <w:pStyle w:val="TableText"/>
              <w:widowControl/>
              <w:numPr>
                <w:ilvl w:val="0"/>
                <w:numId w:val="6"/>
              </w:numPr>
              <w:ind w:left="57" w:right="57"/>
            </w:pPr>
            <w:r w:rsidRPr="00F80736">
              <w:t xml:space="preserve">Tx cycle 1 = 98.45% 160 mg BID, 0.52% 120 mg BID, and 1.04% 80 mg BID </w:t>
            </w:r>
          </w:p>
          <w:p w14:paraId="3C78113E" w14:textId="77777777" w:rsidR="002F03F5" w:rsidRPr="00F80736" w:rsidRDefault="008F23FF" w:rsidP="00921FF3">
            <w:pPr>
              <w:pStyle w:val="TableText"/>
              <w:widowControl/>
              <w:numPr>
                <w:ilvl w:val="0"/>
                <w:numId w:val="6"/>
              </w:numPr>
              <w:ind w:left="57" w:right="57"/>
            </w:pPr>
            <w:r w:rsidRPr="00F80736">
              <w:t>Tx cycle 2 onwards = 4% 160 mg BID, 49.33% 120 mg BID, 41.33% 80 mg BID, and 5.33% 40 mg BID</w:t>
            </w:r>
          </w:p>
          <w:p w14:paraId="3C78113F" w14:textId="77777777" w:rsidR="002F03F5" w:rsidRPr="009F2AA4" w:rsidRDefault="008F23FF" w:rsidP="00921FF3">
            <w:pPr>
              <w:pStyle w:val="TableText"/>
              <w:widowControl/>
              <w:ind w:left="57" w:right="57"/>
            </w:pPr>
            <w:r w:rsidRPr="009F2AA4">
              <w:t xml:space="preserve">Dose re-escalations and dose omissions were not incorporated. </w:t>
            </w:r>
          </w:p>
        </w:tc>
        <w:tc>
          <w:tcPr>
            <w:tcW w:w="3535" w:type="dxa"/>
            <w:tcBorders>
              <w:top w:val="single" w:sz="4" w:space="0" w:color="000000"/>
              <w:left w:val="single" w:sz="4" w:space="0" w:color="000000"/>
              <w:bottom w:val="single" w:sz="4" w:space="0" w:color="000000"/>
              <w:right w:val="single" w:sz="4" w:space="0" w:color="000000"/>
            </w:tcBorders>
            <w:vAlign w:val="center"/>
          </w:tcPr>
          <w:p w14:paraId="3C781140" w14:textId="3DCAE675" w:rsidR="002F03F5" w:rsidRPr="009F2AA4" w:rsidRDefault="008F23FF" w:rsidP="00921FF3">
            <w:pPr>
              <w:pStyle w:val="TableText"/>
              <w:widowControl/>
              <w:ind w:left="57" w:right="57"/>
            </w:pPr>
            <w:r w:rsidRPr="009F2AA4">
              <w:t xml:space="preserve">Over 90% of patients had dose reductions after treatment cycle 2 in the model which was considerably greater than the dose reductions reported in LIBRETTO-531 (46%). </w:t>
            </w:r>
            <w:r w:rsidRPr="004E586C">
              <w:t xml:space="preserve">This was corrected in the PSCR (see paragraph </w:t>
            </w:r>
            <w:r w:rsidRPr="004E586C">
              <w:fldChar w:fldCharType="begin"/>
            </w:r>
            <w:r w:rsidRPr="004E586C">
              <w:instrText xml:space="preserve"> REF _Ref222239485 \r \r \h </w:instrText>
            </w:r>
            <w:r w:rsidR="00056281">
              <w:instrText xml:space="preserve"> \* MERGEFORMAT </w:instrText>
            </w:r>
            <w:r w:rsidRPr="004E586C">
              <w:fldChar w:fldCharType="separate"/>
            </w:r>
            <w:r w:rsidR="001617F9">
              <w:t>6.66</w:t>
            </w:r>
            <w:r w:rsidRPr="004E586C">
              <w:fldChar w:fldCharType="end"/>
            </w:r>
            <w:r w:rsidRPr="004E586C">
              <w:t>).</w:t>
            </w:r>
            <w:r w:rsidRPr="009F2AA4">
              <w:t xml:space="preserve"> Dose re-escalations were also not considered. Selpercatinib treatment costs were potentially underestimated, but this may be partially offset given the absence of dose omissions.</w:t>
            </w:r>
          </w:p>
        </w:tc>
      </w:tr>
    </w:tbl>
    <w:p w14:paraId="3C781142" w14:textId="77777777" w:rsidR="002F03F5" w:rsidRPr="009F2AA4" w:rsidRDefault="008F23FF" w:rsidP="00921FF3">
      <w:pPr>
        <w:pStyle w:val="TableFooter"/>
        <w:widowControl/>
      </w:pPr>
      <w:r w:rsidRPr="009F2AA4">
        <w:t>Source: Sections 3.2 to 3.5 of the submission</w:t>
      </w:r>
    </w:p>
    <w:p w14:paraId="3C781143" w14:textId="03F34F5B" w:rsidR="002F03F5" w:rsidRPr="009F2AA4" w:rsidRDefault="008F23FF" w:rsidP="00921FF3">
      <w:pPr>
        <w:pStyle w:val="TableFooter"/>
        <w:widowControl/>
      </w:pPr>
      <w:r w:rsidRPr="009F2AA4">
        <w:t>BID = twice daily; BSC = best supportive care; EQ 5D 5L = EuroQoL 5 Dimension 5 level; HR = hazard ratio; ICER = incremental cost effectiveness ratio; ITT = intention to treat; LYG = life year gained; MTC = medullary thyroid cancer;</w:t>
      </w:r>
      <w:r w:rsidR="00FB7F7F">
        <w:t xml:space="preserve"> NNT = number needed to treat;</w:t>
      </w:r>
      <w:r w:rsidRPr="009F2AA4">
        <w:t xml:space="preserve"> OS = overall survival; PD = progressed disease; PF = progression free; PFS = progression free survival; QALY = quality adjusted life year gained; ToT = time on treatment; Tx = treatment</w:t>
      </w:r>
    </w:p>
    <w:p w14:paraId="6F37A27C" w14:textId="1B5B52E4" w:rsidR="001617F9" w:rsidRDefault="008F23FF" w:rsidP="00921FF3">
      <w:pPr>
        <w:pStyle w:val="TableFooter"/>
        <w:widowControl/>
      </w:pPr>
      <w:r w:rsidRPr="009F2AA4">
        <w:rPr>
          <w:vertAlign w:val="superscript"/>
        </w:rPr>
        <w:t>a</w:t>
      </w:r>
      <w:r w:rsidRPr="009F2AA4">
        <w:t xml:space="preserve"> 32% was half of the general population survival after 25 years in patients aged 54 years</w:t>
      </w:r>
    </w:p>
    <w:p w14:paraId="03F48E26" w14:textId="77777777" w:rsidR="001617F9" w:rsidRPr="009F2AA4" w:rsidRDefault="001617F9" w:rsidP="00921FF3">
      <w:pPr>
        <w:pStyle w:val="TableFooter"/>
        <w:widowControl/>
      </w:pPr>
    </w:p>
    <w:p w14:paraId="3C781145" w14:textId="333D9D9E" w:rsidR="002F03F5" w:rsidRPr="002A4492" w:rsidRDefault="008F23FF" w:rsidP="00921FF3">
      <w:pPr>
        <w:pStyle w:val="3-BodyText"/>
      </w:pPr>
      <w:r w:rsidRPr="009F2AA4">
        <w:t>The submission adopted a 3-health state partition survival model: progression free (PF), progressed disease (PD), and death. Locally advanced or metastatic MTC patients with a</w:t>
      </w:r>
      <w:r w:rsidR="00923547" w:rsidRPr="00923547">
        <w:rPr>
          <w:i/>
        </w:rPr>
        <w:t xml:space="preserve"> RET </w:t>
      </w:r>
      <w:r w:rsidRPr="009F2AA4">
        <w:t xml:space="preserve">variant initiated in the PF health state and received either selpercatinib or BSC. After each weekly cycle, patients either remained in the PF health state or transitioned to the PD health state as per </w:t>
      </w:r>
      <w:r w:rsidRPr="002A4492">
        <w:t xml:space="preserve">RECIST v1.1 defined disease progression, or died based on the background all-cause mortality rate (absorbing health state). Patients in the PD health state either remained or died. Patients in the PF health state were assumed to have stable or not actively progressing disease, experienced PF utilities, and incurred treatment and disease management costs. Patients in the PD health state experienced PD utilities and incurred disease management costs. Terminal care costs were incurred upon death. AE management (grade ≥3) costs and </w:t>
      </w:r>
      <w:r w:rsidRPr="002A4492">
        <w:lastRenderedPageBreak/>
        <w:t>disutilities were incurred in both treatment arms once off in the first cycle, and were informed by the LIBRETTO-531 and EXAM trials.</w:t>
      </w:r>
    </w:p>
    <w:p w14:paraId="3C781146" w14:textId="4553D5D9" w:rsidR="002F03F5" w:rsidRPr="009F2AA4" w:rsidRDefault="008F23FF" w:rsidP="00921FF3">
      <w:pPr>
        <w:pStyle w:val="3-BodyText"/>
      </w:pPr>
      <w:r w:rsidRPr="002A4492">
        <w:t>The modelled OS for the selpercatinib arm was extrapolated using the Spline knot 3 function, and the BSC arm was</w:t>
      </w:r>
      <w:r w:rsidRPr="009F2AA4">
        <w:t xml:space="preserve"> informed by adopting the HR approach and applying the inverse OS HR derived from the ITC to the selpercatinib arm (i.e., 1/0.22) (</w:t>
      </w:r>
      <w:r w:rsidR="00CE580E">
        <w:fldChar w:fldCharType="begin"/>
      </w:r>
      <w:r w:rsidR="00CE580E">
        <w:instrText xml:space="preserve"> REF _Ref225337298 \h </w:instrText>
      </w:r>
      <w:r w:rsidR="00CE580E">
        <w:fldChar w:fldCharType="separate"/>
      </w:r>
      <w:r w:rsidR="003A3B69">
        <w:t xml:space="preserve">Figure </w:t>
      </w:r>
      <w:r w:rsidR="003A3B69">
        <w:rPr>
          <w:noProof/>
        </w:rPr>
        <w:t>5</w:t>
      </w:r>
      <w:r w:rsidR="00CE580E">
        <w:fldChar w:fldCharType="end"/>
      </w:r>
      <w:r w:rsidRPr="009F2AA4">
        <w:t>).</w:t>
      </w:r>
    </w:p>
    <w:p w14:paraId="5FE6EC4D" w14:textId="743FDFAC" w:rsidR="00E17273" w:rsidRDefault="00E17273" w:rsidP="00921FF3">
      <w:pPr>
        <w:pStyle w:val="Caption"/>
      </w:pPr>
      <w:bookmarkStart w:id="71" w:name="_Ref225337298"/>
      <w:r>
        <w:t xml:space="preserve">Figure </w:t>
      </w:r>
      <w:r>
        <w:fldChar w:fldCharType="begin"/>
      </w:r>
      <w:r>
        <w:instrText>SEQ Figure \* ARABIC</w:instrText>
      </w:r>
      <w:r>
        <w:fldChar w:fldCharType="separate"/>
      </w:r>
      <w:r w:rsidR="003A3B69">
        <w:rPr>
          <w:noProof/>
        </w:rPr>
        <w:t>5</w:t>
      </w:r>
      <w:r>
        <w:fldChar w:fldCharType="end"/>
      </w:r>
      <w:bookmarkEnd w:id="71"/>
      <w:r>
        <w:t>:</w:t>
      </w:r>
      <w:r w:rsidR="007E3114">
        <w:t xml:space="preserve"> </w:t>
      </w:r>
      <w:r w:rsidRPr="00174F9C">
        <w:t>Base case OS curve in selpercatinib (Spline knot 3) and BSC (OS HR = 0.22)</w:t>
      </w:r>
    </w:p>
    <w:p w14:paraId="3C781148" w14:textId="77777777" w:rsidR="002F03F5" w:rsidRPr="009F2AA4" w:rsidRDefault="008F23FF" w:rsidP="00921FF3">
      <w:pPr>
        <w:pStyle w:val="TableText"/>
        <w:keepNext/>
        <w:keepLines/>
        <w:widowControl/>
      </w:pPr>
      <w:r w:rsidRPr="009F2AA4">
        <w:rPr>
          <w:noProof/>
        </w:rPr>
        <w:drawing>
          <wp:inline distT="0" distB="0" distL="0" distR="0" wp14:anchorId="3C7815CF" wp14:editId="3789EF0F">
            <wp:extent cx="5721985" cy="3176905"/>
            <wp:effectExtent l="0" t="0" r="0" b="0"/>
            <wp:docPr id="7" name="Picture 11" descr="Figure 5: Base case OS curve in selpercatinib (Spline knot 3) and BSC (OS HR =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descr="Figure 5: Base case OS curve in selpercatinib (Spline knot 3) and BSC (OS HR = 0.22)"/>
                    <pic:cNvPicPr>
                      <a:picLocks noChangeAspect="1" noChangeArrowheads="1"/>
                    </pic:cNvPicPr>
                  </pic:nvPicPr>
                  <pic:blipFill>
                    <a:blip r:embed="rId16"/>
                    <a:stretch>
                      <a:fillRect/>
                    </a:stretch>
                  </pic:blipFill>
                  <pic:spPr bwMode="auto">
                    <a:xfrm>
                      <a:off x="0" y="0"/>
                      <a:ext cx="5721985" cy="3176905"/>
                    </a:xfrm>
                    <a:prstGeom prst="rect">
                      <a:avLst/>
                    </a:prstGeom>
                    <a:noFill/>
                  </pic:spPr>
                </pic:pic>
              </a:graphicData>
            </a:graphic>
          </wp:inline>
        </w:drawing>
      </w:r>
    </w:p>
    <w:p w14:paraId="3C781149" w14:textId="77777777" w:rsidR="002F03F5" w:rsidRPr="009F2AA4" w:rsidRDefault="008F23FF" w:rsidP="00921FF3">
      <w:pPr>
        <w:pStyle w:val="TableFooter"/>
        <w:keepNext/>
        <w:keepLines/>
        <w:widowControl/>
      </w:pPr>
      <w:r w:rsidRPr="009F2AA4">
        <w:t xml:space="preserve">Source: ‘Survival’ worksheet from the economic model </w:t>
      </w:r>
    </w:p>
    <w:p w14:paraId="3C78114A" w14:textId="77777777" w:rsidR="002F03F5" w:rsidRPr="009F2AA4" w:rsidRDefault="008F23FF" w:rsidP="00921FF3">
      <w:pPr>
        <w:pStyle w:val="TableFooter"/>
        <w:keepNext/>
        <w:keepLines/>
        <w:widowControl/>
      </w:pPr>
      <w:r w:rsidRPr="009F2AA4">
        <w:t>BSC = best supportive care; HR = hazard ratio; KM = Kaplan Meier; OS = overall survival</w:t>
      </w:r>
    </w:p>
    <w:p w14:paraId="3C78114B" w14:textId="77777777" w:rsidR="002F03F5" w:rsidRPr="009F2AA4" w:rsidRDefault="008F23FF" w:rsidP="00921FF3">
      <w:pPr>
        <w:pStyle w:val="TableFooter"/>
        <w:keepNext/>
        <w:keepLines/>
        <w:widowControl/>
        <w:rPr>
          <w:u w:val="single"/>
        </w:rPr>
      </w:pPr>
      <w:r w:rsidRPr="009F2AA4">
        <w:rPr>
          <w:u w:val="single"/>
        </w:rPr>
        <w:t>Notes:</w:t>
      </w:r>
    </w:p>
    <w:p w14:paraId="3C78114C" w14:textId="77777777" w:rsidR="002F03F5" w:rsidRPr="009F2AA4" w:rsidRDefault="008F23FF" w:rsidP="00921FF3">
      <w:pPr>
        <w:pStyle w:val="TableFooter"/>
        <w:keepNext/>
        <w:keepLines/>
        <w:widowControl/>
      </w:pPr>
      <w:r w:rsidRPr="009F2AA4">
        <w:t>The inverse OS HR was applied in the model (i.e., 1/0.22 = 4.55).</w:t>
      </w:r>
    </w:p>
    <w:p w14:paraId="3C78114D" w14:textId="233499C2" w:rsidR="002F03F5" w:rsidRPr="001D733E" w:rsidRDefault="008F23FF" w:rsidP="00921FF3">
      <w:pPr>
        <w:pStyle w:val="3-BodyText"/>
      </w:pPr>
      <w:r w:rsidRPr="001D733E">
        <w:t xml:space="preserve">The submission’s choice of extrapolation was primarily based on clinical plausibility. The submission stated that an extrapolation was not considered plausible if the proportion of patients alive at 25 years exceeded 32%, as this was half of the general population survival after 25 years given the </w:t>
      </w:r>
      <w:r w:rsidR="00E447C3">
        <w:t xml:space="preserve">average </w:t>
      </w:r>
      <w:r w:rsidRPr="001D733E">
        <w:t xml:space="preserve">Australian </w:t>
      </w:r>
      <w:r w:rsidR="00E447C3">
        <w:t xml:space="preserve">patient </w:t>
      </w:r>
      <w:r w:rsidRPr="001D733E">
        <w:t>age of 54 years (65%).</w:t>
      </w:r>
      <w:r w:rsidR="00426A14">
        <w:t xml:space="preserve"> </w:t>
      </w:r>
      <w:r w:rsidRPr="001D733E">
        <w:t>The ESCs noted that the exponential curve was the best statistical fit (based on AIC/BIC), but implausibly resulted in 51% of patients alive after 25 years. Only the Gompertz, Spline knot 2, and Spline knot 3 functions fit this criterion of which the submission considered the Spline knot 3 was the most conservative and plausible estimate of survival at 25 years (</w:t>
      </w:r>
      <w:r w:rsidR="00B02B9E">
        <w:fldChar w:fldCharType="begin"/>
      </w:r>
      <w:r w:rsidR="00B02B9E">
        <w:instrText xml:space="preserve"> REF _Ref225266765 \h </w:instrText>
      </w:r>
      <w:r w:rsidR="00B02B9E">
        <w:fldChar w:fldCharType="separate"/>
      </w:r>
      <w:r w:rsidR="003A3B69">
        <w:t xml:space="preserve">Table </w:t>
      </w:r>
      <w:r w:rsidR="003A3B69">
        <w:rPr>
          <w:noProof/>
        </w:rPr>
        <w:t>10</w:t>
      </w:r>
      <w:r w:rsidR="00B02B9E">
        <w:fldChar w:fldCharType="end"/>
      </w:r>
      <w:r w:rsidRPr="001D733E">
        <w:t>). The ESCs noted there is very little KM data available to inform the appropriate extrapolation.</w:t>
      </w:r>
    </w:p>
    <w:p w14:paraId="24997122" w14:textId="0858F777" w:rsidR="00E17273" w:rsidRDefault="00E17273" w:rsidP="00921FF3">
      <w:pPr>
        <w:pStyle w:val="Caption"/>
        <w:jc w:val="both"/>
      </w:pPr>
      <w:r>
        <w:lastRenderedPageBreak/>
        <w:t xml:space="preserve">Figure </w:t>
      </w:r>
      <w:r>
        <w:fldChar w:fldCharType="begin"/>
      </w:r>
      <w:r>
        <w:instrText>SEQ Figure \* ARABIC</w:instrText>
      </w:r>
      <w:r>
        <w:fldChar w:fldCharType="separate"/>
      </w:r>
      <w:r w:rsidR="003A3B69">
        <w:rPr>
          <w:noProof/>
        </w:rPr>
        <w:t>6</w:t>
      </w:r>
      <w:r>
        <w:fldChar w:fldCharType="end"/>
      </w:r>
      <w:r>
        <w:t>:</w:t>
      </w:r>
      <w:r w:rsidR="007E3114">
        <w:t xml:space="preserve"> </w:t>
      </w:r>
      <w:r w:rsidRPr="00494558">
        <w:t>OS extrapolations – selpercatinib arm</w:t>
      </w:r>
    </w:p>
    <w:p w14:paraId="3C78114F" w14:textId="24C3583F" w:rsidR="002F03F5" w:rsidRPr="009F2AA4" w:rsidRDefault="008F23FF" w:rsidP="00921FF3">
      <w:pPr>
        <w:pStyle w:val="TableFooter"/>
        <w:widowControl/>
        <w:rPr>
          <w:iCs/>
        </w:rPr>
      </w:pPr>
      <w:r w:rsidRPr="009F2AA4">
        <w:rPr>
          <w:noProof/>
        </w:rPr>
        <w:drawing>
          <wp:inline distT="0" distB="0" distL="0" distR="0" wp14:anchorId="3C7815D1" wp14:editId="120B7045">
            <wp:extent cx="5788025" cy="3013710"/>
            <wp:effectExtent l="0" t="0" r="0" b="0"/>
            <wp:docPr id="8" name="Picture 3" descr="Figure 6: OS extrapolations – selpercatini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Figure 6: OS extrapolations – selpercatinib arm"/>
                    <pic:cNvPicPr>
                      <a:picLocks noChangeAspect="1" noChangeArrowheads="1"/>
                    </pic:cNvPicPr>
                  </pic:nvPicPr>
                  <pic:blipFill>
                    <a:blip r:embed="rId17"/>
                    <a:stretch>
                      <a:fillRect/>
                    </a:stretch>
                  </pic:blipFill>
                  <pic:spPr bwMode="auto">
                    <a:xfrm>
                      <a:off x="0" y="0"/>
                      <a:ext cx="5788025" cy="3013710"/>
                    </a:xfrm>
                    <a:prstGeom prst="rect">
                      <a:avLst/>
                    </a:prstGeom>
                    <a:noFill/>
                  </pic:spPr>
                </pic:pic>
              </a:graphicData>
            </a:graphic>
          </wp:inline>
        </w:drawing>
      </w:r>
      <w:r w:rsidRPr="009F2AA4">
        <w:rPr>
          <w:iCs/>
        </w:rPr>
        <w:t>Source: constructed during the evaluation</w:t>
      </w:r>
    </w:p>
    <w:p w14:paraId="3C781150" w14:textId="77777777" w:rsidR="002F03F5" w:rsidRPr="009F2AA4" w:rsidRDefault="008F23FF" w:rsidP="00921FF3">
      <w:pPr>
        <w:pStyle w:val="TableFooter"/>
        <w:widowControl/>
        <w:rPr>
          <w:iCs/>
        </w:rPr>
      </w:pPr>
      <w:r w:rsidRPr="009F2AA4">
        <w:rPr>
          <w:iCs/>
        </w:rPr>
        <w:t>OS = overall survival</w:t>
      </w:r>
    </w:p>
    <w:p w14:paraId="3C781151" w14:textId="0C1757F2" w:rsidR="002F03F5" w:rsidRPr="002A4492" w:rsidRDefault="008F23FF" w:rsidP="00921FF3">
      <w:pPr>
        <w:pStyle w:val="3-BodyText"/>
      </w:pPr>
      <w:r w:rsidRPr="001D733E">
        <w:t xml:space="preserve">The </w:t>
      </w:r>
      <w:r w:rsidR="00A31865" w:rsidRPr="002A4492">
        <w:t xml:space="preserve">evaluation considered </w:t>
      </w:r>
      <w:r w:rsidR="00A31865">
        <w:t>that</w:t>
      </w:r>
      <w:r w:rsidR="00AD460F">
        <w:t xml:space="preserve"> the</w:t>
      </w:r>
      <w:r w:rsidR="00A31865">
        <w:t xml:space="preserve"> </w:t>
      </w:r>
      <w:r w:rsidRPr="001D733E">
        <w:t xml:space="preserve">submission’s </w:t>
      </w:r>
      <w:r w:rsidR="002E670D" w:rsidRPr="001D733E">
        <w:t xml:space="preserve">arbitrary threshold </w:t>
      </w:r>
      <w:r w:rsidRPr="001D733E">
        <w:t xml:space="preserve">for selecting clinically plausible extrapolations </w:t>
      </w:r>
      <w:r w:rsidRPr="002A4492">
        <w:t>did not appear externally valid with survival estimates from the literature. The base case OS extrapolation (Spline knot 3) estimated there were 17% and 0% of patients alive at 25 years in the selpercatinib and the BSC arm, respectively (of note, all patients in the BSC arm died after approximately 17 years</w:t>
      </w:r>
      <w:r w:rsidR="000F5ECE">
        <w:t>,</w:t>
      </w:r>
      <w:r w:rsidRPr="002A4492">
        <w:t xml:space="preserve"> or 200 months). This was considerably lower compared to estimates from local studies, for example, Kesby 2022 reported approximately 30% of stage III/IV MTC patients were alive after 25 years, acknowledging that this sample included a mixed cohort of indolent and progressive disease. These lower survival estimates were similarly observed even when the OS extrapolation was varied, which led to 25 year survival ranging from 0% to 57% in the selpercatinib arm and 0% and 10% in the BSC arm</w:t>
      </w:r>
      <w:r w:rsidR="00DC71F5">
        <w:t>.</w:t>
      </w:r>
      <w:r w:rsidRPr="002A4492">
        <w:t xml:space="preserve"> The PSCR contended that the selection of clinically plausible extrapolations was based on the gilteritinib November 2021 PSD, which stated that the “economic model, from 2 years to 40 years, OS was informed by general population mortality adjusted using a standardised mortality rate of 2.0”. However, the ESC noted the 2021 PBAC consideration of gilteritinib was for the treatment of relapsed or refractory acute myeloid leukaemia (AML), and it was unclear how the standardised morality ratio (2) in AML was generalisable to the MTC setting.</w:t>
      </w:r>
      <w:r w:rsidR="007E3114">
        <w:t xml:space="preserve"> </w:t>
      </w:r>
    </w:p>
    <w:p w14:paraId="3C781152" w14:textId="0125F53B" w:rsidR="002F03F5" w:rsidRPr="002A4492" w:rsidRDefault="008F23FF" w:rsidP="00921FF3">
      <w:pPr>
        <w:pStyle w:val="3-BodyText"/>
      </w:pPr>
      <w:bookmarkStart w:id="72" w:name="_Ref222268533"/>
      <w:r w:rsidRPr="002A4492">
        <w:t>The ESCs considered that while Spline knot 3 appeared to be a conservative</w:t>
      </w:r>
      <w:r w:rsidR="007E3114">
        <w:t xml:space="preserve"> </w:t>
      </w:r>
      <w:r w:rsidRPr="002A4492">
        <w:t>extrapolation option, the low event rate (&lt;10%) in the LIBRETTO-5</w:t>
      </w:r>
      <w:r w:rsidR="00D123CF">
        <w:t>3</w:t>
      </w:r>
      <w:r w:rsidRPr="002A4492">
        <w:t>1 trial meant there was a very high risk that the available data will not predict future events.</w:t>
      </w:r>
      <w:bookmarkEnd w:id="72"/>
    </w:p>
    <w:p w14:paraId="3C781154" w14:textId="7B2C49A1" w:rsidR="002F03F5" w:rsidRPr="009F2AA4" w:rsidRDefault="002F03F5" w:rsidP="00921FF3">
      <w:pPr>
        <w:pStyle w:val="Caption"/>
      </w:pPr>
    </w:p>
    <w:p w14:paraId="021E72B8" w14:textId="65F1D17D" w:rsidR="00E17273" w:rsidRDefault="00E17273" w:rsidP="00921FF3">
      <w:pPr>
        <w:pStyle w:val="Caption"/>
        <w:keepLines/>
      </w:pPr>
      <w:bookmarkStart w:id="73" w:name="_Ref225266765"/>
      <w:r>
        <w:t xml:space="preserve">Table </w:t>
      </w:r>
      <w:r>
        <w:fldChar w:fldCharType="begin"/>
      </w:r>
      <w:r>
        <w:instrText>SEQ Table \* ARABIC</w:instrText>
      </w:r>
      <w:r>
        <w:fldChar w:fldCharType="separate"/>
      </w:r>
      <w:r w:rsidR="003A3B69">
        <w:rPr>
          <w:noProof/>
        </w:rPr>
        <w:t>10</w:t>
      </w:r>
      <w:r>
        <w:fldChar w:fldCharType="end"/>
      </w:r>
      <w:bookmarkEnd w:id="73"/>
      <w:r>
        <w:t>:</w:t>
      </w:r>
      <w:r w:rsidR="007E3114">
        <w:t xml:space="preserve"> </w:t>
      </w:r>
      <w:r w:rsidRPr="004909E6">
        <w:t>25 year survival in the selpercatinib arm, and BSC arm varying the OS HR and OS extrapolation</w:t>
      </w:r>
    </w:p>
    <w:tbl>
      <w:tblPr>
        <w:tblStyle w:val="ASDTable1"/>
        <w:tblW w:w="5000" w:type="pct"/>
        <w:tblLayout w:type="fixed"/>
        <w:tblLook w:val="04A0" w:firstRow="1" w:lastRow="0" w:firstColumn="1" w:lastColumn="0" w:noHBand="0" w:noVBand="1"/>
        <w:tblCaption w:val="Table 10: 25 year survival in the selpercatinib arm, and BSC arm varying the OS HR and OS extrapolation"/>
      </w:tblPr>
      <w:tblGrid>
        <w:gridCol w:w="1804"/>
        <w:gridCol w:w="1250"/>
        <w:gridCol w:w="1441"/>
        <w:gridCol w:w="1890"/>
        <w:gridCol w:w="2631"/>
      </w:tblGrid>
      <w:tr w:rsidR="002F03F5" w:rsidRPr="009F2AA4" w14:paraId="3C781157" w14:textId="77777777" w:rsidTr="00173793">
        <w:trPr>
          <w:cantSplit/>
        </w:trPr>
        <w:tc>
          <w:tcPr>
            <w:tcW w:w="1806" w:type="dxa"/>
            <w:vMerge w:val="restart"/>
            <w:vAlign w:val="bottom"/>
          </w:tcPr>
          <w:p w14:paraId="3C781155" w14:textId="77777777" w:rsidR="002F03F5" w:rsidRPr="009F2AA4" w:rsidRDefault="008F23FF" w:rsidP="00921FF3">
            <w:pPr>
              <w:pStyle w:val="TableRowHeader"/>
              <w:keepNext/>
              <w:keepLines/>
              <w:widowControl/>
              <w:jc w:val="left"/>
              <w:rPr>
                <w:iCs/>
              </w:rPr>
            </w:pPr>
            <w:r w:rsidRPr="009F2AA4">
              <w:rPr>
                <w:rFonts w:eastAsia="Times New Roman" w:cs="Times New Roman"/>
                <w:iCs/>
              </w:rPr>
              <w:t xml:space="preserve">OS extrapolation </w:t>
            </w:r>
          </w:p>
        </w:tc>
        <w:tc>
          <w:tcPr>
            <w:tcW w:w="7220" w:type="dxa"/>
            <w:gridSpan w:val="4"/>
          </w:tcPr>
          <w:p w14:paraId="3C781156" w14:textId="77777777" w:rsidR="002F03F5" w:rsidRPr="009F2AA4" w:rsidRDefault="008F23FF" w:rsidP="00921FF3">
            <w:pPr>
              <w:pStyle w:val="TableRowHeader"/>
              <w:keepNext/>
              <w:keepLines/>
              <w:widowControl/>
              <w:rPr>
                <w:iCs/>
              </w:rPr>
            </w:pPr>
            <w:r w:rsidRPr="009F2AA4">
              <w:rPr>
                <w:rFonts w:eastAsia="Times New Roman" w:cs="Times New Roman"/>
                <w:iCs/>
              </w:rPr>
              <w:t xml:space="preserve">% Alive at 25 years </w:t>
            </w:r>
          </w:p>
        </w:tc>
      </w:tr>
      <w:tr w:rsidR="002F03F5" w:rsidRPr="009F2AA4" w14:paraId="3C78115B" w14:textId="77777777" w:rsidTr="00173793">
        <w:trPr>
          <w:cantSplit/>
        </w:trPr>
        <w:tc>
          <w:tcPr>
            <w:tcW w:w="1806" w:type="dxa"/>
            <w:vMerge/>
          </w:tcPr>
          <w:p w14:paraId="3C781158" w14:textId="77777777" w:rsidR="002F03F5" w:rsidRPr="009F2AA4" w:rsidRDefault="002F03F5" w:rsidP="00921FF3">
            <w:pPr>
              <w:pStyle w:val="TableRowHeader"/>
              <w:keepNext/>
              <w:keepLines/>
              <w:widowControl/>
              <w:rPr>
                <w:iCs/>
              </w:rPr>
            </w:pPr>
          </w:p>
        </w:tc>
        <w:tc>
          <w:tcPr>
            <w:tcW w:w="1251" w:type="dxa"/>
            <w:vMerge w:val="restart"/>
            <w:vAlign w:val="center"/>
          </w:tcPr>
          <w:p w14:paraId="3C781159" w14:textId="77777777" w:rsidR="002F03F5" w:rsidRPr="009F2AA4" w:rsidRDefault="008F23FF" w:rsidP="00921FF3">
            <w:pPr>
              <w:pStyle w:val="TableRowHeader"/>
              <w:keepNext/>
              <w:keepLines/>
              <w:widowControl/>
              <w:rPr>
                <w:iCs/>
              </w:rPr>
            </w:pPr>
            <w:r w:rsidRPr="009F2AA4">
              <w:rPr>
                <w:rFonts w:eastAsia="Times New Roman" w:cs="Times New Roman"/>
                <w:iCs/>
              </w:rPr>
              <w:t>Selpercatinib</w:t>
            </w:r>
          </w:p>
        </w:tc>
        <w:tc>
          <w:tcPr>
            <w:tcW w:w="5969" w:type="dxa"/>
            <w:gridSpan w:val="3"/>
            <w:vAlign w:val="center"/>
          </w:tcPr>
          <w:p w14:paraId="3C78115A" w14:textId="77777777" w:rsidR="002F03F5" w:rsidRPr="009F2AA4" w:rsidRDefault="008F23FF" w:rsidP="00921FF3">
            <w:pPr>
              <w:pStyle w:val="TableRowHeader"/>
              <w:keepNext/>
              <w:keepLines/>
              <w:widowControl/>
              <w:rPr>
                <w:iCs/>
              </w:rPr>
            </w:pPr>
            <w:r w:rsidRPr="009F2AA4">
              <w:rPr>
                <w:rFonts w:eastAsia="Times New Roman" w:cs="Times New Roman"/>
                <w:iCs/>
              </w:rPr>
              <w:t>BSC</w:t>
            </w:r>
          </w:p>
        </w:tc>
      </w:tr>
      <w:tr w:rsidR="002F03F5" w:rsidRPr="009F2AA4" w14:paraId="3C781162" w14:textId="77777777" w:rsidTr="00173793">
        <w:trPr>
          <w:cantSplit/>
        </w:trPr>
        <w:tc>
          <w:tcPr>
            <w:tcW w:w="1806" w:type="dxa"/>
            <w:vMerge/>
          </w:tcPr>
          <w:p w14:paraId="3C78115C" w14:textId="77777777" w:rsidR="002F03F5" w:rsidRPr="009F2AA4" w:rsidRDefault="002F03F5" w:rsidP="00921FF3">
            <w:pPr>
              <w:pStyle w:val="TableRowHeader"/>
              <w:keepNext/>
              <w:keepLines/>
              <w:widowControl/>
              <w:rPr>
                <w:iCs/>
              </w:rPr>
            </w:pPr>
          </w:p>
        </w:tc>
        <w:tc>
          <w:tcPr>
            <w:tcW w:w="1251" w:type="dxa"/>
            <w:vMerge/>
            <w:vAlign w:val="center"/>
          </w:tcPr>
          <w:p w14:paraId="3C78115D" w14:textId="77777777" w:rsidR="002F03F5" w:rsidRPr="009F2AA4" w:rsidRDefault="002F03F5" w:rsidP="00921FF3">
            <w:pPr>
              <w:pStyle w:val="TableRowHeader"/>
              <w:keepNext/>
              <w:keepLines/>
              <w:widowControl/>
              <w:rPr>
                <w:iCs/>
              </w:rPr>
            </w:pPr>
          </w:p>
        </w:tc>
        <w:tc>
          <w:tcPr>
            <w:tcW w:w="1443" w:type="dxa"/>
            <w:vAlign w:val="center"/>
          </w:tcPr>
          <w:p w14:paraId="3C78115E" w14:textId="77777777" w:rsidR="002F03F5" w:rsidRPr="00B73859" w:rsidRDefault="008F23FF" w:rsidP="00921FF3">
            <w:pPr>
              <w:pStyle w:val="TableRowHeader"/>
              <w:keepNext/>
              <w:keepLines/>
              <w:widowControl/>
              <w:rPr>
                <w:lang w:val="pt-BR"/>
              </w:rPr>
            </w:pPr>
            <w:r w:rsidRPr="00B73859">
              <w:rPr>
                <w:rFonts w:eastAsia="Times New Roman" w:cs="Times New Roman"/>
                <w:lang w:val="pt-BR"/>
              </w:rPr>
              <w:t>OS HR = 0.22</w:t>
            </w:r>
            <w:r w:rsidRPr="00B73859">
              <w:rPr>
                <w:rFonts w:eastAsia="Times New Roman" w:cs="Times New Roman"/>
                <w:vertAlign w:val="superscript"/>
                <w:lang w:val="pt-BR"/>
              </w:rPr>
              <w:t>a</w:t>
            </w:r>
            <w:r w:rsidRPr="00B73859">
              <w:rPr>
                <w:rFonts w:eastAsia="Times New Roman" w:cs="Times New Roman"/>
                <w:lang w:val="pt-BR"/>
              </w:rPr>
              <w:t xml:space="preserve"> (base case)</w:t>
            </w:r>
          </w:p>
        </w:tc>
        <w:tc>
          <w:tcPr>
            <w:tcW w:w="1892" w:type="dxa"/>
            <w:vAlign w:val="center"/>
          </w:tcPr>
          <w:p w14:paraId="3C78115F" w14:textId="77777777" w:rsidR="002F03F5" w:rsidRPr="009F2AA4" w:rsidRDefault="008F23FF" w:rsidP="00921FF3">
            <w:pPr>
              <w:pStyle w:val="TableRowHeader"/>
              <w:keepNext/>
              <w:keepLines/>
              <w:widowControl/>
              <w:rPr>
                <w:iCs/>
              </w:rPr>
            </w:pPr>
            <w:r w:rsidRPr="009F2AA4">
              <w:rPr>
                <w:rFonts w:eastAsia="Times New Roman" w:cs="Times New Roman"/>
                <w:iCs/>
              </w:rPr>
              <w:t>OS HR = 0.275</w:t>
            </w:r>
            <w:r w:rsidRPr="009F2AA4">
              <w:rPr>
                <w:rFonts w:eastAsia="Times New Roman" w:cs="Times New Roman"/>
                <w:iCs/>
                <w:vertAlign w:val="superscript"/>
              </w:rPr>
              <w:t>b</w:t>
            </w:r>
            <w:r w:rsidRPr="009F2AA4">
              <w:rPr>
                <w:rFonts w:eastAsia="Times New Roman" w:cs="Times New Roman"/>
                <w:iCs/>
              </w:rPr>
              <w:t xml:space="preserve"> (LIBRETTO-531)</w:t>
            </w:r>
          </w:p>
        </w:tc>
        <w:tc>
          <w:tcPr>
            <w:tcW w:w="2634" w:type="dxa"/>
            <w:vAlign w:val="center"/>
          </w:tcPr>
          <w:p w14:paraId="3C781160" w14:textId="77777777" w:rsidR="002F03F5" w:rsidRPr="009F2AA4" w:rsidRDefault="008F23FF" w:rsidP="00921FF3">
            <w:pPr>
              <w:pStyle w:val="TableRowHeader"/>
              <w:keepNext/>
              <w:keepLines/>
              <w:widowControl/>
              <w:rPr>
                <w:iCs/>
              </w:rPr>
            </w:pPr>
            <w:r w:rsidRPr="009F2AA4">
              <w:rPr>
                <w:rFonts w:eastAsia="Times New Roman" w:cs="Times New Roman"/>
                <w:iCs/>
              </w:rPr>
              <w:t>OS HR = 0.608</w:t>
            </w:r>
            <w:r w:rsidRPr="009F2AA4">
              <w:rPr>
                <w:rFonts w:eastAsia="Times New Roman" w:cs="Times New Roman"/>
                <w:iCs/>
                <w:vertAlign w:val="superscript"/>
              </w:rPr>
              <w:t>c</w:t>
            </w:r>
          </w:p>
          <w:p w14:paraId="3C781161" w14:textId="77777777" w:rsidR="002F03F5" w:rsidRPr="009F2AA4" w:rsidRDefault="008F23FF" w:rsidP="00921FF3">
            <w:pPr>
              <w:pStyle w:val="TableRowHeader"/>
              <w:keepNext/>
              <w:keepLines/>
              <w:widowControl/>
              <w:rPr>
                <w:iCs/>
              </w:rPr>
            </w:pPr>
            <w:r w:rsidRPr="009F2AA4">
              <w:rPr>
                <w:rFonts w:eastAsia="Times New Roman" w:cs="Times New Roman"/>
                <w:iCs/>
              </w:rPr>
              <w:t>(Upper 95% CI LIBRETTO-531)</w:t>
            </w:r>
          </w:p>
        </w:tc>
      </w:tr>
      <w:tr w:rsidR="002F03F5" w:rsidRPr="009F2AA4" w14:paraId="3C781168" w14:textId="77777777" w:rsidTr="00173793">
        <w:trPr>
          <w:cantSplit/>
        </w:trPr>
        <w:tc>
          <w:tcPr>
            <w:tcW w:w="1806" w:type="dxa"/>
          </w:tcPr>
          <w:p w14:paraId="3C781163" w14:textId="77777777" w:rsidR="002F03F5" w:rsidRPr="009F2AA4" w:rsidRDefault="008F23FF" w:rsidP="00921FF3">
            <w:pPr>
              <w:pStyle w:val="TableText"/>
              <w:keepNext/>
              <w:keepLines/>
              <w:widowControl/>
              <w:rPr>
                <w:iCs/>
              </w:rPr>
            </w:pPr>
            <w:r w:rsidRPr="009F2AA4">
              <w:rPr>
                <w:rFonts w:eastAsia="Times New Roman" w:cs="Times New Roman"/>
                <w:iCs/>
              </w:rPr>
              <w:t>Exponential</w:t>
            </w:r>
          </w:p>
        </w:tc>
        <w:tc>
          <w:tcPr>
            <w:tcW w:w="1251" w:type="dxa"/>
          </w:tcPr>
          <w:p w14:paraId="3C781164" w14:textId="77777777" w:rsidR="002F03F5" w:rsidRPr="009F2AA4" w:rsidRDefault="008F23FF" w:rsidP="00921FF3">
            <w:pPr>
              <w:pStyle w:val="TableText"/>
              <w:keepNext/>
              <w:keepLines/>
              <w:widowControl/>
              <w:jc w:val="center"/>
              <w:rPr>
                <w:iCs/>
              </w:rPr>
            </w:pPr>
            <w:r w:rsidRPr="009F2AA4">
              <w:rPr>
                <w:rFonts w:eastAsia="Times New Roman" w:cs="Times New Roman"/>
                <w:iCs/>
              </w:rPr>
              <w:t>51%</w:t>
            </w:r>
          </w:p>
        </w:tc>
        <w:tc>
          <w:tcPr>
            <w:tcW w:w="1443" w:type="dxa"/>
          </w:tcPr>
          <w:p w14:paraId="3C781165" w14:textId="77777777" w:rsidR="002F03F5" w:rsidRPr="009F2AA4" w:rsidRDefault="008F23FF" w:rsidP="00921FF3">
            <w:pPr>
              <w:pStyle w:val="TableText"/>
              <w:keepNext/>
              <w:keepLines/>
              <w:widowControl/>
              <w:jc w:val="center"/>
              <w:rPr>
                <w:iCs/>
              </w:rPr>
            </w:pPr>
            <w:r w:rsidRPr="009F2AA4">
              <w:rPr>
                <w:rFonts w:eastAsia="Times New Roman" w:cs="Times New Roman"/>
                <w:iCs/>
              </w:rPr>
              <w:t>5%</w:t>
            </w:r>
          </w:p>
        </w:tc>
        <w:tc>
          <w:tcPr>
            <w:tcW w:w="1892" w:type="dxa"/>
          </w:tcPr>
          <w:p w14:paraId="3C781166" w14:textId="77777777" w:rsidR="002F03F5" w:rsidRPr="009F2AA4" w:rsidRDefault="008F23FF" w:rsidP="00921FF3">
            <w:pPr>
              <w:pStyle w:val="TableText"/>
              <w:keepNext/>
              <w:keepLines/>
              <w:widowControl/>
              <w:jc w:val="center"/>
              <w:rPr>
                <w:iCs/>
              </w:rPr>
            </w:pPr>
            <w:r w:rsidRPr="009F2AA4">
              <w:rPr>
                <w:rFonts w:eastAsia="Times New Roman" w:cs="Times New Roman"/>
                <w:iCs/>
              </w:rPr>
              <w:t>8.9%</w:t>
            </w:r>
          </w:p>
        </w:tc>
        <w:tc>
          <w:tcPr>
            <w:tcW w:w="2634" w:type="dxa"/>
            <w:shd w:val="clear" w:color="auto" w:fill="E7E6E6" w:themeFill="background2"/>
          </w:tcPr>
          <w:p w14:paraId="3C781167" w14:textId="77777777" w:rsidR="002F03F5" w:rsidRPr="009F2AA4" w:rsidRDefault="008F23FF" w:rsidP="00921FF3">
            <w:pPr>
              <w:pStyle w:val="TableText"/>
              <w:keepNext/>
              <w:keepLines/>
              <w:widowControl/>
              <w:jc w:val="center"/>
              <w:rPr>
                <w:iCs/>
              </w:rPr>
            </w:pPr>
            <w:r w:rsidRPr="009F2AA4">
              <w:rPr>
                <w:rFonts w:eastAsia="Times New Roman" w:cs="Times New Roman"/>
                <w:iCs/>
              </w:rPr>
              <w:t>33.4%</w:t>
            </w:r>
          </w:p>
        </w:tc>
      </w:tr>
      <w:tr w:rsidR="002F03F5" w:rsidRPr="009F2AA4" w14:paraId="3C78116E" w14:textId="77777777" w:rsidTr="00173793">
        <w:trPr>
          <w:cantSplit/>
        </w:trPr>
        <w:tc>
          <w:tcPr>
            <w:tcW w:w="1806" w:type="dxa"/>
          </w:tcPr>
          <w:p w14:paraId="3C781169" w14:textId="77777777" w:rsidR="002F03F5" w:rsidRPr="009F2AA4" w:rsidRDefault="008F23FF" w:rsidP="00921FF3">
            <w:pPr>
              <w:pStyle w:val="TableText"/>
              <w:keepNext/>
              <w:keepLines/>
              <w:widowControl/>
              <w:rPr>
                <w:iCs/>
              </w:rPr>
            </w:pPr>
            <w:r w:rsidRPr="009F2AA4">
              <w:rPr>
                <w:rFonts w:eastAsia="Times New Roman" w:cs="Times New Roman"/>
                <w:iCs/>
              </w:rPr>
              <w:t>Weibull</w:t>
            </w:r>
          </w:p>
        </w:tc>
        <w:tc>
          <w:tcPr>
            <w:tcW w:w="1251" w:type="dxa"/>
          </w:tcPr>
          <w:p w14:paraId="3C78116A" w14:textId="77777777" w:rsidR="002F03F5" w:rsidRPr="009F2AA4" w:rsidRDefault="008F23FF" w:rsidP="00921FF3">
            <w:pPr>
              <w:pStyle w:val="TableText"/>
              <w:keepNext/>
              <w:keepLines/>
              <w:widowControl/>
              <w:jc w:val="center"/>
              <w:rPr>
                <w:iCs/>
              </w:rPr>
            </w:pPr>
            <w:r w:rsidRPr="009F2AA4">
              <w:rPr>
                <w:rFonts w:eastAsia="Times New Roman" w:cs="Times New Roman"/>
                <w:iCs/>
              </w:rPr>
              <w:t>36%</w:t>
            </w:r>
          </w:p>
        </w:tc>
        <w:tc>
          <w:tcPr>
            <w:tcW w:w="1443" w:type="dxa"/>
          </w:tcPr>
          <w:p w14:paraId="3C78116B" w14:textId="77777777" w:rsidR="002F03F5" w:rsidRPr="009F2AA4" w:rsidRDefault="008F23FF" w:rsidP="00921FF3">
            <w:pPr>
              <w:pStyle w:val="TableText"/>
              <w:keepNext/>
              <w:keepLines/>
              <w:widowControl/>
              <w:jc w:val="center"/>
              <w:rPr>
                <w:iCs/>
              </w:rPr>
            </w:pPr>
            <w:r w:rsidRPr="009F2AA4">
              <w:rPr>
                <w:rFonts w:eastAsia="Times New Roman" w:cs="Times New Roman"/>
                <w:iCs/>
              </w:rPr>
              <w:t>1%</w:t>
            </w:r>
          </w:p>
        </w:tc>
        <w:tc>
          <w:tcPr>
            <w:tcW w:w="1892" w:type="dxa"/>
          </w:tcPr>
          <w:p w14:paraId="3C78116C" w14:textId="77777777" w:rsidR="002F03F5" w:rsidRPr="009F2AA4" w:rsidRDefault="008F23FF" w:rsidP="00921FF3">
            <w:pPr>
              <w:pStyle w:val="TableText"/>
              <w:keepNext/>
              <w:keepLines/>
              <w:widowControl/>
              <w:jc w:val="center"/>
              <w:rPr>
                <w:iCs/>
              </w:rPr>
            </w:pPr>
            <w:r w:rsidRPr="009F2AA4">
              <w:rPr>
                <w:rFonts w:eastAsia="Times New Roman" w:cs="Times New Roman"/>
                <w:iCs/>
              </w:rPr>
              <w:t>2.3%</w:t>
            </w:r>
          </w:p>
        </w:tc>
        <w:tc>
          <w:tcPr>
            <w:tcW w:w="2634" w:type="dxa"/>
          </w:tcPr>
          <w:p w14:paraId="3C78116D" w14:textId="77777777" w:rsidR="002F03F5" w:rsidRPr="009F2AA4" w:rsidRDefault="008F23FF" w:rsidP="00921FF3">
            <w:pPr>
              <w:pStyle w:val="TableText"/>
              <w:keepNext/>
              <w:keepLines/>
              <w:widowControl/>
              <w:jc w:val="center"/>
              <w:rPr>
                <w:iCs/>
              </w:rPr>
            </w:pPr>
            <w:r w:rsidRPr="009F2AA4">
              <w:rPr>
                <w:rFonts w:eastAsia="Times New Roman" w:cs="Times New Roman"/>
                <w:iCs/>
              </w:rPr>
              <w:t>18.3%</w:t>
            </w:r>
          </w:p>
        </w:tc>
      </w:tr>
      <w:tr w:rsidR="002F03F5" w:rsidRPr="009F2AA4" w14:paraId="3C781174" w14:textId="77777777" w:rsidTr="00173793">
        <w:trPr>
          <w:cantSplit/>
        </w:trPr>
        <w:tc>
          <w:tcPr>
            <w:tcW w:w="1806" w:type="dxa"/>
          </w:tcPr>
          <w:p w14:paraId="3C78116F" w14:textId="77777777" w:rsidR="002F03F5" w:rsidRPr="009F2AA4" w:rsidRDefault="008F23FF" w:rsidP="00921FF3">
            <w:pPr>
              <w:pStyle w:val="TableText"/>
              <w:keepNext/>
              <w:keepLines/>
              <w:widowControl/>
              <w:rPr>
                <w:iCs/>
              </w:rPr>
            </w:pPr>
            <w:r w:rsidRPr="009F2AA4">
              <w:rPr>
                <w:rFonts w:eastAsia="Times New Roman" w:cs="Times New Roman"/>
                <w:iCs/>
              </w:rPr>
              <w:t>Log normal</w:t>
            </w:r>
          </w:p>
        </w:tc>
        <w:tc>
          <w:tcPr>
            <w:tcW w:w="1251" w:type="dxa"/>
          </w:tcPr>
          <w:p w14:paraId="3C781170" w14:textId="77777777" w:rsidR="002F03F5" w:rsidRPr="009F2AA4" w:rsidRDefault="008F23FF" w:rsidP="00921FF3">
            <w:pPr>
              <w:pStyle w:val="TableText"/>
              <w:keepNext/>
              <w:keepLines/>
              <w:widowControl/>
              <w:jc w:val="center"/>
              <w:rPr>
                <w:iCs/>
              </w:rPr>
            </w:pPr>
            <w:r w:rsidRPr="009F2AA4">
              <w:rPr>
                <w:rFonts w:eastAsia="Times New Roman" w:cs="Times New Roman"/>
                <w:iCs/>
              </w:rPr>
              <w:t>57%</w:t>
            </w:r>
          </w:p>
        </w:tc>
        <w:tc>
          <w:tcPr>
            <w:tcW w:w="1443" w:type="dxa"/>
          </w:tcPr>
          <w:p w14:paraId="3C781171" w14:textId="77777777" w:rsidR="002F03F5" w:rsidRPr="009F2AA4" w:rsidRDefault="008F23FF" w:rsidP="00921FF3">
            <w:pPr>
              <w:pStyle w:val="TableText"/>
              <w:keepNext/>
              <w:keepLines/>
              <w:widowControl/>
              <w:jc w:val="center"/>
              <w:rPr>
                <w:iCs/>
              </w:rPr>
            </w:pPr>
            <w:r w:rsidRPr="009F2AA4">
              <w:rPr>
                <w:rFonts w:eastAsia="Times New Roman" w:cs="Times New Roman"/>
                <w:iCs/>
              </w:rPr>
              <w:t>10%</w:t>
            </w:r>
          </w:p>
        </w:tc>
        <w:tc>
          <w:tcPr>
            <w:tcW w:w="1892" w:type="dxa"/>
          </w:tcPr>
          <w:p w14:paraId="3C781172" w14:textId="77777777" w:rsidR="002F03F5" w:rsidRPr="009F2AA4" w:rsidRDefault="008F23FF" w:rsidP="00921FF3">
            <w:pPr>
              <w:pStyle w:val="TableText"/>
              <w:keepNext/>
              <w:keepLines/>
              <w:widowControl/>
              <w:jc w:val="center"/>
              <w:rPr>
                <w:iCs/>
              </w:rPr>
            </w:pPr>
            <w:r w:rsidRPr="009F2AA4">
              <w:rPr>
                <w:rFonts w:eastAsia="Times New Roman" w:cs="Times New Roman"/>
                <w:iCs/>
              </w:rPr>
              <w:t>15.4%</w:t>
            </w:r>
          </w:p>
        </w:tc>
        <w:tc>
          <w:tcPr>
            <w:tcW w:w="2634" w:type="dxa"/>
          </w:tcPr>
          <w:p w14:paraId="3C781173" w14:textId="77777777" w:rsidR="002F03F5" w:rsidRPr="009F2AA4" w:rsidRDefault="008F23FF" w:rsidP="00921FF3">
            <w:pPr>
              <w:pStyle w:val="TableText"/>
              <w:keepNext/>
              <w:keepLines/>
              <w:widowControl/>
              <w:jc w:val="center"/>
              <w:rPr>
                <w:iCs/>
              </w:rPr>
            </w:pPr>
            <w:r w:rsidRPr="009F2AA4">
              <w:rPr>
                <w:rFonts w:eastAsia="Times New Roman" w:cs="Times New Roman"/>
                <w:iCs/>
              </w:rPr>
              <w:t>42.3%</w:t>
            </w:r>
          </w:p>
        </w:tc>
      </w:tr>
      <w:tr w:rsidR="002F03F5" w:rsidRPr="009F2AA4" w14:paraId="3C78117A" w14:textId="77777777" w:rsidTr="00173793">
        <w:trPr>
          <w:cantSplit/>
        </w:trPr>
        <w:tc>
          <w:tcPr>
            <w:tcW w:w="1806" w:type="dxa"/>
          </w:tcPr>
          <w:p w14:paraId="3C781175" w14:textId="77777777" w:rsidR="002F03F5" w:rsidRPr="009F2AA4" w:rsidRDefault="008F23FF" w:rsidP="00921FF3">
            <w:pPr>
              <w:pStyle w:val="TableText"/>
              <w:keepNext/>
              <w:keepLines/>
              <w:widowControl/>
              <w:rPr>
                <w:iCs/>
              </w:rPr>
            </w:pPr>
            <w:r w:rsidRPr="009F2AA4">
              <w:rPr>
                <w:rFonts w:eastAsia="Times New Roman" w:cs="Times New Roman"/>
                <w:iCs/>
              </w:rPr>
              <w:t>Log logistic</w:t>
            </w:r>
          </w:p>
        </w:tc>
        <w:tc>
          <w:tcPr>
            <w:tcW w:w="1251" w:type="dxa"/>
          </w:tcPr>
          <w:p w14:paraId="3C781176" w14:textId="77777777" w:rsidR="002F03F5" w:rsidRPr="009F2AA4" w:rsidRDefault="008F23FF" w:rsidP="00921FF3">
            <w:pPr>
              <w:pStyle w:val="TableText"/>
              <w:keepNext/>
              <w:keepLines/>
              <w:widowControl/>
              <w:jc w:val="center"/>
              <w:rPr>
                <w:iCs/>
              </w:rPr>
            </w:pPr>
            <w:r w:rsidRPr="009F2AA4">
              <w:rPr>
                <w:rFonts w:eastAsia="Times New Roman" w:cs="Times New Roman"/>
                <w:iCs/>
              </w:rPr>
              <w:t>46%</w:t>
            </w:r>
          </w:p>
        </w:tc>
        <w:tc>
          <w:tcPr>
            <w:tcW w:w="1443" w:type="dxa"/>
          </w:tcPr>
          <w:p w14:paraId="3C781177" w14:textId="77777777" w:rsidR="002F03F5" w:rsidRPr="009F2AA4" w:rsidRDefault="008F23FF" w:rsidP="00921FF3">
            <w:pPr>
              <w:pStyle w:val="TableText"/>
              <w:keepNext/>
              <w:keepLines/>
              <w:widowControl/>
              <w:jc w:val="center"/>
              <w:rPr>
                <w:iCs/>
              </w:rPr>
            </w:pPr>
            <w:r w:rsidRPr="009F2AA4">
              <w:rPr>
                <w:rFonts w:eastAsia="Times New Roman" w:cs="Times New Roman"/>
                <w:iCs/>
              </w:rPr>
              <w:t>3%</w:t>
            </w:r>
          </w:p>
        </w:tc>
        <w:tc>
          <w:tcPr>
            <w:tcW w:w="1892" w:type="dxa"/>
          </w:tcPr>
          <w:p w14:paraId="3C781178" w14:textId="77777777" w:rsidR="002F03F5" w:rsidRPr="009F2AA4" w:rsidRDefault="008F23FF" w:rsidP="00921FF3">
            <w:pPr>
              <w:pStyle w:val="TableText"/>
              <w:keepNext/>
              <w:keepLines/>
              <w:widowControl/>
              <w:jc w:val="center"/>
              <w:rPr>
                <w:iCs/>
              </w:rPr>
            </w:pPr>
            <w:r w:rsidRPr="009F2AA4">
              <w:rPr>
                <w:rFonts w:eastAsia="Times New Roman" w:cs="Times New Roman"/>
                <w:iCs/>
              </w:rPr>
              <w:t>6.0%</w:t>
            </w:r>
          </w:p>
        </w:tc>
        <w:tc>
          <w:tcPr>
            <w:tcW w:w="2634" w:type="dxa"/>
            <w:shd w:val="clear" w:color="auto" w:fill="E7E6E6" w:themeFill="background2"/>
          </w:tcPr>
          <w:p w14:paraId="3C781179" w14:textId="77777777" w:rsidR="002F03F5" w:rsidRPr="009F2AA4" w:rsidRDefault="008F23FF" w:rsidP="00921FF3">
            <w:pPr>
              <w:pStyle w:val="TableText"/>
              <w:keepNext/>
              <w:keepLines/>
              <w:widowControl/>
              <w:jc w:val="center"/>
              <w:rPr>
                <w:iCs/>
              </w:rPr>
            </w:pPr>
            <w:r w:rsidRPr="009F2AA4">
              <w:rPr>
                <w:rFonts w:eastAsia="Times New Roman" w:cs="Times New Roman"/>
                <w:iCs/>
              </w:rPr>
              <w:t>28.1%</w:t>
            </w:r>
          </w:p>
        </w:tc>
      </w:tr>
      <w:tr w:rsidR="002F03F5" w:rsidRPr="009F2AA4" w14:paraId="3C781180" w14:textId="77777777" w:rsidTr="00173793">
        <w:trPr>
          <w:cantSplit/>
        </w:trPr>
        <w:tc>
          <w:tcPr>
            <w:tcW w:w="1806" w:type="dxa"/>
          </w:tcPr>
          <w:p w14:paraId="3C78117B" w14:textId="77777777" w:rsidR="002F03F5" w:rsidRPr="009F2AA4" w:rsidRDefault="008F23FF" w:rsidP="00921FF3">
            <w:pPr>
              <w:pStyle w:val="TableText"/>
              <w:keepNext/>
              <w:keepLines/>
              <w:widowControl/>
              <w:rPr>
                <w:iCs/>
              </w:rPr>
            </w:pPr>
            <w:r w:rsidRPr="009F2AA4">
              <w:rPr>
                <w:rFonts w:eastAsia="Times New Roman" w:cs="Times New Roman"/>
                <w:iCs/>
              </w:rPr>
              <w:t>Gompertz</w:t>
            </w:r>
          </w:p>
        </w:tc>
        <w:tc>
          <w:tcPr>
            <w:tcW w:w="1251" w:type="dxa"/>
          </w:tcPr>
          <w:p w14:paraId="3C78117C" w14:textId="77777777" w:rsidR="002F03F5" w:rsidRPr="009F2AA4" w:rsidRDefault="008F23FF" w:rsidP="00921FF3">
            <w:pPr>
              <w:pStyle w:val="TableText"/>
              <w:keepNext/>
              <w:keepLines/>
              <w:widowControl/>
              <w:jc w:val="center"/>
              <w:rPr>
                <w:iCs/>
              </w:rPr>
            </w:pPr>
            <w:r w:rsidRPr="009F2AA4">
              <w:rPr>
                <w:rFonts w:eastAsia="Times New Roman" w:cs="Times New Roman"/>
                <w:iCs/>
              </w:rPr>
              <w:t>0%</w:t>
            </w:r>
          </w:p>
        </w:tc>
        <w:tc>
          <w:tcPr>
            <w:tcW w:w="1443" w:type="dxa"/>
          </w:tcPr>
          <w:p w14:paraId="3C78117D" w14:textId="77777777" w:rsidR="002F03F5" w:rsidRPr="009F2AA4" w:rsidRDefault="008F23FF" w:rsidP="00921FF3">
            <w:pPr>
              <w:pStyle w:val="TableText"/>
              <w:keepNext/>
              <w:keepLines/>
              <w:widowControl/>
              <w:jc w:val="center"/>
              <w:rPr>
                <w:iCs/>
              </w:rPr>
            </w:pPr>
            <w:r w:rsidRPr="009F2AA4">
              <w:rPr>
                <w:rFonts w:eastAsia="Times New Roman" w:cs="Times New Roman"/>
                <w:iCs/>
              </w:rPr>
              <w:t>0%</w:t>
            </w:r>
          </w:p>
        </w:tc>
        <w:tc>
          <w:tcPr>
            <w:tcW w:w="1892" w:type="dxa"/>
          </w:tcPr>
          <w:p w14:paraId="3C78117E" w14:textId="77777777" w:rsidR="002F03F5" w:rsidRPr="009F2AA4" w:rsidRDefault="008F23FF" w:rsidP="00921FF3">
            <w:pPr>
              <w:pStyle w:val="TableText"/>
              <w:keepNext/>
              <w:keepLines/>
              <w:widowControl/>
              <w:jc w:val="center"/>
              <w:rPr>
                <w:iCs/>
              </w:rPr>
            </w:pPr>
            <w:r w:rsidRPr="009F2AA4">
              <w:rPr>
                <w:rFonts w:eastAsia="Times New Roman" w:cs="Times New Roman"/>
                <w:iCs/>
              </w:rPr>
              <w:t>0%</w:t>
            </w:r>
          </w:p>
        </w:tc>
        <w:tc>
          <w:tcPr>
            <w:tcW w:w="2634" w:type="dxa"/>
          </w:tcPr>
          <w:p w14:paraId="3C78117F" w14:textId="77777777" w:rsidR="002F03F5" w:rsidRPr="009F2AA4" w:rsidRDefault="008F23FF" w:rsidP="00921FF3">
            <w:pPr>
              <w:pStyle w:val="TableText"/>
              <w:keepNext/>
              <w:keepLines/>
              <w:widowControl/>
              <w:jc w:val="center"/>
              <w:rPr>
                <w:iCs/>
              </w:rPr>
            </w:pPr>
            <w:r w:rsidRPr="009F2AA4">
              <w:rPr>
                <w:rFonts w:eastAsia="Times New Roman" w:cs="Times New Roman"/>
                <w:iCs/>
              </w:rPr>
              <w:t>0%</w:t>
            </w:r>
          </w:p>
        </w:tc>
      </w:tr>
      <w:tr w:rsidR="002F03F5" w:rsidRPr="009F2AA4" w14:paraId="3C781186" w14:textId="77777777" w:rsidTr="00173793">
        <w:trPr>
          <w:cantSplit/>
        </w:trPr>
        <w:tc>
          <w:tcPr>
            <w:tcW w:w="1806" w:type="dxa"/>
          </w:tcPr>
          <w:p w14:paraId="3C781181" w14:textId="77777777" w:rsidR="002F03F5" w:rsidRPr="009F2AA4" w:rsidRDefault="008F23FF" w:rsidP="00921FF3">
            <w:pPr>
              <w:pStyle w:val="TableText"/>
              <w:keepNext/>
              <w:keepLines/>
              <w:widowControl/>
              <w:rPr>
                <w:iCs/>
              </w:rPr>
            </w:pPr>
            <w:r w:rsidRPr="009F2AA4">
              <w:rPr>
                <w:rFonts w:eastAsia="Times New Roman" w:cs="Times New Roman"/>
                <w:iCs/>
              </w:rPr>
              <w:t>Gamma</w:t>
            </w:r>
          </w:p>
        </w:tc>
        <w:tc>
          <w:tcPr>
            <w:tcW w:w="1251" w:type="dxa"/>
          </w:tcPr>
          <w:p w14:paraId="3C781182" w14:textId="77777777" w:rsidR="002F03F5" w:rsidRPr="009F2AA4" w:rsidRDefault="008F23FF" w:rsidP="00921FF3">
            <w:pPr>
              <w:pStyle w:val="TableText"/>
              <w:keepNext/>
              <w:keepLines/>
              <w:widowControl/>
              <w:jc w:val="center"/>
              <w:rPr>
                <w:iCs/>
              </w:rPr>
            </w:pPr>
            <w:r w:rsidRPr="009F2AA4">
              <w:rPr>
                <w:rFonts w:eastAsia="Times New Roman" w:cs="Times New Roman"/>
                <w:iCs/>
              </w:rPr>
              <w:t>47%</w:t>
            </w:r>
          </w:p>
        </w:tc>
        <w:tc>
          <w:tcPr>
            <w:tcW w:w="1443" w:type="dxa"/>
          </w:tcPr>
          <w:p w14:paraId="3C781183" w14:textId="77777777" w:rsidR="002F03F5" w:rsidRPr="009F2AA4" w:rsidRDefault="008F23FF" w:rsidP="00921FF3">
            <w:pPr>
              <w:pStyle w:val="TableText"/>
              <w:keepNext/>
              <w:keepLines/>
              <w:widowControl/>
              <w:jc w:val="center"/>
              <w:rPr>
                <w:iCs/>
              </w:rPr>
            </w:pPr>
            <w:r w:rsidRPr="009F2AA4">
              <w:rPr>
                <w:rFonts w:eastAsia="Times New Roman" w:cs="Times New Roman"/>
                <w:iCs/>
              </w:rPr>
              <w:t>3%</w:t>
            </w:r>
          </w:p>
        </w:tc>
        <w:tc>
          <w:tcPr>
            <w:tcW w:w="1892" w:type="dxa"/>
          </w:tcPr>
          <w:p w14:paraId="3C781184" w14:textId="77777777" w:rsidR="002F03F5" w:rsidRPr="009F2AA4" w:rsidRDefault="008F23FF" w:rsidP="00921FF3">
            <w:pPr>
              <w:pStyle w:val="TableText"/>
              <w:keepNext/>
              <w:keepLines/>
              <w:widowControl/>
              <w:jc w:val="center"/>
              <w:rPr>
                <w:iCs/>
              </w:rPr>
            </w:pPr>
            <w:r w:rsidRPr="009F2AA4">
              <w:rPr>
                <w:rFonts w:eastAsia="Times New Roman" w:cs="Times New Roman"/>
                <w:iCs/>
              </w:rPr>
              <w:t>0%</w:t>
            </w:r>
          </w:p>
        </w:tc>
        <w:tc>
          <w:tcPr>
            <w:tcW w:w="2634" w:type="dxa"/>
          </w:tcPr>
          <w:p w14:paraId="3C781185" w14:textId="77777777" w:rsidR="002F03F5" w:rsidRPr="009F2AA4" w:rsidRDefault="008F23FF" w:rsidP="00921FF3">
            <w:pPr>
              <w:pStyle w:val="TableText"/>
              <w:keepNext/>
              <w:keepLines/>
              <w:widowControl/>
              <w:jc w:val="center"/>
              <w:rPr>
                <w:iCs/>
              </w:rPr>
            </w:pPr>
            <w:r w:rsidRPr="009F2AA4">
              <w:rPr>
                <w:rFonts w:eastAsia="Times New Roman" w:cs="Times New Roman"/>
                <w:iCs/>
              </w:rPr>
              <w:t>20.5%</w:t>
            </w:r>
          </w:p>
        </w:tc>
      </w:tr>
      <w:tr w:rsidR="002F03F5" w:rsidRPr="009F2AA4" w14:paraId="3C78118C" w14:textId="77777777" w:rsidTr="00173793">
        <w:trPr>
          <w:cantSplit/>
        </w:trPr>
        <w:tc>
          <w:tcPr>
            <w:tcW w:w="1806" w:type="dxa"/>
          </w:tcPr>
          <w:p w14:paraId="3C781187" w14:textId="77777777" w:rsidR="002F03F5" w:rsidRPr="009F2AA4" w:rsidRDefault="008F23FF" w:rsidP="00921FF3">
            <w:pPr>
              <w:pStyle w:val="TableText"/>
              <w:keepNext/>
              <w:keepLines/>
              <w:widowControl/>
              <w:rPr>
                <w:iCs/>
              </w:rPr>
            </w:pPr>
            <w:r w:rsidRPr="009F2AA4">
              <w:rPr>
                <w:rFonts w:eastAsia="Times New Roman" w:cs="Times New Roman"/>
                <w:iCs/>
              </w:rPr>
              <w:t>Generalised gamma</w:t>
            </w:r>
          </w:p>
        </w:tc>
        <w:tc>
          <w:tcPr>
            <w:tcW w:w="1251" w:type="dxa"/>
          </w:tcPr>
          <w:p w14:paraId="3C781188" w14:textId="77777777" w:rsidR="002F03F5" w:rsidRPr="009F2AA4" w:rsidRDefault="008F23FF" w:rsidP="00921FF3">
            <w:pPr>
              <w:pStyle w:val="TableText"/>
              <w:keepNext/>
              <w:keepLines/>
              <w:widowControl/>
              <w:jc w:val="center"/>
              <w:rPr>
                <w:iCs/>
              </w:rPr>
            </w:pPr>
            <w:r w:rsidRPr="009F2AA4">
              <w:rPr>
                <w:rFonts w:eastAsia="Times New Roman" w:cs="Times New Roman"/>
                <w:iCs/>
              </w:rPr>
              <w:t>38%</w:t>
            </w:r>
          </w:p>
        </w:tc>
        <w:tc>
          <w:tcPr>
            <w:tcW w:w="1443" w:type="dxa"/>
          </w:tcPr>
          <w:p w14:paraId="3C781189" w14:textId="77777777" w:rsidR="002F03F5" w:rsidRPr="009F2AA4" w:rsidRDefault="008F23FF" w:rsidP="00921FF3">
            <w:pPr>
              <w:pStyle w:val="TableText"/>
              <w:keepNext/>
              <w:keepLines/>
              <w:widowControl/>
              <w:jc w:val="center"/>
              <w:rPr>
                <w:iCs/>
              </w:rPr>
            </w:pPr>
            <w:r w:rsidRPr="009F2AA4">
              <w:rPr>
                <w:rFonts w:eastAsia="Times New Roman" w:cs="Times New Roman"/>
                <w:iCs/>
              </w:rPr>
              <w:t>1%</w:t>
            </w:r>
          </w:p>
        </w:tc>
        <w:tc>
          <w:tcPr>
            <w:tcW w:w="1892" w:type="dxa"/>
          </w:tcPr>
          <w:p w14:paraId="3C78118A" w14:textId="77777777" w:rsidR="002F03F5" w:rsidRPr="009F2AA4" w:rsidRDefault="008F23FF" w:rsidP="00921FF3">
            <w:pPr>
              <w:pStyle w:val="TableText"/>
              <w:keepNext/>
              <w:keepLines/>
              <w:widowControl/>
              <w:jc w:val="center"/>
              <w:rPr>
                <w:iCs/>
              </w:rPr>
            </w:pPr>
            <w:r w:rsidRPr="009F2AA4">
              <w:rPr>
                <w:rFonts w:eastAsia="Times New Roman" w:cs="Times New Roman"/>
                <w:iCs/>
              </w:rPr>
              <w:t>6.4%</w:t>
            </w:r>
          </w:p>
        </w:tc>
        <w:tc>
          <w:tcPr>
            <w:tcW w:w="2634" w:type="dxa"/>
            <w:shd w:val="clear" w:color="auto" w:fill="E7E6E6" w:themeFill="background2"/>
          </w:tcPr>
          <w:p w14:paraId="3C78118B" w14:textId="77777777" w:rsidR="002F03F5" w:rsidRPr="009F2AA4" w:rsidRDefault="008F23FF" w:rsidP="00921FF3">
            <w:pPr>
              <w:pStyle w:val="TableText"/>
              <w:keepNext/>
              <w:keepLines/>
              <w:widowControl/>
              <w:jc w:val="center"/>
              <w:rPr>
                <w:iCs/>
              </w:rPr>
            </w:pPr>
            <w:r w:rsidRPr="009F2AA4">
              <w:rPr>
                <w:rFonts w:eastAsia="Times New Roman" w:cs="Times New Roman"/>
                <w:iCs/>
              </w:rPr>
              <w:t>28.8%</w:t>
            </w:r>
          </w:p>
        </w:tc>
      </w:tr>
      <w:tr w:rsidR="002F03F5" w:rsidRPr="009F2AA4" w14:paraId="3C781192" w14:textId="77777777" w:rsidTr="00173793">
        <w:trPr>
          <w:cantSplit/>
        </w:trPr>
        <w:tc>
          <w:tcPr>
            <w:tcW w:w="1806" w:type="dxa"/>
          </w:tcPr>
          <w:p w14:paraId="3C78118D" w14:textId="77777777" w:rsidR="002F03F5" w:rsidRPr="009F2AA4" w:rsidRDefault="008F23FF" w:rsidP="00921FF3">
            <w:pPr>
              <w:pStyle w:val="TableText"/>
              <w:keepNext/>
              <w:keepLines/>
              <w:widowControl/>
              <w:rPr>
                <w:iCs/>
              </w:rPr>
            </w:pPr>
            <w:r w:rsidRPr="009F2AA4">
              <w:rPr>
                <w:rFonts w:eastAsia="Times New Roman" w:cs="Times New Roman"/>
                <w:iCs/>
              </w:rPr>
              <w:t>Spline/knot=1</w:t>
            </w:r>
          </w:p>
        </w:tc>
        <w:tc>
          <w:tcPr>
            <w:tcW w:w="1251" w:type="dxa"/>
          </w:tcPr>
          <w:p w14:paraId="3C78118E" w14:textId="77777777" w:rsidR="002F03F5" w:rsidRPr="009F2AA4" w:rsidRDefault="008F23FF" w:rsidP="00921FF3">
            <w:pPr>
              <w:pStyle w:val="TableText"/>
              <w:keepNext/>
              <w:keepLines/>
              <w:widowControl/>
              <w:jc w:val="center"/>
              <w:rPr>
                <w:iCs/>
              </w:rPr>
            </w:pPr>
            <w:r w:rsidRPr="009F2AA4">
              <w:rPr>
                <w:rFonts w:eastAsia="Times New Roman" w:cs="Times New Roman"/>
                <w:iCs/>
              </w:rPr>
              <w:t>44%</w:t>
            </w:r>
          </w:p>
        </w:tc>
        <w:tc>
          <w:tcPr>
            <w:tcW w:w="1443" w:type="dxa"/>
          </w:tcPr>
          <w:p w14:paraId="3C78118F" w14:textId="77777777" w:rsidR="002F03F5" w:rsidRPr="009F2AA4" w:rsidRDefault="008F23FF" w:rsidP="00921FF3">
            <w:pPr>
              <w:pStyle w:val="TableText"/>
              <w:keepNext/>
              <w:keepLines/>
              <w:widowControl/>
              <w:jc w:val="center"/>
              <w:rPr>
                <w:iCs/>
              </w:rPr>
            </w:pPr>
            <w:r w:rsidRPr="009F2AA4">
              <w:rPr>
                <w:rFonts w:eastAsia="Times New Roman" w:cs="Times New Roman"/>
                <w:iCs/>
              </w:rPr>
              <w:t>2%</w:t>
            </w:r>
          </w:p>
        </w:tc>
        <w:tc>
          <w:tcPr>
            <w:tcW w:w="1892" w:type="dxa"/>
          </w:tcPr>
          <w:p w14:paraId="3C781190" w14:textId="77777777" w:rsidR="002F03F5" w:rsidRPr="009F2AA4" w:rsidRDefault="008F23FF" w:rsidP="00921FF3">
            <w:pPr>
              <w:pStyle w:val="TableText"/>
              <w:keepNext/>
              <w:keepLines/>
              <w:widowControl/>
              <w:jc w:val="center"/>
              <w:rPr>
                <w:iCs/>
              </w:rPr>
            </w:pPr>
            <w:r w:rsidRPr="009F2AA4">
              <w:rPr>
                <w:rFonts w:eastAsia="Times New Roman" w:cs="Times New Roman"/>
                <w:iCs/>
              </w:rPr>
              <w:t>4.9%</w:t>
            </w:r>
          </w:p>
        </w:tc>
        <w:tc>
          <w:tcPr>
            <w:tcW w:w="2634" w:type="dxa"/>
            <w:shd w:val="clear" w:color="auto" w:fill="E7E6E6" w:themeFill="background2"/>
          </w:tcPr>
          <w:p w14:paraId="3C781191" w14:textId="77777777" w:rsidR="002F03F5" w:rsidRPr="009F2AA4" w:rsidRDefault="008F23FF" w:rsidP="00921FF3">
            <w:pPr>
              <w:pStyle w:val="TableText"/>
              <w:keepNext/>
              <w:keepLines/>
              <w:widowControl/>
              <w:jc w:val="center"/>
              <w:rPr>
                <w:iCs/>
              </w:rPr>
            </w:pPr>
            <w:r w:rsidRPr="009F2AA4">
              <w:rPr>
                <w:rFonts w:eastAsia="Times New Roman" w:cs="Times New Roman"/>
                <w:iCs/>
              </w:rPr>
              <w:t>25.5%</w:t>
            </w:r>
          </w:p>
        </w:tc>
      </w:tr>
      <w:tr w:rsidR="002F03F5" w:rsidRPr="009F2AA4" w14:paraId="3C781198" w14:textId="77777777" w:rsidTr="00173793">
        <w:trPr>
          <w:cantSplit/>
        </w:trPr>
        <w:tc>
          <w:tcPr>
            <w:tcW w:w="1806" w:type="dxa"/>
          </w:tcPr>
          <w:p w14:paraId="3C781193" w14:textId="77777777" w:rsidR="002F03F5" w:rsidRPr="009F2AA4" w:rsidRDefault="008F23FF" w:rsidP="00921FF3">
            <w:pPr>
              <w:pStyle w:val="TableText"/>
              <w:keepNext/>
              <w:keepLines/>
              <w:widowControl/>
              <w:rPr>
                <w:iCs/>
              </w:rPr>
            </w:pPr>
            <w:r w:rsidRPr="009F2AA4">
              <w:rPr>
                <w:rFonts w:eastAsia="Times New Roman" w:cs="Times New Roman"/>
                <w:iCs/>
              </w:rPr>
              <w:t>Spline/knot=2</w:t>
            </w:r>
          </w:p>
        </w:tc>
        <w:tc>
          <w:tcPr>
            <w:tcW w:w="1251" w:type="dxa"/>
          </w:tcPr>
          <w:p w14:paraId="3C781194" w14:textId="77777777" w:rsidR="002F03F5" w:rsidRPr="009F2AA4" w:rsidRDefault="008F23FF" w:rsidP="00921FF3">
            <w:pPr>
              <w:pStyle w:val="TableText"/>
              <w:keepNext/>
              <w:keepLines/>
              <w:widowControl/>
              <w:jc w:val="center"/>
              <w:rPr>
                <w:iCs/>
              </w:rPr>
            </w:pPr>
            <w:r w:rsidRPr="009F2AA4">
              <w:rPr>
                <w:rFonts w:eastAsia="Times New Roman" w:cs="Times New Roman"/>
                <w:iCs/>
              </w:rPr>
              <w:t>25%</w:t>
            </w:r>
          </w:p>
        </w:tc>
        <w:tc>
          <w:tcPr>
            <w:tcW w:w="1443" w:type="dxa"/>
          </w:tcPr>
          <w:p w14:paraId="3C781195" w14:textId="77777777" w:rsidR="002F03F5" w:rsidRPr="009F2AA4" w:rsidRDefault="008F23FF" w:rsidP="00921FF3">
            <w:pPr>
              <w:pStyle w:val="TableText"/>
              <w:keepNext/>
              <w:keepLines/>
              <w:widowControl/>
              <w:jc w:val="center"/>
              <w:rPr>
                <w:iCs/>
              </w:rPr>
            </w:pPr>
            <w:r w:rsidRPr="009F2AA4">
              <w:rPr>
                <w:rFonts w:eastAsia="Times New Roman" w:cs="Times New Roman"/>
                <w:iCs/>
              </w:rPr>
              <w:t>0%</w:t>
            </w:r>
          </w:p>
        </w:tc>
        <w:tc>
          <w:tcPr>
            <w:tcW w:w="1892" w:type="dxa"/>
          </w:tcPr>
          <w:p w14:paraId="3C781196" w14:textId="77777777" w:rsidR="002F03F5" w:rsidRPr="009F2AA4" w:rsidRDefault="008F23FF" w:rsidP="00921FF3">
            <w:pPr>
              <w:pStyle w:val="TableText"/>
              <w:keepNext/>
              <w:keepLines/>
              <w:widowControl/>
              <w:jc w:val="center"/>
              <w:rPr>
                <w:iCs/>
              </w:rPr>
            </w:pPr>
            <w:r w:rsidRPr="009F2AA4">
              <w:rPr>
                <w:rFonts w:eastAsia="Times New Roman" w:cs="Times New Roman"/>
                <w:iCs/>
              </w:rPr>
              <w:t>0.7%</w:t>
            </w:r>
          </w:p>
        </w:tc>
        <w:tc>
          <w:tcPr>
            <w:tcW w:w="2634" w:type="dxa"/>
          </w:tcPr>
          <w:p w14:paraId="3C781197" w14:textId="77777777" w:rsidR="002F03F5" w:rsidRPr="009F2AA4" w:rsidRDefault="008F23FF" w:rsidP="00921FF3">
            <w:pPr>
              <w:pStyle w:val="TableText"/>
              <w:keepNext/>
              <w:keepLines/>
              <w:widowControl/>
              <w:jc w:val="center"/>
              <w:rPr>
                <w:iCs/>
              </w:rPr>
            </w:pPr>
            <w:r w:rsidRPr="009F2AA4">
              <w:rPr>
                <w:rFonts w:eastAsia="Times New Roman" w:cs="Times New Roman"/>
                <w:iCs/>
              </w:rPr>
              <w:t>10.3%</w:t>
            </w:r>
          </w:p>
        </w:tc>
      </w:tr>
      <w:tr w:rsidR="002F03F5" w:rsidRPr="009F2AA4" w14:paraId="3C78119E" w14:textId="77777777" w:rsidTr="00173793">
        <w:trPr>
          <w:cantSplit/>
        </w:trPr>
        <w:tc>
          <w:tcPr>
            <w:tcW w:w="1806" w:type="dxa"/>
          </w:tcPr>
          <w:p w14:paraId="3C781199" w14:textId="77777777" w:rsidR="002F03F5" w:rsidRPr="009F2AA4" w:rsidRDefault="008F23FF" w:rsidP="00921FF3">
            <w:pPr>
              <w:pStyle w:val="TableText"/>
              <w:keepNext/>
              <w:keepLines/>
              <w:widowControl/>
              <w:rPr>
                <w:b/>
                <w:bCs/>
                <w:iCs/>
              </w:rPr>
            </w:pPr>
            <w:r w:rsidRPr="009F2AA4">
              <w:rPr>
                <w:rFonts w:eastAsia="Times New Roman" w:cs="Times New Roman"/>
                <w:b/>
                <w:bCs/>
                <w:iCs/>
              </w:rPr>
              <w:t>Spline/knot=3</w:t>
            </w:r>
          </w:p>
        </w:tc>
        <w:tc>
          <w:tcPr>
            <w:tcW w:w="1251" w:type="dxa"/>
          </w:tcPr>
          <w:p w14:paraId="3C78119A" w14:textId="77777777" w:rsidR="002F03F5" w:rsidRPr="009F2AA4" w:rsidRDefault="008F23FF" w:rsidP="00921FF3">
            <w:pPr>
              <w:pStyle w:val="TableText"/>
              <w:keepNext/>
              <w:keepLines/>
              <w:widowControl/>
              <w:jc w:val="center"/>
              <w:rPr>
                <w:b/>
                <w:bCs/>
                <w:iCs/>
              </w:rPr>
            </w:pPr>
            <w:r w:rsidRPr="009F2AA4">
              <w:rPr>
                <w:rFonts w:eastAsia="Times New Roman" w:cs="Times New Roman"/>
                <w:b/>
                <w:bCs/>
                <w:iCs/>
              </w:rPr>
              <w:t>17%</w:t>
            </w:r>
          </w:p>
        </w:tc>
        <w:tc>
          <w:tcPr>
            <w:tcW w:w="1443" w:type="dxa"/>
          </w:tcPr>
          <w:p w14:paraId="3C78119B" w14:textId="77777777" w:rsidR="002F03F5" w:rsidRPr="009F2AA4" w:rsidRDefault="008F23FF" w:rsidP="00921FF3">
            <w:pPr>
              <w:pStyle w:val="TableText"/>
              <w:keepNext/>
              <w:keepLines/>
              <w:widowControl/>
              <w:jc w:val="center"/>
              <w:rPr>
                <w:b/>
                <w:bCs/>
                <w:iCs/>
              </w:rPr>
            </w:pPr>
            <w:r w:rsidRPr="009F2AA4">
              <w:rPr>
                <w:rFonts w:eastAsia="Times New Roman" w:cs="Times New Roman"/>
                <w:b/>
                <w:bCs/>
                <w:iCs/>
              </w:rPr>
              <w:t>0%</w:t>
            </w:r>
          </w:p>
        </w:tc>
        <w:tc>
          <w:tcPr>
            <w:tcW w:w="1892" w:type="dxa"/>
          </w:tcPr>
          <w:p w14:paraId="3C78119C" w14:textId="77777777" w:rsidR="002F03F5" w:rsidRPr="009F2AA4" w:rsidRDefault="008F23FF" w:rsidP="00921FF3">
            <w:pPr>
              <w:pStyle w:val="TableText"/>
              <w:keepNext/>
              <w:keepLines/>
              <w:widowControl/>
              <w:jc w:val="center"/>
              <w:rPr>
                <w:b/>
                <w:bCs/>
                <w:iCs/>
              </w:rPr>
            </w:pPr>
            <w:r w:rsidRPr="009F2AA4">
              <w:rPr>
                <w:rFonts w:eastAsia="Times New Roman" w:cs="Times New Roman"/>
                <w:b/>
                <w:bCs/>
                <w:iCs/>
              </w:rPr>
              <w:t>0.2%</w:t>
            </w:r>
          </w:p>
        </w:tc>
        <w:tc>
          <w:tcPr>
            <w:tcW w:w="2634" w:type="dxa"/>
          </w:tcPr>
          <w:p w14:paraId="3C78119D" w14:textId="77777777" w:rsidR="002F03F5" w:rsidRPr="009F2AA4" w:rsidRDefault="008F23FF" w:rsidP="00921FF3">
            <w:pPr>
              <w:pStyle w:val="TableText"/>
              <w:keepNext/>
              <w:keepLines/>
              <w:widowControl/>
              <w:jc w:val="center"/>
              <w:rPr>
                <w:b/>
                <w:bCs/>
                <w:iCs/>
              </w:rPr>
            </w:pPr>
            <w:r w:rsidRPr="009F2AA4">
              <w:rPr>
                <w:rFonts w:eastAsia="Times New Roman" w:cs="Times New Roman"/>
                <w:b/>
                <w:bCs/>
                <w:iCs/>
              </w:rPr>
              <w:t>5.6%</w:t>
            </w:r>
          </w:p>
        </w:tc>
      </w:tr>
    </w:tbl>
    <w:p w14:paraId="3C78119F" w14:textId="77777777" w:rsidR="002F03F5" w:rsidRPr="009F2AA4" w:rsidRDefault="008F23FF" w:rsidP="00921FF3">
      <w:pPr>
        <w:pStyle w:val="TableFooter"/>
        <w:widowControl/>
        <w:rPr>
          <w:iCs/>
        </w:rPr>
      </w:pPr>
      <w:r w:rsidRPr="009F2AA4">
        <w:rPr>
          <w:iCs/>
        </w:rPr>
        <w:t xml:space="preserve">Source: constructed during the evaluation using Table 3-5 of the submission and the economic model </w:t>
      </w:r>
    </w:p>
    <w:p w14:paraId="3C7811A0" w14:textId="77777777" w:rsidR="002F03F5" w:rsidRPr="009F2AA4" w:rsidRDefault="008F23FF" w:rsidP="00921FF3">
      <w:pPr>
        <w:pStyle w:val="TableFooter"/>
        <w:widowControl/>
        <w:rPr>
          <w:iCs/>
        </w:rPr>
      </w:pPr>
      <w:r w:rsidRPr="009F2AA4">
        <w:rPr>
          <w:iCs/>
        </w:rPr>
        <w:t>BSC = best supportive care; CI = confidence interval; HR = hazard ratio; OS = overall survival</w:t>
      </w:r>
    </w:p>
    <w:p w14:paraId="3C7811A1" w14:textId="285E9156" w:rsidR="002F03F5" w:rsidRPr="009F2AA4" w:rsidRDefault="008F23FF" w:rsidP="00921FF3">
      <w:pPr>
        <w:pStyle w:val="TableFooter"/>
        <w:widowControl/>
        <w:rPr>
          <w:iCs/>
        </w:rPr>
      </w:pPr>
      <w:proofErr w:type="spellStart"/>
      <w:r w:rsidRPr="009F2AA4">
        <w:rPr>
          <w:iCs/>
          <w:vertAlign w:val="superscript"/>
        </w:rPr>
        <w:t>a</w:t>
      </w:r>
      <w:proofErr w:type="spellEnd"/>
      <w:r w:rsidR="007E3114">
        <w:rPr>
          <w:iCs/>
          <w:vertAlign w:val="superscript"/>
        </w:rPr>
        <w:t xml:space="preserve"> </w:t>
      </w:r>
      <w:r w:rsidRPr="009F2AA4">
        <w:rPr>
          <w:iCs/>
        </w:rPr>
        <w:t>the inverse HR was applied 1/0.22 = 4.55</w:t>
      </w:r>
    </w:p>
    <w:p w14:paraId="3C7811A2" w14:textId="77777777" w:rsidR="002F03F5" w:rsidRPr="009F2AA4" w:rsidRDefault="008F23FF" w:rsidP="00921FF3">
      <w:pPr>
        <w:pStyle w:val="TableFooter"/>
        <w:widowControl/>
        <w:rPr>
          <w:iCs/>
        </w:rPr>
      </w:pPr>
      <w:r w:rsidRPr="009F2AA4">
        <w:rPr>
          <w:iCs/>
          <w:vertAlign w:val="superscript"/>
        </w:rPr>
        <w:t xml:space="preserve">b </w:t>
      </w:r>
      <w:r w:rsidRPr="009F2AA4">
        <w:rPr>
          <w:iCs/>
        </w:rPr>
        <w:t xml:space="preserve">the inverse HR was applied 1/0.275 = 3.64 </w:t>
      </w:r>
    </w:p>
    <w:p w14:paraId="3C7811A3" w14:textId="77777777" w:rsidR="002F03F5" w:rsidRPr="009F2AA4" w:rsidRDefault="008F23FF" w:rsidP="00921FF3">
      <w:pPr>
        <w:pStyle w:val="TableFooter"/>
        <w:widowControl/>
        <w:rPr>
          <w:iCs/>
        </w:rPr>
      </w:pPr>
      <w:r w:rsidRPr="009F2AA4">
        <w:rPr>
          <w:iCs/>
          <w:vertAlign w:val="superscript"/>
        </w:rPr>
        <w:t>c</w:t>
      </w:r>
      <w:r w:rsidRPr="009F2AA4">
        <w:rPr>
          <w:iCs/>
        </w:rPr>
        <w:t xml:space="preserve"> the inverse HR was applied 1/0.608 = 1.64</w:t>
      </w:r>
    </w:p>
    <w:p w14:paraId="3C7811A4" w14:textId="77777777" w:rsidR="002F03F5" w:rsidRPr="009F2AA4" w:rsidRDefault="008F23FF" w:rsidP="00921FF3">
      <w:pPr>
        <w:pStyle w:val="TableFooter"/>
        <w:widowControl/>
        <w:rPr>
          <w:iCs/>
          <w:u w:val="single"/>
        </w:rPr>
      </w:pPr>
      <w:r w:rsidRPr="009F2AA4">
        <w:rPr>
          <w:iCs/>
          <w:u w:val="single"/>
        </w:rPr>
        <w:t>Notes:</w:t>
      </w:r>
    </w:p>
    <w:p w14:paraId="3C7811A5" w14:textId="77777777" w:rsidR="002F03F5" w:rsidRPr="009F2AA4" w:rsidRDefault="008F23FF" w:rsidP="00921FF3">
      <w:pPr>
        <w:pStyle w:val="TableFooter"/>
        <w:widowControl/>
        <w:rPr>
          <w:iCs/>
        </w:rPr>
      </w:pPr>
      <w:r w:rsidRPr="009F2AA4">
        <w:rPr>
          <w:b/>
          <w:bCs/>
          <w:iCs/>
        </w:rPr>
        <w:t>Bold</w:t>
      </w:r>
      <w:r w:rsidRPr="009F2AA4">
        <w:rPr>
          <w:iCs/>
        </w:rPr>
        <w:t xml:space="preserve"> text indicates the submission’s base case</w:t>
      </w:r>
    </w:p>
    <w:p w14:paraId="3C7811A6" w14:textId="77777777" w:rsidR="002F03F5" w:rsidRPr="009F2AA4" w:rsidRDefault="008F23FF" w:rsidP="00921FF3">
      <w:pPr>
        <w:pStyle w:val="TableFooter"/>
        <w:widowControl/>
        <w:rPr>
          <w:iCs/>
        </w:rPr>
      </w:pPr>
      <w:r w:rsidRPr="009F2AA4">
        <w:rPr>
          <w:iCs/>
        </w:rPr>
        <w:t>Grey shaded cells indicate functions that generated 25 year survival estimates similar to Kesby 2022 (~30%)</w:t>
      </w:r>
    </w:p>
    <w:p w14:paraId="0C3548D0" w14:textId="5FA1D8C4" w:rsidR="008B5285" w:rsidRDefault="00C72F23" w:rsidP="00921FF3">
      <w:pPr>
        <w:pStyle w:val="3-BodyText"/>
      </w:pPr>
      <w:bookmarkStart w:id="74" w:name="_Ref225266681"/>
      <w:r w:rsidRPr="002A4492">
        <w:t xml:space="preserve">The evaluation considered that assuming a more conservative OS HR to inform the BSC arm may improve the generalisability of survival estimates to the requested population. </w:t>
      </w:r>
      <w:r w:rsidR="00A56E6C">
        <w:t xml:space="preserve">As </w:t>
      </w:r>
      <w:r w:rsidR="00A56E6C" w:rsidRPr="009F2AA4">
        <w:t xml:space="preserve">presented in </w:t>
      </w:r>
      <w:r w:rsidR="00A56E6C">
        <w:fldChar w:fldCharType="begin"/>
      </w:r>
      <w:r w:rsidR="00A56E6C">
        <w:instrText xml:space="preserve"> REF _Ref225266765 \h </w:instrText>
      </w:r>
      <w:r w:rsidR="00A56E6C">
        <w:fldChar w:fldCharType="separate"/>
      </w:r>
      <w:r w:rsidR="003A3B69">
        <w:t xml:space="preserve">Table </w:t>
      </w:r>
      <w:r w:rsidR="003A3B69">
        <w:rPr>
          <w:noProof/>
        </w:rPr>
        <w:t>10</w:t>
      </w:r>
      <w:r w:rsidR="00A56E6C">
        <w:fldChar w:fldCharType="end"/>
      </w:r>
      <w:r w:rsidR="00A56E6C">
        <w:t>, t</w:t>
      </w:r>
      <w:r w:rsidRPr="002A4492">
        <w:t>he evaluation compared</w:t>
      </w:r>
      <w:r w:rsidRPr="009F2AA4">
        <w:t xml:space="preserve"> modelled survival estimates after 25 years assuming</w:t>
      </w:r>
      <w:r w:rsidR="008B5285">
        <w:t xml:space="preserve"> </w:t>
      </w:r>
      <w:r w:rsidRPr="009F2AA4">
        <w:t>the OS HR was informed by</w:t>
      </w:r>
      <w:r w:rsidR="008B5285">
        <w:t>:</w:t>
      </w:r>
    </w:p>
    <w:p w14:paraId="3E396260" w14:textId="43BB86F5" w:rsidR="00E625DA" w:rsidRDefault="00C72F23" w:rsidP="00921FF3">
      <w:pPr>
        <w:pStyle w:val="MainBodyBulletPoint"/>
      </w:pPr>
      <w:r w:rsidRPr="009F2AA4">
        <w:t xml:space="preserve"> the base case (0.22);</w:t>
      </w:r>
    </w:p>
    <w:p w14:paraId="79F5183D" w14:textId="0A093198" w:rsidR="00E625DA" w:rsidRDefault="00C72F23" w:rsidP="00921FF3">
      <w:pPr>
        <w:pStyle w:val="MainBodyBulletPoint"/>
        <w:jc w:val="both"/>
      </w:pPr>
      <w:r w:rsidRPr="009F2AA4">
        <w:t>the LIBRETTO-531 OS HR point estimate (0.275)</w:t>
      </w:r>
      <w:r w:rsidR="0054006B">
        <w:t xml:space="preserve">. </w:t>
      </w:r>
      <w:r w:rsidR="0054006B" w:rsidRPr="009F2AA4">
        <w:t>Applying the LIBRETO-531 point estimate OS HR (0.275</w:t>
      </w:r>
      <w:r w:rsidR="0054006B">
        <w:t xml:space="preserve">, </w:t>
      </w:r>
      <w:r w:rsidR="00044F91">
        <w:t>i.e.</w:t>
      </w:r>
      <w:r w:rsidR="002830EF">
        <w:t>,</w:t>
      </w:r>
      <w:r w:rsidR="0054006B">
        <w:t xml:space="preserve"> assuming that cabozantinib OS = placebo OS</w:t>
      </w:r>
      <w:r w:rsidR="0054006B" w:rsidRPr="009F2AA4">
        <w:t>) increased the ICER by +</w:t>
      </w:r>
      <w:r w:rsidR="00B73859" w:rsidRPr="00B73859">
        <w:rPr>
          <w:sz w:val="2"/>
          <w:highlight w:val="black"/>
        </w:rPr>
        <w:t>redacted content</w:t>
      </w:r>
      <w:r w:rsidR="0054006B" w:rsidRPr="009F2AA4">
        <w:t>% (</w:t>
      </w:r>
      <w:r w:rsidR="0054006B" w:rsidRPr="002A4492">
        <w:t xml:space="preserve">maintained Spline Knot 3). </w:t>
      </w:r>
    </w:p>
    <w:p w14:paraId="3C7811A8" w14:textId="5D1EB074" w:rsidR="002F03F5" w:rsidRPr="002A4492" w:rsidRDefault="00C72F23" w:rsidP="00921FF3">
      <w:pPr>
        <w:pStyle w:val="MainBodyBulletPoint"/>
        <w:jc w:val="both"/>
      </w:pPr>
      <w:r w:rsidRPr="009F2AA4">
        <w:t>the LIBRETTO-531 OS HR upper 95% CI (0.608).</w:t>
      </w:r>
      <w:r w:rsidRPr="008B5285">
        <w:rPr>
          <w:i/>
          <w:iCs/>
        </w:rPr>
        <w:t xml:space="preserve"> </w:t>
      </w:r>
      <w:bookmarkEnd w:id="74"/>
      <w:r w:rsidR="008B5285">
        <w:t>N</w:t>
      </w:r>
      <w:r w:rsidR="008F23FF" w:rsidRPr="002A4492">
        <w:t>oting that LIBRETTO-531 was not powered to detect a statistically significant difference in OS, the evaluation considered that the OS HR upper 95% CI (0.608) might be considered as a worst case scenario, and this increased the ICER by +</w:t>
      </w:r>
      <w:r w:rsidR="00B73859" w:rsidRPr="00B73859">
        <w:rPr>
          <w:sz w:val="2"/>
          <w:highlight w:val="black"/>
        </w:rPr>
        <w:t>redacted content</w:t>
      </w:r>
      <w:r w:rsidR="008F23FF" w:rsidRPr="002A4492">
        <w:t>% (maintained Spline Knot 3 OS extrapolation</w:t>
      </w:r>
      <w:r w:rsidR="009445BA">
        <w:t xml:space="preserve"> </w:t>
      </w:r>
      <w:r w:rsidR="008F23FF" w:rsidRPr="002A4492">
        <w:t>The PSCR argued that application of a “worst case” OS estimate based on the upper bound CI value is poorly justified and inconsistent with international standards for HTA methodologies.</w:t>
      </w:r>
    </w:p>
    <w:p w14:paraId="3C7811A9" w14:textId="63DFF9B7" w:rsidR="002F03F5" w:rsidRPr="002A4492" w:rsidRDefault="008F23FF" w:rsidP="00921FF3">
      <w:pPr>
        <w:pStyle w:val="3-BodyText"/>
      </w:pPr>
      <w:r w:rsidRPr="002A4492">
        <w:t>Overall, the evaluation considered that the base case modelled OS using the ITC OS HR (0.22) was uncertain</w:t>
      </w:r>
      <w:r w:rsidR="00DB69A4">
        <w:t>,</w:t>
      </w:r>
      <w:r w:rsidRPr="002A4492">
        <w:t xml:space="preserve"> since</w:t>
      </w:r>
      <w:r w:rsidR="00D91BB1">
        <w:t>:</w:t>
      </w:r>
      <w:r w:rsidRPr="002A4492">
        <w:t xml:space="preserve"> the OS inputs to the ITC were not statistically significant; EXAM potentially included more patients with worse prognosis compared to LIBRETTO-531 (see paragraph </w:t>
      </w:r>
      <w:r w:rsidRPr="002A4492">
        <w:fldChar w:fldCharType="begin"/>
      </w:r>
      <w:r w:rsidRPr="002A4492">
        <w:instrText xml:space="preserve"> REF _Ref216623328 \r \r \h </w:instrText>
      </w:r>
      <w:r w:rsidR="002A4492">
        <w:instrText xml:space="preserve"> \* MERGEFORMAT </w:instrText>
      </w:r>
      <w:r w:rsidRPr="002A4492">
        <w:fldChar w:fldCharType="separate"/>
      </w:r>
      <w:r w:rsidR="001617F9">
        <w:t>6.23</w:t>
      </w:r>
      <w:r w:rsidRPr="002A4492">
        <w:fldChar w:fldCharType="end"/>
      </w:r>
      <w:r w:rsidRPr="002A4492">
        <w:t>); and the survival estimates lacked external validity to the requested population expected in clinical practice. As such, the evaluation considered that the incremental benefit of selpercatinib vs BSC was potentially overestimated in the model. The evaluation considered that assuming a conservative OS modelling approach (</w:t>
      </w:r>
      <w:r w:rsidR="004D0E84">
        <w:t>e.g</w:t>
      </w:r>
      <w:r w:rsidRPr="002A4492">
        <w:t xml:space="preserve">., applying the LIBRETTO-531 OS HR upper </w:t>
      </w:r>
      <w:r w:rsidRPr="002A4492">
        <w:lastRenderedPageBreak/>
        <w:t>95% CI of 0.608) potentially improved the generalisability of survival estimates to the requested population. The OS HR was a key driver of the model.</w:t>
      </w:r>
    </w:p>
    <w:p w14:paraId="3C7811AA" w14:textId="5F75321D" w:rsidR="002F03F5" w:rsidRPr="002A4492" w:rsidRDefault="008F23FF" w:rsidP="00921FF3">
      <w:pPr>
        <w:pStyle w:val="3-BodyText"/>
      </w:pPr>
      <w:r w:rsidRPr="002A4492">
        <w:t xml:space="preserve">The base case PFS curve for the selpercatinib arm was extrapolated using the Weibull function and the BSC arm was informed using the inverse ITC PFS HR of 0.05 (i.e., 1/0.05; </w:t>
      </w:r>
      <w:r w:rsidR="00D30899">
        <w:fldChar w:fldCharType="begin"/>
      </w:r>
      <w:r w:rsidR="00D30899">
        <w:instrText xml:space="preserve"> REF _Ref225337587 \h </w:instrText>
      </w:r>
      <w:r w:rsidR="00D30899">
        <w:fldChar w:fldCharType="separate"/>
      </w:r>
      <w:r w:rsidR="003A3B69">
        <w:t xml:space="preserve">Figure </w:t>
      </w:r>
      <w:r w:rsidR="003A3B69">
        <w:rPr>
          <w:noProof/>
        </w:rPr>
        <w:t>7</w:t>
      </w:r>
      <w:r w:rsidR="00D30899">
        <w:fldChar w:fldCharType="end"/>
      </w:r>
      <w:r w:rsidRPr="002A4492">
        <w:t>)</w:t>
      </w:r>
    </w:p>
    <w:p w14:paraId="694A4CED" w14:textId="5675159B" w:rsidR="00E17273" w:rsidRDefault="00E17273" w:rsidP="00921FF3">
      <w:pPr>
        <w:pStyle w:val="Caption"/>
      </w:pPr>
      <w:bookmarkStart w:id="75" w:name="_Ref225337587"/>
      <w:r>
        <w:t xml:space="preserve">Figure </w:t>
      </w:r>
      <w:r>
        <w:fldChar w:fldCharType="begin"/>
      </w:r>
      <w:r>
        <w:instrText>SEQ Figure \* ARABIC</w:instrText>
      </w:r>
      <w:r>
        <w:fldChar w:fldCharType="separate"/>
      </w:r>
      <w:r w:rsidR="003A3B69">
        <w:rPr>
          <w:noProof/>
        </w:rPr>
        <w:t>7</w:t>
      </w:r>
      <w:r>
        <w:fldChar w:fldCharType="end"/>
      </w:r>
      <w:bookmarkEnd w:id="75"/>
      <w:r>
        <w:t>:</w:t>
      </w:r>
      <w:r w:rsidR="007E3114">
        <w:t xml:space="preserve"> </w:t>
      </w:r>
      <w:r w:rsidRPr="002C7A79">
        <w:t>Base case PFS curve in selpercatinib (Weibull) and BSC (PFS HR = 0.05)</w:t>
      </w:r>
    </w:p>
    <w:p w14:paraId="3C7811AC" w14:textId="77777777" w:rsidR="002F03F5" w:rsidRPr="009F2AA4" w:rsidRDefault="008F23FF" w:rsidP="00921FF3">
      <w:pPr>
        <w:pStyle w:val="TableText"/>
        <w:widowControl/>
      </w:pPr>
      <w:r w:rsidRPr="009F2AA4">
        <w:rPr>
          <w:noProof/>
        </w:rPr>
        <w:drawing>
          <wp:inline distT="0" distB="0" distL="0" distR="0" wp14:anchorId="3C7815D3" wp14:editId="7B392239">
            <wp:extent cx="5784850" cy="2632443"/>
            <wp:effectExtent l="0" t="0" r="6350" b="0"/>
            <wp:docPr id="9" name="Picture 12" descr="Figure 7: Base case PFS curve in selpercatinib (Weibull) and BSC (PFS HR =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descr="Figure 7: Base case PFS curve in selpercatinib (Weibull) and BSC (PFS HR = 0.05)"/>
                    <pic:cNvPicPr>
                      <a:picLocks noChangeAspect="1" noChangeArrowheads="1"/>
                    </pic:cNvPicPr>
                  </pic:nvPicPr>
                  <pic:blipFill>
                    <a:blip r:embed="rId18"/>
                    <a:stretch>
                      <a:fillRect/>
                    </a:stretch>
                  </pic:blipFill>
                  <pic:spPr bwMode="auto">
                    <a:xfrm>
                      <a:off x="0" y="0"/>
                      <a:ext cx="5785698" cy="2632829"/>
                    </a:xfrm>
                    <a:prstGeom prst="rect">
                      <a:avLst/>
                    </a:prstGeom>
                    <a:noFill/>
                  </pic:spPr>
                </pic:pic>
              </a:graphicData>
            </a:graphic>
          </wp:inline>
        </w:drawing>
      </w:r>
    </w:p>
    <w:p w14:paraId="3C7811AD" w14:textId="77777777" w:rsidR="002F03F5" w:rsidRPr="009F2AA4" w:rsidRDefault="008F23FF" w:rsidP="00921FF3">
      <w:pPr>
        <w:pStyle w:val="TableFooter"/>
        <w:widowControl/>
      </w:pPr>
      <w:r w:rsidRPr="009F2AA4">
        <w:t xml:space="preserve">Source: ‘Survival’ worksheet from the economic model </w:t>
      </w:r>
    </w:p>
    <w:p w14:paraId="3C7811AE" w14:textId="77777777" w:rsidR="002F03F5" w:rsidRPr="009F2AA4" w:rsidRDefault="008F23FF" w:rsidP="00921FF3">
      <w:pPr>
        <w:pStyle w:val="TableFooter"/>
        <w:widowControl/>
      </w:pPr>
      <w:r w:rsidRPr="009F2AA4">
        <w:t>BSC = best supportive care; HR = hazard ratio; KM = Kaplan Meier; PFS = progression free survival</w:t>
      </w:r>
    </w:p>
    <w:p w14:paraId="3C7811AF" w14:textId="77777777" w:rsidR="002F03F5" w:rsidRPr="009F2AA4" w:rsidRDefault="008F23FF" w:rsidP="00921FF3">
      <w:pPr>
        <w:pStyle w:val="TableFooter"/>
        <w:widowControl/>
        <w:rPr>
          <w:u w:val="single"/>
        </w:rPr>
      </w:pPr>
      <w:r w:rsidRPr="009F2AA4">
        <w:rPr>
          <w:u w:val="single"/>
        </w:rPr>
        <w:t>Notes:</w:t>
      </w:r>
    </w:p>
    <w:p w14:paraId="3C7811B0" w14:textId="77777777" w:rsidR="002F03F5" w:rsidRPr="009F2AA4" w:rsidRDefault="008F23FF" w:rsidP="00921FF3">
      <w:pPr>
        <w:pStyle w:val="TableFooter"/>
        <w:widowControl/>
        <w:spacing w:after="240"/>
      </w:pPr>
      <w:r w:rsidRPr="009F2AA4">
        <w:t>The inverse OS HR was applied in the model (i.e., 1/0.22 = 4.55)</w:t>
      </w:r>
    </w:p>
    <w:p w14:paraId="3C7811B1" w14:textId="77777777" w:rsidR="002F03F5" w:rsidRPr="002A4492" w:rsidRDefault="008F23FF" w:rsidP="00921FF3">
      <w:pPr>
        <w:pStyle w:val="3-BodyText"/>
      </w:pPr>
      <w:r w:rsidRPr="009F2AA4">
        <w:t xml:space="preserve">The submission stated that the Weibull </w:t>
      </w:r>
      <w:r w:rsidRPr="002A4492">
        <w:t xml:space="preserve">function was selected based on best statistical fit (lowest AIC/BIC value) and visual fit to the KM curve. </w:t>
      </w:r>
    </w:p>
    <w:p w14:paraId="3C7811B2" w14:textId="12EEB638" w:rsidR="002F03F5" w:rsidRPr="002A4492" w:rsidRDefault="008F23FF" w:rsidP="00921FF3">
      <w:pPr>
        <w:pStyle w:val="3-BodyText"/>
      </w:pPr>
      <w:r w:rsidRPr="002A4492">
        <w:t xml:space="preserve">Patients in the BSC arm were modelled to rapidly progress (median PFS was 6.7 months, and all patients had effectively progressed by 24 months). This appeared more favourable compared to the placebo arm from EXAM (median PFS 4 months and most patients progressed by 12 months; see </w:t>
      </w:r>
      <w:r w:rsidR="00D30899">
        <w:fldChar w:fldCharType="begin"/>
      </w:r>
      <w:r w:rsidR="00D30899">
        <w:instrText xml:space="preserve"> REF _Ref225265199 \h </w:instrText>
      </w:r>
      <w:r w:rsidR="00D30899">
        <w:fldChar w:fldCharType="separate"/>
      </w:r>
      <w:r w:rsidR="003A3B69">
        <w:t xml:space="preserve">Figure </w:t>
      </w:r>
      <w:r w:rsidR="003A3B69">
        <w:rPr>
          <w:noProof/>
        </w:rPr>
        <w:t>3</w:t>
      </w:r>
      <w:r w:rsidR="00D30899">
        <w:fldChar w:fldCharType="end"/>
      </w:r>
      <w:r w:rsidRPr="002A4492">
        <w:t xml:space="preserve">), though this should be considered alongside a median follow up of 13.9 months in EXAM. </w:t>
      </w:r>
    </w:p>
    <w:p w14:paraId="3C7811B3" w14:textId="28DCFAF0" w:rsidR="002F03F5" w:rsidRPr="002A4492" w:rsidRDefault="008F23FF" w:rsidP="00921FF3">
      <w:pPr>
        <w:pStyle w:val="3-BodyText"/>
      </w:pPr>
      <w:r w:rsidRPr="002A4492">
        <w:t>Varying PFS extrapolation had a moderate impact on the ICER (-</w:t>
      </w:r>
      <w:r w:rsidR="00B73859" w:rsidRPr="00B73859">
        <w:rPr>
          <w:sz w:val="2"/>
          <w:highlight w:val="black"/>
        </w:rPr>
        <w:t>redacted content</w:t>
      </w:r>
      <w:r w:rsidRPr="002A4492">
        <w:t>% to +</w:t>
      </w:r>
      <w:r w:rsidR="00B73859" w:rsidRPr="00B73859">
        <w:rPr>
          <w:sz w:val="2"/>
          <w:highlight w:val="black"/>
        </w:rPr>
        <w:t>redacted content</w:t>
      </w:r>
      <w:r w:rsidRPr="002A4492">
        <w:t xml:space="preserve">% changes in the ICER; see </w:t>
      </w:r>
      <w:r w:rsidR="00D30899">
        <w:fldChar w:fldCharType="begin"/>
      </w:r>
      <w:r w:rsidR="00D30899">
        <w:instrText xml:space="preserve"> REF _Ref225267050 \h </w:instrText>
      </w:r>
      <w:r w:rsidR="00D30899">
        <w:fldChar w:fldCharType="separate"/>
      </w:r>
      <w:r w:rsidR="003A3B69">
        <w:t xml:space="preserve">Table </w:t>
      </w:r>
      <w:r w:rsidR="003A3B69">
        <w:rPr>
          <w:noProof/>
        </w:rPr>
        <w:t>15</w:t>
      </w:r>
      <w:r w:rsidR="00D30899">
        <w:fldChar w:fldCharType="end"/>
      </w:r>
      <w:r w:rsidRPr="002A4492">
        <w:t>), but this was due to its indirect impact on ToT and selpercatinib treatment costs.</w:t>
      </w:r>
    </w:p>
    <w:p w14:paraId="3C7811B4" w14:textId="0077A2D6" w:rsidR="002F03F5" w:rsidRPr="002A4492" w:rsidRDefault="008F23FF" w:rsidP="00921FF3">
      <w:pPr>
        <w:pStyle w:val="3-BodyText"/>
      </w:pPr>
      <w:r w:rsidRPr="002A4492">
        <w:t xml:space="preserve">The PFS HR as informed from the ITC (0.05, 95% CI 0.02, 0.09) was potentially overestimated given that the placebo arm from EXAM had a potentially worse prognosis compared to selpercatinib in LIBRETTO-531 (see paragraph </w:t>
      </w:r>
      <w:r w:rsidRPr="002A4492">
        <w:fldChar w:fldCharType="begin"/>
      </w:r>
      <w:r w:rsidRPr="002A4492">
        <w:instrText xml:space="preserve"> REF _Ref216623328 \r \r \h </w:instrText>
      </w:r>
      <w:r w:rsidR="002A4492">
        <w:instrText xml:space="preserve"> \* MERGEFORMAT </w:instrText>
      </w:r>
      <w:r w:rsidRPr="002A4492">
        <w:fldChar w:fldCharType="separate"/>
      </w:r>
      <w:r w:rsidR="001617F9">
        <w:t>6.23</w:t>
      </w:r>
      <w:r w:rsidRPr="002A4492">
        <w:fldChar w:fldCharType="end"/>
      </w:r>
      <w:r w:rsidRPr="002A4492">
        <w:t xml:space="preserve">). Although, assuming a more conservative PFS HR had minimal impact on the ICER since changes to the PFS HR only impacted the BSC arm where the PF and PD utility values and costs in the BSC arm were not drivers of the model. </w:t>
      </w:r>
    </w:p>
    <w:p w14:paraId="3C7811B5" w14:textId="4B06F50C" w:rsidR="002F03F5" w:rsidRPr="002A4492" w:rsidRDefault="008F23FF" w:rsidP="00921FF3">
      <w:pPr>
        <w:pStyle w:val="3-BodyText"/>
      </w:pPr>
      <w:r w:rsidRPr="002A4492">
        <w:t xml:space="preserve">The model assumed that the ToT curve was equal to the modelled PFS curve to align with the proposed PBS listing for selpercatinib, where treatment is only continued </w:t>
      </w:r>
      <w:r w:rsidRPr="002A4492">
        <w:lastRenderedPageBreak/>
        <w:t xml:space="preserve">until disease progression. The evaluation noted that in LIBRETTO-531 patients could continue treatment beyond progression if a clinical benefit was justified. The base case ToT curve (equal to the PFS extrapolated using Weibull function) is shown in </w:t>
      </w:r>
      <w:r w:rsidR="0044635F">
        <w:fldChar w:fldCharType="begin"/>
      </w:r>
      <w:r w:rsidR="0044635F">
        <w:instrText xml:space="preserve"> REF _Ref225337618 \h </w:instrText>
      </w:r>
      <w:r w:rsidR="0044635F">
        <w:fldChar w:fldCharType="separate"/>
      </w:r>
      <w:r w:rsidR="003A3B69">
        <w:t xml:space="preserve">Figure </w:t>
      </w:r>
      <w:r w:rsidR="003A3B69">
        <w:rPr>
          <w:noProof/>
        </w:rPr>
        <w:t>8</w:t>
      </w:r>
      <w:r w:rsidR="0044635F">
        <w:fldChar w:fldCharType="end"/>
      </w:r>
      <w:r w:rsidR="00703E9D">
        <w:t>.</w:t>
      </w:r>
    </w:p>
    <w:p w14:paraId="5B784D42" w14:textId="4F9CE417" w:rsidR="00E17273" w:rsidRDefault="00E17273" w:rsidP="00921FF3">
      <w:pPr>
        <w:pStyle w:val="Caption"/>
        <w:jc w:val="both"/>
      </w:pPr>
      <w:bookmarkStart w:id="76" w:name="_Ref225337618"/>
      <w:r>
        <w:t xml:space="preserve">Figure </w:t>
      </w:r>
      <w:r>
        <w:fldChar w:fldCharType="begin"/>
      </w:r>
      <w:r>
        <w:instrText>SEQ Figure \* ARABIC</w:instrText>
      </w:r>
      <w:r>
        <w:fldChar w:fldCharType="separate"/>
      </w:r>
      <w:r w:rsidR="003A3B69">
        <w:rPr>
          <w:noProof/>
        </w:rPr>
        <w:t>8</w:t>
      </w:r>
      <w:r>
        <w:fldChar w:fldCharType="end"/>
      </w:r>
      <w:bookmarkEnd w:id="76"/>
      <w:r>
        <w:t>:</w:t>
      </w:r>
      <w:r w:rsidR="007E3114">
        <w:t xml:space="preserve"> </w:t>
      </w:r>
      <w:r w:rsidRPr="009D486F">
        <w:t>Base case ToT curve for selpercatinib (extrapolated curve was assumed equal to PFS [Weibull])</w:t>
      </w:r>
    </w:p>
    <w:p w14:paraId="3C7811B7" w14:textId="77777777" w:rsidR="002F03F5" w:rsidRPr="009F2AA4" w:rsidRDefault="008F23FF" w:rsidP="00921FF3">
      <w:pPr>
        <w:pStyle w:val="3-BodyText"/>
        <w:numPr>
          <w:ilvl w:val="0"/>
          <w:numId w:val="0"/>
        </w:numPr>
        <w:ind w:left="720"/>
      </w:pPr>
      <w:r w:rsidRPr="009F2AA4">
        <w:rPr>
          <w:noProof/>
        </w:rPr>
        <w:drawing>
          <wp:inline distT="0" distB="0" distL="0" distR="0" wp14:anchorId="3C7815D5" wp14:editId="4BF7876C">
            <wp:extent cx="5329194" cy="3054350"/>
            <wp:effectExtent l="0" t="0" r="5080" b="0"/>
            <wp:docPr id="10" name="Picture 13" descr="Figure 8: Base case ToT curve for selpercatinib (extrapolated curve was assumed equal to PFS [Weib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descr="Figure 8: Base case ToT curve for selpercatinib (extrapolated curve was assumed equal to PFS [Weibull])"/>
                    <pic:cNvPicPr>
                      <a:picLocks noChangeAspect="1" noChangeArrowheads="1"/>
                    </pic:cNvPicPr>
                  </pic:nvPicPr>
                  <pic:blipFill>
                    <a:blip r:embed="rId19"/>
                    <a:stretch>
                      <a:fillRect/>
                    </a:stretch>
                  </pic:blipFill>
                  <pic:spPr bwMode="auto">
                    <a:xfrm>
                      <a:off x="0" y="0"/>
                      <a:ext cx="5330094" cy="3054866"/>
                    </a:xfrm>
                    <a:prstGeom prst="rect">
                      <a:avLst/>
                    </a:prstGeom>
                    <a:noFill/>
                  </pic:spPr>
                </pic:pic>
              </a:graphicData>
            </a:graphic>
          </wp:inline>
        </w:drawing>
      </w:r>
    </w:p>
    <w:p w14:paraId="3C7811B8" w14:textId="77777777" w:rsidR="002F03F5" w:rsidRPr="009F2AA4" w:rsidRDefault="008F23FF" w:rsidP="00921FF3">
      <w:pPr>
        <w:pStyle w:val="TableFooter"/>
        <w:widowControl/>
      </w:pPr>
      <w:r w:rsidRPr="009F2AA4">
        <w:t>Source: ‘Survival’ worksheet from the economic model</w:t>
      </w:r>
    </w:p>
    <w:p w14:paraId="3C7811B9" w14:textId="77777777" w:rsidR="002F03F5" w:rsidRPr="009F2AA4" w:rsidRDefault="008F23FF" w:rsidP="00921FF3">
      <w:pPr>
        <w:pStyle w:val="TableFooter"/>
        <w:widowControl/>
      </w:pPr>
      <w:r w:rsidRPr="009F2AA4">
        <w:t>KM = Kaplan Meier; PFS = progression free survival; ToT = time on treatment</w:t>
      </w:r>
    </w:p>
    <w:p w14:paraId="3C7811BA" w14:textId="77777777" w:rsidR="002F03F5" w:rsidRPr="009F2AA4" w:rsidRDefault="008F23FF" w:rsidP="00921FF3">
      <w:pPr>
        <w:pStyle w:val="TableFooter"/>
        <w:widowControl/>
        <w:rPr>
          <w:u w:val="single"/>
        </w:rPr>
      </w:pPr>
      <w:r w:rsidRPr="009F2AA4">
        <w:rPr>
          <w:u w:val="single"/>
        </w:rPr>
        <w:t>Notes:</w:t>
      </w:r>
    </w:p>
    <w:p w14:paraId="3C7811BB" w14:textId="77777777" w:rsidR="002F03F5" w:rsidRPr="009F2AA4" w:rsidRDefault="008F23FF" w:rsidP="00921FF3">
      <w:pPr>
        <w:pStyle w:val="TableFooter"/>
        <w:widowControl/>
      </w:pPr>
      <w:r w:rsidRPr="009F2AA4">
        <w:t>KM curve refers to ToT KM data from LIBRETTO-531</w:t>
      </w:r>
    </w:p>
    <w:p w14:paraId="56DB072B" w14:textId="77777777" w:rsidR="00AD57AA" w:rsidRDefault="008F23FF" w:rsidP="00921FF3">
      <w:pPr>
        <w:pStyle w:val="3-BodyText"/>
      </w:pPr>
      <w:bookmarkStart w:id="77" w:name="_Ref222475787"/>
      <w:r w:rsidRPr="009F2AA4">
        <w:t xml:space="preserve">The </w:t>
      </w:r>
      <w:r w:rsidRPr="002A4492">
        <w:t>base case estimated a mean treatment duration of 5.3 years</w:t>
      </w:r>
      <w:r w:rsidR="00412949">
        <w:t>.</w:t>
      </w:r>
      <w:bookmarkEnd w:id="77"/>
      <w:r w:rsidR="00AD57AA">
        <w:t xml:space="preserve"> </w:t>
      </w:r>
      <w:bookmarkStart w:id="78" w:name="_Ref222475748"/>
    </w:p>
    <w:p w14:paraId="3C7811BD" w14:textId="4BD21E23" w:rsidR="002F03F5" w:rsidRPr="002A4492" w:rsidRDefault="008F23FF" w:rsidP="00921FF3">
      <w:pPr>
        <w:pStyle w:val="3-BodyText"/>
      </w:pPr>
      <w:r w:rsidRPr="002A4492">
        <w:t xml:space="preserve">Treatment duration in the model using different extrapolations under the assumption that ToT was dependent or independent to PFS are presented in </w:t>
      </w:r>
      <w:r w:rsidR="00C4566A">
        <w:fldChar w:fldCharType="begin"/>
      </w:r>
      <w:r w:rsidR="00C4566A">
        <w:instrText xml:space="preserve"> REF _Ref225337648 \h </w:instrText>
      </w:r>
      <w:r w:rsidR="00C4566A">
        <w:fldChar w:fldCharType="separate"/>
      </w:r>
      <w:r w:rsidR="003A3B69">
        <w:t xml:space="preserve">Table </w:t>
      </w:r>
      <w:r w:rsidR="003A3B69">
        <w:rPr>
          <w:noProof/>
        </w:rPr>
        <w:t>11</w:t>
      </w:r>
      <w:r w:rsidR="00C4566A">
        <w:fldChar w:fldCharType="end"/>
      </w:r>
      <w:bookmarkEnd w:id="78"/>
      <w:r w:rsidR="00703E9D">
        <w:t>.</w:t>
      </w:r>
    </w:p>
    <w:p w14:paraId="0C559CE8" w14:textId="4BDF65F3" w:rsidR="00E17273" w:rsidRDefault="00E17273" w:rsidP="00921FF3">
      <w:pPr>
        <w:pStyle w:val="Caption"/>
      </w:pPr>
      <w:bookmarkStart w:id="79" w:name="_Ref225337648"/>
      <w:r>
        <w:t xml:space="preserve">Table </w:t>
      </w:r>
      <w:r>
        <w:fldChar w:fldCharType="begin"/>
      </w:r>
      <w:r>
        <w:instrText>SEQ Table \* ARABIC</w:instrText>
      </w:r>
      <w:r>
        <w:fldChar w:fldCharType="separate"/>
      </w:r>
      <w:r w:rsidR="003A3B69">
        <w:rPr>
          <w:noProof/>
        </w:rPr>
        <w:t>11</w:t>
      </w:r>
      <w:r>
        <w:fldChar w:fldCharType="end"/>
      </w:r>
      <w:bookmarkEnd w:id="79"/>
      <w:r>
        <w:t>:</w:t>
      </w:r>
      <w:r w:rsidR="007E3114">
        <w:t xml:space="preserve"> </w:t>
      </w:r>
      <w:r w:rsidRPr="008A3D92">
        <w:t>Treatment duration in the model assuming ToT dependent or independent to PFS over 25 years</w:t>
      </w:r>
    </w:p>
    <w:tbl>
      <w:tblPr>
        <w:tblStyle w:val="HTATableshaded"/>
        <w:tblpPr w:leftFromText="180" w:rightFromText="180" w:vertAnchor="text" w:tblpY="1"/>
        <w:tblOverlap w:val="never"/>
        <w:tblW w:w="5000" w:type="pct"/>
        <w:tblLayout w:type="fixed"/>
        <w:tblLook w:val="04A0" w:firstRow="1" w:lastRow="0" w:firstColumn="1" w:lastColumn="0" w:noHBand="0" w:noVBand="1"/>
        <w:tblCaption w:val="Table 11: Treatment duration in the model assuming ToT dependent or independent to PFS over 25 years"/>
      </w:tblPr>
      <w:tblGrid>
        <w:gridCol w:w="2927"/>
        <w:gridCol w:w="3044"/>
        <w:gridCol w:w="3045"/>
      </w:tblGrid>
      <w:tr w:rsidR="002F03F5" w:rsidRPr="009F2AA4" w14:paraId="3C7811C2" w14:textId="77777777" w:rsidTr="00173793">
        <w:trPr>
          <w:cnfStyle w:val="100000000000" w:firstRow="1" w:lastRow="0" w:firstColumn="0" w:lastColumn="0" w:oddVBand="0" w:evenVBand="0" w:oddHBand="0" w:evenHBand="0" w:firstRowFirstColumn="0" w:firstRowLastColumn="0" w:lastRowFirstColumn="0" w:lastRowLastColumn="0"/>
          <w:trHeight w:val="20"/>
        </w:trPr>
        <w:tc>
          <w:tcPr>
            <w:tcW w:w="2931" w:type="dxa"/>
          </w:tcPr>
          <w:p w14:paraId="3C7811BF" w14:textId="77777777" w:rsidR="002F03F5" w:rsidRPr="009F2AA4" w:rsidRDefault="008F23FF" w:rsidP="00921FF3">
            <w:pPr>
              <w:pStyle w:val="TableText"/>
              <w:keepNext/>
              <w:keepLines/>
              <w:widowControl/>
              <w:jc w:val="center"/>
              <w:rPr>
                <w:b/>
                <w:bCs/>
                <w:iCs/>
              </w:rPr>
            </w:pPr>
            <w:r w:rsidRPr="009F2AA4">
              <w:rPr>
                <w:rFonts w:eastAsia="Times New Roman" w:cs="Times New Roman"/>
                <w:b/>
                <w:bCs/>
                <w:iCs/>
              </w:rPr>
              <w:t>Parametric model</w:t>
            </w:r>
          </w:p>
        </w:tc>
        <w:tc>
          <w:tcPr>
            <w:tcW w:w="3047" w:type="dxa"/>
          </w:tcPr>
          <w:p w14:paraId="3C7811C0" w14:textId="77777777" w:rsidR="002F03F5" w:rsidRPr="009F2AA4" w:rsidRDefault="008F23FF" w:rsidP="00921FF3">
            <w:pPr>
              <w:pStyle w:val="TableText"/>
              <w:keepNext/>
              <w:keepLines/>
              <w:widowControl/>
              <w:jc w:val="center"/>
              <w:rPr>
                <w:b/>
                <w:bCs/>
                <w:iCs/>
                <w:vertAlign w:val="superscript"/>
              </w:rPr>
            </w:pPr>
            <w:r w:rsidRPr="009F2AA4">
              <w:rPr>
                <w:rFonts w:eastAsia="Times New Roman" w:cs="Times New Roman"/>
                <w:b/>
                <w:bCs/>
                <w:iCs/>
              </w:rPr>
              <w:t>ToT equalled PFS (years)</w:t>
            </w:r>
            <w:r w:rsidRPr="009F2AA4">
              <w:rPr>
                <w:rFonts w:eastAsia="Times New Roman" w:cs="Times New Roman"/>
                <w:b/>
                <w:bCs/>
                <w:iCs/>
                <w:vertAlign w:val="superscript"/>
              </w:rPr>
              <w:t>a</w:t>
            </w:r>
          </w:p>
        </w:tc>
        <w:tc>
          <w:tcPr>
            <w:tcW w:w="3048" w:type="dxa"/>
          </w:tcPr>
          <w:p w14:paraId="3C7811C1" w14:textId="77777777" w:rsidR="002F03F5" w:rsidRPr="009F2AA4" w:rsidRDefault="008F23FF" w:rsidP="00921FF3">
            <w:pPr>
              <w:pStyle w:val="TableText"/>
              <w:keepNext/>
              <w:keepLines/>
              <w:widowControl/>
              <w:jc w:val="center"/>
              <w:rPr>
                <w:b/>
                <w:bCs/>
                <w:iCs/>
                <w:vertAlign w:val="superscript"/>
              </w:rPr>
            </w:pPr>
            <w:r w:rsidRPr="009F2AA4">
              <w:rPr>
                <w:rFonts w:eastAsia="Times New Roman" w:cs="Times New Roman"/>
                <w:b/>
                <w:bCs/>
                <w:iCs/>
              </w:rPr>
              <w:t>ToT independent of PFS (years)</w:t>
            </w:r>
            <w:r w:rsidRPr="009F2AA4">
              <w:rPr>
                <w:rFonts w:eastAsia="Times New Roman" w:cs="Times New Roman"/>
                <w:b/>
                <w:bCs/>
                <w:iCs/>
                <w:vertAlign w:val="superscript"/>
              </w:rPr>
              <w:t>b</w:t>
            </w:r>
          </w:p>
        </w:tc>
      </w:tr>
      <w:tr w:rsidR="002F03F5" w:rsidRPr="009F2AA4" w14:paraId="3C7811C6" w14:textId="77777777" w:rsidTr="00173793">
        <w:trPr>
          <w:trHeight w:val="20"/>
        </w:trPr>
        <w:tc>
          <w:tcPr>
            <w:tcW w:w="2931" w:type="dxa"/>
          </w:tcPr>
          <w:p w14:paraId="3C7811C3" w14:textId="77777777" w:rsidR="002F03F5" w:rsidRPr="009F2AA4" w:rsidRDefault="008F23FF" w:rsidP="00921FF3">
            <w:pPr>
              <w:pStyle w:val="TableText"/>
              <w:keepNext/>
              <w:keepLines/>
              <w:widowControl/>
              <w:rPr>
                <w:bCs/>
                <w:iCs/>
              </w:rPr>
            </w:pPr>
            <w:r w:rsidRPr="009F2AA4">
              <w:rPr>
                <w:rFonts w:eastAsia="Times New Roman" w:cs="Times New Roman"/>
                <w:bCs/>
                <w:iCs/>
              </w:rPr>
              <w:t>Exponential</w:t>
            </w:r>
          </w:p>
        </w:tc>
        <w:tc>
          <w:tcPr>
            <w:tcW w:w="3047" w:type="dxa"/>
          </w:tcPr>
          <w:p w14:paraId="3C7811C4" w14:textId="77777777" w:rsidR="002F03F5" w:rsidRPr="009F2AA4" w:rsidRDefault="008F23FF" w:rsidP="00921FF3">
            <w:pPr>
              <w:pStyle w:val="TableText"/>
              <w:keepNext/>
              <w:keepLines/>
              <w:widowControl/>
              <w:jc w:val="center"/>
              <w:rPr>
                <w:bCs/>
                <w:iCs/>
              </w:rPr>
            </w:pPr>
            <w:r w:rsidRPr="009F2AA4">
              <w:rPr>
                <w:rFonts w:eastAsia="Times New Roman" w:cs="Times New Roman"/>
                <w:iCs/>
              </w:rPr>
              <w:t>8.7</w:t>
            </w:r>
          </w:p>
        </w:tc>
        <w:tc>
          <w:tcPr>
            <w:tcW w:w="3048" w:type="dxa"/>
          </w:tcPr>
          <w:p w14:paraId="3C7811C5" w14:textId="77777777" w:rsidR="002F03F5" w:rsidRPr="009F2AA4" w:rsidRDefault="008F23FF" w:rsidP="00921FF3">
            <w:pPr>
              <w:pStyle w:val="TableText"/>
              <w:keepNext/>
              <w:keepLines/>
              <w:widowControl/>
              <w:jc w:val="center"/>
              <w:rPr>
                <w:bCs/>
                <w:iCs/>
              </w:rPr>
            </w:pPr>
            <w:r w:rsidRPr="009F2AA4">
              <w:rPr>
                <w:rFonts w:eastAsia="Times New Roman" w:cs="Times New Roman"/>
                <w:iCs/>
              </w:rPr>
              <w:t>12.4</w:t>
            </w:r>
          </w:p>
        </w:tc>
      </w:tr>
      <w:tr w:rsidR="002F03F5" w:rsidRPr="009F2AA4" w14:paraId="3C7811CA" w14:textId="77777777" w:rsidTr="00173793">
        <w:trPr>
          <w:trHeight w:val="20"/>
        </w:trPr>
        <w:tc>
          <w:tcPr>
            <w:tcW w:w="2931" w:type="dxa"/>
          </w:tcPr>
          <w:p w14:paraId="3C7811C7" w14:textId="77777777" w:rsidR="002F03F5" w:rsidRPr="009F2AA4" w:rsidRDefault="008F23FF" w:rsidP="00921FF3">
            <w:pPr>
              <w:pStyle w:val="TableText"/>
              <w:keepNext/>
              <w:keepLines/>
              <w:widowControl/>
              <w:rPr>
                <w:bCs/>
                <w:iCs/>
              </w:rPr>
            </w:pPr>
            <w:r w:rsidRPr="009F2AA4">
              <w:rPr>
                <w:rFonts w:eastAsia="Times New Roman" w:cs="Times New Roman"/>
                <w:bCs/>
                <w:iCs/>
              </w:rPr>
              <w:t>Weibull</w:t>
            </w:r>
          </w:p>
        </w:tc>
        <w:tc>
          <w:tcPr>
            <w:tcW w:w="3047" w:type="dxa"/>
          </w:tcPr>
          <w:p w14:paraId="3C7811C8" w14:textId="77777777" w:rsidR="002F03F5" w:rsidRPr="009F2AA4" w:rsidRDefault="008F23FF" w:rsidP="00921FF3">
            <w:pPr>
              <w:pStyle w:val="TableText"/>
              <w:keepNext/>
              <w:keepLines/>
              <w:widowControl/>
              <w:jc w:val="center"/>
              <w:rPr>
                <w:bCs/>
                <w:iCs/>
              </w:rPr>
            </w:pPr>
            <w:r w:rsidRPr="009F2AA4">
              <w:rPr>
                <w:rFonts w:eastAsia="Times New Roman" w:cs="Times New Roman"/>
                <w:bCs/>
                <w:iCs/>
              </w:rPr>
              <w:t>5.3 (base case)</w:t>
            </w:r>
          </w:p>
        </w:tc>
        <w:tc>
          <w:tcPr>
            <w:tcW w:w="3048" w:type="dxa"/>
          </w:tcPr>
          <w:p w14:paraId="3C7811C9" w14:textId="77777777" w:rsidR="002F03F5" w:rsidRPr="009F2AA4" w:rsidRDefault="008F23FF" w:rsidP="00921FF3">
            <w:pPr>
              <w:pStyle w:val="TableText"/>
              <w:keepNext/>
              <w:keepLines/>
              <w:widowControl/>
              <w:jc w:val="center"/>
              <w:rPr>
                <w:b/>
                <w:iCs/>
              </w:rPr>
            </w:pPr>
            <w:r w:rsidRPr="009F2AA4">
              <w:rPr>
                <w:rFonts w:eastAsia="Times New Roman" w:cs="Times New Roman"/>
                <w:iCs/>
              </w:rPr>
              <w:t>11.7</w:t>
            </w:r>
          </w:p>
        </w:tc>
      </w:tr>
      <w:tr w:rsidR="002F03F5" w:rsidRPr="009F2AA4" w14:paraId="3C7811CE" w14:textId="77777777" w:rsidTr="00173793">
        <w:trPr>
          <w:trHeight w:val="20"/>
        </w:trPr>
        <w:tc>
          <w:tcPr>
            <w:tcW w:w="2931" w:type="dxa"/>
          </w:tcPr>
          <w:p w14:paraId="3C7811CB" w14:textId="77777777" w:rsidR="002F03F5" w:rsidRPr="009F2AA4" w:rsidRDefault="008F23FF" w:rsidP="00921FF3">
            <w:pPr>
              <w:pStyle w:val="TableText"/>
              <w:keepNext/>
              <w:keepLines/>
              <w:widowControl/>
              <w:rPr>
                <w:bCs/>
                <w:iCs/>
              </w:rPr>
            </w:pPr>
            <w:r w:rsidRPr="009F2AA4">
              <w:rPr>
                <w:rFonts w:eastAsia="Times New Roman" w:cs="Times New Roman"/>
                <w:bCs/>
                <w:iCs/>
              </w:rPr>
              <w:t>Log normal</w:t>
            </w:r>
          </w:p>
        </w:tc>
        <w:tc>
          <w:tcPr>
            <w:tcW w:w="3047" w:type="dxa"/>
          </w:tcPr>
          <w:p w14:paraId="3C7811CC" w14:textId="77777777" w:rsidR="002F03F5" w:rsidRPr="009F2AA4" w:rsidRDefault="008F23FF" w:rsidP="00921FF3">
            <w:pPr>
              <w:pStyle w:val="TableText"/>
              <w:keepNext/>
              <w:keepLines/>
              <w:widowControl/>
              <w:jc w:val="center"/>
              <w:rPr>
                <w:bCs/>
                <w:iCs/>
              </w:rPr>
            </w:pPr>
            <w:r w:rsidRPr="009F2AA4">
              <w:rPr>
                <w:rFonts w:eastAsia="Times New Roman" w:cs="Times New Roman"/>
                <w:iCs/>
              </w:rPr>
              <w:t>8.2</w:t>
            </w:r>
          </w:p>
        </w:tc>
        <w:tc>
          <w:tcPr>
            <w:tcW w:w="3048" w:type="dxa"/>
          </w:tcPr>
          <w:p w14:paraId="3C7811CD" w14:textId="77777777" w:rsidR="002F03F5" w:rsidRPr="009F2AA4" w:rsidRDefault="008F23FF" w:rsidP="00921FF3">
            <w:pPr>
              <w:pStyle w:val="TableText"/>
              <w:keepNext/>
              <w:keepLines/>
              <w:widowControl/>
              <w:jc w:val="center"/>
              <w:rPr>
                <w:iCs/>
              </w:rPr>
            </w:pPr>
            <w:r w:rsidRPr="009F2AA4">
              <w:rPr>
                <w:rFonts w:eastAsia="Times New Roman" w:cs="Times New Roman"/>
                <w:iCs/>
              </w:rPr>
              <w:t>12.2</w:t>
            </w:r>
          </w:p>
        </w:tc>
      </w:tr>
      <w:tr w:rsidR="002F03F5" w:rsidRPr="009F2AA4" w14:paraId="3C7811D2" w14:textId="77777777" w:rsidTr="00173793">
        <w:trPr>
          <w:trHeight w:val="20"/>
        </w:trPr>
        <w:tc>
          <w:tcPr>
            <w:tcW w:w="2931" w:type="dxa"/>
          </w:tcPr>
          <w:p w14:paraId="3C7811CF" w14:textId="77777777" w:rsidR="002F03F5" w:rsidRPr="009F2AA4" w:rsidRDefault="008F23FF" w:rsidP="00921FF3">
            <w:pPr>
              <w:pStyle w:val="TableText"/>
              <w:keepNext/>
              <w:keepLines/>
              <w:widowControl/>
              <w:rPr>
                <w:bCs/>
                <w:iCs/>
              </w:rPr>
            </w:pPr>
            <w:r w:rsidRPr="009F2AA4">
              <w:rPr>
                <w:rFonts w:eastAsia="Times New Roman" w:cs="Times New Roman"/>
                <w:bCs/>
                <w:iCs/>
              </w:rPr>
              <w:t>Logistic</w:t>
            </w:r>
          </w:p>
        </w:tc>
        <w:tc>
          <w:tcPr>
            <w:tcW w:w="3047" w:type="dxa"/>
          </w:tcPr>
          <w:p w14:paraId="3C7811D0" w14:textId="77777777" w:rsidR="002F03F5" w:rsidRPr="009F2AA4" w:rsidRDefault="008F23FF" w:rsidP="00921FF3">
            <w:pPr>
              <w:pStyle w:val="TableText"/>
              <w:keepNext/>
              <w:keepLines/>
              <w:widowControl/>
              <w:jc w:val="center"/>
              <w:rPr>
                <w:bCs/>
                <w:iCs/>
              </w:rPr>
            </w:pPr>
            <w:r w:rsidRPr="009F2AA4">
              <w:rPr>
                <w:rFonts w:eastAsia="Times New Roman" w:cs="Times New Roman"/>
                <w:iCs/>
              </w:rPr>
              <w:t>7.0</w:t>
            </w:r>
          </w:p>
        </w:tc>
        <w:tc>
          <w:tcPr>
            <w:tcW w:w="3048" w:type="dxa"/>
          </w:tcPr>
          <w:p w14:paraId="3C7811D1" w14:textId="77777777" w:rsidR="002F03F5" w:rsidRPr="009F2AA4" w:rsidRDefault="008F23FF" w:rsidP="00921FF3">
            <w:pPr>
              <w:pStyle w:val="TableText"/>
              <w:keepNext/>
              <w:keepLines/>
              <w:widowControl/>
              <w:jc w:val="center"/>
              <w:rPr>
                <w:iCs/>
              </w:rPr>
            </w:pPr>
            <w:r w:rsidRPr="009F2AA4">
              <w:rPr>
                <w:rFonts w:eastAsia="Times New Roman" w:cs="Times New Roman"/>
                <w:iCs/>
              </w:rPr>
              <w:t>11.7</w:t>
            </w:r>
          </w:p>
        </w:tc>
      </w:tr>
      <w:tr w:rsidR="002F03F5" w:rsidRPr="009F2AA4" w14:paraId="3C7811D6" w14:textId="77777777" w:rsidTr="00173793">
        <w:trPr>
          <w:trHeight w:val="20"/>
        </w:trPr>
        <w:tc>
          <w:tcPr>
            <w:tcW w:w="2931" w:type="dxa"/>
          </w:tcPr>
          <w:p w14:paraId="3C7811D3" w14:textId="77777777" w:rsidR="002F03F5" w:rsidRPr="009F2AA4" w:rsidRDefault="008F23FF" w:rsidP="00921FF3">
            <w:pPr>
              <w:pStyle w:val="TableText"/>
              <w:keepNext/>
              <w:keepLines/>
              <w:widowControl/>
              <w:rPr>
                <w:bCs/>
                <w:iCs/>
              </w:rPr>
            </w:pPr>
            <w:r w:rsidRPr="009F2AA4">
              <w:rPr>
                <w:rFonts w:eastAsia="Times New Roman" w:cs="Times New Roman"/>
                <w:bCs/>
                <w:iCs/>
              </w:rPr>
              <w:t>Gompertz</w:t>
            </w:r>
          </w:p>
        </w:tc>
        <w:tc>
          <w:tcPr>
            <w:tcW w:w="3047" w:type="dxa"/>
          </w:tcPr>
          <w:p w14:paraId="3C7811D4" w14:textId="77777777" w:rsidR="002F03F5" w:rsidRPr="009F2AA4" w:rsidRDefault="008F23FF" w:rsidP="00921FF3">
            <w:pPr>
              <w:pStyle w:val="TableText"/>
              <w:keepNext/>
              <w:keepLines/>
              <w:widowControl/>
              <w:jc w:val="center"/>
              <w:rPr>
                <w:bCs/>
                <w:iCs/>
              </w:rPr>
            </w:pPr>
            <w:r w:rsidRPr="009F2AA4">
              <w:rPr>
                <w:rFonts w:eastAsia="Times New Roman" w:cs="Times New Roman"/>
                <w:iCs/>
              </w:rPr>
              <w:t>4.1</w:t>
            </w:r>
          </w:p>
        </w:tc>
        <w:tc>
          <w:tcPr>
            <w:tcW w:w="3048" w:type="dxa"/>
          </w:tcPr>
          <w:p w14:paraId="3C7811D5" w14:textId="77777777" w:rsidR="002F03F5" w:rsidRPr="009F2AA4" w:rsidRDefault="008F23FF" w:rsidP="00921FF3">
            <w:pPr>
              <w:pStyle w:val="TableText"/>
              <w:keepNext/>
              <w:keepLines/>
              <w:widowControl/>
              <w:jc w:val="center"/>
              <w:rPr>
                <w:iCs/>
              </w:rPr>
            </w:pPr>
            <w:r w:rsidRPr="009F2AA4">
              <w:rPr>
                <w:rFonts w:eastAsia="Times New Roman" w:cs="Times New Roman"/>
                <w:iCs/>
              </w:rPr>
              <w:t>11.7</w:t>
            </w:r>
          </w:p>
        </w:tc>
      </w:tr>
      <w:tr w:rsidR="002F03F5" w:rsidRPr="009F2AA4" w14:paraId="3C7811DA" w14:textId="77777777" w:rsidTr="00173793">
        <w:trPr>
          <w:trHeight w:val="20"/>
        </w:trPr>
        <w:tc>
          <w:tcPr>
            <w:tcW w:w="2931" w:type="dxa"/>
          </w:tcPr>
          <w:p w14:paraId="3C7811D7" w14:textId="77777777" w:rsidR="002F03F5" w:rsidRPr="009F2AA4" w:rsidRDefault="008F23FF" w:rsidP="00921FF3">
            <w:pPr>
              <w:pStyle w:val="TableText"/>
              <w:keepNext/>
              <w:keepLines/>
              <w:widowControl/>
              <w:rPr>
                <w:bCs/>
                <w:iCs/>
              </w:rPr>
            </w:pPr>
            <w:r w:rsidRPr="009F2AA4">
              <w:rPr>
                <w:rFonts w:eastAsia="Times New Roman" w:cs="Times New Roman"/>
                <w:bCs/>
                <w:iCs/>
              </w:rPr>
              <w:t>Gamma</w:t>
            </w:r>
          </w:p>
        </w:tc>
        <w:tc>
          <w:tcPr>
            <w:tcW w:w="3047" w:type="dxa"/>
          </w:tcPr>
          <w:p w14:paraId="3C7811D8" w14:textId="77777777" w:rsidR="002F03F5" w:rsidRPr="009F2AA4" w:rsidRDefault="008F23FF" w:rsidP="00921FF3">
            <w:pPr>
              <w:pStyle w:val="TableText"/>
              <w:keepNext/>
              <w:keepLines/>
              <w:widowControl/>
              <w:jc w:val="center"/>
              <w:rPr>
                <w:bCs/>
                <w:iCs/>
              </w:rPr>
            </w:pPr>
            <w:r w:rsidRPr="009F2AA4">
              <w:rPr>
                <w:rFonts w:eastAsia="Times New Roman" w:cs="Times New Roman"/>
                <w:iCs/>
              </w:rPr>
              <w:t>5.0</w:t>
            </w:r>
          </w:p>
        </w:tc>
        <w:tc>
          <w:tcPr>
            <w:tcW w:w="3048" w:type="dxa"/>
          </w:tcPr>
          <w:p w14:paraId="3C7811D9" w14:textId="77777777" w:rsidR="002F03F5" w:rsidRPr="009F2AA4" w:rsidRDefault="008F23FF" w:rsidP="00921FF3">
            <w:pPr>
              <w:pStyle w:val="TableText"/>
              <w:keepNext/>
              <w:keepLines/>
              <w:widowControl/>
              <w:jc w:val="center"/>
              <w:rPr>
                <w:iCs/>
              </w:rPr>
            </w:pPr>
            <w:r w:rsidRPr="009F2AA4">
              <w:rPr>
                <w:rFonts w:eastAsia="Times New Roman" w:cs="Times New Roman"/>
                <w:iCs/>
              </w:rPr>
              <w:t>11.8</w:t>
            </w:r>
          </w:p>
        </w:tc>
      </w:tr>
      <w:tr w:rsidR="002F03F5" w:rsidRPr="009F2AA4" w14:paraId="3C7811DE" w14:textId="77777777" w:rsidTr="00173793">
        <w:trPr>
          <w:trHeight w:val="20"/>
        </w:trPr>
        <w:tc>
          <w:tcPr>
            <w:tcW w:w="2931" w:type="dxa"/>
          </w:tcPr>
          <w:p w14:paraId="3C7811DB" w14:textId="77777777" w:rsidR="002F03F5" w:rsidRPr="009F2AA4" w:rsidRDefault="008F23FF" w:rsidP="00921FF3">
            <w:pPr>
              <w:pStyle w:val="TableText"/>
              <w:keepNext/>
              <w:keepLines/>
              <w:widowControl/>
              <w:rPr>
                <w:bCs/>
                <w:iCs/>
              </w:rPr>
            </w:pPr>
            <w:r w:rsidRPr="009F2AA4">
              <w:rPr>
                <w:rFonts w:eastAsia="Times New Roman" w:cs="Times New Roman"/>
                <w:bCs/>
                <w:iCs/>
              </w:rPr>
              <w:t>Generalised gamma</w:t>
            </w:r>
          </w:p>
        </w:tc>
        <w:tc>
          <w:tcPr>
            <w:tcW w:w="3047" w:type="dxa"/>
          </w:tcPr>
          <w:p w14:paraId="3C7811DC" w14:textId="77777777" w:rsidR="002F03F5" w:rsidRPr="009F2AA4" w:rsidRDefault="008F23FF" w:rsidP="00921FF3">
            <w:pPr>
              <w:pStyle w:val="TableText"/>
              <w:keepNext/>
              <w:keepLines/>
              <w:widowControl/>
              <w:jc w:val="center"/>
              <w:rPr>
                <w:bCs/>
                <w:iCs/>
              </w:rPr>
            </w:pPr>
            <w:r w:rsidRPr="009F2AA4">
              <w:rPr>
                <w:rFonts w:eastAsia="Times New Roman" w:cs="Times New Roman"/>
                <w:iCs/>
              </w:rPr>
              <w:t>4.1</w:t>
            </w:r>
          </w:p>
        </w:tc>
        <w:tc>
          <w:tcPr>
            <w:tcW w:w="3048" w:type="dxa"/>
          </w:tcPr>
          <w:p w14:paraId="3C7811DD" w14:textId="77777777" w:rsidR="002F03F5" w:rsidRPr="009F2AA4" w:rsidRDefault="008F23FF" w:rsidP="00921FF3">
            <w:pPr>
              <w:pStyle w:val="TableText"/>
              <w:keepNext/>
              <w:keepLines/>
              <w:widowControl/>
              <w:jc w:val="center"/>
              <w:rPr>
                <w:iCs/>
              </w:rPr>
            </w:pPr>
            <w:r w:rsidRPr="009F2AA4">
              <w:rPr>
                <w:rFonts w:eastAsia="Times New Roman" w:cs="Times New Roman"/>
                <w:iCs/>
              </w:rPr>
              <w:t>13.0</w:t>
            </w:r>
          </w:p>
        </w:tc>
      </w:tr>
      <w:tr w:rsidR="002F03F5" w:rsidRPr="009F2AA4" w14:paraId="3C7811E2" w14:textId="77777777" w:rsidTr="00173793">
        <w:trPr>
          <w:trHeight w:val="20"/>
        </w:trPr>
        <w:tc>
          <w:tcPr>
            <w:tcW w:w="2931" w:type="dxa"/>
          </w:tcPr>
          <w:p w14:paraId="3C7811DF" w14:textId="77777777" w:rsidR="002F03F5" w:rsidRPr="009F2AA4" w:rsidRDefault="008F23FF" w:rsidP="00921FF3">
            <w:pPr>
              <w:pStyle w:val="TableText"/>
              <w:keepNext/>
              <w:keepLines/>
              <w:widowControl/>
              <w:rPr>
                <w:bCs/>
                <w:iCs/>
              </w:rPr>
            </w:pPr>
            <w:r w:rsidRPr="009F2AA4">
              <w:rPr>
                <w:rFonts w:eastAsia="Times New Roman" w:cs="Times New Roman"/>
                <w:bCs/>
                <w:iCs/>
              </w:rPr>
              <w:t>Spline/knot=1</w:t>
            </w:r>
          </w:p>
        </w:tc>
        <w:tc>
          <w:tcPr>
            <w:tcW w:w="3047" w:type="dxa"/>
          </w:tcPr>
          <w:p w14:paraId="3C7811E0" w14:textId="77777777" w:rsidR="002F03F5" w:rsidRPr="009F2AA4" w:rsidRDefault="008F23FF" w:rsidP="00921FF3">
            <w:pPr>
              <w:pStyle w:val="TableText"/>
              <w:keepNext/>
              <w:keepLines/>
              <w:widowControl/>
              <w:jc w:val="center"/>
              <w:rPr>
                <w:bCs/>
                <w:iCs/>
              </w:rPr>
            </w:pPr>
            <w:r w:rsidRPr="009F2AA4">
              <w:rPr>
                <w:rFonts w:eastAsia="Times New Roman" w:cs="Times New Roman"/>
                <w:iCs/>
              </w:rPr>
              <w:t>6.6</w:t>
            </w:r>
          </w:p>
        </w:tc>
        <w:tc>
          <w:tcPr>
            <w:tcW w:w="3048" w:type="dxa"/>
          </w:tcPr>
          <w:p w14:paraId="3C7811E1" w14:textId="77777777" w:rsidR="002F03F5" w:rsidRPr="009F2AA4" w:rsidRDefault="008F23FF" w:rsidP="00921FF3">
            <w:pPr>
              <w:pStyle w:val="TableText"/>
              <w:keepNext/>
              <w:keepLines/>
              <w:widowControl/>
              <w:jc w:val="center"/>
              <w:rPr>
                <w:iCs/>
              </w:rPr>
            </w:pPr>
            <w:r w:rsidRPr="009F2AA4">
              <w:rPr>
                <w:rFonts w:eastAsia="Times New Roman" w:cs="Times New Roman"/>
                <w:iCs/>
              </w:rPr>
              <w:t>12.9</w:t>
            </w:r>
          </w:p>
        </w:tc>
      </w:tr>
      <w:tr w:rsidR="002F03F5" w:rsidRPr="009F2AA4" w14:paraId="3C7811E6" w14:textId="77777777" w:rsidTr="00173793">
        <w:trPr>
          <w:trHeight w:val="20"/>
        </w:trPr>
        <w:tc>
          <w:tcPr>
            <w:tcW w:w="2931" w:type="dxa"/>
          </w:tcPr>
          <w:p w14:paraId="3C7811E3" w14:textId="77777777" w:rsidR="002F03F5" w:rsidRPr="009F2AA4" w:rsidRDefault="008F23FF" w:rsidP="00921FF3">
            <w:pPr>
              <w:pStyle w:val="TableText"/>
              <w:keepNext/>
              <w:keepLines/>
              <w:widowControl/>
              <w:rPr>
                <w:bCs/>
                <w:iCs/>
              </w:rPr>
            </w:pPr>
            <w:r w:rsidRPr="009F2AA4">
              <w:rPr>
                <w:rFonts w:eastAsia="Times New Roman" w:cs="Times New Roman"/>
                <w:bCs/>
                <w:iCs/>
              </w:rPr>
              <w:t>Spline/knot=2</w:t>
            </w:r>
          </w:p>
        </w:tc>
        <w:tc>
          <w:tcPr>
            <w:tcW w:w="3047" w:type="dxa"/>
          </w:tcPr>
          <w:p w14:paraId="3C7811E4" w14:textId="77777777" w:rsidR="002F03F5" w:rsidRPr="009F2AA4" w:rsidRDefault="008F23FF" w:rsidP="00921FF3">
            <w:pPr>
              <w:pStyle w:val="TableText"/>
              <w:keepNext/>
              <w:keepLines/>
              <w:widowControl/>
              <w:jc w:val="center"/>
              <w:rPr>
                <w:bCs/>
                <w:iCs/>
              </w:rPr>
            </w:pPr>
            <w:r w:rsidRPr="009F2AA4">
              <w:rPr>
                <w:rFonts w:eastAsia="Times New Roman" w:cs="Times New Roman"/>
                <w:iCs/>
              </w:rPr>
              <w:t>7.0</w:t>
            </w:r>
          </w:p>
        </w:tc>
        <w:tc>
          <w:tcPr>
            <w:tcW w:w="3048" w:type="dxa"/>
          </w:tcPr>
          <w:p w14:paraId="3C7811E5" w14:textId="77777777" w:rsidR="002F03F5" w:rsidRPr="009F2AA4" w:rsidRDefault="008F23FF" w:rsidP="00921FF3">
            <w:pPr>
              <w:pStyle w:val="TableText"/>
              <w:keepNext/>
              <w:keepLines/>
              <w:widowControl/>
              <w:jc w:val="center"/>
              <w:rPr>
                <w:iCs/>
              </w:rPr>
            </w:pPr>
            <w:r w:rsidRPr="009F2AA4">
              <w:rPr>
                <w:rFonts w:eastAsia="Times New Roman" w:cs="Times New Roman"/>
                <w:iCs/>
              </w:rPr>
              <w:t>13.1</w:t>
            </w:r>
          </w:p>
        </w:tc>
      </w:tr>
      <w:tr w:rsidR="002F03F5" w:rsidRPr="009F2AA4" w14:paraId="3C7811EA" w14:textId="77777777" w:rsidTr="00173793">
        <w:trPr>
          <w:trHeight w:val="20"/>
        </w:trPr>
        <w:tc>
          <w:tcPr>
            <w:tcW w:w="2931" w:type="dxa"/>
          </w:tcPr>
          <w:p w14:paraId="3C7811E7" w14:textId="77777777" w:rsidR="002F03F5" w:rsidRPr="009F2AA4" w:rsidRDefault="008F23FF" w:rsidP="00921FF3">
            <w:pPr>
              <w:pStyle w:val="TableText"/>
              <w:keepNext/>
              <w:keepLines/>
              <w:widowControl/>
              <w:rPr>
                <w:bCs/>
                <w:iCs/>
              </w:rPr>
            </w:pPr>
            <w:r w:rsidRPr="009F2AA4">
              <w:rPr>
                <w:rFonts w:eastAsia="Times New Roman" w:cs="Times New Roman"/>
                <w:bCs/>
                <w:iCs/>
              </w:rPr>
              <w:t>Spline/knot=3</w:t>
            </w:r>
          </w:p>
        </w:tc>
        <w:tc>
          <w:tcPr>
            <w:tcW w:w="3047" w:type="dxa"/>
          </w:tcPr>
          <w:p w14:paraId="3C7811E8" w14:textId="77777777" w:rsidR="002F03F5" w:rsidRPr="009F2AA4" w:rsidRDefault="008F23FF" w:rsidP="00921FF3">
            <w:pPr>
              <w:pStyle w:val="TableText"/>
              <w:keepNext/>
              <w:keepLines/>
              <w:widowControl/>
              <w:jc w:val="center"/>
              <w:rPr>
                <w:bCs/>
                <w:iCs/>
              </w:rPr>
            </w:pPr>
            <w:r w:rsidRPr="009F2AA4">
              <w:rPr>
                <w:rFonts w:eastAsia="Times New Roman" w:cs="Times New Roman"/>
                <w:iCs/>
              </w:rPr>
              <w:t>6.7</w:t>
            </w:r>
          </w:p>
        </w:tc>
        <w:tc>
          <w:tcPr>
            <w:tcW w:w="3048" w:type="dxa"/>
          </w:tcPr>
          <w:p w14:paraId="3C7811E9" w14:textId="77777777" w:rsidR="002F03F5" w:rsidRPr="009F2AA4" w:rsidRDefault="008F23FF" w:rsidP="00921FF3">
            <w:pPr>
              <w:pStyle w:val="TableText"/>
              <w:keepNext/>
              <w:keepLines/>
              <w:widowControl/>
              <w:jc w:val="center"/>
              <w:rPr>
                <w:iCs/>
              </w:rPr>
            </w:pPr>
            <w:r w:rsidRPr="009F2AA4">
              <w:rPr>
                <w:rFonts w:eastAsia="Times New Roman" w:cs="Times New Roman"/>
                <w:iCs/>
              </w:rPr>
              <w:t>13.1</w:t>
            </w:r>
          </w:p>
        </w:tc>
      </w:tr>
    </w:tbl>
    <w:p w14:paraId="3C7811EB" w14:textId="77777777" w:rsidR="002F03F5" w:rsidRPr="009F2AA4" w:rsidRDefault="008F23FF" w:rsidP="00921FF3">
      <w:pPr>
        <w:pStyle w:val="TableFooter"/>
        <w:keepNext/>
        <w:keepLines/>
        <w:widowControl/>
        <w:rPr>
          <w:iCs/>
        </w:rPr>
      </w:pPr>
      <w:r w:rsidRPr="009F2AA4">
        <w:rPr>
          <w:iCs/>
        </w:rPr>
        <w:t xml:space="preserve">Source: extracted using ‘Survival’ and ‘Selpercatinib </w:t>
      </w:r>
      <w:proofErr w:type="spellStart"/>
      <w:r w:rsidRPr="009F2AA4">
        <w:rPr>
          <w:iCs/>
        </w:rPr>
        <w:t>PartSM</w:t>
      </w:r>
      <w:proofErr w:type="spellEnd"/>
      <w:r w:rsidRPr="009F2AA4">
        <w:rPr>
          <w:iCs/>
        </w:rPr>
        <w:t>’ worksheets from the economic model</w:t>
      </w:r>
    </w:p>
    <w:p w14:paraId="3C7811EC" w14:textId="77777777" w:rsidR="002F03F5" w:rsidRPr="009F2AA4" w:rsidRDefault="008F23FF" w:rsidP="00921FF3">
      <w:pPr>
        <w:pStyle w:val="TableFooter"/>
        <w:keepNext/>
        <w:keepLines/>
        <w:widowControl/>
        <w:rPr>
          <w:iCs/>
        </w:rPr>
      </w:pPr>
      <w:r w:rsidRPr="009F2AA4">
        <w:rPr>
          <w:iCs/>
        </w:rPr>
        <w:t xml:space="preserve">LY = life year; PF = progression free; PFS = progression free survival; ToT = time on treatment </w:t>
      </w:r>
    </w:p>
    <w:p w14:paraId="3C7811ED" w14:textId="77777777" w:rsidR="002F03F5" w:rsidRPr="009F2AA4" w:rsidRDefault="008F23FF" w:rsidP="00921FF3">
      <w:pPr>
        <w:pStyle w:val="TableFooter"/>
        <w:keepNext/>
        <w:keepLines/>
        <w:widowControl/>
        <w:rPr>
          <w:iCs/>
        </w:rPr>
      </w:pPr>
      <w:r w:rsidRPr="009F2AA4">
        <w:rPr>
          <w:iCs/>
          <w:vertAlign w:val="superscript"/>
        </w:rPr>
        <w:t>a</w:t>
      </w:r>
      <w:r w:rsidRPr="009F2AA4">
        <w:rPr>
          <w:iCs/>
        </w:rPr>
        <w:t xml:space="preserve"> varying PFS extrapolations</w:t>
      </w:r>
    </w:p>
    <w:p w14:paraId="3C7811EE" w14:textId="77777777" w:rsidR="002F03F5" w:rsidRPr="009F2AA4" w:rsidRDefault="008F23FF" w:rsidP="00921FF3">
      <w:pPr>
        <w:pStyle w:val="TableFooter"/>
        <w:widowControl/>
        <w:rPr>
          <w:iCs/>
          <w:color w:val="3366FF"/>
        </w:rPr>
      </w:pPr>
      <w:r w:rsidRPr="009F2AA4">
        <w:rPr>
          <w:iCs/>
          <w:vertAlign w:val="superscript"/>
        </w:rPr>
        <w:t>b</w:t>
      </w:r>
      <w:r w:rsidRPr="009F2AA4">
        <w:rPr>
          <w:iCs/>
        </w:rPr>
        <w:t xml:space="preserve"> varying ToT extrapolations and assumed ToT was capped to OS to maintain plausible curves</w:t>
      </w:r>
    </w:p>
    <w:p w14:paraId="3C7811EF" w14:textId="42C271C2" w:rsidR="002F03F5" w:rsidRPr="00FE7A67" w:rsidRDefault="008F23FF" w:rsidP="00921FF3">
      <w:pPr>
        <w:pStyle w:val="3-BodyText"/>
      </w:pPr>
      <w:bookmarkStart w:id="80" w:name="_Ref216641400"/>
      <w:r w:rsidRPr="00FE7A67">
        <w:lastRenderedPageBreak/>
        <w:t>Under the assumption that ToT was dependent on PFS (i.e., treated to disease progression), varying the PFS extrapolation led to mean treatment durations of 4.1 to 8.7 years (-</w:t>
      </w:r>
      <w:r w:rsidR="00B73859" w:rsidRPr="00B73859">
        <w:rPr>
          <w:sz w:val="2"/>
          <w:highlight w:val="black"/>
        </w:rPr>
        <w:t>redacted content</w:t>
      </w:r>
      <w:r w:rsidRPr="00FE7A67">
        <w:t>% to +</w:t>
      </w:r>
      <w:r w:rsidR="00B73859" w:rsidRPr="00B73859">
        <w:rPr>
          <w:sz w:val="2"/>
          <w:highlight w:val="black"/>
        </w:rPr>
        <w:t>redacted content</w:t>
      </w:r>
      <w:r w:rsidRPr="00FE7A67">
        <w:t xml:space="preserve">% changes in the ICER; see </w:t>
      </w:r>
      <w:r w:rsidR="00C4566A">
        <w:fldChar w:fldCharType="begin"/>
      </w:r>
      <w:r w:rsidR="00C4566A">
        <w:instrText xml:space="preserve"> REF _Ref225267050 \h </w:instrText>
      </w:r>
      <w:r w:rsidR="00C4566A">
        <w:fldChar w:fldCharType="separate"/>
      </w:r>
      <w:r w:rsidR="003A3B69">
        <w:t xml:space="preserve">Table </w:t>
      </w:r>
      <w:r w:rsidR="003A3B69">
        <w:rPr>
          <w:noProof/>
        </w:rPr>
        <w:t>15</w:t>
      </w:r>
      <w:r w:rsidR="00C4566A">
        <w:fldChar w:fldCharType="end"/>
      </w:r>
      <w:r w:rsidR="00703E9D">
        <w:t>)</w:t>
      </w:r>
      <w:r w:rsidRPr="00FE7A67">
        <w:t xml:space="preserve">. However, no adjustments were made to the efficacy inputs from LIBRETTO-531, and the evaluation considered it possible that any additional survival benefit from patients who continued in the trial was maintained in the model. As such, the evaluation considered that the modelled survival was potentially overestimated relative to clinical practice. Varying the ToT extrapolations while </w:t>
      </w:r>
      <w:r w:rsidR="006C484F">
        <w:t>ToT</w:t>
      </w:r>
      <w:r w:rsidR="006C484F" w:rsidRPr="00FE7A67">
        <w:t xml:space="preserve"> </w:t>
      </w:r>
      <w:r w:rsidRPr="00FE7A67">
        <w:t xml:space="preserve">was dependent on PFS (i.e., PFS capping applied in the model) had </w:t>
      </w:r>
      <w:r w:rsidR="008B74EB">
        <w:t xml:space="preserve">a </w:t>
      </w:r>
      <w:r w:rsidR="00625800">
        <w:t xml:space="preserve">moderate and </w:t>
      </w:r>
      <w:r w:rsidR="008B74EB">
        <w:t>var</w:t>
      </w:r>
      <w:r w:rsidR="00625800">
        <w:t>iable</w:t>
      </w:r>
      <w:r w:rsidRPr="00FE7A67">
        <w:t xml:space="preserve"> impact on the ICER</w:t>
      </w:r>
      <w:r w:rsidR="00625800">
        <w:t xml:space="preserve"> (-</w:t>
      </w:r>
      <w:r w:rsidR="00B73859" w:rsidRPr="00B73859">
        <w:rPr>
          <w:sz w:val="2"/>
          <w:highlight w:val="black"/>
        </w:rPr>
        <w:t>redacted content</w:t>
      </w:r>
      <w:r w:rsidR="00625800">
        <w:t>% to +</w:t>
      </w:r>
      <w:r w:rsidR="00B73859" w:rsidRPr="00B73859">
        <w:rPr>
          <w:sz w:val="2"/>
          <w:highlight w:val="black"/>
        </w:rPr>
        <w:t>redacted content</w:t>
      </w:r>
      <w:r w:rsidR="00625800">
        <w:t>%)</w:t>
      </w:r>
      <w:r w:rsidRPr="00FE7A67">
        <w:t>. Alternatively, under the assumption that ToT was independent to PFS (i.e., PFS capping not applied in the model), varying the ToT extrapolation led to mean treatment durations of 11.7 to 13.1 years and increased the ICER by +</w:t>
      </w:r>
      <w:r w:rsidR="00B73859" w:rsidRPr="00B73859">
        <w:rPr>
          <w:sz w:val="2"/>
          <w:highlight w:val="black"/>
        </w:rPr>
        <w:t>redacted content</w:t>
      </w:r>
      <w:r w:rsidRPr="00FE7A67">
        <w:t>% to +</w:t>
      </w:r>
      <w:r w:rsidR="00B73859" w:rsidRPr="00B73859">
        <w:rPr>
          <w:sz w:val="2"/>
          <w:highlight w:val="black"/>
        </w:rPr>
        <w:t>redacted content</w:t>
      </w:r>
      <w:r w:rsidRPr="00FE7A67">
        <w:t>%. Regardless, given the applicability concerns discussed for the modelling of OS and PFS, the evaluation considered that the selpercatinib treatment duration as informed by either PFS or ToT from LIBRETTO-531 was potentially underestimated relative to the requested population. ToT was a key driver of the model due to its impact on selpercatinib treatment costs.</w:t>
      </w:r>
      <w:bookmarkEnd w:id="80"/>
    </w:p>
    <w:p w14:paraId="3C7811F0" w14:textId="2C1C702B" w:rsidR="002F03F5" w:rsidRPr="00FE7A67" w:rsidRDefault="008F23FF" w:rsidP="00921FF3">
      <w:pPr>
        <w:pStyle w:val="3-BodyText"/>
      </w:pPr>
      <w:r w:rsidRPr="00FE7A67">
        <w:t>Overall, the evaluation and the ESCs considered that the modelled OS, PFS, and ToT based on LIBRETTO-531 has potentially overestimated the comparative benefit and underestimated comparative costs of selpercatinib vs BSC compared to clinical practice.</w:t>
      </w:r>
      <w:r w:rsidR="007E3114">
        <w:t xml:space="preserve"> </w:t>
      </w:r>
      <w:r w:rsidR="00187CB2">
        <w:t>T</w:t>
      </w:r>
      <w:r w:rsidRPr="00FE7A67">
        <w:t>he trial’s generalisability to the cohort</w:t>
      </w:r>
      <w:r w:rsidRPr="004B5048">
        <w:t xml:space="preserve"> of MTC patients with progressive and unresectable MTC in clinical practice remained unclear (see paragraph </w:t>
      </w:r>
      <w:r w:rsidR="00E14317" w:rsidRPr="004B5048">
        <w:fldChar w:fldCharType="begin"/>
      </w:r>
      <w:r w:rsidR="00E14317" w:rsidRPr="004B5048">
        <w:instrText xml:space="preserve"> REF _Ref222831866 \r \h </w:instrText>
      </w:r>
      <w:r w:rsidR="00407557" w:rsidRPr="004B5048">
        <w:instrText xml:space="preserve"> \* MERGEFORMAT </w:instrText>
      </w:r>
      <w:r w:rsidR="00E14317" w:rsidRPr="004B5048">
        <w:fldChar w:fldCharType="separate"/>
      </w:r>
      <w:r w:rsidR="001617F9">
        <w:t>4.5</w:t>
      </w:r>
      <w:r w:rsidR="00E14317" w:rsidRPr="004B5048">
        <w:fldChar w:fldCharType="end"/>
      </w:r>
      <w:r w:rsidRPr="004B5048">
        <w:t xml:space="preserve">); there remained uncertainties in the OS HR estimate from LIBRETTO-531 (e.g., was not powered to detect a significant OS difference and allowed treatment beyond disease progression); and the placebo arm from </w:t>
      </w:r>
      <w:r w:rsidRPr="00FE7A67">
        <w:t>EXAM had potentially worse prognosis compared to selpercatinib. As such the evaluation and the ESCs considered that the incremental benefit remained overestimated and costs underestimated but the magnitude uncertain.</w:t>
      </w:r>
    </w:p>
    <w:p w14:paraId="3C7811F1" w14:textId="740793B7" w:rsidR="002F03F5" w:rsidRPr="00FE7A67" w:rsidRDefault="008F23FF" w:rsidP="00921FF3">
      <w:pPr>
        <w:pStyle w:val="3-BodyText"/>
      </w:pPr>
      <w:r w:rsidRPr="00FE7A67">
        <w:t>Health state utilities were based on the EuroQoL 5 dimension 5 level (EQ 5D 5L) index score from LIBRETTO-531 mapped using Australian tariffs from Norman 2023. The submission also incorporated age-adjusted utilities based on the algorithm from Ara &amp; Brazier 2010. Disutility due to AEs was applied once</w:t>
      </w:r>
      <w:r w:rsidR="00754703">
        <w:t>-</w:t>
      </w:r>
      <w:r w:rsidRPr="00FE7A67">
        <w:t>off in the first cycle</w:t>
      </w:r>
      <w:r w:rsidR="00754703">
        <w:t>,</w:t>
      </w:r>
      <w:r w:rsidRPr="00FE7A67">
        <w:t xml:space="preserve"> based on AE frequencies from LIBRETTO-531 and EXAM.</w:t>
      </w:r>
    </w:p>
    <w:p w14:paraId="3C7811F2" w14:textId="56663D2F" w:rsidR="002F03F5" w:rsidRPr="00FE7A67" w:rsidRDefault="008F23FF" w:rsidP="00921FF3">
      <w:pPr>
        <w:pStyle w:val="3-BodyText"/>
      </w:pPr>
      <w:r w:rsidRPr="00FE7A67">
        <w:t xml:space="preserve">The EQ 5D 5L questionnaire was administered to patients on day 1 of each 3 week treatment cycle prior to receiving study treatment in LIBRETTO-531. The PF health state utility was based on all patients with a post-baseline pre-progression assessment (n=275, mean utility = 0.8839) and the PD health state was based on all patients with a post-progression assessment (n=61, mean utility = 0.8672). The number of patients with post-progression assessments was relatively low (61/291 [21%]) compared to the pre-progression assessments (275/291 [95%]). The evaluation considered that this presented the potential for survivorship bias, where only patients who were well enough to complete assessments did so, and potentially explained the similarities in between the mean utility in the PD state (0.8672) and the PF state (0.8839). </w:t>
      </w:r>
    </w:p>
    <w:p w14:paraId="3C7811F3" w14:textId="40325195" w:rsidR="002F03F5" w:rsidRPr="00FE7A67" w:rsidRDefault="008F23FF" w:rsidP="00921FF3">
      <w:pPr>
        <w:pStyle w:val="3-BodyText"/>
      </w:pPr>
      <w:r w:rsidRPr="00FE7A67">
        <w:lastRenderedPageBreak/>
        <w:t>In a hypothetical analysis that assumed the PD utility value was considerably lower (0.50) than the PF utility value (0.8839) the ICER increased by +</w:t>
      </w:r>
      <w:r w:rsidR="00B73859" w:rsidRPr="00B73859">
        <w:rPr>
          <w:sz w:val="2"/>
          <w:highlight w:val="black"/>
        </w:rPr>
        <w:t>redacted content</w:t>
      </w:r>
      <w:r w:rsidRPr="00FE7A67">
        <w:t>%. This was due to favourable OS modelling of the selpercatinib arm compared to the BSC arm where there was a greater proportion of patients alive and occupying the PF and PD health states in the selpercatinib arm compared to the BSC arm. This was similarly observed when alternative utility values were applied from LIBRETTO-531 using UK tariffs (PF =</w:t>
      </w:r>
      <w:r w:rsidRPr="009F2AA4">
        <w:t xml:space="preserve"> 0.776, PD = 0.737; +</w:t>
      </w:r>
      <w:r w:rsidR="00B73859" w:rsidRPr="00B73859">
        <w:rPr>
          <w:sz w:val="2"/>
          <w:highlight w:val="black"/>
        </w:rPr>
        <w:t>redacted content</w:t>
      </w:r>
      <w:r w:rsidRPr="009F2AA4">
        <w:t>% increase in the ICER) and Fordham 2015 (PF = 0.80, PD = 0.50; +</w:t>
      </w:r>
      <w:r w:rsidR="00B73859" w:rsidRPr="00B73859">
        <w:rPr>
          <w:sz w:val="2"/>
          <w:highlight w:val="black"/>
        </w:rPr>
        <w:t>redacted content</w:t>
      </w:r>
      <w:r w:rsidRPr="009F2AA4">
        <w:t xml:space="preserve">% increase in the ICER). Fordham 2015 was a </w:t>
      </w:r>
      <w:r w:rsidRPr="00FE7A67">
        <w:t>vignette study in radioactive iodine refractory differentiated thyroid cancer and was accepted in NICE TA1038 and TA1039 advanced or metastatic</w:t>
      </w:r>
      <w:r w:rsidR="00923547" w:rsidRPr="00923547">
        <w:rPr>
          <w:i/>
        </w:rPr>
        <w:t xml:space="preserve"> RET </w:t>
      </w:r>
      <w:r w:rsidRPr="00FE7A67">
        <w:t xml:space="preserve">variant MTC population. </w:t>
      </w:r>
    </w:p>
    <w:p w14:paraId="3C7811F4" w14:textId="17E6C980" w:rsidR="002F03F5" w:rsidRPr="00FE7A67" w:rsidRDefault="008F23FF" w:rsidP="00921FF3">
      <w:pPr>
        <w:pStyle w:val="3-BodyText"/>
      </w:pPr>
      <w:r w:rsidRPr="00FE7A67">
        <w:t xml:space="preserve">Selpercatinib drug costs were based on published AEMPs for the 80 mg and 40 mg strengths and the proportion of patients on each dosing regimen every 28 day treatment cycle. The model assumed that in the first treatment cycle, </w:t>
      </w:r>
      <w:r w:rsidRPr="00F80736">
        <w:t>98.44%</w:t>
      </w:r>
      <w:r w:rsidRPr="00FE7A67">
        <w:t xml:space="preserve"> of </w:t>
      </w:r>
      <w:r w:rsidRPr="00F80736">
        <w:t xml:space="preserve">patients initiated at 160 mg </w:t>
      </w:r>
      <w:r w:rsidR="007A43DC" w:rsidRPr="00F80736">
        <w:t>twice daily (</w:t>
      </w:r>
      <w:r w:rsidRPr="00F80736">
        <w:t>BID</w:t>
      </w:r>
      <w:r w:rsidR="007A43DC" w:rsidRPr="00F80736">
        <w:t>)</w:t>
      </w:r>
      <w:r w:rsidRPr="00F80736">
        <w:t xml:space="preserve"> </w:t>
      </w:r>
      <w:r w:rsidR="00CC2756" w:rsidRPr="00F80736">
        <w:t>(the recommended dose</w:t>
      </w:r>
      <w:r w:rsidR="00FB39DF" w:rsidRPr="00F80736">
        <w:t xml:space="preserve">, see </w:t>
      </w:r>
      <w:r w:rsidR="00FB39DF" w:rsidRPr="00F80736">
        <w:fldChar w:fldCharType="begin"/>
      </w:r>
      <w:r w:rsidR="00FB39DF" w:rsidRPr="00F80736">
        <w:instrText xml:space="preserve"> REF _Ref226455090 \h </w:instrText>
      </w:r>
      <w:r w:rsidR="00F80736">
        <w:instrText xml:space="preserve"> \* MERGEFORMAT </w:instrText>
      </w:r>
      <w:r w:rsidR="00FB39DF" w:rsidRPr="00F80736">
        <w:fldChar w:fldCharType="separate"/>
      </w:r>
      <w:r w:rsidR="003A3B69" w:rsidRPr="00F80736">
        <w:t xml:space="preserve">Table </w:t>
      </w:r>
      <w:r w:rsidR="003A3B69" w:rsidRPr="00F80736">
        <w:rPr>
          <w:noProof/>
        </w:rPr>
        <w:t>1</w:t>
      </w:r>
      <w:r w:rsidR="00FB39DF" w:rsidRPr="00F80736">
        <w:fldChar w:fldCharType="end"/>
      </w:r>
      <w:r w:rsidR="00CC2756" w:rsidRPr="00F80736">
        <w:t xml:space="preserve">) </w:t>
      </w:r>
      <w:r w:rsidRPr="00F80736">
        <w:t>while 0.52</w:t>
      </w:r>
      <w:r w:rsidRPr="00FE7A67">
        <w:t xml:space="preserve">% and </w:t>
      </w:r>
      <w:r w:rsidRPr="00F80736">
        <w:t>1.04</w:t>
      </w:r>
      <w:r w:rsidRPr="00FE7A67">
        <w:t xml:space="preserve">% initiated at 120 mg BID and 80 mg BID, respectively. From treatment cycle 2 onward, the submission assumed dose reductions were required to manage AEs, and that only </w:t>
      </w:r>
      <w:r w:rsidRPr="00F80736">
        <w:t>4.00</w:t>
      </w:r>
      <w:r w:rsidRPr="00FE7A67">
        <w:t xml:space="preserve">% </w:t>
      </w:r>
      <w:r w:rsidRPr="00D75A17">
        <w:t xml:space="preserve">received 160 mg BID, </w:t>
      </w:r>
      <w:r w:rsidRPr="00F80736">
        <w:t>49.33</w:t>
      </w:r>
      <w:r w:rsidRPr="00D75A17">
        <w:t xml:space="preserve">% received 120 mg, </w:t>
      </w:r>
      <w:r w:rsidRPr="00F80736">
        <w:t>41.33%</w:t>
      </w:r>
      <w:r w:rsidRPr="00D75A17">
        <w:t xml:space="preserve"> received 80 mg, and </w:t>
      </w:r>
      <w:r w:rsidRPr="00F80736">
        <w:t>5.33%</w:t>
      </w:r>
      <w:r w:rsidRPr="00D75A17">
        <w:t xml:space="preserve"> received 40 mg (the proportions from treatment cycle 2 also informed the financial estimates; see</w:t>
      </w:r>
      <w:r w:rsidR="00D75A17" w:rsidRPr="00D75A17">
        <w:t xml:space="preserve"> </w:t>
      </w:r>
      <w:r w:rsidR="00D75A17" w:rsidRPr="00D75A17">
        <w:fldChar w:fldCharType="begin"/>
      </w:r>
      <w:r w:rsidR="00D75A17" w:rsidRPr="00D75A17">
        <w:instrText xml:space="preserve"> REF _Ref225287589 \h </w:instrText>
      </w:r>
      <w:r w:rsidR="00D75A17">
        <w:instrText xml:space="preserve"> \* MERGEFORMAT </w:instrText>
      </w:r>
      <w:r w:rsidR="00D75A17" w:rsidRPr="00D75A17">
        <w:fldChar w:fldCharType="separate"/>
      </w:r>
      <w:r w:rsidR="003A3B69">
        <w:t xml:space="preserve">Table </w:t>
      </w:r>
      <w:r w:rsidR="003A3B69">
        <w:rPr>
          <w:noProof/>
        </w:rPr>
        <w:t>17</w:t>
      </w:r>
      <w:r w:rsidR="00D75A17" w:rsidRPr="00D75A17">
        <w:fldChar w:fldCharType="end"/>
      </w:r>
      <w:r w:rsidRPr="00D75A17">
        <w:t>). Treatment cycle 2 use was assumed constant until the end of the model.</w:t>
      </w:r>
      <w:r w:rsidRPr="00FE7A67">
        <w:t xml:space="preserve"> </w:t>
      </w:r>
    </w:p>
    <w:p w14:paraId="11128280" w14:textId="2EC53ACF" w:rsidR="00623A42" w:rsidRDefault="008F23FF" w:rsidP="00921FF3">
      <w:pPr>
        <w:pStyle w:val="3-BodyText"/>
      </w:pPr>
      <w:bookmarkStart w:id="81" w:name="_Ref219129758"/>
      <w:bookmarkStart w:id="82" w:name="_Ref222239485"/>
      <w:bookmarkStart w:id="83" w:name="_Ref222831982"/>
      <w:bookmarkStart w:id="84" w:name="_Ref216641320"/>
      <w:r w:rsidRPr="00FE7A67">
        <w:t>The submission assumed</w:t>
      </w:r>
      <w:r w:rsidR="007257A8">
        <w:t xml:space="preserve"> that</w:t>
      </w:r>
      <w:r w:rsidRPr="00FE7A67">
        <w:t xml:space="preserve"> </w:t>
      </w:r>
      <w:r w:rsidRPr="00F80736">
        <w:t>over 90%</w:t>
      </w:r>
      <w:r w:rsidRPr="00FE7A67">
        <w:t xml:space="preserve"> of patients had dose reductions to 120 mg, 80 mg, and 40 mg BID after treatment cycle 1</w:t>
      </w:r>
      <w:r w:rsidR="006E03DB">
        <w:t xml:space="preserve">, </w:t>
      </w:r>
      <w:r w:rsidR="005370BE">
        <w:t>and</w:t>
      </w:r>
      <w:r w:rsidRPr="00FE7A67">
        <w:t xml:space="preserve"> remained constant thereafter. According to the Sponsor’s data on file provided during the evaluation, this was based on 141 patients from LIBRETTO-</w:t>
      </w:r>
      <w:r w:rsidRPr="004B5048">
        <w:t>531</w:t>
      </w:r>
      <w:r w:rsidR="007B41F8">
        <w:t>. H</w:t>
      </w:r>
      <w:r w:rsidRPr="004B5048">
        <w:t>owever, the evaluation could not reconcile these proportions with the other data pertaining to the dose adjustments from LIBRETTO-531</w:t>
      </w:r>
      <w:r w:rsidR="00047E7D">
        <w:t>,</w:t>
      </w:r>
      <w:r w:rsidRPr="004B5048">
        <w:t xml:space="preserve"> and were </w:t>
      </w:r>
      <w:r w:rsidR="00AA201E">
        <w:t>the proportions appeared</w:t>
      </w:r>
      <w:r w:rsidR="00AA201E" w:rsidRPr="004B5048">
        <w:t xml:space="preserve"> </w:t>
      </w:r>
      <w:r w:rsidRPr="004B5048">
        <w:t xml:space="preserve">considerably higher in comparison. In LIBRETTO-531, a total of </w:t>
      </w:r>
      <w:r w:rsidRPr="007D5051">
        <w:t>46.1% (89/193)</w:t>
      </w:r>
      <w:r w:rsidR="00AA201E">
        <w:t xml:space="preserve"> patients</w:t>
      </w:r>
      <w:r w:rsidRPr="004B5048">
        <w:t xml:space="preserve"> had a dose reduction, </w:t>
      </w:r>
      <w:r w:rsidRPr="007D5051">
        <w:t>28% (54/193)</w:t>
      </w:r>
      <w:r w:rsidRPr="004B5048">
        <w:t xml:space="preserve"> had one dose reduction (120 mg), and </w:t>
      </w:r>
      <w:r w:rsidRPr="00F34799">
        <w:t>17.1% (33/193)</w:t>
      </w:r>
      <w:r w:rsidRPr="004B5048">
        <w:t xml:space="preserve"> had two dose reductions (80 mg)</w:t>
      </w:r>
      <w:r w:rsidR="0057286A">
        <w:t>,</w:t>
      </w:r>
      <w:r w:rsidRPr="004B5048">
        <w:t xml:space="preserve"> at the latest data cutoff (DCO) </w:t>
      </w:r>
      <w:r w:rsidRPr="00FE7A67">
        <w:t xml:space="preserve">March 2024. The evaluation considered that it was not clear which proportion of dose reductions were the true values from LIBRETTO-531. </w:t>
      </w:r>
      <w:bookmarkEnd w:id="81"/>
      <w:r w:rsidRPr="00FE7A67">
        <w:t>The Sponsor acknowledged the dose reduction discrepancy in the PSCR, and corrected it in the economic and financial models as a revised base case</w:t>
      </w:r>
      <w:bookmarkEnd w:id="82"/>
      <w:r w:rsidR="00E3393B">
        <w:t xml:space="preserve"> (see paragraphs </w:t>
      </w:r>
      <w:r w:rsidR="00FD7E20">
        <w:fldChar w:fldCharType="begin"/>
      </w:r>
      <w:r w:rsidR="00FD7E20">
        <w:instrText xml:space="preserve"> REF _Ref225338280 \r \h </w:instrText>
      </w:r>
      <w:r w:rsidR="00FD7E20">
        <w:fldChar w:fldCharType="separate"/>
      </w:r>
      <w:r w:rsidR="001617F9">
        <w:t>6.70</w:t>
      </w:r>
      <w:r w:rsidR="00FD7E20">
        <w:fldChar w:fldCharType="end"/>
      </w:r>
      <w:r w:rsidR="00FD7E20">
        <w:t xml:space="preserve"> and </w:t>
      </w:r>
      <w:r w:rsidR="00FD7E20">
        <w:fldChar w:fldCharType="begin"/>
      </w:r>
      <w:r w:rsidR="00FD7E20">
        <w:instrText xml:space="preserve"> REF _Ref225338285 \r \h </w:instrText>
      </w:r>
      <w:r w:rsidR="00FD7E20">
        <w:fldChar w:fldCharType="separate"/>
      </w:r>
      <w:r w:rsidR="001617F9">
        <w:t>6.91</w:t>
      </w:r>
      <w:r w:rsidR="00FD7E20">
        <w:fldChar w:fldCharType="end"/>
      </w:r>
      <w:r w:rsidR="00E3393B">
        <w:t>)</w:t>
      </w:r>
      <w:r w:rsidRPr="00FE7A67">
        <w:t>.</w:t>
      </w:r>
      <w:bookmarkEnd w:id="83"/>
    </w:p>
    <w:p w14:paraId="3C7811F6" w14:textId="6C35332A" w:rsidR="002F03F5" w:rsidRPr="00FE7A67" w:rsidRDefault="002528AC" w:rsidP="00921FF3">
      <w:pPr>
        <w:pStyle w:val="3-BodyText"/>
      </w:pPr>
      <w:r>
        <w:t>T</w:t>
      </w:r>
      <w:r w:rsidRPr="00FE7A67">
        <w:t xml:space="preserve">he evaluation considered that </w:t>
      </w:r>
      <w:r w:rsidR="008F23FF" w:rsidRPr="00FE7A67">
        <w:t xml:space="preserve">dose adjustments over time </w:t>
      </w:r>
      <w:r w:rsidR="00BD51BE">
        <w:t>were</w:t>
      </w:r>
      <w:r w:rsidR="008F23FF" w:rsidRPr="00FE7A67">
        <w:t xml:space="preserve"> not appropriately captured in the model</w:t>
      </w:r>
      <w:r w:rsidR="00BD51BE">
        <w:t>,</w:t>
      </w:r>
      <w:r w:rsidR="008F23FF" w:rsidRPr="00FE7A67">
        <w:t xml:space="preserve"> potentially underestimati</w:t>
      </w:r>
      <w:r w:rsidR="00BD51BE">
        <w:t>ng</w:t>
      </w:r>
      <w:r w:rsidR="008F23FF" w:rsidRPr="00FE7A67">
        <w:t xml:space="preserve"> selpercatinib drug costs</w:t>
      </w:r>
      <w:r w:rsidR="001F74F7" w:rsidRPr="009F2AA4">
        <w:t xml:space="preserve">, particularly at the early stages of the model. </w:t>
      </w:r>
      <w:r w:rsidR="008F23FF" w:rsidRPr="00FE7A67">
        <w:t>For example, the model assumed that most patients had dose reductions as early as 28 days after initiation of treatment</w:t>
      </w:r>
      <w:r w:rsidR="00B96153">
        <w:t xml:space="preserve">, </w:t>
      </w:r>
      <w:r w:rsidR="00E22E91">
        <w:t>with</w:t>
      </w:r>
      <w:r w:rsidR="002A6714">
        <w:t xml:space="preserve"> </w:t>
      </w:r>
      <w:r w:rsidR="00E22E91" w:rsidRPr="00FE7A67">
        <w:t>lower dosing regimens maintained from 28 days to the 25 year time horizon.</w:t>
      </w:r>
      <w:r w:rsidR="00B279EA">
        <w:t xml:space="preserve"> </w:t>
      </w:r>
      <w:r w:rsidR="00B96153">
        <w:t xml:space="preserve">The </w:t>
      </w:r>
      <w:r w:rsidR="00B279EA">
        <w:t>evaluation</w:t>
      </w:r>
      <w:r w:rsidR="00B96153">
        <w:t xml:space="preserve"> considered this</w:t>
      </w:r>
      <w:r w:rsidR="008F23FF" w:rsidRPr="00FE7A67">
        <w:t xml:space="preserve"> may not be reasonable</w:t>
      </w:r>
      <w:r w:rsidR="00363FB4">
        <w:t>,</w:t>
      </w:r>
      <w:r w:rsidR="008F23FF" w:rsidRPr="00FE7A67">
        <w:t xml:space="preserve"> as </w:t>
      </w:r>
      <w:r w:rsidR="000A0BAF">
        <w:t xml:space="preserve">it implies that most </w:t>
      </w:r>
      <w:r w:rsidR="00807324">
        <w:t>patients</w:t>
      </w:r>
      <w:r w:rsidR="000A0BAF">
        <w:t xml:space="preserve"> </w:t>
      </w:r>
      <w:r w:rsidR="00807324">
        <w:t xml:space="preserve">cannot tolerate the TGA </w:t>
      </w:r>
      <w:r w:rsidR="00807324" w:rsidRPr="00807324">
        <w:t xml:space="preserve">recommended starting dose </w:t>
      </w:r>
      <w:r w:rsidR="00807324">
        <w:t>(</w:t>
      </w:r>
      <w:r w:rsidR="00807324" w:rsidRPr="00807324">
        <w:t>160 mg BID</w:t>
      </w:r>
      <w:r w:rsidR="00807324">
        <w:t>)</w:t>
      </w:r>
      <w:r w:rsidR="008F23FF" w:rsidRPr="00FE7A67">
        <w:t>. Furthermore, no dose re-escalations were considered</w:t>
      </w:r>
      <w:r w:rsidR="00004704">
        <w:t>,</w:t>
      </w:r>
      <w:r w:rsidR="008F23FF" w:rsidRPr="00FE7A67">
        <w:t xml:space="preserve"> despite 10.4% (20/193) </w:t>
      </w:r>
      <w:r w:rsidR="00004704">
        <w:t xml:space="preserve">of patients </w:t>
      </w:r>
      <w:r w:rsidR="008F23FF" w:rsidRPr="00FE7A67">
        <w:t>doing so in LIBRETTO-531</w:t>
      </w:r>
      <w:r w:rsidR="00733F48">
        <w:t>. This</w:t>
      </w:r>
      <w:r w:rsidR="00240D14">
        <w:t xml:space="preserve"> mean</w:t>
      </w:r>
      <w:r w:rsidR="00733F48">
        <w:t>t</w:t>
      </w:r>
      <w:r w:rsidR="00240D14">
        <w:t xml:space="preserve"> that </w:t>
      </w:r>
      <w:bookmarkEnd w:id="84"/>
      <w:r w:rsidR="00790656" w:rsidRPr="009F2AA4">
        <w:t xml:space="preserve">lower </w:t>
      </w:r>
      <w:r w:rsidR="00BB0688">
        <w:t xml:space="preserve">treatment </w:t>
      </w:r>
      <w:r w:rsidR="00790656" w:rsidRPr="009F2AA4">
        <w:t xml:space="preserve">costs </w:t>
      </w:r>
      <w:r w:rsidR="00BB0688">
        <w:t xml:space="preserve">were assumed, </w:t>
      </w:r>
      <w:r w:rsidR="00790656" w:rsidRPr="009F2AA4">
        <w:t>while maintaining the benefit of treatment at higher doses from LIBRETTO-531.</w:t>
      </w:r>
    </w:p>
    <w:p w14:paraId="3C7811F8" w14:textId="50F9A664" w:rsidR="002F03F5" w:rsidRPr="00FE7A67" w:rsidRDefault="001B2881" w:rsidP="00921FF3">
      <w:pPr>
        <w:pStyle w:val="3-BodyText"/>
      </w:pPr>
      <w:r w:rsidRPr="009F2AA4">
        <w:lastRenderedPageBreak/>
        <w:t xml:space="preserve">The evaluation considered that some of this underestimation </w:t>
      </w:r>
      <w:r w:rsidR="00E11728">
        <w:t xml:space="preserve">in treatment costs </w:t>
      </w:r>
      <w:r w:rsidRPr="009F2AA4">
        <w:t>may be offset</w:t>
      </w:r>
      <w:r>
        <w:t>,</w:t>
      </w:r>
      <w:r w:rsidRPr="009F2AA4">
        <w:t xml:space="preserve"> given that dose omissions </w:t>
      </w:r>
      <w:r w:rsidRPr="00FE7A67">
        <w:t>to manage AEs</w:t>
      </w:r>
      <w:r w:rsidRPr="009F2AA4">
        <w:t xml:space="preserve"> were also not considered in the model</w:t>
      </w:r>
      <w:r w:rsidR="008F23FF" w:rsidRPr="00FE7A67">
        <w:t>. In LIBRETTO-531, 67.9% (131/193) had a dose omission with a median duration of 21 days at the March 2024 DCO.</w:t>
      </w:r>
      <w:r w:rsidR="00E11728">
        <w:t xml:space="preserve"> </w:t>
      </w:r>
    </w:p>
    <w:p w14:paraId="3C7811F9" w14:textId="79CEB724" w:rsidR="002F03F5" w:rsidRPr="00FE7A67" w:rsidRDefault="008F23FF" w:rsidP="00921FF3">
      <w:pPr>
        <w:pStyle w:val="3-BodyText"/>
      </w:pPr>
      <w:r w:rsidRPr="00FE7A67">
        <w:t>Assuming the dose reductions from treatment cycle 2+ according to LIBRETTO-531 increased the ICER by +</w:t>
      </w:r>
      <w:r w:rsidR="00B73859" w:rsidRPr="00B73859">
        <w:rPr>
          <w:sz w:val="2"/>
          <w:highlight w:val="black"/>
        </w:rPr>
        <w:t>redacted content</w:t>
      </w:r>
      <w:r w:rsidRPr="00FE7A67">
        <w:t>%, and additionally assuming dose reductions occurred after 12 months increased the ICER by +</w:t>
      </w:r>
      <w:r w:rsidR="00B73859" w:rsidRPr="00B73859">
        <w:rPr>
          <w:sz w:val="2"/>
          <w:highlight w:val="black"/>
        </w:rPr>
        <w:t>redacted content</w:t>
      </w:r>
      <w:r w:rsidRPr="00FE7A67">
        <w:t xml:space="preserve">%, (see </w:t>
      </w:r>
      <w:r w:rsidR="007E1D93">
        <w:fldChar w:fldCharType="begin"/>
      </w:r>
      <w:r w:rsidR="007E1D93">
        <w:instrText xml:space="preserve"> REF _Ref225267050 \h </w:instrText>
      </w:r>
      <w:r w:rsidR="007E1D93">
        <w:fldChar w:fldCharType="separate"/>
      </w:r>
      <w:r w:rsidR="003A3B69">
        <w:t xml:space="preserve">Table </w:t>
      </w:r>
      <w:r w:rsidR="003A3B69">
        <w:rPr>
          <w:noProof/>
        </w:rPr>
        <w:t>15</w:t>
      </w:r>
      <w:r w:rsidR="007E1D93">
        <w:fldChar w:fldCharType="end"/>
      </w:r>
      <w:r w:rsidRPr="00FE7A67">
        <w:t>). The model was not built to incorporate more gradual dose reductions over time, though the magnitude of dose reductions was a stronger driver of the ICER than the time at which it occurred.</w:t>
      </w:r>
    </w:p>
    <w:p w14:paraId="3C7811FA" w14:textId="7546DAA9" w:rsidR="002F03F5" w:rsidRPr="00FE7A67" w:rsidRDefault="008F23FF" w:rsidP="00921FF3">
      <w:pPr>
        <w:pStyle w:val="3-BodyText"/>
      </w:pPr>
      <w:bookmarkStart w:id="85" w:name="_Ref225338280"/>
      <w:bookmarkStart w:id="86" w:name="_Ref222270283"/>
      <w:r w:rsidRPr="00FE7A67">
        <w:t xml:space="preserve">The PSCR provided an updated economic analysis </w:t>
      </w:r>
      <w:r w:rsidR="00C867E2">
        <w:t xml:space="preserve">as a revised base case, </w:t>
      </w:r>
      <w:r w:rsidRPr="00FE7A67">
        <w:t xml:space="preserve">with corrected dose-reduction assumptions from cycle 2+ based on LIBRETTO-531, resulting a </w:t>
      </w:r>
      <w:r w:rsidR="00B73859" w:rsidRPr="00B73859">
        <w:rPr>
          <w:sz w:val="2"/>
          <w:highlight w:val="black"/>
        </w:rPr>
        <w:t>redacted content</w:t>
      </w:r>
      <w:r w:rsidRPr="00FE7A67">
        <w:t>% increase in the ICER</w:t>
      </w:r>
      <w:r w:rsidR="00F2174E">
        <w:t xml:space="preserve"> (</w:t>
      </w:r>
      <w:r w:rsidRPr="00FE7A67">
        <w:t>$</w:t>
      </w:r>
      <w:r w:rsidR="007F7C48">
        <w:t>95,000 to &lt; $115,000</w:t>
      </w:r>
      <w:r w:rsidRPr="00FE7A67">
        <w:t>/QALY gained).</w:t>
      </w:r>
      <w:bookmarkEnd w:id="85"/>
      <w:r w:rsidRPr="00FE7A67">
        <w:t xml:space="preserve"> </w:t>
      </w:r>
      <w:bookmarkEnd w:id="86"/>
    </w:p>
    <w:p w14:paraId="3C7811FC" w14:textId="36A6CA4B" w:rsidR="002F03F5" w:rsidRPr="00130494" w:rsidRDefault="008F23FF" w:rsidP="00921FF3">
      <w:pPr>
        <w:pStyle w:val="3-BodyText"/>
      </w:pPr>
      <w:r w:rsidRPr="00FE7A67">
        <w:t>The submission applied a once</w:t>
      </w:r>
      <w:r w:rsidR="00AE2338">
        <w:t>-</w:t>
      </w:r>
      <w:r w:rsidRPr="00FE7A67">
        <w:t>off cost of $1,189 per</w:t>
      </w:r>
      <w:r w:rsidR="00923547" w:rsidRPr="00B7519A">
        <w:rPr>
          <w:i/>
        </w:rPr>
        <w:t xml:space="preserve"> RET </w:t>
      </w:r>
      <w:r w:rsidRPr="00FE7A67">
        <w:t>variant patient identified to the selpercatinib arm in the first cycle. This was based on the proposed MBS fee of $400 per test</w:t>
      </w:r>
      <w:r w:rsidR="00C84BF4">
        <w:t xml:space="preserve">, and </w:t>
      </w:r>
      <w:r w:rsidR="00C84BF4" w:rsidRPr="00FE7A67">
        <w:t>NNT of 2.97</w:t>
      </w:r>
      <w:r w:rsidR="00C84BF4">
        <w:t>, which was</w:t>
      </w:r>
      <w:r w:rsidRPr="00FE7A67">
        <w:t xml:space="preserve"> incorrectly calculated. </w:t>
      </w:r>
      <w:r w:rsidR="009E7208" w:rsidRPr="00FE7A67">
        <w:t xml:space="preserve">The NNT of 2.97 assumed that testing was in MTC patients with stage III/IV MTC with progressive and symptomatic disease, but </w:t>
      </w:r>
      <w:r w:rsidR="009E7208" w:rsidRPr="00130494">
        <w:t>this did not capture the proposed test population (i.e., all patients diagnosed with MTC)</w:t>
      </w:r>
      <w:r w:rsidR="00E26FAA" w:rsidRPr="00130494">
        <w:t xml:space="preserve">. </w:t>
      </w:r>
      <w:r w:rsidRPr="00130494">
        <w:t xml:space="preserve">Based on the submission’s inputs, the </w:t>
      </w:r>
      <w:r w:rsidR="00C84BF4" w:rsidRPr="00130494">
        <w:t xml:space="preserve">evaluation calculated the </w:t>
      </w:r>
      <w:r w:rsidRPr="00130494">
        <w:t>NNT as 2.92</w:t>
      </w:r>
      <w:r w:rsidR="00F97A56" w:rsidRPr="00130494">
        <w:t>,</w:t>
      </w:r>
      <w:r w:rsidRPr="00130494">
        <w:t xml:space="preserve"> result</w:t>
      </w:r>
      <w:r w:rsidR="00F97A56" w:rsidRPr="00130494">
        <w:t>ing</w:t>
      </w:r>
      <w:r w:rsidRPr="00130494">
        <w:t xml:space="preserve"> in a cost of $1,169 per</w:t>
      </w:r>
      <w:r w:rsidR="00923547" w:rsidRPr="00130494">
        <w:rPr>
          <w:i/>
        </w:rPr>
        <w:t xml:space="preserve"> RET </w:t>
      </w:r>
      <w:r w:rsidRPr="00130494">
        <w:t>variant identified.</w:t>
      </w:r>
      <w:r w:rsidR="007E3114">
        <w:t xml:space="preserve"> </w:t>
      </w:r>
    </w:p>
    <w:p w14:paraId="3C7811FF" w14:textId="56106138" w:rsidR="002F03F5" w:rsidRPr="006C2D08" w:rsidRDefault="008F23FF" w:rsidP="00921FF3">
      <w:pPr>
        <w:pStyle w:val="3-BodyText"/>
        <w:rPr>
          <w:color w:val="3366FF"/>
        </w:rPr>
      </w:pPr>
      <w:r w:rsidRPr="00130494">
        <w:t xml:space="preserve">The key drivers of the model are presented in </w:t>
      </w:r>
      <w:r w:rsidR="00EC5F2A" w:rsidRPr="00130494">
        <w:fldChar w:fldCharType="begin"/>
      </w:r>
      <w:r w:rsidR="00EC5F2A" w:rsidRPr="00130494">
        <w:instrText xml:space="preserve"> REF _Ref225285530 \h </w:instrText>
      </w:r>
      <w:r w:rsidR="00130494">
        <w:instrText xml:space="preserve"> \* MERGEFORMAT </w:instrText>
      </w:r>
      <w:r w:rsidR="00EC5F2A" w:rsidRPr="00130494">
        <w:fldChar w:fldCharType="separate"/>
      </w:r>
      <w:r w:rsidR="003A3B69">
        <w:t xml:space="preserve">Table </w:t>
      </w:r>
      <w:r w:rsidR="003A3B69">
        <w:rPr>
          <w:noProof/>
        </w:rPr>
        <w:t>12</w:t>
      </w:r>
      <w:r w:rsidR="00EC5F2A" w:rsidRPr="00130494">
        <w:fldChar w:fldCharType="end"/>
      </w:r>
      <w:r w:rsidRPr="00130494">
        <w:t>.</w:t>
      </w:r>
    </w:p>
    <w:p w14:paraId="300A0D1C" w14:textId="475CBDA8" w:rsidR="00E17273" w:rsidRDefault="00E17273" w:rsidP="00921FF3">
      <w:pPr>
        <w:pStyle w:val="Caption"/>
      </w:pPr>
      <w:bookmarkStart w:id="87" w:name="_Ref225285530"/>
      <w:r>
        <w:lastRenderedPageBreak/>
        <w:t xml:space="preserve">Table </w:t>
      </w:r>
      <w:r>
        <w:fldChar w:fldCharType="begin"/>
      </w:r>
      <w:r>
        <w:instrText>SEQ Table \* ARABIC</w:instrText>
      </w:r>
      <w:r>
        <w:fldChar w:fldCharType="separate"/>
      </w:r>
      <w:r w:rsidR="003A3B69">
        <w:rPr>
          <w:noProof/>
        </w:rPr>
        <w:t>12</w:t>
      </w:r>
      <w:r>
        <w:fldChar w:fldCharType="end"/>
      </w:r>
      <w:bookmarkEnd w:id="87"/>
      <w:r>
        <w:t>:</w:t>
      </w:r>
      <w:r w:rsidR="007E3114">
        <w:t xml:space="preserve"> </w:t>
      </w:r>
      <w:r w:rsidRPr="00DF6AAD">
        <w:t>Key drivers of the model</w:t>
      </w:r>
    </w:p>
    <w:tbl>
      <w:tblPr>
        <w:tblW w:w="5000" w:type="pct"/>
        <w:tblLayout w:type="fixed"/>
        <w:tblCellMar>
          <w:left w:w="28" w:type="dxa"/>
          <w:right w:w="28" w:type="dxa"/>
        </w:tblCellMar>
        <w:tblLook w:val="04A0" w:firstRow="1" w:lastRow="0" w:firstColumn="1" w:lastColumn="0" w:noHBand="0" w:noVBand="1"/>
        <w:tblCaption w:val="Table 12: Key drivers of the model"/>
      </w:tblPr>
      <w:tblGrid>
        <w:gridCol w:w="1165"/>
        <w:gridCol w:w="4230"/>
        <w:gridCol w:w="3621"/>
      </w:tblGrid>
      <w:tr w:rsidR="002F03F5" w:rsidRPr="009F2AA4" w14:paraId="3C781204" w14:textId="77777777" w:rsidTr="00173793">
        <w:trPr>
          <w:tblHeader/>
        </w:trPr>
        <w:tc>
          <w:tcPr>
            <w:tcW w:w="1166" w:type="dxa"/>
            <w:tcBorders>
              <w:top w:val="single" w:sz="4" w:space="0" w:color="000000"/>
              <w:left w:val="single" w:sz="4" w:space="0" w:color="000000"/>
              <w:bottom w:val="single" w:sz="4" w:space="0" w:color="000000"/>
              <w:right w:val="single" w:sz="4" w:space="0" w:color="000000"/>
            </w:tcBorders>
            <w:vAlign w:val="center"/>
          </w:tcPr>
          <w:p w14:paraId="3C781200" w14:textId="77777777" w:rsidR="002F03F5" w:rsidRPr="009F2AA4" w:rsidRDefault="008F23FF" w:rsidP="00921FF3">
            <w:pPr>
              <w:pStyle w:val="In-tableHeading"/>
              <w:rPr>
                <w:lang w:val="en-AU"/>
              </w:rPr>
            </w:pPr>
            <w:r w:rsidRPr="009F2AA4">
              <w:rPr>
                <w:lang w:val="en-AU"/>
              </w:rPr>
              <w:t>Description</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201" w14:textId="77777777" w:rsidR="002F03F5" w:rsidRPr="009F2AA4" w:rsidRDefault="008F23FF" w:rsidP="00921FF3">
            <w:pPr>
              <w:pStyle w:val="In-tableHeading"/>
              <w:rPr>
                <w:lang w:val="en-AU"/>
              </w:rPr>
            </w:pPr>
            <w:r w:rsidRPr="009F2AA4">
              <w:rPr>
                <w:lang w:val="en-AU"/>
              </w:rPr>
              <w:t>Method/Value</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202" w14:textId="77777777" w:rsidR="002F03F5" w:rsidRPr="009F2AA4" w:rsidRDefault="008F23FF" w:rsidP="00921FF3">
            <w:pPr>
              <w:pStyle w:val="In-tableHeading"/>
              <w:jc w:val="center"/>
              <w:rPr>
                <w:lang w:val="en-AU"/>
              </w:rPr>
            </w:pPr>
            <w:r w:rsidRPr="009F2AA4">
              <w:rPr>
                <w:lang w:val="en-AU"/>
              </w:rPr>
              <w:t>Impact</w:t>
            </w:r>
          </w:p>
          <w:p w14:paraId="3C781203" w14:textId="38B6486C" w:rsidR="002F03F5" w:rsidRPr="00B73859" w:rsidRDefault="008F23FF" w:rsidP="00921FF3">
            <w:pPr>
              <w:pStyle w:val="TableText"/>
              <w:keepNext/>
              <w:widowControl/>
              <w:jc w:val="center"/>
              <w:rPr>
                <w:vertAlign w:val="superscript"/>
              </w:rPr>
            </w:pPr>
            <w:r w:rsidRPr="009F2AA4">
              <w:rPr>
                <w:rFonts w:cs="Arial"/>
                <w:szCs w:val="20"/>
              </w:rPr>
              <w:t>Base case: $</w:t>
            </w:r>
            <w:r w:rsidR="00B73859" w:rsidRPr="00B73859">
              <w:rPr>
                <w:rFonts w:cs="Arial"/>
                <w:sz w:val="2"/>
                <w:szCs w:val="20"/>
                <w:highlight w:val="black"/>
              </w:rPr>
              <w:t>redacted content</w:t>
            </w:r>
            <w:r w:rsidR="001D0028" w:rsidRPr="00B73859">
              <w:rPr>
                <w:rFonts w:cs="Arial"/>
                <w:szCs w:val="20"/>
                <w:vertAlign w:val="superscript"/>
              </w:rPr>
              <w:t>1</w:t>
            </w:r>
            <w:r w:rsidRPr="009F2AA4">
              <w:rPr>
                <w:rFonts w:cs="Arial"/>
                <w:szCs w:val="20"/>
              </w:rPr>
              <w:t>/QALY gained</w:t>
            </w:r>
          </w:p>
        </w:tc>
      </w:tr>
      <w:tr w:rsidR="002F03F5" w:rsidRPr="009F2AA4" w14:paraId="3C78120E" w14:textId="77777777" w:rsidTr="00173793">
        <w:tc>
          <w:tcPr>
            <w:tcW w:w="1166" w:type="dxa"/>
            <w:tcBorders>
              <w:top w:val="single" w:sz="4" w:space="0" w:color="000000"/>
              <w:left w:val="single" w:sz="4" w:space="0" w:color="000000"/>
              <w:bottom w:val="single" w:sz="4" w:space="0" w:color="000000"/>
              <w:right w:val="single" w:sz="4" w:space="0" w:color="000000"/>
            </w:tcBorders>
            <w:vAlign w:val="center"/>
          </w:tcPr>
          <w:p w14:paraId="3C781205" w14:textId="77777777" w:rsidR="002F03F5" w:rsidRPr="009F2AA4" w:rsidRDefault="008F23FF" w:rsidP="00921FF3">
            <w:pPr>
              <w:pStyle w:val="TableText"/>
              <w:keepNext/>
              <w:widowControl/>
            </w:pPr>
            <w:r w:rsidRPr="009F2AA4">
              <w:t>OS modelling</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206" w14:textId="77777777" w:rsidR="002F03F5" w:rsidRPr="009F2AA4" w:rsidRDefault="008F23FF" w:rsidP="00921FF3">
            <w:pPr>
              <w:pStyle w:val="TableText"/>
              <w:keepNext/>
              <w:widowControl/>
            </w:pPr>
            <w:r w:rsidRPr="009F2AA4">
              <w:t>Base case extrapolated the selpercatinib arm using Spline knot 3 function and the BSC arm adopted the HR approach and applied the inverse ITC OS HR 0.22 to the selpercatinib arm.</w:t>
            </w:r>
          </w:p>
          <w:p w14:paraId="3C781207" w14:textId="77777777" w:rsidR="002F03F5" w:rsidRPr="009F2AA4" w:rsidRDefault="002F03F5" w:rsidP="00921FF3">
            <w:pPr>
              <w:pStyle w:val="TableText"/>
              <w:keepNext/>
              <w:widowControl/>
            </w:pPr>
          </w:p>
          <w:p w14:paraId="3C781208" w14:textId="1FEB27CC" w:rsidR="002F03F5" w:rsidRPr="009F2AA4" w:rsidRDefault="008F23FF" w:rsidP="00921FF3">
            <w:pPr>
              <w:pStyle w:val="TableText"/>
              <w:keepNext/>
              <w:widowControl/>
            </w:pPr>
            <w:r w:rsidRPr="009F2AA4">
              <w:t>The OS HR was uncertain and potentially overestimated in favour of selpercatinib (e.g., OS inputs into the ITC were not statistically significant, worse performing placebo arm in EXAM). In addition, the model as informed by LIBRETTO-531 did not generate survival estimates that were generalisable to the requested population.</w:t>
            </w:r>
            <w:r w:rsidR="007E3114">
              <w:t xml:space="preserve"> </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209" w14:textId="77777777" w:rsidR="002F03F5" w:rsidRPr="009F2AA4" w:rsidRDefault="008F23FF" w:rsidP="00921FF3">
            <w:pPr>
              <w:pStyle w:val="TableText"/>
              <w:keepNext/>
              <w:widowControl/>
              <w:jc w:val="both"/>
            </w:pPr>
            <w:r w:rsidRPr="009F2AA4">
              <w:t xml:space="preserve">High, favours selpercatinib </w:t>
            </w:r>
          </w:p>
          <w:p w14:paraId="3C78120A" w14:textId="77777777" w:rsidR="002F03F5" w:rsidRPr="009F2AA4" w:rsidRDefault="002F03F5" w:rsidP="00921FF3">
            <w:pPr>
              <w:pStyle w:val="TableText"/>
              <w:keepNext/>
              <w:widowControl/>
              <w:jc w:val="both"/>
            </w:pPr>
          </w:p>
          <w:p w14:paraId="3C78120B" w14:textId="4F87DDF7" w:rsidR="002F03F5" w:rsidRPr="009F2AA4" w:rsidRDefault="008F23FF" w:rsidP="00921FF3">
            <w:pPr>
              <w:pStyle w:val="TableText"/>
              <w:keepNext/>
              <w:widowControl/>
            </w:pPr>
            <w:r w:rsidRPr="009F2AA4">
              <w:t>Assuming the OS HR informing the BSC arm was based on the OS HR from LIBRETTO-531 (0.275) and varying the OS extrapolation increased the ICER by +</w:t>
            </w:r>
            <w:r w:rsidR="00B73859" w:rsidRPr="00B73859">
              <w:rPr>
                <w:sz w:val="2"/>
                <w:highlight w:val="black"/>
              </w:rPr>
              <w:t>redacted content</w:t>
            </w:r>
            <w:r w:rsidRPr="009F2AA4">
              <w:t>% to +</w:t>
            </w:r>
            <w:r w:rsidR="00B73859" w:rsidRPr="00B73859">
              <w:rPr>
                <w:sz w:val="2"/>
                <w:highlight w:val="black"/>
              </w:rPr>
              <w:t>redacted content</w:t>
            </w:r>
            <w:r w:rsidRPr="009F2AA4">
              <w:t xml:space="preserve">% </w:t>
            </w:r>
          </w:p>
          <w:p w14:paraId="3C78120C" w14:textId="77777777" w:rsidR="002F03F5" w:rsidRPr="009F2AA4" w:rsidRDefault="002F03F5" w:rsidP="00921FF3">
            <w:pPr>
              <w:pStyle w:val="TableText"/>
              <w:keepNext/>
              <w:widowControl/>
              <w:jc w:val="both"/>
            </w:pPr>
          </w:p>
          <w:p w14:paraId="3C78120D" w14:textId="4A308057" w:rsidR="002F03F5" w:rsidRPr="009F2AA4" w:rsidRDefault="008F23FF" w:rsidP="00921FF3">
            <w:pPr>
              <w:pStyle w:val="TableText"/>
              <w:keepNext/>
              <w:widowControl/>
              <w:rPr>
                <w:rFonts w:cs="Arial"/>
                <w:color w:val="3366FF"/>
                <w:szCs w:val="20"/>
              </w:rPr>
            </w:pPr>
            <w:r w:rsidRPr="009F2AA4">
              <w:t>Assuming the OS HR informing BSC arm was the OS HR upper 95% CI (0.608) from LIBRETTO-531 and varying the OS extrapolation increased the ICER by +</w:t>
            </w:r>
            <w:r w:rsidR="00B73859" w:rsidRPr="00B73859">
              <w:rPr>
                <w:sz w:val="2"/>
                <w:highlight w:val="black"/>
              </w:rPr>
              <w:t>redacted content</w:t>
            </w:r>
            <w:r w:rsidRPr="009F2AA4">
              <w:t>% to +</w:t>
            </w:r>
            <w:r w:rsidR="00B73859" w:rsidRPr="00B73859">
              <w:rPr>
                <w:sz w:val="2"/>
                <w:highlight w:val="black"/>
              </w:rPr>
              <w:t>redacted content</w:t>
            </w:r>
            <w:r w:rsidRPr="009F2AA4">
              <w:t>%.</w:t>
            </w:r>
          </w:p>
        </w:tc>
      </w:tr>
      <w:tr w:rsidR="002F03F5" w:rsidRPr="009F2AA4" w14:paraId="3C781218" w14:textId="77777777" w:rsidTr="00173793">
        <w:tc>
          <w:tcPr>
            <w:tcW w:w="1166" w:type="dxa"/>
            <w:tcBorders>
              <w:top w:val="single" w:sz="4" w:space="0" w:color="000000"/>
              <w:left w:val="single" w:sz="4" w:space="0" w:color="000000"/>
              <w:bottom w:val="single" w:sz="4" w:space="0" w:color="000000"/>
              <w:right w:val="single" w:sz="4" w:space="0" w:color="000000"/>
            </w:tcBorders>
            <w:vAlign w:val="center"/>
          </w:tcPr>
          <w:p w14:paraId="3C78120F" w14:textId="77777777" w:rsidR="002F03F5" w:rsidRPr="009F2AA4" w:rsidRDefault="008F23FF" w:rsidP="00921FF3">
            <w:pPr>
              <w:pStyle w:val="TableText"/>
              <w:keepNext/>
              <w:widowControl/>
            </w:pPr>
            <w:r w:rsidRPr="009F2AA4">
              <w:t>ToT modelling</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210" w14:textId="77777777" w:rsidR="002F03F5" w:rsidRPr="009F2AA4" w:rsidRDefault="008F23FF" w:rsidP="00921FF3">
            <w:pPr>
              <w:pStyle w:val="TableText"/>
              <w:keepNext/>
              <w:widowControl/>
              <w:jc w:val="both"/>
            </w:pPr>
            <w:r w:rsidRPr="009F2AA4">
              <w:t>ToT assumed equal to the PFS curve (Weibull).</w:t>
            </w:r>
          </w:p>
          <w:p w14:paraId="3C781211" w14:textId="77777777" w:rsidR="002F03F5" w:rsidRPr="009F2AA4" w:rsidRDefault="002F03F5" w:rsidP="00921FF3">
            <w:pPr>
              <w:pStyle w:val="TableText"/>
              <w:keepNext/>
              <w:widowControl/>
              <w:jc w:val="both"/>
            </w:pPr>
          </w:p>
          <w:p w14:paraId="3C781212" w14:textId="77777777" w:rsidR="002F03F5" w:rsidRPr="009F2AA4" w:rsidRDefault="008F23FF" w:rsidP="00921FF3">
            <w:pPr>
              <w:pStyle w:val="TableText"/>
              <w:keepNext/>
              <w:widowControl/>
            </w:pPr>
            <w:r w:rsidRPr="009F2AA4">
              <w:t xml:space="preserve">LIBRETTO-531 represented patients who progress and die faster than patients that would be eligible under the requested restriction hence potentially overestimated treatment discontinuation in the model. </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213" w14:textId="77777777" w:rsidR="002F03F5" w:rsidRPr="009F2AA4" w:rsidRDefault="008F23FF" w:rsidP="00921FF3">
            <w:pPr>
              <w:pStyle w:val="TableText"/>
              <w:keepNext/>
              <w:widowControl/>
              <w:jc w:val="both"/>
              <w:rPr>
                <w:rFonts w:cs="Arial"/>
                <w:color w:val="3366FF"/>
                <w:szCs w:val="20"/>
              </w:rPr>
            </w:pPr>
            <w:r w:rsidRPr="009F2AA4">
              <w:t xml:space="preserve">High, favours selpercatinib </w:t>
            </w:r>
          </w:p>
          <w:p w14:paraId="3C781214" w14:textId="77777777" w:rsidR="002F03F5" w:rsidRPr="009F2AA4" w:rsidRDefault="002F03F5" w:rsidP="00921FF3">
            <w:pPr>
              <w:pStyle w:val="TableText"/>
              <w:keepNext/>
              <w:widowControl/>
              <w:jc w:val="both"/>
            </w:pPr>
          </w:p>
          <w:p w14:paraId="3C781215" w14:textId="27626091" w:rsidR="002F03F5" w:rsidRPr="009F2AA4" w:rsidRDefault="008F23FF" w:rsidP="00921FF3">
            <w:pPr>
              <w:pStyle w:val="TableText"/>
              <w:keepNext/>
              <w:widowControl/>
            </w:pPr>
            <w:r w:rsidRPr="009F2AA4">
              <w:t xml:space="preserve">Varying the selpercatinib PFS extrapolation </w:t>
            </w:r>
            <w:r w:rsidR="00FB39DF">
              <w:t>(</w:t>
            </w:r>
            <w:r w:rsidR="00F35D53">
              <w:t>which impacts</w:t>
            </w:r>
            <w:r w:rsidR="001617F9">
              <w:t xml:space="preserve"> </w:t>
            </w:r>
            <w:proofErr w:type="spellStart"/>
            <w:r w:rsidR="00FB39DF">
              <w:t>ToT</w:t>
            </w:r>
            <w:proofErr w:type="spellEnd"/>
            <w:r w:rsidR="00FB39DF">
              <w:t xml:space="preserve">) </w:t>
            </w:r>
            <w:r w:rsidRPr="009F2AA4">
              <w:t>led to -</w:t>
            </w:r>
            <w:r w:rsidR="00B73859" w:rsidRPr="00B73859">
              <w:rPr>
                <w:sz w:val="2"/>
                <w:highlight w:val="black"/>
              </w:rPr>
              <w:t>redacted content</w:t>
            </w:r>
            <w:r w:rsidRPr="009F2AA4">
              <w:t>% to +</w:t>
            </w:r>
            <w:r w:rsidR="00B73859" w:rsidRPr="00B73859">
              <w:rPr>
                <w:sz w:val="2"/>
                <w:highlight w:val="black"/>
              </w:rPr>
              <w:t>redacted content</w:t>
            </w:r>
            <w:r w:rsidRPr="009F2AA4">
              <w:t xml:space="preserve">% change in the ICER. </w:t>
            </w:r>
          </w:p>
          <w:p w14:paraId="3C781216" w14:textId="77777777" w:rsidR="002F03F5" w:rsidRPr="009F2AA4" w:rsidRDefault="002F03F5" w:rsidP="00921FF3">
            <w:pPr>
              <w:pStyle w:val="TableText"/>
              <w:keepNext/>
              <w:widowControl/>
            </w:pPr>
          </w:p>
          <w:p w14:paraId="3C781217" w14:textId="62D0959B" w:rsidR="002F03F5" w:rsidRPr="009F2AA4" w:rsidRDefault="008F23FF" w:rsidP="00921FF3">
            <w:pPr>
              <w:pStyle w:val="TableText"/>
              <w:keepNext/>
              <w:widowControl/>
            </w:pPr>
            <w:r w:rsidRPr="009F2AA4">
              <w:t>Assuming ToT was independent of PFS and varying the ToT extrapolations increased the ICER by +</w:t>
            </w:r>
            <w:r w:rsidR="00B73859" w:rsidRPr="00B73859">
              <w:rPr>
                <w:sz w:val="2"/>
                <w:highlight w:val="black"/>
              </w:rPr>
              <w:t>redacted content</w:t>
            </w:r>
            <w:r w:rsidRPr="009F2AA4">
              <w:t>% to +</w:t>
            </w:r>
            <w:r w:rsidR="00B73859" w:rsidRPr="00B73859">
              <w:rPr>
                <w:sz w:val="2"/>
                <w:highlight w:val="black"/>
              </w:rPr>
              <w:t>redacted content</w:t>
            </w:r>
            <w:r w:rsidRPr="009F2AA4">
              <w:t>%.</w:t>
            </w:r>
          </w:p>
        </w:tc>
      </w:tr>
    </w:tbl>
    <w:p w14:paraId="3C781219" w14:textId="77777777" w:rsidR="002F03F5" w:rsidRPr="009F2AA4" w:rsidRDefault="008F23FF" w:rsidP="00921FF3">
      <w:pPr>
        <w:pStyle w:val="TableFooter"/>
        <w:keepNext/>
        <w:widowControl/>
      </w:pPr>
      <w:r w:rsidRPr="009F2AA4">
        <w:t>Source: Section 3.3 and Section 3.5 of the submission</w:t>
      </w:r>
    </w:p>
    <w:p w14:paraId="3C78121A" w14:textId="77777777" w:rsidR="002F03F5" w:rsidRDefault="008F23FF" w:rsidP="00921FF3">
      <w:pPr>
        <w:pStyle w:val="TableFooter"/>
        <w:keepNext/>
        <w:widowControl/>
      </w:pPr>
      <w:r w:rsidRPr="009F2AA4">
        <w:t>BSC = best supportive care; BID = twice daily; HR = hazard ratio; ICER = incremental cost effectiveness ratio; ITC = indirect treatment comparison; OS = overall survival; PFS = progression free survival; QALY = quality adjusted life year; ToT = time on treatment.</w:t>
      </w:r>
    </w:p>
    <w:p w14:paraId="2EFA14DF" w14:textId="4017916D" w:rsidR="001D0028" w:rsidRDefault="00211D04" w:rsidP="00921FF3">
      <w:pPr>
        <w:pStyle w:val="TableFooter"/>
        <w:keepNext/>
        <w:widowControl/>
        <w:rPr>
          <w:i/>
          <w:iCs/>
        </w:rPr>
      </w:pPr>
      <w:r>
        <w:rPr>
          <w:i/>
          <w:iCs/>
        </w:rPr>
        <w:t>The redacted value corresponds to the following range:</w:t>
      </w:r>
    </w:p>
    <w:p w14:paraId="36689661" w14:textId="6F16B809" w:rsidR="00211D04" w:rsidRPr="00B73859" w:rsidRDefault="00211D04" w:rsidP="00921FF3">
      <w:pPr>
        <w:pStyle w:val="TableFooter"/>
        <w:keepNext/>
        <w:widowControl/>
        <w:rPr>
          <w:i/>
          <w:iCs/>
        </w:rPr>
      </w:pPr>
      <w:r>
        <w:rPr>
          <w:i/>
          <w:iCs/>
          <w:vertAlign w:val="superscript"/>
        </w:rPr>
        <w:t xml:space="preserve">1 </w:t>
      </w:r>
      <w:r>
        <w:rPr>
          <w:i/>
          <w:iCs/>
        </w:rPr>
        <w:t xml:space="preserve">$55,000 to &lt; $75,000 </w:t>
      </w:r>
    </w:p>
    <w:p w14:paraId="3C78121C" w14:textId="21727527" w:rsidR="002F03F5" w:rsidRPr="009F2AA4" w:rsidRDefault="008F23FF" w:rsidP="00921FF3">
      <w:pPr>
        <w:pStyle w:val="3-BodyText"/>
      </w:pPr>
      <w:r w:rsidRPr="009F2AA4">
        <w:t xml:space="preserve">The results from the </w:t>
      </w:r>
      <w:r w:rsidRPr="00FE7A67">
        <w:t>stepped</w:t>
      </w:r>
      <w:r w:rsidRPr="009F2AA4">
        <w:t xml:space="preserve"> economic evaluation are presented in </w:t>
      </w:r>
      <w:r w:rsidR="00B05195">
        <w:fldChar w:fldCharType="begin"/>
      </w:r>
      <w:r w:rsidR="00B05195">
        <w:instrText xml:space="preserve"> REF _Ref225285612 \h </w:instrText>
      </w:r>
      <w:r w:rsidR="00B05195">
        <w:fldChar w:fldCharType="separate"/>
      </w:r>
      <w:r w:rsidR="003A3B69">
        <w:t xml:space="preserve">Table </w:t>
      </w:r>
      <w:r w:rsidR="003A3B69">
        <w:rPr>
          <w:noProof/>
        </w:rPr>
        <w:t>13</w:t>
      </w:r>
      <w:r w:rsidR="00B05195">
        <w:fldChar w:fldCharType="end"/>
      </w:r>
      <w:r w:rsidRPr="009F2AA4">
        <w:t>.</w:t>
      </w:r>
    </w:p>
    <w:p w14:paraId="66914E90" w14:textId="7A2A7BBE" w:rsidR="00E17273" w:rsidRDefault="00E17273" w:rsidP="00921FF3">
      <w:pPr>
        <w:pStyle w:val="Caption"/>
        <w:keepLines/>
      </w:pPr>
      <w:bookmarkStart w:id="88" w:name="_Ref225285612"/>
      <w:r>
        <w:t xml:space="preserve">Table </w:t>
      </w:r>
      <w:r>
        <w:fldChar w:fldCharType="begin"/>
      </w:r>
      <w:r>
        <w:instrText>SEQ Table \* ARABIC</w:instrText>
      </w:r>
      <w:r>
        <w:fldChar w:fldCharType="separate"/>
      </w:r>
      <w:r w:rsidR="003A3B69">
        <w:rPr>
          <w:noProof/>
        </w:rPr>
        <w:t>13</w:t>
      </w:r>
      <w:r>
        <w:fldChar w:fldCharType="end"/>
      </w:r>
      <w:bookmarkEnd w:id="88"/>
      <w:r>
        <w:t>:</w:t>
      </w:r>
      <w:r w:rsidR="007E3114">
        <w:t xml:space="preserve"> </w:t>
      </w:r>
      <w:r w:rsidRPr="00695187">
        <w:t>Results of the stepped economic evaluation (discounted)</w:t>
      </w:r>
    </w:p>
    <w:tbl>
      <w:tblPr>
        <w:tblW w:w="5000" w:type="pct"/>
        <w:tblLayout w:type="fixed"/>
        <w:tblCellMar>
          <w:left w:w="28" w:type="dxa"/>
          <w:right w:w="28" w:type="dxa"/>
        </w:tblCellMar>
        <w:tblLook w:val="01E0" w:firstRow="1" w:lastRow="1" w:firstColumn="1" w:lastColumn="1" w:noHBand="0" w:noVBand="0"/>
        <w:tblCaption w:val="Table 13: Results of the stepped economic evaluation (discounted)"/>
      </w:tblPr>
      <w:tblGrid>
        <w:gridCol w:w="2736"/>
        <w:gridCol w:w="2004"/>
        <w:gridCol w:w="2006"/>
        <w:gridCol w:w="2270"/>
      </w:tblGrid>
      <w:tr w:rsidR="002F03F5" w:rsidRPr="009F2AA4" w14:paraId="3C781221" w14:textId="77777777" w:rsidTr="00002F41">
        <w:trPr>
          <w:tblHeader/>
        </w:trPr>
        <w:tc>
          <w:tcPr>
            <w:tcW w:w="2736" w:type="dxa"/>
            <w:tcBorders>
              <w:top w:val="single" w:sz="4" w:space="0" w:color="000000"/>
              <w:left w:val="single" w:sz="4" w:space="0" w:color="000000"/>
              <w:bottom w:val="single" w:sz="4" w:space="0" w:color="000000"/>
              <w:right w:val="single" w:sz="4" w:space="0" w:color="000000"/>
            </w:tcBorders>
            <w:vAlign w:val="center"/>
          </w:tcPr>
          <w:p w14:paraId="3C78121D" w14:textId="77777777" w:rsidR="002F03F5" w:rsidRPr="009F2AA4" w:rsidRDefault="008F23FF" w:rsidP="00921FF3">
            <w:pPr>
              <w:pStyle w:val="TableText"/>
              <w:keepNext/>
              <w:keepLines/>
              <w:widowControl/>
              <w:rPr>
                <w:b/>
                <w:bCs/>
              </w:rPr>
            </w:pPr>
            <w:r w:rsidRPr="009F2AA4">
              <w:rPr>
                <w:b/>
                <w:bCs/>
              </w:rPr>
              <w:t>Step and component</w:t>
            </w:r>
          </w:p>
        </w:tc>
        <w:tc>
          <w:tcPr>
            <w:tcW w:w="2004" w:type="dxa"/>
            <w:tcBorders>
              <w:top w:val="single" w:sz="4" w:space="0" w:color="000000"/>
              <w:left w:val="single" w:sz="4" w:space="0" w:color="000000"/>
              <w:bottom w:val="single" w:sz="4" w:space="0" w:color="000000"/>
              <w:right w:val="single" w:sz="4" w:space="0" w:color="000000"/>
            </w:tcBorders>
            <w:vAlign w:val="center"/>
          </w:tcPr>
          <w:p w14:paraId="3C78121E" w14:textId="77777777" w:rsidR="002F03F5" w:rsidRPr="009F2AA4" w:rsidRDefault="008F23FF" w:rsidP="00921FF3">
            <w:pPr>
              <w:pStyle w:val="TableText"/>
              <w:keepNext/>
              <w:keepLines/>
              <w:widowControl/>
              <w:jc w:val="center"/>
              <w:rPr>
                <w:b/>
                <w:bCs/>
              </w:rPr>
            </w:pPr>
            <w:r w:rsidRPr="009F2AA4">
              <w:rPr>
                <w:b/>
                <w:bCs/>
              </w:rPr>
              <w:t>Selpercatinib</w:t>
            </w:r>
          </w:p>
        </w:tc>
        <w:tc>
          <w:tcPr>
            <w:tcW w:w="2006" w:type="dxa"/>
            <w:tcBorders>
              <w:top w:val="single" w:sz="4" w:space="0" w:color="000000"/>
              <w:left w:val="single" w:sz="4" w:space="0" w:color="000000"/>
              <w:bottom w:val="single" w:sz="4" w:space="0" w:color="000000"/>
              <w:right w:val="single" w:sz="4" w:space="0" w:color="000000"/>
            </w:tcBorders>
            <w:vAlign w:val="center"/>
          </w:tcPr>
          <w:p w14:paraId="3C78121F" w14:textId="77777777" w:rsidR="002F03F5" w:rsidRPr="009F2AA4" w:rsidRDefault="008F23FF" w:rsidP="00921FF3">
            <w:pPr>
              <w:pStyle w:val="TableText"/>
              <w:keepNext/>
              <w:keepLines/>
              <w:widowControl/>
              <w:jc w:val="center"/>
              <w:rPr>
                <w:b/>
                <w:bCs/>
              </w:rPr>
            </w:pPr>
            <w:r w:rsidRPr="009F2AA4">
              <w:rPr>
                <w:b/>
                <w:bCs/>
              </w:rPr>
              <w:t>BSC</w:t>
            </w:r>
          </w:p>
        </w:tc>
        <w:tc>
          <w:tcPr>
            <w:tcW w:w="2270" w:type="dxa"/>
            <w:tcBorders>
              <w:top w:val="single" w:sz="4" w:space="0" w:color="000000"/>
              <w:left w:val="single" w:sz="4" w:space="0" w:color="000000"/>
              <w:bottom w:val="single" w:sz="4" w:space="0" w:color="000000"/>
              <w:right w:val="single" w:sz="4" w:space="0" w:color="000000"/>
            </w:tcBorders>
            <w:vAlign w:val="center"/>
          </w:tcPr>
          <w:p w14:paraId="3C781220" w14:textId="77777777" w:rsidR="002F03F5" w:rsidRPr="009F2AA4" w:rsidRDefault="008F23FF" w:rsidP="00921FF3">
            <w:pPr>
              <w:pStyle w:val="TableText"/>
              <w:keepNext/>
              <w:keepLines/>
              <w:widowControl/>
              <w:jc w:val="center"/>
              <w:rPr>
                <w:b/>
                <w:bCs/>
              </w:rPr>
            </w:pPr>
            <w:r w:rsidRPr="009F2AA4">
              <w:rPr>
                <w:b/>
                <w:bCs/>
              </w:rPr>
              <w:t>Increment</w:t>
            </w:r>
          </w:p>
        </w:tc>
      </w:tr>
      <w:tr w:rsidR="002F03F5" w:rsidRPr="009F2AA4" w14:paraId="3C781223" w14:textId="77777777" w:rsidTr="00002F41">
        <w:tc>
          <w:tcPr>
            <w:tcW w:w="9016" w:type="dxa"/>
            <w:gridSpan w:val="4"/>
            <w:tcBorders>
              <w:top w:val="single" w:sz="4" w:space="0" w:color="000000"/>
              <w:left w:val="single" w:sz="4" w:space="0" w:color="000000"/>
              <w:bottom w:val="single" w:sz="4" w:space="0" w:color="000000"/>
              <w:right w:val="single" w:sz="4" w:space="0" w:color="000000"/>
            </w:tcBorders>
            <w:vAlign w:val="center"/>
          </w:tcPr>
          <w:p w14:paraId="3C781222" w14:textId="77777777" w:rsidR="002F03F5" w:rsidRPr="009F2AA4" w:rsidRDefault="008F23FF" w:rsidP="00921FF3">
            <w:pPr>
              <w:pStyle w:val="TableText"/>
              <w:keepNext/>
              <w:keepLines/>
              <w:widowControl/>
              <w:rPr>
                <w:b/>
              </w:rPr>
            </w:pPr>
            <w:r w:rsidRPr="009F2AA4">
              <w:rPr>
                <w:b/>
                <w:bCs/>
              </w:rPr>
              <w:t>Step 1: quasi trial based analysis per LY gained, 45 month time horizon</w:t>
            </w:r>
          </w:p>
        </w:tc>
      </w:tr>
      <w:tr w:rsidR="002F03F5" w:rsidRPr="009F2AA4" w14:paraId="3C781228" w14:textId="77777777" w:rsidTr="00002F41">
        <w:tc>
          <w:tcPr>
            <w:tcW w:w="2736" w:type="dxa"/>
            <w:tcBorders>
              <w:top w:val="single" w:sz="4" w:space="0" w:color="000000"/>
              <w:left w:val="single" w:sz="4" w:space="0" w:color="000000"/>
              <w:bottom w:val="single" w:sz="4" w:space="0" w:color="000000"/>
              <w:right w:val="single" w:sz="4" w:space="0" w:color="000000"/>
            </w:tcBorders>
            <w:vAlign w:val="center"/>
          </w:tcPr>
          <w:p w14:paraId="3C781224" w14:textId="77777777" w:rsidR="002F03F5" w:rsidRPr="009F2AA4" w:rsidRDefault="008F23FF" w:rsidP="00921FF3">
            <w:pPr>
              <w:pStyle w:val="TableText"/>
              <w:keepNext/>
              <w:keepLines/>
              <w:widowControl/>
              <w:rPr>
                <w:rFonts w:ascii="Times" w:eastAsia="Times New Roman" w:hAnsi="Times" w:cs="Times New Roman"/>
              </w:rPr>
            </w:pPr>
            <w:r w:rsidRPr="009F2AA4">
              <w:t>Costs</w:t>
            </w:r>
          </w:p>
        </w:tc>
        <w:tc>
          <w:tcPr>
            <w:tcW w:w="2004" w:type="dxa"/>
            <w:tcBorders>
              <w:top w:val="single" w:sz="4" w:space="0" w:color="000000"/>
              <w:left w:val="single" w:sz="4" w:space="0" w:color="000000"/>
              <w:bottom w:val="single" w:sz="4" w:space="0" w:color="000000"/>
              <w:right w:val="single" w:sz="4" w:space="0" w:color="000000"/>
            </w:tcBorders>
          </w:tcPr>
          <w:p w14:paraId="3C781225" w14:textId="15BCED00" w:rsidR="002F03F5" w:rsidRPr="009F2AA4" w:rsidRDefault="008F23FF" w:rsidP="00B73859">
            <w:pPr>
              <w:pStyle w:val="TableNumber"/>
              <w:keepNext/>
              <w:keepLines/>
              <w:widowControl/>
              <w:rPr>
                <w:rFonts w:ascii="Times" w:eastAsia="Times New Roman" w:hAnsi="Times" w:cs="Times New Roman"/>
              </w:rPr>
            </w:pPr>
            <w:r w:rsidRPr="009F2AA4">
              <w:t>$</w:t>
            </w:r>
            <w:r w:rsidR="00B73859" w:rsidRPr="00B73859">
              <w:rPr>
                <w:sz w:val="2"/>
                <w:highlight w:val="black"/>
              </w:rPr>
              <w:t>redacted content</w:t>
            </w:r>
          </w:p>
        </w:tc>
        <w:tc>
          <w:tcPr>
            <w:tcW w:w="2006" w:type="dxa"/>
            <w:tcBorders>
              <w:top w:val="single" w:sz="4" w:space="0" w:color="000000"/>
              <w:left w:val="single" w:sz="4" w:space="0" w:color="000000"/>
              <w:bottom w:val="single" w:sz="4" w:space="0" w:color="000000"/>
              <w:right w:val="single" w:sz="4" w:space="0" w:color="000000"/>
            </w:tcBorders>
          </w:tcPr>
          <w:p w14:paraId="3C781226" w14:textId="77777777" w:rsidR="002F03F5" w:rsidRPr="009F2AA4" w:rsidRDefault="008F23FF" w:rsidP="00B73859">
            <w:pPr>
              <w:pStyle w:val="TableNumber"/>
              <w:keepNext/>
              <w:keepLines/>
              <w:widowControl/>
              <w:rPr>
                <w:rFonts w:ascii="Times" w:eastAsia="Times New Roman" w:hAnsi="Times" w:cs="Times New Roman"/>
              </w:rPr>
            </w:pPr>
            <w:r w:rsidRPr="009F2AA4">
              <w:t>$21,191</w:t>
            </w:r>
          </w:p>
        </w:tc>
        <w:tc>
          <w:tcPr>
            <w:tcW w:w="2270" w:type="dxa"/>
            <w:tcBorders>
              <w:top w:val="single" w:sz="4" w:space="0" w:color="000000"/>
              <w:left w:val="single" w:sz="4" w:space="0" w:color="000000"/>
              <w:bottom w:val="single" w:sz="4" w:space="0" w:color="000000"/>
              <w:right w:val="single" w:sz="4" w:space="0" w:color="000000"/>
            </w:tcBorders>
          </w:tcPr>
          <w:p w14:paraId="3C781227" w14:textId="30133C33" w:rsidR="002F03F5" w:rsidRPr="009F2AA4" w:rsidRDefault="008F23FF" w:rsidP="00B73859">
            <w:pPr>
              <w:pStyle w:val="TableNumber"/>
              <w:keepNext/>
              <w:keepLines/>
              <w:widowControl/>
              <w:rPr>
                <w:rFonts w:ascii="Times" w:eastAsia="Times New Roman" w:hAnsi="Times" w:cs="Times New Roman"/>
              </w:rPr>
            </w:pPr>
            <w:r w:rsidRPr="009F2AA4">
              <w:t>$</w:t>
            </w:r>
            <w:r w:rsidR="00B73859" w:rsidRPr="00B73859">
              <w:rPr>
                <w:sz w:val="2"/>
                <w:highlight w:val="black"/>
              </w:rPr>
              <w:t>redacted content</w:t>
            </w:r>
          </w:p>
        </w:tc>
      </w:tr>
      <w:tr w:rsidR="00002F41" w:rsidRPr="009F2AA4" w14:paraId="3C78122D" w14:textId="77777777" w:rsidTr="00002F41">
        <w:tc>
          <w:tcPr>
            <w:tcW w:w="2736" w:type="dxa"/>
            <w:tcBorders>
              <w:top w:val="single" w:sz="4" w:space="0" w:color="000000"/>
              <w:left w:val="single" w:sz="4" w:space="0" w:color="000000"/>
              <w:bottom w:val="single" w:sz="4" w:space="0" w:color="000000"/>
              <w:right w:val="single" w:sz="4" w:space="0" w:color="000000"/>
            </w:tcBorders>
            <w:vAlign w:val="center"/>
          </w:tcPr>
          <w:p w14:paraId="3C781229" w14:textId="77777777" w:rsidR="00002F41" w:rsidRPr="009F2AA4" w:rsidRDefault="00002F41" w:rsidP="00002F41">
            <w:pPr>
              <w:pStyle w:val="TableText"/>
              <w:keepNext/>
              <w:keepLines/>
              <w:widowControl/>
              <w:rPr>
                <w:rFonts w:ascii="Times" w:eastAsia="Times New Roman" w:hAnsi="Times" w:cs="Times New Roman"/>
              </w:rPr>
            </w:pPr>
            <w:r w:rsidRPr="009F2AA4">
              <w:t>LYG</w:t>
            </w:r>
          </w:p>
        </w:tc>
        <w:tc>
          <w:tcPr>
            <w:tcW w:w="2004" w:type="dxa"/>
            <w:tcBorders>
              <w:top w:val="single" w:sz="4" w:space="0" w:color="000000"/>
              <w:left w:val="single" w:sz="4" w:space="0" w:color="000000"/>
              <w:bottom w:val="single" w:sz="4" w:space="0" w:color="000000"/>
              <w:right w:val="single" w:sz="4" w:space="0" w:color="000000"/>
            </w:tcBorders>
          </w:tcPr>
          <w:p w14:paraId="3C78122A" w14:textId="6C81AB5B" w:rsidR="00002F41" w:rsidRPr="00B73859" w:rsidRDefault="00002F41" w:rsidP="00002F41">
            <w:pPr>
              <w:pStyle w:val="TableNumber"/>
              <w:keepNext/>
              <w:keepLines/>
              <w:widowControl/>
              <w:rPr>
                <w:rFonts w:ascii="Times" w:eastAsia="Times New Roman" w:hAnsi="Times" w:cs="Times New Roman"/>
                <w:highlight w:val="darkGray"/>
              </w:rPr>
            </w:pPr>
            <w:r w:rsidRPr="00CD1452">
              <w:t>3.259</w:t>
            </w:r>
          </w:p>
        </w:tc>
        <w:tc>
          <w:tcPr>
            <w:tcW w:w="2006" w:type="dxa"/>
            <w:tcBorders>
              <w:top w:val="single" w:sz="4" w:space="0" w:color="000000"/>
              <w:left w:val="single" w:sz="4" w:space="0" w:color="000000"/>
              <w:bottom w:val="single" w:sz="4" w:space="0" w:color="000000"/>
              <w:right w:val="single" w:sz="4" w:space="0" w:color="000000"/>
            </w:tcBorders>
          </w:tcPr>
          <w:p w14:paraId="3C78122B" w14:textId="69CDB877" w:rsidR="00002F41" w:rsidRPr="00B73859" w:rsidRDefault="00002F41" w:rsidP="00002F41">
            <w:pPr>
              <w:pStyle w:val="TableNumber"/>
              <w:keepNext/>
              <w:keepLines/>
              <w:widowControl/>
              <w:rPr>
                <w:rFonts w:ascii="Times" w:eastAsia="Times New Roman" w:hAnsi="Times" w:cs="Times New Roman"/>
                <w:szCs w:val="56"/>
                <w:highlight w:val="darkGray"/>
              </w:rPr>
            </w:pPr>
            <w:r w:rsidRPr="00CD1452">
              <w:t>2.771</w:t>
            </w:r>
          </w:p>
        </w:tc>
        <w:tc>
          <w:tcPr>
            <w:tcW w:w="2270" w:type="dxa"/>
            <w:tcBorders>
              <w:top w:val="single" w:sz="4" w:space="0" w:color="000000"/>
              <w:left w:val="single" w:sz="4" w:space="0" w:color="000000"/>
              <w:bottom w:val="single" w:sz="4" w:space="0" w:color="000000"/>
              <w:right w:val="single" w:sz="4" w:space="0" w:color="000000"/>
            </w:tcBorders>
          </w:tcPr>
          <w:p w14:paraId="3C78122C" w14:textId="44776B0E" w:rsidR="00002F41" w:rsidRPr="00B73859" w:rsidRDefault="00002F41" w:rsidP="00002F41">
            <w:pPr>
              <w:pStyle w:val="TableNumber"/>
              <w:keepNext/>
              <w:keepLines/>
              <w:widowControl/>
              <w:rPr>
                <w:szCs w:val="56"/>
                <w:highlight w:val="darkGray"/>
              </w:rPr>
            </w:pPr>
            <w:r w:rsidRPr="00CD1452">
              <w:t xml:space="preserve"> 0.488 </w:t>
            </w:r>
          </w:p>
        </w:tc>
      </w:tr>
      <w:tr w:rsidR="002F03F5" w:rsidRPr="009F2AA4" w14:paraId="3C781230" w14:textId="77777777" w:rsidTr="00002F41">
        <w:tc>
          <w:tcPr>
            <w:tcW w:w="6746" w:type="dxa"/>
            <w:gridSpan w:val="3"/>
            <w:tcBorders>
              <w:top w:val="single" w:sz="4" w:space="0" w:color="000000"/>
              <w:left w:val="single" w:sz="4" w:space="0" w:color="000000"/>
              <w:bottom w:val="single" w:sz="4" w:space="0" w:color="000000"/>
              <w:right w:val="single" w:sz="4" w:space="0" w:color="000000"/>
            </w:tcBorders>
            <w:vAlign w:val="center"/>
          </w:tcPr>
          <w:p w14:paraId="3C78122E" w14:textId="77777777" w:rsidR="002F03F5" w:rsidRPr="009F2AA4" w:rsidRDefault="008F23FF" w:rsidP="00B73859">
            <w:pPr>
              <w:pStyle w:val="TableText"/>
              <w:keepNext/>
              <w:keepLines/>
              <w:widowControl/>
              <w:jc w:val="center"/>
              <w:rPr>
                <w:rFonts w:ascii="Times" w:eastAsia="Times New Roman" w:hAnsi="Times" w:cs="Times New Roman"/>
              </w:rPr>
            </w:pPr>
            <w:r w:rsidRPr="009F2AA4">
              <w:t>Incremental cost/extra LY gained</w:t>
            </w:r>
          </w:p>
        </w:tc>
        <w:tc>
          <w:tcPr>
            <w:tcW w:w="2270" w:type="dxa"/>
            <w:tcBorders>
              <w:top w:val="single" w:sz="4" w:space="0" w:color="000000"/>
              <w:left w:val="single" w:sz="4" w:space="0" w:color="000000"/>
              <w:bottom w:val="single" w:sz="4" w:space="0" w:color="000000"/>
              <w:right w:val="single" w:sz="4" w:space="0" w:color="000000"/>
            </w:tcBorders>
            <w:vAlign w:val="center"/>
          </w:tcPr>
          <w:p w14:paraId="3C78122F" w14:textId="27DE456E" w:rsidR="002F03F5" w:rsidRPr="00B73859" w:rsidRDefault="008F23FF" w:rsidP="00B73859">
            <w:pPr>
              <w:pStyle w:val="TableNumber"/>
              <w:keepNext/>
              <w:keepLines/>
              <w:widowControl/>
              <w:rPr>
                <w:rFonts w:ascii="Times" w:eastAsia="Times New Roman" w:hAnsi="Times" w:cs="Times New Roman"/>
                <w:vertAlign w:val="superscript"/>
              </w:rPr>
            </w:pPr>
            <w:r w:rsidRPr="009F2AA4">
              <w:t>$</w:t>
            </w:r>
            <w:r w:rsidR="00B73859" w:rsidRPr="00B73859">
              <w:rPr>
                <w:sz w:val="2"/>
                <w:highlight w:val="black"/>
              </w:rPr>
              <w:t>redacted content</w:t>
            </w:r>
            <w:r w:rsidR="004244F0">
              <w:rPr>
                <w:vertAlign w:val="superscript"/>
              </w:rPr>
              <w:t>1</w:t>
            </w:r>
            <w:r w:rsidRPr="009F2AA4">
              <w:t>/LYG</w:t>
            </w:r>
          </w:p>
        </w:tc>
      </w:tr>
      <w:tr w:rsidR="002F03F5" w:rsidRPr="009F2AA4" w14:paraId="3C781232" w14:textId="77777777" w:rsidTr="00002F41">
        <w:tc>
          <w:tcPr>
            <w:tcW w:w="9016" w:type="dxa"/>
            <w:gridSpan w:val="4"/>
            <w:tcBorders>
              <w:top w:val="single" w:sz="4" w:space="0" w:color="000000"/>
              <w:left w:val="single" w:sz="4" w:space="0" w:color="000000"/>
              <w:bottom w:val="single" w:sz="4" w:space="0" w:color="000000"/>
              <w:right w:val="single" w:sz="4" w:space="0" w:color="000000"/>
            </w:tcBorders>
            <w:vAlign w:val="center"/>
          </w:tcPr>
          <w:p w14:paraId="3C781231" w14:textId="77777777" w:rsidR="002F03F5" w:rsidRPr="009F2AA4" w:rsidRDefault="008F23FF" w:rsidP="00B73859">
            <w:pPr>
              <w:pStyle w:val="TableText"/>
              <w:keepNext/>
              <w:keepLines/>
              <w:widowControl/>
              <w:jc w:val="center"/>
              <w:rPr>
                <w:b/>
                <w:bCs/>
              </w:rPr>
            </w:pPr>
            <w:r w:rsidRPr="009F2AA4">
              <w:rPr>
                <w:b/>
                <w:bCs/>
              </w:rPr>
              <w:t>Step 2: cost per LY gained over 25 year time horizon</w:t>
            </w:r>
          </w:p>
        </w:tc>
      </w:tr>
      <w:tr w:rsidR="002F03F5" w:rsidRPr="009F2AA4" w14:paraId="3C781237" w14:textId="77777777" w:rsidTr="00002F41">
        <w:tc>
          <w:tcPr>
            <w:tcW w:w="2736" w:type="dxa"/>
            <w:tcBorders>
              <w:top w:val="single" w:sz="4" w:space="0" w:color="000000"/>
              <w:left w:val="single" w:sz="4" w:space="0" w:color="000000"/>
              <w:bottom w:val="single" w:sz="4" w:space="0" w:color="000000"/>
              <w:right w:val="single" w:sz="4" w:space="0" w:color="000000"/>
            </w:tcBorders>
            <w:vAlign w:val="center"/>
          </w:tcPr>
          <w:p w14:paraId="3C781233" w14:textId="77777777" w:rsidR="002F03F5" w:rsidRPr="009F2AA4" w:rsidRDefault="008F23FF" w:rsidP="00921FF3">
            <w:pPr>
              <w:pStyle w:val="TableText"/>
              <w:keepNext/>
              <w:keepLines/>
              <w:widowControl/>
              <w:rPr>
                <w:rFonts w:ascii="Times" w:eastAsia="Times New Roman" w:hAnsi="Times" w:cs="Times New Roman"/>
              </w:rPr>
            </w:pPr>
            <w:r w:rsidRPr="009F2AA4">
              <w:t>Costs</w:t>
            </w:r>
          </w:p>
        </w:tc>
        <w:tc>
          <w:tcPr>
            <w:tcW w:w="2004" w:type="dxa"/>
            <w:tcBorders>
              <w:top w:val="single" w:sz="4" w:space="0" w:color="000000"/>
              <w:left w:val="single" w:sz="4" w:space="0" w:color="000000"/>
              <w:bottom w:val="single" w:sz="4" w:space="0" w:color="000000"/>
              <w:right w:val="single" w:sz="4" w:space="0" w:color="000000"/>
            </w:tcBorders>
          </w:tcPr>
          <w:p w14:paraId="3C781234" w14:textId="2C184F7F" w:rsidR="002F03F5" w:rsidRPr="009F2AA4" w:rsidRDefault="008F23FF" w:rsidP="00B73859">
            <w:pPr>
              <w:pStyle w:val="TableNumber"/>
              <w:keepNext/>
              <w:keepLines/>
              <w:widowControl/>
              <w:rPr>
                <w:rFonts w:ascii="Times" w:eastAsia="Times New Roman" w:hAnsi="Times" w:cs="Times New Roman"/>
              </w:rPr>
            </w:pPr>
            <w:r w:rsidRPr="009F2AA4">
              <w:t>$</w:t>
            </w:r>
            <w:r w:rsidR="00B73859" w:rsidRPr="00B73859">
              <w:rPr>
                <w:sz w:val="2"/>
                <w:highlight w:val="black"/>
              </w:rPr>
              <w:t>redacted content</w:t>
            </w:r>
          </w:p>
        </w:tc>
        <w:tc>
          <w:tcPr>
            <w:tcW w:w="2006" w:type="dxa"/>
            <w:tcBorders>
              <w:top w:val="single" w:sz="4" w:space="0" w:color="000000"/>
              <w:left w:val="single" w:sz="4" w:space="0" w:color="000000"/>
              <w:bottom w:val="single" w:sz="4" w:space="0" w:color="000000"/>
              <w:right w:val="single" w:sz="4" w:space="0" w:color="000000"/>
            </w:tcBorders>
          </w:tcPr>
          <w:p w14:paraId="3C781235" w14:textId="77777777" w:rsidR="002F03F5" w:rsidRPr="009F2AA4" w:rsidRDefault="008F23FF" w:rsidP="00B73859">
            <w:pPr>
              <w:pStyle w:val="TableNumber"/>
              <w:keepNext/>
              <w:keepLines/>
              <w:widowControl/>
              <w:rPr>
                <w:rFonts w:ascii="Times" w:eastAsia="Times New Roman" w:hAnsi="Times" w:cs="Times New Roman"/>
              </w:rPr>
            </w:pPr>
            <w:r w:rsidRPr="009F2AA4">
              <w:t>$41,744</w:t>
            </w:r>
          </w:p>
        </w:tc>
        <w:tc>
          <w:tcPr>
            <w:tcW w:w="2270" w:type="dxa"/>
            <w:tcBorders>
              <w:top w:val="single" w:sz="4" w:space="0" w:color="000000"/>
              <w:left w:val="single" w:sz="4" w:space="0" w:color="000000"/>
              <w:bottom w:val="single" w:sz="4" w:space="0" w:color="000000"/>
              <w:right w:val="single" w:sz="4" w:space="0" w:color="000000"/>
            </w:tcBorders>
          </w:tcPr>
          <w:p w14:paraId="3C781236" w14:textId="33624ED2" w:rsidR="002F03F5" w:rsidRPr="009F2AA4" w:rsidRDefault="008F23FF" w:rsidP="00B73859">
            <w:pPr>
              <w:pStyle w:val="TableNumber"/>
              <w:keepNext/>
              <w:keepLines/>
              <w:widowControl/>
              <w:rPr>
                <w:rFonts w:ascii="Times" w:eastAsia="Times New Roman" w:hAnsi="Times" w:cs="Times New Roman"/>
              </w:rPr>
            </w:pPr>
            <w:r w:rsidRPr="009F2AA4">
              <w:t>$</w:t>
            </w:r>
            <w:r w:rsidR="00B73859" w:rsidRPr="00B73859">
              <w:rPr>
                <w:sz w:val="2"/>
                <w:highlight w:val="black"/>
              </w:rPr>
              <w:t>redacted content</w:t>
            </w:r>
          </w:p>
        </w:tc>
      </w:tr>
      <w:tr w:rsidR="00E25FBC" w:rsidRPr="009F2AA4" w14:paraId="3C78123C" w14:textId="77777777" w:rsidTr="00002F41">
        <w:tc>
          <w:tcPr>
            <w:tcW w:w="2736" w:type="dxa"/>
            <w:tcBorders>
              <w:top w:val="single" w:sz="4" w:space="0" w:color="000000"/>
              <w:left w:val="single" w:sz="4" w:space="0" w:color="000000"/>
              <w:bottom w:val="single" w:sz="4" w:space="0" w:color="000000"/>
              <w:right w:val="single" w:sz="4" w:space="0" w:color="000000"/>
            </w:tcBorders>
            <w:vAlign w:val="center"/>
          </w:tcPr>
          <w:p w14:paraId="3C781238" w14:textId="77777777" w:rsidR="00E25FBC" w:rsidRPr="009F2AA4" w:rsidRDefault="00E25FBC" w:rsidP="00E25FBC">
            <w:pPr>
              <w:pStyle w:val="TableText"/>
              <w:keepNext/>
              <w:keepLines/>
              <w:widowControl/>
              <w:rPr>
                <w:rFonts w:ascii="Times" w:eastAsia="Times New Roman" w:hAnsi="Times" w:cs="Times New Roman"/>
              </w:rPr>
            </w:pPr>
            <w:r w:rsidRPr="009F2AA4">
              <w:t>LYG</w:t>
            </w:r>
          </w:p>
        </w:tc>
        <w:tc>
          <w:tcPr>
            <w:tcW w:w="2004" w:type="dxa"/>
            <w:tcBorders>
              <w:top w:val="single" w:sz="4" w:space="0" w:color="000000"/>
              <w:left w:val="single" w:sz="4" w:space="0" w:color="000000"/>
              <w:bottom w:val="single" w:sz="4" w:space="0" w:color="000000"/>
              <w:right w:val="single" w:sz="4" w:space="0" w:color="000000"/>
            </w:tcBorders>
          </w:tcPr>
          <w:p w14:paraId="3C781239" w14:textId="4A13B2F5" w:rsidR="00E25FBC" w:rsidRPr="00B73859" w:rsidRDefault="00E25FBC" w:rsidP="00E25FBC">
            <w:pPr>
              <w:pStyle w:val="TableNumber"/>
              <w:keepNext/>
              <w:keepLines/>
              <w:widowControl/>
              <w:rPr>
                <w:rFonts w:ascii="Times" w:eastAsia="Times New Roman" w:hAnsi="Times" w:cs="Times New Roman"/>
                <w:highlight w:val="darkGray"/>
              </w:rPr>
            </w:pPr>
            <w:r w:rsidRPr="00CD1452">
              <w:t>9.260</w:t>
            </w:r>
          </w:p>
        </w:tc>
        <w:tc>
          <w:tcPr>
            <w:tcW w:w="2006" w:type="dxa"/>
            <w:tcBorders>
              <w:top w:val="single" w:sz="4" w:space="0" w:color="000000"/>
              <w:left w:val="single" w:sz="4" w:space="0" w:color="000000"/>
              <w:bottom w:val="single" w:sz="4" w:space="0" w:color="000000"/>
              <w:right w:val="single" w:sz="4" w:space="0" w:color="000000"/>
            </w:tcBorders>
          </w:tcPr>
          <w:p w14:paraId="3C78123A" w14:textId="5B8BA9D3" w:rsidR="00E25FBC" w:rsidRPr="00B73859" w:rsidRDefault="00E25FBC" w:rsidP="00E25FBC">
            <w:pPr>
              <w:pStyle w:val="TableNumber"/>
              <w:keepNext/>
              <w:keepLines/>
              <w:widowControl/>
              <w:rPr>
                <w:rFonts w:ascii="Times" w:eastAsia="Times New Roman" w:hAnsi="Times" w:cs="Times New Roman"/>
                <w:szCs w:val="56"/>
                <w:highlight w:val="darkGray"/>
              </w:rPr>
            </w:pPr>
            <w:r w:rsidRPr="00CD1452">
              <w:t>4.385</w:t>
            </w:r>
          </w:p>
        </w:tc>
        <w:tc>
          <w:tcPr>
            <w:tcW w:w="2270" w:type="dxa"/>
            <w:tcBorders>
              <w:top w:val="single" w:sz="4" w:space="0" w:color="000000"/>
              <w:left w:val="single" w:sz="4" w:space="0" w:color="000000"/>
              <w:bottom w:val="single" w:sz="4" w:space="0" w:color="000000"/>
              <w:right w:val="single" w:sz="4" w:space="0" w:color="000000"/>
            </w:tcBorders>
          </w:tcPr>
          <w:p w14:paraId="3C78123B" w14:textId="2C18C7AF" w:rsidR="00E25FBC" w:rsidRPr="00B73859" w:rsidRDefault="00E25FBC" w:rsidP="00E25FBC">
            <w:pPr>
              <w:pStyle w:val="TableNumber"/>
              <w:keepNext/>
              <w:keepLines/>
              <w:widowControl/>
              <w:rPr>
                <w:szCs w:val="56"/>
                <w:highlight w:val="darkGray"/>
              </w:rPr>
            </w:pPr>
            <w:r w:rsidRPr="003F6065">
              <w:t xml:space="preserve"> 4.875 </w:t>
            </w:r>
          </w:p>
        </w:tc>
      </w:tr>
      <w:tr w:rsidR="002F03F5" w:rsidRPr="009F2AA4" w14:paraId="3C78123F" w14:textId="77777777" w:rsidTr="00002F41">
        <w:tc>
          <w:tcPr>
            <w:tcW w:w="6746" w:type="dxa"/>
            <w:gridSpan w:val="3"/>
            <w:tcBorders>
              <w:top w:val="single" w:sz="4" w:space="0" w:color="000000"/>
              <w:left w:val="single" w:sz="4" w:space="0" w:color="000000"/>
              <w:bottom w:val="single" w:sz="4" w:space="0" w:color="000000"/>
              <w:right w:val="single" w:sz="4" w:space="0" w:color="000000"/>
            </w:tcBorders>
            <w:vAlign w:val="center"/>
          </w:tcPr>
          <w:p w14:paraId="3C78123D" w14:textId="77777777" w:rsidR="002F03F5" w:rsidRPr="009F2AA4" w:rsidRDefault="008F23FF" w:rsidP="00B73859">
            <w:pPr>
              <w:pStyle w:val="TableText"/>
              <w:keepNext/>
              <w:keepLines/>
              <w:widowControl/>
              <w:jc w:val="center"/>
              <w:rPr>
                <w:rFonts w:ascii="Times" w:eastAsia="Times New Roman" w:hAnsi="Times" w:cs="Times New Roman"/>
              </w:rPr>
            </w:pPr>
            <w:r w:rsidRPr="009F2AA4">
              <w:t>Incremental cost/extra LY gained</w:t>
            </w:r>
          </w:p>
        </w:tc>
        <w:tc>
          <w:tcPr>
            <w:tcW w:w="2270" w:type="dxa"/>
            <w:tcBorders>
              <w:top w:val="single" w:sz="4" w:space="0" w:color="000000"/>
              <w:left w:val="single" w:sz="4" w:space="0" w:color="000000"/>
              <w:bottom w:val="single" w:sz="4" w:space="0" w:color="000000"/>
              <w:right w:val="single" w:sz="4" w:space="0" w:color="000000"/>
            </w:tcBorders>
            <w:vAlign w:val="center"/>
          </w:tcPr>
          <w:p w14:paraId="3C78123E" w14:textId="2FE18C15" w:rsidR="002F03F5" w:rsidRPr="009F2AA4" w:rsidRDefault="008F23FF" w:rsidP="00B73859">
            <w:pPr>
              <w:pStyle w:val="TableNumber"/>
              <w:keepNext/>
              <w:keepLines/>
              <w:widowControl/>
              <w:rPr>
                <w:rFonts w:ascii="Times" w:eastAsia="Times New Roman" w:hAnsi="Times" w:cs="Times New Roman"/>
              </w:rPr>
            </w:pPr>
            <w:r w:rsidRPr="009F2AA4">
              <w:t>$</w:t>
            </w:r>
            <w:r w:rsidR="00B73859" w:rsidRPr="00B73859">
              <w:rPr>
                <w:sz w:val="2"/>
                <w:highlight w:val="black"/>
              </w:rPr>
              <w:t>redacted content</w:t>
            </w:r>
            <w:r w:rsidR="004244F0">
              <w:rPr>
                <w:vertAlign w:val="superscript"/>
              </w:rPr>
              <w:t>2</w:t>
            </w:r>
            <w:r w:rsidRPr="009F2AA4">
              <w:t>/LYG</w:t>
            </w:r>
          </w:p>
        </w:tc>
      </w:tr>
      <w:tr w:rsidR="002F03F5" w:rsidRPr="009F2AA4" w14:paraId="3C781241" w14:textId="77777777" w:rsidTr="00002F41">
        <w:tc>
          <w:tcPr>
            <w:tcW w:w="9016" w:type="dxa"/>
            <w:gridSpan w:val="4"/>
            <w:tcBorders>
              <w:top w:val="single" w:sz="4" w:space="0" w:color="000000"/>
              <w:left w:val="single" w:sz="4" w:space="0" w:color="000000"/>
              <w:bottom w:val="single" w:sz="4" w:space="0" w:color="000000"/>
              <w:right w:val="single" w:sz="4" w:space="0" w:color="000000"/>
            </w:tcBorders>
            <w:vAlign w:val="center"/>
          </w:tcPr>
          <w:p w14:paraId="3C781240" w14:textId="77777777" w:rsidR="002F03F5" w:rsidRPr="009F2AA4" w:rsidRDefault="008F23FF" w:rsidP="00B73859">
            <w:pPr>
              <w:pStyle w:val="TableText"/>
              <w:keepNext/>
              <w:keepLines/>
              <w:widowControl/>
              <w:jc w:val="center"/>
              <w:rPr>
                <w:b/>
                <w:bCs/>
              </w:rPr>
            </w:pPr>
            <w:r w:rsidRPr="009F2AA4">
              <w:rPr>
                <w:b/>
                <w:bCs/>
              </w:rPr>
              <w:t>Step 3: cost per QALY gained over 25 year time horizon</w:t>
            </w:r>
          </w:p>
        </w:tc>
      </w:tr>
      <w:tr w:rsidR="002F03F5" w:rsidRPr="009F2AA4" w14:paraId="3C781246" w14:textId="77777777" w:rsidTr="00002F41">
        <w:tc>
          <w:tcPr>
            <w:tcW w:w="2736" w:type="dxa"/>
            <w:tcBorders>
              <w:top w:val="single" w:sz="4" w:space="0" w:color="000000"/>
              <w:left w:val="single" w:sz="4" w:space="0" w:color="000000"/>
              <w:bottom w:val="single" w:sz="4" w:space="0" w:color="000000"/>
              <w:right w:val="single" w:sz="4" w:space="0" w:color="000000"/>
            </w:tcBorders>
            <w:vAlign w:val="center"/>
          </w:tcPr>
          <w:p w14:paraId="3C781242" w14:textId="77777777" w:rsidR="002F03F5" w:rsidRPr="009F2AA4" w:rsidRDefault="008F23FF" w:rsidP="00921FF3">
            <w:pPr>
              <w:pStyle w:val="TableText"/>
              <w:keepNext/>
              <w:keepLines/>
              <w:widowControl/>
              <w:rPr>
                <w:rFonts w:ascii="Times" w:eastAsia="Times New Roman" w:hAnsi="Times" w:cs="Times New Roman"/>
              </w:rPr>
            </w:pPr>
            <w:r w:rsidRPr="009F2AA4">
              <w:t>Costs</w:t>
            </w:r>
          </w:p>
        </w:tc>
        <w:tc>
          <w:tcPr>
            <w:tcW w:w="2004" w:type="dxa"/>
            <w:tcBorders>
              <w:top w:val="single" w:sz="4" w:space="0" w:color="000000"/>
              <w:left w:val="single" w:sz="4" w:space="0" w:color="000000"/>
              <w:bottom w:val="single" w:sz="4" w:space="0" w:color="000000"/>
              <w:right w:val="single" w:sz="4" w:space="0" w:color="000000"/>
            </w:tcBorders>
          </w:tcPr>
          <w:p w14:paraId="3C781243" w14:textId="5C55E924" w:rsidR="002F03F5" w:rsidRPr="009F2AA4" w:rsidRDefault="008F23FF" w:rsidP="00B73859">
            <w:pPr>
              <w:pStyle w:val="TableNumber"/>
              <w:keepNext/>
              <w:keepLines/>
              <w:widowControl/>
              <w:rPr>
                <w:rFonts w:ascii="Times" w:eastAsia="Times New Roman" w:hAnsi="Times" w:cs="Times New Roman"/>
              </w:rPr>
            </w:pPr>
            <w:r w:rsidRPr="009F2AA4">
              <w:t>$</w:t>
            </w:r>
            <w:r w:rsidR="00B73859" w:rsidRPr="00B73859">
              <w:rPr>
                <w:sz w:val="2"/>
                <w:highlight w:val="black"/>
              </w:rPr>
              <w:t>redacted content</w:t>
            </w:r>
          </w:p>
        </w:tc>
        <w:tc>
          <w:tcPr>
            <w:tcW w:w="2006" w:type="dxa"/>
            <w:tcBorders>
              <w:top w:val="single" w:sz="4" w:space="0" w:color="000000"/>
              <w:left w:val="single" w:sz="4" w:space="0" w:color="000000"/>
              <w:bottom w:val="single" w:sz="4" w:space="0" w:color="000000"/>
              <w:right w:val="single" w:sz="4" w:space="0" w:color="000000"/>
            </w:tcBorders>
          </w:tcPr>
          <w:p w14:paraId="3C781244" w14:textId="77777777" w:rsidR="002F03F5" w:rsidRPr="009F2AA4" w:rsidRDefault="008F23FF" w:rsidP="00B73859">
            <w:pPr>
              <w:pStyle w:val="TableNumber"/>
              <w:keepNext/>
              <w:keepLines/>
              <w:widowControl/>
              <w:rPr>
                <w:rFonts w:ascii="Times" w:eastAsia="Times New Roman" w:hAnsi="Times" w:cs="Times New Roman"/>
              </w:rPr>
            </w:pPr>
            <w:r w:rsidRPr="009F2AA4">
              <w:t>$41,744</w:t>
            </w:r>
          </w:p>
        </w:tc>
        <w:tc>
          <w:tcPr>
            <w:tcW w:w="2270" w:type="dxa"/>
            <w:tcBorders>
              <w:top w:val="single" w:sz="4" w:space="0" w:color="000000"/>
              <w:left w:val="single" w:sz="4" w:space="0" w:color="000000"/>
              <w:bottom w:val="single" w:sz="4" w:space="0" w:color="000000"/>
              <w:right w:val="single" w:sz="4" w:space="0" w:color="000000"/>
            </w:tcBorders>
          </w:tcPr>
          <w:p w14:paraId="3C781245" w14:textId="6B046E74" w:rsidR="002F03F5" w:rsidRPr="009F2AA4" w:rsidRDefault="008F23FF" w:rsidP="00B73859">
            <w:pPr>
              <w:pStyle w:val="TableNumber"/>
              <w:keepNext/>
              <w:keepLines/>
              <w:widowControl/>
              <w:rPr>
                <w:rFonts w:ascii="Times" w:eastAsia="Times New Roman" w:hAnsi="Times" w:cs="Times New Roman"/>
              </w:rPr>
            </w:pPr>
            <w:r w:rsidRPr="009F2AA4">
              <w:t>$</w:t>
            </w:r>
            <w:r w:rsidR="00B73859" w:rsidRPr="00B73859">
              <w:rPr>
                <w:sz w:val="2"/>
                <w:highlight w:val="black"/>
              </w:rPr>
              <w:t>redacted content</w:t>
            </w:r>
          </w:p>
        </w:tc>
      </w:tr>
      <w:tr w:rsidR="00A72FBC" w:rsidRPr="009F2AA4" w14:paraId="3C78124B" w14:textId="77777777" w:rsidTr="00002F41">
        <w:tc>
          <w:tcPr>
            <w:tcW w:w="2736" w:type="dxa"/>
            <w:tcBorders>
              <w:top w:val="single" w:sz="4" w:space="0" w:color="000000"/>
              <w:left w:val="single" w:sz="4" w:space="0" w:color="000000"/>
              <w:bottom w:val="single" w:sz="4" w:space="0" w:color="000000"/>
              <w:right w:val="single" w:sz="4" w:space="0" w:color="000000"/>
            </w:tcBorders>
            <w:vAlign w:val="center"/>
          </w:tcPr>
          <w:p w14:paraId="3C781247" w14:textId="77777777" w:rsidR="00A72FBC" w:rsidRPr="009F2AA4" w:rsidRDefault="00A72FBC" w:rsidP="00A72FBC">
            <w:pPr>
              <w:pStyle w:val="TableText"/>
              <w:keepNext/>
              <w:keepLines/>
              <w:widowControl/>
              <w:rPr>
                <w:rFonts w:ascii="Times" w:eastAsia="Times New Roman" w:hAnsi="Times" w:cs="Times New Roman"/>
              </w:rPr>
            </w:pPr>
            <w:r w:rsidRPr="009F2AA4">
              <w:t>QALYs gained</w:t>
            </w:r>
          </w:p>
        </w:tc>
        <w:tc>
          <w:tcPr>
            <w:tcW w:w="2004" w:type="dxa"/>
            <w:tcBorders>
              <w:top w:val="single" w:sz="4" w:space="0" w:color="000000"/>
              <w:left w:val="single" w:sz="4" w:space="0" w:color="000000"/>
              <w:bottom w:val="single" w:sz="4" w:space="0" w:color="000000"/>
              <w:right w:val="single" w:sz="4" w:space="0" w:color="000000"/>
            </w:tcBorders>
          </w:tcPr>
          <w:p w14:paraId="3C781248" w14:textId="44F90578" w:rsidR="00A72FBC" w:rsidRPr="00B73859" w:rsidRDefault="00A72FBC" w:rsidP="00A72FBC">
            <w:pPr>
              <w:pStyle w:val="TableNumber"/>
              <w:keepNext/>
              <w:keepLines/>
              <w:widowControl/>
              <w:rPr>
                <w:rFonts w:ascii="Times" w:eastAsia="Times New Roman" w:hAnsi="Times" w:cs="Times New Roman"/>
                <w:highlight w:val="darkGray"/>
              </w:rPr>
            </w:pPr>
            <w:r w:rsidRPr="00CD1452">
              <w:t>7.845</w:t>
            </w:r>
          </w:p>
        </w:tc>
        <w:tc>
          <w:tcPr>
            <w:tcW w:w="2006" w:type="dxa"/>
            <w:tcBorders>
              <w:top w:val="single" w:sz="4" w:space="0" w:color="000000"/>
              <w:left w:val="single" w:sz="4" w:space="0" w:color="000000"/>
              <w:bottom w:val="single" w:sz="4" w:space="0" w:color="000000"/>
              <w:right w:val="single" w:sz="4" w:space="0" w:color="000000"/>
            </w:tcBorders>
          </w:tcPr>
          <w:p w14:paraId="3C781249" w14:textId="44BD1B24" w:rsidR="00A72FBC" w:rsidRPr="00B73859" w:rsidRDefault="00A72FBC" w:rsidP="00A72FBC">
            <w:pPr>
              <w:pStyle w:val="TableNumber"/>
              <w:keepNext/>
              <w:keepLines/>
              <w:widowControl/>
              <w:rPr>
                <w:rFonts w:ascii="Times" w:eastAsia="Times New Roman" w:hAnsi="Times" w:cs="Times New Roman"/>
                <w:szCs w:val="56"/>
                <w:highlight w:val="darkGray"/>
              </w:rPr>
            </w:pPr>
            <w:r w:rsidRPr="00CD1452">
              <w:t>3.757</w:t>
            </w:r>
          </w:p>
        </w:tc>
        <w:tc>
          <w:tcPr>
            <w:tcW w:w="2270" w:type="dxa"/>
            <w:tcBorders>
              <w:top w:val="single" w:sz="4" w:space="0" w:color="000000"/>
              <w:left w:val="single" w:sz="4" w:space="0" w:color="000000"/>
              <w:bottom w:val="single" w:sz="4" w:space="0" w:color="000000"/>
              <w:right w:val="single" w:sz="4" w:space="0" w:color="000000"/>
            </w:tcBorders>
          </w:tcPr>
          <w:p w14:paraId="3C78124A" w14:textId="621FCE83" w:rsidR="00A72FBC" w:rsidRPr="00B73859" w:rsidRDefault="00A72FBC" w:rsidP="00A72FBC">
            <w:pPr>
              <w:pStyle w:val="TableNumber"/>
              <w:keepNext/>
              <w:keepLines/>
              <w:widowControl/>
              <w:rPr>
                <w:szCs w:val="56"/>
                <w:highlight w:val="darkGray"/>
              </w:rPr>
            </w:pPr>
            <w:r w:rsidRPr="00CD1452">
              <w:t xml:space="preserve"> 4.088 </w:t>
            </w:r>
          </w:p>
        </w:tc>
      </w:tr>
      <w:tr w:rsidR="002F03F5" w:rsidRPr="009F2AA4" w14:paraId="3C78124E" w14:textId="77777777" w:rsidTr="00002F41">
        <w:tc>
          <w:tcPr>
            <w:tcW w:w="6746" w:type="dxa"/>
            <w:gridSpan w:val="3"/>
            <w:tcBorders>
              <w:top w:val="single" w:sz="4" w:space="0" w:color="000000"/>
              <w:left w:val="single" w:sz="4" w:space="0" w:color="000000"/>
              <w:bottom w:val="single" w:sz="4" w:space="0" w:color="000000"/>
              <w:right w:val="single" w:sz="4" w:space="0" w:color="000000"/>
            </w:tcBorders>
            <w:vAlign w:val="center"/>
          </w:tcPr>
          <w:p w14:paraId="3C78124C" w14:textId="77777777" w:rsidR="002F03F5" w:rsidRPr="009F2AA4" w:rsidRDefault="008F23FF" w:rsidP="00B73859">
            <w:pPr>
              <w:pStyle w:val="TableText"/>
              <w:keepNext/>
              <w:keepLines/>
              <w:widowControl/>
              <w:jc w:val="center"/>
              <w:rPr>
                <w:rFonts w:ascii="Times" w:eastAsia="Times New Roman" w:hAnsi="Times" w:cs="Times New Roman"/>
              </w:rPr>
            </w:pPr>
            <w:r w:rsidRPr="009F2AA4">
              <w:t>Incremental cost/extra QALY gained</w:t>
            </w:r>
          </w:p>
        </w:tc>
        <w:tc>
          <w:tcPr>
            <w:tcW w:w="2270" w:type="dxa"/>
            <w:tcBorders>
              <w:top w:val="single" w:sz="4" w:space="0" w:color="000000"/>
              <w:left w:val="single" w:sz="4" w:space="0" w:color="000000"/>
              <w:bottom w:val="single" w:sz="4" w:space="0" w:color="000000"/>
              <w:right w:val="single" w:sz="4" w:space="0" w:color="000000"/>
            </w:tcBorders>
            <w:vAlign w:val="center"/>
          </w:tcPr>
          <w:p w14:paraId="3C78124D" w14:textId="3DFC873C" w:rsidR="002F03F5" w:rsidRPr="009F2AA4" w:rsidRDefault="008F23FF" w:rsidP="00B73859">
            <w:pPr>
              <w:pStyle w:val="TableNumber"/>
              <w:keepNext/>
              <w:keepLines/>
              <w:widowControl/>
              <w:rPr>
                <w:rFonts w:ascii="Times" w:eastAsia="Times New Roman" w:hAnsi="Times" w:cs="Times New Roman"/>
              </w:rPr>
            </w:pPr>
            <w:r w:rsidRPr="009F2AA4">
              <w:rPr>
                <w:b/>
                <w:bCs/>
              </w:rPr>
              <w:t>$</w:t>
            </w:r>
            <w:r w:rsidR="00B73859" w:rsidRPr="00B73859">
              <w:rPr>
                <w:b/>
                <w:bCs/>
                <w:sz w:val="2"/>
                <w:highlight w:val="black"/>
              </w:rPr>
              <w:t>redacted content</w:t>
            </w:r>
            <w:r w:rsidR="0061036D">
              <w:rPr>
                <w:b/>
                <w:bCs/>
                <w:vertAlign w:val="superscript"/>
              </w:rPr>
              <w:t>2</w:t>
            </w:r>
            <w:r w:rsidRPr="009F2AA4">
              <w:rPr>
                <w:b/>
                <w:bCs/>
              </w:rPr>
              <w:t>/QALY gained</w:t>
            </w:r>
          </w:p>
        </w:tc>
      </w:tr>
      <w:tr w:rsidR="002F03F5" w:rsidRPr="00060F6C" w14:paraId="3C781251" w14:textId="77777777" w:rsidTr="00002F41">
        <w:tc>
          <w:tcPr>
            <w:tcW w:w="6746" w:type="dxa"/>
            <w:gridSpan w:val="3"/>
            <w:tcBorders>
              <w:top w:val="single" w:sz="4" w:space="0" w:color="000000"/>
              <w:left w:val="single" w:sz="4" w:space="0" w:color="000000"/>
              <w:bottom w:val="single" w:sz="4" w:space="0" w:color="000000"/>
              <w:right w:val="single" w:sz="4" w:space="0" w:color="000000"/>
            </w:tcBorders>
            <w:vAlign w:val="center"/>
          </w:tcPr>
          <w:p w14:paraId="3C78124F" w14:textId="02C55B55" w:rsidR="002F03F5" w:rsidRPr="00D42136" w:rsidRDefault="008F23FF" w:rsidP="00B73859">
            <w:pPr>
              <w:pStyle w:val="TableText"/>
              <w:keepNext/>
              <w:keepLines/>
              <w:widowControl/>
              <w:jc w:val="center"/>
            </w:pPr>
            <w:r w:rsidRPr="00D42136">
              <w:t>Revised in PSCR to correct dose reductions</w:t>
            </w:r>
          </w:p>
        </w:tc>
        <w:tc>
          <w:tcPr>
            <w:tcW w:w="2270" w:type="dxa"/>
            <w:tcBorders>
              <w:top w:val="single" w:sz="4" w:space="0" w:color="000000"/>
              <w:left w:val="single" w:sz="4" w:space="0" w:color="000000"/>
              <w:bottom w:val="single" w:sz="4" w:space="0" w:color="000000"/>
              <w:right w:val="single" w:sz="4" w:space="0" w:color="000000"/>
            </w:tcBorders>
            <w:vAlign w:val="center"/>
          </w:tcPr>
          <w:p w14:paraId="3C781250" w14:textId="00B09E44" w:rsidR="002F03F5" w:rsidRPr="00D42136" w:rsidRDefault="008F23FF" w:rsidP="00B73859">
            <w:pPr>
              <w:pStyle w:val="TableNumber"/>
              <w:keepNext/>
              <w:keepLines/>
              <w:widowControl/>
              <w:rPr>
                <w:b/>
                <w:bCs/>
              </w:rPr>
            </w:pPr>
            <w:r w:rsidRPr="00D42136">
              <w:rPr>
                <w:b/>
                <w:bCs/>
              </w:rPr>
              <w:t>$</w:t>
            </w:r>
            <w:r w:rsidR="00B73859" w:rsidRPr="00B73859">
              <w:rPr>
                <w:b/>
                <w:bCs/>
                <w:sz w:val="2"/>
                <w:highlight w:val="black"/>
              </w:rPr>
              <w:t>redacted content</w:t>
            </w:r>
            <w:r w:rsidR="0061036D">
              <w:rPr>
                <w:b/>
                <w:bCs/>
                <w:vertAlign w:val="superscript"/>
              </w:rPr>
              <w:t>3</w:t>
            </w:r>
            <w:r w:rsidRPr="00D42136">
              <w:rPr>
                <w:b/>
                <w:bCs/>
              </w:rPr>
              <w:t>/ QALY gained</w:t>
            </w:r>
          </w:p>
        </w:tc>
      </w:tr>
    </w:tbl>
    <w:p w14:paraId="3C781252" w14:textId="77777777" w:rsidR="002F03F5" w:rsidRPr="009F2AA4" w:rsidRDefault="008F23FF" w:rsidP="00921FF3">
      <w:pPr>
        <w:pStyle w:val="TableFooter"/>
        <w:keepNext/>
        <w:keepLines/>
        <w:widowControl/>
      </w:pPr>
      <w:r w:rsidRPr="009F2AA4">
        <w:t>Source: Table 3-22, p144 of the submission; ‘Deterministic Results’ worksheet from the economic model</w:t>
      </w:r>
    </w:p>
    <w:p w14:paraId="3C781253" w14:textId="77777777" w:rsidR="002F03F5" w:rsidRPr="009F2AA4" w:rsidRDefault="008F23FF" w:rsidP="00921FF3">
      <w:pPr>
        <w:pStyle w:val="TableFooter"/>
        <w:keepNext/>
        <w:keepLines/>
        <w:widowControl/>
        <w:tabs>
          <w:tab w:val="center" w:pos="4513"/>
        </w:tabs>
      </w:pPr>
      <w:r w:rsidRPr="009F2AA4">
        <w:t>BSC = best supportive care; LYG = life years gained; QALYs = quality adjusted life years</w:t>
      </w:r>
    </w:p>
    <w:p w14:paraId="3C781254" w14:textId="77777777" w:rsidR="002F03F5" w:rsidRPr="009F2AA4" w:rsidRDefault="008F23FF" w:rsidP="00921FF3">
      <w:pPr>
        <w:pStyle w:val="TableFooter"/>
        <w:keepNext/>
        <w:keepLines/>
        <w:widowControl/>
        <w:tabs>
          <w:tab w:val="center" w:pos="4513"/>
        </w:tabs>
        <w:rPr>
          <w:u w:val="single"/>
        </w:rPr>
      </w:pPr>
      <w:r w:rsidRPr="009F2AA4">
        <w:rPr>
          <w:u w:val="single"/>
        </w:rPr>
        <w:t>Notes:</w:t>
      </w:r>
    </w:p>
    <w:p w14:paraId="3C781255" w14:textId="1CE94567" w:rsidR="006C2D08" w:rsidRDefault="008F23FF" w:rsidP="00921FF3">
      <w:pPr>
        <w:pStyle w:val="TableFooter"/>
        <w:keepNext/>
        <w:keepLines/>
        <w:widowControl/>
        <w:tabs>
          <w:tab w:val="center" w:pos="4513"/>
        </w:tabs>
      </w:pPr>
      <w:r w:rsidRPr="009F2AA4">
        <w:t>Results are discounted</w:t>
      </w:r>
    </w:p>
    <w:p w14:paraId="046B3E32" w14:textId="1442247B" w:rsidR="0061036D" w:rsidRDefault="0061036D" w:rsidP="00921FF3">
      <w:pPr>
        <w:pStyle w:val="TableFooter"/>
        <w:keepNext/>
        <w:keepLines/>
        <w:widowControl/>
        <w:tabs>
          <w:tab w:val="center" w:pos="4513"/>
        </w:tabs>
        <w:rPr>
          <w:i/>
          <w:iCs/>
        </w:rPr>
      </w:pPr>
      <w:r>
        <w:rPr>
          <w:i/>
          <w:iCs/>
        </w:rPr>
        <w:t>The redacted values correspond to the following ranges:</w:t>
      </w:r>
    </w:p>
    <w:p w14:paraId="16475BA7" w14:textId="276DF8DD" w:rsidR="0061036D" w:rsidRDefault="0061036D" w:rsidP="00921FF3">
      <w:pPr>
        <w:pStyle w:val="TableFooter"/>
        <w:keepNext/>
        <w:keepLines/>
        <w:widowControl/>
        <w:tabs>
          <w:tab w:val="center" w:pos="4513"/>
        </w:tabs>
        <w:rPr>
          <w:i/>
          <w:iCs/>
        </w:rPr>
      </w:pPr>
      <w:r>
        <w:rPr>
          <w:i/>
          <w:iCs/>
          <w:vertAlign w:val="superscript"/>
        </w:rPr>
        <w:t>1</w:t>
      </w:r>
      <w:r>
        <w:rPr>
          <w:i/>
          <w:iCs/>
        </w:rPr>
        <w:t xml:space="preserve"> $355,000 to &lt; $455,000</w:t>
      </w:r>
    </w:p>
    <w:p w14:paraId="3A929B1F" w14:textId="5BE5759E" w:rsidR="0061036D" w:rsidRDefault="0061036D" w:rsidP="00921FF3">
      <w:pPr>
        <w:pStyle w:val="TableFooter"/>
        <w:keepNext/>
        <w:keepLines/>
        <w:widowControl/>
        <w:tabs>
          <w:tab w:val="center" w:pos="4513"/>
        </w:tabs>
        <w:rPr>
          <w:i/>
          <w:iCs/>
        </w:rPr>
      </w:pPr>
      <w:r>
        <w:rPr>
          <w:i/>
          <w:iCs/>
          <w:vertAlign w:val="superscript"/>
        </w:rPr>
        <w:t>2</w:t>
      </w:r>
      <w:r>
        <w:rPr>
          <w:i/>
          <w:iCs/>
        </w:rPr>
        <w:t xml:space="preserve"> $55,000 to &lt; $75,000</w:t>
      </w:r>
    </w:p>
    <w:p w14:paraId="03E2557E" w14:textId="126707FA" w:rsidR="0061036D" w:rsidRPr="00B73859" w:rsidRDefault="0061036D" w:rsidP="00921FF3">
      <w:pPr>
        <w:pStyle w:val="TableFooter"/>
        <w:keepNext/>
        <w:keepLines/>
        <w:widowControl/>
        <w:tabs>
          <w:tab w:val="center" w:pos="4513"/>
        </w:tabs>
        <w:rPr>
          <w:i/>
          <w:iCs/>
        </w:rPr>
      </w:pPr>
      <w:r>
        <w:rPr>
          <w:i/>
          <w:iCs/>
          <w:vertAlign w:val="superscript"/>
        </w:rPr>
        <w:t>3</w:t>
      </w:r>
      <w:r>
        <w:rPr>
          <w:i/>
          <w:iCs/>
        </w:rPr>
        <w:t xml:space="preserve"> $</w:t>
      </w:r>
      <w:r w:rsidR="003524A7">
        <w:rPr>
          <w:i/>
          <w:iCs/>
        </w:rPr>
        <w:t>95,000 to &lt; $115,000</w:t>
      </w:r>
    </w:p>
    <w:p w14:paraId="46649D09" w14:textId="5E68A206" w:rsidR="002F03F5" w:rsidRPr="006C2D08" w:rsidRDefault="006C2D08" w:rsidP="00921FF3">
      <w:pPr>
        <w:spacing w:before="0" w:after="0"/>
        <w:jc w:val="left"/>
        <w:rPr>
          <w:rFonts w:ascii="Arial Narrow" w:eastAsia="Times New Roman" w:hAnsi="Arial Narrow" w:cs="Arial"/>
          <w:sz w:val="18"/>
          <w:szCs w:val="20"/>
        </w:rPr>
      </w:pPr>
      <w:r>
        <w:br w:type="page"/>
      </w:r>
    </w:p>
    <w:p w14:paraId="59997BE9" w14:textId="1BB3DBF8" w:rsidR="005733E8" w:rsidRPr="006C2D08" w:rsidRDefault="008F23FF" w:rsidP="00921FF3">
      <w:pPr>
        <w:pStyle w:val="3-BodyText"/>
        <w:spacing w:before="0" w:after="0"/>
        <w:jc w:val="left"/>
        <w:rPr>
          <w:rFonts w:ascii="Arial Narrow" w:eastAsiaTheme="majorEastAsia" w:hAnsi="Arial Narrow" w:cstheme="majorBidi"/>
          <w:b/>
          <w:bCs/>
          <w:iCs/>
          <w:sz w:val="20"/>
          <w:szCs w:val="18"/>
        </w:rPr>
      </w:pPr>
      <w:r w:rsidRPr="006C2D08">
        <w:rPr>
          <w:szCs w:val="24"/>
        </w:rPr>
        <w:lastRenderedPageBreak/>
        <w:t xml:space="preserve">The disaggregated results are shown in </w:t>
      </w:r>
      <w:r w:rsidR="00C806C5" w:rsidRPr="006C2D08">
        <w:rPr>
          <w:szCs w:val="24"/>
        </w:rPr>
        <w:fldChar w:fldCharType="begin"/>
      </w:r>
      <w:r w:rsidR="00C806C5" w:rsidRPr="006C2D08">
        <w:rPr>
          <w:szCs w:val="24"/>
        </w:rPr>
        <w:instrText xml:space="preserve"> REF _Ref225285561 \h </w:instrText>
      </w:r>
      <w:r w:rsidR="00E23958" w:rsidRPr="006C2D08">
        <w:rPr>
          <w:szCs w:val="24"/>
        </w:rPr>
        <w:instrText xml:space="preserve"> \* MERGEFORMAT </w:instrText>
      </w:r>
      <w:r w:rsidR="00C806C5" w:rsidRPr="006C2D08">
        <w:rPr>
          <w:szCs w:val="24"/>
        </w:rPr>
      </w:r>
      <w:r w:rsidR="00C806C5" w:rsidRPr="006C2D08">
        <w:rPr>
          <w:szCs w:val="24"/>
        </w:rPr>
        <w:fldChar w:fldCharType="separate"/>
      </w:r>
      <w:r w:rsidR="003A3B69" w:rsidRPr="006C2D08">
        <w:rPr>
          <w:szCs w:val="24"/>
        </w:rPr>
        <w:t xml:space="preserve">Table </w:t>
      </w:r>
      <w:r w:rsidR="003A3B69" w:rsidRPr="006C2D08">
        <w:rPr>
          <w:noProof/>
          <w:szCs w:val="24"/>
        </w:rPr>
        <w:t>14</w:t>
      </w:r>
      <w:r w:rsidR="00C806C5" w:rsidRPr="006C2D08">
        <w:rPr>
          <w:szCs w:val="24"/>
        </w:rPr>
        <w:fldChar w:fldCharType="end"/>
      </w:r>
      <w:bookmarkStart w:id="89" w:name="_Ref216634697"/>
      <w:r w:rsidR="006C2D08">
        <w:rPr>
          <w:szCs w:val="24"/>
        </w:rPr>
        <w:t>:</w:t>
      </w:r>
    </w:p>
    <w:p w14:paraId="6AE387B1" w14:textId="2F34AB8C" w:rsidR="00E17273" w:rsidRDefault="00E17273" w:rsidP="00921FF3">
      <w:pPr>
        <w:pStyle w:val="Caption"/>
      </w:pPr>
      <w:bookmarkStart w:id="90" w:name="_Ref225285561"/>
      <w:bookmarkEnd w:id="89"/>
      <w:r>
        <w:t xml:space="preserve">Table </w:t>
      </w:r>
      <w:r>
        <w:fldChar w:fldCharType="begin"/>
      </w:r>
      <w:r>
        <w:instrText>SEQ Table \* ARABIC</w:instrText>
      </w:r>
      <w:r>
        <w:fldChar w:fldCharType="separate"/>
      </w:r>
      <w:r w:rsidR="003A3B69">
        <w:rPr>
          <w:noProof/>
        </w:rPr>
        <w:t>14</w:t>
      </w:r>
      <w:r>
        <w:fldChar w:fldCharType="end"/>
      </w:r>
      <w:bookmarkEnd w:id="90"/>
      <w:r>
        <w:t>:</w:t>
      </w:r>
      <w:r w:rsidR="007E3114">
        <w:t xml:space="preserve"> </w:t>
      </w:r>
      <w:r w:rsidRPr="008C7636">
        <w:t>Disaggregated results (discounted), as presented in the submission</w:t>
      </w:r>
    </w:p>
    <w:tbl>
      <w:tblPr>
        <w:tblW w:w="9016" w:type="dxa"/>
        <w:tblLayout w:type="fixed"/>
        <w:tblLook w:val="04A0" w:firstRow="1" w:lastRow="0" w:firstColumn="1" w:lastColumn="0" w:noHBand="0" w:noVBand="1"/>
        <w:tblCaption w:val="Table 14: Disaggregated results (discounted), as presented in the submission"/>
      </w:tblPr>
      <w:tblGrid>
        <w:gridCol w:w="2187"/>
        <w:gridCol w:w="1802"/>
        <w:gridCol w:w="1681"/>
        <w:gridCol w:w="1672"/>
        <w:gridCol w:w="1674"/>
      </w:tblGrid>
      <w:tr w:rsidR="002F03F5" w:rsidRPr="009F2AA4" w14:paraId="3C78125D" w14:textId="77777777" w:rsidTr="00173793">
        <w:trPr>
          <w:tblHeader/>
        </w:trPr>
        <w:tc>
          <w:tcPr>
            <w:tcW w:w="2187" w:type="dxa"/>
            <w:tcBorders>
              <w:top w:val="single" w:sz="4" w:space="0" w:color="000000"/>
              <w:left w:val="single" w:sz="4" w:space="0" w:color="000000"/>
              <w:bottom w:val="single" w:sz="4" w:space="0" w:color="000000"/>
              <w:right w:val="single" w:sz="4" w:space="0" w:color="000000"/>
            </w:tcBorders>
            <w:vAlign w:val="center"/>
          </w:tcPr>
          <w:p w14:paraId="3C781258" w14:textId="77777777" w:rsidR="002F03F5" w:rsidRPr="009F2AA4" w:rsidRDefault="008F23FF" w:rsidP="00921FF3">
            <w:pPr>
              <w:keepNext/>
              <w:spacing w:before="0" w:after="0"/>
              <w:jc w:val="left"/>
              <w:rPr>
                <w:rFonts w:ascii="Arial Narrow" w:eastAsia="MS Gothic" w:hAnsi="Arial Narrow" w:cs="Times New Roman"/>
                <w:b/>
                <w:sz w:val="20"/>
                <w:szCs w:val="24"/>
                <w:lang w:eastAsia="en-AU"/>
              </w:rPr>
            </w:pPr>
            <w:r w:rsidRPr="009F2AA4">
              <w:rPr>
                <w:rFonts w:ascii="Arial Narrow" w:eastAsia="MS Gothic" w:hAnsi="Arial Narrow" w:cs="Times New Roman"/>
                <w:b/>
                <w:sz w:val="20"/>
                <w:szCs w:val="24"/>
                <w:lang w:eastAsia="en-AU"/>
              </w:rPr>
              <w:t>Resource item</w:t>
            </w:r>
          </w:p>
        </w:tc>
        <w:tc>
          <w:tcPr>
            <w:tcW w:w="1802" w:type="dxa"/>
            <w:tcBorders>
              <w:top w:val="single" w:sz="4" w:space="0" w:color="000000"/>
              <w:left w:val="single" w:sz="4" w:space="0" w:color="000000"/>
              <w:bottom w:val="single" w:sz="4" w:space="0" w:color="000000"/>
              <w:right w:val="single" w:sz="4" w:space="0" w:color="000000"/>
            </w:tcBorders>
            <w:vAlign w:val="center"/>
          </w:tcPr>
          <w:p w14:paraId="3C781259" w14:textId="77777777" w:rsidR="002F03F5" w:rsidRPr="009F2AA4" w:rsidRDefault="008F23FF" w:rsidP="00921FF3">
            <w:pPr>
              <w:keepNext/>
              <w:spacing w:before="0" w:after="0"/>
              <w:jc w:val="center"/>
              <w:rPr>
                <w:rFonts w:ascii="Arial Narrow" w:eastAsia="MS Gothic" w:hAnsi="Arial Narrow" w:cs="Times New Roman"/>
                <w:b/>
                <w:sz w:val="20"/>
                <w:szCs w:val="24"/>
                <w:lang w:eastAsia="en-AU"/>
              </w:rPr>
            </w:pPr>
            <w:r w:rsidRPr="009F2AA4">
              <w:rPr>
                <w:rFonts w:ascii="Arial Narrow" w:eastAsia="MS Gothic" w:hAnsi="Arial Narrow" w:cs="Times New Roman"/>
                <w:b/>
                <w:sz w:val="20"/>
                <w:szCs w:val="24"/>
                <w:lang w:eastAsia="en-AU"/>
              </w:rPr>
              <w:t>Selpercatinib</w:t>
            </w:r>
          </w:p>
        </w:tc>
        <w:tc>
          <w:tcPr>
            <w:tcW w:w="1681" w:type="dxa"/>
            <w:tcBorders>
              <w:top w:val="single" w:sz="4" w:space="0" w:color="000000"/>
              <w:left w:val="single" w:sz="4" w:space="0" w:color="000000"/>
              <w:bottom w:val="single" w:sz="4" w:space="0" w:color="000000"/>
              <w:right w:val="single" w:sz="4" w:space="0" w:color="000000"/>
            </w:tcBorders>
            <w:vAlign w:val="center"/>
          </w:tcPr>
          <w:p w14:paraId="3C78125A" w14:textId="77777777" w:rsidR="002F03F5" w:rsidRPr="009F2AA4" w:rsidRDefault="008F23FF" w:rsidP="00921FF3">
            <w:pPr>
              <w:keepNext/>
              <w:spacing w:before="0" w:after="0"/>
              <w:jc w:val="center"/>
              <w:rPr>
                <w:rFonts w:ascii="Arial Narrow" w:eastAsia="MS Gothic" w:hAnsi="Arial Narrow" w:cs="Times New Roman"/>
                <w:b/>
                <w:sz w:val="20"/>
                <w:szCs w:val="24"/>
                <w:lang w:eastAsia="en-AU"/>
              </w:rPr>
            </w:pPr>
            <w:r w:rsidRPr="009F2AA4">
              <w:rPr>
                <w:rFonts w:ascii="Arial Narrow" w:eastAsia="MS Gothic" w:hAnsi="Arial Narrow" w:cs="Times New Roman"/>
                <w:b/>
                <w:sz w:val="20"/>
                <w:szCs w:val="24"/>
                <w:lang w:eastAsia="en-AU"/>
              </w:rPr>
              <w:t>BSC</w:t>
            </w:r>
          </w:p>
        </w:tc>
        <w:tc>
          <w:tcPr>
            <w:tcW w:w="1672" w:type="dxa"/>
            <w:tcBorders>
              <w:top w:val="single" w:sz="4" w:space="0" w:color="000000"/>
              <w:left w:val="single" w:sz="4" w:space="0" w:color="000000"/>
              <w:bottom w:val="single" w:sz="4" w:space="0" w:color="000000"/>
              <w:right w:val="single" w:sz="4" w:space="0" w:color="000000"/>
            </w:tcBorders>
            <w:vAlign w:val="center"/>
          </w:tcPr>
          <w:p w14:paraId="3C78125B" w14:textId="77777777" w:rsidR="002F03F5" w:rsidRPr="009F2AA4" w:rsidRDefault="008F23FF" w:rsidP="00921FF3">
            <w:pPr>
              <w:keepNext/>
              <w:spacing w:before="0" w:after="0"/>
              <w:jc w:val="center"/>
              <w:rPr>
                <w:rFonts w:ascii="Arial Narrow" w:eastAsia="MS Gothic" w:hAnsi="Arial Narrow" w:cs="Times New Roman"/>
                <w:b/>
                <w:sz w:val="20"/>
                <w:szCs w:val="24"/>
                <w:lang w:eastAsia="en-AU"/>
              </w:rPr>
            </w:pPr>
            <w:r w:rsidRPr="009F2AA4">
              <w:rPr>
                <w:rFonts w:ascii="Arial Narrow" w:eastAsia="MS Gothic" w:hAnsi="Arial Narrow" w:cs="Times New Roman"/>
                <w:b/>
                <w:sz w:val="20"/>
                <w:szCs w:val="24"/>
                <w:lang w:eastAsia="en-AU"/>
              </w:rPr>
              <w:t>Increment</w:t>
            </w:r>
          </w:p>
        </w:tc>
        <w:tc>
          <w:tcPr>
            <w:tcW w:w="1674" w:type="dxa"/>
            <w:tcBorders>
              <w:top w:val="single" w:sz="4" w:space="0" w:color="000000"/>
              <w:left w:val="single" w:sz="4" w:space="0" w:color="000000"/>
              <w:bottom w:val="single" w:sz="4" w:space="0" w:color="000000"/>
              <w:right w:val="single" w:sz="4" w:space="0" w:color="000000"/>
            </w:tcBorders>
            <w:vAlign w:val="center"/>
          </w:tcPr>
          <w:p w14:paraId="3C78125C" w14:textId="77777777" w:rsidR="002F03F5" w:rsidRPr="009F2AA4" w:rsidRDefault="008F23FF" w:rsidP="00921FF3">
            <w:pPr>
              <w:keepNext/>
              <w:spacing w:before="0" w:after="0"/>
              <w:jc w:val="center"/>
              <w:rPr>
                <w:rFonts w:ascii="Arial Narrow" w:eastAsia="MS Gothic" w:hAnsi="Arial Narrow" w:cs="Times New Roman"/>
                <w:b/>
                <w:sz w:val="20"/>
                <w:szCs w:val="24"/>
                <w:lang w:eastAsia="en-AU"/>
              </w:rPr>
            </w:pPr>
            <w:r w:rsidRPr="009F2AA4">
              <w:rPr>
                <w:rFonts w:ascii="Arial Narrow" w:eastAsia="MS Gothic" w:hAnsi="Arial Narrow" w:cs="Times New Roman"/>
                <w:b/>
                <w:sz w:val="20"/>
                <w:szCs w:val="24"/>
                <w:lang w:eastAsia="en-AU"/>
              </w:rPr>
              <w:t xml:space="preserve">% of total incremental </w:t>
            </w:r>
          </w:p>
        </w:tc>
      </w:tr>
      <w:tr w:rsidR="002F03F5" w:rsidRPr="009F2AA4" w14:paraId="3C781263" w14:textId="77777777" w:rsidTr="00173793">
        <w:tc>
          <w:tcPr>
            <w:tcW w:w="2187" w:type="dxa"/>
            <w:tcBorders>
              <w:top w:val="single" w:sz="4" w:space="0" w:color="000000"/>
              <w:left w:val="single" w:sz="4" w:space="0" w:color="000000"/>
              <w:bottom w:val="single" w:sz="4" w:space="0" w:color="000000"/>
            </w:tcBorders>
            <w:vAlign w:val="center"/>
          </w:tcPr>
          <w:p w14:paraId="3C78125E" w14:textId="77777777" w:rsidR="002F03F5" w:rsidRPr="009F2AA4" w:rsidRDefault="008F23FF" w:rsidP="00921FF3">
            <w:pPr>
              <w:pStyle w:val="TableText"/>
              <w:widowControl/>
              <w:rPr>
                <w:b/>
                <w:bCs/>
                <w:lang w:eastAsia="en-AU"/>
              </w:rPr>
            </w:pPr>
            <w:r w:rsidRPr="009F2AA4">
              <w:rPr>
                <w:b/>
                <w:bCs/>
                <w:lang w:eastAsia="en-AU"/>
              </w:rPr>
              <w:t>Costs</w:t>
            </w:r>
          </w:p>
        </w:tc>
        <w:tc>
          <w:tcPr>
            <w:tcW w:w="1802" w:type="dxa"/>
            <w:tcBorders>
              <w:top w:val="single" w:sz="4" w:space="0" w:color="000000"/>
              <w:bottom w:val="single" w:sz="4" w:space="0" w:color="000000"/>
            </w:tcBorders>
            <w:vAlign w:val="center"/>
          </w:tcPr>
          <w:p w14:paraId="3C78125F" w14:textId="77777777" w:rsidR="002F03F5" w:rsidRPr="009F2AA4" w:rsidRDefault="002F03F5" w:rsidP="00921FF3">
            <w:pPr>
              <w:pStyle w:val="TableText"/>
              <w:widowControl/>
              <w:jc w:val="center"/>
              <w:rPr>
                <w:bCs/>
                <w:lang w:eastAsia="en-AU"/>
              </w:rPr>
            </w:pPr>
          </w:p>
        </w:tc>
        <w:tc>
          <w:tcPr>
            <w:tcW w:w="1681" w:type="dxa"/>
            <w:tcBorders>
              <w:top w:val="single" w:sz="4" w:space="0" w:color="000000"/>
              <w:bottom w:val="single" w:sz="4" w:space="0" w:color="000000"/>
            </w:tcBorders>
            <w:vAlign w:val="center"/>
          </w:tcPr>
          <w:p w14:paraId="3C781260" w14:textId="77777777" w:rsidR="002F03F5" w:rsidRPr="009F2AA4" w:rsidRDefault="002F03F5" w:rsidP="00921FF3">
            <w:pPr>
              <w:pStyle w:val="TableText"/>
              <w:widowControl/>
              <w:jc w:val="center"/>
              <w:rPr>
                <w:bCs/>
                <w:lang w:eastAsia="en-AU"/>
              </w:rPr>
            </w:pPr>
          </w:p>
        </w:tc>
        <w:tc>
          <w:tcPr>
            <w:tcW w:w="1672" w:type="dxa"/>
            <w:tcBorders>
              <w:top w:val="single" w:sz="4" w:space="0" w:color="000000"/>
              <w:bottom w:val="single" w:sz="4" w:space="0" w:color="000000"/>
            </w:tcBorders>
            <w:vAlign w:val="center"/>
          </w:tcPr>
          <w:p w14:paraId="3C781261" w14:textId="77777777" w:rsidR="002F03F5" w:rsidRPr="009F2AA4" w:rsidRDefault="002F03F5" w:rsidP="00921FF3">
            <w:pPr>
              <w:pStyle w:val="TableText"/>
              <w:widowControl/>
              <w:jc w:val="center"/>
              <w:rPr>
                <w:bCs/>
                <w:lang w:eastAsia="en-AU"/>
              </w:rPr>
            </w:pPr>
          </w:p>
        </w:tc>
        <w:tc>
          <w:tcPr>
            <w:tcW w:w="1674" w:type="dxa"/>
            <w:tcBorders>
              <w:top w:val="single" w:sz="4" w:space="0" w:color="000000"/>
              <w:bottom w:val="single" w:sz="4" w:space="0" w:color="000000"/>
              <w:right w:val="single" w:sz="4" w:space="0" w:color="000000"/>
            </w:tcBorders>
            <w:vAlign w:val="center"/>
          </w:tcPr>
          <w:p w14:paraId="3C781262" w14:textId="77777777" w:rsidR="002F03F5" w:rsidRPr="009F2AA4" w:rsidRDefault="002F03F5" w:rsidP="00921FF3">
            <w:pPr>
              <w:pStyle w:val="TableText"/>
              <w:widowControl/>
              <w:jc w:val="center"/>
              <w:rPr>
                <w:bCs/>
                <w:lang w:eastAsia="en-AU"/>
              </w:rPr>
            </w:pPr>
          </w:p>
        </w:tc>
      </w:tr>
      <w:tr w:rsidR="002F03F5" w:rsidRPr="009F2AA4" w14:paraId="3C781269"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64" w14:textId="77777777" w:rsidR="002F03F5" w:rsidRPr="009F2AA4" w:rsidRDefault="008F23FF" w:rsidP="00921FF3">
            <w:pPr>
              <w:pStyle w:val="TableText"/>
              <w:widowControl/>
              <w:rPr>
                <w:bCs/>
                <w:lang w:eastAsia="en-AU"/>
              </w:rPr>
            </w:pPr>
            <w:r w:rsidRPr="009F2AA4">
              <w:rPr>
                <w:bCs/>
                <w:lang w:eastAsia="en-AU"/>
              </w:rPr>
              <w:t xml:space="preserve">Drug acquisition </w:t>
            </w:r>
          </w:p>
        </w:tc>
        <w:tc>
          <w:tcPr>
            <w:tcW w:w="1802" w:type="dxa"/>
            <w:tcBorders>
              <w:top w:val="single" w:sz="4" w:space="0" w:color="000000"/>
              <w:left w:val="single" w:sz="4" w:space="0" w:color="000000"/>
              <w:bottom w:val="single" w:sz="4" w:space="0" w:color="000000"/>
              <w:right w:val="single" w:sz="4" w:space="0" w:color="000000"/>
            </w:tcBorders>
          </w:tcPr>
          <w:p w14:paraId="3C781265" w14:textId="29BF7630" w:rsidR="002F03F5" w:rsidRPr="009F2AA4" w:rsidRDefault="008F23FF" w:rsidP="00921FF3">
            <w:pPr>
              <w:pStyle w:val="TableText"/>
              <w:widowControl/>
              <w:jc w:val="center"/>
              <w:rPr>
                <w:bCs/>
                <w:lang w:eastAsia="en-AU"/>
              </w:rPr>
            </w:pPr>
            <w:r w:rsidRPr="009F2AA4">
              <w:t>$</w:t>
            </w:r>
            <w:r w:rsidR="00B73859" w:rsidRPr="00B73859">
              <w:rPr>
                <w:sz w:val="2"/>
                <w:highlight w:val="black"/>
              </w:rPr>
              <w:t>redacted content</w:t>
            </w:r>
          </w:p>
        </w:tc>
        <w:tc>
          <w:tcPr>
            <w:tcW w:w="1681" w:type="dxa"/>
            <w:tcBorders>
              <w:top w:val="single" w:sz="4" w:space="0" w:color="000000"/>
              <w:left w:val="single" w:sz="4" w:space="0" w:color="000000"/>
              <w:bottom w:val="single" w:sz="4" w:space="0" w:color="000000"/>
              <w:right w:val="single" w:sz="4" w:space="0" w:color="000000"/>
            </w:tcBorders>
          </w:tcPr>
          <w:p w14:paraId="3C781266" w14:textId="77777777" w:rsidR="002F03F5" w:rsidRPr="009F2AA4" w:rsidRDefault="008F23FF" w:rsidP="00921FF3">
            <w:pPr>
              <w:pStyle w:val="TableText"/>
              <w:widowControl/>
              <w:jc w:val="center"/>
              <w:rPr>
                <w:bCs/>
                <w:lang w:eastAsia="en-AU"/>
              </w:rPr>
            </w:pPr>
            <w:r w:rsidRPr="009F2AA4">
              <w:t>$0</w:t>
            </w:r>
          </w:p>
        </w:tc>
        <w:tc>
          <w:tcPr>
            <w:tcW w:w="1672" w:type="dxa"/>
            <w:tcBorders>
              <w:top w:val="single" w:sz="4" w:space="0" w:color="000000"/>
              <w:left w:val="single" w:sz="4" w:space="0" w:color="000000"/>
              <w:bottom w:val="single" w:sz="4" w:space="0" w:color="000000"/>
              <w:right w:val="single" w:sz="4" w:space="0" w:color="000000"/>
            </w:tcBorders>
          </w:tcPr>
          <w:p w14:paraId="3C781267" w14:textId="135B2E19" w:rsidR="002F03F5" w:rsidRPr="009F2AA4" w:rsidRDefault="008F23FF" w:rsidP="00921FF3">
            <w:pPr>
              <w:pStyle w:val="TableText"/>
              <w:widowControl/>
              <w:jc w:val="center"/>
              <w:rPr>
                <w:bCs/>
                <w:lang w:eastAsia="en-AU"/>
              </w:rPr>
            </w:pPr>
            <w:r w:rsidRPr="009F2AA4">
              <w:t>$</w:t>
            </w:r>
            <w:r w:rsidR="00B73859" w:rsidRPr="00B73859">
              <w:rPr>
                <w:sz w:val="2"/>
                <w:highlight w:val="black"/>
              </w:rPr>
              <w:t>redacted content</w:t>
            </w:r>
          </w:p>
        </w:tc>
        <w:tc>
          <w:tcPr>
            <w:tcW w:w="1674" w:type="dxa"/>
            <w:tcBorders>
              <w:top w:val="single" w:sz="4" w:space="0" w:color="000000"/>
              <w:left w:val="single" w:sz="4" w:space="0" w:color="000000"/>
              <w:bottom w:val="single" w:sz="4" w:space="0" w:color="000000"/>
              <w:right w:val="single" w:sz="4" w:space="0" w:color="000000"/>
            </w:tcBorders>
          </w:tcPr>
          <w:p w14:paraId="3C781268" w14:textId="370EF220" w:rsidR="002F03F5" w:rsidRPr="009F2AA4" w:rsidRDefault="00B73859" w:rsidP="00921FF3">
            <w:pPr>
              <w:pStyle w:val="TableText"/>
              <w:widowControl/>
              <w:jc w:val="center"/>
              <w:rPr>
                <w:bCs/>
                <w:lang w:eastAsia="en-AU"/>
              </w:rPr>
            </w:pPr>
            <w:r w:rsidRPr="00B73859">
              <w:rPr>
                <w:sz w:val="2"/>
                <w:highlight w:val="black"/>
              </w:rPr>
              <w:t>redacted content</w:t>
            </w:r>
            <w:r w:rsidR="008F23FF" w:rsidRPr="009F2AA4">
              <w:t>%</w:t>
            </w:r>
          </w:p>
        </w:tc>
      </w:tr>
      <w:tr w:rsidR="002F03F5" w:rsidRPr="009F2AA4" w14:paraId="3C78126F"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6A" w14:textId="77777777" w:rsidR="002F03F5" w:rsidRPr="009F2AA4" w:rsidRDefault="008F23FF" w:rsidP="00921FF3">
            <w:pPr>
              <w:pStyle w:val="TableText"/>
              <w:widowControl/>
              <w:rPr>
                <w:bCs/>
                <w:lang w:eastAsia="en-AU"/>
              </w:rPr>
            </w:pPr>
            <w:r w:rsidRPr="009F2AA4">
              <w:rPr>
                <w:bCs/>
                <w:i/>
                <w:iCs/>
                <w:lang w:eastAsia="en-AU"/>
              </w:rPr>
              <w:t xml:space="preserve">RET </w:t>
            </w:r>
            <w:r w:rsidRPr="009F2AA4">
              <w:rPr>
                <w:bCs/>
                <w:lang w:eastAsia="en-AU"/>
              </w:rPr>
              <w:t xml:space="preserve">variant testing </w:t>
            </w:r>
          </w:p>
        </w:tc>
        <w:tc>
          <w:tcPr>
            <w:tcW w:w="1802" w:type="dxa"/>
            <w:tcBorders>
              <w:top w:val="single" w:sz="4" w:space="0" w:color="000000"/>
              <w:left w:val="single" w:sz="4" w:space="0" w:color="000000"/>
              <w:bottom w:val="single" w:sz="4" w:space="0" w:color="000000"/>
              <w:right w:val="single" w:sz="4" w:space="0" w:color="000000"/>
            </w:tcBorders>
          </w:tcPr>
          <w:p w14:paraId="3C78126B" w14:textId="77777777" w:rsidR="002F03F5" w:rsidRPr="009F2AA4" w:rsidRDefault="008F23FF" w:rsidP="00921FF3">
            <w:pPr>
              <w:pStyle w:val="TableText"/>
              <w:widowControl/>
              <w:jc w:val="center"/>
              <w:rPr>
                <w:bCs/>
                <w:lang w:eastAsia="en-AU"/>
              </w:rPr>
            </w:pPr>
            <w:r w:rsidRPr="009F2AA4">
              <w:t>$1,189</w:t>
            </w:r>
          </w:p>
        </w:tc>
        <w:tc>
          <w:tcPr>
            <w:tcW w:w="1681" w:type="dxa"/>
            <w:tcBorders>
              <w:top w:val="single" w:sz="4" w:space="0" w:color="000000"/>
              <w:left w:val="single" w:sz="4" w:space="0" w:color="000000"/>
              <w:bottom w:val="single" w:sz="4" w:space="0" w:color="000000"/>
              <w:right w:val="single" w:sz="4" w:space="0" w:color="000000"/>
            </w:tcBorders>
          </w:tcPr>
          <w:p w14:paraId="3C78126C" w14:textId="77777777" w:rsidR="002F03F5" w:rsidRPr="009F2AA4" w:rsidRDefault="008F23FF" w:rsidP="00921FF3">
            <w:pPr>
              <w:pStyle w:val="TableText"/>
              <w:widowControl/>
              <w:jc w:val="center"/>
              <w:rPr>
                <w:bCs/>
                <w:lang w:eastAsia="en-AU"/>
              </w:rPr>
            </w:pPr>
            <w:r w:rsidRPr="009F2AA4">
              <w:t>$0</w:t>
            </w:r>
          </w:p>
        </w:tc>
        <w:tc>
          <w:tcPr>
            <w:tcW w:w="1672" w:type="dxa"/>
            <w:tcBorders>
              <w:top w:val="single" w:sz="4" w:space="0" w:color="000000"/>
              <w:left w:val="single" w:sz="4" w:space="0" w:color="000000"/>
              <w:bottom w:val="single" w:sz="4" w:space="0" w:color="000000"/>
              <w:right w:val="single" w:sz="4" w:space="0" w:color="000000"/>
            </w:tcBorders>
          </w:tcPr>
          <w:p w14:paraId="3C78126D" w14:textId="77777777" w:rsidR="002F03F5" w:rsidRPr="000E7FA7" w:rsidRDefault="008F23FF" w:rsidP="00921FF3">
            <w:pPr>
              <w:pStyle w:val="TableText"/>
              <w:widowControl/>
              <w:jc w:val="center"/>
              <w:rPr>
                <w:bCs/>
                <w:lang w:eastAsia="en-AU"/>
              </w:rPr>
            </w:pPr>
            <w:r w:rsidRPr="000E7FA7">
              <w:t>$1,189</w:t>
            </w:r>
          </w:p>
        </w:tc>
        <w:tc>
          <w:tcPr>
            <w:tcW w:w="1674" w:type="dxa"/>
            <w:tcBorders>
              <w:top w:val="single" w:sz="4" w:space="0" w:color="000000"/>
              <w:left w:val="single" w:sz="4" w:space="0" w:color="000000"/>
              <w:bottom w:val="single" w:sz="4" w:space="0" w:color="000000"/>
              <w:right w:val="single" w:sz="4" w:space="0" w:color="000000"/>
            </w:tcBorders>
          </w:tcPr>
          <w:p w14:paraId="3C78126E" w14:textId="77777777" w:rsidR="002F03F5" w:rsidRPr="009F2AA4" w:rsidRDefault="008F23FF" w:rsidP="00921FF3">
            <w:pPr>
              <w:pStyle w:val="TableText"/>
              <w:widowControl/>
              <w:jc w:val="center"/>
              <w:rPr>
                <w:bCs/>
                <w:lang w:eastAsia="en-AU"/>
              </w:rPr>
            </w:pPr>
            <w:r w:rsidRPr="009F2AA4">
              <w:t>0%</w:t>
            </w:r>
          </w:p>
        </w:tc>
      </w:tr>
      <w:tr w:rsidR="002F03F5" w:rsidRPr="009F2AA4" w14:paraId="3C781275" w14:textId="77777777" w:rsidTr="00B73859">
        <w:trPr>
          <w:trHeight w:val="70"/>
        </w:trPr>
        <w:tc>
          <w:tcPr>
            <w:tcW w:w="2187" w:type="dxa"/>
            <w:tcBorders>
              <w:top w:val="single" w:sz="4" w:space="0" w:color="000000"/>
              <w:left w:val="single" w:sz="4" w:space="0" w:color="000000"/>
              <w:bottom w:val="single" w:sz="4" w:space="0" w:color="000000"/>
              <w:right w:val="single" w:sz="4" w:space="0" w:color="000000"/>
            </w:tcBorders>
            <w:vAlign w:val="center"/>
          </w:tcPr>
          <w:p w14:paraId="3C781270" w14:textId="77777777" w:rsidR="002F03F5" w:rsidRPr="009F2AA4" w:rsidRDefault="008F23FF" w:rsidP="00921FF3">
            <w:pPr>
              <w:pStyle w:val="TableText"/>
              <w:widowControl/>
              <w:rPr>
                <w:bCs/>
                <w:vertAlign w:val="superscript"/>
                <w:lang w:eastAsia="en-AU"/>
              </w:rPr>
            </w:pPr>
            <w:r w:rsidRPr="009F2AA4">
              <w:rPr>
                <w:bCs/>
                <w:lang w:eastAsia="en-AU"/>
              </w:rPr>
              <w:t>Disease management</w:t>
            </w:r>
          </w:p>
        </w:tc>
        <w:tc>
          <w:tcPr>
            <w:tcW w:w="1802" w:type="dxa"/>
            <w:tcBorders>
              <w:top w:val="single" w:sz="4" w:space="0" w:color="000000"/>
              <w:left w:val="single" w:sz="4" w:space="0" w:color="000000"/>
              <w:bottom w:val="single" w:sz="4" w:space="0" w:color="000000"/>
              <w:right w:val="single" w:sz="4" w:space="0" w:color="000000"/>
            </w:tcBorders>
          </w:tcPr>
          <w:p w14:paraId="3C781271" w14:textId="77777777" w:rsidR="002F03F5" w:rsidRPr="009F2AA4" w:rsidRDefault="008F23FF" w:rsidP="00921FF3">
            <w:pPr>
              <w:pStyle w:val="TableText"/>
              <w:widowControl/>
              <w:jc w:val="center"/>
              <w:rPr>
                <w:bCs/>
                <w:lang w:eastAsia="en-AU"/>
              </w:rPr>
            </w:pPr>
            <w:r w:rsidRPr="009F2AA4">
              <w:t>$11,836</w:t>
            </w:r>
          </w:p>
        </w:tc>
        <w:tc>
          <w:tcPr>
            <w:tcW w:w="1681" w:type="dxa"/>
            <w:tcBorders>
              <w:top w:val="single" w:sz="4" w:space="0" w:color="000000"/>
              <w:left w:val="single" w:sz="4" w:space="0" w:color="000000"/>
              <w:bottom w:val="single" w:sz="4" w:space="0" w:color="000000"/>
              <w:right w:val="single" w:sz="4" w:space="0" w:color="000000"/>
            </w:tcBorders>
          </w:tcPr>
          <w:p w14:paraId="3C781272" w14:textId="77777777" w:rsidR="002F03F5" w:rsidRPr="009F2AA4" w:rsidRDefault="008F23FF" w:rsidP="00921FF3">
            <w:pPr>
              <w:pStyle w:val="TableText"/>
              <w:widowControl/>
              <w:jc w:val="center"/>
              <w:rPr>
                <w:bCs/>
                <w:lang w:eastAsia="en-AU"/>
              </w:rPr>
            </w:pPr>
            <w:r w:rsidRPr="009F2AA4">
              <w:t>$5,686</w:t>
            </w:r>
          </w:p>
        </w:tc>
        <w:tc>
          <w:tcPr>
            <w:tcW w:w="1672" w:type="dxa"/>
            <w:tcBorders>
              <w:top w:val="single" w:sz="4" w:space="0" w:color="000000"/>
              <w:left w:val="single" w:sz="4" w:space="0" w:color="000000"/>
              <w:bottom w:val="single" w:sz="4" w:space="0" w:color="000000"/>
              <w:right w:val="single" w:sz="4" w:space="0" w:color="000000"/>
            </w:tcBorders>
          </w:tcPr>
          <w:p w14:paraId="3C781273" w14:textId="77777777" w:rsidR="002F03F5" w:rsidRPr="000E7FA7" w:rsidRDefault="008F23FF" w:rsidP="00921FF3">
            <w:pPr>
              <w:pStyle w:val="TableText"/>
              <w:widowControl/>
              <w:jc w:val="center"/>
              <w:rPr>
                <w:bCs/>
                <w:lang w:eastAsia="en-AU"/>
              </w:rPr>
            </w:pPr>
            <w:r w:rsidRPr="000E7FA7">
              <w:t>$6,150</w:t>
            </w:r>
          </w:p>
        </w:tc>
        <w:tc>
          <w:tcPr>
            <w:tcW w:w="1674" w:type="dxa"/>
            <w:tcBorders>
              <w:top w:val="single" w:sz="4" w:space="0" w:color="000000"/>
              <w:left w:val="single" w:sz="4" w:space="0" w:color="000000"/>
              <w:bottom w:val="single" w:sz="4" w:space="0" w:color="000000"/>
              <w:right w:val="single" w:sz="4" w:space="0" w:color="000000"/>
            </w:tcBorders>
          </w:tcPr>
          <w:p w14:paraId="3C781274" w14:textId="5FFA0EF9" w:rsidR="002F03F5" w:rsidRPr="000C38E0" w:rsidRDefault="00B73859" w:rsidP="00921FF3">
            <w:pPr>
              <w:pStyle w:val="TableText"/>
              <w:widowControl/>
              <w:jc w:val="center"/>
              <w:rPr>
                <w:bCs/>
                <w:lang w:eastAsia="en-AU"/>
              </w:rPr>
            </w:pPr>
            <w:r w:rsidRPr="00B73859">
              <w:rPr>
                <w:sz w:val="2"/>
                <w:highlight w:val="black"/>
              </w:rPr>
              <w:t>redacted content</w:t>
            </w:r>
            <w:r w:rsidR="008F23FF" w:rsidRPr="000C38E0">
              <w:t>%</w:t>
            </w:r>
          </w:p>
        </w:tc>
      </w:tr>
      <w:tr w:rsidR="002F03F5" w:rsidRPr="009F2AA4" w14:paraId="3C78127B"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76" w14:textId="77777777" w:rsidR="002F03F5" w:rsidRPr="009F2AA4" w:rsidRDefault="008F23FF" w:rsidP="00921FF3">
            <w:pPr>
              <w:pStyle w:val="TableText"/>
              <w:widowControl/>
              <w:rPr>
                <w:bCs/>
                <w:lang w:eastAsia="en-AU"/>
              </w:rPr>
            </w:pPr>
            <w:r w:rsidRPr="009F2AA4">
              <w:rPr>
                <w:bCs/>
                <w:lang w:eastAsia="en-AU"/>
              </w:rPr>
              <w:t xml:space="preserve">AE management </w:t>
            </w:r>
          </w:p>
        </w:tc>
        <w:tc>
          <w:tcPr>
            <w:tcW w:w="1802" w:type="dxa"/>
            <w:tcBorders>
              <w:top w:val="single" w:sz="4" w:space="0" w:color="000000"/>
              <w:left w:val="single" w:sz="4" w:space="0" w:color="000000"/>
              <w:bottom w:val="single" w:sz="4" w:space="0" w:color="000000"/>
              <w:right w:val="single" w:sz="4" w:space="0" w:color="000000"/>
            </w:tcBorders>
          </w:tcPr>
          <w:p w14:paraId="3C781277" w14:textId="77777777" w:rsidR="002F03F5" w:rsidRPr="009F2AA4" w:rsidRDefault="008F23FF" w:rsidP="00921FF3">
            <w:pPr>
              <w:pStyle w:val="TableText"/>
              <w:widowControl/>
              <w:jc w:val="center"/>
              <w:rPr>
                <w:bCs/>
                <w:lang w:eastAsia="en-AU"/>
              </w:rPr>
            </w:pPr>
            <w:r w:rsidRPr="009F2AA4">
              <w:t>$3,210</w:t>
            </w:r>
          </w:p>
        </w:tc>
        <w:tc>
          <w:tcPr>
            <w:tcW w:w="1681" w:type="dxa"/>
            <w:tcBorders>
              <w:top w:val="single" w:sz="4" w:space="0" w:color="000000"/>
              <w:left w:val="single" w:sz="4" w:space="0" w:color="000000"/>
              <w:bottom w:val="single" w:sz="4" w:space="0" w:color="000000"/>
              <w:right w:val="single" w:sz="4" w:space="0" w:color="000000"/>
            </w:tcBorders>
          </w:tcPr>
          <w:p w14:paraId="3C781278" w14:textId="77777777" w:rsidR="002F03F5" w:rsidRPr="009F2AA4" w:rsidRDefault="008F23FF" w:rsidP="00921FF3">
            <w:pPr>
              <w:pStyle w:val="TableText"/>
              <w:widowControl/>
              <w:jc w:val="center"/>
              <w:rPr>
                <w:bCs/>
                <w:lang w:eastAsia="en-AU"/>
              </w:rPr>
            </w:pPr>
            <w:r w:rsidRPr="009F2AA4">
              <w:t>$1,035</w:t>
            </w:r>
          </w:p>
        </w:tc>
        <w:tc>
          <w:tcPr>
            <w:tcW w:w="1672" w:type="dxa"/>
            <w:tcBorders>
              <w:top w:val="single" w:sz="4" w:space="0" w:color="000000"/>
              <w:left w:val="single" w:sz="4" w:space="0" w:color="000000"/>
              <w:bottom w:val="single" w:sz="4" w:space="0" w:color="000000"/>
              <w:right w:val="single" w:sz="4" w:space="0" w:color="000000"/>
            </w:tcBorders>
          </w:tcPr>
          <w:p w14:paraId="3C781279" w14:textId="77777777" w:rsidR="002F03F5" w:rsidRPr="000E7FA7" w:rsidRDefault="008F23FF" w:rsidP="00921FF3">
            <w:pPr>
              <w:pStyle w:val="TableText"/>
              <w:widowControl/>
              <w:jc w:val="center"/>
              <w:rPr>
                <w:bCs/>
                <w:lang w:eastAsia="en-AU"/>
              </w:rPr>
            </w:pPr>
            <w:r w:rsidRPr="000E7FA7">
              <w:t>$2,175</w:t>
            </w:r>
          </w:p>
        </w:tc>
        <w:tc>
          <w:tcPr>
            <w:tcW w:w="1674" w:type="dxa"/>
            <w:tcBorders>
              <w:top w:val="single" w:sz="4" w:space="0" w:color="000000"/>
              <w:left w:val="single" w:sz="4" w:space="0" w:color="000000"/>
              <w:bottom w:val="single" w:sz="4" w:space="0" w:color="000000"/>
              <w:right w:val="single" w:sz="4" w:space="0" w:color="000000"/>
            </w:tcBorders>
          </w:tcPr>
          <w:p w14:paraId="3C78127A" w14:textId="59076BF8" w:rsidR="002F03F5" w:rsidRPr="000C38E0" w:rsidRDefault="00B73859" w:rsidP="00921FF3">
            <w:pPr>
              <w:pStyle w:val="TableText"/>
              <w:widowControl/>
              <w:jc w:val="center"/>
              <w:rPr>
                <w:bCs/>
                <w:lang w:eastAsia="en-AU"/>
              </w:rPr>
            </w:pPr>
            <w:r w:rsidRPr="00B73859">
              <w:rPr>
                <w:sz w:val="2"/>
                <w:highlight w:val="black"/>
              </w:rPr>
              <w:t>redacted content</w:t>
            </w:r>
            <w:r w:rsidR="008F23FF" w:rsidRPr="000C38E0">
              <w:t>%</w:t>
            </w:r>
          </w:p>
        </w:tc>
      </w:tr>
      <w:tr w:rsidR="002F03F5" w:rsidRPr="009F2AA4" w14:paraId="3C781281"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7C" w14:textId="77777777" w:rsidR="002F03F5" w:rsidRPr="009F2AA4" w:rsidRDefault="008F23FF" w:rsidP="00921FF3">
            <w:pPr>
              <w:pStyle w:val="TableText"/>
              <w:widowControl/>
              <w:rPr>
                <w:bCs/>
                <w:lang w:eastAsia="en-AU"/>
              </w:rPr>
            </w:pPr>
            <w:r w:rsidRPr="009F2AA4">
              <w:rPr>
                <w:bCs/>
                <w:lang w:eastAsia="en-AU"/>
              </w:rPr>
              <w:t xml:space="preserve">Terminal care </w:t>
            </w:r>
          </w:p>
        </w:tc>
        <w:tc>
          <w:tcPr>
            <w:tcW w:w="1802" w:type="dxa"/>
            <w:tcBorders>
              <w:top w:val="single" w:sz="4" w:space="0" w:color="000000"/>
              <w:left w:val="single" w:sz="4" w:space="0" w:color="000000"/>
              <w:bottom w:val="single" w:sz="4" w:space="0" w:color="000000"/>
              <w:right w:val="single" w:sz="4" w:space="0" w:color="000000"/>
            </w:tcBorders>
          </w:tcPr>
          <w:p w14:paraId="3C78127D" w14:textId="77777777" w:rsidR="002F03F5" w:rsidRPr="009F2AA4" w:rsidRDefault="008F23FF" w:rsidP="00921FF3">
            <w:pPr>
              <w:pStyle w:val="TableText"/>
              <w:widowControl/>
              <w:jc w:val="center"/>
              <w:rPr>
                <w:bCs/>
                <w:lang w:eastAsia="en-AU"/>
              </w:rPr>
            </w:pPr>
            <w:r w:rsidRPr="009F2AA4">
              <w:t>$22,142</w:t>
            </w:r>
          </w:p>
        </w:tc>
        <w:tc>
          <w:tcPr>
            <w:tcW w:w="1681" w:type="dxa"/>
            <w:tcBorders>
              <w:top w:val="single" w:sz="4" w:space="0" w:color="000000"/>
              <w:left w:val="single" w:sz="4" w:space="0" w:color="000000"/>
              <w:bottom w:val="single" w:sz="4" w:space="0" w:color="000000"/>
              <w:right w:val="single" w:sz="4" w:space="0" w:color="000000"/>
            </w:tcBorders>
          </w:tcPr>
          <w:p w14:paraId="3C78127E" w14:textId="77777777" w:rsidR="002F03F5" w:rsidRPr="009F2AA4" w:rsidRDefault="008F23FF" w:rsidP="00921FF3">
            <w:pPr>
              <w:pStyle w:val="TableText"/>
              <w:widowControl/>
              <w:jc w:val="center"/>
              <w:rPr>
                <w:bCs/>
                <w:lang w:eastAsia="en-AU"/>
              </w:rPr>
            </w:pPr>
            <w:r w:rsidRPr="009F2AA4">
              <w:t>$35,022</w:t>
            </w:r>
          </w:p>
        </w:tc>
        <w:tc>
          <w:tcPr>
            <w:tcW w:w="1672" w:type="dxa"/>
            <w:tcBorders>
              <w:top w:val="single" w:sz="4" w:space="0" w:color="000000"/>
              <w:left w:val="single" w:sz="4" w:space="0" w:color="000000"/>
              <w:bottom w:val="single" w:sz="4" w:space="0" w:color="000000"/>
              <w:right w:val="single" w:sz="4" w:space="0" w:color="000000"/>
            </w:tcBorders>
          </w:tcPr>
          <w:p w14:paraId="3C78127F" w14:textId="77777777" w:rsidR="002F03F5" w:rsidRPr="000E7FA7" w:rsidRDefault="008F23FF" w:rsidP="00921FF3">
            <w:pPr>
              <w:pStyle w:val="TableText"/>
              <w:widowControl/>
              <w:jc w:val="center"/>
              <w:rPr>
                <w:bCs/>
                <w:lang w:eastAsia="en-AU"/>
              </w:rPr>
            </w:pPr>
            <w:r w:rsidRPr="000E7FA7">
              <w:t xml:space="preserve"> -$12,881</w:t>
            </w:r>
          </w:p>
        </w:tc>
        <w:tc>
          <w:tcPr>
            <w:tcW w:w="1674" w:type="dxa"/>
            <w:tcBorders>
              <w:top w:val="single" w:sz="4" w:space="0" w:color="000000"/>
              <w:left w:val="single" w:sz="4" w:space="0" w:color="000000"/>
              <w:bottom w:val="single" w:sz="4" w:space="0" w:color="000000"/>
              <w:right w:val="single" w:sz="4" w:space="0" w:color="000000"/>
            </w:tcBorders>
          </w:tcPr>
          <w:p w14:paraId="3C781280" w14:textId="20156BB0" w:rsidR="002F03F5" w:rsidRPr="000C38E0" w:rsidRDefault="008F23FF" w:rsidP="00921FF3">
            <w:pPr>
              <w:pStyle w:val="TableText"/>
              <w:widowControl/>
              <w:jc w:val="center"/>
              <w:rPr>
                <w:bCs/>
                <w:lang w:eastAsia="en-AU"/>
              </w:rPr>
            </w:pPr>
            <w:r w:rsidRPr="000C38E0">
              <w:t>-</w:t>
            </w:r>
            <w:r w:rsidR="00B73859" w:rsidRPr="00B73859">
              <w:rPr>
                <w:sz w:val="2"/>
                <w:highlight w:val="black"/>
              </w:rPr>
              <w:t>redacted content</w:t>
            </w:r>
            <w:r w:rsidRPr="000C38E0">
              <w:t>%</w:t>
            </w:r>
          </w:p>
        </w:tc>
      </w:tr>
      <w:tr w:rsidR="002F03F5" w:rsidRPr="009F2AA4" w14:paraId="3C781287"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82" w14:textId="77777777" w:rsidR="002F03F5" w:rsidRPr="009F2AA4" w:rsidRDefault="008F23FF" w:rsidP="00921FF3">
            <w:pPr>
              <w:pStyle w:val="TableText"/>
              <w:widowControl/>
              <w:rPr>
                <w:bCs/>
                <w:lang w:eastAsia="en-AU"/>
              </w:rPr>
            </w:pPr>
            <w:r w:rsidRPr="009F2AA4">
              <w:rPr>
                <w:bCs/>
                <w:lang w:eastAsia="en-AU"/>
              </w:rPr>
              <w:t xml:space="preserve">Total </w:t>
            </w:r>
          </w:p>
        </w:tc>
        <w:tc>
          <w:tcPr>
            <w:tcW w:w="1802" w:type="dxa"/>
            <w:tcBorders>
              <w:top w:val="single" w:sz="4" w:space="0" w:color="000000"/>
              <w:left w:val="single" w:sz="4" w:space="0" w:color="000000"/>
              <w:bottom w:val="single" w:sz="4" w:space="0" w:color="000000"/>
              <w:right w:val="single" w:sz="4" w:space="0" w:color="000000"/>
            </w:tcBorders>
          </w:tcPr>
          <w:p w14:paraId="3C781283" w14:textId="1B131CA1" w:rsidR="002F03F5" w:rsidRPr="009F2AA4" w:rsidRDefault="008F23FF" w:rsidP="00921FF3">
            <w:pPr>
              <w:pStyle w:val="TableText"/>
              <w:widowControl/>
              <w:jc w:val="center"/>
              <w:rPr>
                <w:bCs/>
                <w:lang w:eastAsia="en-AU"/>
              </w:rPr>
            </w:pPr>
            <w:r w:rsidRPr="009F2AA4">
              <w:t>$</w:t>
            </w:r>
            <w:r w:rsidR="00B73859" w:rsidRPr="00B73859">
              <w:rPr>
                <w:sz w:val="2"/>
                <w:highlight w:val="black"/>
              </w:rPr>
              <w:t>redacted content</w:t>
            </w:r>
          </w:p>
        </w:tc>
        <w:tc>
          <w:tcPr>
            <w:tcW w:w="1681" w:type="dxa"/>
            <w:tcBorders>
              <w:top w:val="single" w:sz="4" w:space="0" w:color="000000"/>
              <w:left w:val="single" w:sz="4" w:space="0" w:color="000000"/>
              <w:bottom w:val="single" w:sz="4" w:space="0" w:color="000000"/>
              <w:right w:val="single" w:sz="4" w:space="0" w:color="000000"/>
            </w:tcBorders>
          </w:tcPr>
          <w:p w14:paraId="3C781284" w14:textId="77777777" w:rsidR="002F03F5" w:rsidRPr="009F2AA4" w:rsidRDefault="008F23FF" w:rsidP="00921FF3">
            <w:pPr>
              <w:pStyle w:val="TableText"/>
              <w:widowControl/>
              <w:jc w:val="center"/>
              <w:rPr>
                <w:bCs/>
                <w:lang w:eastAsia="en-AU"/>
              </w:rPr>
            </w:pPr>
            <w:r w:rsidRPr="009F2AA4">
              <w:t>$41,744</w:t>
            </w:r>
          </w:p>
        </w:tc>
        <w:tc>
          <w:tcPr>
            <w:tcW w:w="1672" w:type="dxa"/>
            <w:tcBorders>
              <w:top w:val="single" w:sz="4" w:space="0" w:color="000000"/>
              <w:left w:val="single" w:sz="4" w:space="0" w:color="000000"/>
              <w:bottom w:val="single" w:sz="4" w:space="0" w:color="000000"/>
              <w:right w:val="single" w:sz="4" w:space="0" w:color="000000"/>
            </w:tcBorders>
          </w:tcPr>
          <w:p w14:paraId="3C781285" w14:textId="349C49D9" w:rsidR="002F03F5" w:rsidRPr="009F2AA4" w:rsidRDefault="008F23FF" w:rsidP="00921FF3">
            <w:pPr>
              <w:pStyle w:val="TableText"/>
              <w:widowControl/>
              <w:jc w:val="center"/>
              <w:rPr>
                <w:bCs/>
                <w:lang w:eastAsia="en-AU"/>
              </w:rPr>
            </w:pPr>
            <w:r w:rsidRPr="009F2AA4">
              <w:t>$</w:t>
            </w:r>
            <w:r w:rsidR="00B73859" w:rsidRPr="00B73859">
              <w:rPr>
                <w:sz w:val="2"/>
                <w:highlight w:val="black"/>
              </w:rPr>
              <w:t>redacted content</w:t>
            </w:r>
          </w:p>
        </w:tc>
        <w:tc>
          <w:tcPr>
            <w:tcW w:w="1674" w:type="dxa"/>
            <w:tcBorders>
              <w:top w:val="single" w:sz="4" w:space="0" w:color="000000"/>
              <w:left w:val="single" w:sz="4" w:space="0" w:color="000000"/>
              <w:bottom w:val="single" w:sz="4" w:space="0" w:color="000000"/>
              <w:right w:val="single" w:sz="4" w:space="0" w:color="000000"/>
            </w:tcBorders>
          </w:tcPr>
          <w:p w14:paraId="3C781286" w14:textId="77777777" w:rsidR="002F03F5" w:rsidRPr="000C38E0" w:rsidRDefault="008F23FF" w:rsidP="00921FF3">
            <w:pPr>
              <w:pStyle w:val="TableText"/>
              <w:widowControl/>
              <w:jc w:val="center"/>
              <w:rPr>
                <w:bCs/>
                <w:lang w:eastAsia="en-AU"/>
              </w:rPr>
            </w:pPr>
            <w:r w:rsidRPr="000C38E0">
              <w:t>100%</w:t>
            </w:r>
          </w:p>
        </w:tc>
      </w:tr>
      <w:tr w:rsidR="002F03F5" w:rsidRPr="009F2AA4" w14:paraId="3C78128D" w14:textId="77777777" w:rsidTr="00173793">
        <w:tc>
          <w:tcPr>
            <w:tcW w:w="2187" w:type="dxa"/>
            <w:tcBorders>
              <w:top w:val="single" w:sz="4" w:space="0" w:color="000000"/>
              <w:left w:val="single" w:sz="4" w:space="0" w:color="000000"/>
              <w:bottom w:val="single" w:sz="4" w:space="0" w:color="000000"/>
            </w:tcBorders>
            <w:vAlign w:val="center"/>
          </w:tcPr>
          <w:p w14:paraId="3C781288" w14:textId="77777777" w:rsidR="002F03F5" w:rsidRPr="009F2AA4" w:rsidRDefault="008F23FF" w:rsidP="00921FF3">
            <w:pPr>
              <w:pStyle w:val="TableText"/>
              <w:widowControl/>
              <w:rPr>
                <w:b/>
                <w:bCs/>
                <w:lang w:eastAsia="en-AU"/>
              </w:rPr>
            </w:pPr>
            <w:r w:rsidRPr="009F2AA4">
              <w:rPr>
                <w:b/>
                <w:bCs/>
                <w:lang w:eastAsia="en-AU"/>
              </w:rPr>
              <w:t>LYG</w:t>
            </w:r>
          </w:p>
        </w:tc>
        <w:tc>
          <w:tcPr>
            <w:tcW w:w="1802" w:type="dxa"/>
            <w:tcBorders>
              <w:top w:val="single" w:sz="4" w:space="0" w:color="000000"/>
              <w:bottom w:val="single" w:sz="4" w:space="0" w:color="000000"/>
            </w:tcBorders>
          </w:tcPr>
          <w:p w14:paraId="3C781289" w14:textId="77777777" w:rsidR="002F03F5" w:rsidRPr="00F34799" w:rsidRDefault="002F03F5" w:rsidP="00921FF3">
            <w:pPr>
              <w:pStyle w:val="TableText"/>
              <w:widowControl/>
              <w:jc w:val="center"/>
              <w:rPr>
                <w:bCs/>
                <w:lang w:eastAsia="en-AU"/>
              </w:rPr>
            </w:pPr>
          </w:p>
        </w:tc>
        <w:tc>
          <w:tcPr>
            <w:tcW w:w="1681" w:type="dxa"/>
            <w:tcBorders>
              <w:top w:val="single" w:sz="4" w:space="0" w:color="000000"/>
              <w:bottom w:val="single" w:sz="4" w:space="0" w:color="000000"/>
            </w:tcBorders>
          </w:tcPr>
          <w:p w14:paraId="3C78128A" w14:textId="77777777" w:rsidR="002F03F5" w:rsidRPr="00F34799" w:rsidRDefault="002F03F5" w:rsidP="00921FF3">
            <w:pPr>
              <w:pStyle w:val="TableText"/>
              <w:widowControl/>
              <w:jc w:val="center"/>
              <w:rPr>
                <w:bCs/>
                <w:lang w:eastAsia="en-AU"/>
              </w:rPr>
            </w:pPr>
          </w:p>
        </w:tc>
        <w:tc>
          <w:tcPr>
            <w:tcW w:w="1672" w:type="dxa"/>
            <w:tcBorders>
              <w:top w:val="single" w:sz="4" w:space="0" w:color="000000"/>
              <w:bottom w:val="single" w:sz="4" w:space="0" w:color="000000"/>
            </w:tcBorders>
          </w:tcPr>
          <w:p w14:paraId="3C78128B" w14:textId="77777777" w:rsidR="002F03F5" w:rsidRPr="00F34799" w:rsidRDefault="002F03F5" w:rsidP="00921FF3">
            <w:pPr>
              <w:pStyle w:val="TableText"/>
              <w:widowControl/>
              <w:jc w:val="center"/>
              <w:rPr>
                <w:bCs/>
                <w:lang w:eastAsia="en-AU"/>
              </w:rPr>
            </w:pPr>
          </w:p>
        </w:tc>
        <w:tc>
          <w:tcPr>
            <w:tcW w:w="1674" w:type="dxa"/>
            <w:tcBorders>
              <w:top w:val="single" w:sz="4" w:space="0" w:color="000000"/>
              <w:bottom w:val="single" w:sz="4" w:space="0" w:color="000000"/>
              <w:right w:val="single" w:sz="4" w:space="0" w:color="000000"/>
            </w:tcBorders>
          </w:tcPr>
          <w:p w14:paraId="3C78128C" w14:textId="77777777" w:rsidR="002F03F5" w:rsidRPr="00F34799" w:rsidRDefault="002F03F5" w:rsidP="00921FF3">
            <w:pPr>
              <w:pStyle w:val="TableText"/>
              <w:widowControl/>
              <w:jc w:val="center"/>
              <w:rPr>
                <w:bCs/>
                <w:lang w:eastAsia="en-AU"/>
              </w:rPr>
            </w:pPr>
          </w:p>
        </w:tc>
      </w:tr>
      <w:tr w:rsidR="002F03F5" w:rsidRPr="009F2AA4" w14:paraId="3C781293"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8E" w14:textId="77777777" w:rsidR="002F03F5" w:rsidRPr="009F2AA4" w:rsidRDefault="008F23FF" w:rsidP="00921FF3">
            <w:pPr>
              <w:pStyle w:val="TableText"/>
              <w:widowControl/>
              <w:rPr>
                <w:bCs/>
                <w:lang w:eastAsia="en-AU"/>
              </w:rPr>
            </w:pPr>
            <w:r w:rsidRPr="009F2AA4">
              <w:rPr>
                <w:bCs/>
                <w:lang w:eastAsia="en-AU"/>
              </w:rPr>
              <w:t>PF</w:t>
            </w:r>
          </w:p>
        </w:tc>
        <w:tc>
          <w:tcPr>
            <w:tcW w:w="1802" w:type="dxa"/>
            <w:tcBorders>
              <w:top w:val="single" w:sz="4" w:space="0" w:color="000000"/>
              <w:left w:val="single" w:sz="4" w:space="0" w:color="000000"/>
              <w:bottom w:val="single" w:sz="4" w:space="0" w:color="000000"/>
              <w:right w:val="single" w:sz="4" w:space="0" w:color="000000"/>
            </w:tcBorders>
          </w:tcPr>
          <w:p w14:paraId="3C78128F" w14:textId="77777777" w:rsidR="002F03F5" w:rsidRPr="00F34799" w:rsidRDefault="008F23FF" w:rsidP="00921FF3">
            <w:pPr>
              <w:pStyle w:val="TableText"/>
              <w:widowControl/>
              <w:jc w:val="center"/>
              <w:rPr>
                <w:lang w:eastAsia="en-AU"/>
              </w:rPr>
            </w:pPr>
            <w:r w:rsidRPr="00F34799">
              <w:t>4.433</w:t>
            </w:r>
          </w:p>
        </w:tc>
        <w:tc>
          <w:tcPr>
            <w:tcW w:w="1681" w:type="dxa"/>
            <w:tcBorders>
              <w:top w:val="single" w:sz="4" w:space="0" w:color="000000"/>
              <w:left w:val="single" w:sz="4" w:space="0" w:color="000000"/>
              <w:bottom w:val="single" w:sz="4" w:space="0" w:color="000000"/>
              <w:right w:val="single" w:sz="4" w:space="0" w:color="000000"/>
            </w:tcBorders>
          </w:tcPr>
          <w:p w14:paraId="3C781290" w14:textId="77777777" w:rsidR="002F03F5" w:rsidRPr="00F34799" w:rsidRDefault="008F23FF" w:rsidP="00921FF3">
            <w:pPr>
              <w:pStyle w:val="TableText"/>
              <w:widowControl/>
              <w:jc w:val="center"/>
              <w:rPr>
                <w:lang w:eastAsia="en-AU"/>
              </w:rPr>
            </w:pPr>
            <w:r w:rsidRPr="00F34799">
              <w:t>0.644</w:t>
            </w:r>
          </w:p>
        </w:tc>
        <w:tc>
          <w:tcPr>
            <w:tcW w:w="1672" w:type="dxa"/>
            <w:tcBorders>
              <w:top w:val="single" w:sz="4" w:space="0" w:color="000000"/>
              <w:left w:val="single" w:sz="4" w:space="0" w:color="000000"/>
              <w:bottom w:val="single" w:sz="4" w:space="0" w:color="000000"/>
              <w:right w:val="single" w:sz="4" w:space="0" w:color="000000"/>
            </w:tcBorders>
          </w:tcPr>
          <w:p w14:paraId="3C781291" w14:textId="77777777" w:rsidR="002F03F5" w:rsidRPr="00F34799" w:rsidRDefault="008F23FF" w:rsidP="00921FF3">
            <w:pPr>
              <w:pStyle w:val="TableText"/>
              <w:widowControl/>
              <w:jc w:val="center"/>
              <w:rPr>
                <w:lang w:eastAsia="en-AU"/>
              </w:rPr>
            </w:pPr>
            <w:r w:rsidRPr="00F34799">
              <w:t>3.789</w:t>
            </w:r>
          </w:p>
        </w:tc>
        <w:tc>
          <w:tcPr>
            <w:tcW w:w="1674" w:type="dxa"/>
            <w:tcBorders>
              <w:top w:val="single" w:sz="4" w:space="0" w:color="000000"/>
              <w:left w:val="single" w:sz="4" w:space="0" w:color="000000"/>
              <w:bottom w:val="single" w:sz="4" w:space="0" w:color="000000"/>
              <w:right w:val="single" w:sz="4" w:space="0" w:color="000000"/>
            </w:tcBorders>
          </w:tcPr>
          <w:p w14:paraId="3C781292" w14:textId="77777777" w:rsidR="002F03F5" w:rsidRPr="00F34799" w:rsidRDefault="008F23FF" w:rsidP="00921FF3">
            <w:pPr>
              <w:pStyle w:val="TableText"/>
              <w:widowControl/>
              <w:jc w:val="center"/>
              <w:rPr>
                <w:lang w:eastAsia="en-AU"/>
              </w:rPr>
            </w:pPr>
            <w:r w:rsidRPr="00F34799">
              <w:t>78%</w:t>
            </w:r>
          </w:p>
        </w:tc>
      </w:tr>
      <w:tr w:rsidR="002F03F5" w:rsidRPr="009F2AA4" w14:paraId="3C781299"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94" w14:textId="77777777" w:rsidR="002F03F5" w:rsidRPr="009F2AA4" w:rsidRDefault="008F23FF" w:rsidP="00921FF3">
            <w:pPr>
              <w:pStyle w:val="TableText"/>
              <w:widowControl/>
              <w:rPr>
                <w:bCs/>
                <w:lang w:eastAsia="en-AU"/>
              </w:rPr>
            </w:pPr>
            <w:r w:rsidRPr="009F2AA4">
              <w:rPr>
                <w:bCs/>
                <w:lang w:eastAsia="en-AU"/>
              </w:rPr>
              <w:t>PD</w:t>
            </w:r>
          </w:p>
        </w:tc>
        <w:tc>
          <w:tcPr>
            <w:tcW w:w="1802" w:type="dxa"/>
            <w:tcBorders>
              <w:top w:val="single" w:sz="4" w:space="0" w:color="000000"/>
              <w:left w:val="single" w:sz="4" w:space="0" w:color="000000"/>
              <w:bottom w:val="single" w:sz="4" w:space="0" w:color="000000"/>
              <w:right w:val="single" w:sz="4" w:space="0" w:color="000000"/>
            </w:tcBorders>
          </w:tcPr>
          <w:p w14:paraId="3C781295" w14:textId="77777777" w:rsidR="002F03F5" w:rsidRPr="00F34799" w:rsidRDefault="008F23FF" w:rsidP="00921FF3">
            <w:pPr>
              <w:pStyle w:val="TableText"/>
              <w:widowControl/>
              <w:jc w:val="center"/>
              <w:rPr>
                <w:lang w:eastAsia="en-AU"/>
              </w:rPr>
            </w:pPr>
            <w:r w:rsidRPr="00F34799">
              <w:t>4.827</w:t>
            </w:r>
          </w:p>
        </w:tc>
        <w:tc>
          <w:tcPr>
            <w:tcW w:w="1681" w:type="dxa"/>
            <w:tcBorders>
              <w:top w:val="single" w:sz="4" w:space="0" w:color="000000"/>
              <w:left w:val="single" w:sz="4" w:space="0" w:color="000000"/>
              <w:bottom w:val="single" w:sz="4" w:space="0" w:color="000000"/>
              <w:right w:val="single" w:sz="4" w:space="0" w:color="000000"/>
            </w:tcBorders>
          </w:tcPr>
          <w:p w14:paraId="3C781296" w14:textId="77777777" w:rsidR="002F03F5" w:rsidRPr="00F34799" w:rsidRDefault="008F23FF" w:rsidP="00921FF3">
            <w:pPr>
              <w:pStyle w:val="TableText"/>
              <w:widowControl/>
              <w:jc w:val="center"/>
              <w:rPr>
                <w:lang w:eastAsia="en-AU"/>
              </w:rPr>
            </w:pPr>
            <w:r w:rsidRPr="00F34799">
              <w:t>3.742</w:t>
            </w:r>
          </w:p>
        </w:tc>
        <w:tc>
          <w:tcPr>
            <w:tcW w:w="1672" w:type="dxa"/>
            <w:tcBorders>
              <w:top w:val="single" w:sz="4" w:space="0" w:color="000000"/>
              <w:left w:val="single" w:sz="4" w:space="0" w:color="000000"/>
              <w:bottom w:val="single" w:sz="4" w:space="0" w:color="000000"/>
              <w:right w:val="single" w:sz="4" w:space="0" w:color="000000"/>
            </w:tcBorders>
          </w:tcPr>
          <w:p w14:paraId="3C781297" w14:textId="77777777" w:rsidR="002F03F5" w:rsidRPr="00F34799" w:rsidRDefault="008F23FF" w:rsidP="00921FF3">
            <w:pPr>
              <w:pStyle w:val="TableText"/>
              <w:widowControl/>
              <w:jc w:val="center"/>
              <w:rPr>
                <w:lang w:eastAsia="en-AU"/>
              </w:rPr>
            </w:pPr>
            <w:r w:rsidRPr="00F34799">
              <w:t>1.085</w:t>
            </w:r>
          </w:p>
        </w:tc>
        <w:tc>
          <w:tcPr>
            <w:tcW w:w="1674" w:type="dxa"/>
            <w:tcBorders>
              <w:top w:val="single" w:sz="4" w:space="0" w:color="000000"/>
              <w:left w:val="single" w:sz="4" w:space="0" w:color="000000"/>
              <w:bottom w:val="single" w:sz="4" w:space="0" w:color="000000"/>
              <w:right w:val="single" w:sz="4" w:space="0" w:color="000000"/>
            </w:tcBorders>
          </w:tcPr>
          <w:p w14:paraId="3C781298" w14:textId="77777777" w:rsidR="002F03F5" w:rsidRPr="00F34799" w:rsidRDefault="008F23FF" w:rsidP="00921FF3">
            <w:pPr>
              <w:pStyle w:val="TableText"/>
              <w:widowControl/>
              <w:jc w:val="center"/>
              <w:rPr>
                <w:lang w:eastAsia="en-AU"/>
              </w:rPr>
            </w:pPr>
            <w:r w:rsidRPr="00F34799">
              <w:t>22%</w:t>
            </w:r>
          </w:p>
        </w:tc>
      </w:tr>
      <w:tr w:rsidR="002F03F5" w:rsidRPr="009F2AA4" w14:paraId="3C78129F"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9A" w14:textId="77777777" w:rsidR="002F03F5" w:rsidRPr="009F2AA4" w:rsidRDefault="008F23FF" w:rsidP="00921FF3">
            <w:pPr>
              <w:pStyle w:val="TableText"/>
              <w:widowControl/>
              <w:rPr>
                <w:bCs/>
                <w:lang w:eastAsia="en-AU"/>
              </w:rPr>
            </w:pPr>
            <w:r w:rsidRPr="009F2AA4">
              <w:rPr>
                <w:bCs/>
                <w:lang w:eastAsia="en-AU"/>
              </w:rPr>
              <w:t xml:space="preserve">Total </w:t>
            </w:r>
          </w:p>
        </w:tc>
        <w:tc>
          <w:tcPr>
            <w:tcW w:w="1802" w:type="dxa"/>
            <w:tcBorders>
              <w:top w:val="single" w:sz="4" w:space="0" w:color="000000"/>
              <w:left w:val="single" w:sz="4" w:space="0" w:color="000000"/>
              <w:bottom w:val="single" w:sz="4" w:space="0" w:color="000000"/>
              <w:right w:val="single" w:sz="4" w:space="0" w:color="000000"/>
            </w:tcBorders>
          </w:tcPr>
          <w:p w14:paraId="3C78129B" w14:textId="77777777" w:rsidR="002F03F5" w:rsidRPr="00F34799" w:rsidRDefault="008F23FF" w:rsidP="00921FF3">
            <w:pPr>
              <w:pStyle w:val="TableText"/>
              <w:widowControl/>
              <w:jc w:val="center"/>
              <w:rPr>
                <w:lang w:eastAsia="en-AU"/>
              </w:rPr>
            </w:pPr>
            <w:r w:rsidRPr="00F34799">
              <w:t>9.260</w:t>
            </w:r>
          </w:p>
        </w:tc>
        <w:tc>
          <w:tcPr>
            <w:tcW w:w="1681" w:type="dxa"/>
            <w:tcBorders>
              <w:top w:val="single" w:sz="4" w:space="0" w:color="000000"/>
              <w:left w:val="single" w:sz="4" w:space="0" w:color="000000"/>
              <w:bottom w:val="single" w:sz="4" w:space="0" w:color="000000"/>
              <w:right w:val="single" w:sz="4" w:space="0" w:color="000000"/>
            </w:tcBorders>
          </w:tcPr>
          <w:p w14:paraId="3C78129C" w14:textId="77777777" w:rsidR="002F03F5" w:rsidRPr="00F34799" w:rsidRDefault="008F23FF" w:rsidP="00921FF3">
            <w:pPr>
              <w:pStyle w:val="TableText"/>
              <w:widowControl/>
              <w:jc w:val="center"/>
              <w:rPr>
                <w:lang w:eastAsia="en-AU"/>
              </w:rPr>
            </w:pPr>
            <w:r w:rsidRPr="00F34799">
              <w:t>4.385</w:t>
            </w:r>
          </w:p>
        </w:tc>
        <w:tc>
          <w:tcPr>
            <w:tcW w:w="1672" w:type="dxa"/>
            <w:tcBorders>
              <w:top w:val="single" w:sz="4" w:space="0" w:color="000000"/>
              <w:left w:val="single" w:sz="4" w:space="0" w:color="000000"/>
              <w:bottom w:val="single" w:sz="4" w:space="0" w:color="000000"/>
              <w:right w:val="single" w:sz="4" w:space="0" w:color="000000"/>
            </w:tcBorders>
          </w:tcPr>
          <w:p w14:paraId="3C78129D" w14:textId="77777777" w:rsidR="002F03F5" w:rsidRPr="00F34799" w:rsidRDefault="008F23FF" w:rsidP="00921FF3">
            <w:pPr>
              <w:pStyle w:val="TableText"/>
              <w:widowControl/>
              <w:jc w:val="center"/>
              <w:rPr>
                <w:lang w:eastAsia="en-AU"/>
              </w:rPr>
            </w:pPr>
            <w:r w:rsidRPr="00F34799">
              <w:t>4.875</w:t>
            </w:r>
          </w:p>
        </w:tc>
        <w:tc>
          <w:tcPr>
            <w:tcW w:w="1674" w:type="dxa"/>
            <w:tcBorders>
              <w:top w:val="single" w:sz="4" w:space="0" w:color="000000"/>
              <w:left w:val="single" w:sz="4" w:space="0" w:color="000000"/>
              <w:bottom w:val="single" w:sz="4" w:space="0" w:color="000000"/>
              <w:right w:val="single" w:sz="4" w:space="0" w:color="000000"/>
            </w:tcBorders>
          </w:tcPr>
          <w:p w14:paraId="3C78129E" w14:textId="77777777" w:rsidR="002F03F5" w:rsidRPr="00F34799" w:rsidRDefault="008F23FF" w:rsidP="00921FF3">
            <w:pPr>
              <w:pStyle w:val="TableText"/>
              <w:widowControl/>
              <w:jc w:val="center"/>
              <w:rPr>
                <w:lang w:eastAsia="en-AU"/>
              </w:rPr>
            </w:pPr>
            <w:r w:rsidRPr="00F34799">
              <w:t>100%</w:t>
            </w:r>
          </w:p>
        </w:tc>
      </w:tr>
      <w:tr w:rsidR="002F03F5" w:rsidRPr="009F2AA4" w14:paraId="3C7812A5" w14:textId="77777777" w:rsidTr="00173793">
        <w:tc>
          <w:tcPr>
            <w:tcW w:w="2187" w:type="dxa"/>
            <w:tcBorders>
              <w:top w:val="single" w:sz="4" w:space="0" w:color="000000"/>
              <w:left w:val="single" w:sz="4" w:space="0" w:color="000000"/>
              <w:bottom w:val="single" w:sz="4" w:space="0" w:color="000000"/>
            </w:tcBorders>
            <w:vAlign w:val="center"/>
          </w:tcPr>
          <w:p w14:paraId="3C7812A0" w14:textId="77777777" w:rsidR="002F03F5" w:rsidRPr="009F2AA4" w:rsidRDefault="008F23FF" w:rsidP="00921FF3">
            <w:pPr>
              <w:pStyle w:val="TableText"/>
              <w:widowControl/>
              <w:rPr>
                <w:b/>
                <w:bCs/>
                <w:lang w:eastAsia="en-AU"/>
              </w:rPr>
            </w:pPr>
            <w:r w:rsidRPr="009F2AA4">
              <w:rPr>
                <w:b/>
                <w:bCs/>
                <w:lang w:eastAsia="en-AU"/>
              </w:rPr>
              <w:t>QALYs gained</w:t>
            </w:r>
          </w:p>
        </w:tc>
        <w:tc>
          <w:tcPr>
            <w:tcW w:w="1802" w:type="dxa"/>
            <w:tcBorders>
              <w:top w:val="single" w:sz="4" w:space="0" w:color="000000"/>
              <w:bottom w:val="single" w:sz="4" w:space="0" w:color="000000"/>
            </w:tcBorders>
          </w:tcPr>
          <w:p w14:paraId="3C7812A1" w14:textId="77777777" w:rsidR="002F03F5" w:rsidRPr="00F34799" w:rsidRDefault="002F03F5" w:rsidP="00921FF3">
            <w:pPr>
              <w:pStyle w:val="TableText"/>
              <w:widowControl/>
              <w:jc w:val="center"/>
              <w:rPr>
                <w:bCs/>
                <w:lang w:eastAsia="en-AU"/>
              </w:rPr>
            </w:pPr>
          </w:p>
        </w:tc>
        <w:tc>
          <w:tcPr>
            <w:tcW w:w="1681" w:type="dxa"/>
            <w:tcBorders>
              <w:top w:val="single" w:sz="4" w:space="0" w:color="000000"/>
              <w:bottom w:val="single" w:sz="4" w:space="0" w:color="000000"/>
            </w:tcBorders>
          </w:tcPr>
          <w:p w14:paraId="3C7812A2" w14:textId="77777777" w:rsidR="002F03F5" w:rsidRPr="00F34799" w:rsidRDefault="002F03F5" w:rsidP="00921FF3">
            <w:pPr>
              <w:pStyle w:val="TableText"/>
              <w:widowControl/>
              <w:jc w:val="center"/>
              <w:rPr>
                <w:bCs/>
                <w:lang w:eastAsia="en-AU"/>
              </w:rPr>
            </w:pPr>
          </w:p>
        </w:tc>
        <w:tc>
          <w:tcPr>
            <w:tcW w:w="1672" w:type="dxa"/>
            <w:tcBorders>
              <w:top w:val="single" w:sz="4" w:space="0" w:color="000000"/>
              <w:bottom w:val="single" w:sz="4" w:space="0" w:color="000000"/>
            </w:tcBorders>
          </w:tcPr>
          <w:p w14:paraId="3C7812A3" w14:textId="77777777" w:rsidR="002F03F5" w:rsidRPr="00F34799" w:rsidRDefault="002F03F5" w:rsidP="00921FF3">
            <w:pPr>
              <w:pStyle w:val="TableText"/>
              <w:widowControl/>
              <w:jc w:val="center"/>
              <w:rPr>
                <w:bCs/>
                <w:lang w:eastAsia="en-AU"/>
              </w:rPr>
            </w:pPr>
          </w:p>
        </w:tc>
        <w:tc>
          <w:tcPr>
            <w:tcW w:w="1674" w:type="dxa"/>
            <w:tcBorders>
              <w:top w:val="single" w:sz="4" w:space="0" w:color="000000"/>
              <w:bottom w:val="single" w:sz="4" w:space="0" w:color="000000"/>
              <w:right w:val="single" w:sz="4" w:space="0" w:color="000000"/>
            </w:tcBorders>
          </w:tcPr>
          <w:p w14:paraId="3C7812A4" w14:textId="77777777" w:rsidR="002F03F5" w:rsidRPr="00F34799" w:rsidRDefault="002F03F5" w:rsidP="00921FF3">
            <w:pPr>
              <w:pStyle w:val="TableText"/>
              <w:widowControl/>
              <w:jc w:val="center"/>
              <w:rPr>
                <w:lang w:eastAsia="en-AU"/>
              </w:rPr>
            </w:pPr>
          </w:p>
        </w:tc>
      </w:tr>
      <w:tr w:rsidR="002F03F5" w:rsidRPr="009F2AA4" w14:paraId="3C7812AB"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A6" w14:textId="77777777" w:rsidR="002F03F5" w:rsidRPr="009F2AA4" w:rsidRDefault="008F23FF" w:rsidP="00921FF3">
            <w:pPr>
              <w:pStyle w:val="TableText"/>
              <w:widowControl/>
              <w:rPr>
                <w:bCs/>
                <w:lang w:eastAsia="en-AU"/>
              </w:rPr>
            </w:pPr>
            <w:r w:rsidRPr="009F2AA4">
              <w:rPr>
                <w:bCs/>
                <w:lang w:eastAsia="en-AU"/>
              </w:rPr>
              <w:t>PF</w:t>
            </w:r>
          </w:p>
        </w:tc>
        <w:tc>
          <w:tcPr>
            <w:tcW w:w="1802" w:type="dxa"/>
            <w:tcBorders>
              <w:top w:val="single" w:sz="4" w:space="0" w:color="000000"/>
              <w:left w:val="single" w:sz="4" w:space="0" w:color="000000"/>
              <w:bottom w:val="single" w:sz="4" w:space="0" w:color="000000"/>
              <w:right w:val="single" w:sz="4" w:space="0" w:color="000000"/>
            </w:tcBorders>
          </w:tcPr>
          <w:p w14:paraId="3C7812A7" w14:textId="77777777" w:rsidR="002F03F5" w:rsidRPr="00F34799" w:rsidRDefault="008F23FF" w:rsidP="00921FF3">
            <w:pPr>
              <w:pStyle w:val="TableText"/>
              <w:widowControl/>
              <w:jc w:val="center"/>
              <w:rPr>
                <w:lang w:eastAsia="en-AU"/>
              </w:rPr>
            </w:pPr>
            <w:r w:rsidRPr="00F34799">
              <w:t>3.857</w:t>
            </w:r>
          </w:p>
        </w:tc>
        <w:tc>
          <w:tcPr>
            <w:tcW w:w="1681" w:type="dxa"/>
            <w:tcBorders>
              <w:top w:val="single" w:sz="4" w:space="0" w:color="000000"/>
              <w:left w:val="single" w:sz="4" w:space="0" w:color="000000"/>
              <w:bottom w:val="single" w:sz="4" w:space="0" w:color="000000"/>
              <w:right w:val="single" w:sz="4" w:space="0" w:color="000000"/>
            </w:tcBorders>
          </w:tcPr>
          <w:p w14:paraId="3C7812A8" w14:textId="77777777" w:rsidR="002F03F5" w:rsidRPr="00F34799" w:rsidRDefault="008F23FF" w:rsidP="00921FF3">
            <w:pPr>
              <w:pStyle w:val="TableText"/>
              <w:widowControl/>
              <w:jc w:val="center"/>
              <w:rPr>
                <w:lang w:eastAsia="en-AU"/>
              </w:rPr>
            </w:pPr>
            <w:r w:rsidRPr="00F34799">
              <w:t>0.566</w:t>
            </w:r>
          </w:p>
        </w:tc>
        <w:tc>
          <w:tcPr>
            <w:tcW w:w="1672" w:type="dxa"/>
            <w:tcBorders>
              <w:top w:val="single" w:sz="4" w:space="0" w:color="000000"/>
              <w:left w:val="single" w:sz="4" w:space="0" w:color="000000"/>
              <w:bottom w:val="single" w:sz="4" w:space="0" w:color="000000"/>
              <w:right w:val="single" w:sz="4" w:space="0" w:color="000000"/>
            </w:tcBorders>
          </w:tcPr>
          <w:p w14:paraId="3C7812A9" w14:textId="77777777" w:rsidR="002F03F5" w:rsidRPr="00F34799" w:rsidRDefault="008F23FF" w:rsidP="00921FF3">
            <w:pPr>
              <w:pStyle w:val="TableText"/>
              <w:widowControl/>
              <w:jc w:val="center"/>
              <w:rPr>
                <w:lang w:eastAsia="en-AU"/>
              </w:rPr>
            </w:pPr>
            <w:r w:rsidRPr="00F34799">
              <w:t>3.290</w:t>
            </w:r>
          </w:p>
        </w:tc>
        <w:tc>
          <w:tcPr>
            <w:tcW w:w="1674" w:type="dxa"/>
            <w:tcBorders>
              <w:top w:val="single" w:sz="4" w:space="0" w:color="000000"/>
              <w:left w:val="single" w:sz="4" w:space="0" w:color="000000"/>
              <w:bottom w:val="single" w:sz="4" w:space="0" w:color="000000"/>
              <w:right w:val="single" w:sz="4" w:space="0" w:color="000000"/>
            </w:tcBorders>
          </w:tcPr>
          <w:p w14:paraId="3C7812AA" w14:textId="77777777" w:rsidR="002F03F5" w:rsidRPr="00F34799" w:rsidRDefault="008F23FF" w:rsidP="00921FF3">
            <w:pPr>
              <w:pStyle w:val="TableText"/>
              <w:widowControl/>
              <w:jc w:val="center"/>
              <w:rPr>
                <w:lang w:eastAsia="en-AU"/>
              </w:rPr>
            </w:pPr>
            <w:r w:rsidRPr="00F34799">
              <w:t>80%</w:t>
            </w:r>
          </w:p>
        </w:tc>
      </w:tr>
      <w:tr w:rsidR="002F03F5" w:rsidRPr="009F2AA4" w14:paraId="3C7812B1"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AC" w14:textId="77777777" w:rsidR="002F03F5" w:rsidRPr="009F2AA4" w:rsidRDefault="008F23FF" w:rsidP="00921FF3">
            <w:pPr>
              <w:pStyle w:val="TableText"/>
              <w:widowControl/>
              <w:rPr>
                <w:bCs/>
                <w:lang w:eastAsia="en-AU"/>
              </w:rPr>
            </w:pPr>
            <w:r w:rsidRPr="009F2AA4">
              <w:rPr>
                <w:bCs/>
                <w:lang w:eastAsia="en-AU"/>
              </w:rPr>
              <w:t>PD</w:t>
            </w:r>
          </w:p>
        </w:tc>
        <w:tc>
          <w:tcPr>
            <w:tcW w:w="1802" w:type="dxa"/>
            <w:tcBorders>
              <w:top w:val="single" w:sz="4" w:space="0" w:color="000000"/>
              <w:left w:val="single" w:sz="4" w:space="0" w:color="000000"/>
              <w:bottom w:val="single" w:sz="4" w:space="0" w:color="000000"/>
              <w:right w:val="single" w:sz="4" w:space="0" w:color="000000"/>
            </w:tcBorders>
          </w:tcPr>
          <w:p w14:paraId="3C7812AD" w14:textId="77777777" w:rsidR="002F03F5" w:rsidRPr="00F34799" w:rsidRDefault="008F23FF" w:rsidP="00921FF3">
            <w:pPr>
              <w:pStyle w:val="TableText"/>
              <w:widowControl/>
              <w:jc w:val="center"/>
              <w:rPr>
                <w:lang w:eastAsia="en-AU"/>
              </w:rPr>
            </w:pPr>
            <w:r w:rsidRPr="00F34799">
              <w:t>3.988</w:t>
            </w:r>
          </w:p>
        </w:tc>
        <w:tc>
          <w:tcPr>
            <w:tcW w:w="1681" w:type="dxa"/>
            <w:tcBorders>
              <w:top w:val="single" w:sz="4" w:space="0" w:color="000000"/>
              <w:left w:val="single" w:sz="4" w:space="0" w:color="000000"/>
              <w:bottom w:val="single" w:sz="4" w:space="0" w:color="000000"/>
              <w:right w:val="single" w:sz="4" w:space="0" w:color="000000"/>
            </w:tcBorders>
          </w:tcPr>
          <w:p w14:paraId="3C7812AE" w14:textId="77777777" w:rsidR="002F03F5" w:rsidRPr="00F34799" w:rsidRDefault="008F23FF" w:rsidP="00921FF3">
            <w:pPr>
              <w:pStyle w:val="TableText"/>
              <w:widowControl/>
              <w:jc w:val="center"/>
              <w:rPr>
                <w:lang w:eastAsia="en-AU"/>
              </w:rPr>
            </w:pPr>
            <w:r w:rsidRPr="00F34799">
              <w:t>3.191</w:t>
            </w:r>
          </w:p>
        </w:tc>
        <w:tc>
          <w:tcPr>
            <w:tcW w:w="1672" w:type="dxa"/>
            <w:tcBorders>
              <w:top w:val="single" w:sz="4" w:space="0" w:color="000000"/>
              <w:left w:val="single" w:sz="4" w:space="0" w:color="000000"/>
              <w:bottom w:val="single" w:sz="4" w:space="0" w:color="000000"/>
              <w:right w:val="single" w:sz="4" w:space="0" w:color="000000"/>
            </w:tcBorders>
          </w:tcPr>
          <w:p w14:paraId="3C7812AF" w14:textId="77777777" w:rsidR="002F03F5" w:rsidRPr="00F34799" w:rsidRDefault="008F23FF" w:rsidP="00921FF3">
            <w:pPr>
              <w:pStyle w:val="TableText"/>
              <w:widowControl/>
              <w:jc w:val="center"/>
              <w:rPr>
                <w:lang w:eastAsia="en-AU"/>
              </w:rPr>
            </w:pPr>
            <w:r w:rsidRPr="00F34799">
              <w:t>0.798</w:t>
            </w:r>
          </w:p>
        </w:tc>
        <w:tc>
          <w:tcPr>
            <w:tcW w:w="1674" w:type="dxa"/>
            <w:tcBorders>
              <w:top w:val="single" w:sz="4" w:space="0" w:color="000000"/>
              <w:left w:val="single" w:sz="4" w:space="0" w:color="000000"/>
              <w:bottom w:val="single" w:sz="4" w:space="0" w:color="000000"/>
              <w:right w:val="single" w:sz="4" w:space="0" w:color="000000"/>
            </w:tcBorders>
          </w:tcPr>
          <w:p w14:paraId="3C7812B0" w14:textId="77777777" w:rsidR="002F03F5" w:rsidRPr="00F34799" w:rsidRDefault="008F23FF" w:rsidP="00921FF3">
            <w:pPr>
              <w:pStyle w:val="TableText"/>
              <w:widowControl/>
              <w:jc w:val="center"/>
              <w:rPr>
                <w:lang w:eastAsia="en-AU"/>
              </w:rPr>
            </w:pPr>
            <w:r w:rsidRPr="00F34799">
              <w:t>20%</w:t>
            </w:r>
          </w:p>
        </w:tc>
      </w:tr>
      <w:tr w:rsidR="002F03F5" w:rsidRPr="009F2AA4" w14:paraId="3C7812B7" w14:textId="77777777" w:rsidTr="00173793">
        <w:tc>
          <w:tcPr>
            <w:tcW w:w="2187" w:type="dxa"/>
            <w:tcBorders>
              <w:top w:val="single" w:sz="4" w:space="0" w:color="000000"/>
              <w:left w:val="single" w:sz="4" w:space="0" w:color="000000"/>
              <w:bottom w:val="single" w:sz="4" w:space="0" w:color="000000"/>
              <w:right w:val="single" w:sz="4" w:space="0" w:color="000000"/>
            </w:tcBorders>
            <w:vAlign w:val="center"/>
          </w:tcPr>
          <w:p w14:paraId="3C7812B2" w14:textId="77777777" w:rsidR="002F03F5" w:rsidRPr="009F2AA4" w:rsidRDefault="008F23FF" w:rsidP="00921FF3">
            <w:pPr>
              <w:pStyle w:val="TableText"/>
              <w:widowControl/>
              <w:rPr>
                <w:bCs/>
                <w:lang w:eastAsia="en-AU"/>
              </w:rPr>
            </w:pPr>
            <w:r w:rsidRPr="009F2AA4">
              <w:rPr>
                <w:bCs/>
                <w:lang w:eastAsia="en-AU"/>
              </w:rPr>
              <w:t>Total</w:t>
            </w:r>
          </w:p>
        </w:tc>
        <w:tc>
          <w:tcPr>
            <w:tcW w:w="1802" w:type="dxa"/>
            <w:tcBorders>
              <w:top w:val="single" w:sz="4" w:space="0" w:color="000000"/>
              <w:left w:val="single" w:sz="4" w:space="0" w:color="000000"/>
              <w:bottom w:val="single" w:sz="4" w:space="0" w:color="000000"/>
              <w:right w:val="single" w:sz="4" w:space="0" w:color="000000"/>
            </w:tcBorders>
          </w:tcPr>
          <w:p w14:paraId="3C7812B3" w14:textId="77777777" w:rsidR="002F03F5" w:rsidRPr="00F34799" w:rsidRDefault="008F23FF" w:rsidP="00921FF3">
            <w:pPr>
              <w:pStyle w:val="TableText"/>
              <w:widowControl/>
              <w:jc w:val="center"/>
              <w:rPr>
                <w:lang w:eastAsia="en-AU"/>
              </w:rPr>
            </w:pPr>
            <w:r w:rsidRPr="00F34799">
              <w:t>7.845</w:t>
            </w:r>
          </w:p>
        </w:tc>
        <w:tc>
          <w:tcPr>
            <w:tcW w:w="1681" w:type="dxa"/>
            <w:tcBorders>
              <w:top w:val="single" w:sz="4" w:space="0" w:color="000000"/>
              <w:left w:val="single" w:sz="4" w:space="0" w:color="000000"/>
              <w:bottom w:val="single" w:sz="4" w:space="0" w:color="000000"/>
              <w:right w:val="single" w:sz="4" w:space="0" w:color="000000"/>
            </w:tcBorders>
          </w:tcPr>
          <w:p w14:paraId="3C7812B4" w14:textId="77777777" w:rsidR="002F03F5" w:rsidRPr="00F34799" w:rsidRDefault="008F23FF" w:rsidP="00921FF3">
            <w:pPr>
              <w:pStyle w:val="TableText"/>
              <w:widowControl/>
              <w:jc w:val="center"/>
              <w:rPr>
                <w:lang w:eastAsia="en-AU"/>
              </w:rPr>
            </w:pPr>
            <w:r w:rsidRPr="00F34799">
              <w:t>3.757</w:t>
            </w:r>
          </w:p>
        </w:tc>
        <w:tc>
          <w:tcPr>
            <w:tcW w:w="1672" w:type="dxa"/>
            <w:tcBorders>
              <w:top w:val="single" w:sz="4" w:space="0" w:color="000000"/>
              <w:left w:val="single" w:sz="4" w:space="0" w:color="000000"/>
              <w:bottom w:val="single" w:sz="4" w:space="0" w:color="000000"/>
              <w:right w:val="single" w:sz="4" w:space="0" w:color="000000"/>
            </w:tcBorders>
          </w:tcPr>
          <w:p w14:paraId="3C7812B5" w14:textId="77777777" w:rsidR="002F03F5" w:rsidRPr="00F34799" w:rsidRDefault="008F23FF" w:rsidP="00921FF3">
            <w:pPr>
              <w:pStyle w:val="TableText"/>
              <w:widowControl/>
              <w:jc w:val="center"/>
              <w:rPr>
                <w:lang w:eastAsia="en-AU"/>
              </w:rPr>
            </w:pPr>
            <w:r w:rsidRPr="00F34799">
              <w:t>4.088</w:t>
            </w:r>
          </w:p>
        </w:tc>
        <w:tc>
          <w:tcPr>
            <w:tcW w:w="1674" w:type="dxa"/>
            <w:tcBorders>
              <w:top w:val="single" w:sz="4" w:space="0" w:color="000000"/>
              <w:left w:val="single" w:sz="4" w:space="0" w:color="000000"/>
              <w:bottom w:val="single" w:sz="4" w:space="0" w:color="000000"/>
              <w:right w:val="single" w:sz="4" w:space="0" w:color="000000"/>
            </w:tcBorders>
          </w:tcPr>
          <w:p w14:paraId="3C7812B6" w14:textId="77777777" w:rsidR="002F03F5" w:rsidRPr="00F34799" w:rsidRDefault="008F23FF" w:rsidP="00921FF3">
            <w:pPr>
              <w:pStyle w:val="TableText"/>
              <w:widowControl/>
              <w:jc w:val="center"/>
              <w:rPr>
                <w:lang w:eastAsia="en-AU"/>
              </w:rPr>
            </w:pPr>
            <w:r w:rsidRPr="00F34799">
              <w:t>100%</w:t>
            </w:r>
          </w:p>
        </w:tc>
      </w:tr>
    </w:tbl>
    <w:p w14:paraId="3C7812B8" w14:textId="77777777" w:rsidR="002F03F5" w:rsidRPr="009F2AA4" w:rsidRDefault="008F23FF" w:rsidP="00921FF3">
      <w:pPr>
        <w:pStyle w:val="TableFooter"/>
        <w:widowControl/>
        <w:rPr>
          <w:lang w:eastAsia="en-AU"/>
        </w:rPr>
      </w:pPr>
      <w:r w:rsidRPr="009F2AA4">
        <w:rPr>
          <w:lang w:eastAsia="en-AU"/>
        </w:rPr>
        <w:t>Source: ‘Deterministic Results’ worksheet from the economic model</w:t>
      </w:r>
    </w:p>
    <w:p w14:paraId="3C7812B9" w14:textId="77777777" w:rsidR="002F03F5" w:rsidRPr="009F2AA4" w:rsidRDefault="008F23FF" w:rsidP="00921FF3">
      <w:pPr>
        <w:pStyle w:val="TableFooter"/>
        <w:widowControl/>
        <w:rPr>
          <w:lang w:eastAsia="en-AU"/>
        </w:rPr>
      </w:pPr>
      <w:r w:rsidRPr="009F2AA4">
        <w:rPr>
          <w:lang w:eastAsia="en-AU"/>
        </w:rPr>
        <w:t>AE = adverse event; BSC = best supportive care; LYG = life year gained; PD = progressed disease; PF = progression free; QALY = quality adjusted life year</w:t>
      </w:r>
    </w:p>
    <w:p w14:paraId="3C7812BA" w14:textId="18CF1F1A" w:rsidR="002F03F5" w:rsidRPr="009F2AA4" w:rsidRDefault="008F23FF" w:rsidP="00921FF3">
      <w:pPr>
        <w:pStyle w:val="3-BodyText"/>
      </w:pPr>
      <w:r w:rsidRPr="009F2AA4">
        <w:t>The Markov traces for the selpercatinib and BSC arms are shown in</w:t>
      </w:r>
      <w:r w:rsidR="00B05195">
        <w:t xml:space="preserve"> </w:t>
      </w:r>
      <w:r w:rsidR="00B05195">
        <w:fldChar w:fldCharType="begin"/>
      </w:r>
      <w:r w:rsidR="00B05195">
        <w:instrText xml:space="preserve"> REF _Ref225285642 \h </w:instrText>
      </w:r>
      <w:r w:rsidR="00B05195">
        <w:fldChar w:fldCharType="separate"/>
      </w:r>
      <w:r w:rsidR="003A3B69">
        <w:t xml:space="preserve">Figure </w:t>
      </w:r>
      <w:r w:rsidR="003A3B69">
        <w:rPr>
          <w:noProof/>
        </w:rPr>
        <w:t>9</w:t>
      </w:r>
      <w:r w:rsidR="00B05195">
        <w:fldChar w:fldCharType="end"/>
      </w:r>
      <w:r w:rsidRPr="009F2AA4">
        <w:t xml:space="preserve"> and </w:t>
      </w:r>
      <w:r w:rsidR="00B05195">
        <w:fldChar w:fldCharType="begin"/>
      </w:r>
      <w:r w:rsidR="00B05195">
        <w:instrText xml:space="preserve"> REF _Ref225285643 \h </w:instrText>
      </w:r>
      <w:r w:rsidR="00B05195">
        <w:fldChar w:fldCharType="separate"/>
      </w:r>
      <w:r w:rsidR="003A3B69">
        <w:t xml:space="preserve">Figure </w:t>
      </w:r>
      <w:r w:rsidR="003A3B69">
        <w:rPr>
          <w:noProof/>
        </w:rPr>
        <w:t>10</w:t>
      </w:r>
      <w:r w:rsidR="00B05195">
        <w:fldChar w:fldCharType="end"/>
      </w:r>
      <w:r w:rsidRPr="009F2AA4">
        <w:t xml:space="preserve">. </w:t>
      </w:r>
    </w:p>
    <w:p w14:paraId="397A14C4" w14:textId="03C508BB" w:rsidR="00E17273" w:rsidRDefault="00E17273" w:rsidP="00921FF3">
      <w:pPr>
        <w:pStyle w:val="Caption"/>
      </w:pPr>
      <w:bookmarkStart w:id="91" w:name="_Ref225285642"/>
      <w:r>
        <w:t xml:space="preserve">Figure </w:t>
      </w:r>
      <w:r>
        <w:fldChar w:fldCharType="begin"/>
      </w:r>
      <w:r>
        <w:instrText>SEQ Figure \* ARABIC</w:instrText>
      </w:r>
      <w:r>
        <w:fldChar w:fldCharType="separate"/>
      </w:r>
      <w:r w:rsidR="003A3B69">
        <w:rPr>
          <w:noProof/>
        </w:rPr>
        <w:t>9</w:t>
      </w:r>
      <w:r>
        <w:fldChar w:fldCharType="end"/>
      </w:r>
      <w:bookmarkEnd w:id="91"/>
      <w:r>
        <w:t>:</w:t>
      </w:r>
      <w:r w:rsidR="007E3114">
        <w:t xml:space="preserve"> </w:t>
      </w:r>
      <w:r w:rsidRPr="00653BAC">
        <w:t>Markov trace - selpercatinib</w:t>
      </w:r>
    </w:p>
    <w:p w14:paraId="3C7812BC" w14:textId="77777777" w:rsidR="002F03F5" w:rsidRPr="009F2AA4" w:rsidRDefault="008F23FF" w:rsidP="00921FF3">
      <w:pPr>
        <w:pStyle w:val="TableText"/>
        <w:widowControl/>
      </w:pPr>
      <w:r w:rsidRPr="009F2AA4">
        <w:rPr>
          <w:noProof/>
        </w:rPr>
        <w:drawing>
          <wp:inline distT="0" distB="0" distL="0" distR="0" wp14:anchorId="3C7815D7" wp14:editId="1242A3F1">
            <wp:extent cx="5627370" cy="3365500"/>
            <wp:effectExtent l="0" t="0" r="0" b="0"/>
            <wp:docPr id="11" name="Image3" descr="Figure 9: Markov trace - selpercatin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Figure 9: Markov trace - selpercatinib"/>
                    <pic:cNvPicPr>
                      <a:picLocks noChangeAspect="1" noChangeArrowheads="1"/>
                    </pic:cNvPicPr>
                  </pic:nvPicPr>
                  <pic:blipFill>
                    <a:blip r:embed="rId20"/>
                    <a:stretch>
                      <a:fillRect/>
                    </a:stretch>
                  </pic:blipFill>
                  <pic:spPr bwMode="auto">
                    <a:xfrm>
                      <a:off x="0" y="0"/>
                      <a:ext cx="5627370" cy="3365500"/>
                    </a:xfrm>
                    <a:prstGeom prst="rect">
                      <a:avLst/>
                    </a:prstGeom>
                    <a:noFill/>
                  </pic:spPr>
                </pic:pic>
              </a:graphicData>
            </a:graphic>
          </wp:inline>
        </w:drawing>
      </w:r>
    </w:p>
    <w:p w14:paraId="3C7812BD" w14:textId="77777777" w:rsidR="002F03F5" w:rsidRPr="009F2AA4" w:rsidRDefault="008F23FF" w:rsidP="00921FF3">
      <w:pPr>
        <w:pStyle w:val="TableFooter"/>
        <w:widowControl/>
      </w:pPr>
      <w:r w:rsidRPr="009F2AA4">
        <w:t>Source: ‘Markov trace’ worksheet from the economic model</w:t>
      </w:r>
    </w:p>
    <w:p w14:paraId="674C767D" w14:textId="66330AC2" w:rsidR="00E17273" w:rsidRDefault="00E17273" w:rsidP="00921FF3">
      <w:pPr>
        <w:pStyle w:val="Caption"/>
      </w:pPr>
      <w:bookmarkStart w:id="92" w:name="_Ref225285643"/>
      <w:r>
        <w:lastRenderedPageBreak/>
        <w:t xml:space="preserve">Figure </w:t>
      </w:r>
      <w:r>
        <w:fldChar w:fldCharType="begin"/>
      </w:r>
      <w:r>
        <w:instrText>SEQ Figure \* ARABIC</w:instrText>
      </w:r>
      <w:r>
        <w:fldChar w:fldCharType="separate"/>
      </w:r>
      <w:r w:rsidR="003A3B69">
        <w:rPr>
          <w:noProof/>
        </w:rPr>
        <w:t>10</w:t>
      </w:r>
      <w:r>
        <w:fldChar w:fldCharType="end"/>
      </w:r>
      <w:bookmarkEnd w:id="92"/>
      <w:r>
        <w:t>:</w:t>
      </w:r>
      <w:r w:rsidR="007E3114">
        <w:t xml:space="preserve"> </w:t>
      </w:r>
      <w:r w:rsidRPr="00CB25D5">
        <w:t>Markov trace - BSC</w:t>
      </w:r>
    </w:p>
    <w:p w14:paraId="3C7812BF" w14:textId="77777777" w:rsidR="002F03F5" w:rsidRPr="009F2AA4" w:rsidRDefault="008F23FF" w:rsidP="00921FF3">
      <w:pPr>
        <w:pStyle w:val="TableText"/>
        <w:widowControl/>
      </w:pPr>
      <w:r w:rsidRPr="009F2AA4">
        <w:rPr>
          <w:noProof/>
        </w:rPr>
        <w:drawing>
          <wp:inline distT="0" distB="0" distL="0" distR="0" wp14:anchorId="3C7815D9" wp14:editId="120067B1">
            <wp:extent cx="5645150" cy="3359150"/>
            <wp:effectExtent l="0" t="0" r="0" b="0"/>
            <wp:docPr id="12" name="Image4" descr="Figure 10: Markov trace - B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 descr="Figure 10: Markov trace - BSC"/>
                    <pic:cNvPicPr>
                      <a:picLocks noChangeAspect="1" noChangeArrowheads="1"/>
                    </pic:cNvPicPr>
                  </pic:nvPicPr>
                  <pic:blipFill>
                    <a:blip r:embed="rId21"/>
                    <a:stretch>
                      <a:fillRect/>
                    </a:stretch>
                  </pic:blipFill>
                  <pic:spPr bwMode="auto">
                    <a:xfrm>
                      <a:off x="0" y="0"/>
                      <a:ext cx="5645150" cy="3359150"/>
                    </a:xfrm>
                    <a:prstGeom prst="rect">
                      <a:avLst/>
                    </a:prstGeom>
                    <a:noFill/>
                  </pic:spPr>
                </pic:pic>
              </a:graphicData>
            </a:graphic>
          </wp:inline>
        </w:drawing>
      </w:r>
    </w:p>
    <w:p w14:paraId="3C7812C0" w14:textId="77777777" w:rsidR="002F03F5" w:rsidRPr="009F2AA4" w:rsidRDefault="008F23FF" w:rsidP="00921FF3">
      <w:pPr>
        <w:pStyle w:val="TableFooter"/>
        <w:widowControl/>
      </w:pPr>
      <w:r w:rsidRPr="009F2AA4">
        <w:t>Source: ‘Markov trace’ worksheet from the economic model</w:t>
      </w:r>
    </w:p>
    <w:p w14:paraId="3C7812C1" w14:textId="77777777" w:rsidR="002F03F5" w:rsidRPr="009F2AA4" w:rsidRDefault="008F23FF" w:rsidP="00921FF3">
      <w:pPr>
        <w:pStyle w:val="TableFooter"/>
        <w:widowControl/>
      </w:pPr>
      <w:r w:rsidRPr="009F2AA4">
        <w:t>BSC = best supportive care</w:t>
      </w:r>
    </w:p>
    <w:p w14:paraId="3C7812C2" w14:textId="7C158499" w:rsidR="002F03F5" w:rsidRPr="002879B6" w:rsidRDefault="008F23FF" w:rsidP="00921FF3">
      <w:pPr>
        <w:pStyle w:val="3-BodyText"/>
      </w:pPr>
      <w:r w:rsidRPr="00E05536">
        <w:t xml:space="preserve">The incremental benefits were </w:t>
      </w:r>
      <w:r w:rsidRPr="00F34799">
        <w:t>driven by OS modelling that was favourable to the selpercatinib arm, where benefits were driven by extended occupation of both the PF (4.433 LYG, 3.857 QALYs gained) and PD states (4.827 LYG, 3.988 QALYs gained) over the 25 year time horizon. In comparison, most patients in the BSC</w:t>
      </w:r>
      <w:r w:rsidRPr="002879B6">
        <w:t xml:space="preserve"> arm experienced progression by year 2, and were modelled to die thereafter (PD state: </w:t>
      </w:r>
      <w:r w:rsidRPr="00F34799">
        <w:t>3.742 LYG, 3.191</w:t>
      </w:r>
      <w:r w:rsidRPr="002879B6">
        <w:t xml:space="preserve"> QALYs gained; PF: </w:t>
      </w:r>
      <w:r w:rsidRPr="00F34799">
        <w:t>0.644 LYG, 0.566</w:t>
      </w:r>
      <w:r w:rsidRPr="002879B6">
        <w:t xml:space="preserve"> QALYs gained). The model assumed selpercatinib continued to provide a survival benefit in the later stages of the model</w:t>
      </w:r>
      <w:r w:rsidR="00935DC8">
        <w:t>,</w:t>
      </w:r>
      <w:r w:rsidRPr="002879B6">
        <w:t xml:space="preserve"> despite the median modelled ToT being approximately 50 months (~4 years)</w:t>
      </w:r>
      <w:r w:rsidR="00E07199">
        <w:t>,</w:t>
      </w:r>
      <w:r w:rsidRPr="002879B6">
        <w:t xml:space="preserve"> which the evaluation considered was highly uncertain (undiscounted LYG of 8.5 years).</w:t>
      </w:r>
    </w:p>
    <w:p w14:paraId="3C7812C3" w14:textId="786E865A" w:rsidR="002F03F5" w:rsidRPr="002879B6" w:rsidRDefault="008F23FF" w:rsidP="00921FF3">
      <w:pPr>
        <w:pStyle w:val="3-BodyText"/>
      </w:pPr>
      <w:r w:rsidRPr="002879B6">
        <w:t>The incremental costs were driven by selpercatinib drug acquisition costs (</w:t>
      </w:r>
      <w:r w:rsidR="007E48CD">
        <w:t>$255,000 to &lt; $355,000</w:t>
      </w:r>
      <w:r w:rsidRPr="002879B6">
        <w:t>, as presented in the submission).</w:t>
      </w:r>
      <w:r w:rsidR="00923547" w:rsidRPr="00923547">
        <w:rPr>
          <w:i/>
        </w:rPr>
        <w:t xml:space="preserve"> RET </w:t>
      </w:r>
      <w:r w:rsidRPr="002879B6">
        <w:t>variant testing costs as captured by the once</w:t>
      </w:r>
      <w:r w:rsidR="00935DC8">
        <w:t>-</w:t>
      </w:r>
      <w:r w:rsidRPr="002879B6">
        <w:t>off cost per</w:t>
      </w:r>
      <w:r w:rsidR="00923547" w:rsidRPr="00923547">
        <w:rPr>
          <w:i/>
        </w:rPr>
        <w:t xml:space="preserve"> RET </w:t>
      </w:r>
      <w:r w:rsidRPr="002879B6">
        <w:t xml:space="preserve">variant identified ($1,189) was not a driver in the model. </w:t>
      </w:r>
    </w:p>
    <w:p w14:paraId="3C7812C4" w14:textId="6C5DDD80" w:rsidR="002F03F5" w:rsidRPr="002879B6" w:rsidRDefault="008F23FF" w:rsidP="00921FF3">
      <w:pPr>
        <w:pStyle w:val="3-BodyText"/>
      </w:pPr>
      <w:r w:rsidRPr="002879B6">
        <w:t xml:space="preserve">The results of key univariate and multivariate sensitivity analyses are </w:t>
      </w:r>
      <w:r w:rsidRPr="00FD1662">
        <w:t xml:space="preserve">summarised in </w:t>
      </w:r>
      <w:r w:rsidR="00A3178B" w:rsidRPr="00FD1662">
        <w:fldChar w:fldCharType="begin"/>
      </w:r>
      <w:r w:rsidR="00A3178B" w:rsidRPr="00FD1662">
        <w:instrText xml:space="preserve"> REF _Ref225267050 \h </w:instrText>
      </w:r>
      <w:r w:rsidR="00FD1662">
        <w:instrText xml:space="preserve"> \* MERGEFORMAT </w:instrText>
      </w:r>
      <w:r w:rsidR="00A3178B" w:rsidRPr="00FD1662">
        <w:fldChar w:fldCharType="separate"/>
      </w:r>
      <w:r w:rsidR="003A3B69">
        <w:t xml:space="preserve">Table </w:t>
      </w:r>
      <w:r w:rsidR="003A3B69">
        <w:rPr>
          <w:noProof/>
        </w:rPr>
        <w:t>15</w:t>
      </w:r>
      <w:r w:rsidR="00A3178B" w:rsidRPr="00FD1662">
        <w:fldChar w:fldCharType="end"/>
      </w:r>
      <w:r w:rsidRPr="00FD1662">
        <w:t>. The</w:t>
      </w:r>
      <w:r w:rsidRPr="002879B6">
        <w:t xml:space="preserve"> ESCs considered that the wide ranging ICERs across the various scenarios illustrate the significant uncertainties and lack of robustness associated with the model. </w:t>
      </w:r>
    </w:p>
    <w:p w14:paraId="3C7812C5" w14:textId="00D5E7A7" w:rsidR="002F03F5" w:rsidRPr="009F2AA4" w:rsidRDefault="002F03F5" w:rsidP="00921FF3">
      <w:pPr>
        <w:pStyle w:val="Caption"/>
      </w:pPr>
    </w:p>
    <w:p w14:paraId="0F3EFD86" w14:textId="17D00892" w:rsidR="00E17273" w:rsidRDefault="00E17273" w:rsidP="00921FF3">
      <w:pPr>
        <w:pStyle w:val="Caption"/>
      </w:pPr>
      <w:bookmarkStart w:id="93" w:name="_Ref225267050"/>
      <w:r>
        <w:t xml:space="preserve">Table </w:t>
      </w:r>
      <w:r>
        <w:fldChar w:fldCharType="begin"/>
      </w:r>
      <w:r>
        <w:instrText>SEQ Table \* ARABIC</w:instrText>
      </w:r>
      <w:r>
        <w:fldChar w:fldCharType="separate"/>
      </w:r>
      <w:r w:rsidR="003A3B69">
        <w:rPr>
          <w:noProof/>
        </w:rPr>
        <w:t>15</w:t>
      </w:r>
      <w:r>
        <w:fldChar w:fldCharType="end"/>
      </w:r>
      <w:bookmarkEnd w:id="93"/>
      <w:r>
        <w:t>:</w:t>
      </w:r>
      <w:r w:rsidR="007E3114">
        <w:rPr>
          <w:noProof/>
        </w:rPr>
        <w:t xml:space="preserve"> </w:t>
      </w:r>
      <w:r w:rsidRPr="00FC1572">
        <w:rPr>
          <w:noProof/>
        </w:rPr>
        <w:t>Sensitivity analyses</w:t>
      </w:r>
    </w:p>
    <w:tbl>
      <w:tblPr>
        <w:tblW w:w="4950" w:type="pct"/>
        <w:tblInd w:w="-5" w:type="dxa"/>
        <w:tblLayout w:type="fixed"/>
        <w:tblCellMar>
          <w:left w:w="5" w:type="dxa"/>
          <w:right w:w="5" w:type="dxa"/>
        </w:tblCellMar>
        <w:tblLook w:val="04A0" w:firstRow="1" w:lastRow="0" w:firstColumn="1" w:lastColumn="0" w:noHBand="0" w:noVBand="1"/>
        <w:tblCaption w:val="Table 15: Sensitivity analyses"/>
      </w:tblPr>
      <w:tblGrid>
        <w:gridCol w:w="302"/>
        <w:gridCol w:w="4523"/>
        <w:gridCol w:w="780"/>
        <w:gridCol w:w="920"/>
        <w:gridCol w:w="1243"/>
        <w:gridCol w:w="1158"/>
      </w:tblGrid>
      <w:tr w:rsidR="002F03F5" w:rsidRPr="009F2AA4" w14:paraId="3C7812CB" w14:textId="77777777" w:rsidTr="002D740A">
        <w:trPr>
          <w:cantSplit/>
          <w:tblHeader/>
        </w:trPr>
        <w:tc>
          <w:tcPr>
            <w:tcW w:w="4825" w:type="dxa"/>
            <w:gridSpan w:val="2"/>
            <w:tcBorders>
              <w:top w:val="single" w:sz="4" w:space="0" w:color="000000"/>
              <w:left w:val="single" w:sz="4" w:space="0" w:color="000000"/>
              <w:bottom w:val="single" w:sz="4" w:space="0" w:color="000000"/>
              <w:right w:val="single" w:sz="4" w:space="0" w:color="000000"/>
            </w:tcBorders>
          </w:tcPr>
          <w:p w14:paraId="3C7812C6" w14:textId="77777777" w:rsidR="002F03F5" w:rsidRPr="009F2AA4" w:rsidRDefault="008F23FF" w:rsidP="00921FF3">
            <w:pPr>
              <w:pStyle w:val="In-tableHeading"/>
              <w:jc w:val="center"/>
              <w:rPr>
                <w:lang w:val="en-AU"/>
              </w:rPr>
            </w:pPr>
            <w:r w:rsidRPr="009F2AA4">
              <w:rPr>
                <w:lang w:val="en-AU"/>
              </w:rPr>
              <w:t>Analysis</w:t>
            </w:r>
          </w:p>
        </w:tc>
        <w:tc>
          <w:tcPr>
            <w:tcW w:w="780" w:type="dxa"/>
            <w:tcBorders>
              <w:top w:val="single" w:sz="4" w:space="0" w:color="000000"/>
              <w:left w:val="single" w:sz="4" w:space="0" w:color="000000"/>
              <w:bottom w:val="single" w:sz="4" w:space="0" w:color="000000"/>
              <w:right w:val="single" w:sz="4" w:space="0" w:color="000000"/>
            </w:tcBorders>
          </w:tcPr>
          <w:p w14:paraId="3C7812C7" w14:textId="77777777" w:rsidR="002F03F5" w:rsidRPr="009F2AA4" w:rsidRDefault="008F23FF" w:rsidP="00921FF3">
            <w:pPr>
              <w:pStyle w:val="In-tableHeading"/>
              <w:jc w:val="center"/>
              <w:rPr>
                <w:lang w:val="en-AU"/>
              </w:rPr>
            </w:pPr>
            <w:r w:rsidRPr="009F2AA4">
              <w:rPr>
                <w:lang w:val="en-AU"/>
              </w:rPr>
              <w:t>Inc QALY</w:t>
            </w:r>
          </w:p>
        </w:tc>
        <w:tc>
          <w:tcPr>
            <w:tcW w:w="920" w:type="dxa"/>
            <w:tcBorders>
              <w:top w:val="single" w:sz="4" w:space="0" w:color="000000"/>
              <w:left w:val="single" w:sz="4" w:space="0" w:color="000000"/>
              <w:bottom w:val="single" w:sz="4" w:space="0" w:color="000000"/>
              <w:right w:val="single" w:sz="4" w:space="0" w:color="000000"/>
            </w:tcBorders>
          </w:tcPr>
          <w:p w14:paraId="3C7812C8" w14:textId="77777777" w:rsidR="002F03F5" w:rsidRPr="009F2AA4" w:rsidRDefault="008F23FF" w:rsidP="00921FF3">
            <w:pPr>
              <w:pStyle w:val="In-tableHeading"/>
              <w:jc w:val="center"/>
              <w:rPr>
                <w:lang w:val="en-AU"/>
              </w:rPr>
            </w:pPr>
            <w:r w:rsidRPr="009F2AA4">
              <w:rPr>
                <w:lang w:val="en-AU"/>
              </w:rPr>
              <w:t>Inc cost ($)</w:t>
            </w:r>
          </w:p>
        </w:tc>
        <w:tc>
          <w:tcPr>
            <w:tcW w:w="1243" w:type="dxa"/>
            <w:tcBorders>
              <w:top w:val="single" w:sz="4" w:space="0" w:color="000000"/>
              <w:left w:val="single" w:sz="4" w:space="0" w:color="000000"/>
              <w:bottom w:val="single" w:sz="4" w:space="0" w:color="000000"/>
              <w:right w:val="single" w:sz="4" w:space="0" w:color="000000"/>
            </w:tcBorders>
          </w:tcPr>
          <w:p w14:paraId="3C7812C9" w14:textId="77777777" w:rsidR="002F03F5" w:rsidRPr="009F2AA4" w:rsidRDefault="008F23FF" w:rsidP="00921FF3">
            <w:pPr>
              <w:pStyle w:val="In-tableHeading"/>
              <w:jc w:val="center"/>
              <w:rPr>
                <w:lang w:val="en-AU"/>
              </w:rPr>
            </w:pPr>
            <w:r w:rsidRPr="009F2AA4">
              <w:rPr>
                <w:lang w:val="en-AU"/>
              </w:rPr>
              <w:t>ICER ($/QALY)</w:t>
            </w:r>
          </w:p>
        </w:tc>
        <w:tc>
          <w:tcPr>
            <w:tcW w:w="1158" w:type="dxa"/>
            <w:tcBorders>
              <w:top w:val="single" w:sz="4" w:space="0" w:color="000000"/>
              <w:left w:val="single" w:sz="4" w:space="0" w:color="000000"/>
              <w:bottom w:val="single" w:sz="4" w:space="0" w:color="000000"/>
              <w:right w:val="single" w:sz="4" w:space="0" w:color="000000"/>
            </w:tcBorders>
          </w:tcPr>
          <w:p w14:paraId="3C7812CA" w14:textId="77777777" w:rsidR="002F03F5" w:rsidRPr="009F2AA4" w:rsidRDefault="008F23FF" w:rsidP="00921FF3">
            <w:pPr>
              <w:pStyle w:val="In-tableHeading"/>
              <w:jc w:val="center"/>
              <w:rPr>
                <w:vertAlign w:val="superscript"/>
                <w:lang w:val="en-AU"/>
              </w:rPr>
            </w:pPr>
            <w:r w:rsidRPr="009F2AA4">
              <w:rPr>
                <w:lang w:val="en-AU"/>
              </w:rPr>
              <w:t>%</w:t>
            </w:r>
            <w:proofErr w:type="spellStart"/>
            <w:r w:rsidRPr="009F2AA4">
              <w:rPr>
                <w:lang w:val="en-AU"/>
              </w:rPr>
              <w:t>Δ</w:t>
            </w:r>
            <w:r w:rsidRPr="009F2AA4">
              <w:rPr>
                <w:vertAlign w:val="superscript"/>
                <w:lang w:val="en-AU"/>
              </w:rPr>
              <w:t>a</w:t>
            </w:r>
            <w:proofErr w:type="spellEnd"/>
          </w:p>
        </w:tc>
      </w:tr>
      <w:tr w:rsidR="002F03F5" w:rsidRPr="009F2AA4" w14:paraId="3C7812D1" w14:textId="77777777" w:rsidTr="002D740A">
        <w:trPr>
          <w:cantSplit/>
          <w:tblHeader/>
        </w:trPr>
        <w:tc>
          <w:tcPr>
            <w:tcW w:w="4825" w:type="dxa"/>
            <w:gridSpan w:val="2"/>
            <w:tcBorders>
              <w:top w:val="single" w:sz="4" w:space="0" w:color="000000"/>
              <w:left w:val="single" w:sz="4" w:space="0" w:color="000000"/>
              <w:bottom w:val="single" w:sz="4" w:space="0" w:color="000000"/>
              <w:right w:val="single" w:sz="4" w:space="0" w:color="000000"/>
            </w:tcBorders>
          </w:tcPr>
          <w:p w14:paraId="3C7812CC" w14:textId="2DCB87EC" w:rsidR="002F03F5" w:rsidRPr="009F2AA4" w:rsidRDefault="008F23FF" w:rsidP="00921FF3">
            <w:pPr>
              <w:pStyle w:val="TableText"/>
              <w:keepNext/>
              <w:widowControl/>
              <w:rPr>
                <w:b/>
                <w:bCs/>
              </w:rPr>
            </w:pPr>
            <w:r w:rsidRPr="009F2AA4">
              <w:rPr>
                <w:b/>
              </w:rPr>
              <w:t>Submission Base case</w:t>
            </w:r>
          </w:p>
        </w:tc>
        <w:tc>
          <w:tcPr>
            <w:tcW w:w="780" w:type="dxa"/>
            <w:tcBorders>
              <w:top w:val="single" w:sz="4" w:space="0" w:color="000000"/>
              <w:left w:val="single" w:sz="4" w:space="0" w:color="000000"/>
              <w:bottom w:val="single" w:sz="4" w:space="0" w:color="000000"/>
              <w:right w:val="single" w:sz="4" w:space="0" w:color="000000"/>
            </w:tcBorders>
          </w:tcPr>
          <w:p w14:paraId="3C7812CD" w14:textId="77777777" w:rsidR="002F03F5" w:rsidRPr="009F2AA4" w:rsidRDefault="008F23FF" w:rsidP="00921FF3">
            <w:pPr>
              <w:pStyle w:val="TableText"/>
              <w:keepNext/>
              <w:widowControl/>
              <w:jc w:val="center"/>
              <w:rPr>
                <w:b/>
                <w:bCs/>
              </w:rPr>
            </w:pPr>
            <w:r w:rsidRPr="009F2AA4">
              <w:rPr>
                <w:b/>
                <w:bCs/>
              </w:rPr>
              <w:t>4.088</w:t>
            </w:r>
          </w:p>
        </w:tc>
        <w:tc>
          <w:tcPr>
            <w:tcW w:w="920" w:type="dxa"/>
            <w:tcBorders>
              <w:top w:val="single" w:sz="4" w:space="0" w:color="000000"/>
              <w:left w:val="single" w:sz="4" w:space="0" w:color="000000"/>
              <w:bottom w:val="single" w:sz="4" w:space="0" w:color="000000"/>
              <w:right w:val="single" w:sz="4" w:space="0" w:color="000000"/>
            </w:tcBorders>
          </w:tcPr>
          <w:p w14:paraId="3C7812CE" w14:textId="5A41FC6B" w:rsidR="002F03F5" w:rsidRPr="009F2AA4" w:rsidRDefault="008F23FF" w:rsidP="00921FF3">
            <w:pPr>
              <w:pStyle w:val="TableText"/>
              <w:keepNext/>
              <w:widowControl/>
              <w:jc w:val="center"/>
              <w:rPr>
                <w:b/>
                <w:bCs/>
              </w:rPr>
            </w:pPr>
            <w:r w:rsidRPr="009F2AA4">
              <w:rPr>
                <w:b/>
                <w:bCs/>
              </w:rPr>
              <w:t>$</w:t>
            </w:r>
            <w:r w:rsidR="00B73859" w:rsidRPr="00B73859">
              <w:rPr>
                <w:b/>
                <w:bCs/>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2CF" w14:textId="5A6B66FD" w:rsidR="002F03F5" w:rsidRPr="00B73859" w:rsidRDefault="008F23FF" w:rsidP="00921FF3">
            <w:pPr>
              <w:pStyle w:val="TableText"/>
              <w:keepNext/>
              <w:widowControl/>
              <w:jc w:val="center"/>
              <w:rPr>
                <w:b/>
                <w:bCs/>
                <w:vertAlign w:val="superscript"/>
              </w:rPr>
            </w:pPr>
            <w:r w:rsidRPr="009F2AA4">
              <w:rPr>
                <w:b/>
                <w:bCs/>
              </w:rPr>
              <w:t>$</w:t>
            </w:r>
            <w:r w:rsidR="00B73859" w:rsidRPr="00B73859">
              <w:rPr>
                <w:b/>
                <w:bCs/>
                <w:sz w:val="2"/>
                <w:highlight w:val="black"/>
              </w:rPr>
              <w:t>redacted content</w:t>
            </w:r>
            <w:r w:rsidR="006E319C">
              <w:rPr>
                <w:b/>
                <w:bCs/>
                <w:vertAlign w:val="superscript"/>
              </w:rPr>
              <w:t>1</w:t>
            </w:r>
          </w:p>
        </w:tc>
        <w:tc>
          <w:tcPr>
            <w:tcW w:w="1158" w:type="dxa"/>
            <w:tcBorders>
              <w:top w:val="single" w:sz="4" w:space="0" w:color="000000"/>
              <w:left w:val="single" w:sz="4" w:space="0" w:color="000000"/>
              <w:bottom w:val="single" w:sz="4" w:space="0" w:color="000000"/>
              <w:right w:val="single" w:sz="4" w:space="0" w:color="000000"/>
            </w:tcBorders>
          </w:tcPr>
          <w:p w14:paraId="3C7812D0" w14:textId="77777777" w:rsidR="002F03F5" w:rsidRPr="009F2AA4" w:rsidRDefault="008F23FF" w:rsidP="00921FF3">
            <w:pPr>
              <w:pStyle w:val="TableText"/>
              <w:keepNext/>
              <w:widowControl/>
              <w:jc w:val="center"/>
              <w:rPr>
                <w:b/>
              </w:rPr>
            </w:pPr>
            <w:r w:rsidRPr="009F2AA4">
              <w:rPr>
                <w:b/>
              </w:rPr>
              <w:t xml:space="preserve"> -</w:t>
            </w:r>
          </w:p>
        </w:tc>
      </w:tr>
      <w:tr w:rsidR="002F03F5" w:rsidRPr="009F2AA4" w14:paraId="3C7812D3" w14:textId="77777777" w:rsidTr="002D740A">
        <w:trPr>
          <w:cantSplit/>
        </w:trPr>
        <w:tc>
          <w:tcPr>
            <w:tcW w:w="8926" w:type="dxa"/>
            <w:gridSpan w:val="6"/>
            <w:tcBorders>
              <w:top w:val="single" w:sz="4" w:space="0" w:color="000000"/>
              <w:left w:val="single" w:sz="4" w:space="0" w:color="000000"/>
              <w:bottom w:val="single" w:sz="4" w:space="0" w:color="000000"/>
              <w:right w:val="single" w:sz="4" w:space="0" w:color="000000"/>
            </w:tcBorders>
          </w:tcPr>
          <w:p w14:paraId="3C7812D2" w14:textId="77777777" w:rsidR="002F03F5" w:rsidRPr="009F2AA4" w:rsidRDefault="008F23FF" w:rsidP="00921FF3">
            <w:pPr>
              <w:pStyle w:val="TableText"/>
              <w:keepNext/>
              <w:widowControl/>
              <w:rPr>
                <w:b/>
                <w:bCs/>
              </w:rPr>
            </w:pPr>
            <w:r w:rsidRPr="009F2AA4">
              <w:rPr>
                <w:b/>
                <w:bCs/>
              </w:rPr>
              <w:t>Sensitivity and scenario analyses</w:t>
            </w:r>
          </w:p>
        </w:tc>
      </w:tr>
      <w:tr w:rsidR="002F03F5" w:rsidRPr="009F2AA4" w14:paraId="3C7812D6"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2D4" w14:textId="77777777" w:rsidR="002F03F5" w:rsidRPr="009F2AA4" w:rsidRDefault="008F23FF" w:rsidP="00921FF3">
            <w:pPr>
              <w:pStyle w:val="TableText"/>
              <w:keepNext/>
              <w:widowControl/>
            </w:pPr>
            <w:r w:rsidRPr="009F2AA4">
              <w:t xml:space="preserve"> </w:t>
            </w:r>
          </w:p>
        </w:tc>
        <w:tc>
          <w:tcPr>
            <w:tcW w:w="8624" w:type="dxa"/>
            <w:gridSpan w:val="5"/>
            <w:tcBorders>
              <w:top w:val="single" w:sz="4" w:space="0" w:color="000000"/>
              <w:left w:val="single" w:sz="4" w:space="0" w:color="000000"/>
              <w:bottom w:val="single" w:sz="4" w:space="0" w:color="000000"/>
              <w:right w:val="single" w:sz="4" w:space="0" w:color="000000"/>
            </w:tcBorders>
          </w:tcPr>
          <w:p w14:paraId="3C7812D5" w14:textId="77777777" w:rsidR="002F03F5" w:rsidRPr="009F2AA4" w:rsidRDefault="008F23FF" w:rsidP="00921FF3">
            <w:pPr>
              <w:pStyle w:val="TableText"/>
              <w:keepNext/>
              <w:widowControl/>
              <w:rPr>
                <w:b/>
                <w:bCs/>
              </w:rPr>
            </w:pPr>
            <w:r w:rsidRPr="009F2AA4">
              <w:rPr>
                <w:b/>
                <w:bCs/>
              </w:rPr>
              <w:t>Time horizon (base case: 25 years)</w:t>
            </w:r>
          </w:p>
        </w:tc>
      </w:tr>
      <w:tr w:rsidR="002F03F5" w:rsidRPr="009F2AA4" w14:paraId="3C7812DD"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2D7" w14:textId="77777777" w:rsidR="002F03F5" w:rsidRPr="009F2AA4" w:rsidRDefault="008F23FF" w:rsidP="00921FF3">
            <w:pPr>
              <w:pStyle w:val="TableText"/>
              <w:keepNext/>
              <w:widowControl/>
            </w:pPr>
            <w:r w:rsidRPr="009F2AA4">
              <w:t>1</w:t>
            </w:r>
          </w:p>
        </w:tc>
        <w:tc>
          <w:tcPr>
            <w:tcW w:w="4523" w:type="dxa"/>
            <w:tcBorders>
              <w:top w:val="single" w:sz="4" w:space="0" w:color="000000"/>
              <w:left w:val="single" w:sz="4" w:space="0" w:color="000000"/>
              <w:bottom w:val="single" w:sz="4" w:space="0" w:color="000000"/>
              <w:right w:val="single" w:sz="4" w:space="0" w:color="000000"/>
            </w:tcBorders>
          </w:tcPr>
          <w:p w14:paraId="3C7812D8" w14:textId="77777777" w:rsidR="002F03F5" w:rsidRPr="009F2AA4" w:rsidRDefault="008F23FF" w:rsidP="00921FF3">
            <w:pPr>
              <w:pStyle w:val="TableText"/>
              <w:keepNext/>
              <w:widowControl/>
            </w:pPr>
            <w:r w:rsidRPr="009F2AA4">
              <w:t>20 years</w:t>
            </w:r>
          </w:p>
        </w:tc>
        <w:tc>
          <w:tcPr>
            <w:tcW w:w="780" w:type="dxa"/>
            <w:tcBorders>
              <w:top w:val="single" w:sz="4" w:space="0" w:color="000000"/>
              <w:left w:val="single" w:sz="4" w:space="0" w:color="000000"/>
              <w:bottom w:val="single" w:sz="4" w:space="0" w:color="000000"/>
              <w:right w:val="single" w:sz="4" w:space="0" w:color="000000"/>
            </w:tcBorders>
          </w:tcPr>
          <w:p w14:paraId="3C7812D9" w14:textId="77777777" w:rsidR="002F03F5" w:rsidRPr="009F2AA4" w:rsidRDefault="008F23FF" w:rsidP="00921FF3">
            <w:pPr>
              <w:pStyle w:val="TableText"/>
              <w:keepNext/>
              <w:widowControl/>
              <w:jc w:val="center"/>
            </w:pPr>
            <w:r w:rsidRPr="009F2AA4">
              <w:t>3.796</w:t>
            </w:r>
          </w:p>
        </w:tc>
        <w:tc>
          <w:tcPr>
            <w:tcW w:w="920" w:type="dxa"/>
            <w:tcBorders>
              <w:top w:val="single" w:sz="4" w:space="0" w:color="000000"/>
              <w:left w:val="single" w:sz="4" w:space="0" w:color="000000"/>
              <w:bottom w:val="single" w:sz="4" w:space="0" w:color="000000"/>
              <w:right w:val="single" w:sz="4" w:space="0" w:color="000000"/>
            </w:tcBorders>
          </w:tcPr>
          <w:p w14:paraId="3C7812DA" w14:textId="6C8E91FB" w:rsidR="002F03F5" w:rsidRPr="009F2AA4" w:rsidRDefault="008F23FF" w:rsidP="00921FF3">
            <w:pPr>
              <w:pStyle w:val="TableText"/>
              <w:keepNext/>
              <w:widowControl/>
              <w:jc w:val="center"/>
            </w:pPr>
            <w:r w:rsidRPr="009F2AA4">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2DB" w14:textId="2C538381"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6E319C">
              <w:rPr>
                <w:vertAlign w:val="superscript"/>
              </w:rPr>
              <w:t>2</w:t>
            </w:r>
          </w:p>
        </w:tc>
        <w:tc>
          <w:tcPr>
            <w:tcW w:w="1158" w:type="dxa"/>
            <w:tcBorders>
              <w:top w:val="single" w:sz="4" w:space="0" w:color="000000"/>
              <w:left w:val="single" w:sz="4" w:space="0" w:color="000000"/>
              <w:bottom w:val="single" w:sz="4" w:space="0" w:color="000000"/>
              <w:right w:val="single" w:sz="4" w:space="0" w:color="000000"/>
            </w:tcBorders>
          </w:tcPr>
          <w:p w14:paraId="3C7812DC" w14:textId="6F097B28" w:rsidR="002F03F5" w:rsidRPr="009F2AA4" w:rsidRDefault="008F23FF" w:rsidP="00921FF3">
            <w:pPr>
              <w:pStyle w:val="TableText"/>
              <w:keepNext/>
              <w:widowControl/>
              <w:jc w:val="center"/>
            </w:pPr>
            <w:r w:rsidRPr="009F2AA4">
              <w:t>+</w:t>
            </w:r>
            <w:r w:rsidR="00B73859" w:rsidRPr="00B73859">
              <w:rPr>
                <w:sz w:val="2"/>
                <w:highlight w:val="black"/>
              </w:rPr>
              <w:t>redacted content</w:t>
            </w:r>
            <w:r w:rsidRPr="009F2AA4">
              <w:t>%</w:t>
            </w:r>
          </w:p>
        </w:tc>
      </w:tr>
      <w:tr w:rsidR="002F03F5" w:rsidRPr="009F2AA4" w14:paraId="3C7812E4"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2DE" w14:textId="77777777" w:rsidR="002F03F5" w:rsidRPr="009F2AA4" w:rsidRDefault="008F23FF" w:rsidP="00921FF3">
            <w:pPr>
              <w:pStyle w:val="TableText"/>
              <w:keepNext/>
              <w:widowControl/>
            </w:pPr>
            <w:r w:rsidRPr="009F2AA4">
              <w:t>2</w:t>
            </w:r>
          </w:p>
        </w:tc>
        <w:tc>
          <w:tcPr>
            <w:tcW w:w="4523" w:type="dxa"/>
            <w:tcBorders>
              <w:top w:val="single" w:sz="4" w:space="0" w:color="000000"/>
              <w:left w:val="single" w:sz="4" w:space="0" w:color="000000"/>
              <w:bottom w:val="single" w:sz="4" w:space="0" w:color="000000"/>
              <w:right w:val="single" w:sz="4" w:space="0" w:color="000000"/>
            </w:tcBorders>
          </w:tcPr>
          <w:p w14:paraId="3C7812DF" w14:textId="77777777" w:rsidR="002F03F5" w:rsidRPr="009F2AA4" w:rsidRDefault="008F23FF" w:rsidP="00921FF3">
            <w:pPr>
              <w:pStyle w:val="TableText"/>
              <w:keepNext/>
              <w:widowControl/>
            </w:pPr>
            <w:r w:rsidRPr="009F2AA4">
              <w:t>30 years</w:t>
            </w:r>
          </w:p>
        </w:tc>
        <w:tc>
          <w:tcPr>
            <w:tcW w:w="780" w:type="dxa"/>
            <w:tcBorders>
              <w:top w:val="single" w:sz="4" w:space="0" w:color="000000"/>
              <w:left w:val="single" w:sz="4" w:space="0" w:color="000000"/>
              <w:bottom w:val="single" w:sz="4" w:space="0" w:color="000000"/>
              <w:right w:val="single" w:sz="4" w:space="0" w:color="000000"/>
            </w:tcBorders>
          </w:tcPr>
          <w:p w14:paraId="3C7812E0" w14:textId="77777777" w:rsidR="002F03F5" w:rsidRPr="009F2AA4" w:rsidRDefault="008F23FF" w:rsidP="00921FF3">
            <w:pPr>
              <w:pStyle w:val="TableText"/>
              <w:keepNext/>
              <w:widowControl/>
              <w:jc w:val="center"/>
            </w:pPr>
            <w:r w:rsidRPr="009F2AA4">
              <w:t>4.232</w:t>
            </w:r>
          </w:p>
        </w:tc>
        <w:tc>
          <w:tcPr>
            <w:tcW w:w="920" w:type="dxa"/>
            <w:tcBorders>
              <w:top w:val="single" w:sz="4" w:space="0" w:color="000000"/>
              <w:left w:val="single" w:sz="4" w:space="0" w:color="000000"/>
              <w:bottom w:val="single" w:sz="4" w:space="0" w:color="000000"/>
              <w:right w:val="single" w:sz="4" w:space="0" w:color="000000"/>
            </w:tcBorders>
          </w:tcPr>
          <w:p w14:paraId="3C7812E1" w14:textId="319FE989" w:rsidR="002F03F5" w:rsidRPr="009F2AA4" w:rsidRDefault="008F23FF" w:rsidP="00921FF3">
            <w:pPr>
              <w:pStyle w:val="TableText"/>
              <w:keepNext/>
              <w:widowControl/>
              <w:jc w:val="center"/>
            </w:pPr>
            <w:r w:rsidRPr="009F2AA4">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2E2" w14:textId="472F00FD"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EE383D">
              <w:rPr>
                <w:vertAlign w:val="superscript"/>
              </w:rPr>
              <w:t>1</w:t>
            </w:r>
          </w:p>
        </w:tc>
        <w:tc>
          <w:tcPr>
            <w:tcW w:w="1158" w:type="dxa"/>
            <w:tcBorders>
              <w:top w:val="single" w:sz="4" w:space="0" w:color="000000"/>
              <w:left w:val="single" w:sz="4" w:space="0" w:color="000000"/>
              <w:bottom w:val="single" w:sz="4" w:space="0" w:color="000000"/>
              <w:right w:val="single" w:sz="4" w:space="0" w:color="000000"/>
            </w:tcBorders>
          </w:tcPr>
          <w:p w14:paraId="3C7812E3" w14:textId="1F78ABA3" w:rsidR="002F03F5" w:rsidRPr="009F2AA4" w:rsidRDefault="008F23FF" w:rsidP="00921FF3">
            <w:pPr>
              <w:pStyle w:val="TableText"/>
              <w:keepNext/>
              <w:widowControl/>
              <w:jc w:val="center"/>
            </w:pPr>
            <w:r w:rsidRPr="009F2AA4">
              <w:t>-</w:t>
            </w:r>
            <w:r w:rsidR="00B73859" w:rsidRPr="00B73859">
              <w:rPr>
                <w:sz w:val="2"/>
                <w:highlight w:val="black"/>
              </w:rPr>
              <w:t>redacted content</w:t>
            </w:r>
            <w:r w:rsidRPr="009F2AA4">
              <w:t>%</w:t>
            </w:r>
          </w:p>
        </w:tc>
      </w:tr>
      <w:tr w:rsidR="002F03F5" w:rsidRPr="009F2AA4" w14:paraId="3C7812E7"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2E5" w14:textId="77777777" w:rsidR="002F03F5" w:rsidRPr="009F2AA4" w:rsidRDefault="002F03F5" w:rsidP="00921FF3">
            <w:pPr>
              <w:pStyle w:val="TableText"/>
              <w:keepNext/>
              <w:widowControl/>
            </w:pPr>
          </w:p>
        </w:tc>
        <w:tc>
          <w:tcPr>
            <w:tcW w:w="8624" w:type="dxa"/>
            <w:gridSpan w:val="5"/>
            <w:tcBorders>
              <w:top w:val="single" w:sz="4" w:space="0" w:color="000000"/>
              <w:left w:val="single" w:sz="4" w:space="0" w:color="000000"/>
              <w:bottom w:val="single" w:sz="4" w:space="0" w:color="000000"/>
              <w:right w:val="single" w:sz="4" w:space="0" w:color="000000"/>
            </w:tcBorders>
          </w:tcPr>
          <w:p w14:paraId="3C7812E6" w14:textId="77777777" w:rsidR="002F03F5" w:rsidRPr="009F2AA4" w:rsidRDefault="008F23FF" w:rsidP="00921FF3">
            <w:pPr>
              <w:pStyle w:val="TableText"/>
              <w:keepNext/>
              <w:widowControl/>
              <w:rPr>
                <w:b/>
                <w:bCs/>
              </w:rPr>
            </w:pPr>
            <w:r w:rsidRPr="009F2AA4">
              <w:rPr>
                <w:b/>
                <w:bCs/>
              </w:rPr>
              <w:t>Discount rate (base case: 5%)</w:t>
            </w:r>
          </w:p>
        </w:tc>
      </w:tr>
      <w:tr w:rsidR="002F03F5" w:rsidRPr="009F2AA4" w14:paraId="3C7812EE"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2E8" w14:textId="77777777" w:rsidR="002F03F5" w:rsidRPr="009F2AA4" w:rsidRDefault="008F23FF" w:rsidP="00921FF3">
            <w:pPr>
              <w:pStyle w:val="TableText"/>
              <w:keepNext/>
              <w:widowControl/>
            </w:pPr>
            <w:r w:rsidRPr="009F2AA4">
              <w:t>3</w:t>
            </w:r>
          </w:p>
        </w:tc>
        <w:tc>
          <w:tcPr>
            <w:tcW w:w="4523" w:type="dxa"/>
            <w:tcBorders>
              <w:top w:val="single" w:sz="4" w:space="0" w:color="000000"/>
              <w:left w:val="single" w:sz="4" w:space="0" w:color="000000"/>
              <w:bottom w:val="single" w:sz="4" w:space="0" w:color="000000"/>
              <w:right w:val="single" w:sz="4" w:space="0" w:color="000000"/>
            </w:tcBorders>
          </w:tcPr>
          <w:p w14:paraId="3C7812E9" w14:textId="77777777" w:rsidR="002F03F5" w:rsidRPr="009F2AA4" w:rsidRDefault="008F23FF" w:rsidP="00921FF3">
            <w:pPr>
              <w:pStyle w:val="TableText"/>
              <w:keepNext/>
              <w:widowControl/>
            </w:pPr>
            <w:r w:rsidRPr="009F2AA4">
              <w:t>0%</w:t>
            </w:r>
          </w:p>
        </w:tc>
        <w:tc>
          <w:tcPr>
            <w:tcW w:w="780" w:type="dxa"/>
            <w:tcBorders>
              <w:top w:val="single" w:sz="4" w:space="0" w:color="000000"/>
              <w:left w:val="single" w:sz="4" w:space="0" w:color="000000"/>
              <w:bottom w:val="single" w:sz="4" w:space="0" w:color="000000"/>
              <w:right w:val="single" w:sz="4" w:space="0" w:color="000000"/>
            </w:tcBorders>
          </w:tcPr>
          <w:p w14:paraId="3C7812EA" w14:textId="77777777" w:rsidR="002F03F5" w:rsidRPr="009F2AA4" w:rsidRDefault="008F23FF" w:rsidP="00921FF3">
            <w:pPr>
              <w:pStyle w:val="TableText"/>
              <w:keepNext/>
              <w:widowControl/>
              <w:jc w:val="center"/>
            </w:pPr>
            <w:r w:rsidRPr="009F2AA4">
              <w:t>7.052</w:t>
            </w:r>
          </w:p>
        </w:tc>
        <w:tc>
          <w:tcPr>
            <w:tcW w:w="920" w:type="dxa"/>
            <w:tcBorders>
              <w:top w:val="single" w:sz="4" w:space="0" w:color="000000"/>
              <w:left w:val="single" w:sz="4" w:space="0" w:color="000000"/>
              <w:bottom w:val="single" w:sz="4" w:space="0" w:color="000000"/>
              <w:right w:val="single" w:sz="4" w:space="0" w:color="000000"/>
            </w:tcBorders>
          </w:tcPr>
          <w:p w14:paraId="3C7812EB" w14:textId="5BEB34C3" w:rsidR="002F03F5" w:rsidRPr="009F2AA4" w:rsidRDefault="008F23FF" w:rsidP="00921FF3">
            <w:pPr>
              <w:pStyle w:val="TableText"/>
              <w:keepNext/>
              <w:widowControl/>
              <w:jc w:val="center"/>
            </w:pPr>
            <w:r w:rsidRPr="009F2AA4">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2EC" w14:textId="59F98B88"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EE383D">
              <w:rPr>
                <w:vertAlign w:val="superscript"/>
              </w:rPr>
              <w:t>3</w:t>
            </w:r>
          </w:p>
        </w:tc>
        <w:tc>
          <w:tcPr>
            <w:tcW w:w="1158" w:type="dxa"/>
            <w:tcBorders>
              <w:top w:val="single" w:sz="4" w:space="0" w:color="000000"/>
              <w:left w:val="single" w:sz="4" w:space="0" w:color="000000"/>
              <w:bottom w:val="single" w:sz="4" w:space="0" w:color="000000"/>
              <w:right w:val="single" w:sz="4" w:space="0" w:color="000000"/>
            </w:tcBorders>
          </w:tcPr>
          <w:p w14:paraId="3C7812ED" w14:textId="7A8913C8" w:rsidR="002F03F5" w:rsidRPr="009F2AA4" w:rsidRDefault="008F23FF" w:rsidP="00921FF3">
            <w:pPr>
              <w:pStyle w:val="TableText"/>
              <w:keepNext/>
              <w:widowControl/>
              <w:jc w:val="center"/>
            </w:pPr>
            <w:r w:rsidRPr="009F2AA4">
              <w:t>-</w:t>
            </w:r>
            <w:r w:rsidR="00B73859" w:rsidRPr="00B73859">
              <w:rPr>
                <w:sz w:val="2"/>
                <w:highlight w:val="black"/>
              </w:rPr>
              <w:t>redacted content</w:t>
            </w:r>
            <w:r w:rsidRPr="009F2AA4">
              <w:t>%</w:t>
            </w:r>
          </w:p>
        </w:tc>
      </w:tr>
      <w:tr w:rsidR="002F03F5" w:rsidRPr="009F2AA4" w14:paraId="3C7812F5"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2EF" w14:textId="77777777" w:rsidR="002F03F5" w:rsidRPr="009F2AA4" w:rsidRDefault="008F23FF" w:rsidP="00921FF3">
            <w:pPr>
              <w:pStyle w:val="TableText"/>
              <w:keepNext/>
              <w:widowControl/>
            </w:pPr>
            <w:r w:rsidRPr="009F2AA4">
              <w:t>4</w:t>
            </w:r>
          </w:p>
        </w:tc>
        <w:tc>
          <w:tcPr>
            <w:tcW w:w="4523" w:type="dxa"/>
            <w:tcBorders>
              <w:top w:val="single" w:sz="4" w:space="0" w:color="000000"/>
              <w:left w:val="single" w:sz="4" w:space="0" w:color="000000"/>
              <w:bottom w:val="single" w:sz="4" w:space="0" w:color="000000"/>
              <w:right w:val="single" w:sz="4" w:space="0" w:color="000000"/>
            </w:tcBorders>
          </w:tcPr>
          <w:p w14:paraId="3C7812F0" w14:textId="77777777" w:rsidR="002F03F5" w:rsidRPr="009F2AA4" w:rsidRDefault="008F23FF" w:rsidP="00921FF3">
            <w:pPr>
              <w:pStyle w:val="TableText"/>
              <w:keepNext/>
              <w:widowControl/>
            </w:pPr>
            <w:r w:rsidRPr="009F2AA4">
              <w:t>3.5%</w:t>
            </w:r>
          </w:p>
        </w:tc>
        <w:tc>
          <w:tcPr>
            <w:tcW w:w="780" w:type="dxa"/>
            <w:tcBorders>
              <w:top w:val="single" w:sz="4" w:space="0" w:color="000000"/>
              <w:left w:val="single" w:sz="4" w:space="0" w:color="000000"/>
              <w:bottom w:val="single" w:sz="4" w:space="0" w:color="000000"/>
              <w:right w:val="single" w:sz="4" w:space="0" w:color="000000"/>
            </w:tcBorders>
          </w:tcPr>
          <w:p w14:paraId="3C7812F1" w14:textId="77777777" w:rsidR="002F03F5" w:rsidRPr="009F2AA4" w:rsidRDefault="008F23FF" w:rsidP="00921FF3">
            <w:pPr>
              <w:pStyle w:val="TableText"/>
              <w:keepNext/>
              <w:widowControl/>
              <w:jc w:val="center"/>
            </w:pPr>
            <w:r w:rsidRPr="009F2AA4">
              <w:t>4.761</w:t>
            </w:r>
          </w:p>
        </w:tc>
        <w:tc>
          <w:tcPr>
            <w:tcW w:w="920" w:type="dxa"/>
            <w:tcBorders>
              <w:top w:val="single" w:sz="4" w:space="0" w:color="000000"/>
              <w:left w:val="single" w:sz="4" w:space="0" w:color="000000"/>
              <w:bottom w:val="single" w:sz="4" w:space="0" w:color="000000"/>
              <w:right w:val="single" w:sz="4" w:space="0" w:color="000000"/>
            </w:tcBorders>
          </w:tcPr>
          <w:p w14:paraId="3C7812F2" w14:textId="6C7AF81F" w:rsidR="002F03F5" w:rsidRPr="009F2AA4" w:rsidRDefault="008F23FF" w:rsidP="00921FF3">
            <w:pPr>
              <w:pStyle w:val="TableText"/>
              <w:keepNext/>
              <w:widowControl/>
              <w:jc w:val="center"/>
            </w:pPr>
            <w:r w:rsidRPr="009F2AA4">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2F3" w14:textId="0871809C"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6C0971">
              <w:rPr>
                <w:vertAlign w:val="superscript"/>
              </w:rPr>
              <w:t>1</w:t>
            </w:r>
          </w:p>
        </w:tc>
        <w:tc>
          <w:tcPr>
            <w:tcW w:w="1158" w:type="dxa"/>
            <w:tcBorders>
              <w:top w:val="single" w:sz="4" w:space="0" w:color="000000"/>
              <w:left w:val="single" w:sz="4" w:space="0" w:color="000000"/>
              <w:bottom w:val="single" w:sz="4" w:space="0" w:color="000000"/>
              <w:right w:val="single" w:sz="4" w:space="0" w:color="000000"/>
            </w:tcBorders>
          </w:tcPr>
          <w:p w14:paraId="3C7812F4" w14:textId="3C3C8493" w:rsidR="002F03F5" w:rsidRPr="009F2AA4" w:rsidRDefault="008F23FF" w:rsidP="00921FF3">
            <w:pPr>
              <w:pStyle w:val="TableText"/>
              <w:keepNext/>
              <w:widowControl/>
              <w:jc w:val="center"/>
            </w:pPr>
            <w:r w:rsidRPr="009F2AA4">
              <w:t>-</w:t>
            </w:r>
            <w:r w:rsidR="00B73859" w:rsidRPr="00B73859">
              <w:rPr>
                <w:sz w:val="2"/>
                <w:highlight w:val="black"/>
              </w:rPr>
              <w:t>redacted content</w:t>
            </w:r>
            <w:r w:rsidRPr="009F2AA4">
              <w:t>%</w:t>
            </w:r>
          </w:p>
        </w:tc>
      </w:tr>
      <w:tr w:rsidR="002F03F5" w:rsidRPr="009F2AA4" w14:paraId="3C7812F8"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2F6" w14:textId="77777777" w:rsidR="002F03F5" w:rsidRPr="009F2AA4" w:rsidRDefault="008F23FF" w:rsidP="00921FF3">
            <w:pPr>
              <w:pStyle w:val="TableText"/>
              <w:keepNext/>
              <w:widowControl/>
            </w:pPr>
            <w:r w:rsidRPr="009F2AA4">
              <w:t xml:space="preserve"> </w:t>
            </w:r>
          </w:p>
        </w:tc>
        <w:tc>
          <w:tcPr>
            <w:tcW w:w="8624" w:type="dxa"/>
            <w:gridSpan w:val="5"/>
            <w:tcBorders>
              <w:top w:val="single" w:sz="4" w:space="0" w:color="000000"/>
              <w:left w:val="single" w:sz="4" w:space="0" w:color="000000"/>
              <w:bottom w:val="single" w:sz="4" w:space="0" w:color="000000"/>
              <w:right w:val="single" w:sz="4" w:space="0" w:color="000000"/>
            </w:tcBorders>
          </w:tcPr>
          <w:p w14:paraId="3C7812F7" w14:textId="77777777" w:rsidR="002F03F5" w:rsidRPr="009F2AA4" w:rsidRDefault="008F23FF" w:rsidP="00921FF3">
            <w:pPr>
              <w:pStyle w:val="TableText"/>
              <w:keepNext/>
              <w:widowControl/>
            </w:pPr>
            <w:r w:rsidRPr="009F2AA4">
              <w:rPr>
                <w:b/>
                <w:bCs/>
              </w:rPr>
              <w:t>ToT curves (base case: use PFS [Weibull])</w:t>
            </w:r>
          </w:p>
        </w:tc>
      </w:tr>
      <w:tr w:rsidR="002F03F5" w:rsidRPr="009F2AA4" w14:paraId="3C7812FF"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2F9" w14:textId="77777777" w:rsidR="002F03F5" w:rsidRPr="009F2AA4" w:rsidRDefault="008F23FF" w:rsidP="00921FF3">
            <w:pPr>
              <w:pStyle w:val="TableText"/>
              <w:keepNext/>
              <w:widowControl/>
            </w:pPr>
            <w:r w:rsidRPr="009F2AA4">
              <w:t>5</w:t>
            </w:r>
          </w:p>
        </w:tc>
        <w:tc>
          <w:tcPr>
            <w:tcW w:w="4523" w:type="dxa"/>
            <w:tcBorders>
              <w:top w:val="single" w:sz="4" w:space="0" w:color="000000"/>
              <w:left w:val="single" w:sz="4" w:space="0" w:color="000000"/>
              <w:bottom w:val="single" w:sz="4" w:space="0" w:color="000000"/>
              <w:right w:val="single" w:sz="4" w:space="0" w:color="000000"/>
            </w:tcBorders>
          </w:tcPr>
          <w:p w14:paraId="3C7812FA" w14:textId="77777777" w:rsidR="002F03F5" w:rsidRPr="009F2AA4" w:rsidRDefault="008F23FF" w:rsidP="00921FF3">
            <w:pPr>
              <w:pStyle w:val="TableText"/>
              <w:keepNext/>
              <w:widowControl/>
            </w:pPr>
            <w:r w:rsidRPr="009F2AA4">
              <w:t>No PFS capping + ToT extrapolation = Weibull</w:t>
            </w:r>
          </w:p>
        </w:tc>
        <w:tc>
          <w:tcPr>
            <w:tcW w:w="780" w:type="dxa"/>
            <w:tcBorders>
              <w:top w:val="single" w:sz="4" w:space="0" w:color="000000"/>
              <w:left w:val="single" w:sz="4" w:space="0" w:color="000000"/>
              <w:bottom w:val="single" w:sz="4" w:space="0" w:color="000000"/>
              <w:right w:val="single" w:sz="4" w:space="0" w:color="000000"/>
            </w:tcBorders>
          </w:tcPr>
          <w:p w14:paraId="3C7812FB" w14:textId="77777777" w:rsidR="002F03F5" w:rsidRPr="009F2AA4" w:rsidRDefault="008F23FF" w:rsidP="00921FF3">
            <w:pPr>
              <w:pStyle w:val="TableText"/>
              <w:keepNext/>
              <w:widowControl/>
              <w:jc w:val="center"/>
            </w:pPr>
            <w:r w:rsidRPr="009F2AA4">
              <w:t>4.088</w:t>
            </w:r>
          </w:p>
        </w:tc>
        <w:tc>
          <w:tcPr>
            <w:tcW w:w="920" w:type="dxa"/>
            <w:tcBorders>
              <w:top w:val="single" w:sz="4" w:space="0" w:color="000000"/>
              <w:left w:val="single" w:sz="4" w:space="0" w:color="000000"/>
              <w:bottom w:val="single" w:sz="4" w:space="0" w:color="000000"/>
              <w:right w:val="single" w:sz="4" w:space="0" w:color="000000"/>
            </w:tcBorders>
          </w:tcPr>
          <w:p w14:paraId="3C7812FC" w14:textId="1A0852B9" w:rsidR="002F03F5" w:rsidRPr="009F2AA4" w:rsidRDefault="008F23FF" w:rsidP="00921FF3">
            <w:pPr>
              <w:pStyle w:val="TableText"/>
              <w:keepNext/>
              <w:widowControl/>
              <w:jc w:val="center"/>
            </w:pPr>
            <w:r w:rsidRPr="009F2AA4">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2FD" w14:textId="3D9A161B"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0C552C">
              <w:rPr>
                <w:vertAlign w:val="superscript"/>
              </w:rPr>
              <w:t>4</w:t>
            </w:r>
          </w:p>
        </w:tc>
        <w:tc>
          <w:tcPr>
            <w:tcW w:w="1158" w:type="dxa"/>
            <w:tcBorders>
              <w:top w:val="single" w:sz="4" w:space="0" w:color="000000"/>
              <w:left w:val="single" w:sz="4" w:space="0" w:color="000000"/>
              <w:bottom w:val="single" w:sz="4" w:space="0" w:color="000000"/>
              <w:right w:val="single" w:sz="4" w:space="0" w:color="000000"/>
            </w:tcBorders>
          </w:tcPr>
          <w:p w14:paraId="3C7812FE" w14:textId="7D046306" w:rsidR="002F03F5" w:rsidRPr="009F2AA4" w:rsidRDefault="008F23FF" w:rsidP="00921FF3">
            <w:pPr>
              <w:pStyle w:val="TableText"/>
              <w:keepNext/>
              <w:widowControl/>
              <w:jc w:val="center"/>
            </w:pPr>
            <w:r w:rsidRPr="009F2AA4">
              <w:t>+</w:t>
            </w:r>
            <w:r w:rsidR="00B73859" w:rsidRPr="00B73859">
              <w:rPr>
                <w:sz w:val="2"/>
                <w:highlight w:val="black"/>
              </w:rPr>
              <w:t>redacted content</w:t>
            </w:r>
            <w:r w:rsidRPr="009F2AA4">
              <w:t>%</w:t>
            </w:r>
          </w:p>
        </w:tc>
      </w:tr>
      <w:tr w:rsidR="002F03F5" w:rsidRPr="009F2AA4" w14:paraId="3C781302"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00" w14:textId="77777777" w:rsidR="002F03F5" w:rsidRPr="009F2AA4" w:rsidRDefault="008F23FF" w:rsidP="00921FF3">
            <w:pPr>
              <w:pStyle w:val="TableText"/>
              <w:keepNext/>
              <w:widowControl/>
            </w:pPr>
            <w:r w:rsidRPr="009F2AA4">
              <w:t xml:space="preserve"> </w:t>
            </w:r>
          </w:p>
        </w:tc>
        <w:tc>
          <w:tcPr>
            <w:tcW w:w="8624" w:type="dxa"/>
            <w:gridSpan w:val="5"/>
            <w:tcBorders>
              <w:top w:val="single" w:sz="4" w:space="0" w:color="000000"/>
              <w:left w:val="single" w:sz="4" w:space="0" w:color="000000"/>
              <w:bottom w:val="single" w:sz="4" w:space="0" w:color="000000"/>
              <w:right w:val="single" w:sz="4" w:space="0" w:color="000000"/>
            </w:tcBorders>
          </w:tcPr>
          <w:p w14:paraId="3C781301" w14:textId="77777777" w:rsidR="002F03F5" w:rsidRPr="009F2AA4" w:rsidRDefault="008F23FF" w:rsidP="00921FF3">
            <w:pPr>
              <w:pStyle w:val="TableText"/>
              <w:keepNext/>
              <w:widowControl/>
              <w:rPr>
                <w:b/>
                <w:bCs/>
                <w:vertAlign w:val="superscript"/>
              </w:rPr>
            </w:pPr>
            <w:r w:rsidRPr="009F2AA4">
              <w:rPr>
                <w:b/>
                <w:bCs/>
              </w:rPr>
              <w:t>OS extrapolation in selpercatinib arm (base case: Spline knot 3)</w:t>
            </w:r>
          </w:p>
        </w:tc>
      </w:tr>
      <w:tr w:rsidR="002F03F5" w:rsidRPr="009F2AA4" w14:paraId="3C781309" w14:textId="77777777" w:rsidTr="002D740A">
        <w:trPr>
          <w:cantSplit/>
          <w:trHeight w:val="147"/>
        </w:trPr>
        <w:tc>
          <w:tcPr>
            <w:tcW w:w="302" w:type="dxa"/>
            <w:tcBorders>
              <w:top w:val="single" w:sz="4" w:space="0" w:color="000000"/>
              <w:left w:val="single" w:sz="4" w:space="0" w:color="000000"/>
              <w:bottom w:val="single" w:sz="4" w:space="0" w:color="000000"/>
              <w:right w:val="single" w:sz="4" w:space="0" w:color="000000"/>
            </w:tcBorders>
          </w:tcPr>
          <w:p w14:paraId="3C781303" w14:textId="77777777" w:rsidR="002F03F5" w:rsidRPr="009F2AA4" w:rsidRDefault="008F23FF" w:rsidP="00921FF3">
            <w:pPr>
              <w:pStyle w:val="TableText"/>
              <w:keepNext/>
              <w:widowControl/>
            </w:pPr>
            <w:r w:rsidRPr="009F2AA4">
              <w:t>6</w:t>
            </w:r>
          </w:p>
        </w:tc>
        <w:tc>
          <w:tcPr>
            <w:tcW w:w="4523" w:type="dxa"/>
            <w:tcBorders>
              <w:top w:val="single" w:sz="4" w:space="0" w:color="000000"/>
              <w:left w:val="single" w:sz="4" w:space="0" w:color="000000"/>
              <w:bottom w:val="single" w:sz="4" w:space="0" w:color="000000"/>
              <w:right w:val="single" w:sz="4" w:space="0" w:color="000000"/>
            </w:tcBorders>
          </w:tcPr>
          <w:p w14:paraId="3C781304" w14:textId="77777777" w:rsidR="002F03F5" w:rsidRPr="009F2AA4" w:rsidRDefault="008F23FF" w:rsidP="00921FF3">
            <w:pPr>
              <w:pStyle w:val="TableText"/>
              <w:keepNext/>
              <w:widowControl/>
            </w:pPr>
            <w:r w:rsidRPr="009F2AA4">
              <w:t>Log logistic</w:t>
            </w:r>
          </w:p>
        </w:tc>
        <w:tc>
          <w:tcPr>
            <w:tcW w:w="780" w:type="dxa"/>
            <w:tcBorders>
              <w:top w:val="single" w:sz="4" w:space="0" w:color="000000"/>
              <w:left w:val="single" w:sz="4" w:space="0" w:color="000000"/>
              <w:bottom w:val="single" w:sz="4" w:space="0" w:color="000000"/>
              <w:right w:val="single" w:sz="4" w:space="0" w:color="000000"/>
            </w:tcBorders>
          </w:tcPr>
          <w:p w14:paraId="3C781305" w14:textId="77777777" w:rsidR="002F03F5" w:rsidRPr="009F2AA4" w:rsidRDefault="008F23FF" w:rsidP="00921FF3">
            <w:pPr>
              <w:pStyle w:val="TableText"/>
              <w:keepNext/>
              <w:widowControl/>
              <w:jc w:val="center"/>
            </w:pPr>
            <w:r w:rsidRPr="009F2AA4">
              <w:t>4.590</w:t>
            </w:r>
          </w:p>
        </w:tc>
        <w:tc>
          <w:tcPr>
            <w:tcW w:w="920" w:type="dxa"/>
            <w:tcBorders>
              <w:top w:val="single" w:sz="4" w:space="0" w:color="000000"/>
              <w:left w:val="single" w:sz="4" w:space="0" w:color="000000"/>
              <w:bottom w:val="single" w:sz="4" w:space="0" w:color="000000"/>
              <w:right w:val="single" w:sz="4" w:space="0" w:color="000000"/>
            </w:tcBorders>
          </w:tcPr>
          <w:p w14:paraId="3C781306" w14:textId="4219C73F" w:rsidR="002F03F5" w:rsidRPr="009F2AA4" w:rsidRDefault="008F23FF" w:rsidP="00921FF3">
            <w:pPr>
              <w:pStyle w:val="TableText"/>
              <w:keepNext/>
              <w:widowControl/>
              <w:jc w:val="center"/>
            </w:pPr>
            <w:r w:rsidRPr="009F2AA4">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07" w14:textId="260D0D46"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0C552C">
              <w:rPr>
                <w:vertAlign w:val="superscript"/>
              </w:rPr>
              <w:t>1</w:t>
            </w:r>
          </w:p>
        </w:tc>
        <w:tc>
          <w:tcPr>
            <w:tcW w:w="1158" w:type="dxa"/>
            <w:tcBorders>
              <w:top w:val="single" w:sz="4" w:space="0" w:color="000000"/>
              <w:left w:val="single" w:sz="4" w:space="0" w:color="000000"/>
              <w:bottom w:val="single" w:sz="4" w:space="0" w:color="000000"/>
              <w:right w:val="single" w:sz="4" w:space="0" w:color="000000"/>
            </w:tcBorders>
          </w:tcPr>
          <w:p w14:paraId="3C781308" w14:textId="1C1DDDBA" w:rsidR="002F03F5" w:rsidRPr="009F2AA4" w:rsidRDefault="008F23FF" w:rsidP="00921FF3">
            <w:pPr>
              <w:pStyle w:val="TableText"/>
              <w:keepNext/>
              <w:widowControl/>
              <w:jc w:val="center"/>
            </w:pPr>
            <w:r w:rsidRPr="009F2AA4">
              <w:t>-</w:t>
            </w:r>
            <w:r w:rsidR="00B73859" w:rsidRPr="00B73859">
              <w:rPr>
                <w:sz w:val="2"/>
                <w:highlight w:val="black"/>
              </w:rPr>
              <w:t>redacted content</w:t>
            </w:r>
            <w:r w:rsidRPr="009F2AA4">
              <w:t>%</w:t>
            </w:r>
          </w:p>
        </w:tc>
      </w:tr>
      <w:tr w:rsidR="002F03F5" w:rsidRPr="009F2AA4" w14:paraId="3C781310"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0A" w14:textId="77777777" w:rsidR="002F03F5" w:rsidRPr="009F2AA4" w:rsidRDefault="008F23FF" w:rsidP="00921FF3">
            <w:pPr>
              <w:pStyle w:val="TableText"/>
              <w:keepNext/>
              <w:widowControl/>
            </w:pPr>
            <w:r w:rsidRPr="009F2AA4">
              <w:t>7</w:t>
            </w:r>
          </w:p>
        </w:tc>
        <w:tc>
          <w:tcPr>
            <w:tcW w:w="4523" w:type="dxa"/>
            <w:tcBorders>
              <w:top w:val="single" w:sz="4" w:space="0" w:color="000000"/>
              <w:left w:val="single" w:sz="4" w:space="0" w:color="000000"/>
              <w:bottom w:val="single" w:sz="4" w:space="0" w:color="000000"/>
              <w:right w:val="single" w:sz="4" w:space="0" w:color="000000"/>
            </w:tcBorders>
          </w:tcPr>
          <w:p w14:paraId="3C78130B" w14:textId="77777777" w:rsidR="002F03F5" w:rsidRPr="009F2AA4" w:rsidRDefault="008F23FF" w:rsidP="00921FF3">
            <w:pPr>
              <w:pStyle w:val="TableText"/>
              <w:keepNext/>
              <w:widowControl/>
            </w:pPr>
            <w:r w:rsidRPr="009F2AA4">
              <w:t>Spline knot 2</w:t>
            </w:r>
          </w:p>
        </w:tc>
        <w:tc>
          <w:tcPr>
            <w:tcW w:w="780" w:type="dxa"/>
            <w:tcBorders>
              <w:top w:val="single" w:sz="4" w:space="0" w:color="000000"/>
              <w:left w:val="single" w:sz="4" w:space="0" w:color="000000"/>
              <w:bottom w:val="single" w:sz="4" w:space="0" w:color="000000"/>
              <w:right w:val="single" w:sz="4" w:space="0" w:color="000000"/>
            </w:tcBorders>
          </w:tcPr>
          <w:p w14:paraId="3C78130C" w14:textId="77777777" w:rsidR="002F03F5" w:rsidRPr="009F2AA4" w:rsidRDefault="008F23FF" w:rsidP="00921FF3">
            <w:pPr>
              <w:pStyle w:val="TableText"/>
              <w:keepNext/>
              <w:widowControl/>
              <w:jc w:val="center"/>
            </w:pPr>
            <w:r w:rsidRPr="009F2AA4">
              <w:t>4.295</w:t>
            </w:r>
          </w:p>
        </w:tc>
        <w:tc>
          <w:tcPr>
            <w:tcW w:w="920" w:type="dxa"/>
            <w:tcBorders>
              <w:top w:val="single" w:sz="4" w:space="0" w:color="000000"/>
              <w:left w:val="single" w:sz="4" w:space="0" w:color="000000"/>
              <w:bottom w:val="single" w:sz="4" w:space="0" w:color="000000"/>
              <w:right w:val="single" w:sz="4" w:space="0" w:color="000000"/>
            </w:tcBorders>
          </w:tcPr>
          <w:p w14:paraId="3C78130D" w14:textId="054FDAF6" w:rsidR="002F03F5" w:rsidRPr="009F2AA4" w:rsidRDefault="008F23FF" w:rsidP="00921FF3">
            <w:pPr>
              <w:pStyle w:val="TableText"/>
              <w:keepNext/>
              <w:widowControl/>
              <w:jc w:val="center"/>
            </w:pPr>
            <w:r w:rsidRPr="009F2AA4">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0E" w14:textId="1C8BF1A5"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702414">
              <w:rPr>
                <w:vertAlign w:val="superscript"/>
              </w:rPr>
              <w:t>1</w:t>
            </w:r>
          </w:p>
        </w:tc>
        <w:tc>
          <w:tcPr>
            <w:tcW w:w="1158" w:type="dxa"/>
            <w:tcBorders>
              <w:top w:val="single" w:sz="4" w:space="0" w:color="000000"/>
              <w:left w:val="single" w:sz="4" w:space="0" w:color="000000"/>
              <w:bottom w:val="single" w:sz="4" w:space="0" w:color="000000"/>
              <w:right w:val="single" w:sz="4" w:space="0" w:color="000000"/>
            </w:tcBorders>
          </w:tcPr>
          <w:p w14:paraId="3C78130F" w14:textId="10F29E10" w:rsidR="002F03F5" w:rsidRPr="009F2AA4" w:rsidRDefault="008F23FF" w:rsidP="00921FF3">
            <w:pPr>
              <w:pStyle w:val="TableText"/>
              <w:keepNext/>
              <w:widowControl/>
              <w:jc w:val="center"/>
            </w:pPr>
            <w:r w:rsidRPr="009F2AA4">
              <w:t>-</w:t>
            </w:r>
            <w:r w:rsidR="00B73859" w:rsidRPr="00B73859">
              <w:rPr>
                <w:sz w:val="2"/>
                <w:highlight w:val="black"/>
              </w:rPr>
              <w:t>redacted content</w:t>
            </w:r>
            <w:r w:rsidRPr="009F2AA4">
              <w:t>%</w:t>
            </w:r>
          </w:p>
        </w:tc>
      </w:tr>
      <w:tr w:rsidR="002F03F5" w:rsidRPr="009F2AA4" w14:paraId="3C781313"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11" w14:textId="77777777" w:rsidR="002F03F5" w:rsidRPr="009F2AA4" w:rsidRDefault="008F23FF" w:rsidP="00921FF3">
            <w:pPr>
              <w:pStyle w:val="TableText"/>
              <w:keepNext/>
              <w:widowControl/>
            </w:pPr>
            <w:r w:rsidRPr="009F2AA4">
              <w:t xml:space="preserve"> </w:t>
            </w:r>
          </w:p>
        </w:tc>
        <w:tc>
          <w:tcPr>
            <w:tcW w:w="8624" w:type="dxa"/>
            <w:gridSpan w:val="5"/>
            <w:tcBorders>
              <w:top w:val="single" w:sz="4" w:space="0" w:color="000000"/>
              <w:left w:val="single" w:sz="4" w:space="0" w:color="000000"/>
              <w:bottom w:val="single" w:sz="4" w:space="0" w:color="000000"/>
              <w:right w:val="single" w:sz="4" w:space="0" w:color="000000"/>
            </w:tcBorders>
          </w:tcPr>
          <w:p w14:paraId="3C781312" w14:textId="5F26E56E" w:rsidR="002F03F5" w:rsidRPr="009F2AA4" w:rsidRDefault="008F23FF" w:rsidP="00921FF3">
            <w:pPr>
              <w:pStyle w:val="TableText"/>
              <w:keepNext/>
              <w:widowControl/>
              <w:rPr>
                <w:vertAlign w:val="superscript"/>
              </w:rPr>
            </w:pPr>
            <w:r w:rsidRPr="009F2AA4">
              <w:rPr>
                <w:b/>
                <w:bCs/>
              </w:rPr>
              <w:t>OS modelling in BSC arm (base case: OS HR = 0.22 and Spline knot 3)</w:t>
            </w:r>
          </w:p>
        </w:tc>
      </w:tr>
      <w:tr w:rsidR="002F03F5" w:rsidRPr="00935DC8" w14:paraId="3C78131A"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14" w14:textId="77777777" w:rsidR="002F03F5" w:rsidRPr="00935DC8" w:rsidRDefault="008F23FF" w:rsidP="00921FF3">
            <w:pPr>
              <w:pStyle w:val="TableText"/>
              <w:keepNext/>
              <w:widowControl/>
            </w:pPr>
            <w:r w:rsidRPr="00935DC8">
              <w:t>8</w:t>
            </w:r>
          </w:p>
        </w:tc>
        <w:tc>
          <w:tcPr>
            <w:tcW w:w="4523" w:type="dxa"/>
            <w:tcBorders>
              <w:top w:val="single" w:sz="4" w:space="0" w:color="000000"/>
              <w:left w:val="single" w:sz="4" w:space="0" w:color="000000"/>
              <w:bottom w:val="single" w:sz="4" w:space="0" w:color="000000"/>
              <w:right w:val="single" w:sz="4" w:space="0" w:color="000000"/>
            </w:tcBorders>
          </w:tcPr>
          <w:p w14:paraId="3C781315" w14:textId="77777777" w:rsidR="002F03F5" w:rsidRPr="00B73859" w:rsidRDefault="008F23FF" w:rsidP="00921FF3">
            <w:pPr>
              <w:pStyle w:val="TableText"/>
              <w:keepNext/>
              <w:widowControl/>
              <w:rPr>
                <w:lang w:val="pt-BR"/>
              </w:rPr>
            </w:pPr>
            <w:r w:rsidRPr="00B73859">
              <w:rPr>
                <w:lang w:val="pt-BR"/>
              </w:rPr>
              <w:t>LIBRETTO-531 OS HR upper 95% CI = 0.608</w:t>
            </w:r>
          </w:p>
        </w:tc>
        <w:tc>
          <w:tcPr>
            <w:tcW w:w="780" w:type="dxa"/>
            <w:tcBorders>
              <w:top w:val="single" w:sz="4" w:space="0" w:color="000000"/>
              <w:left w:val="single" w:sz="4" w:space="0" w:color="000000"/>
              <w:bottom w:val="single" w:sz="4" w:space="0" w:color="000000"/>
              <w:right w:val="single" w:sz="4" w:space="0" w:color="000000"/>
            </w:tcBorders>
          </w:tcPr>
          <w:p w14:paraId="3C781316" w14:textId="77777777" w:rsidR="002F03F5" w:rsidRPr="00935DC8" w:rsidRDefault="008F23FF" w:rsidP="00921FF3">
            <w:pPr>
              <w:pStyle w:val="TableText"/>
              <w:keepNext/>
              <w:widowControl/>
              <w:jc w:val="center"/>
            </w:pPr>
            <w:r w:rsidRPr="00935DC8">
              <w:t>1.456</w:t>
            </w:r>
          </w:p>
        </w:tc>
        <w:tc>
          <w:tcPr>
            <w:tcW w:w="920" w:type="dxa"/>
            <w:tcBorders>
              <w:top w:val="single" w:sz="4" w:space="0" w:color="000000"/>
              <w:left w:val="single" w:sz="4" w:space="0" w:color="000000"/>
              <w:bottom w:val="single" w:sz="4" w:space="0" w:color="000000"/>
              <w:right w:val="single" w:sz="4" w:space="0" w:color="000000"/>
            </w:tcBorders>
          </w:tcPr>
          <w:p w14:paraId="3C781317" w14:textId="7C2ECE65" w:rsidR="002F03F5" w:rsidRPr="00935DC8" w:rsidRDefault="008F23FF" w:rsidP="00921FF3">
            <w:pPr>
              <w:pStyle w:val="TableText"/>
              <w:keepNext/>
              <w:widowControl/>
              <w:jc w:val="center"/>
            </w:pPr>
            <w:r w:rsidRPr="00935DC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18" w14:textId="644EA3A8" w:rsidR="002F03F5" w:rsidRPr="00B73859" w:rsidRDefault="008F23FF" w:rsidP="00921FF3">
            <w:pPr>
              <w:pStyle w:val="TableText"/>
              <w:keepNext/>
              <w:widowControl/>
              <w:jc w:val="center"/>
              <w:rPr>
                <w:vertAlign w:val="superscript"/>
              </w:rPr>
            </w:pPr>
            <w:r w:rsidRPr="00935DC8">
              <w:t>$</w:t>
            </w:r>
            <w:r w:rsidR="00B73859" w:rsidRPr="00B73859">
              <w:rPr>
                <w:sz w:val="2"/>
                <w:highlight w:val="black"/>
              </w:rPr>
              <w:t>redacted content</w:t>
            </w:r>
            <w:r w:rsidR="00702414">
              <w:rPr>
                <w:vertAlign w:val="superscript"/>
              </w:rPr>
              <w:t>5</w:t>
            </w:r>
          </w:p>
        </w:tc>
        <w:tc>
          <w:tcPr>
            <w:tcW w:w="1158" w:type="dxa"/>
            <w:tcBorders>
              <w:top w:val="single" w:sz="4" w:space="0" w:color="000000"/>
              <w:left w:val="single" w:sz="4" w:space="0" w:color="000000"/>
              <w:bottom w:val="single" w:sz="4" w:space="0" w:color="000000"/>
              <w:right w:val="single" w:sz="4" w:space="0" w:color="000000"/>
            </w:tcBorders>
          </w:tcPr>
          <w:p w14:paraId="3C781319" w14:textId="0EC2CE77" w:rsidR="002F03F5" w:rsidRPr="00935DC8" w:rsidRDefault="008F23FF" w:rsidP="00921FF3">
            <w:pPr>
              <w:pStyle w:val="TableText"/>
              <w:keepNext/>
              <w:widowControl/>
              <w:jc w:val="center"/>
            </w:pPr>
            <w:r w:rsidRPr="00935DC8">
              <w:t>+</w:t>
            </w:r>
            <w:r w:rsidR="00B73859" w:rsidRPr="00B73859">
              <w:rPr>
                <w:sz w:val="2"/>
                <w:highlight w:val="black"/>
              </w:rPr>
              <w:t>redacted content</w:t>
            </w:r>
            <w:r w:rsidRPr="00935DC8">
              <w:t>%</w:t>
            </w:r>
          </w:p>
        </w:tc>
      </w:tr>
      <w:tr w:rsidR="002F03F5" w:rsidRPr="00935DC8" w14:paraId="3C781321"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1B" w14:textId="77777777" w:rsidR="002F03F5" w:rsidRPr="006F3AA8" w:rsidRDefault="008F23FF" w:rsidP="00921FF3">
            <w:pPr>
              <w:pStyle w:val="TableText"/>
              <w:keepNext/>
              <w:widowControl/>
            </w:pPr>
            <w:r w:rsidRPr="006F3AA8">
              <w:t>9</w:t>
            </w:r>
          </w:p>
        </w:tc>
        <w:tc>
          <w:tcPr>
            <w:tcW w:w="4523" w:type="dxa"/>
            <w:tcBorders>
              <w:top w:val="single" w:sz="4" w:space="0" w:color="000000"/>
              <w:left w:val="single" w:sz="4" w:space="0" w:color="000000"/>
              <w:bottom w:val="single" w:sz="4" w:space="0" w:color="000000"/>
              <w:right w:val="single" w:sz="4" w:space="0" w:color="000000"/>
            </w:tcBorders>
          </w:tcPr>
          <w:p w14:paraId="3C78131C" w14:textId="77777777" w:rsidR="002F03F5" w:rsidRPr="006F3AA8" w:rsidRDefault="008F23FF" w:rsidP="00921FF3">
            <w:pPr>
              <w:pStyle w:val="TableText"/>
              <w:keepNext/>
              <w:widowControl/>
            </w:pPr>
            <w:r w:rsidRPr="006F3AA8">
              <w:t>8 + log logistic</w:t>
            </w:r>
          </w:p>
        </w:tc>
        <w:tc>
          <w:tcPr>
            <w:tcW w:w="780" w:type="dxa"/>
            <w:tcBorders>
              <w:top w:val="single" w:sz="4" w:space="0" w:color="000000"/>
              <w:left w:val="single" w:sz="4" w:space="0" w:color="000000"/>
              <w:bottom w:val="single" w:sz="4" w:space="0" w:color="000000"/>
              <w:right w:val="single" w:sz="4" w:space="0" w:color="000000"/>
            </w:tcBorders>
          </w:tcPr>
          <w:p w14:paraId="3C78131D" w14:textId="77777777" w:rsidR="002F03F5" w:rsidRPr="006F3AA8" w:rsidRDefault="008F23FF" w:rsidP="00921FF3">
            <w:pPr>
              <w:pStyle w:val="TableText"/>
              <w:keepNext/>
              <w:widowControl/>
              <w:jc w:val="center"/>
            </w:pPr>
            <w:r w:rsidRPr="006F3AA8">
              <w:t>1.389</w:t>
            </w:r>
          </w:p>
        </w:tc>
        <w:tc>
          <w:tcPr>
            <w:tcW w:w="920" w:type="dxa"/>
            <w:tcBorders>
              <w:top w:val="single" w:sz="4" w:space="0" w:color="000000"/>
              <w:left w:val="single" w:sz="4" w:space="0" w:color="000000"/>
              <w:bottom w:val="single" w:sz="4" w:space="0" w:color="000000"/>
              <w:right w:val="single" w:sz="4" w:space="0" w:color="000000"/>
            </w:tcBorders>
          </w:tcPr>
          <w:p w14:paraId="3C78131E" w14:textId="19286F8A" w:rsidR="002F03F5" w:rsidRPr="006F3AA8" w:rsidRDefault="008F23FF" w:rsidP="00921FF3">
            <w:pPr>
              <w:pStyle w:val="TableText"/>
              <w:keepNext/>
              <w:widowControl/>
              <w:jc w:val="center"/>
            </w:pPr>
            <w:r w:rsidRPr="006F3AA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1F" w14:textId="58DD9981" w:rsidR="002F03F5" w:rsidRPr="00B73859" w:rsidRDefault="008F23FF" w:rsidP="00921FF3">
            <w:pPr>
              <w:pStyle w:val="TableText"/>
              <w:keepNext/>
              <w:widowControl/>
              <w:jc w:val="center"/>
              <w:rPr>
                <w:vertAlign w:val="superscript"/>
              </w:rPr>
            </w:pPr>
            <w:r w:rsidRPr="006F3AA8">
              <w:t>$</w:t>
            </w:r>
            <w:r w:rsidR="00B73859" w:rsidRPr="00B73859">
              <w:rPr>
                <w:sz w:val="2"/>
                <w:highlight w:val="black"/>
              </w:rPr>
              <w:t>redacted content</w:t>
            </w:r>
            <w:r w:rsidR="00702414">
              <w:rPr>
                <w:vertAlign w:val="superscript"/>
              </w:rPr>
              <w:t>5</w:t>
            </w:r>
          </w:p>
        </w:tc>
        <w:tc>
          <w:tcPr>
            <w:tcW w:w="1158" w:type="dxa"/>
            <w:tcBorders>
              <w:top w:val="single" w:sz="4" w:space="0" w:color="000000"/>
              <w:left w:val="single" w:sz="4" w:space="0" w:color="000000"/>
              <w:bottom w:val="single" w:sz="4" w:space="0" w:color="000000"/>
              <w:right w:val="single" w:sz="4" w:space="0" w:color="000000"/>
            </w:tcBorders>
          </w:tcPr>
          <w:p w14:paraId="3C781320" w14:textId="43CF7FDD" w:rsidR="002F03F5" w:rsidRPr="006F3AA8" w:rsidRDefault="008F23FF" w:rsidP="00921FF3">
            <w:pPr>
              <w:pStyle w:val="TableText"/>
              <w:keepNext/>
              <w:widowControl/>
              <w:jc w:val="center"/>
            </w:pPr>
            <w:r w:rsidRPr="006F3AA8">
              <w:t>+</w:t>
            </w:r>
            <w:r w:rsidR="00B73859" w:rsidRPr="00B73859">
              <w:rPr>
                <w:sz w:val="2"/>
                <w:highlight w:val="black"/>
              </w:rPr>
              <w:t>redacted content</w:t>
            </w:r>
            <w:r w:rsidRPr="006F3AA8">
              <w:t>%</w:t>
            </w:r>
          </w:p>
        </w:tc>
      </w:tr>
      <w:tr w:rsidR="002F03F5" w:rsidRPr="00935DC8" w14:paraId="3C781328"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22" w14:textId="77777777" w:rsidR="002F03F5" w:rsidRPr="00935DC8" w:rsidRDefault="008F23FF" w:rsidP="00921FF3">
            <w:pPr>
              <w:pStyle w:val="TableText"/>
              <w:keepNext/>
              <w:widowControl/>
            </w:pPr>
            <w:r w:rsidRPr="00935DC8">
              <w:t>10</w:t>
            </w:r>
          </w:p>
        </w:tc>
        <w:tc>
          <w:tcPr>
            <w:tcW w:w="4523" w:type="dxa"/>
            <w:tcBorders>
              <w:top w:val="single" w:sz="4" w:space="0" w:color="000000"/>
              <w:left w:val="single" w:sz="4" w:space="0" w:color="000000"/>
              <w:bottom w:val="single" w:sz="4" w:space="0" w:color="000000"/>
              <w:right w:val="single" w:sz="4" w:space="0" w:color="000000"/>
            </w:tcBorders>
          </w:tcPr>
          <w:p w14:paraId="3C781323" w14:textId="77777777" w:rsidR="002F03F5" w:rsidRPr="00935DC8" w:rsidRDefault="008F23FF" w:rsidP="00921FF3">
            <w:pPr>
              <w:pStyle w:val="TableText"/>
              <w:keepNext/>
              <w:widowControl/>
            </w:pPr>
            <w:r w:rsidRPr="00935DC8">
              <w:t xml:space="preserve">8+ Spline knot 2 </w:t>
            </w:r>
          </w:p>
        </w:tc>
        <w:tc>
          <w:tcPr>
            <w:tcW w:w="780" w:type="dxa"/>
            <w:tcBorders>
              <w:top w:val="single" w:sz="4" w:space="0" w:color="000000"/>
              <w:left w:val="single" w:sz="4" w:space="0" w:color="000000"/>
              <w:bottom w:val="single" w:sz="4" w:space="0" w:color="000000"/>
              <w:right w:val="single" w:sz="4" w:space="0" w:color="000000"/>
            </w:tcBorders>
          </w:tcPr>
          <w:p w14:paraId="3C781324" w14:textId="77777777" w:rsidR="002F03F5" w:rsidRPr="00935DC8" w:rsidRDefault="008F23FF" w:rsidP="00921FF3">
            <w:pPr>
              <w:pStyle w:val="TableText"/>
              <w:keepNext/>
              <w:widowControl/>
              <w:jc w:val="center"/>
            </w:pPr>
            <w:r w:rsidRPr="00935DC8">
              <w:t>1.462</w:t>
            </w:r>
          </w:p>
        </w:tc>
        <w:tc>
          <w:tcPr>
            <w:tcW w:w="920" w:type="dxa"/>
            <w:tcBorders>
              <w:top w:val="single" w:sz="4" w:space="0" w:color="000000"/>
              <w:left w:val="single" w:sz="4" w:space="0" w:color="000000"/>
              <w:bottom w:val="single" w:sz="4" w:space="0" w:color="000000"/>
              <w:right w:val="single" w:sz="4" w:space="0" w:color="000000"/>
            </w:tcBorders>
          </w:tcPr>
          <w:p w14:paraId="3C781325" w14:textId="7E31018F" w:rsidR="002F03F5" w:rsidRPr="00935DC8" w:rsidRDefault="008F23FF" w:rsidP="00921FF3">
            <w:pPr>
              <w:pStyle w:val="TableText"/>
              <w:keepNext/>
              <w:widowControl/>
              <w:jc w:val="center"/>
            </w:pPr>
            <w:r w:rsidRPr="00935DC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26" w14:textId="1489C40F" w:rsidR="002F03F5" w:rsidRPr="00B73859" w:rsidRDefault="008F23FF" w:rsidP="00921FF3">
            <w:pPr>
              <w:pStyle w:val="TableText"/>
              <w:keepNext/>
              <w:widowControl/>
              <w:jc w:val="center"/>
              <w:rPr>
                <w:vertAlign w:val="superscript"/>
              </w:rPr>
            </w:pPr>
            <w:r w:rsidRPr="00935DC8">
              <w:t>$</w:t>
            </w:r>
            <w:r w:rsidR="00B73859" w:rsidRPr="00B73859">
              <w:rPr>
                <w:sz w:val="2"/>
                <w:highlight w:val="black"/>
              </w:rPr>
              <w:t>redacted content</w:t>
            </w:r>
            <w:r w:rsidR="00702414">
              <w:rPr>
                <w:vertAlign w:val="superscript"/>
              </w:rPr>
              <w:t>5</w:t>
            </w:r>
          </w:p>
        </w:tc>
        <w:tc>
          <w:tcPr>
            <w:tcW w:w="1158" w:type="dxa"/>
            <w:tcBorders>
              <w:top w:val="single" w:sz="4" w:space="0" w:color="000000"/>
              <w:left w:val="single" w:sz="4" w:space="0" w:color="000000"/>
              <w:bottom w:val="single" w:sz="4" w:space="0" w:color="000000"/>
              <w:right w:val="single" w:sz="4" w:space="0" w:color="000000"/>
            </w:tcBorders>
          </w:tcPr>
          <w:p w14:paraId="3C781327" w14:textId="397D42DD" w:rsidR="002F03F5" w:rsidRPr="00935DC8" w:rsidRDefault="008F23FF" w:rsidP="00921FF3">
            <w:pPr>
              <w:pStyle w:val="TableText"/>
              <w:keepNext/>
              <w:widowControl/>
              <w:jc w:val="center"/>
            </w:pPr>
            <w:r w:rsidRPr="00935DC8">
              <w:t>+</w:t>
            </w:r>
            <w:r w:rsidR="00B73859" w:rsidRPr="00B73859">
              <w:rPr>
                <w:sz w:val="2"/>
                <w:highlight w:val="black"/>
              </w:rPr>
              <w:t>redacted content</w:t>
            </w:r>
            <w:r w:rsidRPr="00935DC8">
              <w:t>%</w:t>
            </w:r>
          </w:p>
        </w:tc>
      </w:tr>
      <w:tr w:rsidR="002F03F5" w:rsidRPr="00935DC8" w14:paraId="3C78132B"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29" w14:textId="77777777" w:rsidR="002F03F5" w:rsidRPr="00935DC8" w:rsidRDefault="008F23FF" w:rsidP="00921FF3">
            <w:pPr>
              <w:pStyle w:val="TableText"/>
              <w:keepNext/>
              <w:widowControl/>
            </w:pPr>
            <w:r w:rsidRPr="00935DC8">
              <w:t xml:space="preserve"> </w:t>
            </w:r>
          </w:p>
        </w:tc>
        <w:tc>
          <w:tcPr>
            <w:tcW w:w="8624" w:type="dxa"/>
            <w:gridSpan w:val="5"/>
            <w:tcBorders>
              <w:top w:val="single" w:sz="4" w:space="0" w:color="000000"/>
              <w:left w:val="single" w:sz="4" w:space="0" w:color="000000"/>
              <w:bottom w:val="single" w:sz="4" w:space="0" w:color="000000"/>
              <w:right w:val="single" w:sz="4" w:space="0" w:color="000000"/>
            </w:tcBorders>
          </w:tcPr>
          <w:p w14:paraId="3C78132A" w14:textId="77777777" w:rsidR="002F03F5" w:rsidRPr="00935DC8" w:rsidRDefault="008F23FF" w:rsidP="00921FF3">
            <w:pPr>
              <w:pStyle w:val="TableText"/>
              <w:keepNext/>
              <w:widowControl/>
              <w:rPr>
                <w:b/>
                <w:bCs/>
                <w:vertAlign w:val="superscript"/>
              </w:rPr>
            </w:pPr>
            <w:r w:rsidRPr="00935DC8">
              <w:rPr>
                <w:b/>
                <w:bCs/>
              </w:rPr>
              <w:t>ToT modelling: vary PFS extrapolations (base case = equal to PFS [Weibull])</w:t>
            </w:r>
          </w:p>
        </w:tc>
      </w:tr>
      <w:tr w:rsidR="002F03F5" w:rsidRPr="00935DC8" w14:paraId="3C781332"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2C" w14:textId="77777777" w:rsidR="002F03F5" w:rsidRPr="00935DC8" w:rsidRDefault="008F23FF" w:rsidP="00921FF3">
            <w:pPr>
              <w:pStyle w:val="TableText"/>
              <w:keepNext/>
              <w:widowControl/>
            </w:pPr>
            <w:r w:rsidRPr="00935DC8">
              <w:t>11</w:t>
            </w:r>
          </w:p>
        </w:tc>
        <w:tc>
          <w:tcPr>
            <w:tcW w:w="4523" w:type="dxa"/>
            <w:tcBorders>
              <w:top w:val="single" w:sz="4" w:space="0" w:color="000000"/>
              <w:left w:val="single" w:sz="4" w:space="0" w:color="000000"/>
              <w:bottom w:val="single" w:sz="4" w:space="0" w:color="000000"/>
              <w:right w:val="single" w:sz="4" w:space="0" w:color="000000"/>
            </w:tcBorders>
          </w:tcPr>
          <w:p w14:paraId="3C78132D" w14:textId="77777777" w:rsidR="002F03F5" w:rsidRPr="00935DC8" w:rsidRDefault="008F23FF" w:rsidP="00921FF3">
            <w:pPr>
              <w:pStyle w:val="TableText"/>
              <w:keepNext/>
              <w:widowControl/>
            </w:pPr>
            <w:r w:rsidRPr="00935DC8">
              <w:t>Exponential</w:t>
            </w:r>
          </w:p>
        </w:tc>
        <w:tc>
          <w:tcPr>
            <w:tcW w:w="780" w:type="dxa"/>
            <w:tcBorders>
              <w:top w:val="single" w:sz="4" w:space="0" w:color="000000"/>
              <w:left w:val="single" w:sz="4" w:space="0" w:color="000000"/>
              <w:bottom w:val="single" w:sz="4" w:space="0" w:color="000000"/>
              <w:right w:val="single" w:sz="4" w:space="0" w:color="000000"/>
            </w:tcBorders>
          </w:tcPr>
          <w:p w14:paraId="3C78132E" w14:textId="77777777" w:rsidR="002F03F5" w:rsidRPr="00935DC8" w:rsidRDefault="008F23FF" w:rsidP="00921FF3">
            <w:pPr>
              <w:pStyle w:val="TableText"/>
              <w:keepNext/>
              <w:widowControl/>
              <w:jc w:val="center"/>
            </w:pPr>
            <w:r w:rsidRPr="00935DC8">
              <w:t>4.120</w:t>
            </w:r>
          </w:p>
        </w:tc>
        <w:tc>
          <w:tcPr>
            <w:tcW w:w="920" w:type="dxa"/>
            <w:tcBorders>
              <w:top w:val="single" w:sz="4" w:space="0" w:color="000000"/>
              <w:left w:val="single" w:sz="4" w:space="0" w:color="000000"/>
              <w:bottom w:val="single" w:sz="4" w:space="0" w:color="000000"/>
              <w:right w:val="single" w:sz="4" w:space="0" w:color="000000"/>
            </w:tcBorders>
          </w:tcPr>
          <w:p w14:paraId="3C78132F" w14:textId="2A0357A6" w:rsidR="002F03F5" w:rsidRPr="00935DC8" w:rsidRDefault="008F23FF" w:rsidP="00921FF3">
            <w:pPr>
              <w:pStyle w:val="TableText"/>
              <w:keepNext/>
              <w:widowControl/>
              <w:jc w:val="center"/>
            </w:pPr>
            <w:r w:rsidRPr="00935DC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30" w14:textId="6E2EDEC2" w:rsidR="002F03F5" w:rsidRPr="00B73859" w:rsidRDefault="008F23FF" w:rsidP="00921FF3">
            <w:pPr>
              <w:pStyle w:val="TableText"/>
              <w:keepNext/>
              <w:widowControl/>
              <w:jc w:val="center"/>
              <w:rPr>
                <w:vertAlign w:val="superscript"/>
              </w:rPr>
            </w:pPr>
            <w:r w:rsidRPr="00935DC8">
              <w:t>$</w:t>
            </w:r>
            <w:r w:rsidR="00B73859" w:rsidRPr="00B73859">
              <w:rPr>
                <w:sz w:val="2"/>
                <w:highlight w:val="black"/>
              </w:rPr>
              <w:t>redacted content</w:t>
            </w:r>
            <w:r w:rsidR="000E495A">
              <w:rPr>
                <w:vertAlign w:val="superscript"/>
              </w:rPr>
              <w:t>6</w:t>
            </w:r>
          </w:p>
        </w:tc>
        <w:tc>
          <w:tcPr>
            <w:tcW w:w="1158" w:type="dxa"/>
            <w:tcBorders>
              <w:top w:val="single" w:sz="4" w:space="0" w:color="000000"/>
              <w:left w:val="single" w:sz="4" w:space="0" w:color="000000"/>
              <w:bottom w:val="single" w:sz="4" w:space="0" w:color="000000"/>
              <w:right w:val="single" w:sz="4" w:space="0" w:color="000000"/>
            </w:tcBorders>
          </w:tcPr>
          <w:p w14:paraId="3C781331" w14:textId="74133C4E" w:rsidR="002F03F5" w:rsidRPr="00935DC8" w:rsidRDefault="008F23FF" w:rsidP="00921FF3">
            <w:pPr>
              <w:pStyle w:val="TableText"/>
              <w:keepNext/>
              <w:widowControl/>
              <w:jc w:val="center"/>
            </w:pPr>
            <w:r w:rsidRPr="00935DC8">
              <w:t>+</w:t>
            </w:r>
            <w:r w:rsidR="00B73859" w:rsidRPr="00B73859">
              <w:rPr>
                <w:sz w:val="2"/>
                <w:highlight w:val="black"/>
              </w:rPr>
              <w:t>redacted content</w:t>
            </w:r>
            <w:r w:rsidRPr="00935DC8">
              <w:t>%</w:t>
            </w:r>
          </w:p>
        </w:tc>
      </w:tr>
      <w:tr w:rsidR="002F03F5" w:rsidRPr="00935DC8" w14:paraId="3C781339"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33" w14:textId="77777777" w:rsidR="002F03F5" w:rsidRPr="00935DC8" w:rsidRDefault="008F23FF" w:rsidP="00921FF3">
            <w:pPr>
              <w:pStyle w:val="TableText"/>
              <w:keepNext/>
              <w:widowControl/>
            </w:pPr>
            <w:r w:rsidRPr="00935DC8">
              <w:t>12</w:t>
            </w:r>
          </w:p>
        </w:tc>
        <w:tc>
          <w:tcPr>
            <w:tcW w:w="4523" w:type="dxa"/>
            <w:tcBorders>
              <w:top w:val="single" w:sz="4" w:space="0" w:color="000000"/>
              <w:left w:val="single" w:sz="4" w:space="0" w:color="000000"/>
              <w:bottom w:val="single" w:sz="4" w:space="0" w:color="000000"/>
              <w:right w:val="single" w:sz="4" w:space="0" w:color="000000"/>
            </w:tcBorders>
          </w:tcPr>
          <w:p w14:paraId="3C781334" w14:textId="77777777" w:rsidR="002F03F5" w:rsidRPr="00935DC8" w:rsidRDefault="008F23FF" w:rsidP="00921FF3">
            <w:pPr>
              <w:pStyle w:val="TableText"/>
              <w:keepNext/>
              <w:widowControl/>
            </w:pPr>
            <w:r w:rsidRPr="00935DC8">
              <w:t>Gen gamma</w:t>
            </w:r>
          </w:p>
        </w:tc>
        <w:tc>
          <w:tcPr>
            <w:tcW w:w="780" w:type="dxa"/>
            <w:tcBorders>
              <w:top w:val="single" w:sz="4" w:space="0" w:color="000000"/>
              <w:left w:val="single" w:sz="4" w:space="0" w:color="000000"/>
              <w:bottom w:val="single" w:sz="4" w:space="0" w:color="000000"/>
              <w:right w:val="single" w:sz="4" w:space="0" w:color="000000"/>
            </w:tcBorders>
          </w:tcPr>
          <w:p w14:paraId="3C781335" w14:textId="77777777" w:rsidR="002F03F5" w:rsidRPr="00935DC8" w:rsidRDefault="008F23FF" w:rsidP="00921FF3">
            <w:pPr>
              <w:pStyle w:val="TableText"/>
              <w:keepNext/>
              <w:widowControl/>
              <w:jc w:val="center"/>
            </w:pPr>
            <w:r w:rsidRPr="00935DC8">
              <w:t>4.086</w:t>
            </w:r>
          </w:p>
        </w:tc>
        <w:tc>
          <w:tcPr>
            <w:tcW w:w="920" w:type="dxa"/>
            <w:tcBorders>
              <w:top w:val="single" w:sz="4" w:space="0" w:color="000000"/>
              <w:left w:val="single" w:sz="4" w:space="0" w:color="000000"/>
              <w:bottom w:val="single" w:sz="4" w:space="0" w:color="000000"/>
              <w:right w:val="single" w:sz="4" w:space="0" w:color="000000"/>
            </w:tcBorders>
          </w:tcPr>
          <w:p w14:paraId="3C781336" w14:textId="3826A5E1" w:rsidR="002F03F5" w:rsidRPr="00935DC8" w:rsidRDefault="008F23FF" w:rsidP="00921FF3">
            <w:pPr>
              <w:pStyle w:val="TableText"/>
              <w:keepNext/>
              <w:widowControl/>
              <w:jc w:val="center"/>
            </w:pPr>
            <w:r w:rsidRPr="00935DC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37" w14:textId="19BA079C" w:rsidR="002F03F5" w:rsidRPr="00B73859" w:rsidRDefault="008F23FF" w:rsidP="00921FF3">
            <w:pPr>
              <w:pStyle w:val="TableText"/>
              <w:keepNext/>
              <w:widowControl/>
              <w:jc w:val="center"/>
              <w:rPr>
                <w:vertAlign w:val="superscript"/>
              </w:rPr>
            </w:pPr>
            <w:r w:rsidRPr="00935DC8">
              <w:t>$</w:t>
            </w:r>
            <w:r w:rsidR="00B73859" w:rsidRPr="00B73859">
              <w:rPr>
                <w:sz w:val="2"/>
                <w:highlight w:val="black"/>
              </w:rPr>
              <w:t>redacted content</w:t>
            </w:r>
            <w:r w:rsidR="000E495A">
              <w:rPr>
                <w:vertAlign w:val="superscript"/>
              </w:rPr>
              <w:t>1</w:t>
            </w:r>
          </w:p>
        </w:tc>
        <w:tc>
          <w:tcPr>
            <w:tcW w:w="1158" w:type="dxa"/>
            <w:tcBorders>
              <w:top w:val="single" w:sz="4" w:space="0" w:color="000000"/>
              <w:left w:val="single" w:sz="4" w:space="0" w:color="000000"/>
              <w:bottom w:val="single" w:sz="4" w:space="0" w:color="000000"/>
              <w:right w:val="single" w:sz="4" w:space="0" w:color="000000"/>
            </w:tcBorders>
          </w:tcPr>
          <w:p w14:paraId="3C781338" w14:textId="1751901B" w:rsidR="002F03F5" w:rsidRPr="00935DC8" w:rsidRDefault="008F23FF" w:rsidP="00921FF3">
            <w:pPr>
              <w:pStyle w:val="TableText"/>
              <w:keepNext/>
              <w:widowControl/>
              <w:jc w:val="center"/>
            </w:pPr>
            <w:r w:rsidRPr="00935DC8">
              <w:t>-</w:t>
            </w:r>
            <w:r w:rsidR="00B73859" w:rsidRPr="00B73859">
              <w:rPr>
                <w:sz w:val="2"/>
                <w:highlight w:val="black"/>
              </w:rPr>
              <w:t>redacted content</w:t>
            </w:r>
            <w:r w:rsidRPr="00935DC8">
              <w:t>%</w:t>
            </w:r>
          </w:p>
        </w:tc>
      </w:tr>
      <w:tr w:rsidR="002F03F5" w:rsidRPr="00935DC8" w14:paraId="3C78133C"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3A" w14:textId="77777777" w:rsidR="002F03F5" w:rsidRPr="00935DC8" w:rsidRDefault="008F23FF" w:rsidP="00921FF3">
            <w:pPr>
              <w:pStyle w:val="TableText"/>
              <w:keepNext/>
              <w:widowControl/>
            </w:pPr>
            <w:r w:rsidRPr="00935DC8">
              <w:t xml:space="preserve"> </w:t>
            </w:r>
          </w:p>
        </w:tc>
        <w:tc>
          <w:tcPr>
            <w:tcW w:w="8624" w:type="dxa"/>
            <w:gridSpan w:val="5"/>
            <w:tcBorders>
              <w:top w:val="single" w:sz="4" w:space="0" w:color="000000"/>
              <w:left w:val="single" w:sz="4" w:space="0" w:color="000000"/>
              <w:bottom w:val="single" w:sz="4" w:space="0" w:color="000000"/>
              <w:right w:val="single" w:sz="4" w:space="0" w:color="000000"/>
            </w:tcBorders>
          </w:tcPr>
          <w:p w14:paraId="3C78133B" w14:textId="77777777" w:rsidR="002F03F5" w:rsidRPr="00935DC8" w:rsidRDefault="008F23FF" w:rsidP="00921FF3">
            <w:pPr>
              <w:pStyle w:val="TableText"/>
              <w:keepNext/>
              <w:widowControl/>
              <w:rPr>
                <w:vertAlign w:val="superscript"/>
              </w:rPr>
            </w:pPr>
            <w:r w:rsidRPr="00935DC8">
              <w:rPr>
                <w:b/>
                <w:bCs/>
              </w:rPr>
              <w:t>ToT modelling: assumed no PFS capping + vary ToT extrapolations (base case = equal to PFS [Weibull])</w:t>
            </w:r>
          </w:p>
        </w:tc>
      </w:tr>
      <w:tr w:rsidR="002F03F5" w:rsidRPr="00935DC8" w14:paraId="3C781343"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3D" w14:textId="77777777" w:rsidR="002F03F5" w:rsidRPr="00935DC8" w:rsidRDefault="008F23FF" w:rsidP="00921FF3">
            <w:pPr>
              <w:pStyle w:val="TableText"/>
              <w:keepNext/>
              <w:widowControl/>
            </w:pPr>
            <w:r w:rsidRPr="00935DC8">
              <w:t>13</w:t>
            </w:r>
          </w:p>
        </w:tc>
        <w:tc>
          <w:tcPr>
            <w:tcW w:w="4523" w:type="dxa"/>
            <w:tcBorders>
              <w:top w:val="single" w:sz="4" w:space="0" w:color="000000"/>
              <w:left w:val="single" w:sz="4" w:space="0" w:color="000000"/>
              <w:bottom w:val="single" w:sz="4" w:space="0" w:color="000000"/>
              <w:right w:val="single" w:sz="4" w:space="0" w:color="000000"/>
            </w:tcBorders>
          </w:tcPr>
          <w:p w14:paraId="3C78133E" w14:textId="77777777" w:rsidR="002F03F5" w:rsidRPr="00935DC8" w:rsidRDefault="008F23FF" w:rsidP="00921FF3">
            <w:pPr>
              <w:pStyle w:val="TableText"/>
              <w:keepNext/>
              <w:widowControl/>
            </w:pPr>
            <w:r w:rsidRPr="00935DC8">
              <w:t>Log logistic</w:t>
            </w:r>
          </w:p>
        </w:tc>
        <w:tc>
          <w:tcPr>
            <w:tcW w:w="780" w:type="dxa"/>
            <w:tcBorders>
              <w:top w:val="single" w:sz="4" w:space="0" w:color="000000"/>
              <w:left w:val="single" w:sz="4" w:space="0" w:color="000000"/>
              <w:bottom w:val="single" w:sz="4" w:space="0" w:color="000000"/>
              <w:right w:val="single" w:sz="4" w:space="0" w:color="000000"/>
            </w:tcBorders>
          </w:tcPr>
          <w:p w14:paraId="3C78133F" w14:textId="77777777" w:rsidR="002F03F5" w:rsidRPr="00935DC8" w:rsidRDefault="008F23FF" w:rsidP="00921FF3">
            <w:pPr>
              <w:pStyle w:val="TableText"/>
              <w:keepNext/>
              <w:widowControl/>
              <w:jc w:val="center"/>
            </w:pPr>
            <w:r w:rsidRPr="00935DC8">
              <w:t>4.088</w:t>
            </w:r>
          </w:p>
        </w:tc>
        <w:tc>
          <w:tcPr>
            <w:tcW w:w="920" w:type="dxa"/>
            <w:tcBorders>
              <w:top w:val="single" w:sz="4" w:space="0" w:color="000000"/>
              <w:left w:val="single" w:sz="4" w:space="0" w:color="000000"/>
              <w:bottom w:val="single" w:sz="4" w:space="0" w:color="000000"/>
              <w:right w:val="single" w:sz="4" w:space="0" w:color="000000"/>
            </w:tcBorders>
          </w:tcPr>
          <w:p w14:paraId="3C781340" w14:textId="65343A6B" w:rsidR="002F03F5" w:rsidRPr="00935DC8" w:rsidRDefault="008F23FF" w:rsidP="00921FF3">
            <w:pPr>
              <w:pStyle w:val="TableText"/>
              <w:keepNext/>
              <w:widowControl/>
              <w:jc w:val="center"/>
            </w:pPr>
            <w:r w:rsidRPr="00935DC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41" w14:textId="0D586A01" w:rsidR="002F03F5" w:rsidRPr="00B73859" w:rsidRDefault="008F23FF" w:rsidP="00921FF3">
            <w:pPr>
              <w:pStyle w:val="TableText"/>
              <w:keepNext/>
              <w:widowControl/>
              <w:jc w:val="center"/>
              <w:rPr>
                <w:vertAlign w:val="superscript"/>
              </w:rPr>
            </w:pPr>
            <w:r w:rsidRPr="00935DC8">
              <w:t>$</w:t>
            </w:r>
            <w:r w:rsidR="00B73859" w:rsidRPr="00B73859">
              <w:rPr>
                <w:sz w:val="2"/>
                <w:highlight w:val="black"/>
              </w:rPr>
              <w:t>redacted content</w:t>
            </w:r>
            <w:r w:rsidR="004E7949">
              <w:rPr>
                <w:vertAlign w:val="superscript"/>
              </w:rPr>
              <w:t>4</w:t>
            </w:r>
          </w:p>
        </w:tc>
        <w:tc>
          <w:tcPr>
            <w:tcW w:w="1158" w:type="dxa"/>
            <w:tcBorders>
              <w:top w:val="single" w:sz="4" w:space="0" w:color="000000"/>
              <w:left w:val="single" w:sz="4" w:space="0" w:color="000000"/>
              <w:bottom w:val="single" w:sz="4" w:space="0" w:color="000000"/>
              <w:right w:val="single" w:sz="4" w:space="0" w:color="000000"/>
            </w:tcBorders>
          </w:tcPr>
          <w:p w14:paraId="3C781342" w14:textId="2B9BD139" w:rsidR="002F03F5" w:rsidRPr="00935DC8" w:rsidRDefault="008F23FF" w:rsidP="00921FF3">
            <w:pPr>
              <w:pStyle w:val="TableText"/>
              <w:keepNext/>
              <w:widowControl/>
              <w:jc w:val="center"/>
            </w:pPr>
            <w:r w:rsidRPr="00935DC8">
              <w:t>+</w:t>
            </w:r>
            <w:r w:rsidR="00B73859" w:rsidRPr="00B73859">
              <w:rPr>
                <w:sz w:val="2"/>
                <w:highlight w:val="black"/>
              </w:rPr>
              <w:t>redacted content</w:t>
            </w:r>
            <w:r w:rsidRPr="00935DC8">
              <w:t>%</w:t>
            </w:r>
          </w:p>
        </w:tc>
      </w:tr>
      <w:tr w:rsidR="002F03F5" w:rsidRPr="00935DC8" w14:paraId="3C78134A"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44" w14:textId="77777777" w:rsidR="002F03F5" w:rsidRPr="00935DC8" w:rsidRDefault="008F23FF" w:rsidP="00921FF3">
            <w:pPr>
              <w:pStyle w:val="TableText"/>
              <w:keepNext/>
              <w:widowControl/>
            </w:pPr>
            <w:r w:rsidRPr="00935DC8">
              <w:t>14</w:t>
            </w:r>
          </w:p>
        </w:tc>
        <w:tc>
          <w:tcPr>
            <w:tcW w:w="4523" w:type="dxa"/>
            <w:tcBorders>
              <w:top w:val="single" w:sz="4" w:space="0" w:color="000000"/>
              <w:left w:val="single" w:sz="4" w:space="0" w:color="000000"/>
              <w:bottom w:val="single" w:sz="4" w:space="0" w:color="000000"/>
              <w:right w:val="single" w:sz="4" w:space="0" w:color="000000"/>
            </w:tcBorders>
          </w:tcPr>
          <w:p w14:paraId="3C781345" w14:textId="77777777" w:rsidR="002F03F5" w:rsidRPr="00935DC8" w:rsidRDefault="008F23FF" w:rsidP="00921FF3">
            <w:pPr>
              <w:pStyle w:val="TableText"/>
              <w:keepNext/>
              <w:widowControl/>
            </w:pPr>
            <w:r w:rsidRPr="00935DC8">
              <w:t>Spline knot 3</w:t>
            </w:r>
          </w:p>
        </w:tc>
        <w:tc>
          <w:tcPr>
            <w:tcW w:w="780" w:type="dxa"/>
            <w:tcBorders>
              <w:top w:val="single" w:sz="4" w:space="0" w:color="000000"/>
              <w:left w:val="single" w:sz="4" w:space="0" w:color="000000"/>
              <w:bottom w:val="single" w:sz="4" w:space="0" w:color="000000"/>
              <w:right w:val="single" w:sz="4" w:space="0" w:color="000000"/>
            </w:tcBorders>
          </w:tcPr>
          <w:p w14:paraId="3C781346" w14:textId="77777777" w:rsidR="002F03F5" w:rsidRPr="00935DC8" w:rsidRDefault="008F23FF" w:rsidP="00921FF3">
            <w:pPr>
              <w:pStyle w:val="TableText"/>
              <w:keepNext/>
              <w:widowControl/>
              <w:jc w:val="center"/>
            </w:pPr>
            <w:r w:rsidRPr="00935DC8">
              <w:t>4.088</w:t>
            </w:r>
          </w:p>
        </w:tc>
        <w:tc>
          <w:tcPr>
            <w:tcW w:w="920" w:type="dxa"/>
            <w:tcBorders>
              <w:top w:val="single" w:sz="4" w:space="0" w:color="000000"/>
              <w:left w:val="single" w:sz="4" w:space="0" w:color="000000"/>
              <w:bottom w:val="single" w:sz="4" w:space="0" w:color="000000"/>
              <w:right w:val="single" w:sz="4" w:space="0" w:color="000000"/>
            </w:tcBorders>
          </w:tcPr>
          <w:p w14:paraId="3C781347" w14:textId="504FC87A" w:rsidR="002F03F5" w:rsidRPr="00935DC8" w:rsidRDefault="008F23FF" w:rsidP="00921FF3">
            <w:pPr>
              <w:pStyle w:val="TableText"/>
              <w:keepNext/>
              <w:widowControl/>
              <w:jc w:val="center"/>
            </w:pPr>
            <w:r w:rsidRPr="00935DC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48" w14:textId="41A079BB" w:rsidR="002F03F5" w:rsidRPr="00B73859" w:rsidRDefault="008F23FF" w:rsidP="00921FF3">
            <w:pPr>
              <w:pStyle w:val="TableText"/>
              <w:keepNext/>
              <w:widowControl/>
              <w:jc w:val="center"/>
              <w:rPr>
                <w:vertAlign w:val="superscript"/>
              </w:rPr>
            </w:pPr>
            <w:r w:rsidRPr="00935DC8">
              <w:t>$</w:t>
            </w:r>
            <w:r w:rsidR="00B73859" w:rsidRPr="00B73859">
              <w:rPr>
                <w:sz w:val="2"/>
                <w:highlight w:val="black"/>
              </w:rPr>
              <w:t>redacted content</w:t>
            </w:r>
            <w:r w:rsidR="004E7949">
              <w:rPr>
                <w:vertAlign w:val="superscript"/>
              </w:rPr>
              <w:t>4</w:t>
            </w:r>
          </w:p>
        </w:tc>
        <w:tc>
          <w:tcPr>
            <w:tcW w:w="1158" w:type="dxa"/>
            <w:tcBorders>
              <w:top w:val="single" w:sz="4" w:space="0" w:color="000000"/>
              <w:left w:val="single" w:sz="4" w:space="0" w:color="000000"/>
              <w:bottom w:val="single" w:sz="4" w:space="0" w:color="000000"/>
              <w:right w:val="single" w:sz="4" w:space="0" w:color="000000"/>
            </w:tcBorders>
          </w:tcPr>
          <w:p w14:paraId="3C781349" w14:textId="512F6493" w:rsidR="002F03F5" w:rsidRPr="00935DC8" w:rsidRDefault="008F23FF" w:rsidP="00921FF3">
            <w:pPr>
              <w:pStyle w:val="TableText"/>
              <w:keepNext/>
              <w:widowControl/>
              <w:jc w:val="center"/>
            </w:pPr>
            <w:r w:rsidRPr="00935DC8">
              <w:t>+</w:t>
            </w:r>
            <w:r w:rsidR="00B73859" w:rsidRPr="00B73859">
              <w:rPr>
                <w:sz w:val="2"/>
                <w:highlight w:val="black"/>
              </w:rPr>
              <w:t>redacted content</w:t>
            </w:r>
            <w:r w:rsidRPr="00935DC8">
              <w:t>%</w:t>
            </w:r>
          </w:p>
        </w:tc>
      </w:tr>
      <w:tr w:rsidR="002F03F5" w:rsidRPr="00935DC8" w14:paraId="3C78134D"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4B" w14:textId="77777777" w:rsidR="002F03F5" w:rsidRPr="00935DC8" w:rsidRDefault="008F23FF" w:rsidP="00921FF3">
            <w:pPr>
              <w:pStyle w:val="TableText"/>
              <w:keepNext/>
              <w:widowControl/>
            </w:pPr>
            <w:r w:rsidRPr="00935DC8">
              <w:t xml:space="preserve"> </w:t>
            </w:r>
          </w:p>
        </w:tc>
        <w:tc>
          <w:tcPr>
            <w:tcW w:w="8624" w:type="dxa"/>
            <w:gridSpan w:val="5"/>
            <w:tcBorders>
              <w:top w:val="single" w:sz="4" w:space="0" w:color="000000"/>
              <w:left w:val="single" w:sz="4" w:space="0" w:color="000000"/>
              <w:bottom w:val="single" w:sz="4" w:space="0" w:color="000000"/>
              <w:right w:val="single" w:sz="4" w:space="0" w:color="000000"/>
            </w:tcBorders>
          </w:tcPr>
          <w:p w14:paraId="3C78134C" w14:textId="77777777" w:rsidR="002F03F5" w:rsidRPr="00935DC8" w:rsidRDefault="008F23FF" w:rsidP="00921FF3">
            <w:pPr>
              <w:pStyle w:val="TableText"/>
              <w:keepNext/>
              <w:widowControl/>
            </w:pPr>
            <w:r w:rsidRPr="00935DC8">
              <w:rPr>
                <w:b/>
                <w:bCs/>
              </w:rPr>
              <w:t>Utilities (base case: LIBRETTO-531 Australian tariffs, PF = 0.8839; PD = 0.8672)</w:t>
            </w:r>
          </w:p>
        </w:tc>
      </w:tr>
      <w:tr w:rsidR="002F03F5" w:rsidRPr="00935DC8" w14:paraId="3C781354"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4E" w14:textId="77777777" w:rsidR="002F03F5" w:rsidRPr="00935DC8" w:rsidRDefault="008F23FF" w:rsidP="00921FF3">
            <w:pPr>
              <w:pStyle w:val="TableText"/>
              <w:keepNext/>
              <w:widowControl/>
            </w:pPr>
            <w:r w:rsidRPr="00935DC8">
              <w:t>15</w:t>
            </w:r>
          </w:p>
        </w:tc>
        <w:tc>
          <w:tcPr>
            <w:tcW w:w="4523" w:type="dxa"/>
            <w:tcBorders>
              <w:top w:val="single" w:sz="4" w:space="0" w:color="000000"/>
              <w:left w:val="single" w:sz="4" w:space="0" w:color="000000"/>
              <w:bottom w:val="single" w:sz="4" w:space="0" w:color="000000"/>
              <w:right w:val="single" w:sz="4" w:space="0" w:color="000000"/>
            </w:tcBorders>
          </w:tcPr>
          <w:p w14:paraId="3C78134F" w14:textId="77777777" w:rsidR="002F03F5" w:rsidRPr="00935DC8" w:rsidRDefault="008F23FF" w:rsidP="00921FF3">
            <w:pPr>
              <w:pStyle w:val="TableText"/>
              <w:keepNext/>
              <w:widowControl/>
            </w:pPr>
            <w:r w:rsidRPr="00935DC8">
              <w:t>Fordham 2015 PF = 0.80, PD = 0.50</w:t>
            </w:r>
          </w:p>
        </w:tc>
        <w:tc>
          <w:tcPr>
            <w:tcW w:w="780" w:type="dxa"/>
            <w:tcBorders>
              <w:top w:val="single" w:sz="4" w:space="0" w:color="000000"/>
              <w:left w:val="single" w:sz="4" w:space="0" w:color="000000"/>
              <w:bottom w:val="single" w:sz="4" w:space="0" w:color="000000"/>
              <w:right w:val="single" w:sz="4" w:space="0" w:color="000000"/>
            </w:tcBorders>
          </w:tcPr>
          <w:p w14:paraId="3C781350" w14:textId="77777777" w:rsidR="002F03F5" w:rsidRPr="00935DC8" w:rsidRDefault="008F23FF" w:rsidP="00921FF3">
            <w:pPr>
              <w:pStyle w:val="TableText"/>
              <w:keepNext/>
              <w:widowControl/>
              <w:jc w:val="center"/>
            </w:pPr>
            <w:r w:rsidRPr="00935DC8">
              <w:t>3.438</w:t>
            </w:r>
          </w:p>
        </w:tc>
        <w:tc>
          <w:tcPr>
            <w:tcW w:w="920" w:type="dxa"/>
            <w:tcBorders>
              <w:top w:val="single" w:sz="4" w:space="0" w:color="000000"/>
              <w:left w:val="single" w:sz="4" w:space="0" w:color="000000"/>
              <w:bottom w:val="single" w:sz="4" w:space="0" w:color="000000"/>
              <w:right w:val="single" w:sz="4" w:space="0" w:color="000000"/>
            </w:tcBorders>
          </w:tcPr>
          <w:p w14:paraId="3C781351" w14:textId="7DD4DECD" w:rsidR="002F03F5" w:rsidRPr="00935DC8" w:rsidRDefault="008F23FF" w:rsidP="00921FF3">
            <w:pPr>
              <w:pStyle w:val="TableText"/>
              <w:keepNext/>
              <w:widowControl/>
              <w:jc w:val="center"/>
            </w:pPr>
            <w:r w:rsidRPr="00935DC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52" w14:textId="0BE85577" w:rsidR="002F03F5" w:rsidRPr="00B73859" w:rsidRDefault="008F23FF" w:rsidP="00921FF3">
            <w:pPr>
              <w:pStyle w:val="TableText"/>
              <w:keepNext/>
              <w:widowControl/>
              <w:jc w:val="center"/>
              <w:rPr>
                <w:vertAlign w:val="superscript"/>
              </w:rPr>
            </w:pPr>
            <w:r w:rsidRPr="00935DC8">
              <w:t>$</w:t>
            </w:r>
            <w:r w:rsidR="00B73859" w:rsidRPr="00B73859">
              <w:rPr>
                <w:sz w:val="2"/>
                <w:highlight w:val="black"/>
              </w:rPr>
              <w:t>redacted content</w:t>
            </w:r>
            <w:r w:rsidR="00C67D39">
              <w:rPr>
                <w:vertAlign w:val="superscript"/>
              </w:rPr>
              <w:t>2</w:t>
            </w:r>
          </w:p>
        </w:tc>
        <w:tc>
          <w:tcPr>
            <w:tcW w:w="1158" w:type="dxa"/>
            <w:tcBorders>
              <w:top w:val="single" w:sz="4" w:space="0" w:color="000000"/>
              <w:left w:val="single" w:sz="4" w:space="0" w:color="000000"/>
              <w:bottom w:val="single" w:sz="4" w:space="0" w:color="000000"/>
              <w:right w:val="single" w:sz="4" w:space="0" w:color="000000"/>
            </w:tcBorders>
          </w:tcPr>
          <w:p w14:paraId="3C781353" w14:textId="48F4326B" w:rsidR="002F03F5" w:rsidRPr="00935DC8" w:rsidRDefault="008F23FF" w:rsidP="00921FF3">
            <w:pPr>
              <w:pStyle w:val="TableText"/>
              <w:keepNext/>
              <w:widowControl/>
              <w:jc w:val="center"/>
            </w:pPr>
            <w:r w:rsidRPr="00935DC8">
              <w:t>+</w:t>
            </w:r>
            <w:r w:rsidR="00B73859" w:rsidRPr="00B73859">
              <w:rPr>
                <w:sz w:val="2"/>
                <w:highlight w:val="black"/>
              </w:rPr>
              <w:t>redacted content</w:t>
            </w:r>
            <w:r w:rsidRPr="00935DC8">
              <w:t>%</w:t>
            </w:r>
          </w:p>
        </w:tc>
      </w:tr>
      <w:tr w:rsidR="002F03F5" w:rsidRPr="00935DC8" w14:paraId="3C781357"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55" w14:textId="77777777" w:rsidR="002F03F5" w:rsidRPr="00935DC8" w:rsidRDefault="002F03F5" w:rsidP="00921FF3">
            <w:pPr>
              <w:pStyle w:val="TableText"/>
              <w:keepNext/>
              <w:widowControl/>
            </w:pPr>
          </w:p>
        </w:tc>
        <w:tc>
          <w:tcPr>
            <w:tcW w:w="8624" w:type="dxa"/>
            <w:gridSpan w:val="5"/>
            <w:tcBorders>
              <w:top w:val="single" w:sz="4" w:space="0" w:color="000000"/>
              <w:left w:val="single" w:sz="4" w:space="0" w:color="000000"/>
              <w:bottom w:val="single" w:sz="4" w:space="0" w:color="000000"/>
              <w:right w:val="single" w:sz="4" w:space="0" w:color="000000"/>
            </w:tcBorders>
          </w:tcPr>
          <w:p w14:paraId="3C781356" w14:textId="77777777" w:rsidR="002F03F5" w:rsidRPr="00935DC8" w:rsidRDefault="008F23FF" w:rsidP="00921FF3">
            <w:pPr>
              <w:pStyle w:val="TableText"/>
              <w:keepNext/>
              <w:widowControl/>
            </w:pPr>
            <w:r w:rsidRPr="00935DC8">
              <w:rPr>
                <w:b/>
                <w:bCs/>
              </w:rPr>
              <w:t>Terminal care costs (base case: $44,556 from Langton 2016)</w:t>
            </w:r>
          </w:p>
        </w:tc>
      </w:tr>
      <w:tr w:rsidR="002F03F5" w:rsidRPr="00935DC8" w14:paraId="3C78135E"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58" w14:textId="77777777" w:rsidR="002F03F5" w:rsidRPr="00935DC8" w:rsidRDefault="008F23FF" w:rsidP="00921FF3">
            <w:pPr>
              <w:pStyle w:val="TableText"/>
              <w:keepNext/>
              <w:widowControl/>
            </w:pPr>
            <w:r w:rsidRPr="00935DC8">
              <w:t>16</w:t>
            </w:r>
          </w:p>
        </w:tc>
        <w:tc>
          <w:tcPr>
            <w:tcW w:w="4523" w:type="dxa"/>
            <w:tcBorders>
              <w:top w:val="single" w:sz="4" w:space="0" w:color="000000"/>
              <w:left w:val="single" w:sz="4" w:space="0" w:color="000000"/>
              <w:bottom w:val="single" w:sz="4" w:space="0" w:color="000000"/>
              <w:right w:val="single" w:sz="4" w:space="0" w:color="000000"/>
            </w:tcBorders>
          </w:tcPr>
          <w:p w14:paraId="3C781359" w14:textId="77777777" w:rsidR="002F03F5" w:rsidRPr="00935DC8" w:rsidRDefault="008F23FF" w:rsidP="00921FF3">
            <w:pPr>
              <w:pStyle w:val="TableText"/>
              <w:keepNext/>
              <w:widowControl/>
            </w:pPr>
            <w:r w:rsidRPr="00935DC8">
              <w:t>Exclude</w:t>
            </w:r>
          </w:p>
        </w:tc>
        <w:tc>
          <w:tcPr>
            <w:tcW w:w="780" w:type="dxa"/>
            <w:tcBorders>
              <w:top w:val="single" w:sz="4" w:space="0" w:color="000000"/>
              <w:left w:val="single" w:sz="4" w:space="0" w:color="000000"/>
              <w:bottom w:val="single" w:sz="4" w:space="0" w:color="000000"/>
              <w:right w:val="single" w:sz="4" w:space="0" w:color="000000"/>
            </w:tcBorders>
          </w:tcPr>
          <w:p w14:paraId="3C78135A" w14:textId="77777777" w:rsidR="002F03F5" w:rsidRPr="00935DC8" w:rsidRDefault="008F23FF" w:rsidP="00921FF3">
            <w:pPr>
              <w:pStyle w:val="TableText"/>
              <w:keepNext/>
              <w:widowControl/>
              <w:jc w:val="center"/>
            </w:pPr>
            <w:r w:rsidRPr="00935DC8">
              <w:t>4.088</w:t>
            </w:r>
          </w:p>
        </w:tc>
        <w:tc>
          <w:tcPr>
            <w:tcW w:w="920" w:type="dxa"/>
            <w:tcBorders>
              <w:top w:val="single" w:sz="4" w:space="0" w:color="000000"/>
              <w:left w:val="single" w:sz="4" w:space="0" w:color="000000"/>
              <w:bottom w:val="single" w:sz="4" w:space="0" w:color="000000"/>
              <w:right w:val="single" w:sz="4" w:space="0" w:color="000000"/>
            </w:tcBorders>
          </w:tcPr>
          <w:p w14:paraId="3C78135B" w14:textId="1AE34A4B" w:rsidR="002F03F5" w:rsidRPr="00935DC8" w:rsidRDefault="008F23FF" w:rsidP="00921FF3">
            <w:pPr>
              <w:pStyle w:val="TableText"/>
              <w:keepNext/>
              <w:widowControl/>
              <w:jc w:val="center"/>
            </w:pPr>
            <w:r w:rsidRPr="00935DC8">
              <w:t>$</w:t>
            </w:r>
            <w:r w:rsidR="00B73859" w:rsidRPr="00B73859">
              <w:rPr>
                <w:sz w:val="2"/>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tcPr>
          <w:p w14:paraId="3C78135C" w14:textId="247A27E0" w:rsidR="002F03F5" w:rsidRPr="00B73859" w:rsidRDefault="008F23FF" w:rsidP="00921FF3">
            <w:pPr>
              <w:pStyle w:val="TableText"/>
              <w:keepNext/>
              <w:widowControl/>
              <w:jc w:val="center"/>
              <w:rPr>
                <w:vertAlign w:val="superscript"/>
              </w:rPr>
            </w:pPr>
            <w:r w:rsidRPr="00935DC8">
              <w:t>$</w:t>
            </w:r>
            <w:r w:rsidR="00B73859" w:rsidRPr="00B73859">
              <w:rPr>
                <w:sz w:val="2"/>
                <w:highlight w:val="black"/>
              </w:rPr>
              <w:t>redacted content</w:t>
            </w:r>
            <w:r w:rsidR="00C67D39">
              <w:rPr>
                <w:vertAlign w:val="superscript"/>
              </w:rPr>
              <w:t>2</w:t>
            </w:r>
          </w:p>
        </w:tc>
        <w:tc>
          <w:tcPr>
            <w:tcW w:w="1158" w:type="dxa"/>
            <w:tcBorders>
              <w:top w:val="single" w:sz="4" w:space="0" w:color="000000"/>
              <w:left w:val="single" w:sz="4" w:space="0" w:color="000000"/>
              <w:bottom w:val="single" w:sz="4" w:space="0" w:color="000000"/>
              <w:right w:val="single" w:sz="4" w:space="0" w:color="000000"/>
            </w:tcBorders>
          </w:tcPr>
          <w:p w14:paraId="3C78135D" w14:textId="4842E7C7" w:rsidR="002F03F5" w:rsidRPr="00935DC8" w:rsidRDefault="008F23FF" w:rsidP="00921FF3">
            <w:pPr>
              <w:pStyle w:val="TableText"/>
              <w:keepNext/>
              <w:widowControl/>
              <w:jc w:val="center"/>
            </w:pPr>
            <w:r w:rsidRPr="00935DC8">
              <w:t>+</w:t>
            </w:r>
            <w:r w:rsidR="00B73859" w:rsidRPr="00B73859">
              <w:rPr>
                <w:sz w:val="2"/>
                <w:highlight w:val="black"/>
              </w:rPr>
              <w:t>redacted content</w:t>
            </w:r>
            <w:r w:rsidRPr="00935DC8">
              <w:t>%</w:t>
            </w:r>
          </w:p>
        </w:tc>
      </w:tr>
      <w:tr w:rsidR="002F03F5" w:rsidRPr="00935DC8" w14:paraId="3C781361"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5F" w14:textId="77777777" w:rsidR="002F03F5" w:rsidRPr="00935DC8" w:rsidRDefault="008F23FF" w:rsidP="00921FF3">
            <w:pPr>
              <w:pStyle w:val="TableText"/>
              <w:keepNext/>
              <w:widowControl/>
            </w:pPr>
            <w:r w:rsidRPr="00935DC8">
              <w:t xml:space="preserve"> </w:t>
            </w:r>
          </w:p>
        </w:tc>
        <w:tc>
          <w:tcPr>
            <w:tcW w:w="8624" w:type="dxa"/>
            <w:gridSpan w:val="5"/>
            <w:tcBorders>
              <w:top w:val="single" w:sz="4" w:space="0" w:color="000000"/>
              <w:left w:val="single" w:sz="4" w:space="0" w:color="000000"/>
              <w:bottom w:val="single" w:sz="4" w:space="0" w:color="000000"/>
              <w:right w:val="single" w:sz="4" w:space="0" w:color="000000"/>
            </w:tcBorders>
          </w:tcPr>
          <w:p w14:paraId="3C781360" w14:textId="77777777" w:rsidR="002F03F5" w:rsidRPr="00935DC8" w:rsidRDefault="008F23FF" w:rsidP="00921FF3">
            <w:pPr>
              <w:pStyle w:val="TableText"/>
              <w:keepNext/>
              <w:widowControl/>
              <w:tabs>
                <w:tab w:val="left" w:pos="2791"/>
              </w:tabs>
            </w:pPr>
            <w:r w:rsidRPr="00935DC8">
              <w:rPr>
                <w:b/>
                <w:bCs/>
              </w:rPr>
              <w:t>Selpercatinib dose reductions (base case: see footnote)</w:t>
            </w:r>
          </w:p>
        </w:tc>
      </w:tr>
      <w:tr w:rsidR="002F03F5" w:rsidRPr="00935DC8" w14:paraId="3C781368"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62" w14:textId="77777777" w:rsidR="002F03F5" w:rsidRPr="00935DC8" w:rsidRDefault="008F23FF" w:rsidP="00921FF3">
            <w:pPr>
              <w:pStyle w:val="TableText"/>
              <w:keepNext/>
              <w:widowControl/>
            </w:pPr>
            <w:r w:rsidRPr="00935DC8">
              <w:t>17</w:t>
            </w:r>
          </w:p>
        </w:tc>
        <w:tc>
          <w:tcPr>
            <w:tcW w:w="4523" w:type="dxa"/>
            <w:tcBorders>
              <w:top w:val="single" w:sz="4" w:space="0" w:color="000000"/>
              <w:left w:val="single" w:sz="4" w:space="0" w:color="000000"/>
              <w:bottom w:val="single" w:sz="4" w:space="0" w:color="000000"/>
              <w:right w:val="single" w:sz="4" w:space="0" w:color="000000"/>
            </w:tcBorders>
            <w:vAlign w:val="bottom"/>
          </w:tcPr>
          <w:p w14:paraId="3C781363" w14:textId="77777777" w:rsidR="002F03F5" w:rsidRPr="00935DC8" w:rsidRDefault="008F23FF" w:rsidP="00921FF3">
            <w:pPr>
              <w:pStyle w:val="TableText"/>
              <w:keepNext/>
              <w:widowControl/>
            </w:pPr>
            <w:r w:rsidRPr="006F3AA8">
              <w:rPr>
                <w:rFonts w:eastAsia="Times New Roman" w:cs="Arial"/>
                <w:sz w:val="18"/>
                <w:szCs w:val="20"/>
              </w:rPr>
              <w:t>Dose reductions as per LIBRETTO-531 applied to treatment cycle 2+ (accepted in PSCR as revised base case)</w:t>
            </w:r>
          </w:p>
        </w:tc>
        <w:tc>
          <w:tcPr>
            <w:tcW w:w="780" w:type="dxa"/>
            <w:tcBorders>
              <w:top w:val="single" w:sz="4" w:space="0" w:color="000000"/>
              <w:left w:val="single" w:sz="4" w:space="0" w:color="000000"/>
              <w:bottom w:val="single" w:sz="4" w:space="0" w:color="000000"/>
              <w:right w:val="single" w:sz="4" w:space="0" w:color="000000"/>
            </w:tcBorders>
            <w:vAlign w:val="center"/>
          </w:tcPr>
          <w:p w14:paraId="3C781364" w14:textId="77777777" w:rsidR="002F03F5" w:rsidRPr="00935DC8" w:rsidRDefault="008F23FF" w:rsidP="00921FF3">
            <w:pPr>
              <w:pStyle w:val="TableText"/>
              <w:keepNext/>
              <w:widowControl/>
              <w:jc w:val="center"/>
            </w:pPr>
            <w:r w:rsidRPr="006F3AA8">
              <w:rPr>
                <w:rFonts w:eastAsia="Times New Roman" w:cs="Arial"/>
                <w:sz w:val="18"/>
                <w:szCs w:val="20"/>
              </w:rPr>
              <w:t>4.09</w:t>
            </w:r>
          </w:p>
        </w:tc>
        <w:tc>
          <w:tcPr>
            <w:tcW w:w="920" w:type="dxa"/>
            <w:tcBorders>
              <w:top w:val="single" w:sz="4" w:space="0" w:color="000000"/>
              <w:left w:val="single" w:sz="4" w:space="0" w:color="000000"/>
              <w:bottom w:val="single" w:sz="4" w:space="0" w:color="000000"/>
              <w:right w:val="single" w:sz="4" w:space="0" w:color="000000"/>
            </w:tcBorders>
            <w:vAlign w:val="center"/>
          </w:tcPr>
          <w:p w14:paraId="3C781365" w14:textId="4760D9B7" w:rsidR="002F03F5" w:rsidRPr="00935DC8" w:rsidRDefault="008F23FF" w:rsidP="00921FF3">
            <w:pPr>
              <w:pStyle w:val="TableText"/>
              <w:keepNext/>
              <w:widowControl/>
              <w:jc w:val="center"/>
            </w:pPr>
            <w:r w:rsidRPr="006F3AA8">
              <w:rPr>
                <w:rFonts w:eastAsia="Times New Roman" w:cs="Arial"/>
                <w:sz w:val="18"/>
                <w:szCs w:val="20"/>
              </w:rPr>
              <w:t>$</w:t>
            </w:r>
            <w:r w:rsidR="00B73859" w:rsidRPr="00B73859">
              <w:rPr>
                <w:rFonts w:eastAsia="Times New Roman" w:cs="Arial"/>
                <w:sz w:val="2"/>
                <w:szCs w:val="20"/>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vAlign w:val="center"/>
          </w:tcPr>
          <w:p w14:paraId="3C781366" w14:textId="66609ED2" w:rsidR="002F03F5" w:rsidRPr="00B73859" w:rsidRDefault="008F23FF" w:rsidP="00921FF3">
            <w:pPr>
              <w:pStyle w:val="TableText"/>
              <w:keepNext/>
              <w:widowControl/>
              <w:jc w:val="center"/>
              <w:rPr>
                <w:vertAlign w:val="superscript"/>
              </w:rPr>
            </w:pPr>
            <w:r w:rsidRPr="006F3AA8">
              <w:rPr>
                <w:rFonts w:eastAsia="Times New Roman" w:cs="Arial"/>
                <w:sz w:val="18"/>
                <w:szCs w:val="20"/>
              </w:rPr>
              <w:t>$</w:t>
            </w:r>
            <w:r w:rsidR="00B73859" w:rsidRPr="00B73859">
              <w:rPr>
                <w:rFonts w:eastAsia="Times New Roman" w:cs="Arial"/>
                <w:sz w:val="2"/>
                <w:szCs w:val="20"/>
                <w:highlight w:val="black"/>
              </w:rPr>
              <w:t>redacted content</w:t>
            </w:r>
            <w:r w:rsidR="006F12B8">
              <w:rPr>
                <w:rFonts w:eastAsia="Times New Roman" w:cs="Arial"/>
                <w:sz w:val="18"/>
                <w:szCs w:val="20"/>
                <w:vertAlign w:val="superscript"/>
              </w:rPr>
              <w:t>6</w:t>
            </w:r>
          </w:p>
        </w:tc>
        <w:tc>
          <w:tcPr>
            <w:tcW w:w="1158" w:type="dxa"/>
            <w:tcBorders>
              <w:top w:val="single" w:sz="4" w:space="0" w:color="000000"/>
              <w:left w:val="single" w:sz="4" w:space="0" w:color="000000"/>
              <w:bottom w:val="single" w:sz="4" w:space="0" w:color="000000"/>
              <w:right w:val="single" w:sz="4" w:space="0" w:color="000000"/>
            </w:tcBorders>
            <w:vAlign w:val="center"/>
          </w:tcPr>
          <w:p w14:paraId="3C781367" w14:textId="28B10674" w:rsidR="002F03F5" w:rsidRPr="00935DC8" w:rsidRDefault="008F23FF" w:rsidP="00921FF3">
            <w:pPr>
              <w:pStyle w:val="TableText"/>
              <w:keepNext/>
              <w:widowControl/>
              <w:jc w:val="center"/>
            </w:pPr>
            <w:r w:rsidRPr="006F3AA8">
              <w:rPr>
                <w:rFonts w:eastAsia="Times New Roman" w:cs="Arial"/>
                <w:sz w:val="18"/>
                <w:szCs w:val="20"/>
              </w:rPr>
              <w:t>+</w:t>
            </w:r>
            <w:r w:rsidR="00B73859" w:rsidRPr="00B73859">
              <w:rPr>
                <w:rFonts w:eastAsia="Times New Roman" w:cs="Arial"/>
                <w:sz w:val="2"/>
                <w:szCs w:val="20"/>
                <w:highlight w:val="black"/>
              </w:rPr>
              <w:t>redacted content</w:t>
            </w:r>
            <w:r w:rsidRPr="006F3AA8">
              <w:rPr>
                <w:rFonts w:eastAsia="Times New Roman" w:cs="Arial"/>
                <w:sz w:val="18"/>
                <w:szCs w:val="20"/>
              </w:rPr>
              <w:t>%</w:t>
            </w:r>
          </w:p>
        </w:tc>
      </w:tr>
      <w:tr w:rsidR="002F03F5" w:rsidRPr="003942F3" w14:paraId="3C78136F" w14:textId="77777777" w:rsidTr="002D740A">
        <w:trPr>
          <w:cantSplit/>
        </w:trPr>
        <w:tc>
          <w:tcPr>
            <w:tcW w:w="302" w:type="dxa"/>
            <w:tcBorders>
              <w:top w:val="single" w:sz="4" w:space="0" w:color="000000"/>
              <w:left w:val="single" w:sz="4" w:space="0" w:color="000000"/>
              <w:bottom w:val="single" w:sz="4" w:space="0" w:color="000000"/>
              <w:right w:val="single" w:sz="4" w:space="0" w:color="000000"/>
            </w:tcBorders>
          </w:tcPr>
          <w:p w14:paraId="3C781369" w14:textId="77777777" w:rsidR="002F03F5" w:rsidRPr="003942F3" w:rsidRDefault="008F23FF" w:rsidP="00921FF3">
            <w:pPr>
              <w:pStyle w:val="TableText"/>
              <w:keepNext/>
              <w:widowControl/>
            </w:pPr>
            <w:r w:rsidRPr="003942F3">
              <w:t>18</w:t>
            </w:r>
          </w:p>
        </w:tc>
        <w:tc>
          <w:tcPr>
            <w:tcW w:w="4523" w:type="dxa"/>
            <w:tcBorders>
              <w:top w:val="single" w:sz="4" w:space="0" w:color="000000"/>
              <w:left w:val="single" w:sz="4" w:space="0" w:color="000000"/>
              <w:bottom w:val="single" w:sz="4" w:space="0" w:color="000000"/>
              <w:right w:val="single" w:sz="4" w:space="0" w:color="000000"/>
            </w:tcBorders>
            <w:vAlign w:val="bottom"/>
          </w:tcPr>
          <w:p w14:paraId="3C78136A" w14:textId="77777777" w:rsidR="002F03F5" w:rsidRPr="00B73859" w:rsidRDefault="008F23FF" w:rsidP="00921FF3">
            <w:pPr>
              <w:pStyle w:val="TableText"/>
              <w:keepNext/>
              <w:widowControl/>
              <w:rPr>
                <w:lang w:val="pt-BR"/>
              </w:rPr>
            </w:pPr>
            <w:r w:rsidRPr="00B73859">
              <w:rPr>
                <w:rFonts w:eastAsia="Times New Roman" w:cs="Arial"/>
                <w:lang w:val="pt-BR"/>
              </w:rPr>
              <w:t xml:space="preserve">#17 + </w:t>
            </w:r>
            <w:r w:rsidRPr="00B73859">
              <w:rPr>
                <w:lang w:val="pt-BR"/>
              </w:rPr>
              <w:t>LIBRETTO-531 OS HR upper 95% CI = 0.608 (#8)</w:t>
            </w:r>
          </w:p>
        </w:tc>
        <w:tc>
          <w:tcPr>
            <w:tcW w:w="780" w:type="dxa"/>
            <w:tcBorders>
              <w:top w:val="single" w:sz="4" w:space="0" w:color="000000"/>
              <w:left w:val="single" w:sz="4" w:space="0" w:color="000000"/>
              <w:bottom w:val="single" w:sz="4" w:space="0" w:color="000000"/>
              <w:right w:val="single" w:sz="4" w:space="0" w:color="000000"/>
            </w:tcBorders>
            <w:vAlign w:val="center"/>
          </w:tcPr>
          <w:p w14:paraId="3C78136B" w14:textId="77777777" w:rsidR="002F03F5" w:rsidRPr="003942F3" w:rsidRDefault="008F23FF" w:rsidP="00921FF3">
            <w:pPr>
              <w:pStyle w:val="TableText"/>
              <w:keepNext/>
              <w:widowControl/>
              <w:jc w:val="center"/>
              <w:rPr>
                <w:rFonts w:eastAsia="Times New Roman" w:cs="Arial"/>
                <w:sz w:val="18"/>
                <w:szCs w:val="20"/>
              </w:rPr>
            </w:pPr>
            <w:r w:rsidRPr="003942F3">
              <w:rPr>
                <w:rFonts w:eastAsia="Times New Roman" w:cs="Arial"/>
                <w:sz w:val="18"/>
                <w:szCs w:val="20"/>
              </w:rPr>
              <w:t>1.456</w:t>
            </w:r>
          </w:p>
        </w:tc>
        <w:tc>
          <w:tcPr>
            <w:tcW w:w="920" w:type="dxa"/>
            <w:tcBorders>
              <w:top w:val="single" w:sz="4" w:space="0" w:color="000000"/>
              <w:left w:val="single" w:sz="4" w:space="0" w:color="000000"/>
              <w:bottom w:val="single" w:sz="4" w:space="0" w:color="000000"/>
              <w:right w:val="single" w:sz="4" w:space="0" w:color="000000"/>
            </w:tcBorders>
            <w:vAlign w:val="center"/>
          </w:tcPr>
          <w:p w14:paraId="3C78136C" w14:textId="0CBDFD80" w:rsidR="002F03F5" w:rsidRPr="003942F3" w:rsidRDefault="008F23FF" w:rsidP="00921FF3">
            <w:pPr>
              <w:pStyle w:val="TableText"/>
              <w:keepNext/>
              <w:widowControl/>
              <w:jc w:val="center"/>
              <w:rPr>
                <w:rFonts w:eastAsia="Times New Roman" w:cs="Arial"/>
                <w:sz w:val="18"/>
                <w:szCs w:val="20"/>
              </w:rPr>
            </w:pPr>
            <w:r w:rsidRPr="003942F3">
              <w:rPr>
                <w:rFonts w:eastAsia="Times New Roman" w:cs="Arial"/>
                <w:sz w:val="18"/>
                <w:szCs w:val="20"/>
              </w:rPr>
              <w:t>$</w:t>
            </w:r>
            <w:r w:rsidR="00B73859" w:rsidRPr="00B73859">
              <w:rPr>
                <w:rFonts w:eastAsia="Times New Roman" w:cs="Arial"/>
                <w:sz w:val="2"/>
                <w:szCs w:val="20"/>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vAlign w:val="center"/>
          </w:tcPr>
          <w:p w14:paraId="3C78136D" w14:textId="3C748436" w:rsidR="002F03F5" w:rsidRPr="00B73859" w:rsidRDefault="008F23FF" w:rsidP="00921FF3">
            <w:pPr>
              <w:pStyle w:val="TableText"/>
              <w:keepNext/>
              <w:widowControl/>
              <w:jc w:val="center"/>
              <w:rPr>
                <w:rFonts w:eastAsia="Times New Roman" w:cs="Arial"/>
                <w:sz w:val="18"/>
                <w:szCs w:val="20"/>
                <w:vertAlign w:val="superscript"/>
              </w:rPr>
            </w:pPr>
            <w:r w:rsidRPr="003942F3">
              <w:rPr>
                <w:rFonts w:eastAsia="Times New Roman" w:cs="Arial"/>
                <w:sz w:val="18"/>
                <w:szCs w:val="20"/>
              </w:rPr>
              <w:t>$</w:t>
            </w:r>
            <w:r w:rsidR="00B73859" w:rsidRPr="00B73859">
              <w:rPr>
                <w:rFonts w:eastAsia="Times New Roman" w:cs="Arial"/>
                <w:sz w:val="2"/>
                <w:szCs w:val="20"/>
                <w:highlight w:val="black"/>
              </w:rPr>
              <w:t>redacted content</w:t>
            </w:r>
            <w:r w:rsidR="00292388">
              <w:rPr>
                <w:rFonts w:eastAsia="Times New Roman" w:cs="Arial"/>
                <w:sz w:val="18"/>
                <w:szCs w:val="20"/>
                <w:vertAlign w:val="superscript"/>
              </w:rPr>
              <w:t>7</w:t>
            </w:r>
          </w:p>
        </w:tc>
        <w:tc>
          <w:tcPr>
            <w:tcW w:w="1158" w:type="dxa"/>
            <w:tcBorders>
              <w:top w:val="single" w:sz="4" w:space="0" w:color="000000"/>
              <w:left w:val="single" w:sz="4" w:space="0" w:color="000000"/>
              <w:bottom w:val="single" w:sz="4" w:space="0" w:color="000000"/>
              <w:right w:val="single" w:sz="4" w:space="0" w:color="000000"/>
            </w:tcBorders>
            <w:vAlign w:val="center"/>
          </w:tcPr>
          <w:p w14:paraId="3C78136E" w14:textId="078EFE3F" w:rsidR="002F03F5" w:rsidRPr="003942F3" w:rsidRDefault="008F23FF" w:rsidP="00921FF3">
            <w:pPr>
              <w:pStyle w:val="TableText"/>
              <w:keepNext/>
              <w:widowControl/>
              <w:jc w:val="center"/>
              <w:rPr>
                <w:rFonts w:eastAsia="Times New Roman" w:cs="Arial"/>
                <w:sz w:val="18"/>
                <w:szCs w:val="20"/>
              </w:rPr>
            </w:pPr>
            <w:r w:rsidRPr="003942F3">
              <w:rPr>
                <w:rFonts w:eastAsia="Times New Roman" w:cs="Arial"/>
                <w:sz w:val="18"/>
                <w:szCs w:val="20"/>
              </w:rPr>
              <w:t>+</w:t>
            </w:r>
            <w:r w:rsidR="00B73859" w:rsidRPr="00B73859">
              <w:rPr>
                <w:rFonts w:eastAsia="Times New Roman" w:cs="Arial"/>
                <w:sz w:val="2"/>
                <w:szCs w:val="20"/>
                <w:highlight w:val="black"/>
              </w:rPr>
              <w:t>redacted content</w:t>
            </w:r>
            <w:r w:rsidRPr="003942F3">
              <w:rPr>
                <w:rFonts w:eastAsia="Times New Roman" w:cs="Arial"/>
                <w:sz w:val="18"/>
                <w:szCs w:val="20"/>
              </w:rPr>
              <w:t>%</w:t>
            </w:r>
          </w:p>
        </w:tc>
      </w:tr>
      <w:tr w:rsidR="002A20B6" w:rsidRPr="003942F3" w14:paraId="11EF01FB" w14:textId="77777777" w:rsidTr="0073530E">
        <w:trPr>
          <w:cantSplit/>
        </w:trPr>
        <w:tc>
          <w:tcPr>
            <w:tcW w:w="302" w:type="dxa"/>
            <w:tcBorders>
              <w:top w:val="single" w:sz="4" w:space="0" w:color="000000"/>
              <w:left w:val="single" w:sz="4" w:space="0" w:color="000000"/>
              <w:bottom w:val="single" w:sz="4" w:space="0" w:color="000000"/>
              <w:right w:val="single" w:sz="4" w:space="0" w:color="000000"/>
            </w:tcBorders>
          </w:tcPr>
          <w:p w14:paraId="08CB340E" w14:textId="3F2F7B72" w:rsidR="002A20B6" w:rsidRPr="003942F3" w:rsidRDefault="002A20B6" w:rsidP="00921FF3">
            <w:pPr>
              <w:pStyle w:val="TableText"/>
              <w:keepNext/>
              <w:widowControl/>
            </w:pPr>
            <w:r w:rsidRPr="003942F3">
              <w:t>19</w:t>
            </w:r>
          </w:p>
        </w:tc>
        <w:tc>
          <w:tcPr>
            <w:tcW w:w="4523" w:type="dxa"/>
            <w:tcBorders>
              <w:top w:val="single" w:sz="4" w:space="0" w:color="000000"/>
              <w:left w:val="single" w:sz="4" w:space="0" w:color="000000"/>
              <w:bottom w:val="single" w:sz="4" w:space="0" w:color="000000"/>
              <w:right w:val="single" w:sz="4" w:space="0" w:color="000000"/>
            </w:tcBorders>
            <w:vAlign w:val="bottom"/>
          </w:tcPr>
          <w:p w14:paraId="7698A59F" w14:textId="6B36E0C3" w:rsidR="002A20B6" w:rsidRPr="003942F3" w:rsidRDefault="00F35D53" w:rsidP="00921FF3">
            <w:pPr>
              <w:pStyle w:val="TableText"/>
              <w:keepNext/>
              <w:widowControl/>
              <w:rPr>
                <w:rFonts w:eastAsia="Times New Roman" w:cs="Arial"/>
              </w:rPr>
            </w:pPr>
            <w:r w:rsidRPr="003942F3">
              <w:rPr>
                <w:rFonts w:eastAsia="Times New Roman" w:cs="Arial"/>
              </w:rPr>
              <w:t>#</w:t>
            </w:r>
            <w:r w:rsidR="002A20B6" w:rsidRPr="003942F3">
              <w:rPr>
                <w:rFonts w:eastAsia="Times New Roman" w:cs="Arial"/>
              </w:rPr>
              <w:t>17 and NSCLC price</w:t>
            </w:r>
          </w:p>
        </w:tc>
        <w:tc>
          <w:tcPr>
            <w:tcW w:w="780" w:type="dxa"/>
            <w:tcBorders>
              <w:top w:val="single" w:sz="4" w:space="0" w:color="000000"/>
              <w:left w:val="single" w:sz="4" w:space="0" w:color="000000"/>
              <w:bottom w:val="single" w:sz="4" w:space="0" w:color="000000"/>
              <w:right w:val="single" w:sz="4" w:space="0" w:color="000000"/>
            </w:tcBorders>
            <w:vAlign w:val="center"/>
          </w:tcPr>
          <w:p w14:paraId="5916A8DD" w14:textId="7A3C5A24" w:rsidR="002A20B6" w:rsidRPr="003942F3" w:rsidRDefault="006848E3" w:rsidP="00921FF3">
            <w:pPr>
              <w:pStyle w:val="TableText"/>
              <w:keepNext/>
              <w:widowControl/>
              <w:jc w:val="center"/>
              <w:rPr>
                <w:rFonts w:eastAsia="Times New Roman" w:cs="Arial"/>
                <w:sz w:val="18"/>
                <w:szCs w:val="20"/>
              </w:rPr>
            </w:pPr>
            <w:r w:rsidRPr="003942F3">
              <w:rPr>
                <w:rFonts w:eastAsia="Times New Roman" w:cs="Arial"/>
                <w:sz w:val="18"/>
                <w:szCs w:val="20"/>
              </w:rPr>
              <w:t>4.09</w:t>
            </w:r>
          </w:p>
        </w:tc>
        <w:tc>
          <w:tcPr>
            <w:tcW w:w="920" w:type="dxa"/>
            <w:tcBorders>
              <w:top w:val="single" w:sz="4" w:space="0" w:color="000000"/>
              <w:left w:val="single" w:sz="4" w:space="0" w:color="000000"/>
              <w:bottom w:val="single" w:sz="4" w:space="0" w:color="000000"/>
              <w:right w:val="single" w:sz="4" w:space="0" w:color="000000"/>
            </w:tcBorders>
            <w:vAlign w:val="center"/>
          </w:tcPr>
          <w:p w14:paraId="555919E6" w14:textId="3FB3732A" w:rsidR="002A20B6" w:rsidRPr="003942F3" w:rsidRDefault="00292388" w:rsidP="00921FF3">
            <w:pPr>
              <w:pStyle w:val="TableText"/>
              <w:keepNext/>
              <w:widowControl/>
              <w:jc w:val="center"/>
              <w:rPr>
                <w:rFonts w:eastAsia="Times New Roman" w:cs="Arial"/>
                <w:sz w:val="18"/>
                <w:szCs w:val="20"/>
              </w:rPr>
            </w:pPr>
            <w:r>
              <w:rPr>
                <w:rFonts w:eastAsia="Times New Roman" w:cs="Arial"/>
                <w:sz w:val="18"/>
                <w:szCs w:val="20"/>
              </w:rPr>
              <w:t>$</w:t>
            </w:r>
            <w:r w:rsidR="00B73859" w:rsidRPr="00B73859">
              <w:rPr>
                <w:rFonts w:eastAsia="Times New Roman" w:cs="Arial"/>
                <w:sz w:val="2"/>
                <w:szCs w:val="20"/>
                <w:highlight w:val="black"/>
              </w:rPr>
              <w:t>redacted content</w:t>
            </w:r>
          </w:p>
        </w:tc>
        <w:tc>
          <w:tcPr>
            <w:tcW w:w="1243" w:type="dxa"/>
            <w:tcBorders>
              <w:top w:val="single" w:sz="4" w:space="0" w:color="000000"/>
              <w:left w:val="single" w:sz="4" w:space="0" w:color="000000"/>
              <w:bottom w:val="single" w:sz="4" w:space="0" w:color="000000"/>
              <w:right w:val="single" w:sz="4" w:space="0" w:color="000000"/>
            </w:tcBorders>
            <w:vAlign w:val="center"/>
          </w:tcPr>
          <w:p w14:paraId="564370CF" w14:textId="122A70F8" w:rsidR="002A20B6" w:rsidRPr="00B73859" w:rsidRDefault="00740A3C" w:rsidP="00921FF3">
            <w:pPr>
              <w:pStyle w:val="TableText"/>
              <w:keepNext/>
              <w:widowControl/>
              <w:jc w:val="center"/>
              <w:rPr>
                <w:rFonts w:eastAsia="Times New Roman" w:cs="Arial"/>
                <w:sz w:val="18"/>
                <w:szCs w:val="20"/>
                <w:vertAlign w:val="superscript"/>
              </w:rPr>
            </w:pPr>
            <w:r w:rsidRPr="003942F3">
              <w:rPr>
                <w:rFonts w:eastAsia="Times New Roman" w:cs="Arial"/>
                <w:sz w:val="18"/>
                <w:szCs w:val="20"/>
              </w:rPr>
              <w:t>$</w:t>
            </w:r>
            <w:r w:rsidR="00B73859" w:rsidRPr="00B73859">
              <w:rPr>
                <w:rFonts w:eastAsia="Times New Roman" w:cs="Arial"/>
                <w:sz w:val="2"/>
                <w:szCs w:val="20"/>
                <w:highlight w:val="black"/>
              </w:rPr>
              <w:t>redacted content</w:t>
            </w:r>
            <w:r w:rsidR="00292388">
              <w:rPr>
                <w:rFonts w:eastAsia="Times New Roman" w:cs="Arial"/>
                <w:sz w:val="18"/>
                <w:szCs w:val="20"/>
                <w:vertAlign w:val="superscript"/>
              </w:rP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744B9062" w14:textId="0B71A751" w:rsidR="002A20B6" w:rsidRPr="003942F3" w:rsidRDefault="00410EA0" w:rsidP="00921FF3">
            <w:pPr>
              <w:pStyle w:val="TableText"/>
              <w:keepNext/>
              <w:widowControl/>
              <w:jc w:val="center"/>
              <w:rPr>
                <w:rFonts w:eastAsia="Times New Roman" w:cs="Arial"/>
                <w:sz w:val="18"/>
                <w:szCs w:val="20"/>
              </w:rPr>
            </w:pPr>
            <w:r w:rsidRPr="003942F3">
              <w:rPr>
                <w:rFonts w:eastAsia="Times New Roman" w:cs="Arial"/>
                <w:sz w:val="18"/>
                <w:szCs w:val="20"/>
              </w:rPr>
              <w:t>-</w:t>
            </w:r>
            <w:r w:rsidR="00B73859" w:rsidRPr="00B73859">
              <w:rPr>
                <w:rFonts w:eastAsia="Times New Roman" w:cs="Arial"/>
                <w:sz w:val="2"/>
                <w:szCs w:val="20"/>
                <w:highlight w:val="black"/>
              </w:rPr>
              <w:t>redacted content</w:t>
            </w:r>
            <w:r w:rsidR="00947344" w:rsidRPr="003942F3">
              <w:rPr>
                <w:rFonts w:eastAsia="Times New Roman" w:cs="Arial"/>
                <w:sz w:val="18"/>
                <w:szCs w:val="20"/>
              </w:rPr>
              <w:t>%</w:t>
            </w:r>
          </w:p>
        </w:tc>
      </w:tr>
    </w:tbl>
    <w:p w14:paraId="3C781370" w14:textId="77777777" w:rsidR="002F03F5" w:rsidRPr="006F3AA8" w:rsidRDefault="008F23FF" w:rsidP="00921FF3">
      <w:pPr>
        <w:pStyle w:val="TableFooter"/>
        <w:keepNext/>
        <w:widowControl/>
        <w:rPr>
          <w:sz w:val="20"/>
        </w:rPr>
      </w:pPr>
      <w:r w:rsidRPr="003942F3">
        <w:t>Source: Tabl</w:t>
      </w:r>
      <w:r w:rsidRPr="00935DC8">
        <w:t>e 3-26, pp146 7 of the submission; additional analysis conducted during the evaluation</w:t>
      </w:r>
    </w:p>
    <w:p w14:paraId="3C781371" w14:textId="2AE738E5" w:rsidR="002F03F5" w:rsidRPr="009F2AA4" w:rsidRDefault="008F23FF" w:rsidP="00921FF3">
      <w:pPr>
        <w:pStyle w:val="TableFooter"/>
        <w:keepNext/>
        <w:widowControl/>
      </w:pPr>
      <w:r w:rsidRPr="00935DC8">
        <w:t>BSC = best supportive care; EMP = ex manufacturer price; HR = hazard ratio; ICER = incremental cost effectiveness ratio; Inc = incremental; ITC = indirect treatment comparison; NSCLC = non-small</w:t>
      </w:r>
      <w:r w:rsidRPr="009F2AA4">
        <w:t xml:space="preserve"> cell lung cancer; OS = overall survival; PD = progressed disease; PF = progression free; PFS = progression free survival; QALY = quality adjusted life year; SPA = special pricing arrangement; </w:t>
      </w:r>
      <w:proofErr w:type="spellStart"/>
      <w:r w:rsidRPr="009F2AA4">
        <w:t>ToT</w:t>
      </w:r>
      <w:proofErr w:type="spellEnd"/>
      <w:r w:rsidRPr="009F2AA4">
        <w:t xml:space="preserve"> = time on treatment; </w:t>
      </w:r>
      <w:r w:rsidR="00044F91">
        <w:br/>
      </w:r>
      <w:proofErr w:type="spellStart"/>
      <w:r w:rsidRPr="009F2AA4">
        <w:t>tx</w:t>
      </w:r>
      <w:proofErr w:type="spellEnd"/>
      <w:r w:rsidRPr="009F2AA4">
        <w:t xml:space="preserve"> = treatment </w:t>
      </w:r>
    </w:p>
    <w:p w14:paraId="3C781372" w14:textId="77777777" w:rsidR="002F03F5" w:rsidRDefault="008F23FF" w:rsidP="00921FF3">
      <w:pPr>
        <w:pStyle w:val="TableFooter"/>
        <w:keepNext/>
        <w:widowControl/>
      </w:pPr>
      <w:r w:rsidRPr="009F2AA4">
        <w:rPr>
          <w:vertAlign w:val="superscript"/>
        </w:rPr>
        <w:t>a</w:t>
      </w:r>
      <w:r w:rsidRPr="009F2AA4">
        <w:t xml:space="preserve"> %Δ = percentage change from </w:t>
      </w:r>
      <w:r w:rsidRPr="006F3AA8">
        <w:t>submission</w:t>
      </w:r>
      <w:r w:rsidRPr="00471E4E">
        <w:t xml:space="preserve"> </w:t>
      </w:r>
      <w:r w:rsidRPr="009F2AA4">
        <w:t>base case ICER</w:t>
      </w:r>
    </w:p>
    <w:p w14:paraId="66723824" w14:textId="2DCE8306" w:rsidR="00233D43" w:rsidRDefault="00233D43" w:rsidP="00921FF3">
      <w:pPr>
        <w:pStyle w:val="TableFooter"/>
        <w:keepNext/>
        <w:widowControl/>
        <w:rPr>
          <w:i/>
          <w:iCs/>
        </w:rPr>
      </w:pPr>
      <w:r>
        <w:rPr>
          <w:i/>
          <w:iCs/>
        </w:rPr>
        <w:t>The redacted values correspond to the following ranges:</w:t>
      </w:r>
    </w:p>
    <w:p w14:paraId="5A7BCFAE" w14:textId="1333F028" w:rsidR="00233D43" w:rsidRDefault="00233D43" w:rsidP="00921FF3">
      <w:pPr>
        <w:pStyle w:val="TableFooter"/>
        <w:keepNext/>
        <w:widowControl/>
        <w:rPr>
          <w:i/>
          <w:iCs/>
        </w:rPr>
      </w:pPr>
      <w:r>
        <w:rPr>
          <w:i/>
          <w:iCs/>
          <w:vertAlign w:val="superscript"/>
        </w:rPr>
        <w:t>1</w:t>
      </w:r>
      <w:r>
        <w:rPr>
          <w:i/>
          <w:iCs/>
        </w:rPr>
        <w:t xml:space="preserve"> $55,000 to &lt; $75,000</w:t>
      </w:r>
    </w:p>
    <w:p w14:paraId="7A3EAC94" w14:textId="422537C8" w:rsidR="00233D43" w:rsidRDefault="00233D43" w:rsidP="00921FF3">
      <w:pPr>
        <w:pStyle w:val="TableFooter"/>
        <w:keepNext/>
        <w:widowControl/>
        <w:rPr>
          <w:i/>
          <w:iCs/>
        </w:rPr>
      </w:pPr>
      <w:r>
        <w:rPr>
          <w:i/>
          <w:iCs/>
          <w:vertAlign w:val="superscript"/>
        </w:rPr>
        <w:t>2</w:t>
      </w:r>
      <w:r>
        <w:rPr>
          <w:i/>
          <w:iCs/>
        </w:rPr>
        <w:t xml:space="preserve"> $</w:t>
      </w:r>
      <w:r w:rsidR="002D3CF0">
        <w:rPr>
          <w:i/>
          <w:iCs/>
        </w:rPr>
        <w:t>75,000 to &lt; $95,000</w:t>
      </w:r>
    </w:p>
    <w:p w14:paraId="0DDC9C58" w14:textId="4B56CCBF" w:rsidR="002D3CF0" w:rsidRDefault="002D3CF0" w:rsidP="00921FF3">
      <w:pPr>
        <w:pStyle w:val="TableFooter"/>
        <w:keepNext/>
        <w:widowControl/>
        <w:rPr>
          <w:i/>
          <w:iCs/>
        </w:rPr>
      </w:pPr>
      <w:r>
        <w:rPr>
          <w:i/>
          <w:iCs/>
          <w:vertAlign w:val="superscript"/>
        </w:rPr>
        <w:t xml:space="preserve">3 </w:t>
      </w:r>
      <w:r>
        <w:rPr>
          <w:i/>
          <w:iCs/>
        </w:rPr>
        <w:t>$45,000 to &lt; $55,000</w:t>
      </w:r>
    </w:p>
    <w:p w14:paraId="13E80A4A" w14:textId="0C711C09" w:rsidR="002D3CF0" w:rsidRDefault="002D3CF0" w:rsidP="00921FF3">
      <w:pPr>
        <w:pStyle w:val="TableFooter"/>
        <w:keepNext/>
        <w:widowControl/>
        <w:rPr>
          <w:i/>
          <w:iCs/>
        </w:rPr>
      </w:pPr>
      <w:r>
        <w:rPr>
          <w:i/>
          <w:iCs/>
          <w:vertAlign w:val="superscript"/>
        </w:rPr>
        <w:t>4</w:t>
      </w:r>
      <w:r>
        <w:rPr>
          <w:i/>
          <w:iCs/>
        </w:rPr>
        <w:t xml:space="preserve"> $115.000 to &lt; $135,000</w:t>
      </w:r>
    </w:p>
    <w:p w14:paraId="1D9EB5F3" w14:textId="5B27B11D" w:rsidR="002D3CF0" w:rsidRDefault="002D3CF0" w:rsidP="00921FF3">
      <w:pPr>
        <w:pStyle w:val="TableFooter"/>
        <w:keepNext/>
        <w:widowControl/>
        <w:rPr>
          <w:i/>
          <w:iCs/>
        </w:rPr>
      </w:pPr>
      <w:r>
        <w:rPr>
          <w:i/>
          <w:iCs/>
          <w:vertAlign w:val="superscript"/>
        </w:rPr>
        <w:t>5</w:t>
      </w:r>
      <w:r>
        <w:rPr>
          <w:i/>
          <w:iCs/>
        </w:rPr>
        <w:t xml:space="preserve"> $</w:t>
      </w:r>
      <w:r w:rsidR="00793234">
        <w:rPr>
          <w:i/>
          <w:iCs/>
        </w:rPr>
        <w:t>155,000 to &lt; $255,000</w:t>
      </w:r>
    </w:p>
    <w:p w14:paraId="0D5C6DB8" w14:textId="15E012F4" w:rsidR="00793234" w:rsidRDefault="00793234" w:rsidP="00921FF3">
      <w:pPr>
        <w:pStyle w:val="TableFooter"/>
        <w:keepNext/>
        <w:widowControl/>
        <w:rPr>
          <w:i/>
          <w:iCs/>
        </w:rPr>
      </w:pPr>
      <w:r>
        <w:rPr>
          <w:i/>
          <w:iCs/>
          <w:vertAlign w:val="superscript"/>
        </w:rPr>
        <w:t>6</w:t>
      </w:r>
      <w:r>
        <w:rPr>
          <w:i/>
          <w:iCs/>
        </w:rPr>
        <w:t xml:space="preserve"> $95,000 to &lt; $115,000</w:t>
      </w:r>
    </w:p>
    <w:p w14:paraId="78462448" w14:textId="55775FAC" w:rsidR="00793234" w:rsidRPr="00B73859" w:rsidRDefault="00793234" w:rsidP="00921FF3">
      <w:pPr>
        <w:pStyle w:val="TableFooter"/>
        <w:keepNext/>
        <w:widowControl/>
        <w:rPr>
          <w:i/>
          <w:iCs/>
        </w:rPr>
      </w:pPr>
      <w:r>
        <w:rPr>
          <w:i/>
          <w:iCs/>
          <w:vertAlign w:val="superscript"/>
        </w:rPr>
        <w:t>7</w:t>
      </w:r>
      <w:r>
        <w:rPr>
          <w:i/>
          <w:iCs/>
        </w:rPr>
        <w:t xml:space="preserve"> $255,000 to &lt; $355,000</w:t>
      </w:r>
    </w:p>
    <w:p w14:paraId="3C781373" w14:textId="77777777" w:rsidR="002F03F5" w:rsidRPr="009F2AA4" w:rsidRDefault="002F03F5" w:rsidP="00921FF3">
      <w:pPr>
        <w:pStyle w:val="TableFooter"/>
        <w:keepNext/>
        <w:widowControl/>
        <w:rPr>
          <w:i/>
          <w:iCs/>
        </w:rPr>
      </w:pPr>
    </w:p>
    <w:p w14:paraId="1C4338AB" w14:textId="472017B8" w:rsidR="006F3573" w:rsidRDefault="008F23FF" w:rsidP="00921FF3">
      <w:pPr>
        <w:pStyle w:val="3-BodyText"/>
      </w:pPr>
      <w:bookmarkStart w:id="94" w:name="_Ref225154538"/>
      <w:r w:rsidRPr="00B66C00">
        <w:t xml:space="preserve">Overall, the </w:t>
      </w:r>
      <w:bookmarkStart w:id="95" w:name="_Ref222268667"/>
      <w:r w:rsidRPr="00B66C00">
        <w:t>evaluation considered that the base case incremental benefit</w:t>
      </w:r>
      <w:r w:rsidR="004967CB" w:rsidRPr="00B66C00">
        <w:t xml:space="preserve"> </w:t>
      </w:r>
      <w:r w:rsidRPr="00B66C00">
        <w:t>was potentially overestimated and</w:t>
      </w:r>
      <w:r w:rsidR="004967CB" w:rsidRPr="00B66C00">
        <w:t xml:space="preserve"> </w:t>
      </w:r>
      <w:r w:rsidRPr="00B66C00">
        <w:t>incremental costs underestimated</w:t>
      </w:r>
      <w:r w:rsidR="008A7F9D" w:rsidRPr="00B66C00">
        <w:t>,</w:t>
      </w:r>
      <w:r w:rsidRPr="00B66C00">
        <w:t xml:space="preserve"> since</w:t>
      </w:r>
      <w:r w:rsidR="006F3573">
        <w:t>:</w:t>
      </w:r>
    </w:p>
    <w:p w14:paraId="25E6AFC4" w14:textId="19FE3F6D" w:rsidR="006F3573" w:rsidRDefault="008F23FF" w:rsidP="00921FF3">
      <w:pPr>
        <w:pStyle w:val="MainBodyBulletPoint"/>
      </w:pPr>
      <w:r w:rsidRPr="00B66C00">
        <w:lastRenderedPageBreak/>
        <w:t>progressive metastatic MTC patients may be overrepresented in LIBRETTO-531 relative to clinical practice (even if the PBS population were restricted to progressive disease, as per the PSCR); and</w:t>
      </w:r>
    </w:p>
    <w:p w14:paraId="3C781374" w14:textId="01AB6530" w:rsidR="002F03F5" w:rsidRPr="00B66C00" w:rsidRDefault="008F23FF" w:rsidP="00921FF3">
      <w:pPr>
        <w:pStyle w:val="MainBodyBulletPoint"/>
      </w:pPr>
      <w:r w:rsidRPr="00B66C00">
        <w:t>there remained uncertainties in the OS HR (</w:t>
      </w:r>
      <w:r w:rsidR="00D43D44" w:rsidRPr="00B66C00">
        <w:t>i.e.</w:t>
      </w:r>
      <w:r w:rsidRPr="00B66C00">
        <w:t>, LIBRETTO-531 allowed treatment beyond progression</w:t>
      </w:r>
      <w:r w:rsidR="00B61722" w:rsidRPr="00B66C00">
        <w:t xml:space="preserve">, and follow-up was limited, </w:t>
      </w:r>
      <w:r w:rsidR="00B61722" w:rsidRPr="005818B6">
        <w:t xml:space="preserve">with </w:t>
      </w:r>
      <w:r w:rsidR="00B61722" w:rsidRPr="00D43D44">
        <w:t xml:space="preserve">only 10% of OS events </w:t>
      </w:r>
      <w:r w:rsidR="007351CC" w:rsidRPr="00D43D44">
        <w:t>occurring</w:t>
      </w:r>
      <w:r w:rsidRPr="005818B6">
        <w:t>) and PFS (e.g., EXAM represented patients with a worse</w:t>
      </w:r>
      <w:r w:rsidRPr="00B66C00">
        <w:t xml:space="preserve"> prognosis compared to LIBRETTO-531).</w:t>
      </w:r>
      <w:bookmarkEnd w:id="94"/>
      <w:r w:rsidRPr="00B66C00">
        <w:t xml:space="preserve"> </w:t>
      </w:r>
      <w:bookmarkEnd w:id="95"/>
    </w:p>
    <w:p w14:paraId="3C781375" w14:textId="3C5629FA" w:rsidR="002F03F5" w:rsidRDefault="008F23FF" w:rsidP="00921FF3">
      <w:pPr>
        <w:pStyle w:val="3-BodyText"/>
      </w:pPr>
      <w:r w:rsidRPr="00B66C00">
        <w:t>The ESCs noted the economic model did not structurally allow for converging risk over time. The ESCs considered that, given the uncertainties associated with the magnitude of the OS benefit over a 25 year time horizon, the ICER using the upper 95% CI of the OS HR from LIBRETTO-531 was informative. The ESCs noted that the ICER for this analysis was $</w:t>
      </w:r>
      <w:r w:rsidR="001739B7">
        <w:t>255,000 to &lt; $355,000</w:t>
      </w:r>
      <w:r w:rsidRPr="00B66C00">
        <w:t xml:space="preserve"> per QALY (with corrected dose reductions).</w:t>
      </w:r>
      <w:r w:rsidR="007E3114">
        <w:t xml:space="preserve"> </w:t>
      </w:r>
      <w:r w:rsidRPr="00B66C00">
        <w:t xml:space="preserve">The ESCs noted the undiscounted LYG for this sensitivity analysis was 3.3 years (compared to 8.5 years in the base case model). </w:t>
      </w:r>
      <w:bookmarkStart w:id="96" w:name="_Toc413139283"/>
      <w:bookmarkStart w:id="97" w:name="_Toc219898332"/>
    </w:p>
    <w:p w14:paraId="3C781376" w14:textId="5B47B2E5" w:rsidR="002F03F5" w:rsidRPr="009F2AA4" w:rsidRDefault="008F23FF" w:rsidP="00921FF3">
      <w:pPr>
        <w:pStyle w:val="PBACESHeading2"/>
        <w:spacing w:before="200" w:afterLines="100" w:after="240"/>
        <w:ind w:left="862" w:hanging="862"/>
        <w:rPr>
          <w:rFonts w:ascii="Calibri" w:hAnsi="Calibri" w:cs="Calibri"/>
        </w:rPr>
      </w:pPr>
      <w:r w:rsidRPr="009F2AA4">
        <w:rPr>
          <w:rFonts w:ascii="Calibri" w:hAnsi="Calibri" w:cs="Calibri"/>
        </w:rPr>
        <w:t>Drug cost/patient/year</w:t>
      </w:r>
      <w:bookmarkEnd w:id="96"/>
      <w:r w:rsidRPr="009F2AA4">
        <w:rPr>
          <w:rFonts w:ascii="Calibri" w:hAnsi="Calibri" w:cs="Calibri"/>
        </w:rPr>
        <w:t xml:space="preserve"> and course</w:t>
      </w:r>
      <w:bookmarkEnd w:id="97"/>
    </w:p>
    <w:p w14:paraId="3C781378" w14:textId="68075A67" w:rsidR="002F03F5" w:rsidRPr="009F2AA4" w:rsidRDefault="008F23FF" w:rsidP="00921FF3">
      <w:pPr>
        <w:pStyle w:val="3-BodyText"/>
      </w:pPr>
      <w:r w:rsidRPr="00BB213B">
        <w:t>The drug cost per patient per year and per course in the submission and with corrected dosage assumptions is presented in</w:t>
      </w:r>
      <w:r w:rsidR="001E3839">
        <w:t xml:space="preserve"> </w:t>
      </w:r>
      <w:r w:rsidR="001E3839">
        <w:fldChar w:fldCharType="begin"/>
      </w:r>
      <w:r w:rsidR="001E3839">
        <w:instrText xml:space="preserve"> REF _Ref225287327 \h </w:instrText>
      </w:r>
      <w:r w:rsidR="001E3839">
        <w:fldChar w:fldCharType="separate"/>
      </w:r>
      <w:r w:rsidR="003A3B69">
        <w:t xml:space="preserve">Table </w:t>
      </w:r>
      <w:r w:rsidR="003A3B69">
        <w:rPr>
          <w:noProof/>
        </w:rPr>
        <w:t>16</w:t>
      </w:r>
      <w:r w:rsidR="001E3839">
        <w:fldChar w:fldCharType="end"/>
      </w:r>
      <w:r w:rsidRPr="00BB213B">
        <w:t>.</w:t>
      </w:r>
      <w:r w:rsidR="00086233" w:rsidRPr="00BB213B">
        <w:t xml:space="preserve"> The ESC noted </w:t>
      </w:r>
      <w:r w:rsidR="0084651C" w:rsidRPr="00BB213B">
        <w:t>the cost per patient per month was very high</w:t>
      </w:r>
      <w:r w:rsidR="007701BE" w:rsidRPr="00BB213B">
        <w:t>,</w:t>
      </w:r>
      <w:r w:rsidR="00C50A64" w:rsidRPr="00BB213B">
        <w:t xml:space="preserve"> particularly in the context of a treatment that may continue for many years. </w:t>
      </w:r>
    </w:p>
    <w:p w14:paraId="6F01EA18" w14:textId="2488FA04" w:rsidR="00E17273" w:rsidRDefault="00E17273" w:rsidP="00921FF3">
      <w:pPr>
        <w:pStyle w:val="Caption"/>
      </w:pPr>
      <w:bookmarkStart w:id="98" w:name="_Ref225287327"/>
      <w:r>
        <w:t xml:space="preserve">Table </w:t>
      </w:r>
      <w:r>
        <w:fldChar w:fldCharType="begin"/>
      </w:r>
      <w:r>
        <w:instrText>SEQ Table \* ARABIC</w:instrText>
      </w:r>
      <w:r>
        <w:fldChar w:fldCharType="separate"/>
      </w:r>
      <w:r w:rsidR="003A3B69">
        <w:rPr>
          <w:noProof/>
        </w:rPr>
        <w:t>16</w:t>
      </w:r>
      <w:r>
        <w:fldChar w:fldCharType="end"/>
      </w:r>
      <w:bookmarkEnd w:id="98"/>
      <w:r>
        <w:t>:</w:t>
      </w:r>
      <w:r w:rsidR="007E3114">
        <w:t xml:space="preserve"> </w:t>
      </w:r>
      <w:r w:rsidRPr="00481E97">
        <w:t>Drug cost per patient for selpercatinib (no cost for BSC)</w:t>
      </w:r>
    </w:p>
    <w:tbl>
      <w:tblPr>
        <w:tblStyle w:val="ASDTable1"/>
        <w:tblW w:w="5000" w:type="pct"/>
        <w:tblLayout w:type="fixed"/>
        <w:tblCellMar>
          <w:left w:w="5" w:type="dxa"/>
          <w:right w:w="5" w:type="dxa"/>
        </w:tblCellMar>
        <w:tblLook w:val="04A0" w:firstRow="1" w:lastRow="0" w:firstColumn="1" w:lastColumn="0" w:noHBand="0" w:noVBand="1"/>
        <w:tblCaption w:val="Table 16: Drug cost per patient for selpercatinib (no cost for BSC)"/>
      </w:tblPr>
      <w:tblGrid>
        <w:gridCol w:w="1413"/>
        <w:gridCol w:w="1417"/>
        <w:gridCol w:w="1985"/>
        <w:gridCol w:w="1701"/>
        <w:gridCol w:w="2500"/>
      </w:tblGrid>
      <w:tr w:rsidR="002F03F5" w:rsidRPr="009F2AA4" w14:paraId="3C78137E" w14:textId="77777777" w:rsidTr="00D43D44">
        <w:trPr>
          <w:cantSplit/>
          <w:trHeight w:val="350"/>
        </w:trPr>
        <w:tc>
          <w:tcPr>
            <w:tcW w:w="1413" w:type="dxa"/>
            <w:vAlign w:val="center"/>
          </w:tcPr>
          <w:p w14:paraId="3C781379" w14:textId="77777777" w:rsidR="002F03F5" w:rsidRPr="009F2AA4" w:rsidRDefault="002F03F5" w:rsidP="00921FF3">
            <w:pPr>
              <w:pStyle w:val="TableRowHeader"/>
              <w:widowControl/>
              <w:rPr>
                <w:rFonts w:eastAsia="Times New Roman" w:cs="Times New Roman"/>
              </w:rPr>
            </w:pPr>
          </w:p>
        </w:tc>
        <w:tc>
          <w:tcPr>
            <w:tcW w:w="1417" w:type="dxa"/>
            <w:vAlign w:val="center"/>
          </w:tcPr>
          <w:p w14:paraId="3C78137A" w14:textId="77777777" w:rsidR="002F03F5" w:rsidRPr="009F2AA4" w:rsidRDefault="008F23FF" w:rsidP="00921FF3">
            <w:pPr>
              <w:pStyle w:val="TableRowHeader"/>
              <w:widowControl/>
              <w:rPr>
                <w:rFonts w:eastAsia="Times New Roman" w:cs="Times New Roman"/>
              </w:rPr>
            </w:pPr>
            <w:r w:rsidRPr="009F2AA4">
              <w:rPr>
                <w:rFonts w:eastAsia="Times New Roman" w:cs="Times New Roman"/>
              </w:rPr>
              <w:t>Trial</w:t>
            </w:r>
          </w:p>
        </w:tc>
        <w:tc>
          <w:tcPr>
            <w:tcW w:w="1985" w:type="dxa"/>
            <w:vAlign w:val="center"/>
          </w:tcPr>
          <w:p w14:paraId="3C78137B" w14:textId="77777777" w:rsidR="002F03F5" w:rsidRPr="009F2AA4" w:rsidRDefault="008F23FF" w:rsidP="00921FF3">
            <w:pPr>
              <w:pStyle w:val="TableRowHeader"/>
              <w:widowControl/>
              <w:rPr>
                <w:rFonts w:eastAsia="Times New Roman" w:cs="Times New Roman"/>
              </w:rPr>
            </w:pPr>
            <w:r w:rsidRPr="009F2AA4">
              <w:rPr>
                <w:rFonts w:eastAsia="Times New Roman" w:cs="Times New Roman"/>
              </w:rPr>
              <w:t>Model base case</w:t>
            </w:r>
          </w:p>
        </w:tc>
        <w:tc>
          <w:tcPr>
            <w:tcW w:w="1701" w:type="dxa"/>
            <w:vAlign w:val="center"/>
          </w:tcPr>
          <w:p w14:paraId="3C78137C" w14:textId="77777777" w:rsidR="002F03F5" w:rsidRPr="009F2AA4" w:rsidRDefault="008F23FF" w:rsidP="00921FF3">
            <w:pPr>
              <w:pStyle w:val="TableRowHeader"/>
              <w:widowControl/>
              <w:rPr>
                <w:rFonts w:eastAsia="Times New Roman" w:cs="Times New Roman"/>
              </w:rPr>
            </w:pPr>
            <w:r w:rsidRPr="009F2AA4">
              <w:rPr>
                <w:rFonts w:eastAsia="Times New Roman" w:cs="Times New Roman"/>
              </w:rPr>
              <w:t>Financials</w:t>
            </w:r>
          </w:p>
        </w:tc>
        <w:tc>
          <w:tcPr>
            <w:tcW w:w="2500" w:type="dxa"/>
          </w:tcPr>
          <w:p w14:paraId="3C78137D" w14:textId="77777777" w:rsidR="002F03F5" w:rsidRPr="00D43D44" w:rsidRDefault="008F23FF" w:rsidP="00921FF3">
            <w:pPr>
              <w:pStyle w:val="TableRowHeader"/>
              <w:widowControl/>
            </w:pPr>
            <w:r w:rsidRPr="00D43D44">
              <w:rPr>
                <w:rFonts w:eastAsia="Times New Roman" w:cs="Times New Roman"/>
              </w:rPr>
              <w:t xml:space="preserve">With corrected dosage assumptions </w:t>
            </w:r>
          </w:p>
        </w:tc>
      </w:tr>
      <w:tr w:rsidR="002F03F5" w:rsidRPr="009F2AA4" w14:paraId="3C781384" w14:textId="77777777" w:rsidTr="00D43D44">
        <w:trPr>
          <w:cantSplit/>
          <w:trHeight w:val="20"/>
        </w:trPr>
        <w:tc>
          <w:tcPr>
            <w:tcW w:w="1413" w:type="dxa"/>
            <w:vAlign w:val="center"/>
          </w:tcPr>
          <w:p w14:paraId="3C78137F" w14:textId="77777777" w:rsidR="002F03F5" w:rsidRPr="009F2AA4" w:rsidRDefault="008F23FF" w:rsidP="00921FF3">
            <w:pPr>
              <w:pStyle w:val="TableText"/>
              <w:widowControl/>
              <w:rPr>
                <w:rFonts w:eastAsia="Times New Roman" w:cs="Times New Roman"/>
              </w:rPr>
            </w:pPr>
            <w:r w:rsidRPr="009F2AA4">
              <w:rPr>
                <w:rFonts w:eastAsia="Times New Roman" w:cs="Times New Roman"/>
              </w:rPr>
              <w:t>Mean dose</w:t>
            </w:r>
          </w:p>
        </w:tc>
        <w:tc>
          <w:tcPr>
            <w:tcW w:w="1417" w:type="dxa"/>
            <w:vAlign w:val="center"/>
          </w:tcPr>
          <w:p w14:paraId="3C781380" w14:textId="77777777" w:rsidR="002F03F5" w:rsidRPr="009F2AA4" w:rsidRDefault="008F23FF" w:rsidP="00921FF3">
            <w:pPr>
              <w:pStyle w:val="TableText"/>
              <w:widowControl/>
              <w:jc w:val="center"/>
              <w:rPr>
                <w:rFonts w:eastAsia="Times New Roman" w:cs="Times New Roman"/>
              </w:rPr>
            </w:pPr>
            <w:r w:rsidRPr="009F2AA4">
              <w:rPr>
                <w:rFonts w:eastAsia="Times New Roman" w:cs="Times New Roman"/>
              </w:rPr>
              <w:t>1,869.1 mg/week</w:t>
            </w:r>
          </w:p>
        </w:tc>
        <w:tc>
          <w:tcPr>
            <w:tcW w:w="1985" w:type="dxa"/>
            <w:vAlign w:val="center"/>
          </w:tcPr>
          <w:p w14:paraId="3C781381" w14:textId="77777777" w:rsidR="002F03F5" w:rsidRPr="009F2AA4" w:rsidRDefault="008F23FF" w:rsidP="00921FF3">
            <w:pPr>
              <w:pStyle w:val="TableText"/>
              <w:widowControl/>
              <w:jc w:val="center"/>
              <w:rPr>
                <w:rFonts w:eastAsia="Times New Roman" w:cs="Times New Roman"/>
              </w:rPr>
            </w:pPr>
            <w:r w:rsidRPr="009F2AA4">
              <w:rPr>
                <w:rFonts w:eastAsia="Times New Roman" w:cs="Times New Roman"/>
              </w:rPr>
              <w:t>NR</w:t>
            </w:r>
          </w:p>
        </w:tc>
        <w:tc>
          <w:tcPr>
            <w:tcW w:w="1701" w:type="dxa"/>
          </w:tcPr>
          <w:p w14:paraId="3C781382" w14:textId="77777777" w:rsidR="002F03F5" w:rsidRPr="009F2AA4" w:rsidRDefault="008F23FF" w:rsidP="00921FF3">
            <w:pPr>
              <w:pStyle w:val="TableText"/>
              <w:widowControl/>
              <w:jc w:val="center"/>
              <w:rPr>
                <w:rFonts w:eastAsia="Times New Roman" w:cs="Times New Roman"/>
              </w:rPr>
            </w:pPr>
            <w:r w:rsidRPr="009F2AA4">
              <w:rPr>
                <w:rFonts w:eastAsia="Times New Roman" w:cs="Times New Roman"/>
              </w:rPr>
              <w:t>NR</w:t>
            </w:r>
          </w:p>
        </w:tc>
        <w:tc>
          <w:tcPr>
            <w:tcW w:w="2500" w:type="dxa"/>
            <w:vAlign w:val="center"/>
          </w:tcPr>
          <w:p w14:paraId="3C781383" w14:textId="77777777" w:rsidR="002F03F5" w:rsidRPr="00315A6B" w:rsidRDefault="008F23FF" w:rsidP="00921FF3">
            <w:pPr>
              <w:pStyle w:val="TableText"/>
              <w:widowControl/>
              <w:jc w:val="center"/>
              <w:rPr>
                <w:rFonts w:eastAsia="Times New Roman" w:cs="Times New Roman"/>
              </w:rPr>
            </w:pPr>
            <w:r w:rsidRPr="00315A6B">
              <w:rPr>
                <w:rFonts w:eastAsia="Times New Roman" w:cs="Times New Roman"/>
              </w:rPr>
              <w:t>NR</w:t>
            </w:r>
          </w:p>
        </w:tc>
      </w:tr>
      <w:tr w:rsidR="002F03F5" w:rsidRPr="009F2AA4" w14:paraId="3C781388" w14:textId="77777777" w:rsidTr="00D43D44">
        <w:trPr>
          <w:cantSplit/>
          <w:trHeight w:val="20"/>
        </w:trPr>
        <w:tc>
          <w:tcPr>
            <w:tcW w:w="1413" w:type="dxa"/>
            <w:vAlign w:val="center"/>
          </w:tcPr>
          <w:p w14:paraId="3C781385" w14:textId="77777777" w:rsidR="002F03F5" w:rsidRPr="009F2AA4" w:rsidRDefault="008F23FF" w:rsidP="00921FF3">
            <w:pPr>
              <w:pStyle w:val="TableText"/>
              <w:widowControl/>
              <w:rPr>
                <w:rFonts w:eastAsia="Times New Roman" w:cs="Times New Roman"/>
              </w:rPr>
            </w:pPr>
            <w:r w:rsidRPr="009F2AA4">
              <w:rPr>
                <w:rFonts w:eastAsia="Times New Roman" w:cs="Times New Roman"/>
              </w:rPr>
              <w:t>Mean duration</w:t>
            </w:r>
          </w:p>
        </w:tc>
        <w:tc>
          <w:tcPr>
            <w:tcW w:w="1417" w:type="dxa"/>
            <w:vAlign w:val="center"/>
          </w:tcPr>
          <w:p w14:paraId="3C781386" w14:textId="77777777" w:rsidR="002F03F5" w:rsidRPr="009F2AA4" w:rsidRDefault="008F23FF" w:rsidP="00921FF3">
            <w:pPr>
              <w:pStyle w:val="TableText"/>
              <w:widowControl/>
              <w:jc w:val="center"/>
              <w:rPr>
                <w:rFonts w:eastAsia="Times New Roman" w:cs="Times New Roman"/>
              </w:rPr>
            </w:pPr>
            <w:r w:rsidRPr="009F2AA4">
              <w:rPr>
                <w:rFonts w:eastAsia="Times New Roman" w:cs="Times New Roman"/>
              </w:rPr>
              <w:t xml:space="preserve">24.2 months </w:t>
            </w:r>
          </w:p>
        </w:tc>
        <w:tc>
          <w:tcPr>
            <w:tcW w:w="6186" w:type="dxa"/>
            <w:gridSpan w:val="3"/>
            <w:vAlign w:val="center"/>
          </w:tcPr>
          <w:p w14:paraId="3C781387" w14:textId="77777777" w:rsidR="002F03F5" w:rsidRPr="009F2AA4" w:rsidRDefault="008F23FF" w:rsidP="00921FF3">
            <w:pPr>
              <w:pStyle w:val="TableText"/>
              <w:widowControl/>
              <w:jc w:val="center"/>
              <w:rPr>
                <w:rFonts w:eastAsia="Times New Roman" w:cs="Times New Roman"/>
              </w:rPr>
            </w:pPr>
            <w:r w:rsidRPr="009F2AA4">
              <w:rPr>
                <w:rFonts w:eastAsia="Times New Roman" w:cs="Times New Roman"/>
              </w:rPr>
              <w:t>5.3 years or 63 months</w:t>
            </w:r>
          </w:p>
        </w:tc>
      </w:tr>
      <w:tr w:rsidR="002F03F5" w:rsidRPr="004E3A3C" w14:paraId="3C781391" w14:textId="77777777" w:rsidTr="00D43D44">
        <w:trPr>
          <w:cantSplit/>
          <w:trHeight w:val="20"/>
        </w:trPr>
        <w:tc>
          <w:tcPr>
            <w:tcW w:w="1413" w:type="dxa"/>
            <w:vAlign w:val="center"/>
          </w:tcPr>
          <w:p w14:paraId="3C781389" w14:textId="77777777" w:rsidR="002F03F5" w:rsidRPr="004E3A3C" w:rsidRDefault="008F23FF" w:rsidP="00921FF3">
            <w:pPr>
              <w:pStyle w:val="TableText"/>
              <w:widowControl/>
              <w:rPr>
                <w:rFonts w:eastAsia="Times New Roman" w:cs="Times New Roman"/>
              </w:rPr>
            </w:pPr>
            <w:r w:rsidRPr="004E3A3C">
              <w:rPr>
                <w:rFonts w:eastAsia="Times New Roman" w:cs="Times New Roman"/>
              </w:rPr>
              <w:t xml:space="preserve">Cost/patient/month </w:t>
            </w:r>
          </w:p>
        </w:tc>
        <w:tc>
          <w:tcPr>
            <w:tcW w:w="1417" w:type="dxa"/>
            <w:vAlign w:val="center"/>
          </w:tcPr>
          <w:p w14:paraId="3C78138A" w14:textId="77777777" w:rsidR="002F03F5" w:rsidRPr="004E3A3C" w:rsidRDefault="008F23FF" w:rsidP="00921FF3">
            <w:pPr>
              <w:pStyle w:val="TableText"/>
              <w:widowControl/>
              <w:jc w:val="center"/>
              <w:rPr>
                <w:vertAlign w:val="superscript"/>
              </w:rPr>
            </w:pPr>
            <w:r w:rsidRPr="004E3A3C">
              <w:rPr>
                <w:rFonts w:eastAsia="Times New Roman" w:cs="Times New Roman"/>
              </w:rPr>
              <w:t>Tx cycle 1 = not used</w:t>
            </w:r>
          </w:p>
          <w:p w14:paraId="3C78138B" w14:textId="226EC1D9" w:rsidR="002F03F5" w:rsidRPr="004E3A3C" w:rsidRDefault="008F23FF" w:rsidP="00921FF3">
            <w:pPr>
              <w:pStyle w:val="TableText"/>
              <w:widowControl/>
              <w:jc w:val="center"/>
              <w:rPr>
                <w:vertAlign w:val="superscript"/>
              </w:rPr>
            </w:pPr>
            <w:r w:rsidRPr="004E3A3C">
              <w:rPr>
                <w:rFonts w:eastAsia="Times New Roman" w:cs="Times New Roman"/>
              </w:rPr>
              <w:t xml:space="preserve">Tx cycle 2 = </w:t>
            </w:r>
            <w:r w:rsidRPr="0042687D">
              <w:rPr>
                <w:rFonts w:eastAsia="Times New Roman" w:cs="Times New Roman"/>
              </w:rPr>
              <w:t>$</w:t>
            </w:r>
            <w:r w:rsidR="00B73859" w:rsidRPr="00B73859">
              <w:rPr>
                <w:rFonts w:eastAsia="Times New Roman" w:cs="Times New Roman"/>
                <w:sz w:val="2"/>
                <w:highlight w:val="black"/>
              </w:rPr>
              <w:t xml:space="preserve">redacted </w:t>
            </w:r>
            <w:proofErr w:type="spellStart"/>
            <w:r w:rsidR="00B73859" w:rsidRPr="00B73859">
              <w:rPr>
                <w:rFonts w:eastAsia="Times New Roman" w:cs="Times New Roman"/>
                <w:sz w:val="2"/>
                <w:highlight w:val="black"/>
              </w:rPr>
              <w:t>content</w:t>
            </w:r>
            <w:r w:rsidRPr="0042687D">
              <w:rPr>
                <w:rFonts w:eastAsia="Times New Roman" w:cs="Times New Roman"/>
                <w:vertAlign w:val="superscript"/>
              </w:rPr>
              <w:t>a</w:t>
            </w:r>
            <w:proofErr w:type="spellEnd"/>
          </w:p>
        </w:tc>
        <w:tc>
          <w:tcPr>
            <w:tcW w:w="3686" w:type="dxa"/>
            <w:gridSpan w:val="2"/>
            <w:vAlign w:val="center"/>
          </w:tcPr>
          <w:p w14:paraId="3C78138C" w14:textId="77777777" w:rsidR="002F03F5" w:rsidRPr="004E3A3C" w:rsidRDefault="002F03F5" w:rsidP="00921FF3">
            <w:pPr>
              <w:pStyle w:val="TableText"/>
              <w:widowControl/>
              <w:jc w:val="center"/>
              <w:rPr>
                <w:rFonts w:eastAsia="Times New Roman" w:cs="Times New Roman"/>
              </w:rPr>
            </w:pPr>
          </w:p>
          <w:p w14:paraId="3C78138D" w14:textId="026B9E35" w:rsidR="002F03F5" w:rsidRPr="004E3A3C" w:rsidRDefault="008F23FF" w:rsidP="00921FF3">
            <w:pPr>
              <w:pStyle w:val="TableText"/>
              <w:widowControl/>
              <w:jc w:val="center"/>
              <w:rPr>
                <w:rFonts w:eastAsia="Times New Roman" w:cs="Times New Roman"/>
              </w:rPr>
            </w:pPr>
            <w:r w:rsidRPr="004E3A3C">
              <w:rPr>
                <w:rFonts w:eastAsia="Times New Roman" w:cs="Times New Roman"/>
              </w:rPr>
              <w:t>Tx cycle 1 = $</w:t>
            </w:r>
            <w:r w:rsidR="00B73859" w:rsidRPr="00B73859">
              <w:rPr>
                <w:rFonts w:eastAsia="Times New Roman" w:cs="Times New Roman"/>
                <w:sz w:val="2"/>
                <w:highlight w:val="black"/>
              </w:rPr>
              <w:t>redacted content</w:t>
            </w:r>
          </w:p>
          <w:p w14:paraId="3C78138E" w14:textId="401DF2E9" w:rsidR="002F03F5" w:rsidRPr="004E3A3C" w:rsidRDefault="008F23FF" w:rsidP="00921FF3">
            <w:pPr>
              <w:pStyle w:val="TableText"/>
              <w:widowControl/>
              <w:jc w:val="center"/>
              <w:rPr>
                <w:rFonts w:eastAsia="Times New Roman" w:cs="Times New Roman"/>
              </w:rPr>
            </w:pPr>
            <w:r w:rsidRPr="004E3A3C">
              <w:rPr>
                <w:rFonts w:eastAsia="Times New Roman" w:cs="Times New Roman"/>
              </w:rPr>
              <w:t>Tx cycle 2+ = $</w:t>
            </w:r>
            <w:r w:rsidR="00B73859" w:rsidRPr="00B73859">
              <w:rPr>
                <w:rFonts w:eastAsia="Times New Roman" w:cs="Times New Roman"/>
                <w:sz w:val="2"/>
                <w:highlight w:val="black"/>
              </w:rPr>
              <w:t>redacted content</w:t>
            </w:r>
          </w:p>
        </w:tc>
        <w:tc>
          <w:tcPr>
            <w:tcW w:w="2500" w:type="dxa"/>
            <w:vAlign w:val="center"/>
          </w:tcPr>
          <w:p w14:paraId="3C78138F" w14:textId="151D4CF2" w:rsidR="002F03F5" w:rsidRPr="004E3A3C" w:rsidRDefault="008F23FF" w:rsidP="00921FF3">
            <w:pPr>
              <w:pStyle w:val="TableText"/>
              <w:widowControl/>
              <w:jc w:val="center"/>
            </w:pPr>
            <w:r w:rsidRPr="004E3A3C">
              <w:rPr>
                <w:rFonts w:eastAsia="Times New Roman" w:cs="Times New Roman"/>
              </w:rPr>
              <w:t>Tx cycle 1 = $</w:t>
            </w:r>
            <w:r w:rsidR="00B73859" w:rsidRPr="00B73859">
              <w:rPr>
                <w:rFonts w:eastAsia="Times New Roman" w:cs="Times New Roman"/>
                <w:sz w:val="2"/>
                <w:highlight w:val="black"/>
              </w:rPr>
              <w:t>redacted content</w:t>
            </w:r>
          </w:p>
          <w:p w14:paraId="3C781390" w14:textId="28FFBCC3" w:rsidR="002F03F5" w:rsidRPr="004E3A3C" w:rsidRDefault="008F23FF" w:rsidP="00921FF3">
            <w:pPr>
              <w:pStyle w:val="TableText"/>
              <w:widowControl/>
              <w:jc w:val="center"/>
            </w:pPr>
            <w:r w:rsidRPr="004E3A3C">
              <w:rPr>
                <w:rFonts w:eastAsia="Times New Roman" w:cs="Times New Roman"/>
              </w:rPr>
              <w:t>Tx cycle 2+ = $</w:t>
            </w:r>
            <w:r w:rsidR="00B73859" w:rsidRPr="00B73859">
              <w:rPr>
                <w:rFonts w:eastAsia="Times New Roman" w:cs="Times New Roman"/>
                <w:sz w:val="2"/>
                <w:highlight w:val="black"/>
              </w:rPr>
              <w:t>redacted content</w:t>
            </w:r>
          </w:p>
        </w:tc>
      </w:tr>
      <w:tr w:rsidR="002F03F5" w:rsidRPr="004E3A3C" w14:paraId="3C781396" w14:textId="77777777" w:rsidTr="00D43D44">
        <w:trPr>
          <w:cantSplit/>
          <w:trHeight w:val="20"/>
        </w:trPr>
        <w:tc>
          <w:tcPr>
            <w:tcW w:w="1413" w:type="dxa"/>
            <w:vAlign w:val="center"/>
          </w:tcPr>
          <w:p w14:paraId="3C781392" w14:textId="559E2795" w:rsidR="002F03F5" w:rsidRPr="004E3A3C" w:rsidRDefault="008F23FF" w:rsidP="00921FF3">
            <w:pPr>
              <w:pStyle w:val="TableText"/>
              <w:widowControl/>
              <w:rPr>
                <w:vertAlign w:val="superscript"/>
              </w:rPr>
            </w:pPr>
            <w:r w:rsidRPr="004E3A3C">
              <w:rPr>
                <w:rFonts w:eastAsia="Times New Roman" w:cs="Times New Roman"/>
              </w:rPr>
              <w:t>Cost/patient/</w:t>
            </w:r>
            <w:r w:rsidR="00407557" w:rsidRPr="004E3A3C">
              <w:rPr>
                <w:rFonts w:eastAsia="Times New Roman" w:cs="Times New Roman"/>
              </w:rPr>
              <w:t xml:space="preserve"> </w:t>
            </w:r>
            <w:proofErr w:type="spellStart"/>
            <w:r w:rsidRPr="004E3A3C">
              <w:rPr>
                <w:rFonts w:eastAsia="Times New Roman" w:cs="Times New Roman"/>
              </w:rPr>
              <w:t>year</w:t>
            </w:r>
            <w:r w:rsidRPr="004E3A3C">
              <w:rPr>
                <w:rFonts w:eastAsia="Times New Roman" w:cs="Times New Roman"/>
                <w:vertAlign w:val="superscript"/>
              </w:rPr>
              <w:t>b</w:t>
            </w:r>
            <w:proofErr w:type="spellEnd"/>
          </w:p>
        </w:tc>
        <w:tc>
          <w:tcPr>
            <w:tcW w:w="1417" w:type="dxa"/>
            <w:vAlign w:val="center"/>
          </w:tcPr>
          <w:p w14:paraId="3C781393" w14:textId="77707062" w:rsidR="002F03F5" w:rsidRPr="00B73859" w:rsidRDefault="008F23FF" w:rsidP="00921FF3">
            <w:pPr>
              <w:pStyle w:val="TableText"/>
              <w:widowControl/>
              <w:jc w:val="center"/>
              <w:rPr>
                <w:highlight w:val="yellow"/>
                <w:vertAlign w:val="superscript"/>
              </w:rPr>
            </w:pPr>
            <w:r w:rsidRPr="0042687D">
              <w:rPr>
                <w:rFonts w:eastAsia="Times New Roman" w:cs="Times New Roman"/>
              </w:rPr>
              <w:t>$</w:t>
            </w:r>
            <w:r w:rsidR="00B73859" w:rsidRPr="00B73859">
              <w:rPr>
                <w:rFonts w:eastAsia="Times New Roman" w:cs="Times New Roman"/>
                <w:sz w:val="2"/>
                <w:highlight w:val="black"/>
              </w:rPr>
              <w:t>redacted content</w:t>
            </w:r>
          </w:p>
        </w:tc>
        <w:tc>
          <w:tcPr>
            <w:tcW w:w="3686" w:type="dxa"/>
            <w:gridSpan w:val="2"/>
            <w:vAlign w:val="center"/>
          </w:tcPr>
          <w:p w14:paraId="3C781394" w14:textId="6AFB2A45" w:rsidR="002F03F5" w:rsidRPr="00B73859" w:rsidRDefault="008F23FF" w:rsidP="00921FF3">
            <w:pPr>
              <w:pStyle w:val="TableText"/>
              <w:widowControl/>
              <w:jc w:val="center"/>
              <w:rPr>
                <w:rFonts w:eastAsia="Times New Roman" w:cs="Times New Roman"/>
                <w:highlight w:val="yellow"/>
              </w:rPr>
            </w:pPr>
            <w:r w:rsidRPr="0042687D">
              <w:rPr>
                <w:rFonts w:eastAsia="Times New Roman" w:cs="Times New Roman"/>
              </w:rPr>
              <w:t>$</w:t>
            </w:r>
            <w:r w:rsidR="00B73859" w:rsidRPr="00B73859">
              <w:rPr>
                <w:rFonts w:eastAsia="Times New Roman" w:cs="Times New Roman"/>
                <w:sz w:val="2"/>
                <w:highlight w:val="black"/>
              </w:rPr>
              <w:t>redacted content</w:t>
            </w:r>
          </w:p>
        </w:tc>
        <w:tc>
          <w:tcPr>
            <w:tcW w:w="2500" w:type="dxa"/>
            <w:vAlign w:val="center"/>
          </w:tcPr>
          <w:p w14:paraId="3C781395" w14:textId="29730344" w:rsidR="002F03F5" w:rsidRPr="00B73859" w:rsidRDefault="008F23FF" w:rsidP="00921FF3">
            <w:pPr>
              <w:pStyle w:val="TableText"/>
              <w:widowControl/>
              <w:jc w:val="center"/>
              <w:rPr>
                <w:highlight w:val="yellow"/>
              </w:rPr>
            </w:pPr>
            <w:r w:rsidRPr="0042687D">
              <w:rPr>
                <w:rFonts w:eastAsia="Times New Roman" w:cs="Times New Roman"/>
              </w:rPr>
              <w:t>$</w:t>
            </w:r>
            <w:r w:rsidR="00B73859" w:rsidRPr="00B73859">
              <w:rPr>
                <w:rFonts w:eastAsia="Times New Roman" w:cs="Times New Roman"/>
                <w:sz w:val="2"/>
                <w:highlight w:val="black"/>
              </w:rPr>
              <w:t>redacted content</w:t>
            </w:r>
          </w:p>
        </w:tc>
      </w:tr>
      <w:tr w:rsidR="002F03F5" w:rsidRPr="004E3A3C" w14:paraId="3C78139E" w14:textId="77777777" w:rsidTr="00D43D44">
        <w:trPr>
          <w:cantSplit/>
          <w:trHeight w:val="20"/>
        </w:trPr>
        <w:tc>
          <w:tcPr>
            <w:tcW w:w="1413" w:type="dxa"/>
            <w:vAlign w:val="center"/>
          </w:tcPr>
          <w:p w14:paraId="3C781397" w14:textId="459E6DEE" w:rsidR="002F03F5" w:rsidRPr="004E3A3C" w:rsidRDefault="008F23FF" w:rsidP="00921FF3">
            <w:pPr>
              <w:pStyle w:val="TableText"/>
              <w:widowControl/>
              <w:rPr>
                <w:vertAlign w:val="superscript"/>
              </w:rPr>
            </w:pPr>
            <w:r w:rsidRPr="004E3A3C">
              <w:rPr>
                <w:rFonts w:eastAsia="Times New Roman" w:cs="Times New Roman"/>
              </w:rPr>
              <w:t>Cost/patient/</w:t>
            </w:r>
            <w:r w:rsidR="00407557" w:rsidRPr="004E3A3C">
              <w:rPr>
                <w:rFonts w:eastAsia="Times New Roman" w:cs="Times New Roman"/>
              </w:rPr>
              <w:t xml:space="preserve"> </w:t>
            </w:r>
            <w:r w:rsidRPr="004E3A3C">
              <w:rPr>
                <w:rFonts w:eastAsia="Times New Roman" w:cs="Times New Roman"/>
              </w:rPr>
              <w:t>course</w:t>
            </w:r>
          </w:p>
        </w:tc>
        <w:tc>
          <w:tcPr>
            <w:tcW w:w="1417" w:type="dxa"/>
            <w:vAlign w:val="center"/>
          </w:tcPr>
          <w:p w14:paraId="3C781398" w14:textId="0C086B22" w:rsidR="002F03F5" w:rsidRPr="004E3A3C" w:rsidRDefault="008F23FF" w:rsidP="00921FF3">
            <w:pPr>
              <w:pStyle w:val="TableText"/>
              <w:widowControl/>
              <w:jc w:val="center"/>
              <w:rPr>
                <w:rFonts w:eastAsia="Times New Roman" w:cs="Times New Roman"/>
              </w:rPr>
            </w:pPr>
            <w:r w:rsidRPr="004E3A3C">
              <w:rPr>
                <w:rFonts w:eastAsia="Times New Roman" w:cs="Times New Roman"/>
              </w:rPr>
              <w:t>$</w:t>
            </w:r>
            <w:r w:rsidR="00B73859" w:rsidRPr="00B73859">
              <w:rPr>
                <w:rFonts w:eastAsia="Times New Roman" w:cs="Times New Roman"/>
                <w:sz w:val="2"/>
                <w:highlight w:val="black"/>
              </w:rPr>
              <w:t>redacted content</w:t>
            </w:r>
          </w:p>
        </w:tc>
        <w:tc>
          <w:tcPr>
            <w:tcW w:w="1985" w:type="dxa"/>
            <w:vAlign w:val="center"/>
          </w:tcPr>
          <w:p w14:paraId="3C781399" w14:textId="146BACAA" w:rsidR="002F03F5" w:rsidRPr="004E3A3C" w:rsidRDefault="008F23FF" w:rsidP="00921FF3">
            <w:pPr>
              <w:pStyle w:val="TableText"/>
              <w:widowControl/>
              <w:jc w:val="center"/>
              <w:rPr>
                <w:vertAlign w:val="superscript"/>
              </w:rPr>
            </w:pPr>
            <w:r w:rsidRPr="004E3A3C">
              <w:rPr>
                <w:rFonts w:eastAsia="Times New Roman" w:cs="Times New Roman"/>
              </w:rPr>
              <w:t>$</w:t>
            </w:r>
            <w:r w:rsidR="00B73859" w:rsidRPr="00B73859">
              <w:rPr>
                <w:rFonts w:eastAsia="Times New Roman" w:cs="Times New Roman"/>
                <w:sz w:val="2"/>
                <w:highlight w:val="black"/>
              </w:rPr>
              <w:t>redacted content</w:t>
            </w:r>
            <w:r w:rsidRPr="004E3A3C">
              <w:rPr>
                <w:rFonts w:eastAsia="Times New Roman" w:cs="Times New Roman"/>
              </w:rPr>
              <w:t xml:space="preserve"> based on mean Tx duration</w:t>
            </w:r>
          </w:p>
          <w:p w14:paraId="3C78139A" w14:textId="7D255498" w:rsidR="002F03F5" w:rsidRPr="004E3A3C" w:rsidRDefault="008F23FF" w:rsidP="00921FF3">
            <w:pPr>
              <w:pStyle w:val="TableText"/>
              <w:widowControl/>
              <w:jc w:val="center"/>
              <w:rPr>
                <w:vertAlign w:val="superscript"/>
              </w:rPr>
            </w:pPr>
            <w:r w:rsidRPr="004E3A3C">
              <w:rPr>
                <w:rFonts w:eastAsia="Times New Roman" w:cs="Times New Roman"/>
              </w:rPr>
              <w:t>$</w:t>
            </w:r>
            <w:r w:rsidR="00B73859" w:rsidRPr="00B73859">
              <w:rPr>
                <w:rFonts w:eastAsia="Times New Roman" w:cs="Times New Roman"/>
                <w:sz w:val="2"/>
                <w:highlight w:val="black"/>
              </w:rPr>
              <w:t>redacted content</w:t>
            </w:r>
            <w:r w:rsidRPr="004E3A3C">
              <w:rPr>
                <w:rFonts w:eastAsia="Times New Roman" w:cs="Times New Roman"/>
              </w:rPr>
              <w:t xml:space="preserve"> based on model time horizon</w:t>
            </w:r>
          </w:p>
        </w:tc>
        <w:tc>
          <w:tcPr>
            <w:tcW w:w="1701" w:type="dxa"/>
            <w:vAlign w:val="center"/>
          </w:tcPr>
          <w:p w14:paraId="3C78139B" w14:textId="77777777" w:rsidR="002F03F5" w:rsidRPr="00C95602" w:rsidRDefault="008F23FF" w:rsidP="00921FF3">
            <w:pPr>
              <w:pStyle w:val="TableText"/>
              <w:widowControl/>
              <w:jc w:val="center"/>
              <w:rPr>
                <w:rFonts w:eastAsia="Times New Roman" w:cs="Times New Roman"/>
              </w:rPr>
            </w:pPr>
            <w:r w:rsidRPr="00C95602">
              <w:rPr>
                <w:rFonts w:eastAsia="Times New Roman" w:cs="Times New Roman"/>
              </w:rPr>
              <w:t>$332,382 based on mean Tx duration</w:t>
            </w:r>
          </w:p>
        </w:tc>
        <w:tc>
          <w:tcPr>
            <w:tcW w:w="2500" w:type="dxa"/>
            <w:vAlign w:val="center"/>
          </w:tcPr>
          <w:p w14:paraId="3C78139C" w14:textId="448630A6" w:rsidR="002F03F5" w:rsidRPr="00C95602" w:rsidRDefault="008F23FF" w:rsidP="00921FF3">
            <w:pPr>
              <w:pStyle w:val="TableText"/>
              <w:widowControl/>
              <w:jc w:val="center"/>
            </w:pPr>
            <w:r w:rsidRPr="00C95602">
              <w:rPr>
                <w:rFonts w:eastAsia="Times New Roman" w:cs="Times New Roman"/>
              </w:rPr>
              <w:t>$</w:t>
            </w:r>
            <w:r w:rsidR="00B73859" w:rsidRPr="00B73859">
              <w:rPr>
                <w:rFonts w:eastAsia="Times New Roman" w:cs="Times New Roman"/>
                <w:sz w:val="2"/>
                <w:highlight w:val="black"/>
              </w:rPr>
              <w:t>redacted content</w:t>
            </w:r>
            <w:r w:rsidRPr="00C95602">
              <w:rPr>
                <w:rFonts w:eastAsia="Times New Roman" w:cs="Times New Roman"/>
              </w:rPr>
              <w:t xml:space="preserve"> based on Tx duration </w:t>
            </w:r>
          </w:p>
          <w:p w14:paraId="3C78139D" w14:textId="3E48D4F8" w:rsidR="002F03F5" w:rsidRPr="00C95602" w:rsidRDefault="008F23FF" w:rsidP="00921FF3">
            <w:pPr>
              <w:pStyle w:val="TableText"/>
              <w:widowControl/>
              <w:jc w:val="center"/>
            </w:pPr>
            <w:r w:rsidRPr="00C95602">
              <w:rPr>
                <w:rFonts w:eastAsia="Times New Roman" w:cs="Times New Roman"/>
              </w:rPr>
              <w:t>$</w:t>
            </w:r>
            <w:r w:rsidR="00B73859" w:rsidRPr="00B73859">
              <w:rPr>
                <w:rFonts w:eastAsia="Times New Roman" w:cs="Times New Roman"/>
                <w:sz w:val="2"/>
                <w:highlight w:val="black"/>
              </w:rPr>
              <w:t>redacted content</w:t>
            </w:r>
            <w:r w:rsidRPr="00C95602">
              <w:rPr>
                <w:rFonts w:eastAsia="Times New Roman" w:cs="Times New Roman"/>
              </w:rPr>
              <w:t xml:space="preserve"> based on time horizon </w:t>
            </w:r>
          </w:p>
        </w:tc>
      </w:tr>
    </w:tbl>
    <w:p w14:paraId="3C78139F" w14:textId="77777777" w:rsidR="002F03F5" w:rsidRPr="00BB213B" w:rsidRDefault="008F23FF" w:rsidP="00921FF3">
      <w:pPr>
        <w:pStyle w:val="TableFooter"/>
        <w:widowControl/>
      </w:pPr>
      <w:r w:rsidRPr="004E3A3C">
        <w:t xml:space="preserve">Source: Table 3-21, p143 of the submission; Table 14.3.1.2.2, Attachment ‘t_14_3_1_2_2’ to the submission; ‘Selpercatinib </w:t>
      </w:r>
      <w:proofErr w:type="spellStart"/>
      <w:r w:rsidRPr="004E3A3C">
        <w:t>PartSM</w:t>
      </w:r>
      <w:proofErr w:type="spellEnd"/>
      <w:r w:rsidRPr="004E3A3C">
        <w:t>’ and ‘Country Specific Data’ worksheets from the economic model</w:t>
      </w:r>
    </w:p>
    <w:p w14:paraId="3C7813A0" w14:textId="77777777" w:rsidR="002F03F5" w:rsidRPr="00BB213B" w:rsidRDefault="008F23FF" w:rsidP="00921FF3">
      <w:pPr>
        <w:pStyle w:val="TableFooter"/>
        <w:widowControl/>
      </w:pPr>
      <w:r w:rsidRPr="00BB213B">
        <w:t>BID = twice daily; NA = not applicable; ToT = time on treatment; Tx = treatment</w:t>
      </w:r>
    </w:p>
    <w:p w14:paraId="3C7813A1" w14:textId="77777777" w:rsidR="002F03F5" w:rsidRPr="00BB213B" w:rsidRDefault="008F23FF" w:rsidP="00921FF3">
      <w:pPr>
        <w:pStyle w:val="TableFooter"/>
        <w:widowControl/>
      </w:pPr>
      <w:r w:rsidRPr="00BB213B">
        <w:rPr>
          <w:vertAlign w:val="superscript"/>
        </w:rPr>
        <w:t>a</w:t>
      </w:r>
      <w:r w:rsidRPr="00BB213B">
        <w:t xml:space="preserve"> Assumed dose reductions from LIBRETTO: </w:t>
      </w:r>
      <w:proofErr w:type="spellStart"/>
      <w:r w:rsidRPr="00BB213B">
        <w:t>tx</w:t>
      </w:r>
      <w:proofErr w:type="spellEnd"/>
      <w:r w:rsidRPr="00BB213B">
        <w:t xml:space="preserve"> cycle 1 = 100% on 160 mg, </w:t>
      </w:r>
      <w:proofErr w:type="spellStart"/>
      <w:r w:rsidRPr="00BB213B">
        <w:t>tx</w:t>
      </w:r>
      <w:proofErr w:type="spellEnd"/>
      <w:r w:rsidRPr="00BB213B">
        <w:t xml:space="preserve"> cycle 2 = 54.92% on 160 mg, 27.98% on 120 mg, 17.10% on 80 mg, 0% on 40 mg. Still assumed that dose reductions occurred after </w:t>
      </w:r>
      <w:proofErr w:type="spellStart"/>
      <w:r w:rsidRPr="00BB213B">
        <w:t>tx</w:t>
      </w:r>
      <w:proofErr w:type="spellEnd"/>
      <w:r w:rsidRPr="00BB213B">
        <w:t xml:space="preserve"> cycle 1 for consistency with the model and financials.</w:t>
      </w:r>
    </w:p>
    <w:p w14:paraId="3C7813A2" w14:textId="77777777" w:rsidR="002F03F5" w:rsidRPr="00BB213B" w:rsidRDefault="008F23FF" w:rsidP="00921FF3">
      <w:pPr>
        <w:pStyle w:val="TableFooter"/>
        <w:widowControl/>
      </w:pPr>
      <w:r w:rsidRPr="00BB213B">
        <w:rPr>
          <w:vertAlign w:val="superscript"/>
        </w:rPr>
        <w:t>b</w:t>
      </w:r>
      <w:r w:rsidRPr="00BB213B">
        <w:t xml:space="preserve"> Treatment cycle 2+ was applied.</w:t>
      </w:r>
    </w:p>
    <w:p w14:paraId="3C7813A3" w14:textId="77777777" w:rsidR="002F03F5" w:rsidRPr="00BB213B" w:rsidRDefault="008F23FF" w:rsidP="00921FF3">
      <w:pPr>
        <w:pStyle w:val="TableFooter"/>
        <w:widowControl/>
      </w:pPr>
      <w:r w:rsidRPr="00BB213B">
        <w:rPr>
          <w:vertAlign w:val="superscript"/>
        </w:rPr>
        <w:t xml:space="preserve">c </w:t>
      </w:r>
      <w:r w:rsidRPr="00BB213B">
        <w:t>Calculated as cost per patient per year multiplied by mean treatment duration (5.3 years). Patient discontinuation was captured in the mean treatment duration.</w:t>
      </w:r>
    </w:p>
    <w:p w14:paraId="3C7813A4" w14:textId="77777777" w:rsidR="002F03F5" w:rsidRPr="00BB213B" w:rsidRDefault="008F23FF" w:rsidP="00921FF3">
      <w:pPr>
        <w:pStyle w:val="TableFooter"/>
        <w:widowControl/>
      </w:pPr>
      <w:proofErr w:type="spellStart"/>
      <w:r w:rsidRPr="00BB213B">
        <w:rPr>
          <w:vertAlign w:val="superscript"/>
        </w:rPr>
        <w:t>e</w:t>
      </w:r>
      <w:proofErr w:type="spellEnd"/>
      <w:r w:rsidRPr="00BB213B">
        <w:rPr>
          <w:vertAlign w:val="superscript"/>
        </w:rPr>
        <w:t xml:space="preserve"> </w:t>
      </w:r>
      <w:r w:rsidRPr="00BB213B">
        <w:t xml:space="preserve">Assumed dose reductions from LIBRETTO-531 in treatment cycle 2+ corrected to: 53.9% on 160 mg, 28% on 120 mg, 17.10% on 80 mg, 1% on 40 mg. Applied to cells AZ91:AZ94 in ‘Country-Specific Data’ worksheet from the model. </w:t>
      </w:r>
    </w:p>
    <w:p w14:paraId="3C7813A5" w14:textId="77777777" w:rsidR="002F03F5" w:rsidRPr="00BB213B" w:rsidRDefault="008F23FF" w:rsidP="00921FF3">
      <w:pPr>
        <w:pStyle w:val="TableFooter"/>
        <w:widowControl/>
      </w:pPr>
      <w:r w:rsidRPr="00BB213B">
        <w:rPr>
          <w:vertAlign w:val="superscript"/>
        </w:rPr>
        <w:t>g</w:t>
      </w:r>
      <w:r w:rsidRPr="00BB213B">
        <w:t xml:space="preserve"> Cost per patient extracted from the economic model</w:t>
      </w:r>
    </w:p>
    <w:p w14:paraId="3C7813A6" w14:textId="77777777" w:rsidR="002F03F5" w:rsidRPr="009F2AA4" w:rsidRDefault="008F23FF" w:rsidP="00921FF3">
      <w:pPr>
        <w:pStyle w:val="TableFooter"/>
        <w:widowControl/>
        <w:rPr>
          <w:u w:val="single"/>
        </w:rPr>
      </w:pPr>
      <w:r w:rsidRPr="009F2AA4">
        <w:rPr>
          <w:u w:val="single"/>
        </w:rPr>
        <w:t>Notes:</w:t>
      </w:r>
    </w:p>
    <w:p w14:paraId="3C7813A7" w14:textId="77777777" w:rsidR="002F03F5" w:rsidRPr="009F2AA4" w:rsidRDefault="008F23FF" w:rsidP="00921FF3">
      <w:pPr>
        <w:pStyle w:val="TableFooter"/>
        <w:widowControl/>
      </w:pPr>
      <w:r w:rsidRPr="009F2AA4">
        <w:t>Treatment cycle = 28 days</w:t>
      </w:r>
    </w:p>
    <w:p w14:paraId="3C7813A8" w14:textId="7E074A45" w:rsidR="002F03F5" w:rsidRPr="00D83902" w:rsidRDefault="008F23FF" w:rsidP="00921FF3">
      <w:pPr>
        <w:pStyle w:val="3-BodyText"/>
      </w:pPr>
      <w:r w:rsidRPr="00C82805">
        <w:lastRenderedPageBreak/>
        <w:t xml:space="preserve">The drug costs in </w:t>
      </w:r>
      <w:r w:rsidRPr="004E3A3C">
        <w:t xml:space="preserve">the model and </w:t>
      </w:r>
      <w:r w:rsidRPr="00D83902">
        <w:t>financial estimates ($</w:t>
      </w:r>
      <w:r w:rsidR="00B73859" w:rsidRPr="00B73859">
        <w:rPr>
          <w:sz w:val="2"/>
          <w:highlight w:val="black"/>
        </w:rPr>
        <w:t>redacted content</w:t>
      </w:r>
      <w:r w:rsidR="00B73859" w:rsidRPr="00B73859">
        <w:t xml:space="preserve"> </w:t>
      </w:r>
      <w:r w:rsidRPr="00D83902">
        <w:t>in submission, $</w:t>
      </w:r>
      <w:r w:rsidR="00B73859" w:rsidRPr="00B73859">
        <w:rPr>
          <w:sz w:val="2"/>
          <w:highlight w:val="black"/>
        </w:rPr>
        <w:t>redacted content</w:t>
      </w:r>
      <w:r w:rsidR="00B73859" w:rsidRPr="00B73859">
        <w:t xml:space="preserve"> </w:t>
      </w:r>
      <w:r w:rsidRPr="00D83902">
        <w:t xml:space="preserve">with corrected dosage assumptions) were the same, noting that the same proportion of use at each dosing regimen and the same treatment durations were applied (5.3 years from the model). </w:t>
      </w:r>
    </w:p>
    <w:p w14:paraId="3C7813A9" w14:textId="3CD87B90" w:rsidR="002F03F5" w:rsidRPr="00C82805" w:rsidRDefault="008F23FF" w:rsidP="00921FF3">
      <w:pPr>
        <w:pStyle w:val="3-BodyText"/>
      </w:pPr>
      <w:r w:rsidRPr="004E3A3C">
        <w:t>The model drug cost over the 25 year time horizon was $</w:t>
      </w:r>
      <w:r w:rsidR="00B73859" w:rsidRPr="00B73859">
        <w:rPr>
          <w:sz w:val="2"/>
          <w:highlight w:val="black"/>
        </w:rPr>
        <w:t>redacted content</w:t>
      </w:r>
      <w:r w:rsidR="00B73859" w:rsidRPr="00B73859">
        <w:t xml:space="preserve"> </w:t>
      </w:r>
      <w:r w:rsidRPr="004E3A3C">
        <w:t>in the submission ($</w:t>
      </w:r>
      <w:r w:rsidR="00B73859" w:rsidRPr="00B73859">
        <w:rPr>
          <w:sz w:val="2"/>
          <w:highlight w:val="black"/>
        </w:rPr>
        <w:t>redacted content</w:t>
      </w:r>
      <w:r w:rsidR="00B73859" w:rsidRPr="00B73859">
        <w:t xml:space="preserve"> </w:t>
      </w:r>
      <w:r w:rsidRPr="004E3A3C">
        <w:t>with corrected dosage assumptions)</w:t>
      </w:r>
      <w:r w:rsidR="00D83E3C" w:rsidRPr="004E3A3C">
        <w:t>,</w:t>
      </w:r>
      <w:r w:rsidRPr="004E3A3C">
        <w:t xml:space="preserve"> and was slightly higher than the estimate based on mean treatment duration (see paragraph</w:t>
      </w:r>
      <w:r w:rsidRPr="00C82805">
        <w:t xml:space="preserve"> above)</w:t>
      </w:r>
      <w:r w:rsidR="00572111">
        <w:t>. This was</w:t>
      </w:r>
      <w:r w:rsidRPr="00C82805">
        <w:t xml:space="preserve"> due to the impact of discontinuation on selpercatinib drug costs being applied every 4 weeks (i.e., selpercatinib drug costs were incurred once per 28 days)</w:t>
      </w:r>
      <w:r w:rsidR="00572111">
        <w:t>,</w:t>
      </w:r>
      <w:r w:rsidRPr="00C82805">
        <w:t xml:space="preserve"> whereas the mean treatment duration accounted for discontinuation at every weekly cycle</w:t>
      </w:r>
      <w:r w:rsidR="007E4824">
        <w:t>,</w:t>
      </w:r>
      <w:r w:rsidRPr="00C82805">
        <w:t xml:space="preserve"> hence potentially underestimating treatment duration.</w:t>
      </w:r>
    </w:p>
    <w:p w14:paraId="3C7813AA" w14:textId="77777777" w:rsidR="002F03F5" w:rsidRPr="009F2AA4" w:rsidRDefault="008F23FF" w:rsidP="00921FF3">
      <w:pPr>
        <w:pStyle w:val="PBACESHeading2"/>
        <w:spacing w:before="200" w:afterLines="100" w:after="240"/>
        <w:ind w:left="862" w:hanging="862"/>
        <w:rPr>
          <w:rFonts w:ascii="Calibri" w:hAnsi="Calibri" w:cs="Calibri"/>
        </w:rPr>
      </w:pPr>
      <w:bookmarkStart w:id="99" w:name="_Toc219898333"/>
      <w:bookmarkStart w:id="100" w:name="_Toc413139284"/>
      <w:r w:rsidRPr="009F2AA4">
        <w:rPr>
          <w:rFonts w:ascii="Calibri" w:hAnsi="Calibri" w:cs="Calibri"/>
        </w:rPr>
        <w:t>Estimated PBS usage &amp; financial implications</w:t>
      </w:r>
      <w:bookmarkEnd w:id="99"/>
      <w:bookmarkEnd w:id="100"/>
    </w:p>
    <w:p w14:paraId="3C7813AB" w14:textId="77777777" w:rsidR="002F03F5" w:rsidRPr="009F2AA4" w:rsidRDefault="008F23FF" w:rsidP="00921FF3">
      <w:pPr>
        <w:pStyle w:val="3-BodyText"/>
        <w:rPr>
          <w:color w:val="3366FF"/>
        </w:rPr>
      </w:pPr>
      <w:r w:rsidRPr="009F2AA4">
        <w:t xml:space="preserve">This submission was not considered by DUSC. </w:t>
      </w:r>
    </w:p>
    <w:p w14:paraId="3C7813AC" w14:textId="3FB03385" w:rsidR="002F03F5" w:rsidRPr="009F2AA4" w:rsidRDefault="008F23FF" w:rsidP="00921FF3">
      <w:pPr>
        <w:pStyle w:val="3-BodyText"/>
        <w:rPr>
          <w:color w:val="3366FF"/>
        </w:rPr>
      </w:pPr>
      <w:r w:rsidRPr="009F2AA4">
        <w:t>The submission adopted an epidemiological approach to estimating the financial impact.</w:t>
      </w:r>
      <w:r w:rsidR="007E3114">
        <w:t xml:space="preserve"> </w:t>
      </w:r>
    </w:p>
    <w:p w14:paraId="3C7813AE" w14:textId="70691DAC" w:rsidR="002F03F5" w:rsidRPr="001F5944" w:rsidRDefault="008F23FF" w:rsidP="00921FF3">
      <w:pPr>
        <w:pStyle w:val="3-BodyText"/>
        <w:rPr>
          <w:color w:val="3366FF"/>
        </w:rPr>
      </w:pPr>
      <w:r w:rsidRPr="009F2AA4">
        <w:t xml:space="preserve">The key inputs are summarised in </w:t>
      </w:r>
      <w:r w:rsidR="007E4824">
        <w:fldChar w:fldCharType="begin"/>
      </w:r>
      <w:r w:rsidR="007E4824">
        <w:instrText xml:space="preserve"> REF _Ref225287589 \h </w:instrText>
      </w:r>
      <w:r w:rsidR="007E4824">
        <w:fldChar w:fldCharType="separate"/>
      </w:r>
      <w:r w:rsidR="003A3B69">
        <w:t xml:space="preserve">Table </w:t>
      </w:r>
      <w:r w:rsidR="003A3B69">
        <w:rPr>
          <w:noProof/>
        </w:rPr>
        <w:t>17</w:t>
      </w:r>
      <w:r w:rsidR="007E4824">
        <w:fldChar w:fldCharType="end"/>
      </w:r>
      <w:r w:rsidR="001F5944">
        <w:t>.</w:t>
      </w:r>
    </w:p>
    <w:p w14:paraId="53ED04B5" w14:textId="76CD2D28" w:rsidR="00E17273" w:rsidRDefault="00E17273" w:rsidP="00921FF3">
      <w:pPr>
        <w:pStyle w:val="Caption"/>
      </w:pPr>
      <w:bookmarkStart w:id="101" w:name="_Ref225287589"/>
      <w:r>
        <w:t xml:space="preserve">Table </w:t>
      </w:r>
      <w:r>
        <w:fldChar w:fldCharType="begin"/>
      </w:r>
      <w:r>
        <w:instrText>SEQ Table \* ARABIC</w:instrText>
      </w:r>
      <w:r>
        <w:fldChar w:fldCharType="separate"/>
      </w:r>
      <w:r w:rsidR="003A3B69">
        <w:rPr>
          <w:noProof/>
        </w:rPr>
        <w:t>17</w:t>
      </w:r>
      <w:r>
        <w:fldChar w:fldCharType="end"/>
      </w:r>
      <w:bookmarkEnd w:id="101"/>
      <w:r>
        <w:t>:</w:t>
      </w:r>
      <w:r w:rsidR="007E3114">
        <w:t xml:space="preserve"> </w:t>
      </w:r>
      <w:r w:rsidRPr="002A7A93">
        <w:t>Key inputs for financial estimates</w:t>
      </w:r>
    </w:p>
    <w:tbl>
      <w:tblPr>
        <w:tblpPr w:leftFromText="180" w:rightFromText="180" w:vertAnchor="text" w:tblpY="1"/>
        <w:tblOverlap w:val="never"/>
        <w:tblW w:w="5000" w:type="pct"/>
        <w:tblLayout w:type="fixed"/>
        <w:tblCellMar>
          <w:left w:w="28" w:type="dxa"/>
          <w:right w:w="28" w:type="dxa"/>
        </w:tblCellMar>
        <w:tblLook w:val="04A0" w:firstRow="1" w:lastRow="0" w:firstColumn="1" w:lastColumn="0" w:noHBand="0" w:noVBand="1"/>
        <w:tblCaption w:val="Table 17: Key inputs for financial estimates"/>
      </w:tblPr>
      <w:tblGrid>
        <w:gridCol w:w="1165"/>
        <w:gridCol w:w="4230"/>
        <w:gridCol w:w="3621"/>
      </w:tblGrid>
      <w:tr w:rsidR="002F03F5" w:rsidRPr="009F2AA4" w14:paraId="3C7813B2" w14:textId="77777777" w:rsidTr="00173793">
        <w:trPr>
          <w:cantSplit/>
          <w:tblHeader/>
        </w:trPr>
        <w:tc>
          <w:tcPr>
            <w:tcW w:w="1166" w:type="dxa"/>
            <w:tcBorders>
              <w:top w:val="single" w:sz="4" w:space="0" w:color="000000"/>
              <w:left w:val="single" w:sz="4" w:space="0" w:color="000000"/>
              <w:bottom w:val="single" w:sz="4" w:space="0" w:color="000000"/>
              <w:right w:val="single" w:sz="4" w:space="0" w:color="000000"/>
            </w:tcBorders>
            <w:vAlign w:val="center"/>
          </w:tcPr>
          <w:p w14:paraId="3C7813AF" w14:textId="77777777" w:rsidR="002F03F5" w:rsidRPr="009F2AA4" w:rsidRDefault="008F23FF" w:rsidP="00921FF3">
            <w:pPr>
              <w:pStyle w:val="In-tableHeading"/>
              <w:ind w:left="57" w:right="57"/>
              <w:rPr>
                <w:lang w:val="en-AU"/>
              </w:rPr>
            </w:pPr>
            <w:r w:rsidRPr="009F2AA4">
              <w:rPr>
                <w:lang w:val="en-AU"/>
              </w:rPr>
              <w:t>Parameter</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B0" w14:textId="77777777" w:rsidR="002F03F5" w:rsidRPr="009F2AA4" w:rsidRDefault="008F23FF" w:rsidP="00921FF3">
            <w:pPr>
              <w:pStyle w:val="In-tableHeading"/>
              <w:ind w:left="57" w:right="57"/>
              <w:rPr>
                <w:lang w:val="en-AU"/>
              </w:rPr>
            </w:pPr>
            <w:r w:rsidRPr="009F2AA4">
              <w:rPr>
                <w:lang w:val="en-AU"/>
              </w:rPr>
              <w:t>Value applied and source</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3B1" w14:textId="77777777" w:rsidR="002F03F5" w:rsidRPr="009F2AA4" w:rsidRDefault="008F23FF" w:rsidP="00921FF3">
            <w:pPr>
              <w:pStyle w:val="In-tableHeading"/>
              <w:ind w:left="57" w:right="57"/>
              <w:rPr>
                <w:lang w:val="en-AU"/>
              </w:rPr>
            </w:pPr>
            <w:r w:rsidRPr="009F2AA4">
              <w:rPr>
                <w:lang w:val="en-AU"/>
              </w:rPr>
              <w:t>Comment</w:t>
            </w:r>
          </w:p>
        </w:tc>
      </w:tr>
      <w:tr w:rsidR="002F03F5" w:rsidRPr="009F2AA4" w14:paraId="3C7813B4" w14:textId="77777777" w:rsidTr="00173793">
        <w:trPr>
          <w:cantSplit/>
        </w:trPr>
        <w:tc>
          <w:tcPr>
            <w:tcW w:w="9026" w:type="dxa"/>
            <w:gridSpan w:val="3"/>
            <w:tcBorders>
              <w:top w:val="single" w:sz="4" w:space="0" w:color="000000"/>
              <w:left w:val="single" w:sz="4" w:space="0" w:color="000000"/>
              <w:bottom w:val="single" w:sz="4" w:space="0" w:color="000000"/>
              <w:right w:val="single" w:sz="4" w:space="0" w:color="000000"/>
            </w:tcBorders>
            <w:vAlign w:val="center"/>
          </w:tcPr>
          <w:p w14:paraId="3C7813B3" w14:textId="77777777" w:rsidR="002F03F5" w:rsidRPr="009F2AA4" w:rsidRDefault="008F23FF" w:rsidP="00921FF3">
            <w:pPr>
              <w:pStyle w:val="TableText"/>
              <w:keepNext/>
              <w:widowControl/>
              <w:ind w:left="57" w:right="57"/>
              <w:rPr>
                <w:b/>
                <w:bCs/>
              </w:rPr>
            </w:pPr>
            <w:r w:rsidRPr="009F2AA4">
              <w:rPr>
                <w:b/>
                <w:bCs/>
              </w:rPr>
              <w:t>Eligible patients</w:t>
            </w:r>
          </w:p>
        </w:tc>
      </w:tr>
      <w:tr w:rsidR="002F03F5" w:rsidRPr="009F2AA4" w14:paraId="3C7813C7"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B5" w14:textId="77777777" w:rsidR="002F03F5" w:rsidRPr="009F2AA4" w:rsidRDefault="008F23FF" w:rsidP="00921FF3">
            <w:pPr>
              <w:pStyle w:val="TableText"/>
              <w:keepNext/>
              <w:widowControl/>
              <w:ind w:left="57" w:right="57"/>
            </w:pPr>
            <w:r w:rsidRPr="009F2AA4">
              <w:t>Incident MTC</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B6" w14:textId="77777777" w:rsidR="002F03F5" w:rsidRPr="00C75B37" w:rsidRDefault="008F23FF" w:rsidP="00921FF3">
            <w:pPr>
              <w:pStyle w:val="TableText"/>
              <w:keepNext/>
              <w:widowControl/>
              <w:ind w:left="57" w:right="57"/>
            </w:pPr>
            <w:r w:rsidRPr="00C75B37">
              <w:t>Assumed 4% of incident thyroid cancer cases from the AIHW applying a 4.35% annual growth rate. Source: Cancer Australia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7"/>
              <w:gridCol w:w="715"/>
              <w:gridCol w:w="715"/>
              <w:gridCol w:w="716"/>
              <w:gridCol w:w="715"/>
              <w:gridCol w:w="716"/>
            </w:tblGrid>
            <w:tr w:rsidR="002F03F5" w:rsidRPr="00C75B37" w14:paraId="3C7813BD" w14:textId="77777777" w:rsidTr="00173793">
              <w:trPr>
                <w:cantSplit/>
                <w:trHeight w:val="260"/>
              </w:trPr>
              <w:tc>
                <w:tcPr>
                  <w:tcW w:w="587" w:type="dxa"/>
                  <w:noWrap/>
                  <w:vAlign w:val="center"/>
                  <w:hideMark/>
                </w:tcPr>
                <w:p w14:paraId="3C7813B7" w14:textId="77777777" w:rsidR="002F03F5" w:rsidRPr="00C75B37" w:rsidRDefault="008F23FF" w:rsidP="0043754A">
                  <w:pPr>
                    <w:pStyle w:val="TableText"/>
                    <w:keepNext/>
                    <w:widowControl/>
                    <w:ind w:left="57" w:right="57"/>
                    <w:jc w:val="center"/>
                    <w:rPr>
                      <w:b/>
                      <w:bCs/>
                    </w:rPr>
                  </w:pPr>
                  <w:r w:rsidRPr="00C75B37">
                    <w:rPr>
                      <w:b/>
                      <w:bCs/>
                    </w:rPr>
                    <w:t>2026</w:t>
                  </w:r>
                </w:p>
              </w:tc>
              <w:tc>
                <w:tcPr>
                  <w:tcW w:w="715" w:type="dxa"/>
                  <w:noWrap/>
                  <w:vAlign w:val="center"/>
                  <w:hideMark/>
                </w:tcPr>
                <w:p w14:paraId="3C7813B8" w14:textId="77777777" w:rsidR="002F03F5" w:rsidRPr="00C75B37" w:rsidRDefault="008F23FF" w:rsidP="0043754A">
                  <w:pPr>
                    <w:pStyle w:val="TableText"/>
                    <w:keepNext/>
                    <w:widowControl/>
                    <w:ind w:left="57" w:right="57"/>
                    <w:jc w:val="center"/>
                    <w:rPr>
                      <w:b/>
                      <w:bCs/>
                    </w:rPr>
                  </w:pPr>
                  <w:r w:rsidRPr="00C75B37">
                    <w:rPr>
                      <w:b/>
                      <w:bCs/>
                    </w:rPr>
                    <w:t>2027</w:t>
                  </w:r>
                </w:p>
              </w:tc>
              <w:tc>
                <w:tcPr>
                  <w:tcW w:w="715" w:type="dxa"/>
                  <w:noWrap/>
                  <w:vAlign w:val="center"/>
                  <w:hideMark/>
                </w:tcPr>
                <w:p w14:paraId="3C7813B9" w14:textId="77777777" w:rsidR="002F03F5" w:rsidRPr="00C75B37" w:rsidRDefault="008F23FF" w:rsidP="0043754A">
                  <w:pPr>
                    <w:pStyle w:val="TableText"/>
                    <w:keepNext/>
                    <w:widowControl/>
                    <w:ind w:left="57" w:right="57"/>
                    <w:jc w:val="center"/>
                    <w:rPr>
                      <w:b/>
                      <w:bCs/>
                    </w:rPr>
                  </w:pPr>
                  <w:r w:rsidRPr="00C75B37">
                    <w:rPr>
                      <w:b/>
                      <w:bCs/>
                    </w:rPr>
                    <w:t>2028</w:t>
                  </w:r>
                </w:p>
              </w:tc>
              <w:tc>
                <w:tcPr>
                  <w:tcW w:w="716" w:type="dxa"/>
                  <w:noWrap/>
                  <w:vAlign w:val="center"/>
                  <w:hideMark/>
                </w:tcPr>
                <w:p w14:paraId="3C7813BA" w14:textId="77777777" w:rsidR="002F03F5" w:rsidRPr="00C75B37" w:rsidRDefault="008F23FF" w:rsidP="0043754A">
                  <w:pPr>
                    <w:pStyle w:val="TableText"/>
                    <w:keepNext/>
                    <w:widowControl/>
                    <w:ind w:left="57" w:right="57"/>
                    <w:jc w:val="center"/>
                    <w:rPr>
                      <w:b/>
                      <w:bCs/>
                    </w:rPr>
                  </w:pPr>
                  <w:r w:rsidRPr="00C75B37">
                    <w:rPr>
                      <w:b/>
                      <w:bCs/>
                    </w:rPr>
                    <w:t>2029</w:t>
                  </w:r>
                </w:p>
              </w:tc>
              <w:tc>
                <w:tcPr>
                  <w:tcW w:w="715" w:type="dxa"/>
                  <w:noWrap/>
                  <w:vAlign w:val="center"/>
                  <w:hideMark/>
                </w:tcPr>
                <w:p w14:paraId="3C7813BB" w14:textId="77777777" w:rsidR="002F03F5" w:rsidRPr="00C75B37" w:rsidRDefault="008F23FF" w:rsidP="0043754A">
                  <w:pPr>
                    <w:pStyle w:val="TableText"/>
                    <w:keepNext/>
                    <w:widowControl/>
                    <w:ind w:left="57" w:right="57"/>
                    <w:jc w:val="center"/>
                    <w:rPr>
                      <w:b/>
                      <w:bCs/>
                    </w:rPr>
                  </w:pPr>
                  <w:r w:rsidRPr="00C75B37">
                    <w:rPr>
                      <w:b/>
                      <w:bCs/>
                    </w:rPr>
                    <w:t>2030</w:t>
                  </w:r>
                </w:p>
              </w:tc>
              <w:tc>
                <w:tcPr>
                  <w:tcW w:w="716" w:type="dxa"/>
                  <w:noWrap/>
                  <w:vAlign w:val="center"/>
                  <w:hideMark/>
                </w:tcPr>
                <w:p w14:paraId="3C7813BC" w14:textId="77777777" w:rsidR="002F03F5" w:rsidRPr="00C75B37" w:rsidRDefault="008F23FF" w:rsidP="0043754A">
                  <w:pPr>
                    <w:pStyle w:val="TableText"/>
                    <w:keepNext/>
                    <w:widowControl/>
                    <w:ind w:left="57" w:right="57"/>
                    <w:jc w:val="center"/>
                    <w:rPr>
                      <w:b/>
                      <w:bCs/>
                    </w:rPr>
                  </w:pPr>
                  <w:r w:rsidRPr="00C75B37">
                    <w:rPr>
                      <w:b/>
                      <w:bCs/>
                    </w:rPr>
                    <w:t>2031</w:t>
                  </w:r>
                </w:p>
              </w:tc>
            </w:tr>
            <w:tr w:rsidR="002F03F5" w:rsidRPr="00C75B37" w14:paraId="3C7813C4" w14:textId="77777777" w:rsidTr="00173793">
              <w:trPr>
                <w:cantSplit/>
                <w:trHeight w:val="250"/>
              </w:trPr>
              <w:tc>
                <w:tcPr>
                  <w:tcW w:w="587" w:type="dxa"/>
                  <w:noWrap/>
                  <w:hideMark/>
                </w:tcPr>
                <w:p w14:paraId="3C7813BE" w14:textId="77777777" w:rsidR="002F03F5" w:rsidRPr="00C75B37" w:rsidRDefault="008F23FF" w:rsidP="0043754A">
                  <w:pPr>
                    <w:pStyle w:val="TableText"/>
                    <w:keepNext/>
                    <w:widowControl/>
                    <w:ind w:left="57" w:right="57"/>
                    <w:jc w:val="center"/>
                  </w:pPr>
                  <w:r w:rsidRPr="00C75B37">
                    <w:t>189</w:t>
                  </w:r>
                </w:p>
              </w:tc>
              <w:tc>
                <w:tcPr>
                  <w:tcW w:w="715" w:type="dxa"/>
                  <w:noWrap/>
                  <w:hideMark/>
                </w:tcPr>
                <w:p w14:paraId="3C7813BF" w14:textId="77777777" w:rsidR="002F03F5" w:rsidRPr="00C75B37" w:rsidRDefault="008F23FF" w:rsidP="0043754A">
                  <w:pPr>
                    <w:pStyle w:val="TableText"/>
                    <w:keepNext/>
                    <w:widowControl/>
                    <w:ind w:left="57" w:right="57"/>
                    <w:jc w:val="center"/>
                  </w:pPr>
                  <w:r w:rsidRPr="00C75B37">
                    <w:t>197</w:t>
                  </w:r>
                </w:p>
              </w:tc>
              <w:tc>
                <w:tcPr>
                  <w:tcW w:w="715" w:type="dxa"/>
                  <w:noWrap/>
                  <w:hideMark/>
                </w:tcPr>
                <w:p w14:paraId="3C7813C0" w14:textId="77777777" w:rsidR="002F03F5" w:rsidRPr="00C75B37" w:rsidRDefault="008F23FF" w:rsidP="0043754A">
                  <w:pPr>
                    <w:pStyle w:val="TableText"/>
                    <w:keepNext/>
                    <w:widowControl/>
                    <w:ind w:left="57" w:right="57"/>
                    <w:jc w:val="center"/>
                  </w:pPr>
                  <w:r w:rsidRPr="00C75B37">
                    <w:t>206</w:t>
                  </w:r>
                </w:p>
              </w:tc>
              <w:tc>
                <w:tcPr>
                  <w:tcW w:w="716" w:type="dxa"/>
                  <w:noWrap/>
                  <w:hideMark/>
                </w:tcPr>
                <w:p w14:paraId="3C7813C1" w14:textId="77777777" w:rsidR="002F03F5" w:rsidRPr="00C75B37" w:rsidRDefault="008F23FF" w:rsidP="0043754A">
                  <w:pPr>
                    <w:pStyle w:val="TableText"/>
                    <w:keepNext/>
                    <w:widowControl/>
                    <w:ind w:left="57" w:right="57"/>
                    <w:jc w:val="center"/>
                  </w:pPr>
                  <w:r w:rsidRPr="00C75B37">
                    <w:t>215</w:t>
                  </w:r>
                </w:p>
              </w:tc>
              <w:tc>
                <w:tcPr>
                  <w:tcW w:w="715" w:type="dxa"/>
                  <w:noWrap/>
                  <w:hideMark/>
                </w:tcPr>
                <w:p w14:paraId="3C7813C2" w14:textId="77777777" w:rsidR="002F03F5" w:rsidRPr="00C75B37" w:rsidRDefault="008F23FF" w:rsidP="0043754A">
                  <w:pPr>
                    <w:pStyle w:val="TableText"/>
                    <w:keepNext/>
                    <w:widowControl/>
                    <w:ind w:left="57" w:right="57"/>
                    <w:jc w:val="center"/>
                  </w:pPr>
                  <w:r w:rsidRPr="00C75B37">
                    <w:t>224</w:t>
                  </w:r>
                </w:p>
              </w:tc>
              <w:tc>
                <w:tcPr>
                  <w:tcW w:w="716" w:type="dxa"/>
                  <w:noWrap/>
                  <w:hideMark/>
                </w:tcPr>
                <w:p w14:paraId="3C7813C3" w14:textId="77777777" w:rsidR="002F03F5" w:rsidRPr="00C75B37" w:rsidRDefault="008F23FF" w:rsidP="0043754A">
                  <w:pPr>
                    <w:pStyle w:val="TableText"/>
                    <w:keepNext/>
                    <w:widowControl/>
                    <w:ind w:left="57" w:right="57"/>
                    <w:jc w:val="center"/>
                  </w:pPr>
                  <w:r w:rsidRPr="00C75B37">
                    <w:t>234</w:t>
                  </w:r>
                </w:p>
              </w:tc>
            </w:tr>
          </w:tbl>
          <w:p w14:paraId="3C7813C5" w14:textId="77777777" w:rsidR="002F03F5" w:rsidRPr="00C75B37" w:rsidRDefault="002F03F5" w:rsidP="00921FF3">
            <w:pPr>
              <w:pStyle w:val="TableText"/>
              <w:keepNext/>
              <w:widowControl/>
              <w:ind w:left="57" w:right="57"/>
            </w:pPr>
          </w:p>
        </w:tc>
        <w:tc>
          <w:tcPr>
            <w:tcW w:w="3625" w:type="dxa"/>
            <w:tcBorders>
              <w:top w:val="single" w:sz="4" w:space="0" w:color="000000"/>
              <w:left w:val="single" w:sz="4" w:space="0" w:color="000000"/>
              <w:bottom w:val="single" w:sz="4" w:space="0" w:color="000000"/>
              <w:right w:val="single" w:sz="4" w:space="0" w:color="000000"/>
            </w:tcBorders>
            <w:vAlign w:val="center"/>
          </w:tcPr>
          <w:p w14:paraId="3C7813C6" w14:textId="3A5745D2" w:rsidR="002F03F5" w:rsidRPr="00C75B37" w:rsidRDefault="002F03F5" w:rsidP="00921FF3">
            <w:pPr>
              <w:pStyle w:val="TableText"/>
              <w:keepNext/>
              <w:widowControl/>
              <w:ind w:left="57" w:right="57"/>
            </w:pPr>
          </w:p>
        </w:tc>
      </w:tr>
      <w:tr w:rsidR="002F03F5" w:rsidRPr="009F2AA4" w14:paraId="3C7813CB"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C8" w14:textId="77777777" w:rsidR="002F03F5" w:rsidRPr="009F2AA4" w:rsidRDefault="008F23FF" w:rsidP="00921FF3">
            <w:pPr>
              <w:pStyle w:val="TableText"/>
              <w:keepNext/>
              <w:widowControl/>
              <w:ind w:left="57" w:right="57"/>
            </w:pPr>
            <w:r w:rsidRPr="009F2AA4">
              <w:t>Prevalent MTC</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C9" w14:textId="77777777" w:rsidR="002F03F5" w:rsidRPr="00C75B37" w:rsidRDefault="008F23FF" w:rsidP="00921FF3">
            <w:pPr>
              <w:pStyle w:val="TableText"/>
              <w:keepNext/>
              <w:widowControl/>
              <w:ind w:left="57" w:right="57"/>
            </w:pPr>
            <w:r w:rsidRPr="00C75B37">
              <w:t xml:space="preserve">Only considered prevalent patients diagnosed with MTC stage I/II between 2021 and 2025 who later progressed to stage III/IV </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3CA" w14:textId="1BC35DF0" w:rsidR="002F03F5" w:rsidRPr="00C75B37" w:rsidRDefault="008F23FF" w:rsidP="00921FF3">
            <w:pPr>
              <w:pStyle w:val="TableText"/>
              <w:keepNext/>
              <w:widowControl/>
              <w:ind w:left="57" w:right="57"/>
              <w:jc w:val="both"/>
            </w:pPr>
            <w:r w:rsidRPr="00C75B37">
              <w:t xml:space="preserve">Did not consider prevalent patients </w:t>
            </w:r>
            <w:r w:rsidR="00EF6B16">
              <w:t xml:space="preserve">diagnosed with Stage III/IV MTC </w:t>
            </w:r>
            <w:r w:rsidRPr="00C75B37">
              <w:t xml:space="preserve">prior to 2026. This underestimated the prevalent cohort. </w:t>
            </w:r>
          </w:p>
        </w:tc>
      </w:tr>
      <w:tr w:rsidR="002F03F5" w:rsidRPr="009F2AA4" w14:paraId="3C7813CF"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CC" w14:textId="77777777" w:rsidR="002F03F5" w:rsidRPr="009F2AA4" w:rsidRDefault="008F23FF" w:rsidP="00921FF3">
            <w:pPr>
              <w:pStyle w:val="TableText"/>
              <w:keepNext/>
              <w:widowControl/>
              <w:ind w:left="57" w:right="57"/>
            </w:pPr>
            <w:r w:rsidRPr="009F2AA4">
              <w:t>% Diagnosed with stage III/IV MTC</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CD" w14:textId="77777777" w:rsidR="002F03F5" w:rsidRPr="00C75B37" w:rsidRDefault="008F23FF" w:rsidP="00921FF3">
            <w:pPr>
              <w:pStyle w:val="TableText"/>
              <w:keepNext/>
              <w:widowControl/>
              <w:ind w:left="57" w:right="57"/>
            </w:pPr>
            <w:r w:rsidRPr="00C75B37">
              <w:t xml:space="preserve">54% from Papachristos 2023, an Australian study of MTC patients who had undergone surgery. </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3CE" w14:textId="4AD72F9A" w:rsidR="002F03F5" w:rsidRPr="00C75B37" w:rsidRDefault="002F03F5" w:rsidP="00921FF3">
            <w:pPr>
              <w:pStyle w:val="TableText"/>
              <w:keepNext/>
              <w:widowControl/>
              <w:ind w:left="57" w:right="57"/>
              <w:jc w:val="both"/>
            </w:pPr>
          </w:p>
        </w:tc>
      </w:tr>
      <w:tr w:rsidR="002F03F5" w:rsidRPr="009F2AA4" w14:paraId="3C7813D3"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D0" w14:textId="77777777" w:rsidR="002F03F5" w:rsidRPr="009F2AA4" w:rsidRDefault="008F23FF" w:rsidP="00921FF3">
            <w:pPr>
              <w:pStyle w:val="TableText"/>
              <w:keepNext/>
              <w:widowControl/>
              <w:ind w:left="57" w:right="57"/>
            </w:pPr>
            <w:r w:rsidRPr="009F2AA4">
              <w:t>% Progressed to stage III/IV</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D1" w14:textId="618661F6" w:rsidR="002F03F5" w:rsidRPr="009F2AA4" w:rsidRDefault="00E513F8" w:rsidP="00921FF3">
            <w:pPr>
              <w:pStyle w:val="TableText"/>
              <w:keepNext/>
              <w:widowControl/>
              <w:ind w:left="57" w:right="57"/>
            </w:pPr>
            <w:r>
              <w:t>Of patients diagnosed with Stage I/II disease, a</w:t>
            </w:r>
            <w:r w:rsidR="008F23FF" w:rsidRPr="009F2AA4">
              <w:t xml:space="preserve">ssumed 12% progressed to stage III each year in the first two years and 21% progressed to stage IV each year based on Papachristos 2023. </w:t>
            </w:r>
          </w:p>
        </w:tc>
        <w:tc>
          <w:tcPr>
            <w:tcW w:w="3625" w:type="dxa"/>
            <w:tcBorders>
              <w:top w:val="single" w:sz="4" w:space="0" w:color="000000"/>
              <w:left w:val="single" w:sz="4" w:space="0" w:color="000000"/>
              <w:bottom w:val="single" w:sz="4" w:space="0" w:color="000000"/>
              <w:right w:val="single" w:sz="4" w:space="0" w:color="000000"/>
            </w:tcBorders>
            <w:vAlign w:val="center"/>
          </w:tcPr>
          <w:p w14:paraId="1329FDFA" w14:textId="12F3B5CA" w:rsidR="00596723" w:rsidRDefault="008F23FF" w:rsidP="00921FF3">
            <w:pPr>
              <w:pStyle w:val="TableText"/>
              <w:keepNext/>
              <w:widowControl/>
              <w:ind w:left="57" w:right="57"/>
              <w:jc w:val="both"/>
            </w:pPr>
            <w:r w:rsidRPr="009F2AA4">
              <w:t>No adjustments to reflect yearly proportions which potentially overestimated progressed patients each year</w:t>
            </w:r>
            <w:r w:rsidR="003E4A75">
              <w:t xml:space="preserve"> (see paragraph </w:t>
            </w:r>
            <w:r w:rsidR="003E4A75">
              <w:fldChar w:fldCharType="begin"/>
            </w:r>
            <w:r w:rsidR="003E4A75">
              <w:instrText xml:space="preserve"> REF _Ref226899927 \r \h </w:instrText>
            </w:r>
            <w:r w:rsidR="003E4A75">
              <w:fldChar w:fldCharType="separate"/>
            </w:r>
            <w:r w:rsidR="001617F9">
              <w:t>6.88</w:t>
            </w:r>
            <w:r w:rsidR="003E4A75">
              <w:fldChar w:fldCharType="end"/>
            </w:r>
            <w:r w:rsidR="003E4A75">
              <w:t>)</w:t>
            </w:r>
            <w:r w:rsidR="003E4649">
              <w:t xml:space="preserve">. </w:t>
            </w:r>
          </w:p>
          <w:p w14:paraId="3C7813D2" w14:textId="0DD60983" w:rsidR="002F03F5" w:rsidRPr="009F2AA4" w:rsidRDefault="00596723" w:rsidP="00921FF3">
            <w:pPr>
              <w:pStyle w:val="TableText"/>
              <w:keepNext/>
              <w:widowControl/>
              <w:ind w:left="57" w:right="57"/>
              <w:jc w:val="both"/>
            </w:pPr>
            <w:r>
              <w:t xml:space="preserve"> </w:t>
            </w:r>
          </w:p>
        </w:tc>
      </w:tr>
      <w:tr w:rsidR="002F03F5" w:rsidRPr="009F2AA4" w14:paraId="3C7813D7"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D4" w14:textId="77777777" w:rsidR="002F03F5" w:rsidRPr="009F2AA4" w:rsidRDefault="008F23FF" w:rsidP="00921FF3">
            <w:pPr>
              <w:pStyle w:val="TableText"/>
              <w:keepNext/>
              <w:widowControl/>
              <w:ind w:left="57" w:right="57"/>
            </w:pPr>
            <w:r w:rsidRPr="009F2AA4">
              <w:t>% With progressive and symptomatic disease</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D5" w14:textId="77777777" w:rsidR="002F03F5" w:rsidRPr="009F2AA4" w:rsidRDefault="008F23FF" w:rsidP="00921FF3">
            <w:pPr>
              <w:pStyle w:val="TableText"/>
              <w:keepNext/>
              <w:widowControl/>
              <w:ind w:left="57" w:right="57"/>
            </w:pPr>
            <w:r w:rsidRPr="009F2AA4">
              <w:t xml:space="preserve">Assumed 57.2% of MTC had progressive and symptomatic disease based on </w:t>
            </w:r>
            <w:proofErr w:type="spellStart"/>
            <w:r w:rsidRPr="009F2AA4">
              <w:t>Kreissl</w:t>
            </w:r>
            <w:proofErr w:type="spellEnd"/>
            <w:r w:rsidRPr="009F2AA4">
              <w:t xml:space="preserve"> 2020. </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3D6" w14:textId="3E9EEB6A" w:rsidR="002F03F5" w:rsidRPr="009F2AA4" w:rsidRDefault="008F23FF" w:rsidP="00921FF3">
            <w:pPr>
              <w:pStyle w:val="TableText"/>
              <w:keepNext/>
              <w:widowControl/>
              <w:ind w:left="57" w:right="57"/>
              <w:jc w:val="both"/>
            </w:pPr>
            <w:r w:rsidRPr="009F2AA4">
              <w:t xml:space="preserve">The proportion of stage III/IV MTC patients with progressive and symptomatic disease was 55.6% (184/331) (Table 1, </w:t>
            </w:r>
            <w:proofErr w:type="spellStart"/>
            <w:r w:rsidRPr="009F2AA4">
              <w:t>Kreissl</w:t>
            </w:r>
            <w:proofErr w:type="spellEnd"/>
            <w:r w:rsidRPr="009F2AA4">
              <w:t xml:space="preserve"> 2020). </w:t>
            </w:r>
          </w:p>
        </w:tc>
      </w:tr>
      <w:tr w:rsidR="002F03F5" w:rsidRPr="009F2AA4" w14:paraId="3C7813DB"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D8" w14:textId="2291FC32" w:rsidR="002F03F5" w:rsidRPr="009F2AA4" w:rsidRDefault="008F23FF" w:rsidP="00921FF3">
            <w:pPr>
              <w:pStyle w:val="TableText"/>
              <w:widowControl/>
              <w:ind w:left="57" w:right="57"/>
            </w:pPr>
            <w:r w:rsidRPr="009F2AA4">
              <w:t>Prevalence of</w:t>
            </w:r>
            <w:r w:rsidR="00923547" w:rsidRPr="00923547">
              <w:rPr>
                <w:i/>
              </w:rPr>
              <w:t xml:space="preserve"> RET </w:t>
            </w:r>
            <w:r w:rsidRPr="009F2AA4">
              <w:t>variants</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D9" w14:textId="77777777" w:rsidR="002F03F5" w:rsidRPr="009F2AA4" w:rsidRDefault="008F23FF" w:rsidP="00921FF3">
            <w:pPr>
              <w:pStyle w:val="TableText"/>
              <w:widowControl/>
              <w:ind w:left="57" w:right="57"/>
            </w:pPr>
            <w:r w:rsidRPr="009F2AA4">
              <w:t>70% based on Wirth 2020.</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3DA" w14:textId="0BA5CB11" w:rsidR="002F03F5" w:rsidRPr="009F2AA4" w:rsidRDefault="002F03F5" w:rsidP="00921FF3">
            <w:pPr>
              <w:pStyle w:val="TableText"/>
              <w:widowControl/>
              <w:ind w:left="57" w:right="57"/>
              <w:jc w:val="both"/>
            </w:pPr>
          </w:p>
        </w:tc>
      </w:tr>
      <w:tr w:rsidR="002F03F5" w:rsidRPr="009F2AA4" w14:paraId="3C7813DF"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DC" w14:textId="77777777" w:rsidR="002F03F5" w:rsidRPr="009F2AA4" w:rsidRDefault="008F23FF" w:rsidP="00921FF3">
            <w:pPr>
              <w:pStyle w:val="TableText"/>
              <w:widowControl/>
              <w:suppressAutoHyphens w:val="0"/>
              <w:ind w:left="57" w:right="57"/>
            </w:pPr>
            <w:r w:rsidRPr="009F2AA4">
              <w:t>Grandfathered</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DD" w14:textId="710C2EB3" w:rsidR="002F03F5" w:rsidRPr="009F2AA4" w:rsidRDefault="00B73859" w:rsidP="00921FF3">
            <w:pPr>
              <w:pStyle w:val="TableText"/>
              <w:widowControl/>
              <w:ind w:left="57" w:right="57"/>
            </w:pPr>
            <w:r w:rsidRPr="00B73859">
              <w:rPr>
                <w:sz w:val="2"/>
                <w:highlight w:val="black"/>
              </w:rPr>
              <w:t>redacted content</w:t>
            </w:r>
            <w:r w:rsidR="00D23839">
              <w:rPr>
                <w:vertAlign w:val="superscript"/>
              </w:rPr>
              <w:t>1</w:t>
            </w:r>
            <w:r w:rsidR="008F23FF" w:rsidRPr="009F2AA4">
              <w:t xml:space="preserve"> grandfathered patients assumed to be included in the prevalent MTC cohort and not modelled separately. </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3DE" w14:textId="609CEC0D" w:rsidR="002F03F5" w:rsidRPr="009F2AA4" w:rsidRDefault="008F23FF" w:rsidP="00921FF3">
            <w:pPr>
              <w:pStyle w:val="TableText"/>
              <w:widowControl/>
              <w:ind w:left="57" w:right="57"/>
              <w:jc w:val="both"/>
            </w:pPr>
            <w:r w:rsidRPr="009F2AA4">
              <w:t>Not appropriate to include in the prevalent test population since they would have received</w:t>
            </w:r>
            <w:r w:rsidR="00923547" w:rsidRPr="00923547">
              <w:rPr>
                <w:i/>
              </w:rPr>
              <w:t xml:space="preserve"> RET </w:t>
            </w:r>
            <w:r w:rsidRPr="009F2AA4">
              <w:t xml:space="preserve">variant testing already. </w:t>
            </w:r>
          </w:p>
        </w:tc>
      </w:tr>
      <w:tr w:rsidR="002F03F5" w:rsidRPr="009F2AA4" w14:paraId="3C7813E1" w14:textId="77777777" w:rsidTr="00173793">
        <w:trPr>
          <w:cantSplit/>
        </w:trPr>
        <w:tc>
          <w:tcPr>
            <w:tcW w:w="9026" w:type="dxa"/>
            <w:gridSpan w:val="3"/>
            <w:tcBorders>
              <w:top w:val="single" w:sz="4" w:space="0" w:color="000000"/>
              <w:left w:val="single" w:sz="4" w:space="0" w:color="000000"/>
              <w:bottom w:val="single" w:sz="4" w:space="0" w:color="000000"/>
              <w:right w:val="single" w:sz="4" w:space="0" w:color="000000"/>
            </w:tcBorders>
            <w:vAlign w:val="center"/>
          </w:tcPr>
          <w:p w14:paraId="3C7813E0" w14:textId="77777777" w:rsidR="002F03F5" w:rsidRPr="009F2AA4" w:rsidRDefault="008F23FF" w:rsidP="00921FF3">
            <w:pPr>
              <w:pStyle w:val="TableText"/>
              <w:keepNext/>
              <w:keepLines/>
              <w:widowControl/>
              <w:ind w:left="57" w:right="57"/>
              <w:jc w:val="both"/>
              <w:rPr>
                <w:b/>
                <w:bCs/>
              </w:rPr>
            </w:pPr>
            <w:r w:rsidRPr="009F2AA4">
              <w:rPr>
                <w:b/>
                <w:bCs/>
              </w:rPr>
              <w:t>Treatment utilisation</w:t>
            </w:r>
          </w:p>
        </w:tc>
      </w:tr>
      <w:tr w:rsidR="002F03F5" w:rsidRPr="009F2AA4" w14:paraId="3C7813E5"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E2" w14:textId="77777777" w:rsidR="002F03F5" w:rsidRPr="009F2AA4" w:rsidRDefault="008F23FF" w:rsidP="00921FF3">
            <w:pPr>
              <w:pStyle w:val="TableText"/>
              <w:keepNext/>
              <w:keepLines/>
              <w:widowControl/>
              <w:ind w:left="57" w:right="57"/>
            </w:pPr>
            <w:r w:rsidRPr="009F2AA4">
              <w:lastRenderedPageBreak/>
              <w:t xml:space="preserve">Uptake </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E3" w14:textId="71D04BEC" w:rsidR="002F03F5" w:rsidRPr="009F2AA4" w:rsidRDefault="00B73859" w:rsidP="00921FF3">
            <w:pPr>
              <w:pStyle w:val="TableText"/>
              <w:keepNext/>
              <w:keepLines/>
              <w:widowControl/>
              <w:ind w:left="57" w:right="57"/>
            </w:pPr>
            <w:r w:rsidRPr="00B73859">
              <w:rPr>
                <w:sz w:val="2"/>
                <w:highlight w:val="black"/>
              </w:rPr>
              <w:t>redacted content</w:t>
            </w:r>
            <w:r w:rsidR="008F23FF" w:rsidRPr="009F2AA4">
              <w:t>% test and treatment uptake</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3E4" w14:textId="77777777" w:rsidR="002F03F5" w:rsidRPr="009F2AA4" w:rsidRDefault="008F23FF" w:rsidP="00921FF3">
            <w:pPr>
              <w:pStyle w:val="TableText"/>
              <w:keepNext/>
              <w:keepLines/>
              <w:widowControl/>
              <w:ind w:left="57" w:right="57"/>
              <w:jc w:val="both"/>
            </w:pPr>
            <w:r w:rsidRPr="009F2AA4">
              <w:t>Test uptake rate may be lower in the first year for prevalent patients diagnosed at earlier stages, given the indolent nature of MTC there may be less urgency. Treatment uptake rate was reasonable as previously considered by the PBAC and DUSC (para.7.13, selpercatinib PSD, July 2023 PBAC meeting).</w:t>
            </w:r>
          </w:p>
        </w:tc>
      </w:tr>
      <w:tr w:rsidR="002F03F5" w:rsidRPr="009F2AA4" w14:paraId="3C7813FE"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3E6" w14:textId="77777777" w:rsidR="002F03F5" w:rsidRPr="009F2AA4" w:rsidRDefault="008F23FF" w:rsidP="00921FF3">
            <w:pPr>
              <w:pStyle w:val="TableText"/>
              <w:keepNext/>
              <w:widowControl/>
              <w:ind w:left="57" w:right="57"/>
            </w:pPr>
            <w:r w:rsidRPr="009F2AA4">
              <w:t>Scripts dispensed</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3E7" w14:textId="6832736E" w:rsidR="002F03F5" w:rsidRDefault="008F23FF" w:rsidP="00921FF3">
            <w:pPr>
              <w:pStyle w:val="TableText"/>
              <w:keepNext/>
              <w:widowControl/>
              <w:ind w:left="57" w:right="57"/>
            </w:pPr>
            <w:r w:rsidRPr="009F2AA4">
              <w:t xml:space="preserve">The proportion of use at each dosing regimen was based on the model (see </w:t>
            </w:r>
            <w:r w:rsidR="00E066A0">
              <w:fldChar w:fldCharType="begin"/>
            </w:r>
            <w:r w:rsidR="00E066A0">
              <w:instrText xml:space="preserve"> REF _Ref225287693 \h </w:instrText>
            </w:r>
            <w:r w:rsidR="00C75B37">
              <w:instrText xml:space="preserve"> \* MERGEFORMAT </w:instrText>
            </w:r>
            <w:r w:rsidR="00E066A0">
              <w:fldChar w:fldCharType="separate"/>
            </w:r>
            <w:r w:rsidR="003A3B69">
              <w:t xml:space="preserve">Table </w:t>
            </w:r>
            <w:r w:rsidR="003A3B69">
              <w:rPr>
                <w:noProof/>
              </w:rPr>
              <w:t>18</w:t>
            </w:r>
            <w:r w:rsidR="00E066A0">
              <w:fldChar w:fldCharType="end"/>
            </w:r>
            <w:r w:rsidRPr="009F2AA4">
              <w:t>).</w:t>
            </w:r>
          </w:p>
          <w:p w14:paraId="4141661B" w14:textId="77777777" w:rsidR="00A35C62" w:rsidRPr="009F2AA4" w:rsidRDefault="00A35C62" w:rsidP="00921FF3">
            <w:pPr>
              <w:pStyle w:val="TableText"/>
              <w:keepNext/>
              <w:widowControl/>
              <w:ind w:left="57" w:right="57"/>
            </w:pPr>
          </w:p>
          <w:tbl>
            <w:tblPr>
              <w:tblStyle w:val="ASDTable1"/>
              <w:tblpPr w:leftFromText="180" w:rightFromText="180" w:vertAnchor="text" w:tblpY="1"/>
              <w:tblOverlap w:val="never"/>
              <w:tblW w:w="5000" w:type="pct"/>
              <w:tblLayout w:type="fixed"/>
              <w:tblCellMar>
                <w:left w:w="0" w:type="dxa"/>
                <w:right w:w="0" w:type="dxa"/>
              </w:tblCellMar>
              <w:tblLook w:val="04A0" w:firstRow="1" w:lastRow="0" w:firstColumn="1" w:lastColumn="0" w:noHBand="0" w:noVBand="1"/>
            </w:tblPr>
            <w:tblGrid>
              <w:gridCol w:w="1413"/>
              <w:gridCol w:w="1417"/>
              <w:gridCol w:w="567"/>
              <w:gridCol w:w="767"/>
            </w:tblGrid>
            <w:tr w:rsidR="002F03F5" w:rsidRPr="009F2AA4" w14:paraId="3C7813EC" w14:textId="77777777" w:rsidTr="00A35C62">
              <w:trPr>
                <w:cantSplit/>
              </w:trPr>
              <w:tc>
                <w:tcPr>
                  <w:tcW w:w="1413" w:type="dxa"/>
                </w:tcPr>
                <w:p w14:paraId="3C7813E8" w14:textId="77777777" w:rsidR="002F03F5" w:rsidRPr="009F2AA4" w:rsidRDefault="008F23FF" w:rsidP="0043754A">
                  <w:pPr>
                    <w:pStyle w:val="TableRowHeader"/>
                    <w:keepNext/>
                    <w:widowControl/>
                    <w:ind w:left="57" w:right="57"/>
                    <w:rPr>
                      <w:rFonts w:eastAsia="Times New Roman" w:cs="Times New Roman"/>
                    </w:rPr>
                  </w:pPr>
                  <w:r w:rsidRPr="009F2AA4">
                    <w:rPr>
                      <w:rFonts w:eastAsia="Times New Roman" w:cs="Times New Roman"/>
                    </w:rPr>
                    <w:t>Dosing regimen</w:t>
                  </w:r>
                </w:p>
              </w:tc>
              <w:tc>
                <w:tcPr>
                  <w:tcW w:w="1417" w:type="dxa"/>
                </w:tcPr>
                <w:p w14:paraId="3C7813E9" w14:textId="77777777" w:rsidR="002F03F5" w:rsidRPr="009F2AA4" w:rsidRDefault="008F23FF" w:rsidP="0043754A">
                  <w:pPr>
                    <w:pStyle w:val="TableRowHeader"/>
                    <w:keepNext/>
                    <w:widowControl/>
                    <w:ind w:left="57" w:right="57"/>
                    <w:rPr>
                      <w:rFonts w:eastAsia="Times New Roman" w:cs="Times New Roman"/>
                    </w:rPr>
                  </w:pPr>
                  <w:r w:rsidRPr="009F2AA4">
                    <w:rPr>
                      <w:rFonts w:eastAsia="Times New Roman" w:cs="Times New Roman"/>
                    </w:rPr>
                    <w:t xml:space="preserve">Form/strength </w:t>
                  </w:r>
                </w:p>
              </w:tc>
              <w:tc>
                <w:tcPr>
                  <w:tcW w:w="567" w:type="dxa"/>
                </w:tcPr>
                <w:p w14:paraId="3C7813EA" w14:textId="77777777" w:rsidR="002F03F5" w:rsidRPr="00F34799" w:rsidRDefault="008F23FF" w:rsidP="0043754A">
                  <w:pPr>
                    <w:pStyle w:val="TableRowHeader"/>
                    <w:keepNext/>
                    <w:widowControl/>
                    <w:ind w:left="57" w:right="57"/>
                    <w:rPr>
                      <w:rFonts w:eastAsia="Times New Roman" w:cs="Times New Roman"/>
                    </w:rPr>
                  </w:pPr>
                  <w:r w:rsidRPr="00F34799">
                    <w:rPr>
                      <w:rFonts w:eastAsia="Times New Roman" w:cs="Times New Roman"/>
                    </w:rPr>
                    <w:t>Units/ day</w:t>
                  </w:r>
                </w:p>
              </w:tc>
              <w:tc>
                <w:tcPr>
                  <w:tcW w:w="767" w:type="dxa"/>
                </w:tcPr>
                <w:p w14:paraId="3C7813EB" w14:textId="77777777" w:rsidR="002F03F5" w:rsidRPr="00F34799" w:rsidRDefault="008F23FF" w:rsidP="0043754A">
                  <w:pPr>
                    <w:pStyle w:val="TableRowHeader"/>
                    <w:keepNext/>
                    <w:widowControl/>
                    <w:ind w:left="57" w:right="57"/>
                    <w:rPr>
                      <w:rFonts w:eastAsia="Times New Roman" w:cs="Times New Roman"/>
                    </w:rPr>
                  </w:pPr>
                  <w:r w:rsidRPr="00F34799">
                    <w:rPr>
                      <w:rFonts w:eastAsia="Times New Roman" w:cs="Times New Roman"/>
                    </w:rPr>
                    <w:t>% use</w:t>
                  </w:r>
                </w:p>
              </w:tc>
            </w:tr>
            <w:tr w:rsidR="002F03F5" w:rsidRPr="009F2AA4" w14:paraId="3C7813F1" w14:textId="77777777" w:rsidTr="00A35C62">
              <w:trPr>
                <w:cantSplit/>
              </w:trPr>
              <w:tc>
                <w:tcPr>
                  <w:tcW w:w="1413" w:type="dxa"/>
                </w:tcPr>
                <w:p w14:paraId="3C7813ED" w14:textId="77777777" w:rsidR="002F03F5" w:rsidRPr="009F2AA4" w:rsidRDefault="008F23FF" w:rsidP="0043754A">
                  <w:pPr>
                    <w:pStyle w:val="TableText"/>
                    <w:keepNext/>
                    <w:widowControl/>
                    <w:ind w:left="57" w:right="57"/>
                    <w:rPr>
                      <w:rFonts w:eastAsia="Times New Roman" w:cs="Times New Roman"/>
                    </w:rPr>
                  </w:pPr>
                  <w:r w:rsidRPr="009F2AA4">
                    <w:rPr>
                      <w:rFonts w:eastAsia="Times New Roman" w:cs="Times New Roman"/>
                    </w:rPr>
                    <w:t>160 mg BID</w:t>
                  </w:r>
                </w:p>
              </w:tc>
              <w:tc>
                <w:tcPr>
                  <w:tcW w:w="1417" w:type="dxa"/>
                </w:tcPr>
                <w:p w14:paraId="3C7813EE" w14:textId="77777777" w:rsidR="002F03F5" w:rsidRPr="009F2AA4" w:rsidRDefault="008F23FF" w:rsidP="0043754A">
                  <w:pPr>
                    <w:pStyle w:val="TableText"/>
                    <w:keepNext/>
                    <w:widowControl/>
                    <w:ind w:left="57" w:right="57"/>
                    <w:rPr>
                      <w:rFonts w:eastAsia="Times New Roman" w:cs="Times New Roman"/>
                    </w:rPr>
                  </w:pPr>
                  <w:r w:rsidRPr="009F2AA4">
                    <w:rPr>
                      <w:rFonts w:eastAsia="Times New Roman" w:cs="Times New Roman"/>
                    </w:rPr>
                    <w:t>80 mg, 112 units</w:t>
                  </w:r>
                </w:p>
              </w:tc>
              <w:tc>
                <w:tcPr>
                  <w:tcW w:w="567" w:type="dxa"/>
                </w:tcPr>
                <w:p w14:paraId="3C7813EF" w14:textId="77777777" w:rsidR="002F03F5" w:rsidRPr="00F34799" w:rsidRDefault="008F23FF" w:rsidP="0043754A">
                  <w:pPr>
                    <w:pStyle w:val="TableText"/>
                    <w:keepNext/>
                    <w:widowControl/>
                    <w:ind w:left="57" w:right="57"/>
                    <w:rPr>
                      <w:rFonts w:eastAsia="Times New Roman" w:cs="Times New Roman"/>
                    </w:rPr>
                  </w:pPr>
                  <w:r w:rsidRPr="00F34799">
                    <w:rPr>
                      <w:rFonts w:eastAsia="Times New Roman" w:cs="Times New Roman"/>
                    </w:rPr>
                    <w:t>4.0</w:t>
                  </w:r>
                </w:p>
              </w:tc>
              <w:tc>
                <w:tcPr>
                  <w:tcW w:w="767" w:type="dxa"/>
                </w:tcPr>
                <w:p w14:paraId="3C7813F0" w14:textId="77777777" w:rsidR="002F03F5" w:rsidRPr="00F34799" w:rsidRDefault="008F23FF" w:rsidP="0043754A">
                  <w:pPr>
                    <w:pStyle w:val="TableText"/>
                    <w:keepNext/>
                    <w:widowControl/>
                    <w:ind w:left="57" w:right="57"/>
                    <w:rPr>
                      <w:rFonts w:eastAsia="Times New Roman" w:cs="Times New Roman"/>
                    </w:rPr>
                  </w:pPr>
                  <w:r w:rsidRPr="00F34799">
                    <w:rPr>
                      <w:rFonts w:eastAsia="Times New Roman" w:cs="Times New Roman"/>
                    </w:rPr>
                    <w:t>4.00%</w:t>
                  </w:r>
                </w:p>
              </w:tc>
            </w:tr>
            <w:tr w:rsidR="002F03F5" w:rsidRPr="009F2AA4" w14:paraId="3C7813F6" w14:textId="77777777" w:rsidTr="00A35C62">
              <w:trPr>
                <w:cantSplit/>
              </w:trPr>
              <w:tc>
                <w:tcPr>
                  <w:tcW w:w="1413" w:type="dxa"/>
                </w:tcPr>
                <w:p w14:paraId="3C7813F2" w14:textId="4B495172" w:rsidR="002F03F5" w:rsidRPr="009F2AA4" w:rsidRDefault="008F23FF" w:rsidP="0043754A">
                  <w:pPr>
                    <w:pStyle w:val="TableText"/>
                    <w:keepNext/>
                    <w:widowControl/>
                    <w:ind w:left="57" w:right="57"/>
                    <w:rPr>
                      <w:rFonts w:eastAsia="Times New Roman" w:cs="Times New Roman"/>
                    </w:rPr>
                  </w:pPr>
                  <w:r w:rsidRPr="009F2AA4">
                    <w:rPr>
                      <w:rFonts w:eastAsia="Times New Roman" w:cs="Times New Roman"/>
                    </w:rPr>
                    <w:t>120</w:t>
                  </w:r>
                  <w:r w:rsidR="005404F3" w:rsidRPr="009F2AA4" w:rsidDel="005404F3">
                    <w:rPr>
                      <w:rFonts w:eastAsia="Times New Roman" w:cs="Times New Roman"/>
                    </w:rPr>
                    <w:t xml:space="preserve"> </w:t>
                  </w:r>
                  <w:r w:rsidRPr="009F2AA4">
                    <w:rPr>
                      <w:rFonts w:eastAsia="Times New Roman" w:cs="Times New Roman"/>
                    </w:rPr>
                    <w:t>/80 mg BID</w:t>
                  </w:r>
                </w:p>
              </w:tc>
              <w:tc>
                <w:tcPr>
                  <w:tcW w:w="1417" w:type="dxa"/>
                </w:tcPr>
                <w:p w14:paraId="3C7813F3" w14:textId="77777777" w:rsidR="002F03F5" w:rsidRPr="009F2AA4" w:rsidRDefault="008F23FF" w:rsidP="0043754A">
                  <w:pPr>
                    <w:pStyle w:val="TableText"/>
                    <w:keepNext/>
                    <w:widowControl/>
                    <w:ind w:left="57" w:right="57"/>
                    <w:rPr>
                      <w:rFonts w:eastAsia="Times New Roman" w:cs="Times New Roman"/>
                    </w:rPr>
                  </w:pPr>
                  <w:r w:rsidRPr="009F2AA4">
                    <w:rPr>
                      <w:rFonts w:eastAsia="Times New Roman" w:cs="Times New Roman"/>
                    </w:rPr>
                    <w:t>80 mg, 56 units</w:t>
                  </w:r>
                </w:p>
              </w:tc>
              <w:tc>
                <w:tcPr>
                  <w:tcW w:w="567" w:type="dxa"/>
                </w:tcPr>
                <w:p w14:paraId="3C7813F4" w14:textId="77777777" w:rsidR="002F03F5" w:rsidRPr="00F34799" w:rsidRDefault="008F23FF" w:rsidP="0043754A">
                  <w:pPr>
                    <w:pStyle w:val="TableText"/>
                    <w:keepNext/>
                    <w:widowControl/>
                    <w:ind w:left="57" w:right="57"/>
                    <w:rPr>
                      <w:rFonts w:eastAsia="Times New Roman" w:cs="Times New Roman"/>
                    </w:rPr>
                  </w:pPr>
                  <w:r w:rsidRPr="00F34799">
                    <w:rPr>
                      <w:rFonts w:eastAsia="Times New Roman" w:cs="Times New Roman"/>
                    </w:rPr>
                    <w:t>2.0</w:t>
                  </w:r>
                </w:p>
              </w:tc>
              <w:tc>
                <w:tcPr>
                  <w:tcW w:w="767" w:type="dxa"/>
                </w:tcPr>
                <w:p w14:paraId="3C7813F5" w14:textId="77777777" w:rsidR="002F03F5" w:rsidRPr="00F34799" w:rsidRDefault="008F23FF" w:rsidP="0043754A">
                  <w:pPr>
                    <w:pStyle w:val="TableText"/>
                    <w:keepNext/>
                    <w:widowControl/>
                    <w:ind w:left="57" w:right="57"/>
                    <w:rPr>
                      <w:rFonts w:eastAsia="Times New Roman" w:cs="Times New Roman"/>
                    </w:rPr>
                  </w:pPr>
                  <w:r w:rsidRPr="00F34799">
                    <w:rPr>
                      <w:rFonts w:eastAsia="Times New Roman" w:cs="Times New Roman"/>
                    </w:rPr>
                    <w:t>90.67%</w:t>
                  </w:r>
                </w:p>
              </w:tc>
            </w:tr>
            <w:tr w:rsidR="002F03F5" w:rsidRPr="009F2AA4" w14:paraId="3C7813FB" w14:textId="77777777" w:rsidTr="00A35C62">
              <w:trPr>
                <w:cantSplit/>
              </w:trPr>
              <w:tc>
                <w:tcPr>
                  <w:tcW w:w="1413" w:type="dxa"/>
                </w:tcPr>
                <w:p w14:paraId="3C7813F7" w14:textId="12F079BC" w:rsidR="002F03F5" w:rsidRPr="009F2AA4" w:rsidRDefault="008F23FF" w:rsidP="0043754A">
                  <w:pPr>
                    <w:pStyle w:val="TableText"/>
                    <w:keepNext/>
                    <w:widowControl/>
                    <w:ind w:left="57" w:right="57"/>
                    <w:rPr>
                      <w:rFonts w:eastAsia="Times New Roman" w:cs="Times New Roman"/>
                    </w:rPr>
                  </w:pPr>
                  <w:r w:rsidRPr="009F2AA4">
                    <w:rPr>
                      <w:rFonts w:eastAsia="Times New Roman" w:cs="Times New Roman"/>
                    </w:rPr>
                    <w:t>120</w:t>
                  </w:r>
                  <w:r w:rsidR="005404F3" w:rsidRPr="009F2AA4" w:rsidDel="005404F3">
                    <w:rPr>
                      <w:rFonts w:eastAsia="Times New Roman" w:cs="Times New Roman"/>
                    </w:rPr>
                    <w:t xml:space="preserve"> </w:t>
                  </w:r>
                  <w:r w:rsidRPr="009F2AA4">
                    <w:rPr>
                      <w:rFonts w:eastAsia="Times New Roman" w:cs="Times New Roman"/>
                    </w:rPr>
                    <w:t>/40 mg BID</w:t>
                  </w:r>
                </w:p>
              </w:tc>
              <w:tc>
                <w:tcPr>
                  <w:tcW w:w="1417" w:type="dxa"/>
                </w:tcPr>
                <w:p w14:paraId="3C7813F8" w14:textId="77777777" w:rsidR="002F03F5" w:rsidRPr="009F2AA4" w:rsidRDefault="008F23FF" w:rsidP="0043754A">
                  <w:pPr>
                    <w:pStyle w:val="TableText"/>
                    <w:keepNext/>
                    <w:widowControl/>
                    <w:ind w:left="57" w:right="57"/>
                    <w:rPr>
                      <w:rFonts w:eastAsia="Times New Roman" w:cs="Times New Roman"/>
                    </w:rPr>
                  </w:pPr>
                  <w:r w:rsidRPr="009F2AA4">
                    <w:rPr>
                      <w:rFonts w:eastAsia="Times New Roman" w:cs="Times New Roman"/>
                    </w:rPr>
                    <w:t>40 mg, 56 units</w:t>
                  </w:r>
                </w:p>
              </w:tc>
              <w:tc>
                <w:tcPr>
                  <w:tcW w:w="567" w:type="dxa"/>
                </w:tcPr>
                <w:p w14:paraId="3C7813F9" w14:textId="77777777" w:rsidR="002F03F5" w:rsidRPr="00F34799" w:rsidRDefault="008F23FF" w:rsidP="0043754A">
                  <w:pPr>
                    <w:pStyle w:val="TableText"/>
                    <w:keepNext/>
                    <w:widowControl/>
                    <w:ind w:left="57" w:right="57"/>
                    <w:rPr>
                      <w:rFonts w:eastAsia="Times New Roman" w:cs="Times New Roman"/>
                    </w:rPr>
                  </w:pPr>
                  <w:r w:rsidRPr="00F34799">
                    <w:rPr>
                      <w:rFonts w:eastAsia="Times New Roman" w:cs="Times New Roman"/>
                    </w:rPr>
                    <w:t>2.0</w:t>
                  </w:r>
                </w:p>
              </w:tc>
              <w:tc>
                <w:tcPr>
                  <w:tcW w:w="767" w:type="dxa"/>
                </w:tcPr>
                <w:p w14:paraId="3C7813FA" w14:textId="77777777" w:rsidR="002F03F5" w:rsidRPr="00F34799" w:rsidRDefault="008F23FF" w:rsidP="0043754A">
                  <w:pPr>
                    <w:pStyle w:val="TableText"/>
                    <w:keepNext/>
                    <w:widowControl/>
                    <w:ind w:left="57" w:right="57"/>
                    <w:rPr>
                      <w:rFonts w:eastAsia="Times New Roman" w:cs="Times New Roman"/>
                    </w:rPr>
                  </w:pPr>
                  <w:r w:rsidRPr="00F34799">
                    <w:rPr>
                      <w:rFonts w:eastAsia="Times New Roman" w:cs="Times New Roman"/>
                    </w:rPr>
                    <w:t>54.67%</w:t>
                  </w:r>
                </w:p>
              </w:tc>
            </w:tr>
          </w:tbl>
          <w:p w14:paraId="3C7813FC" w14:textId="77777777" w:rsidR="002F03F5" w:rsidRPr="009F2AA4" w:rsidRDefault="002F03F5" w:rsidP="00921FF3">
            <w:pPr>
              <w:pStyle w:val="TableText"/>
              <w:keepNext/>
              <w:widowControl/>
              <w:ind w:left="57" w:right="57"/>
            </w:pPr>
          </w:p>
        </w:tc>
        <w:tc>
          <w:tcPr>
            <w:tcW w:w="3625" w:type="dxa"/>
            <w:tcBorders>
              <w:top w:val="single" w:sz="4" w:space="0" w:color="000000"/>
              <w:left w:val="single" w:sz="4" w:space="0" w:color="000000"/>
              <w:bottom w:val="single" w:sz="4" w:space="0" w:color="000000"/>
              <w:right w:val="single" w:sz="4" w:space="0" w:color="000000"/>
            </w:tcBorders>
            <w:vAlign w:val="center"/>
          </w:tcPr>
          <w:p w14:paraId="4DA79628" w14:textId="33FE59CF" w:rsidR="002F03F5" w:rsidRDefault="008F23FF" w:rsidP="00921FF3">
            <w:pPr>
              <w:pStyle w:val="TableText"/>
              <w:keepNext/>
              <w:widowControl/>
              <w:ind w:left="57" w:right="57"/>
              <w:jc w:val="both"/>
            </w:pPr>
            <w:r w:rsidRPr="00C75B37">
              <w:t xml:space="preserve">As discussed in paragraph </w:t>
            </w:r>
            <w:r w:rsidR="00046580" w:rsidRPr="00C75B37">
              <w:fldChar w:fldCharType="begin"/>
            </w:r>
            <w:r w:rsidR="00046580" w:rsidRPr="00C75B37">
              <w:instrText xml:space="preserve"> REF _Ref222831982 \r \h </w:instrText>
            </w:r>
            <w:r w:rsidR="00C75B37">
              <w:instrText xml:space="preserve"> \* MERGEFORMAT </w:instrText>
            </w:r>
            <w:r w:rsidR="00046580" w:rsidRPr="00C75B37">
              <w:fldChar w:fldCharType="separate"/>
            </w:r>
            <w:r w:rsidR="001617F9">
              <w:t>6.66</w:t>
            </w:r>
            <w:r w:rsidR="00046580" w:rsidRPr="00C75B37">
              <w:fldChar w:fldCharType="end"/>
            </w:r>
            <w:r w:rsidRPr="00C75B37">
              <w:t xml:space="preserve">, the proportion of use at each dosing regimen in the model </w:t>
            </w:r>
            <w:r w:rsidRPr="00F34799">
              <w:t>overestimated patients who had dose reductions (&gt;90%) compared to LIBRETTO-531 (46%). This</w:t>
            </w:r>
            <w:r w:rsidRPr="00C75B37">
              <w:t xml:space="preserve"> underestimated treatment costs. </w:t>
            </w:r>
            <w:r w:rsidRPr="00A35C62">
              <w:t>The ESCs noted this had been corrected in the PSCR.</w:t>
            </w:r>
            <w:r w:rsidRPr="00C75B37">
              <w:t xml:space="preserve"> </w:t>
            </w:r>
          </w:p>
          <w:p w14:paraId="3C7813FD" w14:textId="39019853" w:rsidR="00F77141" w:rsidRPr="00C75B37" w:rsidRDefault="00F77141" w:rsidP="00921FF3">
            <w:pPr>
              <w:pStyle w:val="TableText"/>
              <w:keepNext/>
              <w:widowControl/>
              <w:ind w:right="57"/>
              <w:jc w:val="both"/>
            </w:pPr>
          </w:p>
        </w:tc>
      </w:tr>
      <w:tr w:rsidR="002F03F5" w:rsidRPr="009F2AA4" w14:paraId="3C781402" w14:textId="77777777" w:rsidTr="00A35C62">
        <w:trPr>
          <w:cantSplit/>
          <w:trHeight w:val="602"/>
        </w:trPr>
        <w:tc>
          <w:tcPr>
            <w:tcW w:w="1166" w:type="dxa"/>
            <w:tcBorders>
              <w:top w:val="single" w:sz="4" w:space="0" w:color="000000"/>
              <w:left w:val="single" w:sz="4" w:space="0" w:color="000000"/>
              <w:bottom w:val="single" w:sz="4" w:space="0" w:color="000000"/>
              <w:right w:val="single" w:sz="4" w:space="0" w:color="000000"/>
            </w:tcBorders>
            <w:vAlign w:val="center"/>
          </w:tcPr>
          <w:p w14:paraId="3C7813FF" w14:textId="77777777" w:rsidR="002F03F5" w:rsidRPr="009F2AA4" w:rsidRDefault="008F23FF" w:rsidP="00921FF3">
            <w:pPr>
              <w:pStyle w:val="TableText"/>
              <w:keepNext/>
              <w:widowControl/>
              <w:ind w:left="57" w:right="57"/>
            </w:pPr>
            <w:r w:rsidRPr="009F2AA4">
              <w:t>Persistence rate</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400" w14:textId="77777777" w:rsidR="002F03F5" w:rsidRPr="009F2AA4" w:rsidRDefault="008F23FF" w:rsidP="00921FF3">
            <w:pPr>
              <w:pStyle w:val="TableText"/>
              <w:keepNext/>
              <w:widowControl/>
              <w:ind w:left="57" w:right="57"/>
            </w:pPr>
            <w:r w:rsidRPr="009F2AA4">
              <w:t>Proportion on treatment was the same as the base case ToT (PFS) extrapolation in the model informed by the first 6 years.</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401" w14:textId="532788B2" w:rsidR="002F03F5" w:rsidRPr="00C75B37" w:rsidRDefault="002F03F5" w:rsidP="00921FF3">
            <w:pPr>
              <w:pStyle w:val="TableText"/>
              <w:keepNext/>
              <w:widowControl/>
              <w:ind w:left="57" w:right="57"/>
              <w:jc w:val="both"/>
            </w:pPr>
          </w:p>
        </w:tc>
      </w:tr>
      <w:tr w:rsidR="002F03F5" w:rsidRPr="009F2AA4" w14:paraId="3C781406"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403" w14:textId="77777777" w:rsidR="002F03F5" w:rsidRPr="009F2AA4" w:rsidRDefault="008F23FF" w:rsidP="00921FF3">
            <w:pPr>
              <w:pStyle w:val="TableText"/>
              <w:keepNext/>
              <w:widowControl/>
              <w:ind w:left="57" w:right="57"/>
            </w:pPr>
            <w:r w:rsidRPr="009F2AA4">
              <w:t>Proposed drug</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404" w14:textId="77777777" w:rsidR="002F03F5" w:rsidRPr="009F2AA4" w:rsidRDefault="008F23FF" w:rsidP="00921FF3">
            <w:pPr>
              <w:pStyle w:val="TableText"/>
              <w:keepNext/>
              <w:widowControl/>
              <w:ind w:left="57" w:right="57"/>
            </w:pPr>
            <w:r w:rsidRPr="009F2AA4">
              <w:t>Cost at each strength based on published AEMP and DPMQ.</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405" w14:textId="636691BE" w:rsidR="002F03F5" w:rsidRPr="009F2AA4" w:rsidRDefault="002F03F5" w:rsidP="00921FF3">
            <w:pPr>
              <w:pStyle w:val="TableText"/>
              <w:keepNext/>
              <w:widowControl/>
              <w:ind w:left="57" w:right="57"/>
            </w:pPr>
          </w:p>
        </w:tc>
      </w:tr>
      <w:tr w:rsidR="002F03F5" w:rsidRPr="009F2AA4" w14:paraId="3C78140A"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407" w14:textId="77777777" w:rsidR="002F03F5" w:rsidRPr="009F2AA4" w:rsidRDefault="008F23FF" w:rsidP="00921FF3">
            <w:pPr>
              <w:pStyle w:val="TableText"/>
              <w:keepNext/>
              <w:widowControl/>
              <w:ind w:left="57" w:right="57"/>
            </w:pPr>
            <w:r w:rsidRPr="009F2AA4">
              <w:t>Copayment</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408" w14:textId="77777777" w:rsidR="002F03F5" w:rsidRPr="009F2AA4" w:rsidRDefault="008F23FF" w:rsidP="00921FF3">
            <w:pPr>
              <w:pStyle w:val="TableText"/>
              <w:keepNext/>
              <w:widowControl/>
              <w:ind w:left="57" w:right="57"/>
            </w:pPr>
            <w:r w:rsidRPr="009F2AA4">
              <w:t xml:space="preserve">The split and average copayment was 90.24% and $21.61 PBS and 9.76% and $2.48 RPBS. </w:t>
            </w:r>
          </w:p>
        </w:tc>
        <w:tc>
          <w:tcPr>
            <w:tcW w:w="3625" w:type="dxa"/>
            <w:tcBorders>
              <w:top w:val="single" w:sz="4" w:space="0" w:color="000000"/>
              <w:left w:val="single" w:sz="4" w:space="0" w:color="000000"/>
              <w:bottom w:val="single" w:sz="4" w:space="0" w:color="000000"/>
              <w:right w:val="single" w:sz="4" w:space="0" w:color="000000"/>
            </w:tcBorders>
            <w:vAlign w:val="center"/>
          </w:tcPr>
          <w:p w14:paraId="3C781409" w14:textId="28ACFC21" w:rsidR="002F03F5" w:rsidRPr="009F2AA4" w:rsidRDefault="002F03F5" w:rsidP="00921FF3">
            <w:pPr>
              <w:pStyle w:val="TableText"/>
              <w:keepNext/>
              <w:widowControl/>
              <w:ind w:left="57" w:right="57"/>
            </w:pPr>
          </w:p>
        </w:tc>
      </w:tr>
      <w:tr w:rsidR="002F03F5" w:rsidRPr="009F2AA4" w14:paraId="3C78140F" w14:textId="77777777" w:rsidTr="00173793">
        <w:trPr>
          <w:cantSplit/>
        </w:trPr>
        <w:tc>
          <w:tcPr>
            <w:tcW w:w="1166" w:type="dxa"/>
            <w:tcBorders>
              <w:top w:val="single" w:sz="4" w:space="0" w:color="000000"/>
              <w:left w:val="single" w:sz="4" w:space="0" w:color="000000"/>
              <w:bottom w:val="single" w:sz="4" w:space="0" w:color="000000"/>
              <w:right w:val="single" w:sz="4" w:space="0" w:color="000000"/>
            </w:tcBorders>
            <w:vAlign w:val="center"/>
          </w:tcPr>
          <w:p w14:paraId="3C78140B" w14:textId="77777777" w:rsidR="002F03F5" w:rsidRPr="009F2AA4" w:rsidRDefault="008F23FF" w:rsidP="00921FF3">
            <w:pPr>
              <w:pStyle w:val="TableText"/>
              <w:keepNext/>
              <w:widowControl/>
              <w:ind w:left="57" w:right="57"/>
            </w:pPr>
            <w:r w:rsidRPr="009F2AA4">
              <w:t>MBS costs</w:t>
            </w:r>
          </w:p>
        </w:tc>
        <w:tc>
          <w:tcPr>
            <w:tcW w:w="4235" w:type="dxa"/>
            <w:tcBorders>
              <w:top w:val="single" w:sz="4" w:space="0" w:color="000000"/>
              <w:left w:val="single" w:sz="4" w:space="0" w:color="000000"/>
              <w:bottom w:val="single" w:sz="4" w:space="0" w:color="000000"/>
              <w:right w:val="single" w:sz="4" w:space="0" w:color="000000"/>
            </w:tcBorders>
            <w:vAlign w:val="center"/>
          </w:tcPr>
          <w:p w14:paraId="3C78140C" w14:textId="6C2A633F" w:rsidR="002F03F5" w:rsidRPr="009F2AA4" w:rsidRDefault="008F23FF" w:rsidP="00921FF3">
            <w:pPr>
              <w:pStyle w:val="TableText"/>
              <w:keepNext/>
              <w:widowControl/>
              <w:ind w:left="57" w:right="57"/>
            </w:pPr>
            <w:r w:rsidRPr="009F2AA4">
              <w:t>Somatic</w:t>
            </w:r>
            <w:r w:rsidR="00923547" w:rsidRPr="00923547">
              <w:rPr>
                <w:i/>
              </w:rPr>
              <w:t xml:space="preserve"> RET </w:t>
            </w:r>
            <w:r w:rsidRPr="009F2AA4">
              <w:t xml:space="preserve">variant testing proposed fee = $400 </w:t>
            </w:r>
          </w:p>
          <w:p w14:paraId="3C78140D" w14:textId="77777777" w:rsidR="002F03F5" w:rsidRPr="009F2AA4" w:rsidRDefault="008F23FF" w:rsidP="00921FF3">
            <w:pPr>
              <w:pStyle w:val="TableText"/>
              <w:keepNext/>
              <w:widowControl/>
              <w:ind w:left="57" w:right="57"/>
            </w:pPr>
            <w:r w:rsidRPr="009F2AA4">
              <w:t xml:space="preserve">ECG monitoring MBS 11714 fee =$28.25 </w:t>
            </w:r>
          </w:p>
        </w:tc>
        <w:tc>
          <w:tcPr>
            <w:tcW w:w="3625" w:type="dxa"/>
            <w:tcBorders>
              <w:top w:val="single" w:sz="4" w:space="0" w:color="000000"/>
              <w:left w:val="single" w:sz="4" w:space="0" w:color="000000"/>
              <w:bottom w:val="single" w:sz="4" w:space="0" w:color="000000"/>
              <w:right w:val="single" w:sz="4" w:space="0" w:color="000000"/>
            </w:tcBorders>
            <w:vAlign w:val="center"/>
          </w:tcPr>
          <w:p w14:paraId="2F561059" w14:textId="71C422F7" w:rsidR="002F03F5" w:rsidRPr="00195160" w:rsidRDefault="00124156" w:rsidP="00921FF3">
            <w:pPr>
              <w:pStyle w:val="TableText"/>
              <w:keepNext/>
              <w:widowControl/>
              <w:ind w:left="57" w:right="57"/>
            </w:pPr>
            <w:r w:rsidRPr="000F11C6">
              <w:t xml:space="preserve">85% </w:t>
            </w:r>
            <w:r w:rsidR="00DE670C" w:rsidRPr="000F11C6">
              <w:t xml:space="preserve">Medicare </w:t>
            </w:r>
            <w:r w:rsidR="00416B9D" w:rsidRPr="000F11C6">
              <w:t>benefit should be assumed</w:t>
            </w:r>
            <w:r w:rsidR="00DE670C" w:rsidRPr="00195160">
              <w:t xml:space="preserve">, </w:t>
            </w:r>
            <w:r w:rsidR="00044F91" w:rsidRPr="00195160">
              <w:t>i.e.</w:t>
            </w:r>
            <w:r w:rsidR="00DE670C" w:rsidRPr="00195160">
              <w:t xml:space="preserve">: </w:t>
            </w:r>
          </w:p>
          <w:p w14:paraId="3C78140E" w14:textId="4FB6D44B" w:rsidR="002F03F5" w:rsidRPr="000F11C6" w:rsidRDefault="00DE670C" w:rsidP="00921FF3">
            <w:pPr>
              <w:pStyle w:val="TableText"/>
              <w:keepNext/>
              <w:widowControl/>
              <w:ind w:left="57" w:right="57"/>
            </w:pPr>
            <w:r w:rsidRPr="000F11C6">
              <w:t xml:space="preserve">ECG monitoring MBS 11714 fee </w:t>
            </w:r>
          </w:p>
        </w:tc>
      </w:tr>
    </w:tbl>
    <w:p w14:paraId="3C781410" w14:textId="77777777" w:rsidR="002F03F5" w:rsidRPr="009F2AA4" w:rsidRDefault="008F23FF" w:rsidP="00921FF3">
      <w:pPr>
        <w:pStyle w:val="TableFooter"/>
        <w:keepNext/>
        <w:widowControl/>
      </w:pPr>
      <w:r w:rsidRPr="009F2AA4">
        <w:t xml:space="preserve">Source: Table 4-1, p149 of the submission; ‘Eligible </w:t>
      </w:r>
      <w:proofErr w:type="spellStart"/>
      <w:r w:rsidRPr="009F2AA4">
        <w:t>population_all_stage</w:t>
      </w:r>
      <w:proofErr w:type="spellEnd"/>
      <w:r w:rsidRPr="009F2AA4">
        <w:t>’ worksheet from the financial workbook</w:t>
      </w:r>
    </w:p>
    <w:p w14:paraId="2719EE2C" w14:textId="77777777" w:rsidR="00090206" w:rsidRDefault="008F23FF" w:rsidP="00921FF3">
      <w:pPr>
        <w:pStyle w:val="TableFooter"/>
        <w:keepNext/>
        <w:widowControl/>
      </w:pPr>
      <w:r w:rsidRPr="009F2AA4">
        <w:t>AEMP = approved ex manufacturer price; AIHW = Australian Institute of Health and Welfare; BID = twice daily; cap/tab = capsule or tablet; DPMQ = dispensed price for maximum quantity; DUSC = Drug Utilisation Sub Committee; ECG = electrocardiogram; MBS = Medicare Benefits Schedule; MTC = medullary thyroid cancer;</w:t>
      </w:r>
      <w:r w:rsidR="007E3114">
        <w:t xml:space="preserve"> </w:t>
      </w:r>
      <w:r w:rsidRPr="009F2AA4">
        <w:t>N = number; NSCLC = non-small cell lung cancer; PBS = Pharmaceutical Benefits Scheme; PSD = Public Summary Document; RPBS = Repatriation Pharmaceutical Benefits; SPA = special pricing arrangement; ToT = time on treatment.</w:t>
      </w:r>
    </w:p>
    <w:p w14:paraId="5E9EB1C2" w14:textId="5F296A92" w:rsidR="00090206" w:rsidRPr="00090206" w:rsidRDefault="00090206" w:rsidP="00090206">
      <w:pPr>
        <w:pStyle w:val="TableFooter"/>
        <w:keepNext/>
        <w:rPr>
          <w:bCs/>
          <w:i/>
          <w:iCs/>
        </w:rPr>
      </w:pPr>
      <w:r w:rsidRPr="00090206">
        <w:rPr>
          <w:bCs/>
          <w:i/>
          <w:iCs/>
        </w:rPr>
        <w:t xml:space="preserve">The redacted values correspond to the following ranges: </w:t>
      </w:r>
    </w:p>
    <w:p w14:paraId="09164276" w14:textId="7096869B" w:rsidR="00090206" w:rsidRPr="00090206" w:rsidRDefault="00090206" w:rsidP="00090206">
      <w:pPr>
        <w:pStyle w:val="TableFooter"/>
        <w:keepNext/>
        <w:rPr>
          <w:i/>
        </w:rPr>
      </w:pPr>
      <w:r w:rsidRPr="00090206">
        <w:rPr>
          <w:i/>
          <w:vertAlign w:val="superscript"/>
        </w:rPr>
        <w:t>1</w:t>
      </w:r>
      <w:r w:rsidRPr="00090206">
        <w:rPr>
          <w:i/>
        </w:rPr>
        <w:t xml:space="preserve"> </w:t>
      </w:r>
      <w:r>
        <w:rPr>
          <w:i/>
        </w:rPr>
        <w:t>&lt; 500</w:t>
      </w:r>
    </w:p>
    <w:p w14:paraId="3C781411" w14:textId="36005A52" w:rsidR="002F03F5" w:rsidRPr="009F2AA4" w:rsidRDefault="002F03F5" w:rsidP="00921FF3">
      <w:pPr>
        <w:pStyle w:val="TableFooter"/>
        <w:keepNext/>
        <w:widowControl/>
      </w:pPr>
    </w:p>
    <w:p w14:paraId="34EAF48F" w14:textId="64986419" w:rsidR="00EF56B9" w:rsidRPr="00897162" w:rsidRDefault="00EF56B9" w:rsidP="00921FF3">
      <w:pPr>
        <w:pStyle w:val="3-BodyText"/>
      </w:pPr>
      <w:bookmarkStart w:id="102" w:name="_Ref226900953"/>
      <w:bookmarkStart w:id="103" w:name="_Ref216644704"/>
      <w:r w:rsidRPr="00EF56B9">
        <w:t>The submission did not capture</w:t>
      </w:r>
      <w:r w:rsidR="0019233C">
        <w:t xml:space="preserve"> </w:t>
      </w:r>
      <w:r w:rsidRPr="00EF56B9">
        <w:t xml:space="preserve">MTC patients </w:t>
      </w:r>
      <w:r w:rsidR="0019233C">
        <w:t xml:space="preserve">diagnosed with </w:t>
      </w:r>
      <w:r w:rsidR="00961650">
        <w:t>S</w:t>
      </w:r>
      <w:r w:rsidRPr="00EF56B9">
        <w:t xml:space="preserve">tage III/IV </w:t>
      </w:r>
      <w:r w:rsidR="0019233C">
        <w:t>disease prior to 2026</w:t>
      </w:r>
      <w:r w:rsidR="0001314F">
        <w:t xml:space="preserve"> </w:t>
      </w:r>
      <w:r w:rsidR="00961650">
        <w:t xml:space="preserve">who may </w:t>
      </w:r>
      <w:r w:rsidR="00613250">
        <w:t xml:space="preserve">have unresectable and progressive disease and </w:t>
      </w:r>
      <w:r w:rsidR="00961650">
        <w:t xml:space="preserve">be eligible for </w:t>
      </w:r>
      <w:r w:rsidR="00961650" w:rsidRPr="00897162">
        <w:t>treatment</w:t>
      </w:r>
      <w:r w:rsidRPr="00897162">
        <w:t>.</w:t>
      </w:r>
      <w:r w:rsidR="00613250" w:rsidRPr="00897162">
        <w:t xml:space="preserve"> </w:t>
      </w:r>
      <w:r w:rsidR="005B72DB">
        <w:t>Noting the indolent nature of MTC, the PBAC considered this may be a sizeable population.</w:t>
      </w:r>
      <w:bookmarkEnd w:id="102"/>
      <w:r w:rsidR="005B72DB">
        <w:t xml:space="preserve"> </w:t>
      </w:r>
    </w:p>
    <w:p w14:paraId="010E0D68" w14:textId="3CDA6144" w:rsidR="008B5759" w:rsidRPr="00897162" w:rsidRDefault="00DC50E0" w:rsidP="00921FF3">
      <w:pPr>
        <w:pStyle w:val="3-BodyText"/>
      </w:pPr>
      <w:bookmarkStart w:id="104" w:name="_Ref226899927"/>
      <w:r w:rsidRPr="00854C2C">
        <w:t xml:space="preserve">The submission </w:t>
      </w:r>
      <w:r w:rsidR="008C51B8" w:rsidRPr="00897162">
        <w:t xml:space="preserve">assumed 12% </w:t>
      </w:r>
      <w:r w:rsidR="00897162" w:rsidRPr="00897162">
        <w:t>of</w:t>
      </w:r>
      <w:r w:rsidR="001D1AF4">
        <w:t xml:space="preserve"> </w:t>
      </w:r>
      <w:r w:rsidR="00897162" w:rsidRPr="00897162">
        <w:t xml:space="preserve">patients </w:t>
      </w:r>
      <w:r w:rsidR="001D1AF4">
        <w:t xml:space="preserve">diagnosed with Stage I/II disease </w:t>
      </w:r>
      <w:r w:rsidR="008C51B8" w:rsidRPr="00897162">
        <w:t>progressed to stage III</w:t>
      </w:r>
      <w:r w:rsidR="001D1AF4">
        <w:t xml:space="preserve"> disease</w:t>
      </w:r>
      <w:r w:rsidR="008C51B8" w:rsidRPr="00897162">
        <w:t xml:space="preserve"> each year in the first two years and 21% progressed to stage IV each year based on Papachristos 2023. </w:t>
      </w:r>
      <w:r w:rsidRPr="00854C2C">
        <w:t xml:space="preserve">In Papachristos 2023, there was 12% who experienced local recurrence over 48 months and 21% who experienced distant recurrence over 72 months. </w:t>
      </w:r>
      <w:r w:rsidR="00897162">
        <w:t>The evaluation considered it would be more reasonable to apply t</w:t>
      </w:r>
      <w:r w:rsidRPr="00854C2C">
        <w:t xml:space="preserve">he yearly proportion who experienced local and distant recurrence </w:t>
      </w:r>
      <w:r w:rsidR="00897162">
        <w:t xml:space="preserve">(i.e., </w:t>
      </w:r>
      <w:r w:rsidRPr="00854C2C">
        <w:t>3% and 3.5%, respectively</w:t>
      </w:r>
      <w:r w:rsidR="001D1AF4">
        <w:t>)</w:t>
      </w:r>
      <w:r w:rsidRPr="00854C2C">
        <w:t>.</w:t>
      </w:r>
      <w:bookmarkEnd w:id="104"/>
    </w:p>
    <w:p w14:paraId="3C78141B" w14:textId="5CB2880F" w:rsidR="002F03F5" w:rsidRPr="006C2D08" w:rsidRDefault="008F23FF" w:rsidP="00921FF3">
      <w:pPr>
        <w:pStyle w:val="3-BodyText"/>
      </w:pPr>
      <w:bookmarkStart w:id="105" w:name="_Ref226528290"/>
      <w:bookmarkEnd w:id="103"/>
      <w:r w:rsidRPr="009F2AA4">
        <w:t>The estimated use and financial implications of</w:t>
      </w:r>
      <w:r w:rsidR="00923547" w:rsidRPr="00923547">
        <w:rPr>
          <w:i/>
        </w:rPr>
        <w:t xml:space="preserve"> RET </w:t>
      </w:r>
      <w:r w:rsidRPr="009F2AA4">
        <w:t xml:space="preserve">variant testing (at diagnosis of MTC) and treatment with selpercatinib are presented in </w:t>
      </w:r>
      <w:r w:rsidR="0055180B">
        <w:fldChar w:fldCharType="begin"/>
      </w:r>
      <w:r w:rsidR="0055180B">
        <w:instrText xml:space="preserve"> REF _Ref225287693 \h </w:instrText>
      </w:r>
      <w:r w:rsidR="0055180B">
        <w:fldChar w:fldCharType="separate"/>
      </w:r>
      <w:r w:rsidR="003A3B69">
        <w:t xml:space="preserve">Table </w:t>
      </w:r>
      <w:r w:rsidR="003A3B69">
        <w:rPr>
          <w:noProof/>
        </w:rPr>
        <w:t>18</w:t>
      </w:r>
      <w:r w:rsidR="0055180B">
        <w:fldChar w:fldCharType="end"/>
      </w:r>
      <w:r w:rsidRPr="009F2AA4">
        <w:t>.</w:t>
      </w:r>
      <w:bookmarkEnd w:id="105"/>
      <w:r w:rsidRPr="009F2AA4">
        <w:t xml:space="preserve"> </w:t>
      </w:r>
    </w:p>
    <w:p w14:paraId="1F22E9C6" w14:textId="0D86009D" w:rsidR="00E17273" w:rsidRDefault="00E17273" w:rsidP="00921FF3">
      <w:pPr>
        <w:pStyle w:val="Caption"/>
      </w:pPr>
      <w:bookmarkStart w:id="106" w:name="_Ref225287693"/>
      <w:r>
        <w:lastRenderedPageBreak/>
        <w:t xml:space="preserve">Table </w:t>
      </w:r>
      <w:r>
        <w:fldChar w:fldCharType="begin"/>
      </w:r>
      <w:r>
        <w:instrText>SEQ Table \* ARABIC</w:instrText>
      </w:r>
      <w:r>
        <w:fldChar w:fldCharType="separate"/>
      </w:r>
      <w:r w:rsidR="003A3B69">
        <w:rPr>
          <w:noProof/>
        </w:rPr>
        <w:t>18</w:t>
      </w:r>
      <w:r>
        <w:fldChar w:fldCharType="end"/>
      </w:r>
      <w:bookmarkEnd w:id="106"/>
      <w:r>
        <w:t>:</w:t>
      </w:r>
      <w:r w:rsidR="007E3114">
        <w:t xml:space="preserve"> </w:t>
      </w:r>
      <w:r w:rsidRPr="004F796B">
        <w:t xml:space="preserve">Estimated use and financial implications (assumed testing at diagnosis of MTC) in the submission </w:t>
      </w:r>
    </w:p>
    <w:tbl>
      <w:tblPr>
        <w:tblW w:w="4950" w:type="pct"/>
        <w:tblLayout w:type="fixed"/>
        <w:tblCellMar>
          <w:left w:w="28" w:type="dxa"/>
          <w:right w:w="28" w:type="dxa"/>
        </w:tblCellMar>
        <w:tblLook w:val="04A0" w:firstRow="1" w:lastRow="0" w:firstColumn="1" w:lastColumn="0" w:noHBand="0" w:noVBand="1"/>
        <w:tblCaption w:val="Table 18: Estimated use and financial implications (assumed testing at diagnosis of MTC) in the submission "/>
      </w:tblPr>
      <w:tblGrid>
        <w:gridCol w:w="2240"/>
        <w:gridCol w:w="1115"/>
        <w:gridCol w:w="1113"/>
        <w:gridCol w:w="1114"/>
        <w:gridCol w:w="1114"/>
        <w:gridCol w:w="1114"/>
        <w:gridCol w:w="1116"/>
      </w:tblGrid>
      <w:tr w:rsidR="002F03F5" w:rsidRPr="009F2AA4" w14:paraId="3C781423" w14:textId="77777777" w:rsidTr="00E46526">
        <w:trPr>
          <w:cantSplit/>
          <w:tblHeader/>
        </w:trPr>
        <w:tc>
          <w:tcPr>
            <w:tcW w:w="2240" w:type="dxa"/>
            <w:tcBorders>
              <w:top w:val="single" w:sz="4" w:space="0" w:color="000000"/>
              <w:left w:val="single" w:sz="4" w:space="0" w:color="000000"/>
              <w:bottom w:val="single" w:sz="4" w:space="0" w:color="000000"/>
              <w:right w:val="single" w:sz="4" w:space="0" w:color="000000"/>
            </w:tcBorders>
            <w:vAlign w:val="center"/>
          </w:tcPr>
          <w:p w14:paraId="3C78141C" w14:textId="77777777" w:rsidR="002F03F5" w:rsidRPr="009F2AA4" w:rsidRDefault="002F03F5" w:rsidP="00921FF3">
            <w:pPr>
              <w:pStyle w:val="TableText"/>
              <w:keepNext/>
              <w:widowControl/>
              <w:jc w:val="center"/>
              <w:rPr>
                <w:b/>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3C78141D" w14:textId="77777777" w:rsidR="002F03F5" w:rsidRPr="009F2AA4" w:rsidRDefault="008F23FF" w:rsidP="00921FF3">
            <w:pPr>
              <w:pStyle w:val="TableText"/>
              <w:keepNext/>
              <w:widowControl/>
              <w:jc w:val="center"/>
              <w:rPr>
                <w:b/>
              </w:rPr>
            </w:pPr>
            <w:r w:rsidRPr="009F2AA4">
              <w:rPr>
                <w:b/>
              </w:rPr>
              <w:t>Year 1</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1E" w14:textId="77777777" w:rsidR="002F03F5" w:rsidRPr="009F2AA4" w:rsidRDefault="008F23FF" w:rsidP="00921FF3">
            <w:pPr>
              <w:pStyle w:val="TableText"/>
              <w:keepNext/>
              <w:widowControl/>
              <w:jc w:val="center"/>
              <w:rPr>
                <w:b/>
              </w:rPr>
            </w:pPr>
            <w:r w:rsidRPr="009F2AA4">
              <w:rPr>
                <w:b/>
              </w:rPr>
              <w:t>Year 2</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1F" w14:textId="77777777" w:rsidR="002F03F5" w:rsidRPr="009F2AA4" w:rsidRDefault="008F23FF" w:rsidP="00921FF3">
            <w:pPr>
              <w:pStyle w:val="TableText"/>
              <w:keepNext/>
              <w:widowControl/>
              <w:jc w:val="center"/>
              <w:rPr>
                <w:b/>
              </w:rPr>
            </w:pPr>
            <w:r w:rsidRPr="009F2AA4">
              <w:rPr>
                <w:b/>
              </w:rPr>
              <w:t>Year 3</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20" w14:textId="77777777" w:rsidR="002F03F5" w:rsidRPr="009F2AA4" w:rsidRDefault="008F23FF" w:rsidP="00921FF3">
            <w:pPr>
              <w:pStyle w:val="TableText"/>
              <w:keepNext/>
              <w:widowControl/>
              <w:jc w:val="center"/>
              <w:rPr>
                <w:b/>
              </w:rPr>
            </w:pPr>
            <w:r w:rsidRPr="009F2AA4">
              <w:rPr>
                <w:b/>
              </w:rPr>
              <w:t>Year 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21" w14:textId="77777777" w:rsidR="002F03F5" w:rsidRPr="009F2AA4" w:rsidRDefault="008F23FF" w:rsidP="00921FF3">
            <w:pPr>
              <w:pStyle w:val="TableText"/>
              <w:keepNext/>
              <w:widowControl/>
              <w:jc w:val="center"/>
              <w:rPr>
                <w:b/>
              </w:rPr>
            </w:pPr>
            <w:r w:rsidRPr="009F2AA4">
              <w:rPr>
                <w:b/>
              </w:rPr>
              <w:t>Year 5</w:t>
            </w:r>
          </w:p>
        </w:tc>
        <w:tc>
          <w:tcPr>
            <w:tcW w:w="1116" w:type="dxa"/>
            <w:tcBorders>
              <w:top w:val="single" w:sz="4" w:space="0" w:color="000000"/>
              <w:left w:val="single" w:sz="4" w:space="0" w:color="000000"/>
              <w:bottom w:val="single" w:sz="4" w:space="0" w:color="000000"/>
              <w:right w:val="single" w:sz="4" w:space="0" w:color="000000"/>
            </w:tcBorders>
          </w:tcPr>
          <w:p w14:paraId="3C781422" w14:textId="77777777" w:rsidR="002F03F5" w:rsidRPr="009F2AA4" w:rsidRDefault="008F23FF" w:rsidP="00921FF3">
            <w:pPr>
              <w:pStyle w:val="TableText"/>
              <w:keepNext/>
              <w:widowControl/>
              <w:jc w:val="center"/>
              <w:rPr>
                <w:b/>
              </w:rPr>
            </w:pPr>
            <w:r w:rsidRPr="009F2AA4">
              <w:rPr>
                <w:b/>
              </w:rPr>
              <w:t>Year 6</w:t>
            </w:r>
          </w:p>
        </w:tc>
      </w:tr>
      <w:tr w:rsidR="002F03F5" w:rsidRPr="009F2AA4" w14:paraId="3C781425" w14:textId="77777777" w:rsidTr="00E46526">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1424" w14:textId="3F5AA681" w:rsidR="002F03F5" w:rsidRPr="009F2AA4" w:rsidRDefault="008F23FF" w:rsidP="00921FF3">
            <w:pPr>
              <w:pStyle w:val="TableText"/>
              <w:keepNext/>
              <w:widowControl/>
              <w:rPr>
                <w:b/>
              </w:rPr>
            </w:pPr>
            <w:r w:rsidRPr="009F2AA4">
              <w:rPr>
                <w:b/>
              </w:rPr>
              <w:t>Estimated extent of use of somatic</w:t>
            </w:r>
            <w:r w:rsidR="00923547" w:rsidRPr="00923547">
              <w:rPr>
                <w:b/>
                <w:i/>
              </w:rPr>
              <w:t xml:space="preserve"> RET </w:t>
            </w:r>
            <w:r w:rsidRPr="009F2AA4">
              <w:rPr>
                <w:b/>
              </w:rPr>
              <w:t>variant testing</w:t>
            </w:r>
            <w:r w:rsidR="008344EC">
              <w:rPr>
                <w:b/>
              </w:rPr>
              <w:t xml:space="preserve"> </w:t>
            </w:r>
          </w:p>
        </w:tc>
      </w:tr>
      <w:tr w:rsidR="002F03F5" w:rsidRPr="009F2AA4" w14:paraId="3C78142D"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26" w14:textId="77777777" w:rsidR="002F03F5" w:rsidRPr="009F2AA4" w:rsidRDefault="008F23FF" w:rsidP="00921FF3">
            <w:pPr>
              <w:pStyle w:val="TableText"/>
              <w:keepNext/>
              <w:widowControl/>
            </w:pPr>
            <w:r w:rsidRPr="009F2AA4">
              <w:t>Number of patients tested</w:t>
            </w:r>
          </w:p>
        </w:tc>
        <w:tc>
          <w:tcPr>
            <w:tcW w:w="1115" w:type="dxa"/>
            <w:tcBorders>
              <w:top w:val="single" w:sz="4" w:space="0" w:color="000000"/>
              <w:left w:val="single" w:sz="4" w:space="0" w:color="000000"/>
              <w:bottom w:val="single" w:sz="4" w:space="0" w:color="000000"/>
              <w:right w:val="single" w:sz="4" w:space="0" w:color="000000"/>
            </w:tcBorders>
            <w:vAlign w:val="center"/>
          </w:tcPr>
          <w:p w14:paraId="3C781427" w14:textId="41C83CF4" w:rsidR="002F03F5" w:rsidRPr="00F77229" w:rsidRDefault="00B73859" w:rsidP="00921FF3">
            <w:pPr>
              <w:pStyle w:val="TableText"/>
              <w:keepNext/>
              <w:widowControl/>
              <w:jc w:val="center"/>
              <w:rPr>
                <w:highlight w:val="darkGray"/>
                <w:vertAlign w:val="superscript"/>
              </w:rPr>
            </w:pPr>
            <w:r w:rsidRPr="00B73859">
              <w:rPr>
                <w:sz w:val="2"/>
                <w:highlight w:val="black"/>
              </w:rPr>
              <w:t>redacted content</w:t>
            </w:r>
            <w:r w:rsidR="00DB7432" w:rsidRPr="00F77229">
              <w:rPr>
                <w:vertAlign w:val="superscript"/>
              </w:rPr>
              <w:t>1</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28" w14:textId="0F57C99C"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29" w14:textId="2663225D"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2A" w14:textId="1D74FC05"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2B" w14:textId="7093D62F"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6" w:type="dxa"/>
            <w:tcBorders>
              <w:top w:val="single" w:sz="4" w:space="0" w:color="000000"/>
              <w:left w:val="single" w:sz="4" w:space="0" w:color="000000"/>
              <w:bottom w:val="single" w:sz="4" w:space="0" w:color="000000"/>
              <w:right w:val="single" w:sz="4" w:space="0" w:color="000000"/>
            </w:tcBorders>
            <w:vAlign w:val="center"/>
          </w:tcPr>
          <w:p w14:paraId="3C78142C" w14:textId="1B637960"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r>
      <w:tr w:rsidR="002F03F5" w:rsidRPr="009F2AA4" w14:paraId="3C781435"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2E" w14:textId="77777777" w:rsidR="002F03F5" w:rsidRPr="009F2AA4" w:rsidRDefault="008F23FF" w:rsidP="00921FF3">
            <w:pPr>
              <w:pStyle w:val="TableText"/>
              <w:keepNext/>
              <w:widowControl/>
            </w:pPr>
            <w:r w:rsidRPr="009F2AA4">
              <w:t>Number of patients likely to receive a positive test result</w:t>
            </w:r>
          </w:p>
        </w:tc>
        <w:tc>
          <w:tcPr>
            <w:tcW w:w="1115" w:type="dxa"/>
            <w:tcBorders>
              <w:top w:val="single" w:sz="4" w:space="0" w:color="000000"/>
              <w:left w:val="single" w:sz="4" w:space="0" w:color="000000"/>
              <w:bottom w:val="single" w:sz="4" w:space="0" w:color="000000"/>
              <w:right w:val="single" w:sz="4" w:space="0" w:color="000000"/>
            </w:tcBorders>
            <w:vAlign w:val="center"/>
          </w:tcPr>
          <w:p w14:paraId="3C78142F" w14:textId="3575A166"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30" w14:textId="0E98494D"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31" w14:textId="68DD6B83"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32" w14:textId="6F87A2A5"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33" w14:textId="20FFDDD9"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6" w:type="dxa"/>
            <w:tcBorders>
              <w:top w:val="single" w:sz="4" w:space="0" w:color="000000"/>
              <w:left w:val="single" w:sz="4" w:space="0" w:color="000000"/>
              <w:bottom w:val="single" w:sz="4" w:space="0" w:color="000000"/>
              <w:right w:val="single" w:sz="4" w:space="0" w:color="000000"/>
            </w:tcBorders>
            <w:vAlign w:val="center"/>
          </w:tcPr>
          <w:p w14:paraId="3C781434" w14:textId="636A9F4A"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r>
      <w:tr w:rsidR="002F03F5" w:rsidRPr="009F2AA4" w14:paraId="3C781437" w14:textId="77777777" w:rsidTr="00E46526">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1436" w14:textId="6CAC6ABD" w:rsidR="002F03F5" w:rsidRPr="009F2AA4" w:rsidRDefault="008F23FF" w:rsidP="00921FF3">
            <w:pPr>
              <w:pStyle w:val="TableText"/>
              <w:keepNext/>
              <w:widowControl/>
              <w:rPr>
                <w:b/>
              </w:rPr>
            </w:pPr>
            <w:r w:rsidRPr="009F2AA4">
              <w:rPr>
                <w:b/>
              </w:rPr>
              <w:t>Estimated extent of use of selpercatinib</w:t>
            </w:r>
            <w:r w:rsidR="00A44A46">
              <w:rPr>
                <w:b/>
              </w:rPr>
              <w:t xml:space="preserve"> (not corrected for dosing error)</w:t>
            </w:r>
          </w:p>
        </w:tc>
      </w:tr>
      <w:tr w:rsidR="002F03F5" w:rsidRPr="009F2AA4" w14:paraId="3C78143F"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38" w14:textId="77777777" w:rsidR="002F03F5" w:rsidRPr="009F2AA4" w:rsidRDefault="008F23FF" w:rsidP="00921FF3">
            <w:pPr>
              <w:pStyle w:val="TableText"/>
              <w:keepNext/>
              <w:widowControl/>
              <w:rPr>
                <w:rFonts w:ascii="Times" w:eastAsia="Times New Roman" w:hAnsi="Times" w:cs="Times New Roman"/>
              </w:rPr>
            </w:pPr>
            <w:r w:rsidRPr="009F2AA4">
              <w:t xml:space="preserve">Number of initiating patients </w:t>
            </w:r>
          </w:p>
        </w:tc>
        <w:tc>
          <w:tcPr>
            <w:tcW w:w="1115" w:type="dxa"/>
            <w:tcBorders>
              <w:top w:val="single" w:sz="4" w:space="0" w:color="000000"/>
              <w:left w:val="single" w:sz="4" w:space="0" w:color="000000"/>
              <w:bottom w:val="single" w:sz="4" w:space="0" w:color="000000"/>
              <w:right w:val="single" w:sz="4" w:space="0" w:color="000000"/>
            </w:tcBorders>
            <w:vAlign w:val="center"/>
          </w:tcPr>
          <w:p w14:paraId="3C781439" w14:textId="6CFB33AC" w:rsidR="002F03F5" w:rsidRPr="00F7722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3A" w14:textId="4897F7E5"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3B" w14:textId="74589CEC"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3C" w14:textId="4FE7E99C"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3D" w14:textId="23E94BCA"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c>
          <w:tcPr>
            <w:tcW w:w="1116" w:type="dxa"/>
            <w:tcBorders>
              <w:top w:val="single" w:sz="4" w:space="0" w:color="000000"/>
              <w:left w:val="single" w:sz="4" w:space="0" w:color="000000"/>
              <w:bottom w:val="single" w:sz="4" w:space="0" w:color="000000"/>
              <w:right w:val="single" w:sz="4" w:space="0" w:color="000000"/>
            </w:tcBorders>
            <w:vAlign w:val="center"/>
          </w:tcPr>
          <w:p w14:paraId="3C78143E" w14:textId="3FCB5195"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1</w:t>
            </w:r>
          </w:p>
        </w:tc>
      </w:tr>
      <w:tr w:rsidR="002F03F5" w:rsidRPr="009F2AA4" w14:paraId="3C781447"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40" w14:textId="77777777" w:rsidR="002F03F5" w:rsidRPr="009F2AA4" w:rsidRDefault="008F23FF" w:rsidP="00921FF3">
            <w:pPr>
              <w:pStyle w:val="TableText"/>
              <w:keepNext/>
              <w:widowControl/>
              <w:rPr>
                <w:rFonts w:ascii="Times" w:eastAsia="Times New Roman" w:hAnsi="Times" w:cs="Times New Roman"/>
              </w:rPr>
            </w:pPr>
            <w:r w:rsidRPr="009F2AA4">
              <w:t>Number of scripts dispensed</w:t>
            </w:r>
          </w:p>
        </w:tc>
        <w:tc>
          <w:tcPr>
            <w:tcW w:w="1115" w:type="dxa"/>
            <w:tcBorders>
              <w:top w:val="single" w:sz="4" w:space="0" w:color="000000"/>
              <w:left w:val="single" w:sz="4" w:space="0" w:color="000000"/>
              <w:bottom w:val="single" w:sz="4" w:space="0" w:color="000000"/>
              <w:right w:val="single" w:sz="4" w:space="0" w:color="000000"/>
            </w:tcBorders>
            <w:vAlign w:val="center"/>
          </w:tcPr>
          <w:p w14:paraId="3C781441" w14:textId="513940B4"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2</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42" w14:textId="2CE186CC"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2</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43" w14:textId="1E8F425B"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2</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44" w14:textId="5CCDE7E3"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2</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45" w14:textId="2E535874"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3</w:t>
            </w:r>
          </w:p>
        </w:tc>
        <w:tc>
          <w:tcPr>
            <w:tcW w:w="1116" w:type="dxa"/>
            <w:tcBorders>
              <w:top w:val="single" w:sz="4" w:space="0" w:color="000000"/>
              <w:left w:val="single" w:sz="4" w:space="0" w:color="000000"/>
              <w:bottom w:val="single" w:sz="4" w:space="0" w:color="000000"/>
              <w:right w:val="single" w:sz="4" w:space="0" w:color="000000"/>
            </w:tcBorders>
            <w:vAlign w:val="center"/>
          </w:tcPr>
          <w:p w14:paraId="3C781446" w14:textId="7D69E31E" w:rsidR="002F03F5" w:rsidRPr="00B73859" w:rsidRDefault="00B73859" w:rsidP="00921FF3">
            <w:pPr>
              <w:pStyle w:val="TableText"/>
              <w:keepNext/>
              <w:widowControl/>
              <w:jc w:val="center"/>
              <w:rPr>
                <w:vertAlign w:val="superscript"/>
              </w:rPr>
            </w:pPr>
            <w:r w:rsidRPr="00B73859">
              <w:rPr>
                <w:sz w:val="2"/>
                <w:highlight w:val="black"/>
              </w:rPr>
              <w:t>redacted content</w:t>
            </w:r>
            <w:r w:rsidR="00DB7432">
              <w:rPr>
                <w:vertAlign w:val="superscript"/>
              </w:rPr>
              <w:t>3</w:t>
            </w:r>
          </w:p>
        </w:tc>
      </w:tr>
      <w:tr w:rsidR="002F03F5" w:rsidRPr="009F2AA4" w14:paraId="3C781449" w14:textId="77777777" w:rsidTr="00E46526">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1448" w14:textId="0EC63B87" w:rsidR="002F03F5" w:rsidRPr="009F2AA4" w:rsidRDefault="008F23FF" w:rsidP="00921FF3">
            <w:pPr>
              <w:pStyle w:val="TableText"/>
              <w:keepNext/>
              <w:widowControl/>
              <w:rPr>
                <w:b/>
                <w:bCs/>
                <w:color w:val="000000"/>
              </w:rPr>
            </w:pPr>
            <w:r w:rsidRPr="009F2AA4">
              <w:rPr>
                <w:b/>
              </w:rPr>
              <w:t>Estimated financial implications of the somatic</w:t>
            </w:r>
            <w:r w:rsidR="00923547" w:rsidRPr="00923547">
              <w:rPr>
                <w:b/>
                <w:i/>
              </w:rPr>
              <w:t xml:space="preserve"> RET </w:t>
            </w:r>
            <w:r w:rsidRPr="009F2AA4">
              <w:rPr>
                <w:b/>
              </w:rPr>
              <w:t>variant to the MBS</w:t>
            </w:r>
          </w:p>
        </w:tc>
      </w:tr>
      <w:tr w:rsidR="002F03F5" w:rsidRPr="009F2AA4" w14:paraId="3C781451"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4A" w14:textId="77777777" w:rsidR="002F03F5" w:rsidRPr="009F2AA4" w:rsidRDefault="008F23FF" w:rsidP="00921FF3">
            <w:pPr>
              <w:pStyle w:val="TableText"/>
              <w:keepNext/>
              <w:widowControl/>
            </w:pPr>
            <w:r w:rsidRPr="009F2AA4">
              <w:t>Cost to the MBS less copayments</w:t>
            </w:r>
          </w:p>
        </w:tc>
        <w:tc>
          <w:tcPr>
            <w:tcW w:w="1115" w:type="dxa"/>
            <w:tcBorders>
              <w:top w:val="single" w:sz="4" w:space="0" w:color="000000"/>
              <w:left w:val="single" w:sz="4" w:space="0" w:color="000000"/>
              <w:bottom w:val="single" w:sz="4" w:space="0" w:color="000000"/>
              <w:right w:val="single" w:sz="4" w:space="0" w:color="000000"/>
            </w:tcBorders>
            <w:vAlign w:val="center"/>
          </w:tcPr>
          <w:p w14:paraId="3C78144B" w14:textId="089EB09D"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DB7432">
              <w:rPr>
                <w:vertAlign w:val="superscript"/>
              </w:rPr>
              <w:t>4</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4C" w14:textId="141A5904"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4D" w14:textId="0C4A5248"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4E" w14:textId="23D1EFFF"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4F" w14:textId="7DFD8061"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4</w:t>
            </w:r>
          </w:p>
        </w:tc>
        <w:tc>
          <w:tcPr>
            <w:tcW w:w="1116" w:type="dxa"/>
            <w:tcBorders>
              <w:top w:val="single" w:sz="4" w:space="0" w:color="000000"/>
              <w:left w:val="single" w:sz="4" w:space="0" w:color="000000"/>
              <w:bottom w:val="single" w:sz="4" w:space="0" w:color="000000"/>
              <w:right w:val="single" w:sz="4" w:space="0" w:color="000000"/>
            </w:tcBorders>
            <w:vAlign w:val="center"/>
          </w:tcPr>
          <w:p w14:paraId="3C781450" w14:textId="1CADB502"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4</w:t>
            </w:r>
          </w:p>
        </w:tc>
      </w:tr>
      <w:tr w:rsidR="002F03F5" w:rsidRPr="009F2AA4" w14:paraId="3C781453" w14:textId="77777777" w:rsidTr="00E46526">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1452" w14:textId="77777777" w:rsidR="002F03F5" w:rsidRPr="009F2AA4" w:rsidRDefault="008F23FF" w:rsidP="00921FF3">
            <w:pPr>
              <w:pStyle w:val="TableText"/>
              <w:keepNext/>
              <w:widowControl/>
              <w:rPr>
                <w:b/>
              </w:rPr>
            </w:pPr>
            <w:r w:rsidRPr="009F2AA4">
              <w:rPr>
                <w:b/>
              </w:rPr>
              <w:t>Estimated financial implications of selpercatinib to the PBS/RPBS</w:t>
            </w:r>
          </w:p>
        </w:tc>
      </w:tr>
      <w:tr w:rsidR="002F03F5" w:rsidRPr="009F2AA4" w14:paraId="3C78145B"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54" w14:textId="77777777" w:rsidR="002F03F5" w:rsidRPr="009F2AA4" w:rsidRDefault="008F23FF" w:rsidP="00921FF3">
            <w:pPr>
              <w:pStyle w:val="TableText"/>
              <w:keepNext/>
              <w:widowControl/>
            </w:pPr>
            <w:r w:rsidRPr="009F2AA4">
              <w:t>Cost to PBS/RPBS less copayments</w:t>
            </w:r>
          </w:p>
        </w:tc>
        <w:tc>
          <w:tcPr>
            <w:tcW w:w="1115" w:type="dxa"/>
            <w:tcBorders>
              <w:top w:val="single" w:sz="4" w:space="0" w:color="000000"/>
              <w:left w:val="single" w:sz="4" w:space="0" w:color="000000"/>
              <w:bottom w:val="single" w:sz="4" w:space="0" w:color="000000"/>
              <w:right w:val="single" w:sz="4" w:space="0" w:color="000000"/>
            </w:tcBorders>
            <w:vAlign w:val="center"/>
          </w:tcPr>
          <w:p w14:paraId="3C781455" w14:textId="2A5BEA5E"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4</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56" w14:textId="2617B775"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57" w14:textId="67A09639"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DB7432">
              <w:rPr>
                <w:vertAlign w:val="superscript"/>
              </w:rPr>
              <w:t>5</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58" w14:textId="75AC99DB"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5</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59" w14:textId="3D34BC48"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DB7432">
              <w:rPr>
                <w:vertAlign w:val="superscript"/>
              </w:rPr>
              <w:t>5</w:t>
            </w:r>
          </w:p>
        </w:tc>
        <w:tc>
          <w:tcPr>
            <w:tcW w:w="1116" w:type="dxa"/>
            <w:tcBorders>
              <w:top w:val="single" w:sz="4" w:space="0" w:color="000000"/>
              <w:left w:val="single" w:sz="4" w:space="0" w:color="000000"/>
              <w:bottom w:val="single" w:sz="4" w:space="0" w:color="000000"/>
              <w:right w:val="single" w:sz="4" w:space="0" w:color="000000"/>
            </w:tcBorders>
            <w:vAlign w:val="center"/>
          </w:tcPr>
          <w:p w14:paraId="3C78145A" w14:textId="35266735"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DB7432">
              <w:rPr>
                <w:vertAlign w:val="superscript"/>
              </w:rPr>
              <w:t>6</w:t>
            </w:r>
          </w:p>
        </w:tc>
      </w:tr>
      <w:tr w:rsidR="002F03F5" w:rsidRPr="009F2AA4" w14:paraId="3C78145D" w14:textId="77777777" w:rsidTr="00E46526">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145C" w14:textId="77777777" w:rsidR="002F03F5" w:rsidRPr="009F2AA4" w:rsidRDefault="008F23FF" w:rsidP="00921FF3">
            <w:pPr>
              <w:pStyle w:val="TableText"/>
              <w:keepNext/>
              <w:widowControl/>
              <w:rPr>
                <w:b/>
              </w:rPr>
            </w:pPr>
            <w:r w:rsidRPr="009F2AA4">
              <w:rPr>
                <w:b/>
              </w:rPr>
              <w:t>Estimated financial implications for ECG monitoring to the MBS</w:t>
            </w:r>
          </w:p>
        </w:tc>
      </w:tr>
      <w:tr w:rsidR="002F03F5" w:rsidRPr="009F2AA4" w14:paraId="3C781465"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5E" w14:textId="77777777" w:rsidR="002F03F5" w:rsidRPr="009F2AA4" w:rsidRDefault="008F23FF" w:rsidP="00921FF3">
            <w:pPr>
              <w:pStyle w:val="TableText"/>
              <w:keepNext/>
              <w:widowControl/>
            </w:pPr>
            <w:r w:rsidRPr="009F2AA4">
              <w:t>Cost to MBS less copayments</w:t>
            </w:r>
          </w:p>
        </w:tc>
        <w:tc>
          <w:tcPr>
            <w:tcW w:w="1115" w:type="dxa"/>
            <w:tcBorders>
              <w:top w:val="single" w:sz="4" w:space="0" w:color="000000"/>
              <w:left w:val="single" w:sz="4" w:space="0" w:color="000000"/>
              <w:bottom w:val="single" w:sz="4" w:space="0" w:color="000000"/>
              <w:right w:val="single" w:sz="4" w:space="0" w:color="000000"/>
            </w:tcBorders>
            <w:vAlign w:val="center"/>
          </w:tcPr>
          <w:p w14:paraId="3C78145F" w14:textId="753450EC"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3E14F9">
              <w:rPr>
                <w:vertAlign w:val="superscript"/>
              </w:rPr>
              <w:t>4</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60" w14:textId="7F265CC2"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61" w14:textId="026DB33D"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62" w14:textId="228BE1CA"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63" w14:textId="1E98E9F3"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4</w:t>
            </w:r>
          </w:p>
        </w:tc>
        <w:tc>
          <w:tcPr>
            <w:tcW w:w="1116" w:type="dxa"/>
            <w:tcBorders>
              <w:top w:val="single" w:sz="4" w:space="0" w:color="000000"/>
              <w:left w:val="single" w:sz="4" w:space="0" w:color="000000"/>
              <w:bottom w:val="single" w:sz="4" w:space="0" w:color="000000"/>
              <w:right w:val="single" w:sz="4" w:space="0" w:color="000000"/>
            </w:tcBorders>
            <w:vAlign w:val="center"/>
          </w:tcPr>
          <w:p w14:paraId="3C781464" w14:textId="09FE19C9"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4</w:t>
            </w:r>
          </w:p>
        </w:tc>
      </w:tr>
      <w:tr w:rsidR="002F03F5" w:rsidRPr="009F2AA4" w14:paraId="3C781467" w14:textId="77777777" w:rsidTr="00E46526">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1466" w14:textId="77777777" w:rsidR="002F03F5" w:rsidRPr="009F2AA4" w:rsidRDefault="008F23FF" w:rsidP="00921FF3">
            <w:pPr>
              <w:pStyle w:val="TableText"/>
              <w:keepNext/>
              <w:widowControl/>
              <w:rPr>
                <w:b/>
              </w:rPr>
            </w:pPr>
            <w:r w:rsidRPr="009F2AA4">
              <w:rPr>
                <w:b/>
              </w:rPr>
              <w:t>Net financial implications</w:t>
            </w:r>
            <w:r w:rsidRPr="009F2AA4">
              <w:rPr>
                <w:b/>
                <w:color w:val="4472C4" w:themeColor="accent5"/>
              </w:rPr>
              <w:t xml:space="preserve"> </w:t>
            </w:r>
          </w:p>
        </w:tc>
      </w:tr>
      <w:tr w:rsidR="002F03F5" w:rsidRPr="009F2AA4" w14:paraId="3C78146F"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68" w14:textId="77777777" w:rsidR="002F03F5" w:rsidRPr="009F2AA4" w:rsidRDefault="008F23FF" w:rsidP="00921FF3">
            <w:pPr>
              <w:pStyle w:val="TableText"/>
              <w:keepNext/>
              <w:widowControl/>
            </w:pPr>
            <w:r w:rsidRPr="009F2AA4">
              <w:t>Net cost to PBS/RPBS</w:t>
            </w:r>
          </w:p>
        </w:tc>
        <w:tc>
          <w:tcPr>
            <w:tcW w:w="1115" w:type="dxa"/>
            <w:tcBorders>
              <w:top w:val="single" w:sz="4" w:space="0" w:color="000000"/>
              <w:left w:val="single" w:sz="4" w:space="0" w:color="000000"/>
              <w:bottom w:val="single" w:sz="4" w:space="0" w:color="000000"/>
              <w:right w:val="single" w:sz="4" w:space="0" w:color="000000"/>
            </w:tcBorders>
            <w:vAlign w:val="center"/>
          </w:tcPr>
          <w:p w14:paraId="3C781469" w14:textId="6D384027"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4</w:t>
            </w:r>
          </w:p>
        </w:tc>
        <w:tc>
          <w:tcPr>
            <w:tcW w:w="1113" w:type="dxa"/>
            <w:tcBorders>
              <w:top w:val="single" w:sz="4" w:space="0" w:color="000000"/>
              <w:left w:val="single" w:sz="4" w:space="0" w:color="000000"/>
              <w:bottom w:val="single" w:sz="4" w:space="0" w:color="000000"/>
              <w:right w:val="single" w:sz="4" w:space="0" w:color="000000"/>
            </w:tcBorders>
            <w:vAlign w:val="center"/>
          </w:tcPr>
          <w:p w14:paraId="3C78146A" w14:textId="40660032"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6B" w14:textId="5648FC82" w:rsidR="002F03F5" w:rsidRPr="00B73859" w:rsidRDefault="008F23FF" w:rsidP="00921FF3">
            <w:pPr>
              <w:pStyle w:val="TableText"/>
              <w:keepNext/>
              <w:widowControl/>
              <w:jc w:val="center"/>
              <w:rPr>
                <w:vertAlign w:val="superscript"/>
              </w:rPr>
            </w:pPr>
            <w:r w:rsidRPr="009F2AA4">
              <w:t>$</w:t>
            </w:r>
            <w:r w:rsidR="00B73859" w:rsidRPr="00B73859">
              <w:rPr>
                <w:sz w:val="2"/>
                <w:highlight w:val="black"/>
              </w:rPr>
              <w:t>redacted content</w:t>
            </w:r>
            <w:r w:rsidR="003E14F9">
              <w:rPr>
                <w:vertAlign w:val="superscript"/>
              </w:rPr>
              <w:t>5</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6C" w14:textId="66700A3C"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5</w:t>
            </w:r>
          </w:p>
        </w:tc>
        <w:tc>
          <w:tcPr>
            <w:tcW w:w="1114" w:type="dxa"/>
            <w:tcBorders>
              <w:top w:val="single" w:sz="4" w:space="0" w:color="000000"/>
              <w:left w:val="single" w:sz="4" w:space="0" w:color="000000"/>
              <w:bottom w:val="single" w:sz="4" w:space="0" w:color="000000"/>
              <w:right w:val="single" w:sz="4" w:space="0" w:color="000000"/>
            </w:tcBorders>
            <w:vAlign w:val="center"/>
          </w:tcPr>
          <w:p w14:paraId="3C78146D" w14:textId="4FC7A0CD"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5</w:t>
            </w:r>
          </w:p>
        </w:tc>
        <w:tc>
          <w:tcPr>
            <w:tcW w:w="1116" w:type="dxa"/>
            <w:tcBorders>
              <w:top w:val="single" w:sz="4" w:space="0" w:color="000000"/>
              <w:left w:val="single" w:sz="4" w:space="0" w:color="000000"/>
              <w:bottom w:val="single" w:sz="4" w:space="0" w:color="000000"/>
              <w:right w:val="single" w:sz="4" w:space="0" w:color="000000"/>
            </w:tcBorders>
            <w:vAlign w:val="center"/>
          </w:tcPr>
          <w:p w14:paraId="3C78146E" w14:textId="59AB93BF"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3E14F9">
              <w:rPr>
                <w:vertAlign w:val="superscript"/>
              </w:rPr>
              <w:t>6</w:t>
            </w:r>
          </w:p>
        </w:tc>
      </w:tr>
      <w:tr w:rsidR="002F03F5" w:rsidRPr="009F2AA4" w14:paraId="3C781477"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70" w14:textId="77777777" w:rsidR="002F03F5" w:rsidRPr="009F2AA4" w:rsidRDefault="008F23FF" w:rsidP="00921FF3">
            <w:pPr>
              <w:pStyle w:val="TableText"/>
              <w:keepNext/>
              <w:widowControl/>
              <w:rPr>
                <w:rFonts w:ascii="Times" w:eastAsia="Times New Roman" w:hAnsi="Times" w:cs="Times New Roman"/>
              </w:rPr>
            </w:pPr>
            <w:r w:rsidRPr="009F2AA4">
              <w:t>Net cost to MBS</w:t>
            </w:r>
          </w:p>
        </w:tc>
        <w:tc>
          <w:tcPr>
            <w:tcW w:w="1115" w:type="dxa"/>
            <w:tcBorders>
              <w:top w:val="single" w:sz="4" w:space="0" w:color="000000"/>
              <w:left w:val="single" w:sz="4" w:space="0" w:color="000000"/>
              <w:bottom w:val="single" w:sz="4" w:space="0" w:color="000000"/>
              <w:right w:val="single" w:sz="4" w:space="0" w:color="000000"/>
            </w:tcBorders>
          </w:tcPr>
          <w:p w14:paraId="3C781471" w14:textId="62E0D127"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4</w:t>
            </w:r>
          </w:p>
        </w:tc>
        <w:tc>
          <w:tcPr>
            <w:tcW w:w="1113" w:type="dxa"/>
            <w:tcBorders>
              <w:top w:val="single" w:sz="4" w:space="0" w:color="000000"/>
              <w:left w:val="single" w:sz="4" w:space="0" w:color="000000"/>
              <w:bottom w:val="single" w:sz="4" w:space="0" w:color="000000"/>
              <w:right w:val="single" w:sz="4" w:space="0" w:color="000000"/>
            </w:tcBorders>
          </w:tcPr>
          <w:p w14:paraId="3C781472" w14:textId="4542884F"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tcPr>
          <w:p w14:paraId="3C781473" w14:textId="15B8ADFB"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tcPr>
          <w:p w14:paraId="3C781474" w14:textId="6C0355B4"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tcPr>
          <w:p w14:paraId="3C781475" w14:textId="1503E1BB"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4</w:t>
            </w:r>
          </w:p>
        </w:tc>
        <w:tc>
          <w:tcPr>
            <w:tcW w:w="1116" w:type="dxa"/>
            <w:tcBorders>
              <w:top w:val="single" w:sz="4" w:space="0" w:color="000000"/>
              <w:left w:val="single" w:sz="4" w:space="0" w:color="000000"/>
              <w:bottom w:val="single" w:sz="4" w:space="0" w:color="000000"/>
              <w:right w:val="single" w:sz="4" w:space="0" w:color="000000"/>
            </w:tcBorders>
          </w:tcPr>
          <w:p w14:paraId="3C781476" w14:textId="40F686C6"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4</w:t>
            </w:r>
          </w:p>
        </w:tc>
      </w:tr>
      <w:tr w:rsidR="002F03F5" w:rsidRPr="009F2AA4" w14:paraId="3C78147F" w14:textId="77777777" w:rsidTr="00E46526">
        <w:trPr>
          <w:cantSplit/>
        </w:trPr>
        <w:tc>
          <w:tcPr>
            <w:tcW w:w="2240" w:type="dxa"/>
            <w:tcBorders>
              <w:top w:val="single" w:sz="4" w:space="0" w:color="000000"/>
              <w:left w:val="single" w:sz="4" w:space="0" w:color="000000"/>
              <w:bottom w:val="single" w:sz="4" w:space="0" w:color="000000"/>
              <w:right w:val="single" w:sz="4" w:space="0" w:color="000000"/>
            </w:tcBorders>
            <w:vAlign w:val="center"/>
          </w:tcPr>
          <w:p w14:paraId="3C781478" w14:textId="77777777" w:rsidR="002F03F5" w:rsidRPr="009F2AA4" w:rsidRDefault="008F23FF" w:rsidP="00921FF3">
            <w:pPr>
              <w:pStyle w:val="TableText"/>
              <w:keepNext/>
              <w:widowControl/>
            </w:pPr>
            <w:r w:rsidRPr="009F2AA4">
              <w:t>Net cost to health budget</w:t>
            </w:r>
          </w:p>
        </w:tc>
        <w:tc>
          <w:tcPr>
            <w:tcW w:w="1115" w:type="dxa"/>
            <w:tcBorders>
              <w:top w:val="single" w:sz="4" w:space="0" w:color="000000"/>
              <w:left w:val="single" w:sz="4" w:space="0" w:color="000000"/>
              <w:bottom w:val="single" w:sz="4" w:space="0" w:color="000000"/>
              <w:right w:val="single" w:sz="4" w:space="0" w:color="000000"/>
            </w:tcBorders>
          </w:tcPr>
          <w:p w14:paraId="3C781479" w14:textId="44AFCB8F"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4</w:t>
            </w:r>
          </w:p>
        </w:tc>
        <w:tc>
          <w:tcPr>
            <w:tcW w:w="1113" w:type="dxa"/>
            <w:tcBorders>
              <w:top w:val="single" w:sz="4" w:space="0" w:color="000000"/>
              <w:left w:val="single" w:sz="4" w:space="0" w:color="000000"/>
              <w:bottom w:val="single" w:sz="4" w:space="0" w:color="000000"/>
              <w:right w:val="single" w:sz="4" w:space="0" w:color="000000"/>
            </w:tcBorders>
          </w:tcPr>
          <w:p w14:paraId="3C78147A" w14:textId="395BE190"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4</w:t>
            </w:r>
          </w:p>
        </w:tc>
        <w:tc>
          <w:tcPr>
            <w:tcW w:w="1114" w:type="dxa"/>
            <w:tcBorders>
              <w:top w:val="single" w:sz="4" w:space="0" w:color="000000"/>
              <w:left w:val="single" w:sz="4" w:space="0" w:color="000000"/>
              <w:bottom w:val="single" w:sz="4" w:space="0" w:color="000000"/>
              <w:right w:val="single" w:sz="4" w:space="0" w:color="000000"/>
            </w:tcBorders>
          </w:tcPr>
          <w:p w14:paraId="3C78147B" w14:textId="50AAA305"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5</w:t>
            </w:r>
          </w:p>
        </w:tc>
        <w:tc>
          <w:tcPr>
            <w:tcW w:w="1114" w:type="dxa"/>
            <w:tcBorders>
              <w:top w:val="single" w:sz="4" w:space="0" w:color="000000"/>
              <w:left w:val="single" w:sz="4" w:space="0" w:color="000000"/>
              <w:bottom w:val="single" w:sz="4" w:space="0" w:color="000000"/>
              <w:right w:val="single" w:sz="4" w:space="0" w:color="000000"/>
            </w:tcBorders>
          </w:tcPr>
          <w:p w14:paraId="3C78147C" w14:textId="6200A47C"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5</w:t>
            </w:r>
          </w:p>
        </w:tc>
        <w:tc>
          <w:tcPr>
            <w:tcW w:w="1114" w:type="dxa"/>
            <w:tcBorders>
              <w:top w:val="single" w:sz="4" w:space="0" w:color="000000"/>
              <w:left w:val="single" w:sz="4" w:space="0" w:color="000000"/>
              <w:bottom w:val="single" w:sz="4" w:space="0" w:color="000000"/>
              <w:right w:val="single" w:sz="4" w:space="0" w:color="000000"/>
            </w:tcBorders>
          </w:tcPr>
          <w:p w14:paraId="3C78147D" w14:textId="6A654EE6"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5</w:t>
            </w:r>
          </w:p>
        </w:tc>
        <w:tc>
          <w:tcPr>
            <w:tcW w:w="1116" w:type="dxa"/>
            <w:tcBorders>
              <w:top w:val="single" w:sz="4" w:space="0" w:color="000000"/>
              <w:left w:val="single" w:sz="4" w:space="0" w:color="000000"/>
              <w:bottom w:val="single" w:sz="4" w:space="0" w:color="000000"/>
              <w:right w:val="single" w:sz="4" w:space="0" w:color="000000"/>
            </w:tcBorders>
          </w:tcPr>
          <w:p w14:paraId="3C78147E" w14:textId="09A32626" w:rsidR="002F03F5" w:rsidRPr="009F2AA4" w:rsidRDefault="008F23FF" w:rsidP="00921FF3">
            <w:pPr>
              <w:pStyle w:val="TableText"/>
              <w:keepNext/>
              <w:widowControl/>
              <w:jc w:val="center"/>
            </w:pPr>
            <w:r w:rsidRPr="009F2AA4">
              <w:t>$</w:t>
            </w:r>
            <w:r w:rsidR="00B73859" w:rsidRPr="00B73859">
              <w:rPr>
                <w:sz w:val="2"/>
                <w:highlight w:val="black"/>
              </w:rPr>
              <w:t>redacted content</w:t>
            </w:r>
            <w:r w:rsidR="00E511A3">
              <w:rPr>
                <w:vertAlign w:val="superscript"/>
              </w:rPr>
              <w:t>6</w:t>
            </w:r>
          </w:p>
        </w:tc>
      </w:tr>
    </w:tbl>
    <w:p w14:paraId="3C7814C0" w14:textId="77777777" w:rsidR="002F03F5" w:rsidRPr="009F2AA4" w:rsidRDefault="008F23FF" w:rsidP="00921FF3">
      <w:pPr>
        <w:pStyle w:val="TableFooter"/>
        <w:keepNext/>
        <w:widowControl/>
      </w:pPr>
      <w:r w:rsidRPr="009F2AA4">
        <w:t>Source: Table 4-3, p151; Table 4 4, p154; Table 4 14, p160 of the submission; calculated during the evaluation using the financial workbook</w:t>
      </w:r>
    </w:p>
    <w:p w14:paraId="3C7814C1" w14:textId="77777777" w:rsidR="002F03F5" w:rsidRPr="009F2AA4" w:rsidRDefault="008F23FF" w:rsidP="00921FF3">
      <w:pPr>
        <w:pStyle w:val="TableFooter"/>
        <w:keepNext/>
        <w:widowControl/>
      </w:pPr>
      <w:r w:rsidRPr="009F2AA4">
        <w:t>MBS = Medicare Benefits Schedule; PBS = Pharmaceutical Benefits Scheme; RPBS = Repatriation Pharmaceutical Benefits Scheme</w:t>
      </w:r>
    </w:p>
    <w:p w14:paraId="3C7814C2" w14:textId="77777777" w:rsidR="002F03F5" w:rsidRDefault="008F23FF" w:rsidP="00921FF3">
      <w:pPr>
        <w:pStyle w:val="TableFooter"/>
        <w:keepNext/>
        <w:widowControl/>
        <w:rPr>
          <w:vertAlign w:val="superscript"/>
        </w:rPr>
      </w:pPr>
      <w:r w:rsidRPr="009F2AA4">
        <w:rPr>
          <w:vertAlign w:val="superscript"/>
        </w:rPr>
        <w:t xml:space="preserve">a </w:t>
      </w:r>
      <w:r w:rsidRPr="009F2AA4">
        <w:t>Accounted for GF patients in 2026 who already had testing</w:t>
      </w:r>
      <w:r w:rsidRPr="009F2AA4">
        <w:rPr>
          <w:vertAlign w:val="superscript"/>
        </w:rPr>
        <w:t xml:space="preserve"> </w:t>
      </w:r>
    </w:p>
    <w:p w14:paraId="2979BF6A" w14:textId="18B2C0F8" w:rsidR="0031387B" w:rsidRDefault="0031387B" w:rsidP="00921FF3">
      <w:pPr>
        <w:pStyle w:val="TableFooter"/>
        <w:keepNext/>
        <w:widowControl/>
        <w:rPr>
          <w:i/>
        </w:rPr>
      </w:pPr>
      <w:r w:rsidRPr="00B73859">
        <w:rPr>
          <w:i/>
        </w:rPr>
        <w:t xml:space="preserve">The </w:t>
      </w:r>
      <w:r>
        <w:rPr>
          <w:i/>
        </w:rPr>
        <w:t>redacted values correspond to the following ranges:</w:t>
      </w:r>
    </w:p>
    <w:p w14:paraId="06259C81" w14:textId="69543E72" w:rsidR="0031387B" w:rsidRDefault="0031387B" w:rsidP="00921FF3">
      <w:pPr>
        <w:pStyle w:val="TableFooter"/>
        <w:keepNext/>
        <w:widowControl/>
        <w:rPr>
          <w:i/>
        </w:rPr>
      </w:pPr>
      <w:r>
        <w:rPr>
          <w:i/>
          <w:vertAlign w:val="superscript"/>
        </w:rPr>
        <w:t xml:space="preserve">1 </w:t>
      </w:r>
      <w:r>
        <w:rPr>
          <w:i/>
        </w:rPr>
        <w:t>&lt; 500</w:t>
      </w:r>
    </w:p>
    <w:p w14:paraId="17B20515" w14:textId="77777777" w:rsidR="00C657A8" w:rsidRDefault="0031387B" w:rsidP="00921FF3">
      <w:pPr>
        <w:pStyle w:val="TableFooter"/>
        <w:keepNext/>
        <w:widowControl/>
        <w:rPr>
          <w:i/>
        </w:rPr>
      </w:pPr>
      <w:r w:rsidRPr="00B73859">
        <w:rPr>
          <w:i/>
          <w:vertAlign w:val="superscript"/>
        </w:rPr>
        <w:t>2</w:t>
      </w:r>
      <w:r w:rsidR="00620BFA" w:rsidRPr="00B73859">
        <w:rPr>
          <w:i/>
        </w:rPr>
        <w:t xml:space="preserve"> 500 to &lt; </w:t>
      </w:r>
      <w:r w:rsidR="00620BFA">
        <w:rPr>
          <w:i/>
        </w:rPr>
        <w:t>5,000</w:t>
      </w:r>
    </w:p>
    <w:p w14:paraId="3B28C62F" w14:textId="48FAFB16" w:rsidR="00C657A8" w:rsidRDefault="00C657A8" w:rsidP="00921FF3">
      <w:pPr>
        <w:pStyle w:val="TableFooter"/>
        <w:keepNext/>
        <w:widowControl/>
        <w:rPr>
          <w:i/>
        </w:rPr>
      </w:pPr>
      <w:r>
        <w:rPr>
          <w:i/>
          <w:vertAlign w:val="superscript"/>
        </w:rPr>
        <w:t xml:space="preserve">3 </w:t>
      </w:r>
      <w:r>
        <w:rPr>
          <w:i/>
        </w:rPr>
        <w:t>5,000 to &lt; 10,000</w:t>
      </w:r>
    </w:p>
    <w:p w14:paraId="2AE34F09" w14:textId="265F37A3" w:rsidR="00C657A8" w:rsidRDefault="00C657A8" w:rsidP="00921FF3">
      <w:pPr>
        <w:pStyle w:val="TableFooter"/>
        <w:keepNext/>
        <w:widowControl/>
        <w:rPr>
          <w:i/>
        </w:rPr>
      </w:pPr>
      <w:r>
        <w:rPr>
          <w:i/>
          <w:vertAlign w:val="superscript"/>
        </w:rPr>
        <w:t>4</w:t>
      </w:r>
      <w:r>
        <w:rPr>
          <w:i/>
        </w:rPr>
        <w:t xml:space="preserve"> $0 to &lt; $10 million</w:t>
      </w:r>
    </w:p>
    <w:p w14:paraId="6DA79CA6" w14:textId="6A37BA50" w:rsidR="00C657A8" w:rsidRDefault="00C657A8" w:rsidP="00921FF3">
      <w:pPr>
        <w:pStyle w:val="TableFooter"/>
        <w:keepNext/>
        <w:widowControl/>
        <w:rPr>
          <w:i/>
        </w:rPr>
      </w:pPr>
      <w:r>
        <w:rPr>
          <w:i/>
          <w:vertAlign w:val="superscript"/>
        </w:rPr>
        <w:t>5</w:t>
      </w:r>
      <w:r>
        <w:rPr>
          <w:i/>
        </w:rPr>
        <w:t xml:space="preserve"> $</w:t>
      </w:r>
      <w:r w:rsidR="00E36B1D">
        <w:rPr>
          <w:i/>
        </w:rPr>
        <w:t>10 million to &lt; $20 million</w:t>
      </w:r>
    </w:p>
    <w:p w14:paraId="235EBB4A" w14:textId="24E3C921" w:rsidR="00E36B1D" w:rsidRPr="00E36B1D" w:rsidRDefault="00E36B1D" w:rsidP="00921FF3">
      <w:pPr>
        <w:pStyle w:val="TableFooter"/>
        <w:keepNext/>
        <w:widowControl/>
        <w:rPr>
          <w:i/>
        </w:rPr>
      </w:pPr>
      <w:r>
        <w:rPr>
          <w:i/>
          <w:vertAlign w:val="superscript"/>
        </w:rPr>
        <w:t>6</w:t>
      </w:r>
      <w:r>
        <w:rPr>
          <w:i/>
        </w:rPr>
        <w:t xml:space="preserve"> $20 million to &lt; $30 million</w:t>
      </w:r>
    </w:p>
    <w:p w14:paraId="7DF35E8B" w14:textId="043520AD" w:rsidR="0031387B" w:rsidRPr="00B73859" w:rsidRDefault="0031387B" w:rsidP="00921FF3">
      <w:pPr>
        <w:pStyle w:val="TableFooter"/>
        <w:keepNext/>
        <w:widowControl/>
        <w:rPr>
          <w:i/>
          <w:sz w:val="14"/>
          <w:szCs w:val="16"/>
          <w:vertAlign w:val="superscript"/>
        </w:rPr>
      </w:pPr>
      <w:r w:rsidRPr="00B73859">
        <w:rPr>
          <w:i/>
          <w:sz w:val="14"/>
          <w:szCs w:val="16"/>
          <w:vertAlign w:val="superscript"/>
        </w:rPr>
        <w:t xml:space="preserve"> </w:t>
      </w:r>
    </w:p>
    <w:p w14:paraId="3C7814C4" w14:textId="18DB3F96" w:rsidR="002F03F5" w:rsidRPr="00010E4B" w:rsidRDefault="008F23FF" w:rsidP="00921FF3">
      <w:pPr>
        <w:pStyle w:val="3-BodyText"/>
        <w:rPr>
          <w:color w:val="3366FF"/>
        </w:rPr>
      </w:pPr>
      <w:r w:rsidRPr="00010E4B">
        <w:t>The submission estimated the total cost to the PBS/RPBS of listing selpercatinib was estimated to be $</w:t>
      </w:r>
      <w:r w:rsidR="00E36B1D">
        <w:t>20 million to &lt; $30 million</w:t>
      </w:r>
      <w:r w:rsidRPr="00010E4B">
        <w:t xml:space="preserve"> in Year 6, and a total of $</w:t>
      </w:r>
      <w:r w:rsidR="00E36B1D">
        <w:t xml:space="preserve">80 million to </w:t>
      </w:r>
      <w:r w:rsidR="00E36B1D">
        <w:br/>
        <w:t xml:space="preserve">&lt; $90 </w:t>
      </w:r>
      <w:r w:rsidRPr="00010E4B">
        <w:t xml:space="preserve">million in the first 6 years of listing. </w:t>
      </w:r>
    </w:p>
    <w:p w14:paraId="3C7814C5" w14:textId="70C33C14" w:rsidR="002F03F5" w:rsidRPr="00010E4B" w:rsidRDefault="008F23FF" w:rsidP="00921FF3">
      <w:pPr>
        <w:pStyle w:val="3-BodyText"/>
      </w:pPr>
      <w:bookmarkStart w:id="107" w:name="_Ref225338285"/>
      <w:r w:rsidRPr="00010E4B">
        <w:t>The PSCR acknowledged the dose reduction error and updated financial estimates accordingly. The revised financial estimates in the PSCR</w:t>
      </w:r>
      <w:r w:rsidR="00794F46">
        <w:t xml:space="preserve"> </w:t>
      </w:r>
      <w:r w:rsidRPr="00010E4B">
        <w:t>assumed dose adjustments were based on the LIBRETTO-531 study. This resulted in a net cost to the PBS/RPBS of $</w:t>
      </w:r>
      <w:r w:rsidR="00E36B1D">
        <w:t xml:space="preserve">0 to &lt; $10 </w:t>
      </w:r>
      <w:r w:rsidRPr="00010E4B">
        <w:t>million in Year 1</w:t>
      </w:r>
      <w:r w:rsidR="00C25ABB">
        <w:t>,</w:t>
      </w:r>
      <w:r w:rsidRPr="00010E4B">
        <w:t xml:space="preserve"> increasing to $</w:t>
      </w:r>
      <w:r w:rsidR="00E36B1D">
        <w:t>20 million to &lt; $30</w:t>
      </w:r>
      <w:r w:rsidRPr="00010E4B">
        <w:t xml:space="preserve"> million in Year 6</w:t>
      </w:r>
      <w:r w:rsidR="00DD28DB">
        <w:t xml:space="preserve">, </w:t>
      </w:r>
      <w:r w:rsidR="000B4782">
        <w:t>and a total of $</w:t>
      </w:r>
      <w:r w:rsidR="00E36B1D">
        <w:t>100 million to &lt; $200</w:t>
      </w:r>
      <w:r w:rsidR="006A536D">
        <w:t xml:space="preserve"> million </w:t>
      </w:r>
      <w:r w:rsidR="00DD28DB">
        <w:t>over</w:t>
      </w:r>
      <w:r w:rsidR="006A536D">
        <w:t xml:space="preserve"> 6 year</w:t>
      </w:r>
      <w:r w:rsidR="00DD28DB">
        <w:t>s</w:t>
      </w:r>
      <w:r w:rsidRPr="00010E4B">
        <w:t>.</w:t>
      </w:r>
      <w:bookmarkEnd w:id="107"/>
      <w:r w:rsidR="004F4C99">
        <w:t xml:space="preserve"> </w:t>
      </w:r>
    </w:p>
    <w:p w14:paraId="3C7814C8" w14:textId="7E955465" w:rsidR="002F03F5" w:rsidRPr="00010E4B" w:rsidRDefault="008F23FF" w:rsidP="00921FF3">
      <w:pPr>
        <w:pStyle w:val="3-BodyText"/>
        <w:rPr>
          <w:color w:val="3366FF"/>
        </w:rPr>
      </w:pPr>
      <w:r w:rsidRPr="00010E4B">
        <w:t>The evaluation and the ESCs considered there remained uncertainty with the selpercatinib treatment duration expected in clinical practice (see paragraph</w:t>
      </w:r>
      <w:r w:rsidR="007E3114">
        <w:t xml:space="preserve"> </w:t>
      </w:r>
      <w:r w:rsidRPr="00010E4B">
        <w:fldChar w:fldCharType="begin"/>
      </w:r>
      <w:r w:rsidRPr="00010E4B">
        <w:instrText xml:space="preserve"> REF _Ref216641400 \r \r \h </w:instrText>
      </w:r>
      <w:r w:rsidR="00010E4B" w:rsidRPr="00010E4B">
        <w:instrText xml:space="preserve"> \* MERGEFORMAT </w:instrText>
      </w:r>
      <w:r w:rsidRPr="00010E4B">
        <w:fldChar w:fldCharType="separate"/>
      </w:r>
      <w:r w:rsidR="001617F9">
        <w:t>6.60</w:t>
      </w:r>
      <w:r w:rsidRPr="00010E4B">
        <w:fldChar w:fldCharType="end"/>
      </w:r>
      <w:r w:rsidRPr="00010E4B">
        <w:t xml:space="preserve">). </w:t>
      </w:r>
    </w:p>
    <w:p w14:paraId="3C7814CA" w14:textId="77777777" w:rsidR="002F03F5" w:rsidRPr="009F2AA4" w:rsidRDefault="008F23FF" w:rsidP="00921FF3">
      <w:pPr>
        <w:pStyle w:val="PBACESHeading2"/>
        <w:rPr>
          <w:rFonts w:ascii="Calibri" w:hAnsi="Calibri" w:cs="Calibri"/>
        </w:rPr>
      </w:pPr>
      <w:bookmarkStart w:id="108" w:name="_Toc219898334"/>
      <w:bookmarkStart w:id="109" w:name="_Toc413139285"/>
      <w:r w:rsidRPr="009F2AA4">
        <w:rPr>
          <w:rFonts w:ascii="Calibri" w:hAnsi="Calibri" w:cs="Calibri"/>
        </w:rPr>
        <w:t>Quality use of medicines</w:t>
      </w:r>
      <w:bookmarkEnd w:id="108"/>
      <w:bookmarkEnd w:id="109"/>
    </w:p>
    <w:p w14:paraId="3C7814CB" w14:textId="77777777" w:rsidR="002F03F5" w:rsidRPr="009F2AA4" w:rsidRDefault="008F23FF" w:rsidP="00921FF3">
      <w:pPr>
        <w:pStyle w:val="3-BodyText"/>
        <w:rPr>
          <w:color w:val="3366FF"/>
        </w:rPr>
      </w:pPr>
      <w:r w:rsidRPr="009F2AA4">
        <w:t xml:space="preserve">The Sponsor proposed ongoing educational activities for clinicians to support the quality use of medicines for selpercatinib. Any new safety concerns would be addressed via inclusion in the Australian PI and the TGA would be notified of any new safety signals through the PSUR. The submission stated there would be routine </w:t>
      </w:r>
      <w:r w:rsidRPr="009F2AA4">
        <w:lastRenderedPageBreak/>
        <w:t xml:space="preserve">pharmacovigilance involving ongoing review of AE reports, including those originating from Australia. </w:t>
      </w:r>
    </w:p>
    <w:p w14:paraId="3C7814CC" w14:textId="77777777" w:rsidR="002F03F5" w:rsidRPr="009F2AA4" w:rsidRDefault="008F23FF" w:rsidP="00921FF3">
      <w:pPr>
        <w:pStyle w:val="PBACESHeading2"/>
        <w:rPr>
          <w:rFonts w:ascii="Calibri" w:hAnsi="Calibri" w:cs="Calibri"/>
        </w:rPr>
      </w:pPr>
      <w:bookmarkStart w:id="110" w:name="_Toc413139286"/>
      <w:bookmarkStart w:id="111" w:name="_Toc219898335"/>
      <w:r w:rsidRPr="009F2AA4">
        <w:rPr>
          <w:rFonts w:ascii="Calibri" w:hAnsi="Calibri" w:cs="Calibri"/>
        </w:rPr>
        <w:t>Financial management – risk sharing arrangements</w:t>
      </w:r>
      <w:bookmarkEnd w:id="110"/>
      <w:bookmarkEnd w:id="111"/>
    </w:p>
    <w:p w14:paraId="3C7814CD" w14:textId="3E117DEC" w:rsidR="002F03F5" w:rsidRPr="009F2AA4" w:rsidRDefault="008F23FF" w:rsidP="00921FF3">
      <w:pPr>
        <w:pStyle w:val="3-BodyText"/>
      </w:pPr>
      <w:r w:rsidRPr="009F2AA4">
        <w:t xml:space="preserve">No </w:t>
      </w:r>
      <w:r w:rsidR="00532DBE" w:rsidRPr="009F2AA4">
        <w:t xml:space="preserve">risk sharing arrangement </w:t>
      </w:r>
      <w:r w:rsidR="00532DBE">
        <w:t>(</w:t>
      </w:r>
      <w:r w:rsidRPr="009F2AA4">
        <w:t>RSA</w:t>
      </w:r>
      <w:r w:rsidR="00532DBE">
        <w:t>)</w:t>
      </w:r>
      <w:r w:rsidRPr="009F2AA4">
        <w:t xml:space="preserve"> was proposed</w:t>
      </w:r>
      <w:r w:rsidR="00BF389F">
        <w:t xml:space="preserve"> in the submission</w:t>
      </w:r>
      <w:r w:rsidRPr="009F2AA4">
        <w:t xml:space="preserve">. At the July 2024 PBAC Meeting, it was noted that due to uncertainty in the treatment duration of selpercatinib “the PBAC considered a risk sharing arrangement with expenditure caps based on the financial estimates (incorporating a revised price) with [redacted]% rebate over the caps would be reasonable to manage the risk that the duration of treatment is longer than estimated” (paragraph 7.14, selpercatinib NSCLC </w:t>
      </w:r>
      <w:r w:rsidR="00245BE5">
        <w:t>Public Summary Document [</w:t>
      </w:r>
      <w:r w:rsidRPr="009F2AA4">
        <w:t>PSD</w:t>
      </w:r>
      <w:r w:rsidR="00245BE5">
        <w:t>]</w:t>
      </w:r>
      <w:r w:rsidRPr="009F2AA4">
        <w:t>, July 2024 PBAC Meeting). Noting that the number of patients eligible for selpercatinib as well as its treatment duration in clinical practice were key uncertainties in the submission, the evaluation suggested that an RSA may be considered.</w:t>
      </w:r>
    </w:p>
    <w:p w14:paraId="1A72510B" w14:textId="0A27801E" w:rsidR="00E34538" w:rsidRPr="009F2AA4" w:rsidRDefault="00E34538" w:rsidP="00921FF3">
      <w:pPr>
        <w:pStyle w:val="3-BodyText"/>
      </w:pPr>
      <w:r>
        <w:t>The Pre</w:t>
      </w:r>
      <w:r w:rsidR="000D4A33">
        <w:t xml:space="preserve">-PBAC response indicated </w:t>
      </w:r>
      <w:r w:rsidR="002B199F">
        <w:t>that</w:t>
      </w:r>
      <w:r w:rsidR="000D4A33">
        <w:t xml:space="preserve"> </w:t>
      </w:r>
      <w:r w:rsidR="002B199F">
        <w:t>‘</w:t>
      </w:r>
      <w:r w:rsidR="002B199F" w:rsidRPr="002B199F">
        <w:t>Risk of treatment beyond progression may be managed through a risk-share agreement (≤</w:t>
      </w:r>
      <w:r w:rsidR="00B73859" w:rsidRPr="00B73859">
        <w:rPr>
          <w:sz w:val="2"/>
          <w:highlight w:val="black"/>
        </w:rPr>
        <w:t>redacted content</w:t>
      </w:r>
      <w:r w:rsidR="002B199F" w:rsidRPr="002B199F">
        <w:t>% rebate)</w:t>
      </w:r>
      <w:r w:rsidR="002B199F">
        <w:t>’</w:t>
      </w:r>
      <w:r w:rsidR="002B199F" w:rsidRPr="002B199F">
        <w:t>.</w:t>
      </w:r>
    </w:p>
    <w:p w14:paraId="55EBC51C" w14:textId="7BF2F376" w:rsidR="00034995" w:rsidRPr="006B2881" w:rsidRDefault="009067E4" w:rsidP="00921FF3">
      <w:pPr>
        <w:pStyle w:val="3-BodyText"/>
        <w:numPr>
          <w:ilvl w:val="0"/>
          <w:numId w:val="0"/>
        </w:numPr>
        <w:spacing w:before="0" w:after="120"/>
        <w:rPr>
          <w:i/>
          <w:iCs/>
        </w:rPr>
      </w:pPr>
      <w:r w:rsidRPr="009F2AA4">
        <w:rPr>
          <w:i/>
          <w:iCs/>
        </w:rPr>
        <w:t>For more detail on PBAC’s view, see section 7 PBAC outcome.</w:t>
      </w:r>
    </w:p>
    <w:p w14:paraId="78815A2D" w14:textId="77777777" w:rsidR="00034995" w:rsidRPr="009F2AA4" w:rsidRDefault="00034995" w:rsidP="00921FF3"/>
    <w:p w14:paraId="156D55BB" w14:textId="48B7680C" w:rsidR="00034995" w:rsidRPr="009F2AA4" w:rsidRDefault="00034995" w:rsidP="00921FF3">
      <w:pPr>
        <w:pStyle w:val="PBACESHeading1"/>
        <w:spacing w:before="160" w:after="160"/>
        <w:rPr>
          <w:b/>
          <w:bCs/>
        </w:rPr>
      </w:pPr>
      <w:bookmarkStart w:id="112" w:name="_Ref228373877"/>
      <w:bookmarkStart w:id="113" w:name="_Hlk76381249"/>
      <w:r w:rsidRPr="009F2AA4">
        <w:rPr>
          <w:b/>
          <w:bCs/>
        </w:rPr>
        <w:t>PBAC Outcome</w:t>
      </w:r>
      <w:bookmarkEnd w:id="112"/>
    </w:p>
    <w:p w14:paraId="18AA2C45" w14:textId="1EC01044" w:rsidR="00C876EA" w:rsidRPr="000F11C6" w:rsidRDefault="0025504A" w:rsidP="00921FF3">
      <w:pPr>
        <w:pStyle w:val="3-BodyText"/>
      </w:pPr>
      <w:bookmarkStart w:id="114" w:name="_Hlk111543188"/>
      <w:r w:rsidRPr="000F11C6">
        <w:rPr>
          <w:snapToGrid w:val="0"/>
        </w:rPr>
        <w:t>The PBAC deferred making a recommendation for selpercatinib for the treatment of patients with unresectable and progressive locally advanced or metastatic medullary thyroid cancer (MTC) and evidence of</w:t>
      </w:r>
      <w:r w:rsidR="00923547" w:rsidRPr="000F11C6">
        <w:rPr>
          <w:i/>
          <w:snapToGrid w:val="0"/>
        </w:rPr>
        <w:t xml:space="preserve"> RET </w:t>
      </w:r>
      <w:r w:rsidRPr="000F11C6">
        <w:rPr>
          <w:snapToGrid w:val="0"/>
        </w:rPr>
        <w:t>variants. The PBAC deferred with a mind to recommend, pending MSAC consideration of the codependent test for</w:t>
      </w:r>
      <w:r w:rsidR="00923547" w:rsidRPr="000F11C6">
        <w:rPr>
          <w:i/>
          <w:snapToGrid w:val="0"/>
        </w:rPr>
        <w:t xml:space="preserve"> RET </w:t>
      </w:r>
      <w:r w:rsidRPr="000F11C6">
        <w:rPr>
          <w:snapToGrid w:val="0"/>
        </w:rPr>
        <w:t xml:space="preserve">variants. The PBAC </w:t>
      </w:r>
      <w:r w:rsidR="00211DA1" w:rsidRPr="000F11C6">
        <w:rPr>
          <w:snapToGrid w:val="0"/>
        </w:rPr>
        <w:t>considered</w:t>
      </w:r>
      <w:r w:rsidRPr="000F11C6">
        <w:rPr>
          <w:snapToGrid w:val="0"/>
        </w:rPr>
        <w:t xml:space="preserve"> there was a high clinical need for patients with progressive MTC</w:t>
      </w:r>
      <w:r w:rsidR="0092467C">
        <w:rPr>
          <w:snapToGrid w:val="0"/>
        </w:rPr>
        <w:t xml:space="preserve"> not suited to local therapy</w:t>
      </w:r>
      <w:r w:rsidRPr="000F11C6">
        <w:rPr>
          <w:snapToGrid w:val="0"/>
        </w:rPr>
        <w:t xml:space="preserve">, </w:t>
      </w:r>
      <w:r w:rsidR="00211DA1" w:rsidRPr="000F11C6">
        <w:rPr>
          <w:snapToGrid w:val="0"/>
        </w:rPr>
        <w:t xml:space="preserve">as there are no PBS-listed treatment options for this aggressive and rare disease. </w:t>
      </w:r>
      <w:r w:rsidR="0042687A" w:rsidRPr="000F11C6">
        <w:rPr>
          <w:snapToGrid w:val="0"/>
        </w:rPr>
        <w:t xml:space="preserve">The PBAC </w:t>
      </w:r>
      <w:r w:rsidR="00967943">
        <w:rPr>
          <w:snapToGrid w:val="0"/>
        </w:rPr>
        <w:t>accepted</w:t>
      </w:r>
      <w:r w:rsidR="00967943" w:rsidRPr="000F11C6">
        <w:rPr>
          <w:snapToGrid w:val="0"/>
        </w:rPr>
        <w:t xml:space="preserve"> </w:t>
      </w:r>
      <w:r w:rsidR="0042687A" w:rsidRPr="000F11C6">
        <w:rPr>
          <w:snapToGrid w:val="0"/>
        </w:rPr>
        <w:t xml:space="preserve">the significant progression free survival </w:t>
      </w:r>
      <w:r w:rsidR="005E7821" w:rsidRPr="000F11C6">
        <w:rPr>
          <w:snapToGrid w:val="0"/>
        </w:rPr>
        <w:t xml:space="preserve">(PFS) </w:t>
      </w:r>
      <w:r w:rsidR="0042687A" w:rsidRPr="000F11C6">
        <w:rPr>
          <w:snapToGrid w:val="0"/>
        </w:rPr>
        <w:t xml:space="preserve">benefit observed for selpercatinib </w:t>
      </w:r>
      <w:r w:rsidR="0046121A">
        <w:rPr>
          <w:snapToGrid w:val="0"/>
        </w:rPr>
        <w:t xml:space="preserve">compared to </w:t>
      </w:r>
      <w:r w:rsidR="00967943">
        <w:rPr>
          <w:snapToGrid w:val="0"/>
        </w:rPr>
        <w:t>best supportive care</w:t>
      </w:r>
      <w:r w:rsidR="0046121A">
        <w:rPr>
          <w:snapToGrid w:val="0"/>
        </w:rPr>
        <w:t xml:space="preserve"> </w:t>
      </w:r>
      <w:r w:rsidR="0042687A" w:rsidRPr="000F11C6">
        <w:rPr>
          <w:snapToGrid w:val="0"/>
        </w:rPr>
        <w:t>but</w:t>
      </w:r>
      <w:r w:rsidR="00967943">
        <w:rPr>
          <w:snapToGrid w:val="0"/>
        </w:rPr>
        <w:t xml:space="preserve"> considered</w:t>
      </w:r>
      <w:r w:rsidR="0042687A" w:rsidRPr="000F11C6">
        <w:rPr>
          <w:snapToGrid w:val="0"/>
        </w:rPr>
        <w:t xml:space="preserve"> the magnitude of the overall survival (OS) benefit</w:t>
      </w:r>
      <w:r w:rsidR="00E7604D">
        <w:rPr>
          <w:snapToGrid w:val="0"/>
        </w:rPr>
        <w:t xml:space="preserve"> </w:t>
      </w:r>
      <w:r w:rsidR="0042687A" w:rsidRPr="000F11C6">
        <w:rPr>
          <w:snapToGrid w:val="0"/>
        </w:rPr>
        <w:t xml:space="preserve">was highly uncertain. </w:t>
      </w:r>
      <w:r w:rsidR="00CE7D7A" w:rsidRPr="000F11C6">
        <w:t>Th</w:t>
      </w:r>
      <w:r w:rsidR="001D1348" w:rsidRPr="000F11C6">
        <w:t>is uncertainty flowed through to the economic evaluation</w:t>
      </w:r>
      <w:r w:rsidR="0046121A">
        <w:t>. T</w:t>
      </w:r>
      <w:r w:rsidR="00346FAD" w:rsidRPr="000F11C6">
        <w:t xml:space="preserve">he PBAC considered </w:t>
      </w:r>
      <w:r w:rsidR="001B23E4" w:rsidRPr="000F11C6">
        <w:t xml:space="preserve">that </w:t>
      </w:r>
      <w:r w:rsidR="00346FAD" w:rsidRPr="000F11C6">
        <w:t xml:space="preserve">the (corrected) ICER presented in the submission was </w:t>
      </w:r>
      <w:r w:rsidR="00434B6F" w:rsidRPr="000F11C6">
        <w:t xml:space="preserve">highly uncertain and high, </w:t>
      </w:r>
      <w:r w:rsidR="007B72E1" w:rsidRPr="000F11C6">
        <w:t>however</w:t>
      </w:r>
      <w:r w:rsidR="00434B6F" w:rsidRPr="000F11C6">
        <w:t xml:space="preserve"> </w:t>
      </w:r>
      <w:r w:rsidR="00004694" w:rsidRPr="000F11C6">
        <w:rPr>
          <w:snapToGrid w:val="0"/>
        </w:rPr>
        <w:t>selpercatinib would be cost effective with a price reduction</w:t>
      </w:r>
      <w:r w:rsidR="001278F7" w:rsidRPr="000F11C6" w:rsidDel="00A1791C">
        <w:rPr>
          <w:snapToGrid w:val="0"/>
        </w:rPr>
        <w:t>.</w:t>
      </w:r>
      <w:r w:rsidR="00FF03A0" w:rsidRPr="000F11C6">
        <w:rPr>
          <w:snapToGrid w:val="0"/>
        </w:rPr>
        <w:t xml:space="preserve"> </w:t>
      </w:r>
      <w:r w:rsidR="00A72F65" w:rsidRPr="000F11C6">
        <w:rPr>
          <w:snapToGrid w:val="0"/>
        </w:rPr>
        <w:t>The PBAC considered the</w:t>
      </w:r>
      <w:r w:rsidR="00841C72" w:rsidRPr="000F11C6">
        <w:rPr>
          <w:snapToGrid w:val="0"/>
        </w:rPr>
        <w:t xml:space="preserve"> </w:t>
      </w:r>
      <w:r w:rsidR="00040A13" w:rsidRPr="000F11C6">
        <w:rPr>
          <w:snapToGrid w:val="0"/>
        </w:rPr>
        <w:t xml:space="preserve">financial </w:t>
      </w:r>
      <w:r w:rsidR="00841C72" w:rsidRPr="000F11C6">
        <w:rPr>
          <w:snapToGrid w:val="0"/>
        </w:rPr>
        <w:t>estimates</w:t>
      </w:r>
      <w:r w:rsidR="00026B40" w:rsidRPr="000F11C6">
        <w:rPr>
          <w:snapToGrid w:val="0"/>
        </w:rPr>
        <w:t xml:space="preserve"> presented in the submission required some amendments</w:t>
      </w:r>
      <w:r w:rsidR="00A72F65" w:rsidRPr="000F11C6">
        <w:rPr>
          <w:snapToGrid w:val="0"/>
        </w:rPr>
        <w:t xml:space="preserve">. </w:t>
      </w:r>
      <w:r w:rsidR="00987CDE" w:rsidRPr="000F11C6">
        <w:rPr>
          <w:snapToGrid w:val="0"/>
        </w:rPr>
        <w:t xml:space="preserve">The PBAC recommended a risk sharing arrangement (RSA) would be appropriate to manage </w:t>
      </w:r>
      <w:r w:rsidR="008C5AA0">
        <w:rPr>
          <w:snapToGrid w:val="0"/>
        </w:rPr>
        <w:t xml:space="preserve">the risk of initiation </w:t>
      </w:r>
      <w:r w:rsidR="00987CDE" w:rsidRPr="000F11C6">
        <w:rPr>
          <w:snapToGrid w:val="0"/>
        </w:rPr>
        <w:t>in patients with indolent disease</w:t>
      </w:r>
      <w:r w:rsidR="008C5AA0">
        <w:rPr>
          <w:snapToGrid w:val="0"/>
        </w:rPr>
        <w:t xml:space="preserve"> that had not progressed</w:t>
      </w:r>
      <w:r w:rsidR="00987CDE" w:rsidRPr="000F11C6">
        <w:rPr>
          <w:snapToGrid w:val="0"/>
        </w:rPr>
        <w:t xml:space="preserve"> </w:t>
      </w:r>
      <w:r w:rsidR="008C5AA0">
        <w:rPr>
          <w:snapToGrid w:val="0"/>
        </w:rPr>
        <w:t xml:space="preserve">and the uncertainties regarding treatment duration, </w:t>
      </w:r>
      <w:r w:rsidR="00987CDE" w:rsidRPr="000F11C6">
        <w:rPr>
          <w:snapToGrid w:val="0"/>
        </w:rPr>
        <w:t>with a</w:t>
      </w:r>
      <w:r w:rsidR="00FF6618" w:rsidRPr="00195160">
        <w:t xml:space="preserve"> rebate of at least</w:t>
      </w:r>
      <w:r w:rsidR="00987CDE" w:rsidRPr="000F11C6">
        <w:rPr>
          <w:snapToGrid w:val="0"/>
        </w:rPr>
        <w:t xml:space="preserve"> </w:t>
      </w:r>
      <w:r w:rsidR="00B73859" w:rsidRPr="00B73859">
        <w:rPr>
          <w:snapToGrid w:val="0"/>
          <w:sz w:val="2"/>
          <w:highlight w:val="black"/>
        </w:rPr>
        <w:t>redacted content</w:t>
      </w:r>
      <w:r w:rsidR="00987CDE" w:rsidRPr="000F11C6">
        <w:rPr>
          <w:snapToGrid w:val="0"/>
        </w:rPr>
        <w:t>% above expenditure caps.</w:t>
      </w:r>
    </w:p>
    <w:bookmarkEnd w:id="114"/>
    <w:p w14:paraId="12DDCBF1" w14:textId="53834EC2" w:rsidR="00251AFA" w:rsidRPr="00C06DAD" w:rsidRDefault="00A83713" w:rsidP="00921FF3">
      <w:pPr>
        <w:pStyle w:val="3-BodyText"/>
        <w:rPr>
          <w:snapToGrid w:val="0"/>
          <w:lang w:val="en-GB"/>
        </w:rPr>
      </w:pPr>
      <w:r w:rsidRPr="00C06DAD">
        <w:rPr>
          <w:snapToGrid w:val="0"/>
        </w:rPr>
        <w:t xml:space="preserve">The PBAC acknowledged and welcomed inputs received </w:t>
      </w:r>
      <w:r w:rsidR="002755D1" w:rsidRPr="00C06DAD">
        <w:rPr>
          <w:snapToGrid w:val="0"/>
        </w:rPr>
        <w:t xml:space="preserve">from individuals, health care </w:t>
      </w:r>
      <w:r w:rsidR="00505FF5" w:rsidRPr="00C06DAD">
        <w:rPr>
          <w:snapToGrid w:val="0"/>
        </w:rPr>
        <w:t>professionals</w:t>
      </w:r>
      <w:r w:rsidR="002755D1" w:rsidRPr="00C06DAD">
        <w:rPr>
          <w:snapToGrid w:val="0"/>
        </w:rPr>
        <w:t xml:space="preserve">, and </w:t>
      </w:r>
      <w:r w:rsidR="00505FF5" w:rsidRPr="00C06DAD">
        <w:rPr>
          <w:snapToGrid w:val="0"/>
        </w:rPr>
        <w:t xml:space="preserve">Rare Cancers Australia which highlighted the debilitating impacts of progressive MTC including significant emotional, physical and financial strain, and </w:t>
      </w:r>
      <w:r w:rsidR="00505FF5" w:rsidRPr="00C06DAD">
        <w:rPr>
          <w:snapToGrid w:val="0"/>
        </w:rPr>
        <w:lastRenderedPageBreak/>
        <w:t xml:space="preserve">limited funded treatment options (see paragraphs </w:t>
      </w:r>
      <w:r w:rsidR="00505FF5" w:rsidRPr="00C06DAD">
        <w:rPr>
          <w:snapToGrid w:val="0"/>
        </w:rPr>
        <w:fldChar w:fldCharType="begin"/>
      </w:r>
      <w:r w:rsidR="00505FF5" w:rsidRPr="00C06DAD">
        <w:rPr>
          <w:snapToGrid w:val="0"/>
        </w:rPr>
        <w:instrText xml:space="preserve"> REF _Ref224906211 \r \h </w:instrText>
      </w:r>
      <w:r w:rsidR="00C06DAD">
        <w:rPr>
          <w:snapToGrid w:val="0"/>
        </w:rPr>
        <w:instrText xml:space="preserve"> \* MERGEFORMAT </w:instrText>
      </w:r>
      <w:r w:rsidR="00505FF5" w:rsidRPr="00C06DAD">
        <w:rPr>
          <w:snapToGrid w:val="0"/>
        </w:rPr>
      </w:r>
      <w:r w:rsidR="00505FF5" w:rsidRPr="00C06DAD">
        <w:rPr>
          <w:snapToGrid w:val="0"/>
        </w:rPr>
        <w:fldChar w:fldCharType="separate"/>
      </w:r>
      <w:r w:rsidR="001617F9">
        <w:rPr>
          <w:snapToGrid w:val="0"/>
        </w:rPr>
        <w:t>6.2</w:t>
      </w:r>
      <w:r w:rsidR="00505FF5" w:rsidRPr="00C06DAD">
        <w:rPr>
          <w:snapToGrid w:val="0"/>
        </w:rPr>
        <w:fldChar w:fldCharType="end"/>
      </w:r>
      <w:r w:rsidR="00505FF5" w:rsidRPr="00C06DAD">
        <w:rPr>
          <w:snapToGrid w:val="0"/>
        </w:rPr>
        <w:t xml:space="preserve"> - </w:t>
      </w:r>
      <w:r w:rsidR="00505FF5" w:rsidRPr="00C06DAD">
        <w:rPr>
          <w:snapToGrid w:val="0"/>
        </w:rPr>
        <w:fldChar w:fldCharType="begin"/>
      </w:r>
      <w:r w:rsidR="00505FF5" w:rsidRPr="00C06DAD">
        <w:rPr>
          <w:snapToGrid w:val="0"/>
        </w:rPr>
        <w:instrText xml:space="preserve"> REF _Ref224906212 \r \h </w:instrText>
      </w:r>
      <w:r w:rsidR="00C06DAD">
        <w:rPr>
          <w:snapToGrid w:val="0"/>
        </w:rPr>
        <w:instrText xml:space="preserve"> \* MERGEFORMAT </w:instrText>
      </w:r>
      <w:r w:rsidR="00505FF5" w:rsidRPr="00C06DAD">
        <w:rPr>
          <w:snapToGrid w:val="0"/>
        </w:rPr>
      </w:r>
      <w:r w:rsidR="00505FF5" w:rsidRPr="00C06DAD">
        <w:rPr>
          <w:snapToGrid w:val="0"/>
        </w:rPr>
        <w:fldChar w:fldCharType="separate"/>
      </w:r>
      <w:r w:rsidR="001617F9">
        <w:rPr>
          <w:snapToGrid w:val="0"/>
        </w:rPr>
        <w:t>6.3</w:t>
      </w:r>
      <w:r w:rsidR="00505FF5" w:rsidRPr="00C06DAD">
        <w:rPr>
          <w:snapToGrid w:val="0"/>
        </w:rPr>
        <w:fldChar w:fldCharType="end"/>
      </w:r>
      <w:r w:rsidR="00505FF5" w:rsidRPr="00C06DAD">
        <w:rPr>
          <w:snapToGrid w:val="0"/>
        </w:rPr>
        <w:t>).</w:t>
      </w:r>
      <w:r w:rsidR="00C06DAD" w:rsidRPr="00C06DAD">
        <w:rPr>
          <w:snapToGrid w:val="0"/>
        </w:rPr>
        <w:t xml:space="preserve"> The PBAC noted that o</w:t>
      </w:r>
      <w:proofErr w:type="spellStart"/>
      <w:r w:rsidR="00251AFA" w:rsidRPr="00C06DAD">
        <w:rPr>
          <w:snapToGrid w:val="0"/>
          <w:lang w:val="en-GB"/>
        </w:rPr>
        <w:t>ral</w:t>
      </w:r>
      <w:proofErr w:type="spellEnd"/>
      <w:r w:rsidR="00251AFA" w:rsidRPr="00C06DAD">
        <w:rPr>
          <w:snapToGrid w:val="0"/>
          <w:lang w:val="en-GB"/>
        </w:rPr>
        <w:t xml:space="preserve"> therapy with PBS subsidy would </w:t>
      </w:r>
      <w:r w:rsidR="00095D8F">
        <w:rPr>
          <w:snapToGrid w:val="0"/>
          <w:lang w:val="en-GB"/>
        </w:rPr>
        <w:t>support</w:t>
      </w:r>
      <w:r w:rsidR="00251AFA" w:rsidRPr="00C06DAD">
        <w:rPr>
          <w:snapToGrid w:val="0"/>
          <w:lang w:val="en-GB"/>
        </w:rPr>
        <w:t xml:space="preserve"> access for rural and regional patients</w:t>
      </w:r>
      <w:r w:rsidR="00C06DAD">
        <w:rPr>
          <w:snapToGrid w:val="0"/>
          <w:lang w:val="en-GB"/>
        </w:rPr>
        <w:t xml:space="preserve">. </w:t>
      </w:r>
    </w:p>
    <w:p w14:paraId="09815F9B" w14:textId="38446188" w:rsidR="00034995" w:rsidRPr="009F2AA4" w:rsidRDefault="00B839CD" w:rsidP="00921FF3">
      <w:pPr>
        <w:pStyle w:val="3-BodyText"/>
        <w:rPr>
          <w:snapToGrid w:val="0"/>
        </w:rPr>
      </w:pPr>
      <w:r>
        <w:rPr>
          <w:snapToGrid w:val="0"/>
        </w:rPr>
        <w:t xml:space="preserve">The PBAC </w:t>
      </w:r>
      <w:r w:rsidR="00F835C4">
        <w:rPr>
          <w:snapToGrid w:val="0"/>
        </w:rPr>
        <w:t>recommended that the restriction</w:t>
      </w:r>
      <w:r w:rsidR="00CA349D">
        <w:rPr>
          <w:snapToGrid w:val="0"/>
        </w:rPr>
        <w:t>s</w:t>
      </w:r>
      <w:r w:rsidR="00F835C4">
        <w:rPr>
          <w:snapToGrid w:val="0"/>
        </w:rPr>
        <w:t xml:space="preserve"> should</w:t>
      </w:r>
      <w:r w:rsidR="00034995" w:rsidRPr="009F2AA4">
        <w:rPr>
          <w:snapToGrid w:val="0"/>
        </w:rPr>
        <w:t>:</w:t>
      </w:r>
    </w:p>
    <w:p w14:paraId="55DFC81F" w14:textId="66661678" w:rsidR="009C6759" w:rsidRDefault="002772E8" w:rsidP="00921FF3">
      <w:pPr>
        <w:numPr>
          <w:ilvl w:val="0"/>
          <w:numId w:val="19"/>
        </w:numPr>
        <w:spacing w:before="0" w:after="120"/>
        <w:ind w:left="1134" w:hanging="283"/>
        <w:rPr>
          <w:rFonts w:ascii="Calibri" w:eastAsia="Times New Roman" w:hAnsi="Calibri" w:cs="Calibri"/>
          <w:iCs/>
          <w:szCs w:val="24"/>
          <w:lang w:eastAsia="en-AU"/>
        </w:rPr>
      </w:pPr>
      <w:r>
        <w:rPr>
          <w:rFonts w:cs="Arial"/>
          <w:snapToGrid w:val="0"/>
        </w:rPr>
        <w:t xml:space="preserve">Include a clinical criterion </w:t>
      </w:r>
      <w:r w:rsidR="00BB1D99">
        <w:rPr>
          <w:rFonts w:cs="Arial"/>
          <w:snapToGrid w:val="0"/>
        </w:rPr>
        <w:t xml:space="preserve">that </w:t>
      </w:r>
      <w:r w:rsidR="008276D1" w:rsidRPr="00837D76">
        <w:rPr>
          <w:rFonts w:cs="Arial"/>
          <w:snapToGrid w:val="0"/>
        </w:rPr>
        <w:t xml:space="preserve">patients </w:t>
      </w:r>
      <w:r w:rsidR="00BB1D99">
        <w:rPr>
          <w:rFonts w:cs="Arial"/>
          <w:snapToGrid w:val="0"/>
        </w:rPr>
        <w:t>must have</w:t>
      </w:r>
      <w:r w:rsidR="008276D1" w:rsidRPr="00837D76">
        <w:rPr>
          <w:rFonts w:cs="Arial"/>
          <w:snapToGrid w:val="0"/>
        </w:rPr>
        <w:t xml:space="preserve"> unresectable </w:t>
      </w:r>
      <w:r w:rsidR="008F259A">
        <w:rPr>
          <w:rFonts w:cs="Arial"/>
          <w:snapToGrid w:val="0"/>
        </w:rPr>
        <w:t xml:space="preserve">disease with </w:t>
      </w:r>
      <w:r w:rsidR="007F7F9F">
        <w:rPr>
          <w:rFonts w:cs="Arial"/>
          <w:snapToGrid w:val="0"/>
        </w:rPr>
        <w:t>documented disease progression</w:t>
      </w:r>
      <w:r w:rsidR="00B42024">
        <w:rPr>
          <w:rFonts w:cs="Arial"/>
          <w:snapToGrid w:val="0"/>
        </w:rPr>
        <w:t>,</w:t>
      </w:r>
      <w:r w:rsidR="007F7F9F">
        <w:rPr>
          <w:rFonts w:cs="Arial"/>
          <w:snapToGrid w:val="0"/>
        </w:rPr>
        <w:t xml:space="preserve"> </w:t>
      </w:r>
      <w:r w:rsidR="00BC47F7">
        <w:rPr>
          <w:rFonts w:cs="Arial"/>
          <w:snapToGrid w:val="0"/>
        </w:rPr>
        <w:t>as per the</w:t>
      </w:r>
      <w:r w:rsidR="00275F65">
        <w:rPr>
          <w:rFonts w:cs="Arial"/>
          <w:snapToGrid w:val="0"/>
        </w:rPr>
        <w:t xml:space="preserve"> LIBRETTO-531</w:t>
      </w:r>
      <w:r w:rsidR="00BC47F7">
        <w:rPr>
          <w:rFonts w:cs="Arial"/>
          <w:snapToGrid w:val="0"/>
        </w:rPr>
        <w:t xml:space="preserve"> trial</w:t>
      </w:r>
      <w:r w:rsidR="008276D1" w:rsidRPr="00837D76">
        <w:rPr>
          <w:rFonts w:cs="Arial"/>
          <w:snapToGrid w:val="0"/>
        </w:rPr>
        <w:t>, as clarified in the PSCR</w:t>
      </w:r>
      <w:r w:rsidR="00410980">
        <w:rPr>
          <w:rFonts w:cs="Arial"/>
          <w:snapToGrid w:val="0"/>
        </w:rPr>
        <w:t xml:space="preserve"> (see paragraph </w:t>
      </w:r>
      <w:r w:rsidR="00410980">
        <w:rPr>
          <w:rFonts w:cs="Arial"/>
          <w:snapToGrid w:val="0"/>
          <w:lang w:eastAsia="en-AU"/>
        </w:rPr>
        <w:fldChar w:fldCharType="begin"/>
      </w:r>
      <w:r w:rsidR="00410980">
        <w:rPr>
          <w:rFonts w:cs="Arial"/>
          <w:snapToGrid w:val="0"/>
        </w:rPr>
        <w:instrText xml:space="preserve"> REF _Ref226875007 \r \h </w:instrText>
      </w:r>
      <w:r w:rsidR="00410980">
        <w:rPr>
          <w:rFonts w:cs="Arial"/>
          <w:snapToGrid w:val="0"/>
          <w:lang w:eastAsia="en-AU"/>
        </w:rPr>
      </w:r>
      <w:r w:rsidR="00410980">
        <w:rPr>
          <w:rFonts w:cs="Arial"/>
          <w:snapToGrid w:val="0"/>
          <w:lang w:eastAsia="en-AU"/>
        </w:rPr>
        <w:fldChar w:fldCharType="separate"/>
      </w:r>
      <w:r w:rsidR="001617F9">
        <w:rPr>
          <w:rFonts w:cs="Arial"/>
          <w:snapToGrid w:val="0"/>
        </w:rPr>
        <w:t>3.4</w:t>
      </w:r>
      <w:r w:rsidR="00410980">
        <w:rPr>
          <w:rFonts w:cs="Arial"/>
          <w:snapToGrid w:val="0"/>
          <w:lang w:eastAsia="en-AU"/>
        </w:rPr>
        <w:fldChar w:fldCharType="end"/>
      </w:r>
      <w:r w:rsidR="00410980">
        <w:rPr>
          <w:rFonts w:cs="Arial"/>
          <w:snapToGrid w:val="0"/>
        </w:rPr>
        <w:t>)</w:t>
      </w:r>
      <w:r w:rsidR="008276D1" w:rsidRPr="00837D76">
        <w:rPr>
          <w:rFonts w:cs="Arial"/>
          <w:snapToGrid w:val="0"/>
        </w:rPr>
        <w:t xml:space="preserve">. </w:t>
      </w:r>
      <w:r w:rsidR="00275F65">
        <w:rPr>
          <w:rFonts w:ascii="Calibri" w:eastAsia="Times New Roman" w:hAnsi="Calibri" w:cs="Calibri"/>
          <w:iCs/>
          <w:szCs w:val="24"/>
          <w:lang w:eastAsia="en-AU"/>
        </w:rPr>
        <w:t>S</w:t>
      </w:r>
      <w:r w:rsidR="00F15FC2">
        <w:rPr>
          <w:rFonts w:ascii="Calibri" w:eastAsia="Times New Roman" w:hAnsi="Calibri" w:cs="Calibri"/>
          <w:iCs/>
          <w:szCs w:val="24"/>
          <w:lang w:eastAsia="en-AU"/>
        </w:rPr>
        <w:t>pecify the gene’s abbreviation, ‘</w:t>
      </w:r>
      <w:r w:rsidR="00F15FC2" w:rsidRPr="00195160">
        <w:rPr>
          <w:rFonts w:ascii="Calibri" w:eastAsia="Times New Roman" w:hAnsi="Calibri" w:cs="Calibri"/>
          <w:i/>
          <w:szCs w:val="24"/>
          <w:lang w:eastAsia="en-AU"/>
        </w:rPr>
        <w:t>RET’</w:t>
      </w:r>
      <w:r w:rsidR="00F15FC2">
        <w:rPr>
          <w:rFonts w:ascii="Calibri" w:eastAsia="Times New Roman" w:hAnsi="Calibri" w:cs="Calibri"/>
          <w:iCs/>
          <w:szCs w:val="24"/>
          <w:lang w:eastAsia="en-AU"/>
        </w:rPr>
        <w:t xml:space="preserve"> (rather than the full term), and refer to ‘activating </w:t>
      </w:r>
      <w:r w:rsidR="00F15FC2" w:rsidRPr="00195160">
        <w:rPr>
          <w:rFonts w:ascii="Calibri" w:eastAsia="Times New Roman" w:hAnsi="Calibri" w:cs="Calibri"/>
          <w:i/>
          <w:szCs w:val="24"/>
          <w:lang w:eastAsia="en-AU"/>
        </w:rPr>
        <w:t>RET</w:t>
      </w:r>
      <w:r w:rsidR="00F15FC2">
        <w:rPr>
          <w:rFonts w:ascii="Calibri" w:eastAsia="Times New Roman" w:hAnsi="Calibri" w:cs="Calibri"/>
          <w:iCs/>
          <w:szCs w:val="24"/>
          <w:lang w:eastAsia="en-AU"/>
        </w:rPr>
        <w:t xml:space="preserve"> variants’ </w:t>
      </w:r>
      <w:r w:rsidR="00AB30B9">
        <w:rPr>
          <w:rFonts w:ascii="Calibri" w:eastAsia="Times New Roman" w:hAnsi="Calibri" w:cs="Calibri"/>
          <w:iCs/>
          <w:szCs w:val="24"/>
          <w:lang w:eastAsia="en-AU"/>
        </w:rPr>
        <w:t>(see paragraph 3.6).</w:t>
      </w:r>
    </w:p>
    <w:p w14:paraId="51604545" w14:textId="2B2EE281" w:rsidR="0036035D" w:rsidRDefault="008E3667" w:rsidP="00921FF3">
      <w:pPr>
        <w:numPr>
          <w:ilvl w:val="0"/>
          <w:numId w:val="19"/>
        </w:numPr>
        <w:spacing w:before="0" w:after="120"/>
        <w:ind w:left="1134" w:hanging="283"/>
        <w:rPr>
          <w:rFonts w:ascii="Calibri" w:eastAsia="Times New Roman" w:hAnsi="Calibri" w:cs="Calibri"/>
          <w:iCs/>
          <w:szCs w:val="24"/>
          <w:lang w:eastAsia="en-AU"/>
        </w:rPr>
      </w:pPr>
      <w:r>
        <w:rPr>
          <w:rFonts w:ascii="Calibri" w:eastAsia="Times New Roman" w:hAnsi="Calibri" w:cs="Calibri"/>
          <w:iCs/>
          <w:szCs w:val="24"/>
          <w:lang w:eastAsia="en-AU"/>
        </w:rPr>
        <w:t>B</w:t>
      </w:r>
      <w:r w:rsidR="0036035D">
        <w:rPr>
          <w:rFonts w:ascii="Calibri" w:eastAsia="Times New Roman" w:hAnsi="Calibri" w:cs="Calibri"/>
          <w:iCs/>
          <w:szCs w:val="24"/>
          <w:lang w:eastAsia="en-AU"/>
        </w:rPr>
        <w:t xml:space="preserve">e age agnostic and treatment phase agnostic, i.e. a combined initial, continuing and grandfather listings through the inclusion of the relevant treatment criteria. </w:t>
      </w:r>
    </w:p>
    <w:p w14:paraId="5B236DE2" w14:textId="4A0F8B4F" w:rsidR="00801D7D" w:rsidRDefault="00153A26" w:rsidP="00921FF3">
      <w:pPr>
        <w:numPr>
          <w:ilvl w:val="0"/>
          <w:numId w:val="19"/>
        </w:numPr>
        <w:spacing w:before="0" w:after="120"/>
        <w:ind w:left="1134" w:hanging="283"/>
        <w:rPr>
          <w:rFonts w:ascii="Calibri" w:eastAsia="Times New Roman" w:hAnsi="Calibri" w:cs="Calibri"/>
          <w:iCs/>
          <w:szCs w:val="24"/>
          <w:lang w:eastAsia="en-AU"/>
        </w:rPr>
      </w:pPr>
      <w:r>
        <w:rPr>
          <w:rFonts w:ascii="Calibri" w:eastAsia="Times New Roman" w:hAnsi="Calibri" w:cs="Calibri"/>
          <w:iCs/>
          <w:szCs w:val="24"/>
          <w:lang w:eastAsia="en-AU"/>
        </w:rPr>
        <w:t>R</w:t>
      </w:r>
      <w:r w:rsidR="00B51E16" w:rsidRPr="009F2AA4" w:rsidDel="00F922E3">
        <w:rPr>
          <w:rFonts w:ascii="Calibri" w:eastAsia="Times New Roman" w:hAnsi="Calibri" w:cs="Calibri"/>
          <w:iCs/>
          <w:szCs w:val="24"/>
          <w:lang w:eastAsia="en-AU"/>
        </w:rPr>
        <w:t xml:space="preserve">emove the administrative note “No increase in the maximum quantity or number of units may be authorised” from the 40 mg listing to allow clinicians to prescribe sufficient quantity for dose </w:t>
      </w:r>
      <w:r w:rsidR="00B51E16">
        <w:rPr>
          <w:rFonts w:ascii="Calibri" w:eastAsia="Times New Roman" w:hAnsi="Calibri" w:cs="Calibri"/>
          <w:iCs/>
          <w:szCs w:val="24"/>
          <w:lang w:eastAsia="en-AU"/>
        </w:rPr>
        <w:t xml:space="preserve">titration, </w:t>
      </w:r>
      <w:r w:rsidR="009F2584" w:rsidRPr="009F2AA4" w:rsidDel="00F922E3">
        <w:rPr>
          <w:rFonts w:ascii="Calibri" w:eastAsia="Times New Roman" w:hAnsi="Calibri" w:cs="Calibri"/>
          <w:iCs/>
          <w:szCs w:val="24"/>
          <w:lang w:eastAsia="en-AU"/>
        </w:rPr>
        <w:t xml:space="preserve">consistent with the </w:t>
      </w:r>
      <w:r w:rsidR="009F2584">
        <w:rPr>
          <w:rFonts w:ascii="Calibri" w:eastAsia="Times New Roman" w:hAnsi="Calibri" w:cs="Calibri"/>
          <w:iCs/>
          <w:szCs w:val="24"/>
          <w:lang w:eastAsia="en-AU"/>
        </w:rPr>
        <w:t xml:space="preserve">PBS </w:t>
      </w:r>
      <w:r w:rsidR="009F2584" w:rsidRPr="009F2AA4" w:rsidDel="00F922E3">
        <w:rPr>
          <w:rFonts w:ascii="Calibri" w:eastAsia="Times New Roman" w:hAnsi="Calibri" w:cs="Calibri"/>
          <w:iCs/>
          <w:szCs w:val="24"/>
          <w:lang w:eastAsia="en-AU"/>
        </w:rPr>
        <w:t>listing of selpercatinib 40 mg capsule for the treatment of NSCLC</w:t>
      </w:r>
      <w:r w:rsidR="004A3C9E">
        <w:rPr>
          <w:rFonts w:ascii="Calibri" w:eastAsia="Times New Roman" w:hAnsi="Calibri" w:cs="Calibri"/>
          <w:iCs/>
          <w:szCs w:val="24"/>
          <w:lang w:eastAsia="en-AU"/>
        </w:rPr>
        <w:t xml:space="preserve">, </w:t>
      </w:r>
      <w:r w:rsidR="00B51E16">
        <w:rPr>
          <w:rFonts w:ascii="Calibri" w:eastAsia="Times New Roman" w:hAnsi="Calibri" w:cs="Calibri"/>
          <w:iCs/>
          <w:szCs w:val="24"/>
          <w:lang w:eastAsia="en-AU"/>
        </w:rPr>
        <w:t>which uses the</w:t>
      </w:r>
      <w:r w:rsidR="000820BE">
        <w:rPr>
          <w:rFonts w:ascii="Calibri" w:eastAsia="Times New Roman" w:hAnsi="Calibri" w:cs="Calibri"/>
          <w:iCs/>
          <w:szCs w:val="24"/>
          <w:lang w:eastAsia="en-AU"/>
        </w:rPr>
        <w:t xml:space="preserve"> same dosing as for MCC </w:t>
      </w:r>
      <w:r w:rsidR="00B51E16" w:rsidRPr="009F2AA4" w:rsidDel="00F922E3">
        <w:rPr>
          <w:rFonts w:ascii="Calibri" w:eastAsia="Times New Roman" w:hAnsi="Calibri" w:cs="Calibri"/>
          <w:iCs/>
          <w:szCs w:val="24"/>
          <w:lang w:eastAsia="en-AU"/>
        </w:rPr>
        <w:t>(p46, selpercatinib PSD, July 2024 PBAC meeting).</w:t>
      </w:r>
    </w:p>
    <w:p w14:paraId="4ECDA762" w14:textId="1317D765" w:rsidR="006D0DFE" w:rsidRDefault="00153A26" w:rsidP="00921FF3">
      <w:pPr>
        <w:pStyle w:val="ListParagraph"/>
        <w:numPr>
          <w:ilvl w:val="0"/>
          <w:numId w:val="19"/>
        </w:numPr>
        <w:suppressAutoHyphens w:val="0"/>
        <w:spacing w:before="0" w:after="0"/>
        <w:ind w:left="1135" w:hanging="284"/>
        <w:contextualSpacing/>
        <w:rPr>
          <w:rFonts w:cs="Arial"/>
          <w:snapToGrid w:val="0"/>
        </w:rPr>
      </w:pPr>
      <w:r w:rsidRPr="00477BB1">
        <w:rPr>
          <w:rFonts w:cs="Arial"/>
          <w:snapToGrid w:val="0"/>
        </w:rPr>
        <w:t>In</w:t>
      </w:r>
      <w:r w:rsidR="004020E8" w:rsidRPr="00477BB1">
        <w:rPr>
          <w:rFonts w:cs="Arial"/>
          <w:snapToGrid w:val="0"/>
        </w:rPr>
        <w:t>clude</w:t>
      </w:r>
      <w:r w:rsidR="005A2CE5" w:rsidRPr="00477BB1" w:rsidDel="00F922E3">
        <w:rPr>
          <w:rFonts w:cs="Arial"/>
          <w:snapToGrid w:val="0"/>
        </w:rPr>
        <w:t xml:space="preserve"> </w:t>
      </w:r>
      <w:r w:rsidR="00746E1A">
        <w:rPr>
          <w:rFonts w:cs="Arial"/>
          <w:snapToGrid w:val="0"/>
        </w:rPr>
        <w:t xml:space="preserve">appropriate </w:t>
      </w:r>
      <w:r w:rsidR="005A2CE5" w:rsidRPr="00477BB1" w:rsidDel="00F922E3">
        <w:rPr>
          <w:rFonts w:cs="Arial"/>
          <w:snapToGrid w:val="0"/>
        </w:rPr>
        <w:t xml:space="preserve">Prescribing Instructions </w:t>
      </w:r>
      <w:r w:rsidR="00F520AA" w:rsidRPr="00477BB1">
        <w:rPr>
          <w:rFonts w:cs="Arial"/>
          <w:snapToGrid w:val="0"/>
        </w:rPr>
        <w:t xml:space="preserve">regarding appropriate </w:t>
      </w:r>
      <w:r w:rsidR="004020E8" w:rsidRPr="00477BB1">
        <w:rPr>
          <w:rFonts w:cs="Arial"/>
          <w:snapToGrid w:val="0"/>
        </w:rPr>
        <w:t>quantities</w:t>
      </w:r>
      <w:r w:rsidR="00F520AA" w:rsidRPr="00477BB1">
        <w:rPr>
          <w:rFonts w:cs="Arial"/>
          <w:snapToGrid w:val="0"/>
        </w:rPr>
        <w:t xml:space="preserve"> </w:t>
      </w:r>
      <w:r w:rsidR="0080080B" w:rsidRPr="00477BB1">
        <w:rPr>
          <w:rFonts w:cs="Arial"/>
          <w:snapToGrid w:val="0"/>
        </w:rPr>
        <w:t xml:space="preserve">for </w:t>
      </w:r>
      <w:r w:rsidR="004020E8" w:rsidRPr="00477BB1">
        <w:rPr>
          <w:rFonts w:cs="Arial"/>
          <w:snapToGrid w:val="0"/>
        </w:rPr>
        <w:t xml:space="preserve">weight-based dosing </w:t>
      </w:r>
      <w:r w:rsidR="005A2CE5" w:rsidRPr="00477BB1" w:rsidDel="00F922E3">
        <w:rPr>
          <w:rFonts w:cs="Arial"/>
          <w:snapToGrid w:val="0"/>
        </w:rPr>
        <w:t>for the listing</w:t>
      </w:r>
      <w:r w:rsidR="00746E1A">
        <w:rPr>
          <w:rFonts w:cs="Arial"/>
          <w:snapToGrid w:val="0"/>
        </w:rPr>
        <w:t>s</w:t>
      </w:r>
      <w:r w:rsidR="005A2CE5" w:rsidRPr="00477BB1" w:rsidDel="00F922E3">
        <w:rPr>
          <w:rFonts w:cs="Arial"/>
          <w:snapToGrid w:val="0"/>
        </w:rPr>
        <w:t xml:space="preserve"> of selpercatinib</w:t>
      </w:r>
      <w:r w:rsidR="00746E1A">
        <w:rPr>
          <w:rFonts w:cs="Arial"/>
          <w:snapToGrid w:val="0"/>
        </w:rPr>
        <w:t xml:space="preserve"> 40 mg and</w:t>
      </w:r>
      <w:r w:rsidR="005A2CE5" w:rsidRPr="00477BB1" w:rsidDel="00F922E3">
        <w:rPr>
          <w:rFonts w:cs="Arial"/>
          <w:snapToGrid w:val="0"/>
        </w:rPr>
        <w:t xml:space="preserve"> 80 mg</w:t>
      </w:r>
      <w:r w:rsidR="004020E8" w:rsidRPr="00477BB1">
        <w:rPr>
          <w:rFonts w:cs="Arial"/>
          <w:snapToGrid w:val="0"/>
        </w:rPr>
        <w:t>,</w:t>
      </w:r>
      <w:r w:rsidR="005A2CE5" w:rsidRPr="00477BB1" w:rsidDel="00F922E3">
        <w:rPr>
          <w:rFonts w:cs="Arial"/>
          <w:snapToGrid w:val="0"/>
        </w:rPr>
        <w:t xml:space="preserve"> consistent with the listing</w:t>
      </w:r>
      <w:r w:rsidR="00746E1A">
        <w:rPr>
          <w:rFonts w:cs="Arial"/>
          <w:snapToGrid w:val="0"/>
        </w:rPr>
        <w:t>s</w:t>
      </w:r>
      <w:r w:rsidR="005A2CE5" w:rsidRPr="00477BB1" w:rsidDel="00F922E3">
        <w:rPr>
          <w:rFonts w:cs="Arial"/>
          <w:snapToGrid w:val="0"/>
        </w:rPr>
        <w:t xml:space="preserve"> of selpercatinib </w:t>
      </w:r>
      <w:r w:rsidR="00746E1A">
        <w:rPr>
          <w:rFonts w:cs="Arial"/>
          <w:snapToGrid w:val="0"/>
        </w:rPr>
        <w:t xml:space="preserve">40 mg and </w:t>
      </w:r>
      <w:r w:rsidR="005A2CE5" w:rsidRPr="00477BB1" w:rsidDel="00F922E3">
        <w:rPr>
          <w:rFonts w:cs="Arial"/>
          <w:snapToGrid w:val="0"/>
        </w:rPr>
        <w:t xml:space="preserve">80 mg for the treatment of advanced or metastatic NSCLC. </w:t>
      </w:r>
    </w:p>
    <w:p w14:paraId="759EBEA8" w14:textId="4F64087C" w:rsidR="006B3F19" w:rsidRPr="00477BB1" w:rsidRDefault="005313F5" w:rsidP="00921FF3">
      <w:pPr>
        <w:pStyle w:val="ListParagraph"/>
        <w:numPr>
          <w:ilvl w:val="0"/>
          <w:numId w:val="19"/>
        </w:numPr>
        <w:suppressAutoHyphens w:val="0"/>
        <w:spacing w:before="0" w:after="0"/>
        <w:ind w:left="1135" w:hanging="284"/>
        <w:contextualSpacing/>
        <w:rPr>
          <w:rFonts w:cs="Arial"/>
          <w:snapToGrid w:val="0"/>
        </w:rPr>
      </w:pPr>
      <w:r>
        <w:rPr>
          <w:rFonts w:cs="Arial"/>
          <w:snapToGrid w:val="0"/>
        </w:rPr>
        <w:t xml:space="preserve">The PBAC advised, under Section 101 (4AACD) of the </w:t>
      </w:r>
      <w:r w:rsidRPr="00195160">
        <w:rPr>
          <w:rFonts w:cs="Arial"/>
          <w:i/>
          <w:iCs/>
          <w:snapToGrid w:val="0"/>
        </w:rPr>
        <w:t>National Health Act</w:t>
      </w:r>
      <w:r>
        <w:rPr>
          <w:rFonts w:cs="Arial"/>
          <w:snapToGrid w:val="0"/>
        </w:rPr>
        <w:t>, that s</w:t>
      </w:r>
      <w:r w:rsidR="006B3F19">
        <w:rPr>
          <w:rFonts w:cs="Arial"/>
          <w:snapToGrid w:val="0"/>
        </w:rPr>
        <w:t xml:space="preserve">elpercatinib tablet and selpercatinib capsule should be considered equivalent for the purposes of substitution (i.e. ‘a’ flagged in the Schedule with a NOTE stating PBS of one form and PBS of another form are equivalent for the purposes of substitution). </w:t>
      </w:r>
    </w:p>
    <w:p w14:paraId="21BF6CF3" w14:textId="37FAD37F" w:rsidR="00FA2330" w:rsidRDefault="00FA2330" w:rsidP="00921FF3">
      <w:pPr>
        <w:pStyle w:val="3-BodyText"/>
        <w:rPr>
          <w:snapToGrid w:val="0"/>
        </w:rPr>
      </w:pPr>
      <w:r>
        <w:rPr>
          <w:snapToGrid w:val="0"/>
        </w:rPr>
        <w:t>The PBAC noted th</w:t>
      </w:r>
      <w:r w:rsidR="0039259C">
        <w:rPr>
          <w:snapToGrid w:val="0"/>
        </w:rPr>
        <w:t>at as an</w:t>
      </w:r>
      <w:r>
        <w:rPr>
          <w:snapToGrid w:val="0"/>
        </w:rPr>
        <w:t xml:space="preserve"> integrated codependent submission</w:t>
      </w:r>
      <w:r w:rsidR="0039259C">
        <w:rPr>
          <w:snapToGrid w:val="0"/>
        </w:rPr>
        <w:t xml:space="preserve">, the proposed MBS item for </w:t>
      </w:r>
      <w:r w:rsidR="0039259C" w:rsidRPr="001F5944">
        <w:rPr>
          <w:i/>
          <w:iCs/>
          <w:snapToGrid w:val="0"/>
        </w:rPr>
        <w:t>RET</w:t>
      </w:r>
      <w:r w:rsidR="0039259C">
        <w:rPr>
          <w:snapToGrid w:val="0"/>
        </w:rPr>
        <w:t xml:space="preserve"> testing would be considered at the April 2026 MSAC meeting. </w:t>
      </w:r>
      <w:r w:rsidR="0085196D" w:rsidRPr="0085196D">
        <w:rPr>
          <w:snapToGrid w:val="0"/>
        </w:rPr>
        <w:t xml:space="preserve">The PBAC noted that evidence </w:t>
      </w:r>
      <w:r w:rsidR="0085196D">
        <w:rPr>
          <w:snapToGrid w:val="0"/>
        </w:rPr>
        <w:t xml:space="preserve">for selpercatinib </w:t>
      </w:r>
      <w:r w:rsidR="0085196D" w:rsidRPr="0085196D">
        <w:rPr>
          <w:snapToGrid w:val="0"/>
        </w:rPr>
        <w:t xml:space="preserve">was limited to the </w:t>
      </w:r>
      <w:r w:rsidR="0085196D" w:rsidRPr="00156C5C">
        <w:rPr>
          <w:i/>
          <w:snapToGrid w:val="0"/>
        </w:rPr>
        <w:t>RET</w:t>
      </w:r>
      <w:r w:rsidR="0085196D" w:rsidRPr="0085196D">
        <w:rPr>
          <w:rFonts w:ascii="Cambria Math" w:hAnsi="Cambria Math" w:cs="Cambria Math"/>
          <w:snapToGrid w:val="0"/>
        </w:rPr>
        <w:t>‑</w:t>
      </w:r>
      <w:r w:rsidR="0085196D" w:rsidRPr="0085196D">
        <w:rPr>
          <w:snapToGrid w:val="0"/>
        </w:rPr>
        <w:t xml:space="preserve">variant population with no evidence presented in </w:t>
      </w:r>
      <w:r w:rsidR="0085196D" w:rsidRPr="00A66E16">
        <w:rPr>
          <w:i/>
          <w:snapToGrid w:val="0"/>
        </w:rPr>
        <w:t>RET</w:t>
      </w:r>
      <w:r w:rsidR="0085196D" w:rsidRPr="0085196D">
        <w:rPr>
          <w:rFonts w:ascii="Cambria Math" w:hAnsi="Cambria Math" w:cs="Cambria Math"/>
          <w:snapToGrid w:val="0"/>
        </w:rPr>
        <w:t>‑</w:t>
      </w:r>
      <w:r w:rsidR="0085196D" w:rsidRPr="0085196D">
        <w:rPr>
          <w:snapToGrid w:val="0"/>
        </w:rPr>
        <w:t>wildtype patients</w:t>
      </w:r>
      <w:r w:rsidR="00A66E16">
        <w:rPr>
          <w:snapToGrid w:val="0"/>
        </w:rPr>
        <w:t>. However, the PBAC</w:t>
      </w:r>
      <w:r w:rsidR="0085196D" w:rsidRPr="0085196D">
        <w:rPr>
          <w:snapToGrid w:val="0"/>
        </w:rPr>
        <w:t xml:space="preserve"> </w:t>
      </w:r>
      <w:r w:rsidR="00191D06">
        <w:rPr>
          <w:snapToGrid w:val="0"/>
        </w:rPr>
        <w:t xml:space="preserve">considered </w:t>
      </w:r>
      <w:r w:rsidR="006F1133">
        <w:rPr>
          <w:snapToGrid w:val="0"/>
        </w:rPr>
        <w:t>there was a biological</w:t>
      </w:r>
      <w:r w:rsidR="0085196D" w:rsidRPr="0085196D">
        <w:rPr>
          <w:snapToGrid w:val="0"/>
        </w:rPr>
        <w:t xml:space="preserve"> rationale for targeting RET with selpercatinib (see paragraph </w:t>
      </w:r>
      <w:r w:rsidR="00191D06">
        <w:rPr>
          <w:snapToGrid w:val="0"/>
        </w:rPr>
        <w:fldChar w:fldCharType="begin"/>
      </w:r>
      <w:r w:rsidR="00191D06">
        <w:rPr>
          <w:snapToGrid w:val="0"/>
        </w:rPr>
        <w:instrText xml:space="preserve"> REF _Ref225335921 \r \h </w:instrText>
      </w:r>
      <w:r w:rsidR="00191D06">
        <w:rPr>
          <w:snapToGrid w:val="0"/>
        </w:rPr>
      </w:r>
      <w:r w:rsidR="00191D06">
        <w:rPr>
          <w:snapToGrid w:val="0"/>
        </w:rPr>
        <w:fldChar w:fldCharType="separate"/>
      </w:r>
      <w:r w:rsidR="001617F9">
        <w:rPr>
          <w:snapToGrid w:val="0"/>
        </w:rPr>
        <w:t>6.42</w:t>
      </w:r>
      <w:r w:rsidR="00191D06">
        <w:rPr>
          <w:snapToGrid w:val="0"/>
        </w:rPr>
        <w:fldChar w:fldCharType="end"/>
      </w:r>
      <w:r w:rsidR="0085196D" w:rsidRPr="0085196D">
        <w:rPr>
          <w:snapToGrid w:val="0"/>
        </w:rPr>
        <w:t>)</w:t>
      </w:r>
      <w:r w:rsidR="00AD3D0E">
        <w:rPr>
          <w:snapToGrid w:val="0"/>
        </w:rPr>
        <w:t xml:space="preserve"> and </w:t>
      </w:r>
      <w:proofErr w:type="spellStart"/>
      <w:r w:rsidR="00AD3D0E">
        <w:rPr>
          <w:snapToGrid w:val="0"/>
        </w:rPr>
        <w:t>codependence</w:t>
      </w:r>
      <w:proofErr w:type="spellEnd"/>
      <w:r w:rsidR="00AD3D0E">
        <w:rPr>
          <w:snapToGrid w:val="0"/>
        </w:rPr>
        <w:t xml:space="preserve"> was supported</w:t>
      </w:r>
      <w:r w:rsidR="0085196D" w:rsidRPr="0085196D">
        <w:rPr>
          <w:snapToGrid w:val="0"/>
        </w:rPr>
        <w:t>.</w:t>
      </w:r>
    </w:p>
    <w:p w14:paraId="03862D8F" w14:textId="545CB825" w:rsidR="00B80BC0" w:rsidRPr="00B80BC0" w:rsidRDefault="001F57A0" w:rsidP="00921FF3">
      <w:pPr>
        <w:pStyle w:val="3-BodyText"/>
        <w:rPr>
          <w:snapToGrid w:val="0"/>
        </w:rPr>
      </w:pPr>
      <w:bookmarkStart w:id="115" w:name="_Ref228283623"/>
      <w:r w:rsidRPr="00B80BC0">
        <w:rPr>
          <w:snapToGrid w:val="0"/>
        </w:rPr>
        <w:t>The PBAC considered that the pro</w:t>
      </w:r>
      <w:r w:rsidR="001478A9" w:rsidRPr="00B80BC0">
        <w:rPr>
          <w:snapToGrid w:val="0"/>
        </w:rPr>
        <w:t>po</w:t>
      </w:r>
      <w:r w:rsidRPr="00B80BC0">
        <w:rPr>
          <w:snapToGrid w:val="0"/>
        </w:rPr>
        <w:t>sed primary comparator</w:t>
      </w:r>
      <w:r w:rsidR="00955B84">
        <w:rPr>
          <w:snapToGrid w:val="0"/>
        </w:rPr>
        <w:t xml:space="preserve"> of</w:t>
      </w:r>
      <w:r w:rsidRPr="00B80BC0">
        <w:rPr>
          <w:snapToGrid w:val="0"/>
        </w:rPr>
        <w:t xml:space="preserve"> </w:t>
      </w:r>
      <w:r w:rsidR="001C03FB" w:rsidRPr="00B80BC0">
        <w:rPr>
          <w:snapToGrid w:val="0"/>
        </w:rPr>
        <w:t>best supportive care (</w:t>
      </w:r>
      <w:r w:rsidRPr="00B80BC0">
        <w:rPr>
          <w:snapToGrid w:val="0"/>
        </w:rPr>
        <w:t>BSC</w:t>
      </w:r>
      <w:r w:rsidR="001C03FB" w:rsidRPr="00B80BC0">
        <w:rPr>
          <w:snapToGrid w:val="0"/>
        </w:rPr>
        <w:t>)</w:t>
      </w:r>
      <w:r w:rsidRPr="00B80BC0">
        <w:rPr>
          <w:snapToGrid w:val="0"/>
        </w:rPr>
        <w:t xml:space="preserve">, was appropriate, noting that chemotherapy is rarely used in this setting due to low response rates and a lack of durable benefit, and that </w:t>
      </w:r>
      <w:r w:rsidR="00D76964" w:rsidRPr="00B80BC0">
        <w:rPr>
          <w:snapToGrid w:val="0"/>
        </w:rPr>
        <w:t>multikinase</w:t>
      </w:r>
      <w:r w:rsidRPr="00B80BC0">
        <w:rPr>
          <w:snapToGrid w:val="0"/>
        </w:rPr>
        <w:t xml:space="preserve"> inhibitors</w:t>
      </w:r>
      <w:r w:rsidR="00EB638B" w:rsidRPr="00B80BC0">
        <w:rPr>
          <w:snapToGrid w:val="0"/>
        </w:rPr>
        <w:t xml:space="preserve"> (</w:t>
      </w:r>
      <w:r w:rsidR="00D76964" w:rsidRPr="00B80BC0">
        <w:rPr>
          <w:snapToGrid w:val="0"/>
        </w:rPr>
        <w:t>M</w:t>
      </w:r>
      <w:r w:rsidR="00EB638B" w:rsidRPr="00B80BC0">
        <w:rPr>
          <w:snapToGrid w:val="0"/>
        </w:rPr>
        <w:t>KIs)</w:t>
      </w:r>
      <w:r w:rsidRPr="00B80BC0">
        <w:rPr>
          <w:snapToGrid w:val="0"/>
        </w:rPr>
        <w:t xml:space="preserve"> such as cabozantinib and </w:t>
      </w:r>
      <w:proofErr w:type="spellStart"/>
      <w:r w:rsidRPr="00B80BC0">
        <w:rPr>
          <w:snapToGrid w:val="0"/>
        </w:rPr>
        <w:t>vandetanib</w:t>
      </w:r>
      <w:proofErr w:type="spellEnd"/>
      <w:r w:rsidRPr="00B80BC0">
        <w:rPr>
          <w:snapToGrid w:val="0"/>
        </w:rPr>
        <w:t xml:space="preserve"> are </w:t>
      </w:r>
      <w:r w:rsidR="00156E2C">
        <w:rPr>
          <w:snapToGrid w:val="0"/>
        </w:rPr>
        <w:t xml:space="preserve">of </w:t>
      </w:r>
      <w:r w:rsidR="00A15B6B">
        <w:rPr>
          <w:snapToGrid w:val="0"/>
        </w:rPr>
        <w:t xml:space="preserve">modest </w:t>
      </w:r>
      <w:r w:rsidR="00156E2C">
        <w:rPr>
          <w:snapToGrid w:val="0"/>
        </w:rPr>
        <w:t>benefit</w:t>
      </w:r>
      <w:r w:rsidR="00955B84">
        <w:rPr>
          <w:snapToGrid w:val="0"/>
        </w:rPr>
        <w:t xml:space="preserve">, </w:t>
      </w:r>
      <w:r w:rsidR="00156E2C">
        <w:rPr>
          <w:snapToGrid w:val="0"/>
        </w:rPr>
        <w:t>not widely available</w:t>
      </w:r>
      <w:r w:rsidR="00955B84">
        <w:rPr>
          <w:snapToGrid w:val="0"/>
        </w:rPr>
        <w:t>, and not PBS-reimbursed</w:t>
      </w:r>
      <w:r w:rsidRPr="00B80BC0">
        <w:rPr>
          <w:snapToGrid w:val="0"/>
        </w:rPr>
        <w:t>.</w:t>
      </w:r>
      <w:bookmarkEnd w:id="115"/>
      <w:r w:rsidRPr="00B80BC0">
        <w:rPr>
          <w:snapToGrid w:val="0"/>
        </w:rPr>
        <w:t xml:space="preserve"> </w:t>
      </w:r>
    </w:p>
    <w:p w14:paraId="04063AF2" w14:textId="251A5F58" w:rsidR="00156E2C" w:rsidRPr="001F5944" w:rsidRDefault="00156E2C" w:rsidP="00921FF3">
      <w:pPr>
        <w:pStyle w:val="3-BodyText"/>
        <w:rPr>
          <w:snapToGrid w:val="0"/>
        </w:rPr>
      </w:pPr>
      <w:bookmarkStart w:id="116" w:name="_Ref228283579"/>
      <w:r>
        <w:rPr>
          <w:snapToGrid w:val="0"/>
        </w:rPr>
        <w:t xml:space="preserve">The PBAC noted </w:t>
      </w:r>
      <w:r w:rsidR="00C8764D">
        <w:rPr>
          <w:snapToGrid w:val="0"/>
        </w:rPr>
        <w:t xml:space="preserve">that </w:t>
      </w:r>
      <w:r>
        <w:rPr>
          <w:snapToGrid w:val="0"/>
        </w:rPr>
        <w:t xml:space="preserve">the clinical evidence for selpercatinib was </w:t>
      </w:r>
      <w:r w:rsidR="000059A9">
        <w:rPr>
          <w:snapToGrid w:val="0"/>
        </w:rPr>
        <w:t xml:space="preserve">from the LIBRETTO-531, a </w:t>
      </w:r>
      <w:r w:rsidR="00F55406">
        <w:rPr>
          <w:snapToGrid w:val="0"/>
        </w:rPr>
        <w:t xml:space="preserve">randomised, open-label </w:t>
      </w:r>
      <w:r w:rsidR="000D17C0">
        <w:rPr>
          <w:snapToGrid w:val="0"/>
        </w:rPr>
        <w:t xml:space="preserve">trial comparing </w:t>
      </w:r>
      <w:r w:rsidR="000D17C0">
        <w:t xml:space="preserve">selpercatinib (n=193) to physician’s choice of cabozantinib or </w:t>
      </w:r>
      <w:proofErr w:type="spellStart"/>
      <w:r w:rsidR="000D17C0">
        <w:t>vandetanib</w:t>
      </w:r>
      <w:proofErr w:type="spellEnd"/>
      <w:r w:rsidR="000D17C0">
        <w:t xml:space="preserve"> (N=98). </w:t>
      </w:r>
      <w:r w:rsidR="005F76C6">
        <w:t xml:space="preserve">The trial enrolled patients with </w:t>
      </w:r>
      <w:r w:rsidR="00143C13">
        <w:t xml:space="preserve">unresectable, progressive, locally advanced or metastatic MTC with a </w:t>
      </w:r>
      <w:r w:rsidR="005F76C6">
        <w:t xml:space="preserve">documented </w:t>
      </w:r>
      <w:r w:rsidR="005F76C6" w:rsidRPr="0088682B">
        <w:rPr>
          <w:i/>
          <w:iCs/>
        </w:rPr>
        <w:t xml:space="preserve">RET </w:t>
      </w:r>
      <w:r w:rsidR="008C2CF0">
        <w:t>alteration</w:t>
      </w:r>
      <w:r w:rsidR="00B20438">
        <w:t xml:space="preserve">. </w:t>
      </w:r>
      <w:r w:rsidR="000F365C">
        <w:t>Treatment with selpercatinib result</w:t>
      </w:r>
      <w:r w:rsidR="005A287F">
        <w:t>ed</w:t>
      </w:r>
      <w:r w:rsidR="000F365C">
        <w:t xml:space="preserve"> in a statistically significant benefit </w:t>
      </w:r>
      <w:r w:rsidR="00707D5B">
        <w:t xml:space="preserve">for </w:t>
      </w:r>
      <w:r w:rsidR="000F365C">
        <w:t>progression free survival (PFS) with a hazard ratio (HR) of 0.</w:t>
      </w:r>
      <w:r w:rsidR="007D4F54">
        <w:t>202 (95% confidence interval (CI): 0.128, 0.320)</w:t>
      </w:r>
      <w:r w:rsidR="00E418D2">
        <w:t xml:space="preserve"> compared to cabozantinib/ </w:t>
      </w:r>
      <w:proofErr w:type="spellStart"/>
      <w:r w:rsidR="00E418D2">
        <w:t>vandetanib</w:t>
      </w:r>
      <w:proofErr w:type="spellEnd"/>
      <w:r w:rsidR="007D4F54">
        <w:t xml:space="preserve">. </w:t>
      </w:r>
      <w:r w:rsidR="008041AC">
        <w:t xml:space="preserve">The </w:t>
      </w:r>
      <w:r w:rsidR="008041AC">
        <w:lastRenderedPageBreak/>
        <w:t xml:space="preserve">PBAC noted </w:t>
      </w:r>
      <w:r w:rsidR="00C600DB">
        <w:t xml:space="preserve">82% of patients treated with selpercatinib were progression free at 24 months, compared to 33% </w:t>
      </w:r>
      <w:r w:rsidR="0009370E">
        <w:t>of patients who received</w:t>
      </w:r>
      <w:r w:rsidR="00E418D2">
        <w:t xml:space="preserve"> cabozantinib/ </w:t>
      </w:r>
      <w:proofErr w:type="spellStart"/>
      <w:r w:rsidR="00E418D2">
        <w:t>vandetanib</w:t>
      </w:r>
      <w:proofErr w:type="spellEnd"/>
      <w:r w:rsidR="0009370E">
        <w:t>.</w:t>
      </w:r>
      <w:r w:rsidR="00062FE2">
        <w:t xml:space="preserve"> </w:t>
      </w:r>
      <w:r w:rsidR="00C02233">
        <w:t xml:space="preserve">The PBAC noted the </w:t>
      </w:r>
      <w:r w:rsidR="00F3049D">
        <w:t>HR for OS was 0.2</w:t>
      </w:r>
      <w:r w:rsidR="00B91D3D">
        <w:t>75</w:t>
      </w:r>
      <w:r w:rsidR="00F3049D">
        <w:t xml:space="preserve"> (95% CI: 0.1</w:t>
      </w:r>
      <w:r w:rsidR="00F70AC1">
        <w:t>2</w:t>
      </w:r>
      <w:r w:rsidR="00F3049D">
        <w:t>, 0.</w:t>
      </w:r>
      <w:r w:rsidR="00F70AC1">
        <w:t>61</w:t>
      </w:r>
      <w:r w:rsidR="00F3049D">
        <w:t>)</w:t>
      </w:r>
      <w:r w:rsidR="00C04A29">
        <w:t>,</w:t>
      </w:r>
      <w:r w:rsidR="006A1909">
        <w:t xml:space="preserve"> but this was based on a small number of events</w:t>
      </w:r>
      <w:r w:rsidR="00EC0859">
        <w:t xml:space="preserve"> (</w:t>
      </w:r>
      <w:r w:rsidR="00F749CF">
        <w:t xml:space="preserve">10/193 in the selpercatinib arm and </w:t>
      </w:r>
      <w:r w:rsidR="00D85140">
        <w:t xml:space="preserve">16/98 in the </w:t>
      </w:r>
      <w:r w:rsidR="00E418D2">
        <w:t xml:space="preserve">cabozantinib/ </w:t>
      </w:r>
      <w:proofErr w:type="spellStart"/>
      <w:r w:rsidR="00E418D2">
        <w:t>vandetanib</w:t>
      </w:r>
      <w:proofErr w:type="spellEnd"/>
      <w:r w:rsidR="00E418D2">
        <w:t xml:space="preserve"> </w:t>
      </w:r>
      <w:r w:rsidR="00D85140">
        <w:t>arm)</w:t>
      </w:r>
      <w:r w:rsidR="006A1909">
        <w:t xml:space="preserve">. </w:t>
      </w:r>
      <w:r w:rsidR="00062FE2">
        <w:t>The PBAC noted the results of LIBRETTO-531</w:t>
      </w:r>
      <w:r w:rsidR="001D161D">
        <w:t xml:space="preserve"> are likely</w:t>
      </w:r>
      <w:r w:rsidR="00062FE2">
        <w:t xml:space="preserve"> confounded by </w:t>
      </w:r>
      <w:r w:rsidR="00D32B46">
        <w:t xml:space="preserve">treatment beyond progression and crossover </w:t>
      </w:r>
      <w:r w:rsidR="007463F2">
        <w:t xml:space="preserve">(see paragraph </w:t>
      </w:r>
      <w:r w:rsidR="00386F7A">
        <w:fldChar w:fldCharType="begin"/>
      </w:r>
      <w:r w:rsidR="00386F7A">
        <w:instrText xml:space="preserve"> REF _Ref222212313 \r \h </w:instrText>
      </w:r>
      <w:r w:rsidR="00386F7A">
        <w:fldChar w:fldCharType="separate"/>
      </w:r>
      <w:r w:rsidR="001617F9">
        <w:t>6.13</w:t>
      </w:r>
      <w:r w:rsidR="00386F7A">
        <w:fldChar w:fldCharType="end"/>
      </w:r>
      <w:r w:rsidR="00386F7A">
        <w:t xml:space="preserve">) </w:t>
      </w:r>
      <w:r w:rsidR="00D32B46">
        <w:t xml:space="preserve">but acknowledged the significant PFS benefit and promising OS benefit. </w:t>
      </w:r>
      <w:r w:rsidR="00962810">
        <w:t>Additionally, t</w:t>
      </w:r>
      <w:r w:rsidR="006B2B7D">
        <w:t>he PBAC</w:t>
      </w:r>
      <w:r w:rsidR="00623221">
        <w:t xml:space="preserve"> agreed with the ESCs that</w:t>
      </w:r>
      <w:r w:rsidR="006B2B7D">
        <w:t xml:space="preserve"> </w:t>
      </w:r>
      <w:r w:rsidR="00E7604D">
        <w:t xml:space="preserve">the </w:t>
      </w:r>
      <w:r w:rsidR="00A05B90">
        <w:t xml:space="preserve">generalisability </w:t>
      </w:r>
      <w:r w:rsidR="001B204B">
        <w:t>of the outcomes</w:t>
      </w:r>
      <w:r w:rsidR="00E7604D">
        <w:t xml:space="preserve"> to the proposed PBS population may be reduced</w:t>
      </w:r>
      <w:r w:rsidR="007E41E1">
        <w:t>,</w:t>
      </w:r>
      <w:r w:rsidR="001B204B">
        <w:t xml:space="preserve"> as LIBRETTO-531 likely included a higher proportion of metastatic patients relative to the Australian treated population (see paragraph </w:t>
      </w:r>
      <w:r w:rsidR="00623221">
        <w:fldChar w:fldCharType="begin"/>
      </w:r>
      <w:r w:rsidR="00623221">
        <w:instrText xml:space="preserve"> REF _Ref226960305 \r \h </w:instrText>
      </w:r>
      <w:r w:rsidR="00623221">
        <w:fldChar w:fldCharType="separate"/>
      </w:r>
      <w:r w:rsidR="001617F9">
        <w:t>6.33</w:t>
      </w:r>
      <w:r w:rsidR="00623221">
        <w:fldChar w:fldCharType="end"/>
      </w:r>
      <w:r w:rsidR="00623221">
        <w:t>).</w:t>
      </w:r>
      <w:bookmarkEnd w:id="116"/>
    </w:p>
    <w:p w14:paraId="3684F95C" w14:textId="64F2B658" w:rsidR="00DE5C0B" w:rsidRPr="001F5944" w:rsidRDefault="00F019D2" w:rsidP="00921FF3">
      <w:pPr>
        <w:pStyle w:val="3-BodyText"/>
        <w:rPr>
          <w:snapToGrid w:val="0"/>
        </w:rPr>
      </w:pPr>
      <w:r>
        <w:rPr>
          <w:snapToGrid w:val="0"/>
        </w:rPr>
        <w:t>The submission presented a</w:t>
      </w:r>
      <w:r w:rsidR="00DA595C">
        <w:rPr>
          <w:snapToGrid w:val="0"/>
        </w:rPr>
        <w:t xml:space="preserve">n indirect treatment comparison </w:t>
      </w:r>
      <w:r w:rsidR="008B721F">
        <w:rPr>
          <w:snapToGrid w:val="0"/>
        </w:rPr>
        <w:t xml:space="preserve">(ITC) </w:t>
      </w:r>
      <w:r w:rsidR="000E77A4">
        <w:rPr>
          <w:snapToGrid w:val="0"/>
        </w:rPr>
        <w:t xml:space="preserve">using LIBRETTO-531 and the EXAM trial </w:t>
      </w:r>
      <w:r w:rsidR="00DA595C">
        <w:rPr>
          <w:snapToGrid w:val="0"/>
        </w:rPr>
        <w:t>t</w:t>
      </w:r>
      <w:r>
        <w:rPr>
          <w:snapToGrid w:val="0"/>
        </w:rPr>
        <w:t xml:space="preserve">o support the clinical claim versus </w:t>
      </w:r>
      <w:r w:rsidR="005B1ABC">
        <w:rPr>
          <w:snapToGrid w:val="0"/>
        </w:rPr>
        <w:t>BSC</w:t>
      </w:r>
      <w:r w:rsidR="00477A12">
        <w:rPr>
          <w:snapToGrid w:val="0"/>
        </w:rPr>
        <w:t xml:space="preserve"> (with cabozantinib/ </w:t>
      </w:r>
      <w:proofErr w:type="spellStart"/>
      <w:r w:rsidR="002324E6">
        <w:rPr>
          <w:snapToGrid w:val="0"/>
        </w:rPr>
        <w:t>vandetanib</w:t>
      </w:r>
      <w:proofErr w:type="spellEnd"/>
      <w:r w:rsidR="00477A12">
        <w:rPr>
          <w:snapToGrid w:val="0"/>
        </w:rPr>
        <w:t xml:space="preserve"> as the common</w:t>
      </w:r>
      <w:r w:rsidR="004B3673">
        <w:rPr>
          <w:snapToGrid w:val="0"/>
        </w:rPr>
        <w:t xml:space="preserve"> reference)</w:t>
      </w:r>
      <w:r w:rsidR="00DA595C">
        <w:rPr>
          <w:snapToGrid w:val="0"/>
        </w:rPr>
        <w:t xml:space="preserve">. </w:t>
      </w:r>
      <w:r w:rsidR="006D37ED">
        <w:rPr>
          <w:snapToGrid w:val="0"/>
        </w:rPr>
        <w:t xml:space="preserve">EXAM was a randomised, double-blind </w:t>
      </w:r>
      <w:r w:rsidR="00BC3E6A">
        <w:rPr>
          <w:snapToGrid w:val="0"/>
        </w:rPr>
        <w:t xml:space="preserve">trial </w:t>
      </w:r>
      <w:r w:rsidR="00E4218C">
        <w:rPr>
          <w:snapToGrid w:val="0"/>
        </w:rPr>
        <w:t>comparing cabozantinib (n=219) to placebo (</w:t>
      </w:r>
      <w:r w:rsidR="00BC3E6A">
        <w:rPr>
          <w:snapToGrid w:val="0"/>
        </w:rPr>
        <w:t>n=</w:t>
      </w:r>
      <w:r w:rsidR="00E4218C">
        <w:rPr>
          <w:snapToGrid w:val="0"/>
        </w:rPr>
        <w:t>111</w:t>
      </w:r>
      <w:r w:rsidR="00BC3E6A">
        <w:rPr>
          <w:snapToGrid w:val="0"/>
        </w:rPr>
        <w:t xml:space="preserve">) in </w:t>
      </w:r>
      <w:r w:rsidR="00BA15E5">
        <w:t xml:space="preserve">patients with unresectable, progressive, locally advanced or metastatic MTC, regardless of </w:t>
      </w:r>
      <w:r w:rsidR="00BA15E5" w:rsidRPr="0088682B">
        <w:rPr>
          <w:i/>
          <w:iCs/>
        </w:rPr>
        <w:t xml:space="preserve">RET </w:t>
      </w:r>
      <w:r w:rsidR="00BA15E5">
        <w:t xml:space="preserve">alteration. The submission relied on clinical data from patients with </w:t>
      </w:r>
      <w:r w:rsidR="00BA15E5" w:rsidRPr="001F5944">
        <w:rPr>
          <w:i/>
          <w:iCs/>
        </w:rPr>
        <w:t>RET</w:t>
      </w:r>
      <w:r w:rsidR="00BA15E5">
        <w:t xml:space="preserve"> variant </w:t>
      </w:r>
      <w:r w:rsidR="00CF464E">
        <w:t>MTC</w:t>
      </w:r>
      <w:r w:rsidR="00B608BB">
        <w:t xml:space="preserve"> (n=107 for cabozantinib, n=62 for placebo)</w:t>
      </w:r>
      <w:r w:rsidR="00BA15E5">
        <w:t xml:space="preserve">. </w:t>
      </w:r>
      <w:r w:rsidR="00933EDD">
        <w:t>Treatment with cabozantinib resul</w:t>
      </w:r>
      <w:r w:rsidR="009A6CEF">
        <w:t>t</w:t>
      </w:r>
      <w:r w:rsidR="00933EDD">
        <w:t xml:space="preserve">ed </w:t>
      </w:r>
      <w:r w:rsidR="00375292">
        <w:t xml:space="preserve">in a PFS HR of 0.23 (95% CI: </w:t>
      </w:r>
      <w:r w:rsidR="001E0959">
        <w:t xml:space="preserve">0.14, 0.38) and </w:t>
      </w:r>
      <w:r w:rsidR="00673820">
        <w:t xml:space="preserve">but the difference in </w:t>
      </w:r>
      <w:r w:rsidR="001E0959">
        <w:t xml:space="preserve">OS </w:t>
      </w:r>
      <w:r w:rsidR="00673820">
        <w:t xml:space="preserve">was not statistically significant </w:t>
      </w:r>
      <w:r w:rsidR="00C54072">
        <w:t>(</w:t>
      </w:r>
      <w:r w:rsidR="001E0959">
        <w:t>HR of 0.79</w:t>
      </w:r>
      <w:r w:rsidR="00C54072">
        <w:t xml:space="preserve">, </w:t>
      </w:r>
      <w:r w:rsidR="001E0959">
        <w:t>95%CI: 0.54, 1.17</w:t>
      </w:r>
      <w:r w:rsidR="00A5291B">
        <w:t>)</w:t>
      </w:r>
      <w:r w:rsidR="001E0959">
        <w:t xml:space="preserve">. </w:t>
      </w:r>
    </w:p>
    <w:p w14:paraId="207ECBC7" w14:textId="2D25BBB9" w:rsidR="00530233" w:rsidRPr="001F5944" w:rsidRDefault="005D79FC" w:rsidP="00921FF3">
      <w:pPr>
        <w:pStyle w:val="3-BodyText"/>
        <w:rPr>
          <w:snapToGrid w:val="0"/>
        </w:rPr>
      </w:pPr>
      <w:r>
        <w:rPr>
          <w:snapToGrid w:val="0"/>
        </w:rPr>
        <w:t xml:space="preserve">The PBAC noted the ITC resulted in a </w:t>
      </w:r>
      <w:r w:rsidR="008B721F">
        <w:rPr>
          <w:snapToGrid w:val="0"/>
        </w:rPr>
        <w:t>significant benefit for selpercatinib compared to</w:t>
      </w:r>
      <w:r w:rsidR="00C63D74">
        <w:rPr>
          <w:snapToGrid w:val="0"/>
        </w:rPr>
        <w:t xml:space="preserve"> BSC</w:t>
      </w:r>
      <w:r w:rsidR="008B721F">
        <w:rPr>
          <w:snapToGrid w:val="0"/>
        </w:rPr>
        <w:t xml:space="preserve"> with a </w:t>
      </w:r>
      <w:r w:rsidR="00C84FE6">
        <w:rPr>
          <w:snapToGrid w:val="0"/>
        </w:rPr>
        <w:t xml:space="preserve">HR for PFS of </w:t>
      </w:r>
      <w:r w:rsidR="00271C2D">
        <w:rPr>
          <w:snapToGrid w:val="0"/>
        </w:rPr>
        <w:t>0.05 (95%</w:t>
      </w:r>
      <w:r w:rsidR="00B920C4">
        <w:rPr>
          <w:snapToGrid w:val="0"/>
        </w:rPr>
        <w:t xml:space="preserve"> </w:t>
      </w:r>
      <w:r w:rsidR="00271C2D">
        <w:rPr>
          <w:snapToGrid w:val="0"/>
        </w:rPr>
        <w:t>CI: 0.02, 0.09)</w:t>
      </w:r>
      <w:r w:rsidR="008B721F">
        <w:rPr>
          <w:snapToGrid w:val="0"/>
        </w:rPr>
        <w:t xml:space="preserve"> and for OS of 0.22 (95% CI; 0.09, 0.53). </w:t>
      </w:r>
      <w:r w:rsidR="00B920C4">
        <w:rPr>
          <w:snapToGrid w:val="0"/>
        </w:rPr>
        <w:t xml:space="preserve">The PBAC considered the ITC was at moderate </w:t>
      </w:r>
      <w:r w:rsidR="00B920C4" w:rsidRPr="005F0BF0">
        <w:rPr>
          <w:snapToGrid w:val="0"/>
        </w:rPr>
        <w:t>risk of bi</w:t>
      </w:r>
      <w:r w:rsidR="00403523" w:rsidRPr="005F0BF0">
        <w:rPr>
          <w:snapToGrid w:val="0"/>
        </w:rPr>
        <w:t>as</w:t>
      </w:r>
      <w:r w:rsidR="00403523">
        <w:rPr>
          <w:snapToGrid w:val="0"/>
        </w:rPr>
        <w:t xml:space="preserve"> </w:t>
      </w:r>
      <w:r w:rsidR="00C438CF">
        <w:rPr>
          <w:snapToGrid w:val="0"/>
        </w:rPr>
        <w:t xml:space="preserve">due to transitivity issues </w:t>
      </w:r>
      <w:r w:rsidR="009D01E9">
        <w:rPr>
          <w:snapToGrid w:val="0"/>
        </w:rPr>
        <w:t>between</w:t>
      </w:r>
      <w:r w:rsidR="00C438CF">
        <w:rPr>
          <w:snapToGrid w:val="0"/>
        </w:rPr>
        <w:t xml:space="preserve"> the </w:t>
      </w:r>
      <w:r w:rsidR="009D01E9">
        <w:rPr>
          <w:snapToGrid w:val="0"/>
        </w:rPr>
        <w:t xml:space="preserve">LIBRETTO-531 and EXAM </w:t>
      </w:r>
      <w:r w:rsidR="00C438CF">
        <w:rPr>
          <w:snapToGrid w:val="0"/>
        </w:rPr>
        <w:t>trials</w:t>
      </w:r>
      <w:r w:rsidR="009D01E9">
        <w:rPr>
          <w:snapToGrid w:val="0"/>
        </w:rPr>
        <w:t xml:space="preserve"> </w:t>
      </w:r>
      <w:r w:rsidR="00A60D8D">
        <w:rPr>
          <w:snapToGrid w:val="0"/>
        </w:rPr>
        <w:t xml:space="preserve">(see paragraph </w:t>
      </w:r>
      <w:r w:rsidR="00A60D8D">
        <w:rPr>
          <w:snapToGrid w:val="0"/>
        </w:rPr>
        <w:fldChar w:fldCharType="begin"/>
      </w:r>
      <w:r w:rsidR="00A60D8D">
        <w:rPr>
          <w:snapToGrid w:val="0"/>
        </w:rPr>
        <w:instrText xml:space="preserve"> REF _Ref216623328 \r \h </w:instrText>
      </w:r>
      <w:r w:rsidR="00A60D8D">
        <w:rPr>
          <w:snapToGrid w:val="0"/>
        </w:rPr>
      </w:r>
      <w:r w:rsidR="00A60D8D">
        <w:rPr>
          <w:snapToGrid w:val="0"/>
        </w:rPr>
        <w:fldChar w:fldCharType="separate"/>
      </w:r>
      <w:r w:rsidR="001617F9">
        <w:rPr>
          <w:snapToGrid w:val="0"/>
        </w:rPr>
        <w:t>6.23</w:t>
      </w:r>
      <w:r w:rsidR="00A60D8D">
        <w:rPr>
          <w:snapToGrid w:val="0"/>
        </w:rPr>
        <w:fldChar w:fldCharType="end"/>
      </w:r>
      <w:r w:rsidR="00A60D8D">
        <w:rPr>
          <w:snapToGrid w:val="0"/>
        </w:rPr>
        <w:t>)</w:t>
      </w:r>
      <w:r w:rsidR="006B130F">
        <w:rPr>
          <w:snapToGrid w:val="0"/>
        </w:rPr>
        <w:t xml:space="preserve"> and</w:t>
      </w:r>
      <w:r w:rsidR="00C56667">
        <w:rPr>
          <w:snapToGrid w:val="0"/>
        </w:rPr>
        <w:t xml:space="preserve"> the</w:t>
      </w:r>
      <w:r w:rsidR="00CF3D3E">
        <w:rPr>
          <w:snapToGrid w:val="0"/>
        </w:rPr>
        <w:t xml:space="preserve"> interpretation of the ITC was </w:t>
      </w:r>
      <w:r w:rsidR="00E52CC9">
        <w:rPr>
          <w:snapToGrid w:val="0"/>
        </w:rPr>
        <w:t xml:space="preserve">also </w:t>
      </w:r>
      <w:r w:rsidR="006B130F">
        <w:rPr>
          <w:snapToGrid w:val="0"/>
        </w:rPr>
        <w:t>limited</w:t>
      </w:r>
      <w:r w:rsidR="00087F67">
        <w:rPr>
          <w:snapToGrid w:val="0"/>
        </w:rPr>
        <w:t xml:space="preserve"> by the </w:t>
      </w:r>
      <w:r w:rsidR="00D94D13">
        <w:rPr>
          <w:snapToGrid w:val="0"/>
        </w:rPr>
        <w:t xml:space="preserve">confounding in the LIBRETTO-531 trial (see paragraph </w:t>
      </w:r>
      <w:r w:rsidR="00D94D13">
        <w:rPr>
          <w:snapToGrid w:val="0"/>
        </w:rPr>
        <w:fldChar w:fldCharType="begin"/>
      </w:r>
      <w:r w:rsidR="00D94D13">
        <w:rPr>
          <w:snapToGrid w:val="0"/>
        </w:rPr>
        <w:instrText xml:space="preserve"> REF _Ref226960930 \r \h </w:instrText>
      </w:r>
      <w:r w:rsidR="00D94D13">
        <w:rPr>
          <w:snapToGrid w:val="0"/>
        </w:rPr>
      </w:r>
      <w:r w:rsidR="00D94D13">
        <w:rPr>
          <w:snapToGrid w:val="0"/>
        </w:rPr>
        <w:fldChar w:fldCharType="separate"/>
      </w:r>
      <w:r w:rsidR="001617F9">
        <w:rPr>
          <w:snapToGrid w:val="0"/>
        </w:rPr>
        <w:t>6.32</w:t>
      </w:r>
      <w:r w:rsidR="00D94D13">
        <w:rPr>
          <w:snapToGrid w:val="0"/>
        </w:rPr>
        <w:fldChar w:fldCharType="end"/>
      </w:r>
      <w:r w:rsidR="00D94D13">
        <w:rPr>
          <w:snapToGrid w:val="0"/>
        </w:rPr>
        <w:t>).</w:t>
      </w:r>
      <w:r w:rsidR="007E3114">
        <w:rPr>
          <w:snapToGrid w:val="0"/>
        </w:rPr>
        <w:t xml:space="preserve"> </w:t>
      </w:r>
    </w:p>
    <w:p w14:paraId="3AC80DB1" w14:textId="2653CE53" w:rsidR="005D3F07" w:rsidRPr="00947CC9" w:rsidRDefault="001D153D" w:rsidP="00921FF3">
      <w:pPr>
        <w:pStyle w:val="3-BodyText"/>
        <w:rPr>
          <w:snapToGrid w:val="0"/>
        </w:rPr>
      </w:pPr>
      <w:r w:rsidRPr="00947CC9">
        <w:rPr>
          <w:snapToGrid w:val="0"/>
        </w:rPr>
        <w:t xml:space="preserve">The PBAC considered that the claim of inferior comparative safety </w:t>
      </w:r>
      <w:r w:rsidR="00B74901" w:rsidRPr="00947CC9">
        <w:rPr>
          <w:snapToGrid w:val="0"/>
        </w:rPr>
        <w:t xml:space="preserve">for selpercatinib </w:t>
      </w:r>
      <w:r w:rsidR="00351AFE" w:rsidRPr="00947CC9">
        <w:rPr>
          <w:snapToGrid w:val="0"/>
        </w:rPr>
        <w:t xml:space="preserve">compared to BSC </w:t>
      </w:r>
      <w:r w:rsidRPr="00947CC9">
        <w:rPr>
          <w:snapToGrid w:val="0"/>
        </w:rPr>
        <w:t>was reasonable</w:t>
      </w:r>
      <w:r w:rsidR="004A1ED3" w:rsidRPr="00947CC9">
        <w:rPr>
          <w:snapToGrid w:val="0"/>
        </w:rPr>
        <w:t>.</w:t>
      </w:r>
      <w:r w:rsidR="005E3651" w:rsidRPr="00947CC9">
        <w:rPr>
          <w:snapToGrid w:val="0"/>
        </w:rPr>
        <w:t xml:space="preserve"> T</w:t>
      </w:r>
      <w:r w:rsidR="004A1ED3" w:rsidRPr="00947CC9">
        <w:rPr>
          <w:snapToGrid w:val="0"/>
        </w:rPr>
        <w:t xml:space="preserve">he PBAC </w:t>
      </w:r>
      <w:r w:rsidR="005E3651" w:rsidRPr="00947CC9">
        <w:rPr>
          <w:snapToGrid w:val="0"/>
        </w:rPr>
        <w:t>noted</w:t>
      </w:r>
      <w:r w:rsidR="00ED5116" w:rsidRPr="00947CC9">
        <w:rPr>
          <w:snapToGrid w:val="0"/>
        </w:rPr>
        <w:t xml:space="preserve"> </w:t>
      </w:r>
      <w:r w:rsidR="00B20768" w:rsidRPr="00947CC9">
        <w:rPr>
          <w:snapToGrid w:val="0"/>
        </w:rPr>
        <w:t xml:space="preserve">that selpercatinib </w:t>
      </w:r>
      <w:r w:rsidR="00CB7BCA" w:rsidRPr="00947CC9">
        <w:rPr>
          <w:snapToGrid w:val="0"/>
        </w:rPr>
        <w:t xml:space="preserve">had a less favourable safety profile than BSC, and </w:t>
      </w:r>
      <w:r w:rsidR="00B20768" w:rsidRPr="00947CC9">
        <w:rPr>
          <w:snapToGrid w:val="0"/>
        </w:rPr>
        <w:t xml:space="preserve">was associated with a </w:t>
      </w:r>
      <w:r w:rsidR="00A80832" w:rsidRPr="00947CC9">
        <w:rPr>
          <w:snapToGrid w:val="0"/>
        </w:rPr>
        <w:t>higher incidence of</w:t>
      </w:r>
      <w:r w:rsidR="005D3F07" w:rsidRPr="00947CC9">
        <w:rPr>
          <w:snapToGrid w:val="0"/>
        </w:rPr>
        <w:t xml:space="preserve"> G</w:t>
      </w:r>
      <w:r w:rsidR="00ED5116" w:rsidRPr="00947CC9">
        <w:rPr>
          <w:snapToGrid w:val="0"/>
        </w:rPr>
        <w:t xml:space="preserve">rade </w:t>
      </w:r>
      <w:r w:rsidR="005D3F07" w:rsidRPr="00947CC9">
        <w:rPr>
          <w:snapToGrid w:val="0"/>
        </w:rPr>
        <w:t>3</w:t>
      </w:r>
      <w:r w:rsidR="00ED5116" w:rsidRPr="00947CC9">
        <w:rPr>
          <w:snapToGrid w:val="0"/>
        </w:rPr>
        <w:t xml:space="preserve"> </w:t>
      </w:r>
      <w:r w:rsidR="008414EB" w:rsidRPr="00947CC9">
        <w:rPr>
          <w:snapToGrid w:val="0"/>
        </w:rPr>
        <w:t>adverse</w:t>
      </w:r>
      <w:r w:rsidR="00ED5116" w:rsidRPr="00947CC9">
        <w:rPr>
          <w:snapToGrid w:val="0"/>
        </w:rPr>
        <w:t xml:space="preserve"> events (</w:t>
      </w:r>
      <w:r w:rsidR="005D3F07" w:rsidRPr="00947CC9">
        <w:rPr>
          <w:snapToGrid w:val="0"/>
        </w:rPr>
        <w:t>AE</w:t>
      </w:r>
      <w:r w:rsidR="00ED5116" w:rsidRPr="00947CC9">
        <w:rPr>
          <w:snapToGrid w:val="0"/>
        </w:rPr>
        <w:t xml:space="preserve">s) </w:t>
      </w:r>
      <w:r w:rsidR="00A80832" w:rsidRPr="00947CC9">
        <w:rPr>
          <w:snapToGrid w:val="0"/>
        </w:rPr>
        <w:t>(62%</w:t>
      </w:r>
      <w:r w:rsidR="00ED69FE" w:rsidRPr="00947CC9">
        <w:rPr>
          <w:snapToGrid w:val="0"/>
        </w:rPr>
        <w:t xml:space="preserve"> vs 33%</w:t>
      </w:r>
      <w:r w:rsidR="00A80832" w:rsidRPr="00947CC9">
        <w:rPr>
          <w:snapToGrid w:val="0"/>
        </w:rPr>
        <w:t>)</w:t>
      </w:r>
      <w:r w:rsidR="005E3D20" w:rsidRPr="00947CC9">
        <w:rPr>
          <w:snapToGrid w:val="0"/>
        </w:rPr>
        <w:t xml:space="preserve">. The PBAC </w:t>
      </w:r>
      <w:r w:rsidR="00007054" w:rsidRPr="00947CC9">
        <w:rPr>
          <w:snapToGrid w:val="0"/>
        </w:rPr>
        <w:t xml:space="preserve">considered that the claim of </w:t>
      </w:r>
      <w:r w:rsidR="00202DDB" w:rsidRPr="00947CC9">
        <w:rPr>
          <w:snapToGrid w:val="0"/>
        </w:rPr>
        <w:t xml:space="preserve">noninferior safety compared to cabozantinib/ </w:t>
      </w:r>
      <w:proofErr w:type="spellStart"/>
      <w:r w:rsidR="00850EDB" w:rsidRPr="00947CC9">
        <w:t>vandetanib</w:t>
      </w:r>
      <w:proofErr w:type="spellEnd"/>
      <w:r w:rsidR="00850EDB" w:rsidRPr="00947CC9">
        <w:rPr>
          <w:snapToGrid w:val="0"/>
        </w:rPr>
        <w:t xml:space="preserve"> </w:t>
      </w:r>
      <w:r w:rsidR="00202DDB" w:rsidRPr="00947CC9">
        <w:rPr>
          <w:snapToGrid w:val="0"/>
        </w:rPr>
        <w:t>was also reasonable</w:t>
      </w:r>
      <w:r w:rsidR="008414EB" w:rsidRPr="00947CC9">
        <w:rPr>
          <w:snapToGrid w:val="0"/>
        </w:rPr>
        <w:t xml:space="preserve">. </w:t>
      </w:r>
    </w:p>
    <w:p w14:paraId="3DCA6379" w14:textId="5963AF32" w:rsidR="00074AF8" w:rsidRPr="007B3883" w:rsidRDefault="1A1D25AB" w:rsidP="00921FF3">
      <w:pPr>
        <w:pStyle w:val="3-BodyText"/>
        <w:rPr>
          <w:lang w:val="en-GB" w:eastAsia="en-US"/>
        </w:rPr>
      </w:pPr>
      <w:bookmarkStart w:id="117" w:name="_Ref228431490"/>
      <w:bookmarkStart w:id="118" w:name="_Ref225290968"/>
      <w:r w:rsidRPr="035B6907">
        <w:rPr>
          <w:lang w:val="en-GB" w:eastAsia="en-US"/>
        </w:rPr>
        <w:t xml:space="preserve">The PBAC noted the </w:t>
      </w:r>
      <w:r w:rsidR="21A090E5" w:rsidRPr="035B6907">
        <w:rPr>
          <w:lang w:val="en-GB" w:eastAsia="en-US"/>
        </w:rPr>
        <w:t xml:space="preserve">submission presented a cost-utility analysis comparing selpercatinib with </w:t>
      </w:r>
      <w:r w:rsidR="4CC6BDAF" w:rsidRPr="035B6907">
        <w:rPr>
          <w:lang w:val="en-GB" w:eastAsia="en-US"/>
        </w:rPr>
        <w:t>BSC</w:t>
      </w:r>
      <w:r w:rsidR="795FED01" w:rsidRPr="035B6907">
        <w:rPr>
          <w:lang w:val="en-GB" w:eastAsia="en-US"/>
        </w:rPr>
        <w:t>, using a partitioned survival</w:t>
      </w:r>
      <w:r w:rsidR="54734D7F" w:rsidRPr="035B6907">
        <w:rPr>
          <w:lang w:val="en-GB" w:eastAsia="en-US"/>
        </w:rPr>
        <w:t xml:space="preserve"> model</w:t>
      </w:r>
      <w:r w:rsidR="795FED01" w:rsidRPr="035B6907">
        <w:rPr>
          <w:lang w:val="en-GB" w:eastAsia="en-US"/>
        </w:rPr>
        <w:t xml:space="preserve"> with a time horizon of 25 years. </w:t>
      </w:r>
      <w:r w:rsidR="5721F5A7" w:rsidRPr="035B6907">
        <w:rPr>
          <w:lang w:val="en-GB" w:eastAsia="en-US"/>
        </w:rPr>
        <w:t>The PBAC noted the incremental cost effectiveness ratio (ICER)</w:t>
      </w:r>
      <w:r w:rsidR="1CA2EE0E" w:rsidRPr="035B6907">
        <w:rPr>
          <w:lang w:val="en-GB" w:eastAsia="en-US"/>
        </w:rPr>
        <w:t xml:space="preserve"> </w:t>
      </w:r>
      <w:r w:rsidR="5721F5A7" w:rsidRPr="035B6907">
        <w:rPr>
          <w:lang w:val="en-GB" w:eastAsia="en-US"/>
        </w:rPr>
        <w:t>was $</w:t>
      </w:r>
      <w:r w:rsidR="0034522A">
        <w:rPr>
          <w:lang w:val="en-GB" w:eastAsia="en-US"/>
        </w:rPr>
        <w:t>95,000 to &lt; $115,000</w:t>
      </w:r>
      <w:r w:rsidR="1CA2EE0E" w:rsidRPr="035B6907">
        <w:rPr>
          <w:lang w:val="en-GB" w:eastAsia="en-US"/>
        </w:rPr>
        <w:t xml:space="preserve"> per quality adjusted life year (QALY)</w:t>
      </w:r>
      <w:r w:rsidR="7C72244D" w:rsidRPr="035B6907">
        <w:rPr>
          <w:lang w:val="en-GB" w:eastAsia="en-US"/>
        </w:rPr>
        <w:t xml:space="preserve"> gained</w:t>
      </w:r>
      <w:r w:rsidR="5833F195" w:rsidRPr="035B6907">
        <w:rPr>
          <w:lang w:val="en-GB" w:eastAsia="en-US"/>
        </w:rPr>
        <w:t xml:space="preserve"> (with the error in dosage reductions corrected)</w:t>
      </w:r>
      <w:r w:rsidR="1CA2EE0E" w:rsidRPr="035B6907">
        <w:rPr>
          <w:lang w:val="en-GB" w:eastAsia="en-US"/>
        </w:rPr>
        <w:t xml:space="preserve">. </w:t>
      </w:r>
      <w:r w:rsidR="7004A9A9" w:rsidRPr="035B6907">
        <w:rPr>
          <w:lang w:val="en-GB" w:eastAsia="en-US"/>
        </w:rPr>
        <w:t>The PBAC noted the modelled incremental OS gain was informed by 10 deaths in the selper</w:t>
      </w:r>
      <w:r w:rsidR="310F1827" w:rsidRPr="035B6907">
        <w:rPr>
          <w:lang w:val="en-GB" w:eastAsia="en-US"/>
        </w:rPr>
        <w:t>catinib</w:t>
      </w:r>
      <w:r w:rsidR="7004A9A9" w:rsidRPr="035B6907">
        <w:rPr>
          <w:lang w:val="en-GB" w:eastAsia="en-US"/>
        </w:rPr>
        <w:t xml:space="preserve"> arm of the LIB</w:t>
      </w:r>
      <w:r w:rsidR="310F1827" w:rsidRPr="035B6907">
        <w:rPr>
          <w:lang w:val="en-GB" w:eastAsia="en-US"/>
        </w:rPr>
        <w:t xml:space="preserve">RETTO-531 </w:t>
      </w:r>
      <w:r w:rsidR="7004A9A9" w:rsidRPr="035B6907">
        <w:rPr>
          <w:lang w:val="en-GB" w:eastAsia="en-US"/>
        </w:rPr>
        <w:t>trial extrapolated over a 25</w:t>
      </w:r>
      <w:r w:rsidR="00820126">
        <w:rPr>
          <w:lang w:val="en-GB" w:eastAsia="en-US"/>
        </w:rPr>
        <w:t>-</w:t>
      </w:r>
      <w:r w:rsidR="7004A9A9" w:rsidRPr="035B6907">
        <w:rPr>
          <w:lang w:val="en-GB" w:eastAsia="en-US"/>
        </w:rPr>
        <w:t>year time horizon</w:t>
      </w:r>
      <w:r w:rsidR="00F53854">
        <w:rPr>
          <w:lang w:val="en-GB" w:eastAsia="en-US"/>
        </w:rPr>
        <w:t>,</w:t>
      </w:r>
      <w:r w:rsidR="7004A9A9" w:rsidRPr="035B6907">
        <w:rPr>
          <w:lang w:val="en-GB" w:eastAsia="en-US"/>
        </w:rPr>
        <w:t xml:space="preserve"> and the application of a HR </w:t>
      </w:r>
      <w:r w:rsidR="310F1827" w:rsidRPr="035B6907">
        <w:rPr>
          <w:lang w:val="en-GB" w:eastAsia="en-US"/>
        </w:rPr>
        <w:t xml:space="preserve">for OS </w:t>
      </w:r>
      <w:r w:rsidR="7004A9A9" w:rsidRPr="035B6907">
        <w:rPr>
          <w:lang w:val="en-GB" w:eastAsia="en-US"/>
        </w:rPr>
        <w:t>of 0.22 from the ITC.</w:t>
      </w:r>
      <w:r w:rsidR="007E3114">
        <w:rPr>
          <w:lang w:val="en-GB" w:eastAsia="en-US"/>
        </w:rPr>
        <w:t xml:space="preserve"> </w:t>
      </w:r>
      <w:r w:rsidR="7004A9A9" w:rsidRPr="035B6907">
        <w:rPr>
          <w:lang w:val="en-GB" w:eastAsia="en-US"/>
        </w:rPr>
        <w:t>In the context of the</w:t>
      </w:r>
      <w:r w:rsidR="56CF0618" w:rsidRPr="035B6907">
        <w:rPr>
          <w:lang w:val="en-GB" w:eastAsia="en-US"/>
        </w:rPr>
        <w:t>:</w:t>
      </w:r>
      <w:r w:rsidR="7004A9A9" w:rsidRPr="035B6907">
        <w:rPr>
          <w:lang w:val="en-GB" w:eastAsia="en-US"/>
        </w:rPr>
        <w:t xml:space="preserve"> (i) small number of deaths</w:t>
      </w:r>
      <w:r w:rsidR="12F8406C" w:rsidRPr="035B6907">
        <w:rPr>
          <w:lang w:val="en-GB" w:eastAsia="en-US"/>
        </w:rPr>
        <w:t>;</w:t>
      </w:r>
      <w:r w:rsidR="7004A9A9" w:rsidRPr="035B6907">
        <w:rPr>
          <w:lang w:val="en-GB" w:eastAsia="en-US"/>
        </w:rPr>
        <w:t xml:space="preserve"> (ii) uncertain HR</w:t>
      </w:r>
      <w:r w:rsidR="12F8406C" w:rsidRPr="035B6907">
        <w:rPr>
          <w:lang w:val="en-GB" w:eastAsia="en-US"/>
        </w:rPr>
        <w:t>;</w:t>
      </w:r>
      <w:r w:rsidR="7004A9A9" w:rsidRPr="035B6907">
        <w:rPr>
          <w:lang w:val="en-GB" w:eastAsia="en-US"/>
        </w:rPr>
        <w:t xml:space="preserve"> (iii) resulting relatively large (8.5 years, undiscounted) and potentially optimistic OS gain</w:t>
      </w:r>
      <w:r w:rsidR="4A115753" w:rsidRPr="035B6907">
        <w:rPr>
          <w:lang w:val="en-GB" w:eastAsia="en-US"/>
        </w:rPr>
        <w:t>;</w:t>
      </w:r>
      <w:r w:rsidR="7004A9A9" w:rsidRPr="035B6907">
        <w:rPr>
          <w:lang w:val="en-GB" w:eastAsia="en-US"/>
        </w:rPr>
        <w:t xml:space="preserve"> and (iv) ICER being sensitive to the modelled OS gain, the PBAC considered that selper</w:t>
      </w:r>
      <w:r w:rsidR="54B7DFF0" w:rsidRPr="035B6907">
        <w:rPr>
          <w:lang w:val="en-GB" w:eastAsia="en-US"/>
        </w:rPr>
        <w:t>catinib</w:t>
      </w:r>
      <w:r w:rsidR="7004A9A9" w:rsidRPr="035B6907">
        <w:rPr>
          <w:lang w:val="en-GB" w:eastAsia="en-US"/>
        </w:rPr>
        <w:t xml:space="preserve"> was not cost-effective at the price requested in the submission. The PBAC further </w:t>
      </w:r>
      <w:r w:rsidR="7004A9A9" w:rsidRPr="035B6907">
        <w:rPr>
          <w:lang w:val="en-GB" w:eastAsia="en-US"/>
        </w:rPr>
        <w:lastRenderedPageBreak/>
        <w:t>considered given the limited (but promising) OS data</w:t>
      </w:r>
      <w:r w:rsidR="77500962" w:rsidRPr="035B6907">
        <w:rPr>
          <w:lang w:val="en-GB" w:eastAsia="en-US"/>
        </w:rPr>
        <w:t>,</w:t>
      </w:r>
      <w:r w:rsidR="7004A9A9" w:rsidRPr="035B6907">
        <w:rPr>
          <w:lang w:val="en-GB" w:eastAsia="en-US"/>
        </w:rPr>
        <w:t xml:space="preserve"> </w:t>
      </w:r>
      <w:r w:rsidR="00CC53C6">
        <w:rPr>
          <w:lang w:val="en-GB" w:eastAsia="en-US"/>
        </w:rPr>
        <w:t xml:space="preserve">that </w:t>
      </w:r>
      <w:r w:rsidR="7004A9A9" w:rsidRPr="035B6907">
        <w:rPr>
          <w:lang w:val="en-GB" w:eastAsia="en-US"/>
        </w:rPr>
        <w:t xml:space="preserve">it was not possible to reliably respecify the parameters for the economic model in a way that would substantially </w:t>
      </w:r>
      <w:r w:rsidR="0091449B">
        <w:rPr>
          <w:lang w:val="en-GB" w:eastAsia="en-US"/>
        </w:rPr>
        <w:t>reduce</w:t>
      </w:r>
      <w:r w:rsidR="00F139D7">
        <w:rPr>
          <w:lang w:val="en-GB" w:eastAsia="en-US"/>
        </w:rPr>
        <w:t xml:space="preserve"> the</w:t>
      </w:r>
      <w:r w:rsidR="7004A9A9" w:rsidRPr="035B6907">
        <w:rPr>
          <w:lang w:val="en-GB" w:eastAsia="en-US"/>
        </w:rPr>
        <w:t xml:space="preserve"> </w:t>
      </w:r>
      <w:r w:rsidR="00F139D7">
        <w:rPr>
          <w:lang w:val="en-GB" w:eastAsia="en-US"/>
        </w:rPr>
        <w:t xml:space="preserve">uncertainty </w:t>
      </w:r>
      <w:r w:rsidR="004D03B6">
        <w:rPr>
          <w:lang w:val="en-GB" w:eastAsia="en-US"/>
        </w:rPr>
        <w:t>associated with the</w:t>
      </w:r>
      <w:r w:rsidR="7004A9A9" w:rsidRPr="035B6907">
        <w:rPr>
          <w:lang w:val="en-GB" w:eastAsia="en-US"/>
        </w:rPr>
        <w:t xml:space="preserve"> ICER. However, the PBAC noted that the ICER reduced to </w:t>
      </w:r>
      <w:r w:rsidR="00A1134A">
        <w:rPr>
          <w:lang w:val="en-GB" w:eastAsia="en-US"/>
        </w:rPr>
        <w:t>approximately</w:t>
      </w:r>
      <w:r w:rsidR="7004A9A9" w:rsidRPr="035B6907">
        <w:rPr>
          <w:lang w:val="en-GB" w:eastAsia="en-US"/>
        </w:rPr>
        <w:t xml:space="preserve"> </w:t>
      </w:r>
      <w:r w:rsidR="3FCDF3CD" w:rsidRPr="035B6907">
        <w:rPr>
          <w:lang w:eastAsia="en-US"/>
        </w:rPr>
        <w:t>$</w:t>
      </w:r>
      <w:r w:rsidR="00387DC7">
        <w:rPr>
          <w:lang w:eastAsia="en-US"/>
        </w:rPr>
        <w:t xml:space="preserve">55,000 to &lt; $75,000 </w:t>
      </w:r>
      <w:r w:rsidR="4B148159" w:rsidRPr="035B6907">
        <w:rPr>
          <w:lang w:val="en-GB" w:eastAsia="en-US"/>
        </w:rPr>
        <w:t xml:space="preserve">per QALY gained </w:t>
      </w:r>
      <w:r w:rsidR="7004A9A9" w:rsidRPr="035B6907">
        <w:rPr>
          <w:lang w:val="en-GB" w:eastAsia="en-US"/>
        </w:rPr>
        <w:t>using the selper</w:t>
      </w:r>
      <w:r w:rsidR="54B7DFF0" w:rsidRPr="035B6907">
        <w:rPr>
          <w:lang w:val="en-GB" w:eastAsia="en-US"/>
        </w:rPr>
        <w:t>catinib</w:t>
      </w:r>
      <w:r w:rsidR="7004A9A9" w:rsidRPr="035B6907">
        <w:rPr>
          <w:lang w:val="en-GB" w:eastAsia="en-US"/>
        </w:rPr>
        <w:t xml:space="preserve"> price for NSCLC</w:t>
      </w:r>
      <w:r w:rsidR="007E3114">
        <w:rPr>
          <w:lang w:val="en-GB" w:eastAsia="en-US"/>
        </w:rPr>
        <w:t xml:space="preserve"> </w:t>
      </w:r>
      <w:r w:rsidR="7004A9A9" w:rsidRPr="035B6907">
        <w:rPr>
          <w:lang w:val="en-GB" w:eastAsia="en-US"/>
        </w:rPr>
        <w:t>and considered that selper</w:t>
      </w:r>
      <w:r w:rsidR="54B7DFF0" w:rsidRPr="035B6907">
        <w:rPr>
          <w:lang w:val="en-GB" w:eastAsia="en-US"/>
        </w:rPr>
        <w:t>catinib</w:t>
      </w:r>
      <w:r w:rsidR="7004A9A9" w:rsidRPr="035B6907">
        <w:rPr>
          <w:lang w:val="en-GB" w:eastAsia="en-US"/>
        </w:rPr>
        <w:t xml:space="preserve"> would be cost-effective for the treatment of</w:t>
      </w:r>
      <w:r w:rsidR="54B7DFF0" w:rsidRPr="035B6907">
        <w:rPr>
          <w:lang w:val="en-GB" w:eastAsia="en-US"/>
        </w:rPr>
        <w:t xml:space="preserve"> </w:t>
      </w:r>
      <w:r w:rsidR="396C7044" w:rsidRPr="035B6907">
        <w:rPr>
          <w:lang w:val="en-GB" w:eastAsia="en-US"/>
        </w:rPr>
        <w:t xml:space="preserve">unresectable and progressive </w:t>
      </w:r>
      <w:r w:rsidR="54B7DFF0" w:rsidRPr="035B6907">
        <w:rPr>
          <w:lang w:val="en-GB" w:eastAsia="en-US"/>
        </w:rPr>
        <w:t>MTC</w:t>
      </w:r>
      <w:r w:rsidR="7004A9A9" w:rsidRPr="035B6907">
        <w:rPr>
          <w:lang w:val="en-GB" w:eastAsia="en-US"/>
        </w:rPr>
        <w:t xml:space="preserve"> at this price.</w:t>
      </w:r>
      <w:bookmarkEnd w:id="117"/>
    </w:p>
    <w:p w14:paraId="094A0503" w14:textId="20B5011A" w:rsidR="0055184C" w:rsidRDefault="002B54D5" w:rsidP="00921FF3">
      <w:pPr>
        <w:pStyle w:val="3-BodyText"/>
        <w:rPr>
          <w:lang w:val="en-GB" w:eastAsia="en-US"/>
        </w:rPr>
      </w:pPr>
      <w:bookmarkStart w:id="119" w:name="_Ref226901153"/>
      <w:bookmarkEnd w:id="118"/>
      <w:r>
        <w:rPr>
          <w:lang w:val="en-GB" w:eastAsia="en-US"/>
        </w:rPr>
        <w:t xml:space="preserve">The PBAC advised the following amendments to the </w:t>
      </w:r>
      <w:r w:rsidR="00B3259B">
        <w:rPr>
          <w:lang w:val="en-GB" w:eastAsia="en-US"/>
        </w:rPr>
        <w:t xml:space="preserve">financials </w:t>
      </w:r>
      <w:r w:rsidR="00850E06">
        <w:rPr>
          <w:lang w:val="en-GB" w:eastAsia="en-US"/>
        </w:rPr>
        <w:t xml:space="preserve">estimates </w:t>
      </w:r>
      <w:r>
        <w:rPr>
          <w:lang w:val="en-GB" w:eastAsia="en-US"/>
        </w:rPr>
        <w:t>would be</w:t>
      </w:r>
      <w:r w:rsidR="008F5493">
        <w:rPr>
          <w:lang w:val="en-GB" w:eastAsia="en-US"/>
        </w:rPr>
        <w:t xml:space="preserve"> required</w:t>
      </w:r>
      <w:r>
        <w:rPr>
          <w:lang w:val="en-GB" w:eastAsia="en-US"/>
        </w:rPr>
        <w:t>:</w:t>
      </w:r>
      <w:bookmarkEnd w:id="119"/>
    </w:p>
    <w:p w14:paraId="0EDEE05D" w14:textId="4FF3E78D" w:rsidR="002B54D5" w:rsidRDefault="00850E06" w:rsidP="00921FF3">
      <w:pPr>
        <w:pStyle w:val="3-BodyText"/>
        <w:numPr>
          <w:ilvl w:val="0"/>
          <w:numId w:val="41"/>
        </w:numPr>
        <w:rPr>
          <w:lang w:val="en-GB" w:eastAsia="en-US"/>
        </w:rPr>
      </w:pPr>
      <w:r>
        <w:rPr>
          <w:lang w:val="en-GB" w:eastAsia="en-US"/>
        </w:rPr>
        <w:t xml:space="preserve">Correction of dosing error (see paragraph </w:t>
      </w:r>
      <w:r w:rsidR="00F945FE">
        <w:rPr>
          <w:highlight w:val="yellow"/>
          <w:lang w:val="en-GB" w:eastAsia="en-US"/>
        </w:rPr>
        <w:fldChar w:fldCharType="begin"/>
      </w:r>
      <w:r w:rsidR="00F945FE">
        <w:rPr>
          <w:lang w:val="en-GB" w:eastAsia="en-US"/>
        </w:rPr>
        <w:instrText xml:space="preserve"> REF _Ref222831982 \r \h </w:instrText>
      </w:r>
      <w:r w:rsidR="00F945FE">
        <w:rPr>
          <w:highlight w:val="yellow"/>
          <w:lang w:val="en-GB" w:eastAsia="en-US"/>
        </w:rPr>
      </w:r>
      <w:r w:rsidR="00F945FE">
        <w:rPr>
          <w:highlight w:val="yellow"/>
          <w:lang w:val="en-GB" w:eastAsia="en-US"/>
        </w:rPr>
        <w:fldChar w:fldCharType="separate"/>
      </w:r>
      <w:r w:rsidR="001617F9">
        <w:rPr>
          <w:lang w:val="en-GB" w:eastAsia="en-US"/>
        </w:rPr>
        <w:t>6.66</w:t>
      </w:r>
      <w:r w:rsidR="00F945FE">
        <w:rPr>
          <w:highlight w:val="yellow"/>
          <w:lang w:val="en-GB" w:eastAsia="en-US"/>
        </w:rPr>
        <w:fldChar w:fldCharType="end"/>
      </w:r>
      <w:r>
        <w:rPr>
          <w:lang w:val="en-GB" w:eastAsia="en-US"/>
        </w:rPr>
        <w:t>);</w:t>
      </w:r>
    </w:p>
    <w:p w14:paraId="25C8614C" w14:textId="32028D81" w:rsidR="001348FE" w:rsidRDefault="001348FE" w:rsidP="00921FF3">
      <w:pPr>
        <w:pStyle w:val="3-BodyText"/>
        <w:numPr>
          <w:ilvl w:val="0"/>
          <w:numId w:val="41"/>
        </w:numPr>
        <w:rPr>
          <w:lang w:val="en-GB" w:eastAsia="en-US"/>
        </w:rPr>
      </w:pPr>
      <w:r>
        <w:rPr>
          <w:lang w:val="en-GB" w:eastAsia="en-US"/>
        </w:rPr>
        <w:t xml:space="preserve">Inclusion of a prevalent population of patients </w:t>
      </w:r>
      <w:r w:rsidR="00C76CBB">
        <w:rPr>
          <w:lang w:val="en-GB" w:eastAsia="en-US"/>
        </w:rPr>
        <w:t xml:space="preserve">diagnosed with </w:t>
      </w:r>
      <w:r>
        <w:rPr>
          <w:lang w:val="en-GB" w:eastAsia="en-US"/>
        </w:rPr>
        <w:t xml:space="preserve">Stage III/ IV </w:t>
      </w:r>
      <w:r w:rsidR="00C76CBB">
        <w:rPr>
          <w:lang w:val="en-GB" w:eastAsia="en-US"/>
        </w:rPr>
        <w:t xml:space="preserve">prior to 2026 (see paragraph </w:t>
      </w:r>
      <w:r w:rsidR="00C76CBB">
        <w:rPr>
          <w:lang w:val="en-GB" w:eastAsia="en-US"/>
        </w:rPr>
        <w:fldChar w:fldCharType="begin"/>
      </w:r>
      <w:r w:rsidR="00C76CBB">
        <w:rPr>
          <w:lang w:val="en-GB" w:eastAsia="en-US"/>
        </w:rPr>
        <w:instrText xml:space="preserve"> REF _Ref226900953 \r \h </w:instrText>
      </w:r>
      <w:r w:rsidR="00C76CBB">
        <w:rPr>
          <w:lang w:val="en-GB" w:eastAsia="en-US"/>
        </w:rPr>
      </w:r>
      <w:r w:rsidR="00C76CBB">
        <w:rPr>
          <w:lang w:val="en-GB" w:eastAsia="en-US"/>
        </w:rPr>
        <w:fldChar w:fldCharType="separate"/>
      </w:r>
      <w:r w:rsidR="001617F9">
        <w:rPr>
          <w:lang w:val="en-GB" w:eastAsia="en-US"/>
        </w:rPr>
        <w:t>6.87</w:t>
      </w:r>
      <w:r w:rsidR="00C76CBB">
        <w:rPr>
          <w:lang w:val="en-GB" w:eastAsia="en-US"/>
        </w:rPr>
        <w:fldChar w:fldCharType="end"/>
      </w:r>
      <w:r w:rsidR="00C76CBB">
        <w:rPr>
          <w:lang w:val="en-GB" w:eastAsia="en-US"/>
        </w:rPr>
        <w:t>);</w:t>
      </w:r>
    </w:p>
    <w:p w14:paraId="530CDF04" w14:textId="13C0CD58" w:rsidR="002B54D5" w:rsidRDefault="001348FE" w:rsidP="00921FF3">
      <w:pPr>
        <w:pStyle w:val="3-BodyText"/>
        <w:numPr>
          <w:ilvl w:val="0"/>
          <w:numId w:val="41"/>
        </w:numPr>
        <w:rPr>
          <w:lang w:val="en-GB" w:eastAsia="en-US"/>
        </w:rPr>
      </w:pPr>
      <w:r>
        <w:rPr>
          <w:lang w:val="en-GB" w:eastAsia="en-US"/>
        </w:rPr>
        <w:t xml:space="preserve">Use of a yearly rate of progression (see paragraph </w:t>
      </w:r>
      <w:r>
        <w:rPr>
          <w:lang w:val="en-GB" w:eastAsia="en-US"/>
        </w:rPr>
        <w:fldChar w:fldCharType="begin"/>
      </w:r>
      <w:r>
        <w:rPr>
          <w:lang w:val="en-GB" w:eastAsia="en-US"/>
        </w:rPr>
        <w:instrText xml:space="preserve"> REF _Ref226899927 \r \h </w:instrText>
      </w:r>
      <w:r>
        <w:rPr>
          <w:lang w:val="en-GB" w:eastAsia="en-US"/>
        </w:rPr>
      </w:r>
      <w:r>
        <w:rPr>
          <w:lang w:val="en-GB" w:eastAsia="en-US"/>
        </w:rPr>
        <w:fldChar w:fldCharType="separate"/>
      </w:r>
      <w:r w:rsidR="001617F9">
        <w:rPr>
          <w:lang w:val="en-GB" w:eastAsia="en-US"/>
        </w:rPr>
        <w:t>6.88</w:t>
      </w:r>
      <w:r>
        <w:rPr>
          <w:lang w:val="en-GB" w:eastAsia="en-US"/>
        </w:rPr>
        <w:fldChar w:fldCharType="end"/>
      </w:r>
      <w:r w:rsidR="00C76CBB">
        <w:rPr>
          <w:lang w:val="en-GB" w:eastAsia="en-US"/>
        </w:rPr>
        <w:t>);</w:t>
      </w:r>
    </w:p>
    <w:p w14:paraId="34565975" w14:textId="048F4D06" w:rsidR="002B54D5" w:rsidRDefault="00A01F30" w:rsidP="00921FF3">
      <w:pPr>
        <w:pStyle w:val="3-BodyText"/>
        <w:numPr>
          <w:ilvl w:val="0"/>
          <w:numId w:val="41"/>
        </w:numPr>
        <w:rPr>
          <w:lang w:val="en-GB" w:eastAsia="en-US"/>
        </w:rPr>
      </w:pPr>
      <w:r>
        <w:rPr>
          <w:lang w:val="en-GB" w:eastAsia="en-US"/>
        </w:rPr>
        <w:t>Upda</w:t>
      </w:r>
      <w:r w:rsidR="00B3259B">
        <w:rPr>
          <w:lang w:val="en-GB" w:eastAsia="en-US"/>
        </w:rPr>
        <w:t>te</w:t>
      </w:r>
      <w:r>
        <w:rPr>
          <w:lang w:val="en-GB" w:eastAsia="en-US"/>
        </w:rPr>
        <w:t xml:space="preserve"> the proportion of patients with unresectable, progressive disease </w:t>
      </w:r>
      <w:r w:rsidR="00B3259B">
        <w:rPr>
          <w:lang w:val="en-GB" w:eastAsia="en-US"/>
        </w:rPr>
        <w:t xml:space="preserve">to 55.6% </w:t>
      </w:r>
      <w:r>
        <w:rPr>
          <w:lang w:val="en-GB" w:eastAsia="en-US"/>
        </w:rPr>
        <w:t xml:space="preserve">(see </w:t>
      </w:r>
      <w:r w:rsidR="00B3259B">
        <w:rPr>
          <w:lang w:val="en-GB" w:eastAsia="en-US"/>
        </w:rPr>
        <w:fldChar w:fldCharType="begin"/>
      </w:r>
      <w:r w:rsidR="00B3259B">
        <w:rPr>
          <w:lang w:val="en-GB" w:eastAsia="en-US"/>
        </w:rPr>
        <w:instrText xml:space="preserve"> REF _Ref225287589 \h </w:instrText>
      </w:r>
      <w:r w:rsidR="00B3259B">
        <w:rPr>
          <w:lang w:val="en-GB" w:eastAsia="en-US"/>
        </w:rPr>
      </w:r>
      <w:r w:rsidR="00B3259B">
        <w:rPr>
          <w:lang w:val="en-GB" w:eastAsia="en-US"/>
        </w:rPr>
        <w:fldChar w:fldCharType="separate"/>
      </w:r>
      <w:r w:rsidR="001617F9">
        <w:t xml:space="preserve">Table </w:t>
      </w:r>
      <w:r w:rsidR="001617F9">
        <w:rPr>
          <w:noProof/>
        </w:rPr>
        <w:t>17</w:t>
      </w:r>
      <w:r w:rsidR="00B3259B">
        <w:rPr>
          <w:lang w:val="en-GB" w:eastAsia="en-US"/>
        </w:rPr>
        <w:fldChar w:fldCharType="end"/>
      </w:r>
      <w:r w:rsidR="00B3259B">
        <w:rPr>
          <w:lang w:val="en-GB" w:eastAsia="en-US"/>
        </w:rPr>
        <w:t>); and</w:t>
      </w:r>
    </w:p>
    <w:p w14:paraId="31F6A00E" w14:textId="49E94905" w:rsidR="00B3259B" w:rsidRDefault="00B3259B" w:rsidP="00921FF3">
      <w:pPr>
        <w:pStyle w:val="3-BodyText"/>
        <w:numPr>
          <w:ilvl w:val="0"/>
          <w:numId w:val="41"/>
        </w:numPr>
        <w:rPr>
          <w:lang w:val="en-GB" w:eastAsia="en-US"/>
        </w:rPr>
      </w:pPr>
      <w:r>
        <w:rPr>
          <w:lang w:val="en-GB" w:eastAsia="en-US"/>
        </w:rPr>
        <w:t xml:space="preserve">Update the </w:t>
      </w:r>
      <w:r w:rsidR="00FF351C">
        <w:rPr>
          <w:lang w:val="en-GB" w:eastAsia="en-US"/>
        </w:rPr>
        <w:t>price of selpercatinib to reflect the cost</w:t>
      </w:r>
      <w:r w:rsidR="00F66127">
        <w:rPr>
          <w:lang w:val="en-GB" w:eastAsia="en-US"/>
        </w:rPr>
        <w:t>-</w:t>
      </w:r>
      <w:r w:rsidR="00FF351C">
        <w:rPr>
          <w:lang w:val="en-GB" w:eastAsia="en-US"/>
        </w:rPr>
        <w:t>effective price (see paragraph</w:t>
      </w:r>
      <w:r w:rsidR="007E3114">
        <w:rPr>
          <w:lang w:val="en-GB" w:eastAsia="en-US"/>
        </w:rPr>
        <w:t xml:space="preserve"> </w:t>
      </w:r>
      <w:r w:rsidR="00950DE0">
        <w:rPr>
          <w:lang w:val="en-GB" w:eastAsia="en-US"/>
        </w:rPr>
        <w:fldChar w:fldCharType="begin"/>
      </w:r>
      <w:r w:rsidR="00950DE0">
        <w:rPr>
          <w:lang w:val="en-GB" w:eastAsia="en-US"/>
        </w:rPr>
        <w:instrText xml:space="preserve"> REF _Ref228431490 \r \h </w:instrText>
      </w:r>
      <w:r w:rsidR="00950DE0">
        <w:rPr>
          <w:lang w:val="en-GB" w:eastAsia="en-US"/>
        </w:rPr>
      </w:r>
      <w:r w:rsidR="00950DE0">
        <w:rPr>
          <w:lang w:val="en-GB" w:eastAsia="en-US"/>
        </w:rPr>
        <w:fldChar w:fldCharType="separate"/>
      </w:r>
      <w:r w:rsidR="001617F9">
        <w:rPr>
          <w:lang w:val="en-GB" w:eastAsia="en-US"/>
        </w:rPr>
        <w:t>7.10</w:t>
      </w:r>
      <w:r w:rsidR="00950DE0">
        <w:rPr>
          <w:lang w:val="en-GB" w:eastAsia="en-US"/>
        </w:rPr>
        <w:fldChar w:fldCharType="end"/>
      </w:r>
      <w:r w:rsidR="00FF351C">
        <w:rPr>
          <w:lang w:val="en-GB" w:eastAsia="en-US"/>
        </w:rPr>
        <w:t xml:space="preserve">). </w:t>
      </w:r>
    </w:p>
    <w:p w14:paraId="3A11B888" w14:textId="7EB5022C" w:rsidR="00902501" w:rsidRPr="00BE08C1" w:rsidRDefault="00257826" w:rsidP="00921FF3">
      <w:pPr>
        <w:pStyle w:val="3-BodyText"/>
      </w:pPr>
      <w:bookmarkStart w:id="120" w:name="_Ref225340640"/>
      <w:r w:rsidRPr="18988876">
        <w:rPr>
          <w:snapToGrid w:val="0"/>
        </w:rPr>
        <w:t xml:space="preserve">The PBAC considered that an RSA would be required to </w:t>
      </w:r>
      <w:r w:rsidR="00902501" w:rsidRPr="18988876">
        <w:rPr>
          <w:snapToGrid w:val="0"/>
        </w:rPr>
        <w:t xml:space="preserve">manage </w:t>
      </w:r>
      <w:r w:rsidR="00E07757" w:rsidRPr="18988876">
        <w:rPr>
          <w:snapToGrid w:val="0"/>
        </w:rPr>
        <w:t xml:space="preserve">the risk of use in patients with indolent disease (for whom cost-effectiveness is unknown) </w:t>
      </w:r>
      <w:r w:rsidR="007B1924">
        <w:rPr>
          <w:snapToGrid w:val="0"/>
        </w:rPr>
        <w:t>and the uncertainties regarding treatment duration</w:t>
      </w:r>
      <w:r w:rsidR="007B1924" w:rsidRPr="18988876">
        <w:rPr>
          <w:snapToGrid w:val="0"/>
        </w:rPr>
        <w:t xml:space="preserve"> </w:t>
      </w:r>
      <w:r w:rsidR="006B44B0" w:rsidRPr="18988876">
        <w:rPr>
          <w:snapToGrid w:val="0"/>
        </w:rPr>
        <w:t xml:space="preserve">and that a </w:t>
      </w:r>
      <w:r w:rsidR="5D156582">
        <w:t xml:space="preserve">rebate of at least </w:t>
      </w:r>
      <w:r w:rsidR="006B44B0" w:rsidRPr="18988876">
        <w:rPr>
          <w:snapToGrid w:val="0"/>
        </w:rPr>
        <w:t xml:space="preserve">80% for usage beyond estimated </w:t>
      </w:r>
      <w:r w:rsidR="00863BCD" w:rsidRPr="18988876">
        <w:rPr>
          <w:snapToGrid w:val="0"/>
        </w:rPr>
        <w:t>expenditure</w:t>
      </w:r>
      <w:r w:rsidR="006B44B0" w:rsidRPr="18988876">
        <w:rPr>
          <w:snapToGrid w:val="0"/>
        </w:rPr>
        <w:t xml:space="preserve"> would be </w:t>
      </w:r>
      <w:r w:rsidR="00863BCD" w:rsidRPr="18988876">
        <w:rPr>
          <w:snapToGrid w:val="0"/>
        </w:rPr>
        <w:t>appropriate</w:t>
      </w:r>
      <w:r w:rsidR="006B44B0" w:rsidRPr="18988876">
        <w:rPr>
          <w:snapToGrid w:val="0"/>
        </w:rPr>
        <w:t>.</w:t>
      </w:r>
      <w:bookmarkEnd w:id="120"/>
      <w:r w:rsidR="007E3114">
        <w:rPr>
          <w:snapToGrid w:val="0"/>
        </w:rPr>
        <w:t xml:space="preserve"> </w:t>
      </w:r>
    </w:p>
    <w:p w14:paraId="49DF2A0B" w14:textId="77777777" w:rsidR="00034995" w:rsidRPr="009F2AA4" w:rsidRDefault="00034995" w:rsidP="00921FF3">
      <w:pPr>
        <w:spacing w:before="240" w:after="0"/>
        <w:rPr>
          <w:rFonts w:cs="Arial"/>
          <w:b/>
          <w:bCs/>
          <w:snapToGrid w:val="0"/>
        </w:rPr>
      </w:pPr>
      <w:r w:rsidRPr="009F2AA4">
        <w:rPr>
          <w:rFonts w:cs="Arial"/>
          <w:b/>
          <w:bCs/>
          <w:snapToGrid w:val="0"/>
        </w:rPr>
        <w:t>Outcome:</w:t>
      </w:r>
    </w:p>
    <w:p w14:paraId="2DAA29B1" w14:textId="5BD69821" w:rsidR="00824703" w:rsidRDefault="00034995" w:rsidP="00C214D3">
      <w:pPr>
        <w:rPr>
          <w:rFonts w:cs="Arial"/>
          <w:bCs/>
          <w:snapToGrid w:val="0"/>
        </w:rPr>
      </w:pPr>
      <w:r w:rsidRPr="009F2AA4">
        <w:rPr>
          <w:rFonts w:cs="Arial"/>
          <w:bCs/>
          <w:snapToGrid w:val="0"/>
        </w:rPr>
        <w:t>Deferred</w:t>
      </w:r>
    </w:p>
    <w:p w14:paraId="209E9E59" w14:textId="6A59335D" w:rsidR="00824703" w:rsidRPr="00824703" w:rsidRDefault="003708BE" w:rsidP="00B73859">
      <w:pPr>
        <w:pStyle w:val="PBACESHeading1"/>
        <w:tabs>
          <w:tab w:val="clear" w:pos="1077"/>
        </w:tabs>
        <w:spacing w:before="160" w:after="160"/>
        <w:ind w:left="567" w:hanging="567"/>
      </w:pPr>
      <w:r w:rsidRPr="00B73859">
        <w:rPr>
          <w:b/>
          <w:bCs/>
        </w:rPr>
        <w:t>C</w:t>
      </w:r>
      <w:r w:rsidR="00824703" w:rsidRPr="003708BE">
        <w:rPr>
          <w:b/>
          <w:bCs/>
        </w:rPr>
        <w:t>ontext for Decision</w:t>
      </w:r>
    </w:p>
    <w:p w14:paraId="002D865E" w14:textId="77777777" w:rsidR="00824703" w:rsidRPr="00824703" w:rsidRDefault="00824703" w:rsidP="00824703">
      <w:pPr>
        <w:suppressAutoHyphens w:val="0"/>
        <w:spacing w:before="0" w:after="120"/>
        <w:ind w:left="540"/>
        <w:jc w:val="left"/>
        <w:rPr>
          <w:rFonts w:ascii="Calibri" w:eastAsia="Times New Roman" w:hAnsi="Calibri" w:cs="Calibri"/>
          <w:szCs w:val="24"/>
          <w:lang w:val="en-GB" w:eastAsia="en-AU"/>
        </w:rPr>
      </w:pPr>
      <w:r w:rsidRPr="00824703">
        <w:rPr>
          <w:rFonts w:ascii="Calibri" w:eastAsia="Times New Roman" w:hAnsi="Calibri" w:cs="Calibri"/>
          <w:szCs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D8862F1" w14:textId="4910C013" w:rsidR="00824703" w:rsidRPr="00824703" w:rsidRDefault="00824703" w:rsidP="00B73859">
      <w:pPr>
        <w:pStyle w:val="PBACESHeading1"/>
        <w:tabs>
          <w:tab w:val="clear" w:pos="1077"/>
        </w:tabs>
        <w:spacing w:before="160" w:after="160"/>
        <w:ind w:left="567" w:hanging="567"/>
      </w:pPr>
      <w:r w:rsidRPr="003708BE">
        <w:rPr>
          <w:b/>
          <w:bCs/>
        </w:rPr>
        <w:t>Sponsor’s Comment</w:t>
      </w:r>
    </w:p>
    <w:p w14:paraId="12C17E11" w14:textId="77777777" w:rsidR="00824703" w:rsidRPr="00824703" w:rsidRDefault="00824703" w:rsidP="00824703">
      <w:pPr>
        <w:suppressAutoHyphens w:val="0"/>
        <w:spacing w:before="0" w:after="120"/>
        <w:ind w:left="540"/>
        <w:jc w:val="left"/>
        <w:rPr>
          <w:rFonts w:ascii="Calibri" w:eastAsia="Times New Roman" w:hAnsi="Calibri" w:cs="Calibri"/>
          <w:szCs w:val="24"/>
          <w:lang w:eastAsia="en-AU"/>
        </w:rPr>
      </w:pPr>
      <w:r w:rsidRPr="00824703">
        <w:rPr>
          <w:rFonts w:ascii="Calibri" w:eastAsia="Times New Roman" w:hAnsi="Calibri" w:cs="Calibri"/>
          <w:szCs w:val="24"/>
          <w:lang w:eastAsia="en-AU"/>
        </w:rPr>
        <w:t>The sponsor had no comment.</w:t>
      </w:r>
    </w:p>
    <w:p w14:paraId="2C153C7B" w14:textId="309A61E4" w:rsidR="00D21F8E" w:rsidRPr="00C214D3" w:rsidRDefault="00D21F8E" w:rsidP="00C214D3">
      <w:pPr>
        <w:rPr>
          <w:rFonts w:cs="Arial"/>
          <w:bCs/>
          <w:snapToGrid w:val="0"/>
        </w:rPr>
      </w:pPr>
      <w:r>
        <w:rPr>
          <w:rFonts w:cs="Arial"/>
          <w:b/>
          <w:bCs/>
          <w:snapToGrid w:val="0"/>
        </w:rPr>
        <w:br w:type="page"/>
      </w:r>
    </w:p>
    <w:bookmarkEnd w:id="113"/>
    <w:p w14:paraId="7F77196C" w14:textId="5F14DA31" w:rsidR="005C4508" w:rsidRPr="00D800E6" w:rsidRDefault="005C4508" w:rsidP="005C4508">
      <w:pPr>
        <w:pStyle w:val="paragraph"/>
        <w:spacing w:before="0" w:beforeAutospacing="0" w:after="0" w:afterAutospacing="0"/>
        <w:textAlignment w:val="baseline"/>
        <w:rPr>
          <w:rFonts w:asciiTheme="minorHAnsi" w:eastAsiaTheme="minorEastAsia" w:hAnsiTheme="minorHAnsi" w:cstheme="minorBidi"/>
          <w:b/>
          <w:bCs/>
          <w:sz w:val="18"/>
          <w:szCs w:val="18"/>
        </w:rPr>
      </w:pPr>
      <w:r>
        <w:rPr>
          <w:rStyle w:val="eop"/>
          <w:rFonts w:asciiTheme="minorHAnsi" w:eastAsiaTheme="minorEastAsia" w:hAnsiTheme="minorHAnsi" w:cstheme="minorBidi"/>
          <w:b/>
          <w:bCs/>
          <w:color w:val="FF0000"/>
          <w:sz w:val="28"/>
          <w:szCs w:val="28"/>
        </w:rPr>
        <w:lastRenderedPageBreak/>
        <w:t xml:space="preserve">Addendum to the </w:t>
      </w:r>
      <w:r w:rsidR="00C068BC">
        <w:rPr>
          <w:rStyle w:val="eop"/>
          <w:rFonts w:asciiTheme="minorHAnsi" w:eastAsiaTheme="minorEastAsia" w:hAnsiTheme="minorHAnsi" w:cstheme="minorBidi"/>
          <w:b/>
          <w:bCs/>
          <w:color w:val="FF0000"/>
          <w:sz w:val="28"/>
          <w:szCs w:val="28"/>
        </w:rPr>
        <w:t xml:space="preserve">March 2026 </w:t>
      </w:r>
      <w:r>
        <w:rPr>
          <w:rStyle w:val="eop"/>
          <w:rFonts w:asciiTheme="minorHAnsi" w:eastAsiaTheme="minorEastAsia" w:hAnsiTheme="minorHAnsi" w:cstheme="minorBidi"/>
          <w:b/>
          <w:bCs/>
          <w:color w:val="FF0000"/>
          <w:sz w:val="28"/>
          <w:szCs w:val="28"/>
        </w:rPr>
        <w:t>Public Summary Document</w:t>
      </w:r>
    </w:p>
    <w:p w14:paraId="6765C369" w14:textId="77777777" w:rsidR="00C214D3" w:rsidRDefault="00C214D3" w:rsidP="003A4C29">
      <w:pPr>
        <w:tabs>
          <w:tab w:val="left" w:pos="1134"/>
        </w:tabs>
        <w:contextualSpacing/>
        <w:rPr>
          <w:rFonts w:ascii="Calibri" w:hAnsi="Calibri" w:cs="Calibri"/>
          <w:b/>
          <w:szCs w:val="24"/>
          <w:u w:val="single"/>
        </w:rPr>
      </w:pPr>
    </w:p>
    <w:p w14:paraId="32E156E2" w14:textId="087D8C5F" w:rsidR="00DD2E45" w:rsidRPr="009F2AA4" w:rsidRDefault="00D124B7" w:rsidP="003A4C29">
      <w:pPr>
        <w:tabs>
          <w:tab w:val="left" w:pos="1134"/>
        </w:tabs>
        <w:contextualSpacing/>
        <w:rPr>
          <w:b/>
          <w:smallCaps/>
          <w:sz w:val="36"/>
          <w:szCs w:val="36"/>
        </w:rPr>
      </w:pPr>
      <w:r>
        <w:rPr>
          <w:b/>
          <w:smallCaps/>
          <w:sz w:val="36"/>
          <w:szCs w:val="36"/>
        </w:rPr>
        <w:t>OOS</w:t>
      </w:r>
      <w:r w:rsidR="001617F9">
        <w:rPr>
          <w:b/>
          <w:smallCaps/>
          <w:sz w:val="36"/>
          <w:szCs w:val="36"/>
        </w:rPr>
        <w:t xml:space="preserve"> </w:t>
      </w:r>
      <w:r w:rsidR="00DD2E45">
        <w:rPr>
          <w:b/>
          <w:smallCaps/>
          <w:sz w:val="36"/>
          <w:szCs w:val="36"/>
        </w:rPr>
        <w:tab/>
      </w:r>
      <w:r w:rsidR="00DD2E45" w:rsidRPr="009F2AA4">
        <w:rPr>
          <w:rFonts w:eastAsia="Times New Roman" w:cs="Times New Roman"/>
          <w:b/>
          <w:bCs/>
          <w:spacing w:val="5"/>
          <w:kern w:val="2"/>
          <w:sz w:val="36"/>
          <w:szCs w:val="36"/>
          <w:lang w:eastAsia="en-AU"/>
        </w:rPr>
        <w:t>SELPERCATINIB,</w:t>
      </w:r>
    </w:p>
    <w:p w14:paraId="09CEF5A5" w14:textId="77777777" w:rsidR="00DD2E45" w:rsidRDefault="00DD2E45" w:rsidP="003A4C29">
      <w:pPr>
        <w:spacing w:after="0"/>
        <w:ind w:left="1191" w:hanging="57"/>
        <w:contextualSpacing/>
        <w:jc w:val="left"/>
        <w:rPr>
          <w:rFonts w:eastAsia="Times New Roman" w:cs="Times New Roman"/>
          <w:b/>
          <w:bCs/>
          <w:spacing w:val="5"/>
          <w:kern w:val="2"/>
          <w:sz w:val="36"/>
          <w:szCs w:val="36"/>
          <w:lang w:eastAsia="en-AU"/>
        </w:rPr>
      </w:pPr>
      <w:r>
        <w:rPr>
          <w:rFonts w:eastAsia="Times New Roman" w:cs="Times New Roman"/>
          <w:b/>
          <w:bCs/>
          <w:spacing w:val="5"/>
          <w:kern w:val="2"/>
          <w:sz w:val="36"/>
          <w:szCs w:val="36"/>
          <w:lang w:eastAsia="en-AU"/>
        </w:rPr>
        <w:t>Capsule 40 mg,</w:t>
      </w:r>
    </w:p>
    <w:p w14:paraId="63B270BD" w14:textId="77777777" w:rsidR="00DD2E45" w:rsidRDefault="00DD2E45" w:rsidP="00DD2E45">
      <w:pPr>
        <w:spacing w:after="0"/>
        <w:ind w:left="1191"/>
        <w:contextualSpacing/>
        <w:jc w:val="left"/>
        <w:rPr>
          <w:rFonts w:eastAsia="Times New Roman" w:cs="Times New Roman"/>
          <w:b/>
          <w:bCs/>
          <w:spacing w:val="5"/>
          <w:kern w:val="2"/>
          <w:sz w:val="36"/>
          <w:szCs w:val="36"/>
          <w:lang w:eastAsia="en-AU"/>
        </w:rPr>
      </w:pPr>
      <w:r>
        <w:rPr>
          <w:rFonts w:eastAsia="Times New Roman" w:cs="Times New Roman"/>
          <w:b/>
          <w:bCs/>
          <w:spacing w:val="5"/>
          <w:kern w:val="2"/>
          <w:sz w:val="36"/>
          <w:szCs w:val="36"/>
          <w:lang w:eastAsia="en-AU"/>
        </w:rPr>
        <w:t>Tablet 40 mg,</w:t>
      </w:r>
    </w:p>
    <w:p w14:paraId="4F9BEC89" w14:textId="77777777" w:rsidR="00DD2E45" w:rsidRDefault="00DD2E45" w:rsidP="00DD2E45">
      <w:pPr>
        <w:spacing w:after="0"/>
        <w:ind w:left="1191"/>
        <w:contextualSpacing/>
        <w:jc w:val="left"/>
        <w:rPr>
          <w:rFonts w:eastAsia="Times New Roman" w:cs="Times New Roman"/>
          <w:b/>
          <w:bCs/>
          <w:spacing w:val="5"/>
          <w:kern w:val="2"/>
          <w:sz w:val="36"/>
          <w:szCs w:val="36"/>
          <w:lang w:eastAsia="en-AU"/>
        </w:rPr>
      </w:pPr>
      <w:r>
        <w:rPr>
          <w:rFonts w:eastAsia="Times New Roman" w:cs="Times New Roman"/>
          <w:b/>
          <w:bCs/>
          <w:spacing w:val="5"/>
          <w:kern w:val="2"/>
          <w:sz w:val="36"/>
          <w:szCs w:val="36"/>
          <w:lang w:eastAsia="en-AU"/>
        </w:rPr>
        <w:t>Capsule 80 mg,</w:t>
      </w:r>
    </w:p>
    <w:p w14:paraId="2BCE107F" w14:textId="77777777" w:rsidR="00DD2E45" w:rsidRDefault="00DD2E45" w:rsidP="00DD2E45">
      <w:pPr>
        <w:spacing w:after="0"/>
        <w:ind w:left="1191"/>
        <w:contextualSpacing/>
        <w:jc w:val="left"/>
        <w:rPr>
          <w:rFonts w:eastAsia="Times New Roman" w:cs="Times New Roman"/>
          <w:b/>
          <w:bCs/>
          <w:spacing w:val="5"/>
          <w:kern w:val="2"/>
          <w:sz w:val="36"/>
          <w:szCs w:val="36"/>
          <w:lang w:eastAsia="en-AU"/>
        </w:rPr>
      </w:pPr>
      <w:r>
        <w:rPr>
          <w:rFonts w:eastAsia="Times New Roman" w:cs="Times New Roman"/>
          <w:b/>
          <w:bCs/>
          <w:spacing w:val="5"/>
          <w:kern w:val="2"/>
          <w:sz w:val="36"/>
          <w:szCs w:val="36"/>
          <w:lang w:eastAsia="en-AU"/>
        </w:rPr>
        <w:t>Tablet 80 mg</w:t>
      </w:r>
    </w:p>
    <w:p w14:paraId="1B5BB1FA" w14:textId="77777777" w:rsidR="00DD2E45" w:rsidRPr="009F2AA4" w:rsidRDefault="00DD2E45" w:rsidP="00DD2E45">
      <w:pPr>
        <w:ind w:left="1191"/>
        <w:contextualSpacing/>
        <w:rPr>
          <w:b/>
          <w:bCs/>
          <w:smallCaps/>
          <w:color w:val="000000"/>
          <w:sz w:val="36"/>
          <w:szCs w:val="36"/>
        </w:rPr>
      </w:pPr>
      <w:r w:rsidRPr="009F2AA4">
        <w:rPr>
          <w:b/>
          <w:bCs/>
          <w:smallCaps/>
          <w:color w:val="000000"/>
          <w:sz w:val="36"/>
          <w:szCs w:val="36"/>
        </w:rPr>
        <w:t>RETEVMO®</w:t>
      </w:r>
      <w:r>
        <w:rPr>
          <w:b/>
          <w:bCs/>
          <w:smallCaps/>
          <w:color w:val="000000"/>
          <w:sz w:val="36"/>
          <w:szCs w:val="36"/>
        </w:rPr>
        <w:t>,</w:t>
      </w:r>
    </w:p>
    <w:p w14:paraId="27C7957E" w14:textId="77777777" w:rsidR="00DD2E45" w:rsidRPr="009F2AA4" w:rsidRDefault="00DD2E45" w:rsidP="00DD2E45">
      <w:pPr>
        <w:spacing w:before="0" w:line="259" w:lineRule="auto"/>
        <w:ind w:left="1191"/>
        <w:contextualSpacing/>
        <w:jc w:val="left"/>
        <w:rPr>
          <w:b/>
          <w:bCs/>
          <w:sz w:val="36"/>
          <w:szCs w:val="36"/>
        </w:rPr>
      </w:pPr>
      <w:r w:rsidRPr="009F2AA4">
        <w:rPr>
          <w:b/>
          <w:bCs/>
          <w:sz w:val="36"/>
          <w:szCs w:val="36"/>
        </w:rPr>
        <w:t>Eli Lilly Australia Pty Ltd</w:t>
      </w:r>
    </w:p>
    <w:p w14:paraId="3C0AB473" w14:textId="2BE4C253" w:rsidR="00DD2E45" w:rsidRPr="00400A65" w:rsidRDefault="00400A65" w:rsidP="003A4C29">
      <w:pPr>
        <w:pStyle w:val="PBACESHeading1"/>
        <w:spacing w:before="160" w:after="160"/>
        <w:rPr>
          <w:b/>
          <w:bCs/>
        </w:rPr>
      </w:pPr>
      <w:r w:rsidRPr="00400A65">
        <w:rPr>
          <w:b/>
          <w:bCs/>
        </w:rPr>
        <w:t>Background</w:t>
      </w:r>
    </w:p>
    <w:p w14:paraId="6A0F9A5F" w14:textId="6A60BF89" w:rsidR="00400A65" w:rsidRPr="004C1AAC" w:rsidRDefault="005F775F" w:rsidP="003A4C29">
      <w:pPr>
        <w:pStyle w:val="3-BodyText"/>
      </w:pPr>
      <w:r>
        <w:t xml:space="preserve">At its March 2026 meeting, </w:t>
      </w:r>
      <w:r>
        <w:rPr>
          <w:snapToGrid w:val="0"/>
        </w:rPr>
        <w:t>t</w:t>
      </w:r>
      <w:r w:rsidRPr="000F11C6">
        <w:rPr>
          <w:snapToGrid w:val="0"/>
        </w:rPr>
        <w:t>he PBAC deferred making a recommendation for selpercatinib for the treatment of patients with unresectable and progressive locally advanced or metastatic medullary thyroid cancer (MTC) and evidence of</w:t>
      </w:r>
      <w:r w:rsidRPr="000F11C6">
        <w:rPr>
          <w:i/>
          <w:snapToGrid w:val="0"/>
        </w:rPr>
        <w:t xml:space="preserve"> RET </w:t>
      </w:r>
      <w:r w:rsidRPr="000F11C6">
        <w:rPr>
          <w:snapToGrid w:val="0"/>
        </w:rPr>
        <w:t>variants. The PBAC deferred with a mind to recommend, pending MSAC consideration of the codependent test for</w:t>
      </w:r>
      <w:r w:rsidRPr="000F11C6">
        <w:rPr>
          <w:i/>
          <w:snapToGrid w:val="0"/>
        </w:rPr>
        <w:t xml:space="preserve"> RET </w:t>
      </w:r>
      <w:r w:rsidRPr="000F11C6">
        <w:rPr>
          <w:snapToGrid w:val="0"/>
        </w:rPr>
        <w:t>variants.</w:t>
      </w:r>
    </w:p>
    <w:p w14:paraId="5BA87143" w14:textId="083BB877" w:rsidR="00C83DEA" w:rsidRDefault="00C83DEA" w:rsidP="004C1AAC">
      <w:pPr>
        <w:pStyle w:val="3-BodyText"/>
      </w:pPr>
      <w:r>
        <w:rPr>
          <w:snapToGrid w:val="0"/>
        </w:rPr>
        <w:t xml:space="preserve">Subsequent to the March 2026 PBAC meeting, the MSAC </w:t>
      </w:r>
      <w:r w:rsidR="00525E63" w:rsidRPr="00525E63">
        <w:rPr>
          <w:snapToGrid w:val="0"/>
        </w:rPr>
        <w:t>supported public funding of testing to detect RET variants in patients with medullary thyroid cancer to determine eligibility for PBS subsidised selpercatinib treatment.</w:t>
      </w:r>
      <w:r w:rsidR="00FC1BCE">
        <w:rPr>
          <w:snapToGrid w:val="0"/>
        </w:rPr>
        <w:t xml:space="preserve"> </w:t>
      </w:r>
    </w:p>
    <w:p w14:paraId="7726BFE5" w14:textId="7BA7D193" w:rsidR="00400A65" w:rsidRPr="003A4C29" w:rsidRDefault="00400A65" w:rsidP="003A4C29">
      <w:pPr>
        <w:pStyle w:val="PBACESHeading1"/>
        <w:spacing w:before="160" w:after="160"/>
        <w:rPr>
          <w:b/>
          <w:bCs/>
        </w:rPr>
      </w:pPr>
      <w:r w:rsidRPr="003A4C29">
        <w:rPr>
          <w:b/>
          <w:bCs/>
        </w:rPr>
        <w:t>PBAC Outcome</w:t>
      </w:r>
    </w:p>
    <w:p w14:paraId="37A09E9E" w14:textId="0400033D" w:rsidR="00400A65" w:rsidRDefault="00044D17" w:rsidP="003A4C29">
      <w:pPr>
        <w:pStyle w:val="3-BodyText"/>
      </w:pPr>
      <w:r>
        <w:t>T</w:t>
      </w:r>
      <w:r w:rsidRPr="00044D17">
        <w:t xml:space="preserve">he PBAC </w:t>
      </w:r>
      <w:r>
        <w:t xml:space="preserve">recommended the listing of </w:t>
      </w:r>
      <w:r w:rsidRPr="00044D17">
        <w:t>selpercatinib for the treatment of patients with unresectable and progressive locally advanced or metastatic medullary thyroid cancer (MTC) and evidence of RET variants.</w:t>
      </w:r>
      <w:r w:rsidR="00FC1BCE">
        <w:t xml:space="preserve"> </w:t>
      </w:r>
      <w:r w:rsidR="00B52B65">
        <w:t xml:space="preserve">The PBAC noted MSAC </w:t>
      </w:r>
      <w:r w:rsidR="00796B91">
        <w:t xml:space="preserve">was </w:t>
      </w:r>
      <w:r w:rsidR="00B52B65">
        <w:t>support</w:t>
      </w:r>
      <w:r w:rsidR="00796B91">
        <w:t>ive</w:t>
      </w:r>
      <w:r w:rsidR="00B52B65">
        <w:t xml:space="preserve"> </w:t>
      </w:r>
      <w:r w:rsidR="00796B91">
        <w:t xml:space="preserve">of </w:t>
      </w:r>
      <w:r w:rsidR="00B52B65">
        <w:t xml:space="preserve">public funding of </w:t>
      </w:r>
      <w:r w:rsidR="00796B91">
        <w:t xml:space="preserve">testing to detect RET variants. </w:t>
      </w:r>
    </w:p>
    <w:p w14:paraId="6F2BAE47" w14:textId="2F3108E7" w:rsidR="00605F66" w:rsidRDefault="00605F66" w:rsidP="003A4C29">
      <w:pPr>
        <w:pStyle w:val="3-BodyText"/>
      </w:pPr>
      <w:r>
        <w:t xml:space="preserve">The PBAC reaffirmed its advice </w:t>
      </w:r>
      <w:r w:rsidR="00CF3DAA">
        <w:t>regarding</w:t>
      </w:r>
      <w:r>
        <w:t xml:space="preserve"> </w:t>
      </w:r>
      <w:r w:rsidR="00D36DCB">
        <w:t>the acceptable</w:t>
      </w:r>
      <w:r>
        <w:t xml:space="preserve"> </w:t>
      </w:r>
      <w:r w:rsidR="00BB2705">
        <w:t>cost-effectiveness</w:t>
      </w:r>
      <w:r w:rsidR="00EA4969">
        <w:t xml:space="preserve"> parameters</w:t>
      </w:r>
      <w:r w:rsidR="00D36DCB">
        <w:t>,</w:t>
      </w:r>
      <w:r w:rsidR="000537E0">
        <w:t xml:space="preserve"> PBS restriction,</w:t>
      </w:r>
      <w:r w:rsidR="00EA4969">
        <w:t xml:space="preserve"> </w:t>
      </w:r>
      <w:r w:rsidR="00CF3DAA">
        <w:t>financial estimates</w:t>
      </w:r>
      <w:r w:rsidR="00EB76ED">
        <w:t xml:space="preserve"> </w:t>
      </w:r>
      <w:r w:rsidR="00EA3751">
        <w:t xml:space="preserve">and risk-sharing arrangements as outlined in </w:t>
      </w:r>
      <w:r w:rsidR="003D5205">
        <w:t xml:space="preserve">Section </w:t>
      </w:r>
      <w:r w:rsidR="00EA3751">
        <w:fldChar w:fldCharType="begin"/>
      </w:r>
      <w:r w:rsidR="00EA3751">
        <w:instrText xml:space="preserve"> REF _Ref228373877 \r \h </w:instrText>
      </w:r>
      <w:r w:rsidR="00EA3751">
        <w:fldChar w:fldCharType="separate"/>
      </w:r>
      <w:r w:rsidR="00EA3751">
        <w:t>7</w:t>
      </w:r>
      <w:r w:rsidR="00EA3751">
        <w:fldChar w:fldCharType="end"/>
      </w:r>
      <w:r w:rsidR="003D5205">
        <w:t xml:space="preserve">. </w:t>
      </w:r>
    </w:p>
    <w:p w14:paraId="475128F9" w14:textId="491F474E" w:rsidR="00FC32A9" w:rsidRDefault="00FC32A9" w:rsidP="00FC32A9">
      <w:pPr>
        <w:pStyle w:val="3-BodyText"/>
      </w:pPr>
      <w:r>
        <w:t xml:space="preserve">The PBAC found that the criteria prescribed by the </w:t>
      </w:r>
      <w:r w:rsidRPr="00F41E08">
        <w:rPr>
          <w:i/>
          <w:iCs/>
        </w:rPr>
        <w:t>National Health (Pharmaceuticals and Vaccines – Cost Recovery) Regulations 2022</w:t>
      </w:r>
      <w:r>
        <w:t xml:space="preserve"> for Pricing Pathway A were met. Specifically the PBAC found that in the circumstances of its recommendation for </w:t>
      </w:r>
      <w:r w:rsidR="00D66AE6">
        <w:t>selpercatinib</w:t>
      </w:r>
      <w:r>
        <w:t>:</w:t>
      </w:r>
    </w:p>
    <w:p w14:paraId="0F9DB0E0" w14:textId="5B6ED4FF" w:rsidR="00FC32A9" w:rsidRDefault="00FC32A9" w:rsidP="00950DE0">
      <w:pPr>
        <w:pStyle w:val="3-BodyText"/>
        <w:numPr>
          <w:ilvl w:val="0"/>
          <w:numId w:val="47"/>
        </w:numPr>
      </w:pPr>
      <w:r>
        <w:t>The treatment is expected to provide a substantial and clinically relevant improvement in efficacy, over alternative therapies,</w:t>
      </w:r>
      <w:r w:rsidR="001617F9">
        <w:t xml:space="preserve"> </w:t>
      </w:r>
      <w:r w:rsidR="005F242F" w:rsidRPr="005F242F">
        <w:t xml:space="preserve">on the basis of the benefit observed </w:t>
      </w:r>
      <w:r w:rsidR="002C2733">
        <w:t xml:space="preserve">in the LIBRETTO-531 trial </w:t>
      </w:r>
      <w:r w:rsidR="005F242F" w:rsidRPr="005F242F">
        <w:t>for both progression free survival and overall survival</w:t>
      </w:r>
      <w:r w:rsidR="005F242F">
        <w:t xml:space="preserve"> </w:t>
      </w:r>
      <w:r w:rsidR="001405D0">
        <w:t xml:space="preserve">(see paragraph </w:t>
      </w:r>
      <w:r w:rsidR="001405D0">
        <w:fldChar w:fldCharType="begin"/>
      </w:r>
      <w:r w:rsidR="001405D0">
        <w:instrText xml:space="preserve"> REF _Ref228283579 \r \h </w:instrText>
      </w:r>
      <w:r w:rsidR="001405D0">
        <w:fldChar w:fldCharType="separate"/>
      </w:r>
      <w:r w:rsidR="001617F9">
        <w:t>7.6</w:t>
      </w:r>
      <w:r w:rsidR="001405D0">
        <w:fldChar w:fldCharType="end"/>
      </w:r>
      <w:r w:rsidR="001405D0">
        <w:t>)</w:t>
      </w:r>
      <w:r>
        <w:t xml:space="preserve">; </w:t>
      </w:r>
    </w:p>
    <w:p w14:paraId="0CFC6DBA" w14:textId="2967229E" w:rsidR="00FC32A9" w:rsidRDefault="00FC32A9" w:rsidP="00FC32A9">
      <w:pPr>
        <w:pStyle w:val="3-BodyText"/>
        <w:numPr>
          <w:ilvl w:val="0"/>
          <w:numId w:val="47"/>
        </w:numPr>
      </w:pPr>
      <w:r>
        <w:lastRenderedPageBreak/>
        <w:t>The treatment is expected to address a high and urgent unmet clinical need</w:t>
      </w:r>
      <w:r w:rsidR="00D66AE6">
        <w:t xml:space="preserve"> </w:t>
      </w:r>
      <w:r>
        <w:t xml:space="preserve">due to </w:t>
      </w:r>
      <w:r w:rsidR="00D66AE6">
        <w:t xml:space="preserve">the lack of effective treatment options (see paragraph </w:t>
      </w:r>
      <w:r w:rsidR="00D66AE6">
        <w:fldChar w:fldCharType="begin"/>
      </w:r>
      <w:r w:rsidR="00D66AE6">
        <w:instrText xml:space="preserve"> REF _Ref228283623 \r \h </w:instrText>
      </w:r>
      <w:r w:rsidR="00D66AE6">
        <w:fldChar w:fldCharType="separate"/>
      </w:r>
      <w:r w:rsidR="001617F9">
        <w:t>7.5</w:t>
      </w:r>
      <w:r w:rsidR="00D66AE6">
        <w:fldChar w:fldCharType="end"/>
      </w:r>
      <w:r w:rsidR="00D66AE6">
        <w:t>)</w:t>
      </w:r>
      <w:r>
        <w:t>;</w:t>
      </w:r>
      <w:r w:rsidR="00D66AE6">
        <w:t xml:space="preserve"> and</w:t>
      </w:r>
    </w:p>
    <w:p w14:paraId="645F76BB" w14:textId="7B0B4AB3" w:rsidR="00FC32A9" w:rsidRDefault="00FC32A9" w:rsidP="00D66AE6">
      <w:pPr>
        <w:pStyle w:val="3-BodyText"/>
        <w:numPr>
          <w:ilvl w:val="0"/>
          <w:numId w:val="47"/>
        </w:numPr>
      </w:pPr>
      <w:r>
        <w:t>It would be in the public interest for the subsequent pricing application to be progressed under Pricing Pathway A on the basis of the preceding findings</w:t>
      </w:r>
      <w:r w:rsidR="00D66AE6">
        <w:t>.</w:t>
      </w:r>
      <w:r>
        <w:t xml:space="preserve"> </w:t>
      </w:r>
    </w:p>
    <w:p w14:paraId="7E7328D4" w14:textId="727EAA87" w:rsidR="00904434" w:rsidRPr="005B6C26" w:rsidRDefault="00904434" w:rsidP="00FC32A9">
      <w:pPr>
        <w:pStyle w:val="3-BodyText"/>
        <w:rPr>
          <w:snapToGrid w:val="0"/>
        </w:rPr>
      </w:pPr>
      <w:r w:rsidRPr="00D66AE6">
        <w:t>The</w:t>
      </w:r>
      <w:r w:rsidRPr="005B6C26">
        <w:rPr>
          <w:snapToGrid w:val="0"/>
        </w:rPr>
        <w:t xml:space="preserve"> PBAC noted that this submission is not eligible for an Independent Review as it received a positive recommendation.</w:t>
      </w:r>
    </w:p>
    <w:p w14:paraId="53E1AA63" w14:textId="77777777" w:rsidR="009933D8" w:rsidRDefault="009933D8" w:rsidP="009933D8">
      <w:pPr>
        <w:pStyle w:val="3-BodyText"/>
        <w:numPr>
          <w:ilvl w:val="0"/>
          <w:numId w:val="0"/>
        </w:numPr>
      </w:pPr>
    </w:p>
    <w:p w14:paraId="0383CFE6" w14:textId="77777777" w:rsidR="009933D8" w:rsidRPr="009933D8" w:rsidRDefault="009933D8" w:rsidP="00B73859">
      <w:pPr>
        <w:pStyle w:val="3-BodyText"/>
        <w:numPr>
          <w:ilvl w:val="0"/>
          <w:numId w:val="0"/>
        </w:numPr>
        <w:spacing w:after="0"/>
        <w:rPr>
          <w:b/>
          <w:bCs/>
        </w:rPr>
      </w:pPr>
      <w:r w:rsidRPr="009933D8">
        <w:rPr>
          <w:b/>
          <w:bCs/>
        </w:rPr>
        <w:t>Outcome:</w:t>
      </w:r>
    </w:p>
    <w:p w14:paraId="4916DAAE" w14:textId="445171B4" w:rsidR="009933D8" w:rsidRDefault="009933D8" w:rsidP="00B73859">
      <w:pPr>
        <w:pStyle w:val="3-BodyText"/>
        <w:numPr>
          <w:ilvl w:val="0"/>
          <w:numId w:val="0"/>
        </w:numPr>
        <w:spacing w:before="0"/>
      </w:pPr>
      <w:r>
        <w:t>Recommended</w:t>
      </w:r>
    </w:p>
    <w:p w14:paraId="3AD2A894" w14:textId="0785CBE0" w:rsidR="00400A65" w:rsidRPr="003A4C29" w:rsidRDefault="00400A65" w:rsidP="003A4C29">
      <w:pPr>
        <w:pStyle w:val="PBACESHeading1"/>
        <w:spacing w:before="160" w:after="160"/>
        <w:rPr>
          <w:b/>
          <w:bCs/>
        </w:rPr>
      </w:pPr>
      <w:r w:rsidRPr="003A4C29">
        <w:rPr>
          <w:b/>
          <w:bCs/>
        </w:rPr>
        <w:t>Recommended listing</w:t>
      </w:r>
    </w:p>
    <w:p w14:paraId="7276A504" w14:textId="6EC949DB" w:rsidR="00921FF3" w:rsidRDefault="00547C35" w:rsidP="00C53E65">
      <w:pPr>
        <w:pStyle w:val="3-BodyText"/>
      </w:pPr>
      <w:r>
        <w:t>Add new item:</w:t>
      </w:r>
    </w:p>
    <w:p w14:paraId="690A6DE5" w14:textId="77777777" w:rsidR="003A4C29" w:rsidRDefault="003A4C29">
      <w:pPr>
        <w:pStyle w:val="3-BodyText"/>
        <w:numPr>
          <w:ilvl w:val="0"/>
          <w:numId w:val="0"/>
        </w:num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Pr>
      <w:tblGrid>
        <w:gridCol w:w="421"/>
        <w:gridCol w:w="992"/>
        <w:gridCol w:w="2526"/>
        <w:gridCol w:w="811"/>
        <w:gridCol w:w="812"/>
        <w:gridCol w:w="811"/>
        <w:gridCol w:w="812"/>
        <w:gridCol w:w="1831"/>
      </w:tblGrid>
      <w:tr w:rsidR="00C53E65" w:rsidRPr="00C53E65" w14:paraId="298AF962" w14:textId="77777777">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24DCE618"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b/>
                <w:bCs/>
                <w:kern w:val="2"/>
                <w:sz w:val="20"/>
                <w:szCs w:val="20"/>
                <w14:ligatures w14:val="standardContextual"/>
              </w:rPr>
            </w:pPr>
            <w:r w:rsidRPr="00C53E65">
              <w:rPr>
                <w:rFonts w:ascii="Arial Narrow" w:eastAsia="Calibri" w:hAnsi="Arial Narrow" w:cs="Arial"/>
                <w:b/>
                <w:bCs/>
                <w:kern w:val="2"/>
                <w:sz w:val="20"/>
                <w:szCs w:val="20"/>
                <w14:ligatures w14:val="standardContextual"/>
              </w:rPr>
              <w:t>MEDICINAL PRODUCT</w:t>
            </w:r>
          </w:p>
          <w:p w14:paraId="4973E4E9"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b/>
                <w:kern w:val="2"/>
                <w:sz w:val="20"/>
                <w:szCs w:val="20"/>
                <w14:ligatures w14:val="standardContextual"/>
              </w:rPr>
            </w:pPr>
            <w:r w:rsidRPr="00C53E65">
              <w:rPr>
                <w:rFonts w:ascii="Arial Narrow" w:eastAsia="Calibri" w:hAnsi="Arial Narrow" w:cs="Arial"/>
                <w:b/>
                <w:bCs/>
                <w:kern w:val="2"/>
                <w:sz w:val="20"/>
                <w:szCs w:val="20"/>
                <w14:ligatures w14:val="standardContextual"/>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7E218F57"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b/>
                <w:kern w:val="2"/>
                <w:sz w:val="20"/>
                <w:szCs w:val="20"/>
                <w14:ligatures w14:val="standardContextual"/>
              </w:rPr>
            </w:pPr>
            <w:r w:rsidRPr="00C53E65">
              <w:rPr>
                <w:rFonts w:ascii="Arial Narrow" w:eastAsia="Calibri" w:hAnsi="Arial Narrow" w:cs="Arial"/>
                <w:b/>
                <w:kern w:val="2"/>
                <w:sz w:val="20"/>
                <w:szCs w:val="20"/>
                <w14:ligatures w14:val="standardContextual"/>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6884EE7F"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b/>
                <w:kern w:val="2"/>
                <w:sz w:val="20"/>
                <w:szCs w:val="20"/>
                <w14:ligatures w14:val="standardContextual"/>
              </w:rPr>
            </w:pPr>
            <w:r w:rsidRPr="00C53E65">
              <w:rPr>
                <w:rFonts w:ascii="Arial Narrow" w:eastAsia="Calibri" w:hAnsi="Arial Narrow" w:cs="Arial"/>
                <w:b/>
                <w:kern w:val="2"/>
                <w:sz w:val="20"/>
                <w:szCs w:val="20"/>
                <w14:ligatures w14:val="standardContextual"/>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4EBE5B92"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b/>
                <w:kern w:val="2"/>
                <w:sz w:val="20"/>
                <w:szCs w:val="20"/>
                <w14:ligatures w14:val="standardContextual"/>
              </w:rPr>
            </w:pPr>
            <w:r w:rsidRPr="00C53E65">
              <w:rPr>
                <w:rFonts w:ascii="Arial Narrow" w:eastAsia="Calibri" w:hAnsi="Arial Narrow" w:cs="Arial"/>
                <w:b/>
                <w:kern w:val="2"/>
                <w:sz w:val="20"/>
                <w:szCs w:val="20"/>
                <w14:ligatures w14:val="standardContextual"/>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77CBDD48"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b/>
                <w:kern w:val="2"/>
                <w:sz w:val="20"/>
                <w:szCs w:val="20"/>
                <w14:ligatures w14:val="standardContextual"/>
              </w:rPr>
            </w:pPr>
            <w:r w:rsidRPr="00C53E65">
              <w:rPr>
                <w:rFonts w:ascii="Arial Narrow" w:eastAsia="Calibri" w:hAnsi="Arial Narrow" w:cs="Arial"/>
                <w:b/>
                <w:kern w:val="2"/>
                <w:sz w:val="20"/>
                <w:szCs w:val="20"/>
                <w14:ligatures w14:val="standardContextual"/>
              </w:rPr>
              <w:t>№.of</w:t>
            </w:r>
          </w:p>
          <w:p w14:paraId="62F50CEA"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b/>
                <w:kern w:val="2"/>
                <w:sz w:val="20"/>
                <w:szCs w:val="20"/>
                <w14:ligatures w14:val="standardContextual"/>
              </w:rPr>
            </w:pPr>
            <w:r w:rsidRPr="00C53E65">
              <w:rPr>
                <w:rFonts w:ascii="Arial Narrow" w:eastAsia="Calibri" w:hAnsi="Arial Narrow" w:cs="Arial"/>
                <w:b/>
                <w:kern w:val="2"/>
                <w:sz w:val="20"/>
                <w:szCs w:val="20"/>
                <w14:ligatures w14:val="standardContextual"/>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6DFD4D4A"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b/>
                <w:kern w:val="2"/>
                <w:sz w:val="20"/>
                <w:szCs w:val="20"/>
                <w:lang w:val="fr-FR"/>
                <w14:ligatures w14:val="standardContextual"/>
              </w:rPr>
            </w:pPr>
            <w:r w:rsidRPr="00C53E65">
              <w:rPr>
                <w:rFonts w:ascii="Arial Narrow" w:eastAsia="Calibri" w:hAnsi="Arial Narrow" w:cs="Arial"/>
                <w:b/>
                <w:kern w:val="2"/>
                <w:sz w:val="20"/>
                <w:szCs w:val="20"/>
                <w14:ligatures w14:val="standardContextual"/>
              </w:rPr>
              <w:t>Available brands</w:t>
            </w:r>
          </w:p>
        </w:tc>
      </w:tr>
      <w:tr w:rsidR="00C53E65" w:rsidRPr="00C53E65" w14:paraId="07F71748" w14:textId="77777777">
        <w:trPr>
          <w:cantSplit/>
          <w:trHeight w:val="20"/>
        </w:trPr>
        <w:tc>
          <w:tcPr>
            <w:tcW w:w="9016" w:type="dxa"/>
            <w:gridSpan w:val="8"/>
            <w:tcBorders>
              <w:top w:val="single" w:sz="4" w:space="0" w:color="auto"/>
              <w:left w:val="single" w:sz="4" w:space="0" w:color="auto"/>
              <w:bottom w:val="single" w:sz="4" w:space="0" w:color="auto"/>
              <w:right w:val="single" w:sz="4" w:space="0" w:color="auto"/>
            </w:tcBorders>
            <w:vAlign w:val="center"/>
            <w:hideMark/>
          </w:tcPr>
          <w:p w14:paraId="538DF4D9"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 xml:space="preserve">SELPERCATINIB </w:t>
            </w:r>
          </w:p>
        </w:tc>
      </w:tr>
      <w:tr w:rsidR="00C53E65" w:rsidRPr="00C53E65" w14:paraId="3EE01B3D" w14:textId="77777777">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2D44CE98"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 xml:space="preserve">selpercatinib 40 mg tablet, 56 </w:t>
            </w:r>
          </w:p>
        </w:tc>
        <w:tc>
          <w:tcPr>
            <w:tcW w:w="811" w:type="dxa"/>
            <w:tcBorders>
              <w:top w:val="single" w:sz="4" w:space="0" w:color="auto"/>
              <w:left w:val="single" w:sz="4" w:space="0" w:color="auto"/>
              <w:bottom w:val="single" w:sz="4" w:space="0" w:color="auto"/>
              <w:right w:val="single" w:sz="4" w:space="0" w:color="auto"/>
            </w:tcBorders>
            <w:vAlign w:val="center"/>
            <w:hideMark/>
          </w:tcPr>
          <w:p w14:paraId="43B661DA"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46D4D0B8"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6D580B97"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65C19D82"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FC47598"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 xml:space="preserve">Retevmo </w:t>
            </w:r>
          </w:p>
        </w:tc>
      </w:tr>
      <w:tr w:rsidR="00C53E65" w:rsidRPr="00C53E65" w14:paraId="6CC60181" w14:textId="77777777">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3681D6E4"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selpercatinib 40 mg capsule, 56</w:t>
            </w:r>
          </w:p>
        </w:tc>
        <w:tc>
          <w:tcPr>
            <w:tcW w:w="811" w:type="dxa"/>
            <w:tcBorders>
              <w:top w:val="single" w:sz="4" w:space="0" w:color="auto"/>
              <w:left w:val="single" w:sz="4" w:space="0" w:color="auto"/>
              <w:bottom w:val="single" w:sz="4" w:space="0" w:color="auto"/>
              <w:right w:val="single" w:sz="4" w:space="0" w:color="auto"/>
            </w:tcBorders>
            <w:vAlign w:val="center"/>
            <w:hideMark/>
          </w:tcPr>
          <w:p w14:paraId="2E1DB99A"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45661B71"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7937975D"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56</w:t>
            </w:r>
          </w:p>
        </w:tc>
        <w:tc>
          <w:tcPr>
            <w:tcW w:w="812" w:type="dxa"/>
            <w:tcBorders>
              <w:top w:val="single" w:sz="4" w:space="0" w:color="auto"/>
              <w:left w:val="single" w:sz="4" w:space="0" w:color="auto"/>
              <w:bottom w:val="single" w:sz="4" w:space="0" w:color="auto"/>
              <w:right w:val="single" w:sz="4" w:space="0" w:color="auto"/>
            </w:tcBorders>
            <w:vAlign w:val="center"/>
            <w:hideMark/>
          </w:tcPr>
          <w:p w14:paraId="64B6B867" w14:textId="77777777" w:rsidR="00C53E65" w:rsidRPr="00C53E65" w:rsidRDefault="00C53E65" w:rsidP="00C53E65">
            <w:pPr>
              <w:keepLines/>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50CD3DBB"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Retevmo</w:t>
            </w:r>
          </w:p>
        </w:tc>
      </w:tr>
      <w:tr w:rsidR="00C53E65" w:rsidRPr="00C53E65" w14:paraId="246ABF0C" w14:textId="77777777">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03349226" w14:textId="77777777" w:rsidR="00C53E65" w:rsidRPr="00C53E65" w:rsidRDefault="00C53E65" w:rsidP="00C53E65">
            <w:pPr>
              <w:keepNext/>
              <w:shd w:val="clear" w:color="auto" w:fill="FFFFFF"/>
              <w:tabs>
                <w:tab w:val="left" w:pos="1077"/>
              </w:tabs>
              <w:suppressAutoHyphens w:val="0"/>
              <w:spacing w:before="0" w:after="0" w:line="256" w:lineRule="auto"/>
              <w:jc w:val="left"/>
              <w:rPr>
                <w:rFonts w:ascii="Arial Narrow" w:eastAsia="Calibri" w:hAnsi="Arial Narrow" w:cs="Arial"/>
                <w:color w:val="FF0000"/>
                <w:kern w:val="2"/>
                <w:sz w:val="20"/>
                <w:szCs w:val="20"/>
                <w14:ligatures w14:val="standardContextual"/>
              </w:rPr>
            </w:pPr>
            <w:r w:rsidRPr="00C53E65">
              <w:rPr>
                <w:rFonts w:ascii="Arial Narrow" w:eastAsia="Calibri" w:hAnsi="Arial Narrow" w:cs="Arial"/>
                <w:kern w:val="2"/>
                <w:sz w:val="20"/>
                <w:szCs w:val="20"/>
                <w14:ligatures w14:val="standardContextual"/>
              </w:rPr>
              <w:t>selpercatinib 80 mg tablet, 56</w:t>
            </w:r>
          </w:p>
        </w:tc>
        <w:tc>
          <w:tcPr>
            <w:tcW w:w="811" w:type="dxa"/>
            <w:tcBorders>
              <w:top w:val="single" w:sz="4" w:space="0" w:color="auto"/>
              <w:left w:val="single" w:sz="4" w:space="0" w:color="auto"/>
              <w:bottom w:val="single" w:sz="4" w:space="0" w:color="auto"/>
              <w:right w:val="single" w:sz="4" w:space="0" w:color="auto"/>
            </w:tcBorders>
            <w:vAlign w:val="center"/>
            <w:hideMark/>
          </w:tcPr>
          <w:p w14:paraId="12D77F05" w14:textId="77777777" w:rsidR="00C53E65" w:rsidRPr="00C53E65" w:rsidRDefault="00C53E65" w:rsidP="00C53E65">
            <w:pPr>
              <w:keepNext/>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703093AB" w14:textId="77777777" w:rsidR="00C53E65" w:rsidRPr="00C53E65" w:rsidRDefault="00C53E65" w:rsidP="00C53E65">
            <w:pPr>
              <w:keepNext/>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2</w:t>
            </w:r>
          </w:p>
        </w:tc>
        <w:tc>
          <w:tcPr>
            <w:tcW w:w="811" w:type="dxa"/>
            <w:tcBorders>
              <w:top w:val="single" w:sz="4" w:space="0" w:color="auto"/>
              <w:left w:val="single" w:sz="4" w:space="0" w:color="auto"/>
              <w:bottom w:val="single" w:sz="4" w:space="0" w:color="auto"/>
              <w:right w:val="single" w:sz="4" w:space="0" w:color="auto"/>
            </w:tcBorders>
            <w:vAlign w:val="center"/>
            <w:hideMark/>
          </w:tcPr>
          <w:p w14:paraId="129E0873" w14:textId="77777777" w:rsidR="00C53E65" w:rsidRPr="00C53E65" w:rsidRDefault="00C53E65" w:rsidP="00C53E65">
            <w:pPr>
              <w:keepNext/>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 xml:space="preserve">112 </w:t>
            </w:r>
          </w:p>
        </w:tc>
        <w:tc>
          <w:tcPr>
            <w:tcW w:w="812" w:type="dxa"/>
            <w:tcBorders>
              <w:top w:val="single" w:sz="4" w:space="0" w:color="auto"/>
              <w:left w:val="single" w:sz="4" w:space="0" w:color="auto"/>
              <w:bottom w:val="single" w:sz="4" w:space="0" w:color="auto"/>
              <w:right w:val="single" w:sz="4" w:space="0" w:color="auto"/>
            </w:tcBorders>
            <w:vAlign w:val="center"/>
            <w:hideMark/>
          </w:tcPr>
          <w:p w14:paraId="53B6EB09" w14:textId="77777777" w:rsidR="00C53E65" w:rsidRPr="00C53E65" w:rsidRDefault="00C53E65" w:rsidP="00C53E65">
            <w:pPr>
              <w:keepNext/>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2B638825" w14:textId="77777777" w:rsidR="00C53E65" w:rsidRPr="00C53E65" w:rsidRDefault="00C53E65" w:rsidP="00C53E65">
            <w:pPr>
              <w:keepNext/>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Retevmo</w:t>
            </w:r>
          </w:p>
        </w:tc>
      </w:tr>
      <w:tr w:rsidR="00C53E65" w:rsidRPr="00C53E65" w14:paraId="49084512" w14:textId="77777777">
        <w:trPr>
          <w:cantSplit/>
          <w:trHeight w:val="20"/>
        </w:trPr>
        <w:tc>
          <w:tcPr>
            <w:tcW w:w="3939" w:type="dxa"/>
            <w:gridSpan w:val="3"/>
            <w:tcBorders>
              <w:top w:val="single" w:sz="4" w:space="0" w:color="auto"/>
              <w:left w:val="single" w:sz="4" w:space="0" w:color="auto"/>
              <w:bottom w:val="single" w:sz="4" w:space="0" w:color="auto"/>
              <w:right w:val="single" w:sz="4" w:space="0" w:color="auto"/>
            </w:tcBorders>
            <w:vAlign w:val="center"/>
            <w:hideMark/>
          </w:tcPr>
          <w:p w14:paraId="2E2FED67" w14:textId="77777777" w:rsidR="00C53E65" w:rsidRPr="00C53E65" w:rsidRDefault="00C53E65" w:rsidP="00C53E65">
            <w:pPr>
              <w:keepNext/>
              <w:shd w:val="clear" w:color="auto" w:fill="FFFFFF"/>
              <w:tabs>
                <w:tab w:val="left" w:pos="1077"/>
              </w:tabs>
              <w:suppressAutoHyphens w:val="0"/>
              <w:spacing w:before="0" w:after="0" w:line="256" w:lineRule="auto"/>
              <w:jc w:val="left"/>
              <w:rPr>
                <w:rFonts w:ascii="Arial Narrow" w:eastAsia="Calibri" w:hAnsi="Arial Narrow" w:cs="Arial"/>
                <w:color w:val="FF0000"/>
                <w:kern w:val="2"/>
                <w:sz w:val="20"/>
                <w:szCs w:val="20"/>
                <w14:ligatures w14:val="standardContextual"/>
              </w:rPr>
            </w:pPr>
            <w:r w:rsidRPr="00C53E65">
              <w:rPr>
                <w:rFonts w:ascii="Arial Narrow" w:eastAsia="Calibri" w:hAnsi="Arial Narrow" w:cs="Arial"/>
                <w:kern w:val="2"/>
                <w:sz w:val="20"/>
                <w:szCs w:val="20"/>
                <w14:ligatures w14:val="standardContextual"/>
              </w:rPr>
              <w:t xml:space="preserve">selpercatinib 80 mg capsule, 56 </w:t>
            </w:r>
          </w:p>
        </w:tc>
        <w:tc>
          <w:tcPr>
            <w:tcW w:w="811" w:type="dxa"/>
            <w:tcBorders>
              <w:top w:val="single" w:sz="4" w:space="0" w:color="auto"/>
              <w:left w:val="single" w:sz="4" w:space="0" w:color="auto"/>
              <w:bottom w:val="single" w:sz="4" w:space="0" w:color="auto"/>
              <w:right w:val="single" w:sz="4" w:space="0" w:color="auto"/>
            </w:tcBorders>
            <w:vAlign w:val="center"/>
            <w:hideMark/>
          </w:tcPr>
          <w:p w14:paraId="7FB34B2D" w14:textId="77777777" w:rsidR="00C53E65" w:rsidRPr="00C53E65" w:rsidRDefault="00C53E65" w:rsidP="00C53E65">
            <w:pPr>
              <w:keepNext/>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NEW</w:t>
            </w:r>
          </w:p>
        </w:tc>
        <w:tc>
          <w:tcPr>
            <w:tcW w:w="812" w:type="dxa"/>
            <w:tcBorders>
              <w:top w:val="single" w:sz="4" w:space="0" w:color="auto"/>
              <w:left w:val="single" w:sz="4" w:space="0" w:color="auto"/>
              <w:bottom w:val="single" w:sz="4" w:space="0" w:color="auto"/>
              <w:right w:val="single" w:sz="4" w:space="0" w:color="auto"/>
            </w:tcBorders>
            <w:vAlign w:val="center"/>
            <w:hideMark/>
          </w:tcPr>
          <w:p w14:paraId="1C57F77C" w14:textId="77777777" w:rsidR="00C53E65" w:rsidRPr="00C53E65" w:rsidRDefault="00C53E65" w:rsidP="00C53E65">
            <w:pPr>
              <w:keepNext/>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 xml:space="preserve">2 </w:t>
            </w:r>
          </w:p>
        </w:tc>
        <w:tc>
          <w:tcPr>
            <w:tcW w:w="811" w:type="dxa"/>
            <w:tcBorders>
              <w:top w:val="single" w:sz="4" w:space="0" w:color="auto"/>
              <w:left w:val="single" w:sz="4" w:space="0" w:color="auto"/>
              <w:bottom w:val="single" w:sz="4" w:space="0" w:color="auto"/>
              <w:right w:val="single" w:sz="4" w:space="0" w:color="auto"/>
            </w:tcBorders>
            <w:vAlign w:val="center"/>
            <w:hideMark/>
          </w:tcPr>
          <w:p w14:paraId="75BE0684" w14:textId="77777777" w:rsidR="00C53E65" w:rsidRPr="00C53E65" w:rsidRDefault="00C53E65" w:rsidP="00C53E65">
            <w:pPr>
              <w:keepNext/>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 xml:space="preserve">112 </w:t>
            </w:r>
          </w:p>
        </w:tc>
        <w:tc>
          <w:tcPr>
            <w:tcW w:w="812" w:type="dxa"/>
            <w:tcBorders>
              <w:top w:val="single" w:sz="4" w:space="0" w:color="auto"/>
              <w:left w:val="single" w:sz="4" w:space="0" w:color="auto"/>
              <w:bottom w:val="single" w:sz="4" w:space="0" w:color="auto"/>
              <w:right w:val="single" w:sz="4" w:space="0" w:color="auto"/>
            </w:tcBorders>
            <w:vAlign w:val="center"/>
            <w:hideMark/>
          </w:tcPr>
          <w:p w14:paraId="160CF82E" w14:textId="77777777" w:rsidR="00C53E65" w:rsidRPr="00C53E65" w:rsidRDefault="00C53E65" w:rsidP="00C53E65">
            <w:pPr>
              <w:keepNext/>
              <w:shd w:val="clear" w:color="auto" w:fill="FFFFFF"/>
              <w:suppressAutoHyphens w:val="0"/>
              <w:spacing w:before="0" w:after="0" w:line="256" w:lineRule="auto"/>
              <w:jc w:val="center"/>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5</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A99CADD" w14:textId="77777777" w:rsidR="00C53E65" w:rsidRPr="00C53E65" w:rsidRDefault="00C53E65" w:rsidP="00C53E65">
            <w:pPr>
              <w:keepNext/>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r w:rsidRPr="00C53E65">
              <w:rPr>
                <w:rFonts w:ascii="Arial Narrow" w:eastAsia="Calibri" w:hAnsi="Arial Narrow" w:cs="Arial"/>
                <w:kern w:val="2"/>
                <w:sz w:val="20"/>
                <w:szCs w:val="20"/>
                <w14:ligatures w14:val="standardContextual"/>
              </w:rPr>
              <w:t>Retevmo</w:t>
            </w:r>
          </w:p>
        </w:tc>
      </w:tr>
      <w:tr w:rsidR="00C53E65" w:rsidRPr="00C53E65" w14:paraId="2A82B4B9" w14:textId="77777777">
        <w:trPr>
          <w:trHeight w:val="20"/>
        </w:trPr>
        <w:tc>
          <w:tcPr>
            <w:tcW w:w="901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4E93A3" w14:textId="77777777" w:rsidR="00C53E65" w:rsidRPr="00C53E65" w:rsidRDefault="00C53E65" w:rsidP="00C53E65">
            <w:pPr>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p>
        </w:tc>
      </w:tr>
      <w:tr w:rsidR="00C53E65" w:rsidRPr="00C53E65" w14:paraId="13C7766C" w14:textId="77777777" w:rsidTr="00C068BC">
        <w:trPr>
          <w:trHeight w:val="20"/>
        </w:trPr>
        <w:tc>
          <w:tcPr>
            <w:tcW w:w="1413"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5C77413" w14:textId="2DD09B6F" w:rsidR="00C53E65" w:rsidRPr="00C53E65" w:rsidRDefault="00C53E65" w:rsidP="00C53E65">
            <w:pPr>
              <w:shd w:val="clear" w:color="auto" w:fill="FFFFFF"/>
              <w:suppressAutoHyphens w:val="0"/>
              <w:spacing w:before="0" w:after="0" w:line="256" w:lineRule="auto"/>
              <w:jc w:val="center"/>
              <w:rPr>
                <w:rFonts w:ascii="Arial Narrow" w:eastAsia="Calibri" w:hAnsi="Arial Narrow" w:cs="Arial"/>
                <w:b/>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BCA9B5"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kern w:val="2"/>
                <w:sz w:val="20"/>
                <w:szCs w:val="20"/>
                <w14:ligatures w14:val="standardContextual"/>
              </w:rPr>
            </w:pPr>
            <w:r w:rsidRPr="00C53E65">
              <w:rPr>
                <w:rFonts w:ascii="Arial Narrow" w:eastAsia="Calibri" w:hAnsi="Arial Narrow" w:cs="Arial"/>
                <w:b/>
                <w:kern w:val="2"/>
                <w:sz w:val="20"/>
                <w:szCs w:val="20"/>
                <w14:ligatures w14:val="standardContextual"/>
              </w:rPr>
              <w:t>Category / Program:</w:t>
            </w:r>
            <w:r w:rsidRPr="00C53E65">
              <w:rPr>
                <w:rFonts w:ascii="Arial Narrow" w:eastAsia="Calibri" w:hAnsi="Arial Narrow" w:cs="Arial"/>
                <w:color w:val="FF0000"/>
                <w:kern w:val="2"/>
                <w:sz w:val="20"/>
                <w:szCs w:val="20"/>
                <w14:ligatures w14:val="standardContextual"/>
              </w:rPr>
              <w:t xml:space="preserve"> </w:t>
            </w:r>
            <w:r w:rsidRPr="00C53E65">
              <w:rPr>
                <w:rFonts w:ascii="Arial Narrow" w:eastAsia="Calibri" w:hAnsi="Arial Narrow" w:cs="Arial"/>
                <w:kern w:val="2"/>
                <w:sz w:val="20"/>
                <w:szCs w:val="20"/>
                <w14:ligatures w14:val="standardContextual"/>
              </w:rPr>
              <w:fldChar w:fldCharType="begin">
                <w:ffData>
                  <w:name w:val="Check1"/>
                  <w:enabled/>
                  <w:calcOnExit w:val="0"/>
                  <w:checkBox>
                    <w:sizeAuto/>
                    <w:default w:val="1"/>
                  </w:checkBox>
                </w:ffData>
              </w:fldChar>
            </w:r>
            <w:bookmarkStart w:id="121" w:name="Check1"/>
            <w:r w:rsidRPr="00C53E65">
              <w:rPr>
                <w:rFonts w:ascii="Arial Narrow" w:eastAsia="Calibri" w:hAnsi="Arial Narrow" w:cs="Arial"/>
                <w:kern w:val="2"/>
                <w:sz w:val="20"/>
                <w:szCs w:val="20"/>
                <w14:ligatures w14:val="standardContextual"/>
              </w:rPr>
              <w:instrText xml:space="preserve"> FORMCHECKBOX </w:instrText>
            </w:r>
            <w:r w:rsidRPr="00C53E65">
              <w:rPr>
                <w:rFonts w:ascii="Arial Narrow" w:eastAsia="Calibri" w:hAnsi="Arial Narrow" w:cs="Arial"/>
                <w:kern w:val="2"/>
                <w:sz w:val="20"/>
                <w:szCs w:val="20"/>
                <w14:ligatures w14:val="standardContextual"/>
              </w:rPr>
            </w:r>
            <w:r w:rsidRPr="00C53E65">
              <w:rPr>
                <w:rFonts w:ascii="Arial Narrow" w:eastAsia="Calibri" w:hAnsi="Arial Narrow" w:cs="Arial"/>
                <w:kern w:val="2"/>
                <w:sz w:val="20"/>
                <w:szCs w:val="20"/>
                <w14:ligatures w14:val="standardContextual"/>
              </w:rPr>
              <w:fldChar w:fldCharType="separate"/>
            </w:r>
            <w:r w:rsidRPr="00C53E65">
              <w:rPr>
                <w:rFonts w:ascii="Aptos" w:eastAsia="Aptos" w:hAnsi="Aptos" w:cs="Times New Roman"/>
                <w:kern w:val="2"/>
                <w14:ligatures w14:val="standardContextual"/>
              </w:rPr>
              <w:fldChar w:fldCharType="end"/>
            </w:r>
            <w:bookmarkEnd w:id="121"/>
            <w:r w:rsidRPr="00C53E65">
              <w:rPr>
                <w:rFonts w:ascii="Arial Narrow" w:eastAsia="Calibri" w:hAnsi="Arial Narrow" w:cs="Arial"/>
                <w:kern w:val="2"/>
                <w:sz w:val="20"/>
                <w:szCs w:val="20"/>
                <w14:ligatures w14:val="standardContextual"/>
              </w:rPr>
              <w:t xml:space="preserve"> GENERAL - General Schedule (Code GE) </w:t>
            </w:r>
          </w:p>
        </w:tc>
      </w:tr>
      <w:tr w:rsidR="00C53E65" w:rsidRPr="00C53E65" w14:paraId="2B0C750D" w14:textId="77777777" w:rsidTr="00C068BC">
        <w:trPr>
          <w:trHeight w:val="20"/>
        </w:trPr>
        <w:tc>
          <w:tcPr>
            <w:tcW w:w="1413" w:type="dxa"/>
            <w:gridSpan w:val="2"/>
            <w:vMerge/>
            <w:tcBorders>
              <w:top w:val="single" w:sz="4" w:space="0" w:color="auto"/>
              <w:left w:val="single" w:sz="4" w:space="0" w:color="auto"/>
              <w:bottom w:val="single" w:sz="4" w:space="0" w:color="auto"/>
              <w:right w:val="single" w:sz="4" w:space="0" w:color="auto"/>
            </w:tcBorders>
            <w:vAlign w:val="center"/>
          </w:tcPr>
          <w:p w14:paraId="6616D5C3" w14:textId="77777777" w:rsidR="00C53E65" w:rsidRPr="00C53E65" w:rsidRDefault="00C53E65" w:rsidP="00C53E65">
            <w:pPr>
              <w:suppressAutoHyphens w:val="0"/>
              <w:spacing w:before="0" w:after="0" w:line="256" w:lineRule="auto"/>
              <w:jc w:val="left"/>
              <w:rPr>
                <w:rFonts w:ascii="Arial Narrow" w:eastAsia="Calibri" w:hAnsi="Arial Narrow" w:cs="Arial"/>
                <w:b/>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139374" w14:textId="77777777" w:rsidR="00C53E65" w:rsidRPr="00C53E65" w:rsidRDefault="00C53E65" w:rsidP="00C53E65">
            <w:pPr>
              <w:keepLines/>
              <w:shd w:val="clear" w:color="auto" w:fill="FFFFFF"/>
              <w:suppressAutoHyphens w:val="0"/>
              <w:spacing w:before="0" w:after="0" w:line="256" w:lineRule="auto"/>
              <w:rPr>
                <w:rFonts w:ascii="Arial Narrow" w:eastAsia="Calibri" w:hAnsi="Arial Narrow" w:cs="Arial"/>
                <w:b/>
                <w:kern w:val="2"/>
                <w:sz w:val="20"/>
                <w:szCs w:val="20"/>
                <w14:ligatures w14:val="standardContextual"/>
              </w:rPr>
            </w:pPr>
            <w:r w:rsidRPr="00C53E65">
              <w:rPr>
                <w:rFonts w:ascii="Arial Narrow" w:eastAsia="Calibri" w:hAnsi="Arial Narrow" w:cs="Arial"/>
                <w:b/>
                <w:kern w:val="2"/>
                <w:sz w:val="20"/>
                <w:szCs w:val="20"/>
                <w14:ligatures w14:val="standardContextual"/>
              </w:rPr>
              <w:t xml:space="preserve">Prescriber type: </w:t>
            </w:r>
            <w:r w:rsidRPr="00C53E65">
              <w:rPr>
                <w:rFonts w:ascii="Arial Narrow" w:eastAsia="Calibri" w:hAnsi="Arial Narrow" w:cs="Arial"/>
                <w:kern w:val="2"/>
                <w:sz w:val="20"/>
                <w:szCs w:val="20"/>
                <w14:ligatures w14:val="standardContextual"/>
              </w:rPr>
              <w:fldChar w:fldCharType="begin">
                <w:ffData>
                  <w:name w:val=""/>
                  <w:enabled/>
                  <w:calcOnExit w:val="0"/>
                  <w:checkBox>
                    <w:sizeAuto/>
                    <w:default w:val="1"/>
                  </w:checkBox>
                </w:ffData>
              </w:fldChar>
            </w:r>
            <w:r w:rsidRPr="00C53E65">
              <w:rPr>
                <w:rFonts w:ascii="Arial Narrow" w:eastAsia="Calibri" w:hAnsi="Arial Narrow" w:cs="Arial"/>
                <w:kern w:val="2"/>
                <w:sz w:val="20"/>
                <w:szCs w:val="20"/>
                <w14:ligatures w14:val="standardContextual"/>
              </w:rPr>
              <w:instrText xml:space="preserve"> FORMCHECKBOX </w:instrText>
            </w:r>
            <w:r w:rsidRPr="00C53E65">
              <w:rPr>
                <w:rFonts w:ascii="Arial Narrow" w:eastAsia="Calibri" w:hAnsi="Arial Narrow" w:cs="Arial"/>
                <w:kern w:val="2"/>
                <w:sz w:val="20"/>
                <w:szCs w:val="20"/>
                <w14:ligatures w14:val="standardContextual"/>
              </w:rPr>
            </w:r>
            <w:r w:rsidRPr="00C53E65">
              <w:rPr>
                <w:rFonts w:ascii="Arial Narrow" w:eastAsia="Calibri" w:hAnsi="Arial Narrow" w:cs="Arial"/>
                <w:kern w:val="2"/>
                <w:sz w:val="20"/>
                <w:szCs w:val="20"/>
                <w14:ligatures w14:val="standardContextual"/>
              </w:rPr>
              <w:fldChar w:fldCharType="separate"/>
            </w:r>
            <w:r w:rsidRPr="00C53E65">
              <w:rPr>
                <w:rFonts w:ascii="Arial Narrow" w:eastAsia="Calibri" w:hAnsi="Arial Narrow" w:cs="Arial"/>
                <w:kern w:val="2"/>
                <w:sz w:val="20"/>
                <w:szCs w:val="20"/>
                <w14:ligatures w14:val="standardContextual"/>
              </w:rPr>
              <w:fldChar w:fldCharType="end"/>
            </w:r>
            <w:r w:rsidRPr="00C53E65">
              <w:rPr>
                <w:rFonts w:ascii="Arial Narrow" w:eastAsia="Calibri" w:hAnsi="Arial Narrow" w:cs="Arial"/>
                <w:kern w:val="2"/>
                <w:sz w:val="20"/>
                <w:szCs w:val="20"/>
                <w14:ligatures w14:val="standardContextual"/>
              </w:rPr>
              <w:t>Medical Practitioners</w:t>
            </w:r>
          </w:p>
        </w:tc>
      </w:tr>
      <w:tr w:rsidR="00C53E65" w:rsidRPr="00C53E65" w14:paraId="3FE57635" w14:textId="77777777" w:rsidTr="00C068BC">
        <w:trPr>
          <w:trHeight w:val="20"/>
        </w:trPr>
        <w:tc>
          <w:tcPr>
            <w:tcW w:w="1413" w:type="dxa"/>
            <w:gridSpan w:val="2"/>
            <w:vMerge/>
            <w:tcBorders>
              <w:top w:val="single" w:sz="4" w:space="0" w:color="auto"/>
              <w:left w:val="single" w:sz="4" w:space="0" w:color="auto"/>
              <w:bottom w:val="single" w:sz="4" w:space="0" w:color="auto"/>
              <w:right w:val="single" w:sz="4" w:space="0" w:color="auto"/>
            </w:tcBorders>
            <w:vAlign w:val="center"/>
          </w:tcPr>
          <w:p w14:paraId="17F33823" w14:textId="77777777" w:rsidR="00C53E65" w:rsidRPr="00C53E65" w:rsidRDefault="00C53E65" w:rsidP="00C53E65">
            <w:pPr>
              <w:suppressAutoHyphens w:val="0"/>
              <w:spacing w:before="0" w:after="0" w:line="256" w:lineRule="auto"/>
              <w:jc w:val="left"/>
              <w:rPr>
                <w:rFonts w:ascii="Arial Narrow" w:eastAsia="Calibri" w:hAnsi="Arial Narrow" w:cs="Arial"/>
                <w:b/>
                <w:kern w:val="2"/>
                <w:sz w:val="20"/>
                <w:szCs w:val="20"/>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BD43F8" w14:textId="77777777" w:rsidR="00C53E65" w:rsidRPr="00C53E65" w:rsidRDefault="00C53E65" w:rsidP="00C53E65">
            <w:pPr>
              <w:keepLines/>
              <w:shd w:val="clear" w:color="auto" w:fill="FFFFFF"/>
              <w:suppressAutoHyphens w:val="0"/>
              <w:spacing w:before="0" w:after="0" w:line="256" w:lineRule="auto"/>
              <w:jc w:val="left"/>
              <w:rPr>
                <w:rFonts w:ascii="Arial Narrow" w:eastAsia="Calibri" w:hAnsi="Arial Narrow" w:cs="Arial"/>
                <w:color w:val="FF0000"/>
                <w:kern w:val="2"/>
                <w:sz w:val="20"/>
                <w:szCs w:val="20"/>
                <w14:ligatures w14:val="standardContextual"/>
              </w:rPr>
            </w:pPr>
            <w:r w:rsidRPr="00C53E65">
              <w:rPr>
                <w:rFonts w:ascii="Arial Narrow" w:eastAsia="Calibri" w:hAnsi="Arial Narrow" w:cs="Arial"/>
                <w:b/>
                <w:kern w:val="2"/>
                <w:sz w:val="20"/>
                <w:szCs w:val="20"/>
                <w14:ligatures w14:val="standardContextual"/>
              </w:rPr>
              <w:t xml:space="preserve">Restriction type: </w:t>
            </w:r>
            <w:r w:rsidRPr="00C53E65">
              <w:rPr>
                <w:rFonts w:ascii="Arial Narrow" w:eastAsia="Calibri" w:hAnsi="Arial Narrow" w:cs="Arial"/>
                <w:kern w:val="2"/>
                <w:sz w:val="20"/>
                <w:szCs w:val="20"/>
                <w14:ligatures w14:val="standardContextual"/>
              </w:rPr>
              <w:fldChar w:fldCharType="begin">
                <w:ffData>
                  <w:name w:val=""/>
                  <w:enabled/>
                  <w:calcOnExit w:val="0"/>
                  <w:checkBox>
                    <w:sizeAuto/>
                    <w:default w:val="1"/>
                  </w:checkBox>
                </w:ffData>
              </w:fldChar>
            </w:r>
            <w:r w:rsidRPr="00C53E65">
              <w:rPr>
                <w:rFonts w:ascii="Arial Narrow" w:eastAsia="Calibri" w:hAnsi="Arial Narrow" w:cs="Arial"/>
                <w:kern w:val="2"/>
                <w:sz w:val="20"/>
                <w:szCs w:val="20"/>
                <w14:ligatures w14:val="standardContextual"/>
              </w:rPr>
              <w:instrText xml:space="preserve"> FORMCHECKBOX </w:instrText>
            </w:r>
            <w:r w:rsidRPr="00C53E65">
              <w:rPr>
                <w:rFonts w:ascii="Arial Narrow" w:eastAsia="Calibri" w:hAnsi="Arial Narrow" w:cs="Arial"/>
                <w:kern w:val="2"/>
                <w:sz w:val="20"/>
                <w:szCs w:val="20"/>
                <w14:ligatures w14:val="standardContextual"/>
              </w:rPr>
            </w:r>
            <w:r w:rsidRPr="00C53E65">
              <w:rPr>
                <w:rFonts w:ascii="Arial Narrow" w:eastAsia="Calibri" w:hAnsi="Arial Narrow" w:cs="Arial"/>
                <w:kern w:val="2"/>
                <w:sz w:val="20"/>
                <w:szCs w:val="20"/>
                <w14:ligatures w14:val="standardContextual"/>
              </w:rPr>
              <w:fldChar w:fldCharType="separate"/>
            </w:r>
            <w:r w:rsidRPr="00C53E65">
              <w:rPr>
                <w:rFonts w:ascii="Arial Narrow" w:eastAsia="Calibri" w:hAnsi="Arial Narrow" w:cs="Arial"/>
                <w:kern w:val="2"/>
                <w:sz w:val="20"/>
                <w:szCs w:val="20"/>
                <w14:ligatures w14:val="standardContextual"/>
              </w:rPr>
              <w:fldChar w:fldCharType="end"/>
            </w:r>
            <w:r w:rsidRPr="00C53E65">
              <w:rPr>
                <w:rFonts w:ascii="Arial Narrow" w:eastAsia="Calibri" w:hAnsi="Arial Narrow" w:cs="Arial"/>
                <w:kern w:val="2"/>
                <w:sz w:val="20"/>
                <w:szCs w:val="20"/>
                <w14:ligatures w14:val="standardContextual"/>
              </w:rPr>
              <w:t xml:space="preserve">Authority Required (Streamlined) [new code] </w:t>
            </w:r>
          </w:p>
        </w:tc>
      </w:tr>
      <w:tr w:rsidR="00C53E65" w:rsidRPr="00C53E65" w14:paraId="6251CA36" w14:textId="77777777" w:rsidTr="00C068BC">
        <w:trPr>
          <w:trHeight w:val="20"/>
        </w:trPr>
        <w:tc>
          <w:tcPr>
            <w:tcW w:w="42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tcPr>
          <w:p w14:paraId="60F4A56B" w14:textId="441778E5" w:rsidR="00C53E65" w:rsidRPr="00C53E65" w:rsidRDefault="00C53E65" w:rsidP="00C53E65">
            <w:pPr>
              <w:shd w:val="clear" w:color="auto" w:fill="FFFFFF"/>
              <w:suppressAutoHyphens w:val="0"/>
              <w:spacing w:before="0" w:after="0" w:line="256" w:lineRule="auto"/>
              <w:jc w:val="center"/>
              <w:rPr>
                <w:rFonts w:ascii="Arial Narrow" w:eastAsia="Calibri" w:hAnsi="Arial Narrow" w:cs="Arial"/>
                <w:kern w:val="2"/>
                <w:sz w:val="18"/>
                <w:szCs w:val="18"/>
                <w14:ligatures w14:val="standardContextual"/>
              </w:rPr>
            </w:pP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31C414" w14:textId="1A943DE7"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18"/>
                <w:szCs w:val="18"/>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3BEF22"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b/>
                <w:bCs/>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Administrative Advice:</w:t>
            </w:r>
            <w:r w:rsidRPr="00C53E65">
              <w:rPr>
                <w:rFonts w:ascii="Times New Roman" w:eastAsia="Calibri" w:hAnsi="Times New Roman" w:cs="Times New Roman"/>
                <w:kern w:val="2"/>
                <w:szCs w:val="24"/>
                <w14:ligatures w14:val="standardContextual"/>
              </w:rPr>
              <w:t xml:space="preserve"> </w:t>
            </w:r>
            <w:r w:rsidRPr="00C53E65">
              <w:rPr>
                <w:rFonts w:ascii="Arial Narrow" w:eastAsia="Times New Roman" w:hAnsi="Arial Narrow" w:cs="Times New Roman"/>
                <w:bCs/>
                <w:color w:val="333333"/>
                <w:kern w:val="2"/>
                <w:sz w:val="20"/>
                <w:szCs w:val="20"/>
                <w:lang w:eastAsia="en-AU"/>
                <w14:ligatures w14:val="standardContextual"/>
              </w:rPr>
              <w:t>No increase in the maximum quantity or number of units may be authorised</w:t>
            </w:r>
          </w:p>
        </w:tc>
      </w:tr>
      <w:tr w:rsidR="00C53E65" w:rsidRPr="00C53E65" w14:paraId="5E25606C" w14:textId="77777777" w:rsidTr="00C068BC">
        <w:trPr>
          <w:trHeight w:val="20"/>
        </w:trPr>
        <w:tc>
          <w:tcPr>
            <w:tcW w:w="421" w:type="dxa"/>
            <w:vMerge/>
            <w:tcBorders>
              <w:top w:val="single" w:sz="4" w:space="0" w:color="auto"/>
              <w:left w:val="single" w:sz="4" w:space="0" w:color="auto"/>
              <w:bottom w:val="single" w:sz="4" w:space="0" w:color="auto"/>
              <w:right w:val="single" w:sz="4" w:space="0" w:color="auto"/>
            </w:tcBorders>
            <w:vAlign w:val="center"/>
          </w:tcPr>
          <w:p w14:paraId="76C751CE" w14:textId="77777777" w:rsidR="00C53E65" w:rsidRPr="00C53E65" w:rsidRDefault="00C53E65" w:rsidP="00C53E65">
            <w:pPr>
              <w:suppressAutoHyphens w:val="0"/>
              <w:spacing w:before="0" w:after="0" w:line="256" w:lineRule="auto"/>
              <w:jc w:val="left"/>
              <w:rPr>
                <w:rFonts w:ascii="Arial Narrow" w:eastAsia="Calibri" w:hAnsi="Arial Narrow" w:cs="Arial"/>
                <w:kern w:val="2"/>
                <w:sz w:val="18"/>
                <w:szCs w:val="18"/>
                <w14:ligatures w14:val="standardContextual"/>
              </w:rPr>
            </w:pP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79A4405" w14:textId="5385C8F3"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305B24"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b/>
                <w:bCs/>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Administrative Advice:</w:t>
            </w:r>
            <w:r w:rsidRPr="00C53E65">
              <w:rPr>
                <w:rFonts w:ascii="Times New Roman" w:eastAsia="Calibri" w:hAnsi="Times New Roman" w:cs="Times New Roman"/>
                <w:kern w:val="2"/>
                <w:szCs w:val="24"/>
                <w14:ligatures w14:val="standardContextual"/>
              </w:rPr>
              <w:t xml:space="preserve"> </w:t>
            </w:r>
            <w:r w:rsidRPr="00C53E65">
              <w:rPr>
                <w:rFonts w:ascii="Arial Narrow" w:eastAsia="Times New Roman" w:hAnsi="Arial Narrow" w:cs="Times New Roman"/>
                <w:bCs/>
                <w:color w:val="333333"/>
                <w:kern w:val="2"/>
                <w:sz w:val="20"/>
                <w:szCs w:val="20"/>
                <w:lang w:eastAsia="en-AU"/>
                <w14:ligatures w14:val="standardContextual"/>
              </w:rPr>
              <w:t>No increase in the maximum number of repeats may be authorised</w:t>
            </w:r>
          </w:p>
        </w:tc>
      </w:tr>
      <w:tr w:rsidR="00C53E65" w:rsidRPr="00C53E65" w14:paraId="66851953" w14:textId="77777777" w:rsidTr="00C068BC">
        <w:trPr>
          <w:trHeight w:val="20"/>
        </w:trPr>
        <w:tc>
          <w:tcPr>
            <w:tcW w:w="421" w:type="dxa"/>
            <w:vMerge/>
            <w:tcBorders>
              <w:top w:val="single" w:sz="4" w:space="0" w:color="auto"/>
              <w:left w:val="single" w:sz="4" w:space="0" w:color="auto"/>
              <w:bottom w:val="single" w:sz="4" w:space="0" w:color="auto"/>
              <w:right w:val="single" w:sz="4" w:space="0" w:color="auto"/>
            </w:tcBorders>
            <w:vAlign w:val="center"/>
          </w:tcPr>
          <w:p w14:paraId="5AF10219" w14:textId="77777777" w:rsidR="00C53E65" w:rsidRPr="00C53E65" w:rsidRDefault="00C53E65" w:rsidP="00C53E65">
            <w:pPr>
              <w:suppressAutoHyphens w:val="0"/>
              <w:spacing w:before="0" w:after="0" w:line="256" w:lineRule="auto"/>
              <w:jc w:val="left"/>
              <w:rPr>
                <w:rFonts w:ascii="Arial Narrow" w:eastAsia="Calibri" w:hAnsi="Arial Narrow" w:cs="Arial"/>
                <w:kern w:val="2"/>
                <w:sz w:val="18"/>
                <w:szCs w:val="18"/>
                <w14:ligatures w14:val="standardContextual"/>
              </w:rPr>
            </w:pP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19BB46" w14:textId="1C4D0AC7"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3244C6"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b/>
                <w:bCs/>
                <w:kern w:val="2"/>
                <w:sz w:val="20"/>
                <w:szCs w:val="20"/>
                <w:lang w:eastAsia="en-AU"/>
                <w14:ligatures w14:val="standardContextual"/>
              </w:rPr>
            </w:pPr>
            <w:r w:rsidRPr="00C53E65">
              <w:rPr>
                <w:rFonts w:ascii="Arial Narrow" w:eastAsia="Times New Roman" w:hAnsi="Arial Narrow" w:cs="Times New Roman"/>
                <w:b/>
                <w:bCs/>
                <w:kern w:val="2"/>
                <w:sz w:val="20"/>
                <w:szCs w:val="20"/>
                <w:lang w:eastAsia="en-AU"/>
                <w14:ligatures w14:val="standardContextual"/>
              </w:rPr>
              <w:t>Administrative Advice:</w:t>
            </w:r>
            <w:r w:rsidRPr="00C53E65">
              <w:rPr>
                <w:rFonts w:ascii="Arial Narrow" w:eastAsia="Times New Roman" w:hAnsi="Arial Narrow" w:cs="Times New Roman"/>
                <w:kern w:val="2"/>
                <w:sz w:val="20"/>
                <w:szCs w:val="20"/>
                <w:lang w:eastAsia="en-AU"/>
                <w14:ligatures w14:val="standardContextual"/>
              </w:rPr>
              <w:t xml:space="preserve"> Pharmaceutical benefits that have the form selpercatinib 40 mg capsule and selpercatinib 40 mg tablet are equivalent for the purposes of substitution</w:t>
            </w:r>
          </w:p>
        </w:tc>
      </w:tr>
      <w:tr w:rsidR="00C53E65" w:rsidRPr="00C53E65" w14:paraId="710DF1E4" w14:textId="77777777" w:rsidTr="00C068BC">
        <w:trPr>
          <w:trHeight w:val="20"/>
        </w:trPr>
        <w:tc>
          <w:tcPr>
            <w:tcW w:w="421" w:type="dxa"/>
            <w:vMerge/>
            <w:tcBorders>
              <w:top w:val="single" w:sz="4" w:space="0" w:color="auto"/>
              <w:left w:val="single" w:sz="4" w:space="0" w:color="auto"/>
              <w:bottom w:val="single" w:sz="4" w:space="0" w:color="auto"/>
              <w:right w:val="single" w:sz="4" w:space="0" w:color="auto"/>
            </w:tcBorders>
            <w:vAlign w:val="center"/>
          </w:tcPr>
          <w:p w14:paraId="1B29643D" w14:textId="77777777" w:rsidR="00C53E65" w:rsidRPr="00C53E65" w:rsidRDefault="00C53E65" w:rsidP="00C53E65">
            <w:pPr>
              <w:suppressAutoHyphens w:val="0"/>
              <w:spacing w:before="0" w:after="0" w:line="256" w:lineRule="auto"/>
              <w:jc w:val="left"/>
              <w:rPr>
                <w:rFonts w:ascii="Arial Narrow" w:eastAsia="Calibri" w:hAnsi="Arial Narrow" w:cs="Arial"/>
                <w:kern w:val="2"/>
                <w:sz w:val="18"/>
                <w:szCs w:val="18"/>
                <w14:ligatures w14:val="standardContextual"/>
              </w:rPr>
            </w:pPr>
          </w:p>
        </w:tc>
        <w:tc>
          <w:tcPr>
            <w:tcW w:w="99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349CA7" w14:textId="30E8E03B"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6A74C1"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b/>
                <w:bCs/>
                <w:kern w:val="2"/>
                <w:sz w:val="20"/>
                <w:szCs w:val="20"/>
                <w:lang w:eastAsia="en-AU"/>
                <w14:ligatures w14:val="standardContextual"/>
              </w:rPr>
            </w:pPr>
            <w:r w:rsidRPr="00C53E65">
              <w:rPr>
                <w:rFonts w:ascii="Arial Narrow" w:eastAsia="Times New Roman" w:hAnsi="Arial Narrow" w:cs="Times New Roman"/>
                <w:b/>
                <w:bCs/>
                <w:kern w:val="2"/>
                <w:sz w:val="20"/>
                <w:szCs w:val="20"/>
                <w:lang w:eastAsia="en-AU"/>
                <w14:ligatures w14:val="standardContextual"/>
              </w:rPr>
              <w:t>Administrative Advice:</w:t>
            </w:r>
            <w:r w:rsidRPr="00C53E65">
              <w:rPr>
                <w:rFonts w:ascii="Arial Narrow" w:eastAsia="Times New Roman" w:hAnsi="Arial Narrow" w:cs="Times New Roman"/>
                <w:kern w:val="2"/>
                <w:sz w:val="20"/>
                <w:szCs w:val="20"/>
                <w:lang w:eastAsia="en-AU"/>
                <w14:ligatures w14:val="standardContextual"/>
              </w:rPr>
              <w:t xml:space="preserve"> Pharmaceutical benefits that have the form selpercatinib 80 mg capsule and selpercatinib 80 mg tablet are equivalent for the purposes of substitution</w:t>
            </w:r>
          </w:p>
        </w:tc>
      </w:tr>
      <w:tr w:rsidR="00C53E65" w:rsidRPr="00C53E65" w14:paraId="0BEEA2DD" w14:textId="77777777">
        <w:trPr>
          <w:cantSplit/>
          <w:trHeight w:val="20"/>
        </w:trPr>
        <w:tc>
          <w:tcPr>
            <w:tcW w:w="1413"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05B99B" w14:textId="77777777" w:rsidR="00C53E65" w:rsidRPr="00C53E65" w:rsidRDefault="00C53E65" w:rsidP="00C53E65">
            <w:pPr>
              <w:keepLines/>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AE39DC" w14:textId="74E50E6B" w:rsidR="00C53E65" w:rsidRPr="00C53E65" w:rsidRDefault="00C53E65" w:rsidP="00C53E65">
            <w:pPr>
              <w:keepLines/>
              <w:shd w:val="clear" w:color="auto" w:fill="FFFFFF"/>
              <w:suppressAutoHyphens w:val="0"/>
              <w:spacing w:before="0" w:after="0" w:line="256" w:lineRule="auto"/>
              <w:jc w:val="left"/>
              <w:rPr>
                <w:rFonts w:ascii="Arial Narrow" w:eastAsia="Times New Roman" w:hAnsi="Arial Narrow" w:cs="Times New Roman"/>
                <w:b/>
                <w:bCs/>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 xml:space="preserve">Severity: </w:t>
            </w:r>
            <w:r w:rsidR="005F4BEE" w:rsidRPr="00C53E65">
              <w:rPr>
                <w:rFonts w:ascii="Arial Narrow" w:eastAsia="Times New Roman" w:hAnsi="Arial Narrow" w:cs="Times New Roman"/>
                <w:color w:val="333333"/>
                <w:kern w:val="2"/>
                <w:sz w:val="20"/>
                <w:szCs w:val="20"/>
                <w:lang w:eastAsia="en-AU"/>
                <w14:ligatures w14:val="standardContextual"/>
              </w:rPr>
              <w:t>Advanced or metastatic</w:t>
            </w:r>
          </w:p>
        </w:tc>
      </w:tr>
      <w:tr w:rsidR="00C53E65" w:rsidRPr="00C53E65" w14:paraId="76A0B171" w14:textId="77777777" w:rsidTr="00C068BC">
        <w:trPr>
          <w:cantSplit/>
          <w:trHeight w:val="20"/>
        </w:trPr>
        <w:tc>
          <w:tcPr>
            <w:tcW w:w="1413" w:type="dxa"/>
            <w:gridSpan w:val="2"/>
            <w:vMerge/>
            <w:tcBorders>
              <w:top w:val="single" w:sz="4" w:space="0" w:color="auto"/>
              <w:left w:val="single" w:sz="4" w:space="0" w:color="auto"/>
              <w:bottom w:val="single" w:sz="4" w:space="0" w:color="auto"/>
              <w:right w:val="single" w:sz="4" w:space="0" w:color="auto"/>
            </w:tcBorders>
            <w:vAlign w:val="center"/>
          </w:tcPr>
          <w:p w14:paraId="5CEAA803" w14:textId="77777777" w:rsidR="00C53E65" w:rsidRPr="00C53E65" w:rsidRDefault="00C53E65" w:rsidP="00C53E65">
            <w:pPr>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3C6FFB" w14:textId="77777777" w:rsidR="00C53E65" w:rsidRPr="00C53E65" w:rsidRDefault="00C53E65" w:rsidP="00C53E65">
            <w:pPr>
              <w:keepLines/>
              <w:shd w:val="clear" w:color="auto" w:fill="FFFFFF"/>
              <w:suppressAutoHyphens w:val="0"/>
              <w:spacing w:before="0" w:after="0" w:line="256" w:lineRule="auto"/>
              <w:jc w:val="left"/>
              <w:rPr>
                <w:rFonts w:ascii="Arial Narrow" w:eastAsia="Times New Roman" w:hAnsi="Arial Narrow" w:cs="Times New Roman"/>
                <w:b/>
                <w:bCs/>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 xml:space="preserve">Condition: </w:t>
            </w:r>
            <w:r w:rsidRPr="00C53E65">
              <w:rPr>
                <w:rFonts w:ascii="Arial Narrow" w:eastAsia="Times New Roman" w:hAnsi="Arial Narrow" w:cs="Times New Roman"/>
                <w:bCs/>
                <w:color w:val="333333"/>
                <w:kern w:val="2"/>
                <w:sz w:val="20"/>
                <w:szCs w:val="20"/>
                <w:lang w:eastAsia="en-AU"/>
                <w14:ligatures w14:val="standardContextual"/>
              </w:rPr>
              <w:t>Medullary Thyroid Cancer</w:t>
            </w:r>
            <w:r w:rsidRPr="00C53E65">
              <w:rPr>
                <w:rFonts w:ascii="Arial Narrow" w:eastAsia="Times New Roman" w:hAnsi="Arial Narrow" w:cs="Times New Roman"/>
                <w:b/>
                <w:bCs/>
                <w:color w:val="333333"/>
                <w:kern w:val="2"/>
                <w:sz w:val="20"/>
                <w:szCs w:val="20"/>
                <w:lang w:eastAsia="en-AU"/>
                <w14:ligatures w14:val="standardContextual"/>
              </w:rPr>
              <w:t xml:space="preserve"> </w:t>
            </w:r>
          </w:p>
        </w:tc>
      </w:tr>
      <w:tr w:rsidR="00C53E65" w:rsidRPr="00C53E65" w14:paraId="5656DAF3"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DC44446" w14:textId="70EF01FC" w:rsidR="00C53E65" w:rsidRPr="00C53E65" w:rsidRDefault="00C53E65" w:rsidP="00C53E65">
            <w:pPr>
              <w:keepLines/>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7BED99" w14:textId="77777777" w:rsidR="00C53E65" w:rsidRPr="00C53E65" w:rsidRDefault="00C53E65" w:rsidP="00C53E65">
            <w:pPr>
              <w:keepLines/>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Indication:</w:t>
            </w:r>
            <w:r w:rsidRPr="00C53E65">
              <w:rPr>
                <w:rFonts w:ascii="Arial Narrow" w:eastAsia="Times New Roman" w:hAnsi="Arial Narrow" w:cs="Times New Roman"/>
                <w:color w:val="333333"/>
                <w:kern w:val="2"/>
                <w:sz w:val="20"/>
                <w:szCs w:val="20"/>
                <w:lang w:eastAsia="en-AU"/>
                <w14:ligatures w14:val="standardContextual"/>
              </w:rPr>
              <w:t xml:space="preserve"> Advanced or metastatic medullary thyroid cancer </w:t>
            </w:r>
          </w:p>
        </w:tc>
      </w:tr>
      <w:tr w:rsidR="00C53E65" w:rsidRPr="00C53E65" w14:paraId="7D751EE7"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1A8A58" w14:textId="1C2C167D" w:rsidR="00C53E65" w:rsidRPr="00C53E65" w:rsidRDefault="00C53E65" w:rsidP="00C53E65">
            <w:pPr>
              <w:keepLines/>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3A4BA7" w14:textId="77777777" w:rsidR="00C53E65" w:rsidRPr="00C53E65" w:rsidRDefault="00C53E65" w:rsidP="00C53E65">
            <w:pPr>
              <w:keepLines/>
              <w:shd w:val="clear" w:color="auto" w:fill="FFFFFF"/>
              <w:suppressAutoHyphens w:val="0"/>
              <w:spacing w:before="0" w:after="0" w:line="256" w:lineRule="auto"/>
              <w:jc w:val="left"/>
              <w:rPr>
                <w:rFonts w:ascii="Arial Narrow" w:eastAsia="Times New Roman" w:hAnsi="Arial Narrow" w:cs="Times New Roman"/>
                <w:b/>
                <w:bCs/>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Clinical criteria:</w:t>
            </w:r>
          </w:p>
        </w:tc>
      </w:tr>
      <w:tr w:rsidR="00C53E65" w:rsidRPr="00C53E65" w14:paraId="3FDDA742"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12F90F0" w14:textId="6267694A" w:rsidR="00C53E65" w:rsidRPr="00C53E65" w:rsidRDefault="00C53E65" w:rsidP="00C53E65">
            <w:pPr>
              <w:keepLines/>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8D7F4F7" w14:textId="0E459FFE" w:rsidR="00C53E65" w:rsidRPr="00C53E65" w:rsidRDefault="009B4F3F" w:rsidP="00C53E65">
            <w:pPr>
              <w:keepLines/>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Pr>
                <w:rFonts w:ascii="Arial Narrow" w:eastAsia="Times New Roman" w:hAnsi="Arial Narrow" w:cs="Times New Roman"/>
                <w:color w:val="333333"/>
                <w:kern w:val="2"/>
                <w:sz w:val="20"/>
                <w:szCs w:val="20"/>
                <w:lang w:eastAsia="en-AU"/>
                <w14:ligatures w14:val="standardContextual"/>
              </w:rPr>
              <w:t>The condition must be</w:t>
            </w:r>
            <w:r w:rsidR="00C53E65" w:rsidRPr="00C53E65">
              <w:rPr>
                <w:rFonts w:ascii="Arial Narrow" w:eastAsia="Times New Roman" w:hAnsi="Arial Narrow" w:cs="Times New Roman"/>
                <w:color w:val="333333"/>
                <w:kern w:val="2"/>
                <w:sz w:val="20"/>
                <w:szCs w:val="20"/>
                <w:lang w:eastAsia="en-AU"/>
                <w14:ligatures w14:val="standardContextual"/>
              </w:rPr>
              <w:t xml:space="preserve"> unresectable with documented disease progression</w:t>
            </w:r>
            <w:r w:rsidR="007C35EC">
              <w:rPr>
                <w:rFonts w:ascii="Arial Narrow" w:eastAsia="Times New Roman" w:hAnsi="Arial Narrow" w:cs="Times New Roman"/>
                <w:color w:val="333333"/>
                <w:kern w:val="2"/>
                <w:sz w:val="20"/>
                <w:szCs w:val="20"/>
                <w:lang w:eastAsia="en-AU"/>
                <w14:ligatures w14:val="standardContextual"/>
              </w:rPr>
              <w:t xml:space="preserve"> prior to commencing treatment wit</w:t>
            </w:r>
            <w:r w:rsidR="00E20032">
              <w:rPr>
                <w:rFonts w:ascii="Arial Narrow" w:eastAsia="Times New Roman" w:hAnsi="Arial Narrow" w:cs="Times New Roman"/>
                <w:color w:val="333333"/>
                <w:kern w:val="2"/>
                <w:sz w:val="20"/>
                <w:szCs w:val="20"/>
                <w:lang w:eastAsia="en-AU"/>
                <w14:ligatures w14:val="standardContextual"/>
              </w:rPr>
              <w:t>h</w:t>
            </w:r>
            <w:r w:rsidR="00446E49">
              <w:rPr>
                <w:rFonts w:ascii="Arial Narrow" w:eastAsia="Times New Roman" w:hAnsi="Arial Narrow" w:cs="Times New Roman"/>
                <w:color w:val="333333"/>
                <w:kern w:val="2"/>
                <w:sz w:val="20"/>
                <w:szCs w:val="20"/>
                <w:lang w:eastAsia="en-AU"/>
                <w14:ligatures w14:val="standardContextual"/>
              </w:rPr>
              <w:t xml:space="preserve"> this drug</w:t>
            </w:r>
            <w:r w:rsidR="009C03F9">
              <w:rPr>
                <w:rFonts w:ascii="Arial Narrow" w:eastAsia="Times New Roman" w:hAnsi="Arial Narrow" w:cs="Times New Roman"/>
                <w:color w:val="333333"/>
                <w:kern w:val="2"/>
                <w:sz w:val="20"/>
                <w:szCs w:val="20"/>
                <w:lang w:eastAsia="en-AU"/>
                <w14:ligatures w14:val="standardContextual"/>
              </w:rPr>
              <w:t>,</w:t>
            </w:r>
          </w:p>
        </w:tc>
      </w:tr>
      <w:tr w:rsidR="00C53E65" w:rsidRPr="00C53E65" w14:paraId="41026972"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666EA9" w14:textId="77777777" w:rsidR="00C53E65" w:rsidRPr="00C53E65" w:rsidRDefault="00C53E65" w:rsidP="00C53E65">
            <w:pPr>
              <w:keepLines/>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B02183" w14:textId="77777777" w:rsidR="00C53E65" w:rsidRPr="00C53E65" w:rsidRDefault="00C53E65" w:rsidP="00C53E65">
            <w:pPr>
              <w:keepLines/>
              <w:shd w:val="clear" w:color="auto" w:fill="FFFFFF"/>
              <w:suppressAutoHyphens w:val="0"/>
              <w:spacing w:before="0" w:after="0" w:line="256" w:lineRule="auto"/>
              <w:jc w:val="left"/>
              <w:rPr>
                <w:rFonts w:ascii="Arial Narrow" w:eastAsia="Times New Roman" w:hAnsi="Arial Narrow" w:cs="Times New Roman"/>
                <w:b/>
                <w:bCs/>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AND</w:t>
            </w:r>
          </w:p>
        </w:tc>
      </w:tr>
      <w:tr w:rsidR="00C53E65" w:rsidRPr="00C53E65" w14:paraId="605ADD32" w14:textId="77777777" w:rsidTr="00C068BC">
        <w:trPr>
          <w:cantSplit/>
          <w:trHeight w:val="208"/>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93FF80" w14:textId="343F1858"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BD971D"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 xml:space="preserve">Clinical criteria: </w:t>
            </w:r>
          </w:p>
        </w:tc>
      </w:tr>
      <w:tr w:rsidR="00C53E65" w:rsidRPr="00C53E65" w14:paraId="17DA0C19"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E4A0B5" w14:textId="7395C75A"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F5F58E"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sidRPr="00C53E65">
              <w:rPr>
                <w:rFonts w:ascii="Arial Narrow" w:eastAsia="Times New Roman" w:hAnsi="Arial Narrow" w:cs="Times New Roman"/>
                <w:color w:val="333333"/>
                <w:kern w:val="2"/>
                <w:sz w:val="20"/>
                <w:szCs w:val="20"/>
                <w:lang w:eastAsia="en-AU"/>
                <w14:ligatures w14:val="standardContextual"/>
              </w:rPr>
              <w:t>The condition must have evidence of activating RET variants in tumour material – this evidence has been obtained prior to commencing treatment with this drug</w:t>
            </w:r>
          </w:p>
        </w:tc>
      </w:tr>
      <w:tr w:rsidR="00C53E65" w:rsidRPr="00C53E65" w14:paraId="5D56B34E" w14:textId="77777777" w:rsidTr="000F0DDB">
        <w:trPr>
          <w:cantSplit/>
          <w:trHeight w:val="55"/>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0EE7D0" w14:textId="77777777" w:rsidR="00C53E65" w:rsidRPr="00C53E65" w:rsidRDefault="00C53E65" w:rsidP="00C53E65">
            <w:pP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DFCA0B"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AND</w:t>
            </w:r>
          </w:p>
        </w:tc>
      </w:tr>
      <w:tr w:rsidR="00C53E65" w:rsidRPr="00C53E65" w14:paraId="349246DD"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22990B9" w14:textId="540DAA4D"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A1FDCB"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Clinical criteria:</w:t>
            </w:r>
          </w:p>
        </w:tc>
      </w:tr>
      <w:tr w:rsidR="00C53E65" w:rsidRPr="00C53E65" w14:paraId="19EB401F"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B55856" w14:textId="2B4B2750"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0AC318"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color w:val="FF0000"/>
                <w:kern w:val="2"/>
                <w:sz w:val="20"/>
                <w:szCs w:val="20"/>
                <w:lang w:eastAsia="en-AU"/>
                <w14:ligatures w14:val="standardContextual"/>
              </w:rPr>
            </w:pPr>
            <w:r w:rsidRPr="00C53E65">
              <w:rPr>
                <w:rFonts w:ascii="Arial Narrow" w:eastAsia="Times New Roman" w:hAnsi="Arial Narrow" w:cs="Times New Roman"/>
                <w:color w:val="333333"/>
                <w:kern w:val="2"/>
                <w:sz w:val="20"/>
                <w:szCs w:val="20"/>
                <w:lang w:eastAsia="en-AU"/>
                <w14:ligatures w14:val="standardContextual"/>
              </w:rPr>
              <w:t>Patient must have a World Health Organisation (WHO) Eastern Cooperative Oncology Group (ECOG) performance status score of no higher than 2 at treatment initiation</w:t>
            </w:r>
          </w:p>
        </w:tc>
      </w:tr>
      <w:tr w:rsidR="00C53E65" w:rsidRPr="00C53E65" w14:paraId="5E8AE9EB"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0794EA" w14:textId="77777777"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E8C2ED"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AND</w:t>
            </w:r>
          </w:p>
        </w:tc>
      </w:tr>
      <w:tr w:rsidR="00C53E65" w:rsidRPr="00C53E65" w14:paraId="79F223F3"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3CC4D3" w14:textId="7D2FEBA5"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578E12"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Clinical criteria:</w:t>
            </w:r>
          </w:p>
        </w:tc>
      </w:tr>
      <w:tr w:rsidR="00C53E65" w:rsidRPr="00C53E65" w14:paraId="09FC23A1"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5A1231" w14:textId="32701300"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78D7CF"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sidRPr="00C53E65">
              <w:rPr>
                <w:rFonts w:ascii="Arial Narrow" w:eastAsia="Times New Roman" w:hAnsi="Arial Narrow" w:cs="Times New Roman"/>
                <w:color w:val="333333"/>
                <w:kern w:val="2"/>
                <w:sz w:val="20"/>
                <w:szCs w:val="20"/>
                <w:lang w:eastAsia="en-AU"/>
                <w14:ligatures w14:val="standardContextual"/>
              </w:rPr>
              <w:t>The treatment must be the sole PBS-subsidised systemic anti-cancer therapy for this PBS indication</w:t>
            </w:r>
          </w:p>
        </w:tc>
      </w:tr>
      <w:tr w:rsidR="00C53E65" w:rsidRPr="00C53E65" w14:paraId="74ADA21C" w14:textId="77777777">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EF7BAE" w14:textId="77777777"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6891CA" w14:textId="77777777" w:rsidR="00C53E65" w:rsidRPr="00C53E65" w:rsidRDefault="00C53E65" w:rsidP="00C53E65">
            <w:pPr>
              <w:shd w:val="clear" w:color="auto" w:fill="FFFFFF"/>
              <w:suppressAutoHyphens w:val="0"/>
              <w:spacing w:before="0" w:after="0" w:line="256" w:lineRule="auto"/>
              <w:jc w:val="left"/>
              <w:rPr>
                <w:rFonts w:ascii="Arial Narrow" w:eastAsia="Times New Roman" w:hAnsi="Arial Narrow" w:cs="Times New Roman"/>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AND</w:t>
            </w:r>
          </w:p>
        </w:tc>
      </w:tr>
      <w:tr w:rsidR="00C53E65" w:rsidRPr="00C53E65" w14:paraId="2691AEC3"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31010F" w14:textId="1095BCCC" w:rsidR="00C53E65" w:rsidRPr="00C53E65" w:rsidRDefault="00C53E65" w:rsidP="00C53E65">
            <w:pPr>
              <w:keepNext/>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028414" w14:textId="77777777" w:rsidR="00C53E65" w:rsidRPr="00C53E65" w:rsidRDefault="00C53E65" w:rsidP="00C53E65">
            <w:pPr>
              <w:keepNext/>
              <w:shd w:val="clear" w:color="auto" w:fill="FFFFFF"/>
              <w:suppressAutoHyphens w:val="0"/>
              <w:spacing w:before="0" w:after="0" w:line="256" w:lineRule="auto"/>
              <w:jc w:val="left"/>
              <w:rPr>
                <w:rFonts w:ascii="Arial Narrow" w:eastAsia="Times New Roman" w:hAnsi="Arial Narrow" w:cs="Times New Roman"/>
                <w:strike/>
                <w:color w:val="333333"/>
                <w:kern w:val="2"/>
                <w:sz w:val="20"/>
                <w:szCs w:val="20"/>
                <w:lang w:eastAsia="en-AU"/>
                <w14:ligatures w14:val="standardContextual"/>
              </w:rPr>
            </w:pPr>
            <w:r w:rsidRPr="00C53E65">
              <w:rPr>
                <w:rFonts w:ascii="Arial Narrow" w:eastAsia="Times New Roman" w:hAnsi="Arial Narrow" w:cs="Times New Roman"/>
                <w:b/>
                <w:bCs/>
                <w:color w:val="333333"/>
                <w:kern w:val="2"/>
                <w:sz w:val="20"/>
                <w:szCs w:val="20"/>
                <w:lang w:eastAsia="en-AU"/>
                <w14:ligatures w14:val="standardContextual"/>
              </w:rPr>
              <w:t>Clinical criteria</w:t>
            </w:r>
            <w:r w:rsidRPr="00C53E65">
              <w:rPr>
                <w:rFonts w:ascii="Arial Narrow" w:eastAsia="Times New Roman" w:hAnsi="Arial Narrow" w:cs="Times New Roman"/>
                <w:b/>
                <w:bCs/>
                <w:strike/>
                <w:color w:val="333333"/>
                <w:kern w:val="2"/>
                <w:sz w:val="20"/>
                <w:szCs w:val="20"/>
                <w:lang w:eastAsia="en-AU"/>
                <w14:ligatures w14:val="standardContextual"/>
              </w:rPr>
              <w:t xml:space="preserve"> </w:t>
            </w:r>
          </w:p>
        </w:tc>
      </w:tr>
      <w:tr w:rsidR="00C53E65" w:rsidRPr="00C53E65" w14:paraId="18C97303"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EA2ADC" w14:textId="5B7890C2"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7B005A" w14:textId="77777777" w:rsidR="00C53E65" w:rsidRPr="00C53E65" w:rsidRDefault="00C53E65" w:rsidP="00C53E65">
            <w:pPr>
              <w:shd w:val="clear" w:color="auto" w:fill="FFFFFF"/>
              <w:suppressAutoHyphens w:val="0"/>
              <w:autoSpaceDE w:val="0"/>
              <w:autoSpaceDN w:val="0"/>
              <w:adjustRightInd w:val="0"/>
              <w:spacing w:before="0" w:after="0" w:line="256" w:lineRule="auto"/>
              <w:jc w:val="left"/>
              <w:rPr>
                <w:rFonts w:ascii="Arial Narrow" w:eastAsia="Calibri" w:hAnsi="Arial Narrow" w:cs="Arial Narrow"/>
                <w:kern w:val="2"/>
                <w:sz w:val="20"/>
                <w:szCs w:val="20"/>
                <w14:ligatures w14:val="standardContextual"/>
              </w:rPr>
            </w:pPr>
            <w:r w:rsidRPr="00C53E65">
              <w:rPr>
                <w:rFonts w:ascii="Arial Narrow" w:eastAsia="Times New Roman" w:hAnsi="Arial Narrow" w:cs="Times New Roman"/>
                <w:color w:val="333333"/>
                <w:kern w:val="2"/>
                <w:sz w:val="20"/>
                <w:szCs w:val="20"/>
                <w:lang w:eastAsia="en-AU"/>
                <w14:ligatures w14:val="standardContextual"/>
              </w:rPr>
              <w:t>Patient must be initiating treatment with this drug; or</w:t>
            </w:r>
          </w:p>
        </w:tc>
      </w:tr>
      <w:tr w:rsidR="00C53E65" w:rsidRPr="00C53E65" w14:paraId="41E90154"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4DE64D" w14:textId="3B565A96"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color w:val="333333"/>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E88D1E4" w14:textId="77777777" w:rsidR="00C53E65" w:rsidRPr="00C53E65" w:rsidRDefault="00C53E65" w:rsidP="00C53E65">
            <w:pPr>
              <w:shd w:val="clear" w:color="auto" w:fill="FFFFFF"/>
              <w:suppressAutoHyphens w:val="0"/>
              <w:autoSpaceDE w:val="0"/>
              <w:autoSpaceDN w:val="0"/>
              <w:adjustRightInd w:val="0"/>
              <w:spacing w:before="0" w:after="0" w:line="256" w:lineRule="auto"/>
              <w:jc w:val="left"/>
              <w:rPr>
                <w:rFonts w:ascii="Arial Narrow" w:eastAsia="Calibri" w:hAnsi="Arial Narrow" w:cs="Arial Narrow"/>
                <w:kern w:val="2"/>
                <w:sz w:val="20"/>
                <w:szCs w:val="20"/>
                <w14:ligatures w14:val="standardContextual"/>
              </w:rPr>
            </w:pPr>
            <w:r w:rsidRPr="00C53E65">
              <w:rPr>
                <w:rFonts w:ascii="Arial Narrow" w:eastAsia="Times New Roman" w:hAnsi="Arial Narrow" w:cs="Times New Roman"/>
                <w:color w:val="333333"/>
                <w:kern w:val="2"/>
                <w:sz w:val="20"/>
                <w:szCs w:val="20"/>
                <w:lang w:eastAsia="en-AU"/>
                <w14:ligatures w14:val="standardContextual"/>
              </w:rPr>
              <w:t xml:space="preserve">Patient must be continuing treatment with this drug, with an absence of further disease progression while being treated with this drug </w:t>
            </w:r>
          </w:p>
        </w:tc>
      </w:tr>
      <w:tr w:rsidR="00C53E65" w:rsidRPr="00C53E65" w14:paraId="403702C1"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E4DAC5" w14:textId="7ADE0CD9"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A97695" w14:textId="77777777" w:rsidR="00C53E65" w:rsidRPr="00C53E65" w:rsidRDefault="00C53E65" w:rsidP="00C53E65">
            <w:pPr>
              <w:shd w:val="clear" w:color="auto" w:fill="FFFFFF"/>
              <w:suppressAutoHyphens w:val="0"/>
              <w:spacing w:before="0" w:after="0" w:line="256" w:lineRule="auto"/>
              <w:rPr>
                <w:rFonts w:ascii="Arial Narrow" w:eastAsia="Times New Roman" w:hAnsi="Arial Narrow" w:cs="Times New Roman"/>
                <w:kern w:val="2"/>
                <w:sz w:val="20"/>
                <w:szCs w:val="20"/>
                <w:lang w:eastAsia="en-AU"/>
                <w14:ligatures w14:val="standardContextual"/>
              </w:rPr>
            </w:pPr>
            <w:r w:rsidRPr="00C53E65">
              <w:rPr>
                <w:rFonts w:ascii="Arial Narrow" w:eastAsia="Times New Roman" w:hAnsi="Arial Narrow" w:cs="Times New Roman"/>
                <w:b/>
                <w:bCs/>
                <w:kern w:val="2"/>
                <w:sz w:val="20"/>
                <w:szCs w:val="20"/>
                <w:lang w:eastAsia="en-AU"/>
                <w14:ligatures w14:val="standardContextual"/>
              </w:rPr>
              <w:t xml:space="preserve">Prescribing Instructions: </w:t>
            </w:r>
            <w:r w:rsidRPr="00C53E65">
              <w:rPr>
                <w:rFonts w:ascii="Arial Narrow" w:eastAsia="Times New Roman" w:hAnsi="Arial Narrow" w:cs="Times New Roman"/>
                <w:kern w:val="2"/>
                <w:sz w:val="20"/>
                <w:szCs w:val="20"/>
                <w:lang w:eastAsia="en-AU"/>
                <w14:ligatures w14:val="standardContextual"/>
              </w:rPr>
              <w:t>Medical practitioners must prescribe the appropriate quantities of appropriate strength(s) to provide sufficient drug, based on the weight of the patient, adequate for 4 weeks per dispensing, according to the specified dosage in the approved Therapeutic Goods Administration (TGA) Product Information (PI). A separate authority prescription form must be completed for each strength requested.</w:t>
            </w:r>
          </w:p>
        </w:tc>
      </w:tr>
      <w:tr w:rsidR="00C53E65" w:rsidRPr="00C53E65" w14:paraId="7840C7B1" w14:textId="77777777" w:rsidTr="00C068BC">
        <w:trPr>
          <w:cantSplit/>
          <w:trHeight w:val="20"/>
        </w:trPr>
        <w:tc>
          <w:tcPr>
            <w:tcW w:w="1413"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F162A0B" w14:textId="0476E4C7" w:rsidR="00C53E65" w:rsidRPr="00C53E65" w:rsidRDefault="00C53E65" w:rsidP="00C53E65">
            <w:pPr>
              <w:shd w:val="clear" w:color="auto" w:fill="FFFFFF"/>
              <w:suppressAutoHyphens w:val="0"/>
              <w:spacing w:before="0" w:after="0" w:line="256" w:lineRule="auto"/>
              <w:jc w:val="center"/>
              <w:rPr>
                <w:rFonts w:ascii="Arial Narrow" w:eastAsia="Times New Roman" w:hAnsi="Arial Narrow" w:cs="Times New Roman"/>
                <w:kern w:val="2"/>
                <w:sz w:val="20"/>
                <w:szCs w:val="20"/>
                <w:lang w:eastAsia="en-AU"/>
                <w14:ligatures w14:val="standardContextual"/>
              </w:rPr>
            </w:pPr>
          </w:p>
        </w:tc>
        <w:tc>
          <w:tcPr>
            <w:tcW w:w="7603" w:type="dxa"/>
            <w:gridSpan w:val="6"/>
            <w:tcBorders>
              <w:top w:val="single" w:sz="4" w:space="0" w:color="auto"/>
              <w:left w:val="single" w:sz="4" w:space="0" w:color="auto"/>
              <w:bottom w:val="single" w:sz="4" w:space="0" w:color="auto"/>
              <w:right w:val="single" w:sz="4" w:space="0" w:color="auto"/>
            </w:tcBorders>
            <w:shd w:val="clear" w:color="auto" w:fill="FFFFFF"/>
            <w:tcMar>
              <w:top w:w="15" w:type="dxa"/>
              <w:left w:w="108" w:type="dxa"/>
              <w:bottom w:w="15" w:type="dxa"/>
              <w:right w:w="108" w:type="dxa"/>
            </w:tcMar>
            <w:vAlign w:val="center"/>
            <w:hideMark/>
          </w:tcPr>
          <w:p w14:paraId="0057AE82" w14:textId="77777777" w:rsidR="00C53E65" w:rsidRPr="00C53E65" w:rsidRDefault="00C53E65" w:rsidP="00C53E65">
            <w:pPr>
              <w:shd w:val="clear" w:color="auto" w:fill="FFFFFF"/>
              <w:suppressAutoHyphens w:val="0"/>
              <w:spacing w:before="0" w:after="0" w:line="256" w:lineRule="auto"/>
              <w:rPr>
                <w:rFonts w:ascii="Arial Narrow" w:eastAsia="Times New Roman" w:hAnsi="Arial Narrow" w:cs="Times New Roman"/>
                <w:b/>
                <w:bCs/>
                <w:kern w:val="2"/>
                <w:sz w:val="20"/>
                <w:szCs w:val="20"/>
                <w:lang w:eastAsia="en-AU"/>
                <w14:ligatures w14:val="standardContextual"/>
              </w:rPr>
            </w:pPr>
            <w:r w:rsidRPr="00C53E65">
              <w:rPr>
                <w:rFonts w:ascii="Arial Narrow" w:eastAsia="Times New Roman" w:hAnsi="Arial Narrow" w:cs="Times New Roman"/>
                <w:b/>
                <w:bCs/>
                <w:kern w:val="2"/>
                <w:sz w:val="20"/>
                <w:szCs w:val="20"/>
                <w:lang w:eastAsia="en-AU"/>
                <w14:ligatures w14:val="standardContextual"/>
              </w:rPr>
              <w:t>Prescribing Instructions:</w:t>
            </w:r>
            <w:r w:rsidRPr="00C53E65">
              <w:rPr>
                <w:rFonts w:ascii="Arial Narrow" w:eastAsia="Times New Roman" w:hAnsi="Arial Narrow" w:cs="Times New Roman"/>
                <w:kern w:val="2"/>
                <w:sz w:val="20"/>
                <w:szCs w:val="20"/>
                <w:lang w:eastAsia="en-AU"/>
                <w14:ligatures w14:val="standardContextual"/>
              </w:rPr>
              <w:t xml:space="preserve"> Medical practitioners may prescribe selpercatinib 80 mg with a quantity of up to 56 units where the dose does not exceed 120 mg twice daily (i.e., in combination with selpercatinib 40 mg). Selpercatinib 80 mg with a quantity of 112 units must be prescribed only where the dose is 160 mg twice daily to provide 28 days of treatment per dispensing. Prescribers should refer to the TGA PI for dosing and dose adjustments regimens.</w:t>
            </w:r>
          </w:p>
        </w:tc>
      </w:tr>
    </w:tbl>
    <w:p w14:paraId="16321D36" w14:textId="47DC7DB2" w:rsidR="00515201" w:rsidRPr="00A80972" w:rsidRDefault="00515201" w:rsidP="00A80972">
      <w:pPr>
        <w:spacing w:after="80"/>
        <w:rPr>
          <w:b/>
          <w:i/>
          <w:iCs/>
          <w:snapToGrid w:val="0"/>
          <w:lang w:val="en-GB"/>
        </w:rPr>
      </w:pPr>
      <w:r w:rsidRPr="00907671">
        <w:rPr>
          <w:b/>
          <w:i/>
          <w:iCs/>
          <w:snapToGrid w:val="0"/>
          <w:lang w:val="en-GB"/>
        </w:rPr>
        <w:t>Th</w:t>
      </w:r>
      <w:r>
        <w:rPr>
          <w:b/>
          <w:i/>
          <w:iCs/>
          <w:snapToGrid w:val="0"/>
          <w:lang w:val="en-GB"/>
        </w:rPr>
        <w:t>ese</w:t>
      </w:r>
      <w:r w:rsidRPr="00907671">
        <w:rPr>
          <w:b/>
          <w:i/>
          <w:iCs/>
          <w:snapToGrid w:val="0"/>
          <w:lang w:val="en-GB"/>
        </w:rPr>
        <w:t xml:space="preserve"> restriction</w:t>
      </w:r>
      <w:r>
        <w:rPr>
          <w:b/>
          <w:i/>
          <w:iCs/>
          <w:snapToGrid w:val="0"/>
          <w:lang w:val="en-GB"/>
        </w:rPr>
        <w:t>s</w:t>
      </w:r>
      <w:r w:rsidRPr="00907671">
        <w:rPr>
          <w:b/>
          <w:i/>
          <w:iCs/>
          <w:snapToGrid w:val="0"/>
          <w:lang w:val="en-GB"/>
        </w:rPr>
        <w:t xml:space="preserve"> may be subject to further review. Should there be any changes made to the restriction</w:t>
      </w:r>
      <w:r>
        <w:rPr>
          <w:b/>
          <w:i/>
          <w:iCs/>
          <w:snapToGrid w:val="0"/>
          <w:lang w:val="en-GB"/>
        </w:rPr>
        <w:t>s</w:t>
      </w:r>
      <w:r w:rsidRPr="00907671">
        <w:rPr>
          <w:b/>
          <w:i/>
          <w:iCs/>
          <w:snapToGrid w:val="0"/>
          <w:lang w:val="en-GB"/>
        </w:rPr>
        <w:t xml:space="preserve"> the sponsor will be informed.</w:t>
      </w:r>
    </w:p>
    <w:p w14:paraId="132BCB38" w14:textId="77777777" w:rsidR="003708BE" w:rsidRPr="00824703" w:rsidRDefault="003708BE" w:rsidP="003708BE">
      <w:pPr>
        <w:pStyle w:val="PBACESHeading1"/>
        <w:tabs>
          <w:tab w:val="clear" w:pos="1077"/>
        </w:tabs>
        <w:spacing w:before="160" w:after="160"/>
        <w:ind w:left="567" w:hanging="567"/>
      </w:pPr>
      <w:r w:rsidRPr="00C73F0E">
        <w:rPr>
          <w:b/>
          <w:bCs/>
        </w:rPr>
        <w:t>C</w:t>
      </w:r>
      <w:r w:rsidRPr="003708BE">
        <w:rPr>
          <w:b/>
          <w:bCs/>
        </w:rPr>
        <w:t>ontext for Decision</w:t>
      </w:r>
    </w:p>
    <w:p w14:paraId="121FEA01" w14:textId="77777777" w:rsidR="003708BE" w:rsidRPr="00824703" w:rsidRDefault="003708BE" w:rsidP="003708BE">
      <w:pPr>
        <w:suppressAutoHyphens w:val="0"/>
        <w:spacing w:before="0" w:after="120"/>
        <w:ind w:left="540"/>
        <w:jc w:val="left"/>
        <w:rPr>
          <w:rFonts w:ascii="Calibri" w:eastAsia="Times New Roman" w:hAnsi="Calibri" w:cs="Calibri"/>
          <w:szCs w:val="24"/>
          <w:lang w:val="en-GB" w:eastAsia="en-AU"/>
        </w:rPr>
      </w:pPr>
      <w:r w:rsidRPr="00824703">
        <w:rPr>
          <w:rFonts w:ascii="Calibri" w:eastAsia="Times New Roman" w:hAnsi="Calibri" w:cs="Calibri"/>
          <w:szCs w:val="24"/>
          <w:lang w:val="en-GB"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D60E6DA" w14:textId="77777777" w:rsidR="003708BE" w:rsidRPr="00824703" w:rsidRDefault="003708BE" w:rsidP="003708BE">
      <w:pPr>
        <w:pStyle w:val="PBACESHeading1"/>
        <w:tabs>
          <w:tab w:val="clear" w:pos="1077"/>
        </w:tabs>
        <w:spacing w:before="160" w:after="160"/>
        <w:ind w:left="567" w:hanging="567"/>
      </w:pPr>
      <w:r w:rsidRPr="003708BE">
        <w:rPr>
          <w:b/>
          <w:bCs/>
        </w:rPr>
        <w:t>Sponsor’s Comment</w:t>
      </w:r>
    </w:p>
    <w:p w14:paraId="78204708" w14:textId="71843F24" w:rsidR="00824703" w:rsidRPr="00C53E65" w:rsidRDefault="003708BE" w:rsidP="00B73859">
      <w:pPr>
        <w:suppressAutoHyphens w:val="0"/>
        <w:spacing w:before="0" w:after="120"/>
        <w:ind w:left="540"/>
        <w:jc w:val="left"/>
        <w:rPr>
          <w:rFonts w:ascii="Aptos" w:eastAsia="Aptos" w:hAnsi="Aptos" w:cs="Times New Roman"/>
        </w:rPr>
      </w:pPr>
      <w:r w:rsidRPr="00824703">
        <w:rPr>
          <w:rFonts w:ascii="Calibri" w:eastAsia="Times New Roman" w:hAnsi="Calibri" w:cs="Calibri"/>
          <w:szCs w:val="24"/>
          <w:lang w:eastAsia="en-AU"/>
        </w:rPr>
        <w:t>The sponsor had no comment.</w:t>
      </w:r>
    </w:p>
    <w:p w14:paraId="3EC8E804" w14:textId="77777777" w:rsidR="00B73859" w:rsidRPr="00B73859" w:rsidRDefault="00B73859" w:rsidP="00D014D6">
      <w:pPr>
        <w:pStyle w:val="5-SubsectionSubheading"/>
        <w:jc w:val="center"/>
      </w:pPr>
    </w:p>
    <w:p w14:paraId="5F735715" w14:textId="77777777" w:rsidR="00C53E65" w:rsidRPr="009F2AA4" w:rsidRDefault="00C53E65" w:rsidP="00C53E65">
      <w:pPr>
        <w:pStyle w:val="3-BodyText"/>
        <w:numPr>
          <w:ilvl w:val="0"/>
          <w:numId w:val="0"/>
        </w:numPr>
      </w:pPr>
    </w:p>
    <w:sectPr w:rsidR="00C53E65" w:rsidRPr="009F2AA4" w:rsidSect="000C4308">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1440" w:footer="144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AF693" w14:textId="77777777" w:rsidR="000421D8" w:rsidRDefault="000421D8" w:rsidP="00476A25">
      <w:r>
        <w:separator/>
      </w:r>
    </w:p>
  </w:endnote>
  <w:endnote w:type="continuationSeparator" w:id="0">
    <w:p w14:paraId="28D0D596" w14:textId="77777777" w:rsidR="000421D8" w:rsidRDefault="000421D8" w:rsidP="0047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C7A7" w14:textId="6955B928" w:rsidR="00952C5E" w:rsidRDefault="00245BE5">
    <w:pPr>
      <w:pStyle w:val="Footer"/>
    </w:pPr>
    <w:r>
      <w:rPr>
        <w:noProof/>
      </w:rPr>
      <mc:AlternateContent>
        <mc:Choice Requires="wps">
          <w:drawing>
            <wp:anchor distT="0" distB="0" distL="0" distR="0" simplePos="0" relativeHeight="251658245" behindDoc="0" locked="0" layoutInCell="1" allowOverlap="1" wp14:anchorId="18AD1F5B" wp14:editId="59F2F629">
              <wp:simplePos x="635" y="635"/>
              <wp:positionH relativeFrom="page">
                <wp:align>center</wp:align>
              </wp:positionH>
              <wp:positionV relativeFrom="page">
                <wp:align>bottom</wp:align>
              </wp:positionV>
              <wp:extent cx="622300" cy="452755"/>
              <wp:effectExtent l="0" t="0" r="6350" b="0"/>
              <wp:wrapNone/>
              <wp:docPr id="187988534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F777539" w14:textId="14D8E71F"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AD1F5B" id="_x0000_t202" coordsize="21600,21600" o:spt="202" path="m,l,21600r21600,l21600,xe">
              <v:stroke joinstyle="miter"/>
              <v:path gradientshapeok="t" o:connecttype="rect"/>
            </v:shapetype>
            <v:shape id="Text Box 5" o:spid="_x0000_s1029" type="#_x0000_t202" alt="OFFICIAL" style="position:absolute;left:0;text-align:left;margin-left:0;margin-top:0;width:49pt;height:3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2F777539" w14:textId="14D8E71F"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31C9" w14:textId="4D71DAF7" w:rsidR="00C93BE5" w:rsidRDefault="00245BE5">
    <w:pPr>
      <w:pStyle w:val="Footer"/>
      <w:jc w:val="center"/>
    </w:pPr>
    <w:r>
      <w:rPr>
        <w:noProof/>
      </w:rPr>
      <mc:AlternateContent>
        <mc:Choice Requires="wps">
          <w:drawing>
            <wp:anchor distT="0" distB="0" distL="0" distR="0" simplePos="0" relativeHeight="251658246" behindDoc="0" locked="0" layoutInCell="1" allowOverlap="1" wp14:anchorId="23EA23CD" wp14:editId="5D3E4753">
              <wp:simplePos x="914400" y="9410700"/>
              <wp:positionH relativeFrom="page">
                <wp:align>center</wp:align>
              </wp:positionH>
              <wp:positionV relativeFrom="page">
                <wp:align>bottom</wp:align>
              </wp:positionV>
              <wp:extent cx="622300" cy="452755"/>
              <wp:effectExtent l="0" t="0" r="6350" b="0"/>
              <wp:wrapNone/>
              <wp:docPr id="131661060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C4B3EFD" w14:textId="0DBC3034"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EA23CD" id="_x0000_t202" coordsize="21600,21600" o:spt="202" path="m,l,21600r21600,l21600,xe">
              <v:stroke joinstyle="miter"/>
              <v:path gradientshapeok="t" o:connecttype="rect"/>
            </v:shapetype>
            <v:shape id="Text Box 6" o:spid="_x0000_s1030" type="#_x0000_t202" alt="OFFICIAL" style="position:absolute;left:0;text-align:left;margin-left:0;margin-top:0;width:49pt;height:3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Yy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sqPna/g+pEQyEM+/ZOrlsqvRE+PAmkBVO3JNrw&#10;SEetoSs5nC3OGsAff/PHfOKdopx1JJiSW1I0Z/qbpX1EbY0GjsYuGdPP+TzSYw/mDkiGU3oRTiaT&#10;vBj0aNYI5oXkvIqFKCSspHIl343mXRiUS89BqtUqJZGMnAgbu3UyQke6IpfP/YtAdyY80KYeYFST&#10;KF7xPuTGm96tDoHYT0uJ1A5EnhknCaa1np9L1Piv/ynr+qiXPwE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GNBZjINAgAAHAQA&#10;AA4AAAAAAAAAAAAAAAAALgIAAGRycy9lMm9Eb2MueG1sUEsBAi0AFAAGAAgAAAAhAKZfxHbaAAAA&#10;AwEAAA8AAAAAAAAAAAAAAAAAZwQAAGRycy9kb3ducmV2LnhtbFBLBQYAAAAABAAEAPMAAABuBQAA&#10;AAA=&#10;" filled="f" stroked="f">
              <v:textbox style="mso-fit-shape-to-text:t" inset="0,0,0,15pt">
                <w:txbxContent>
                  <w:p w14:paraId="1C4B3EFD" w14:textId="0DBC3034"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v:textbox>
              <w10:wrap anchorx="page" anchory="page"/>
            </v:shape>
          </w:pict>
        </mc:Fallback>
      </mc:AlternateContent>
    </w:r>
    <w:sdt>
      <w:sdtPr>
        <w:id w:val="408043903"/>
        <w:docPartObj>
          <w:docPartGallery w:val="Page Numbers (Bottom of Page)"/>
          <w:docPartUnique/>
        </w:docPartObj>
      </w:sdtPr>
      <w:sdtEndPr/>
      <w:sdtContent>
        <w:r w:rsidR="00C93BE5" w:rsidRPr="00C93BE5">
          <w:rPr>
            <w:b/>
            <w:bCs/>
          </w:rPr>
          <w:fldChar w:fldCharType="begin"/>
        </w:r>
        <w:r w:rsidR="00C93BE5" w:rsidRPr="00C93BE5">
          <w:rPr>
            <w:b/>
            <w:bCs/>
          </w:rPr>
          <w:instrText>PAGE   \* MERGEFORMAT</w:instrText>
        </w:r>
        <w:r w:rsidR="00C93BE5" w:rsidRPr="00C93BE5">
          <w:rPr>
            <w:b/>
            <w:bCs/>
          </w:rPr>
          <w:fldChar w:fldCharType="separate"/>
        </w:r>
        <w:r w:rsidR="00C93BE5" w:rsidRPr="00C93BE5">
          <w:rPr>
            <w:b/>
            <w:bCs/>
            <w:lang w:val="en-GB"/>
          </w:rPr>
          <w:t>2</w:t>
        </w:r>
        <w:r w:rsidR="00C93BE5" w:rsidRPr="00C93BE5">
          <w:rPr>
            <w:b/>
            <w:bCs/>
          </w:rPr>
          <w:fldChar w:fldCharType="end"/>
        </w:r>
      </w:sdtContent>
    </w:sdt>
  </w:p>
  <w:p w14:paraId="3C781640" w14:textId="294E9977" w:rsidR="002F03F5" w:rsidRDefault="002F03F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1643" w14:textId="526C54D8" w:rsidR="002F03F5" w:rsidRDefault="00245BE5" w:rsidP="00DE0D8C">
    <w:pPr>
      <w:pStyle w:val="Footer"/>
      <w:jc w:val="center"/>
    </w:pPr>
    <w:r>
      <w:rPr>
        <w:noProof/>
      </w:rPr>
      <mc:AlternateContent>
        <mc:Choice Requires="wps">
          <w:drawing>
            <wp:anchor distT="0" distB="0" distL="0" distR="0" simplePos="0" relativeHeight="251658244" behindDoc="0" locked="0" layoutInCell="1" allowOverlap="1" wp14:anchorId="20FFB0FF" wp14:editId="65CB9377">
              <wp:simplePos x="635" y="635"/>
              <wp:positionH relativeFrom="page">
                <wp:align>center</wp:align>
              </wp:positionH>
              <wp:positionV relativeFrom="page">
                <wp:align>bottom</wp:align>
              </wp:positionV>
              <wp:extent cx="622300" cy="452755"/>
              <wp:effectExtent l="0" t="0" r="6350" b="0"/>
              <wp:wrapNone/>
              <wp:docPr id="41863815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B0E446A" w14:textId="3D635287"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FFB0FF"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3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0B0E446A" w14:textId="3D635287"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v:textbox>
              <w10:wrap anchorx="page" anchory="page"/>
            </v:shape>
          </w:pict>
        </mc:Fallback>
      </mc:AlternateContent>
    </w:r>
    <w:r w:rsidR="008F23FF">
      <w:t>Commercial-In-Confidence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3A56" w14:textId="77777777" w:rsidR="000421D8" w:rsidRDefault="000421D8">
      <w:r>
        <w:separator/>
      </w:r>
    </w:p>
  </w:footnote>
  <w:footnote w:type="continuationSeparator" w:id="0">
    <w:p w14:paraId="3564F236" w14:textId="77777777" w:rsidR="000421D8" w:rsidRDefault="000421D8">
      <w:r>
        <w:continuationSeparator/>
      </w:r>
    </w:p>
  </w:footnote>
  <w:footnote w:id="1">
    <w:p w14:paraId="3C781670" w14:textId="77777777" w:rsidR="002F03F5" w:rsidRDefault="008F23FF">
      <w:pPr>
        <w:pStyle w:val="FootnoteText"/>
        <w:rPr>
          <w:lang w:val="en-US"/>
        </w:rPr>
      </w:pPr>
      <w:r w:rsidRPr="00020FBD">
        <w:rPr>
          <w:rStyle w:val="FootnoteCharacters"/>
        </w:rPr>
        <w:footnoteRef/>
      </w:r>
      <w:r>
        <w:t xml:space="preserve"> Cancer Australia. Thyroid cancer in Australia statistics. URRL: </w:t>
      </w:r>
      <w:r>
        <w:rPr>
          <w:rFonts w:ascii="Calibri" w:hAnsi="Calibri"/>
        </w:rPr>
        <w:t>https://www.canceraustralia.gov.au/cancer-types/thyroid-cancer/thyroid-cancer-australia-statistics</w:t>
      </w:r>
    </w:p>
  </w:footnote>
  <w:footnote w:id="2">
    <w:p w14:paraId="3C781671" w14:textId="77777777" w:rsidR="002F03F5" w:rsidRDefault="008F23FF">
      <w:pPr>
        <w:pStyle w:val="FootnoteText"/>
        <w:rPr>
          <w:lang w:val="en-US"/>
        </w:rPr>
      </w:pPr>
      <w:r w:rsidRPr="00020FBD">
        <w:rPr>
          <w:rStyle w:val="FootnoteCharacters"/>
        </w:rPr>
        <w:footnoteRef/>
      </w:r>
      <w:r>
        <w:t xml:space="preserve"> Romei, C, et al. (2016). New insights in the molecular signature of advanced medullary thyroid cancer: evidence of a bad outcome of cases with double</w:t>
      </w:r>
      <w:r>
        <w:rPr>
          <w:i/>
        </w:rPr>
        <w:t xml:space="preserve"> RET </w:t>
      </w:r>
      <w:r>
        <w:t>mutations. J Med Genet. 2016 Nov;53(11):729-734. doi: 10.1136/jmedgenet-2016-103833. Epub 2016 Jul 28. PMID: 27468888.</w:t>
      </w:r>
    </w:p>
  </w:footnote>
  <w:footnote w:id="3">
    <w:p w14:paraId="3C781673" w14:textId="31EF430B" w:rsidR="002F03F5" w:rsidRDefault="008F23FF">
      <w:pPr>
        <w:pStyle w:val="FootnoteText"/>
        <w:rPr>
          <w:lang w:val="en-US"/>
        </w:rPr>
      </w:pPr>
      <w:r w:rsidRPr="00020FBD">
        <w:rPr>
          <w:rStyle w:val="FootnoteCharacters"/>
        </w:rPr>
        <w:footnoteRef/>
      </w:r>
      <w:r>
        <w:t xml:space="preserve"> Papachristos, AJ, et al. (2023). Management of Medullary Thyroid Cancer: Patterns of Recurrence and Outcomes of Reoperative Surgery, Oncologist, vol. 28, no. 12, Dec 11, pp. 1064-1071</w:t>
      </w:r>
      <w:r w:rsidR="007E3114">
        <w:t xml:space="preserve"> </w:t>
      </w:r>
      <w:r>
        <w:t>10.1093/oncolo/oyad232</w:t>
      </w:r>
    </w:p>
  </w:footnote>
  <w:footnote w:id="4">
    <w:p w14:paraId="3C781674" w14:textId="77777777" w:rsidR="002F03F5" w:rsidRDefault="008F23FF">
      <w:pPr>
        <w:spacing w:before="0" w:after="0"/>
        <w:rPr>
          <w:sz w:val="18"/>
          <w:szCs w:val="18"/>
        </w:rPr>
      </w:pPr>
      <w:r w:rsidRPr="00020FBD">
        <w:rPr>
          <w:rStyle w:val="FootnoteCharacters"/>
        </w:rPr>
        <w:footnoteRef/>
      </w:r>
      <w:r>
        <w:rPr>
          <w:sz w:val="18"/>
          <w:szCs w:val="18"/>
        </w:rPr>
        <w:t xml:space="preserve"> Santillan, MR, et al. (2025). Systemic Therapies for Advanced Medullary Thyroid Carcinoma. In: Raue, F., Frank-Raue, K. (eds) Medullary Thyroid Carcinoma. Recent Results in Cancer Research, vol 223. Springer, Cham. https://doi.org/10.1007/978-3-031-80396-3_12</w:t>
      </w:r>
    </w:p>
  </w:footnote>
  <w:footnote w:id="5">
    <w:p w14:paraId="3C781675" w14:textId="77777777" w:rsidR="002F03F5" w:rsidRDefault="008F23FF">
      <w:pPr>
        <w:pStyle w:val="FootnoteText"/>
        <w:rPr>
          <w:lang w:val="en-US"/>
        </w:rPr>
      </w:pPr>
      <w:r w:rsidRPr="00020FBD">
        <w:rPr>
          <w:rStyle w:val="FootnoteCharacters"/>
        </w:rPr>
        <w:footnoteRef/>
      </w:r>
      <w:r>
        <w:t xml:space="preserve"> </w:t>
      </w:r>
      <w:r>
        <w:rPr>
          <w:lang w:val="en-US"/>
        </w:rPr>
        <w:t>The proportion who crossed over was reported at the latest data cutoff (March 2024;</w:t>
      </w:r>
      <w:r>
        <w:t xml:space="preserve"> Table 14.1.1.2.9 Attachment to the submission</w:t>
      </w:r>
      <w:r>
        <w:rPr>
          <w:lang w:val="en-US"/>
        </w:rPr>
        <w:t>), whereas the proportion who continued selpercatinib was only reported at the interim analysis (data cutoff May 2023;</w:t>
      </w:r>
      <w:r>
        <w:t xml:space="preserve"> Table JZJB.8.33, LIBRETTO-531 CSR)</w:t>
      </w:r>
      <w:r>
        <w:rPr>
          <w:lang w:val="en-US"/>
        </w:rPr>
        <w:t>. These reported values</w:t>
      </w:r>
      <w:r>
        <w:t xml:space="preserve"> were also not consistent with the subsequent anticancer therapies data from Table 14.1.4.1.5.1, Attachment to the submission (data cutoff March 2024).</w:t>
      </w:r>
    </w:p>
  </w:footnote>
  <w:footnote w:id="6">
    <w:p w14:paraId="304D7CF9" w14:textId="77777777" w:rsidR="009B4F62" w:rsidRPr="00DB69D3" w:rsidRDefault="009B4F62" w:rsidP="009B4F62">
      <w:pPr>
        <w:spacing w:before="0" w:after="0"/>
        <w:rPr>
          <w:sz w:val="18"/>
          <w:szCs w:val="20"/>
        </w:rPr>
      </w:pPr>
      <w:r w:rsidRPr="00DE0D8C">
        <w:rPr>
          <w:rStyle w:val="FootnoteCharacters"/>
        </w:rPr>
        <w:footnoteRef/>
      </w:r>
      <w:r>
        <w:rPr>
          <w:sz w:val="20"/>
          <w:szCs w:val="18"/>
        </w:rPr>
        <w:t xml:space="preserve"> </w:t>
      </w:r>
      <w:r>
        <w:rPr>
          <w:sz w:val="18"/>
          <w:szCs w:val="20"/>
        </w:rPr>
        <w:t>Elisei, R, et al. (2019). Twenty-Five Years Experience on</w:t>
      </w:r>
      <w:r>
        <w:rPr>
          <w:i/>
          <w:sz w:val="18"/>
          <w:szCs w:val="20"/>
        </w:rPr>
        <w:t xml:space="preserve"> RET </w:t>
      </w:r>
      <w:r>
        <w:rPr>
          <w:sz w:val="18"/>
          <w:szCs w:val="20"/>
        </w:rPr>
        <w:t>Genetic Screening on Hereditary MTC: An Update on The Prevalence of Germline</w:t>
      </w:r>
      <w:r>
        <w:rPr>
          <w:i/>
          <w:sz w:val="18"/>
          <w:szCs w:val="20"/>
        </w:rPr>
        <w:t xml:space="preserve"> RET </w:t>
      </w:r>
      <w:r>
        <w:rPr>
          <w:sz w:val="18"/>
          <w:szCs w:val="20"/>
        </w:rPr>
        <w:t xml:space="preserve">Mutations. </w:t>
      </w:r>
      <w:r w:rsidRPr="00DB69D3">
        <w:rPr>
          <w:sz w:val="18"/>
          <w:szCs w:val="20"/>
        </w:rPr>
        <w:t>Genes (Basel). 2019 Sep 10;10(9):698. doi: 10.3390/genes10090698. PMID: 31510104; PMCID: PMC6771015.</w:t>
      </w:r>
    </w:p>
  </w:footnote>
  <w:footnote w:id="7">
    <w:p w14:paraId="27C01A46" w14:textId="77777777" w:rsidR="009B4F62" w:rsidRDefault="009B4F62" w:rsidP="009B4F62">
      <w:pPr>
        <w:pStyle w:val="FootnoteText"/>
        <w:rPr>
          <w:lang w:val="en-US"/>
        </w:rPr>
      </w:pPr>
      <w:r w:rsidRPr="00520748">
        <w:rPr>
          <w:rStyle w:val="FootnoteCharacters"/>
        </w:rPr>
        <w:footnoteRef/>
      </w:r>
      <w:r w:rsidRPr="00DB69D3">
        <w:t xml:space="preserve"> Ciampi R, et al. </w:t>
      </w:r>
      <w:r>
        <w:t>(2019). Genetic Landscape of Somatic Mutations in a Large Cohort of Sporadic Medullary Thyroid Carcinomas Studied by Next-Generation Targeted Sequencing. iScience. 2019 Oct 25;20:324-336. doi: 10.1016/j.isci.2019.09.030. Epub 2019 Sep 26. PMID: 31605946; PMCID: PMC6817656.</w:t>
      </w:r>
    </w:p>
  </w:footnote>
  <w:footnote w:id="8">
    <w:p w14:paraId="0FBCC3A7" w14:textId="77777777" w:rsidR="009B4F62" w:rsidRDefault="009B4F62" w:rsidP="009B4F62">
      <w:pPr>
        <w:pStyle w:val="FootnoteText"/>
        <w:rPr>
          <w:lang w:val="en-US"/>
        </w:rPr>
      </w:pPr>
      <w:r w:rsidRPr="00520748">
        <w:rPr>
          <w:rStyle w:val="FootnoteCharacters"/>
        </w:rPr>
        <w:footnoteRef/>
      </w:r>
      <w:r>
        <w:t xml:space="preserve"> Shirali, AS, et al. (2024). Next-Generation Sequencing in Sporadic Medullary Thyroid Cancer Patients: Mutation Profile and Disease Aggressiveness, Journal of the Endocrine Society, Volume 8, Issue 6, June 2024, bvae048, https://doi.org/10.1210/jendso/bvae048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163C" w14:textId="2C9C30FC" w:rsidR="002F03F5" w:rsidRDefault="00245BE5">
    <w:pPr>
      <w:pStyle w:val="Header"/>
    </w:pPr>
    <w:r>
      <w:rPr>
        <w:noProof/>
      </w:rPr>
      <mc:AlternateContent>
        <mc:Choice Requires="wps">
          <w:drawing>
            <wp:anchor distT="0" distB="0" distL="0" distR="0" simplePos="0" relativeHeight="251658242" behindDoc="0" locked="0" layoutInCell="1" allowOverlap="1" wp14:anchorId="7F1002BE" wp14:editId="057D3A83">
              <wp:simplePos x="635" y="635"/>
              <wp:positionH relativeFrom="page">
                <wp:align>center</wp:align>
              </wp:positionH>
              <wp:positionV relativeFrom="page">
                <wp:align>top</wp:align>
              </wp:positionV>
              <wp:extent cx="622300" cy="452755"/>
              <wp:effectExtent l="0" t="0" r="6350" b="4445"/>
              <wp:wrapNone/>
              <wp:docPr id="559535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41F6A22" w14:textId="343759BE"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1002B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5.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341F6A22" w14:textId="343759BE"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v:textbox>
              <w10:wrap anchorx="page" anchory="page"/>
            </v:shape>
          </w:pict>
        </mc:Fallback>
      </mc:AlternateContent>
    </w:r>
    <w:r w:rsidR="008F23FF">
      <w:rPr>
        <w:noProof/>
      </w:rPr>
      <mc:AlternateContent>
        <mc:Choice Requires="wps">
          <w:drawing>
            <wp:anchor distT="0" distB="3810" distL="0" distR="6350" simplePos="0" relativeHeight="251658240" behindDoc="1" locked="0" layoutInCell="0" allowOverlap="1" wp14:anchorId="3C781644" wp14:editId="3C781645">
              <wp:simplePos x="0" y="0"/>
              <wp:positionH relativeFrom="page">
                <wp:align>center</wp:align>
              </wp:positionH>
              <wp:positionV relativeFrom="page">
                <wp:align>top</wp:align>
              </wp:positionV>
              <wp:extent cx="622300" cy="452755"/>
              <wp:effectExtent l="0" t="635" r="0" b="0"/>
              <wp:wrapNone/>
              <wp:docPr id="13" name="Text Box 2" descr="OFFICIAL"/>
              <wp:cNvGraphicFramePr/>
              <a:graphic xmlns:a="http://schemas.openxmlformats.org/drawingml/2006/main">
                <a:graphicData uri="http://schemas.microsoft.com/office/word/2010/wordprocessingShape">
                  <wps:wsp>
                    <wps:cNvSpPr/>
                    <wps:spPr>
                      <a:xfrm>
                        <a:off x="0" y="0"/>
                        <a:ext cx="622440" cy="452880"/>
                      </a:xfrm>
                      <a:prstGeom prst="rect">
                        <a:avLst/>
                      </a:prstGeom>
                      <a:noFill/>
                      <a:ln w="0">
                        <a:noFill/>
                      </a:ln>
                    </wps:spPr>
                    <wps:style>
                      <a:lnRef idx="0">
                        <a:scrgbClr r="0" g="0" b="0"/>
                      </a:lnRef>
                      <a:fillRef idx="0">
                        <a:scrgbClr r="0" g="0" b="0"/>
                      </a:fillRef>
                      <a:effectRef idx="0">
                        <a:scrgbClr r="0" g="0" b="0"/>
                      </a:effectRef>
                      <a:fontRef idx="minor"/>
                    </wps:style>
                    <wps:txbx>
                      <w:txbxContent>
                        <w:p w14:paraId="3C781679" w14:textId="77777777" w:rsidR="002F03F5" w:rsidRDefault="008F23FF">
                          <w:pPr>
                            <w:pStyle w:val="FrameContents"/>
                            <w:spacing w:after="0"/>
                            <w:rPr>
                              <w:rFonts w:ascii="Aptos" w:eastAsia="Aptos" w:hAnsi="Aptos" w:cs="Aptos"/>
                              <w:color w:val="FF0000"/>
                              <w:szCs w:val="24"/>
                            </w:rPr>
                          </w:pPr>
                          <w:r>
                            <w:rPr>
                              <w:rFonts w:ascii="Aptos" w:eastAsia="Aptos" w:hAnsi="Aptos" w:cs="Aptos"/>
                              <w:color w:val="FF0000"/>
                              <w:szCs w:val="24"/>
                            </w:rPr>
                            <w:t>OFFICIAL</w:t>
                          </w:r>
                        </w:p>
                      </w:txbxContent>
                    </wps:txbx>
                    <wps:bodyPr lIns="0" tIns="190440" rIns="0" bIns="0" anchor="t">
                      <a:prstTxWarp prst="textNoShape">
                        <a:avLst/>
                      </a:prstTxWarp>
                      <a:spAutoFit/>
                    </wps:bodyPr>
                  </wps:wsp>
                </a:graphicData>
              </a:graphic>
            </wp:anchor>
          </w:drawing>
        </mc:Choice>
        <mc:Fallback>
          <w:pict>
            <v:rect w14:anchorId="3C781644" id="_x0000_s1027" alt="OFFICIAL" style="position:absolute;left:0;text-align:left;margin-left:0;margin-top:0;width:49pt;height:35.65pt;z-index:-251658240;visibility:visible;mso-wrap-style:square;mso-wrap-distance-left:0;mso-wrap-distance-top:0;mso-wrap-distance-right:.5pt;mso-wrap-distance-bottom:.3pt;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" o:allowincell="f" filled="f" stroked="f" strokeweight="0">
              <v:textbox style="mso-fit-shape-to-text:t" inset="0,5.29mm,0,0">
                <w:txbxContent>
                  <w:p w14:paraId="3C781679" w14:textId="77777777" w:rsidR="002F03F5" w:rsidRDefault="008F23FF">
                    <w:pPr>
                      <w:pStyle w:val="FrameContents"/>
                      <w:spacing w:after="0"/>
                      <w:rPr>
                        <w:rFonts w:ascii="Aptos" w:eastAsia="Aptos" w:hAnsi="Aptos" w:cs="Aptos"/>
                        <w:color w:val="FF0000"/>
                        <w:szCs w:val="24"/>
                      </w:rPr>
                    </w:pPr>
                    <w:r>
                      <w:rPr>
                        <w:rFonts w:ascii="Aptos" w:eastAsia="Aptos" w:hAnsi="Aptos" w:cs="Aptos"/>
                        <w:color w:val="FF0000"/>
                        <w:szCs w:val="24"/>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F6EB" w14:textId="4AE4679A" w:rsidR="0059794D" w:rsidRPr="00056684" w:rsidRDefault="00245BE5" w:rsidP="00C214D3">
    <w:pPr>
      <w:pStyle w:val="Header"/>
      <w:keepNext/>
      <w:tabs>
        <w:tab w:val="center" w:pos="4693"/>
        <w:tab w:val="left" w:pos="7477"/>
      </w:tabs>
      <w:jc w:val="center"/>
      <w:rPr>
        <w:rFonts w:cs="Arial"/>
        <w:i/>
        <w:color w:val="808080"/>
      </w:rPr>
    </w:pPr>
    <w:r>
      <w:rPr>
        <w:rFonts w:cs="Arial"/>
        <w:i/>
        <w:noProof/>
        <w:color w:val="808080"/>
      </w:rPr>
      <mc:AlternateContent>
        <mc:Choice Requires="wps">
          <w:drawing>
            <wp:anchor distT="0" distB="0" distL="0" distR="0" simplePos="0" relativeHeight="251658243" behindDoc="0" locked="0" layoutInCell="1" allowOverlap="1" wp14:anchorId="3767511B" wp14:editId="1FA284E2">
              <wp:simplePos x="914400" y="914400"/>
              <wp:positionH relativeFrom="page">
                <wp:align>center</wp:align>
              </wp:positionH>
              <wp:positionV relativeFrom="page">
                <wp:align>top</wp:align>
              </wp:positionV>
              <wp:extent cx="622300" cy="452755"/>
              <wp:effectExtent l="0" t="0" r="6350" b="4445"/>
              <wp:wrapNone/>
              <wp:docPr id="6261622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64CB1D6" w14:textId="674F17B0"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67511B" id="_x0000_t202" coordsize="21600,21600" o:spt="202" path="m,l,21600r21600,l21600,xe">
              <v:stroke joinstyle="miter"/>
              <v:path gradientshapeok="t" o:connecttype="rect"/>
            </v:shapetype>
            <v:shape id="Text Box 3" o:spid="_x0000_s1028" type="#_x0000_t202" alt="OFFICIAL" style="position:absolute;left:0;text-align:left;margin-left:0;margin-top:0;width:49pt;height:35.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gLDQIAABw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c9aeuKFlP3e6jPOJSDYd/e8k2LpbfMhyfmcMHYLYo2&#10;POIhFXQVhdGipAH342/+mI+8Y5SSDgVTUYOKpkR9M7iPqK1kzD/ni0iGm9z7yTBHfQcowzm+CMuT&#10;GfOCmkzpQL+gnNexEIaY4ViuomEy78KgXHwOXKzXKQllZFnYmp3lETrSFbl87l+YsyPhATf1AJOa&#10;WPmK9yE33vR2fQzIflpKpHYgcmQcJZjWOj6XqPFf/1PW9VGvfgI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kwWYCw0CAAAcBAAA&#10;DgAAAAAAAAAAAAAAAAAuAgAAZHJzL2Uyb0RvYy54bWxQSwECLQAUAAYACAAAACEARawYydkAAAAD&#10;AQAADwAAAAAAAAAAAAAAAABnBAAAZHJzL2Rvd25yZXYueG1sUEsFBgAAAAAEAAQA8wAAAG0FAAAA&#10;AA==&#10;" filled="f" stroked="f">
              <v:textbox style="mso-fit-shape-to-text:t" inset="0,15pt,0,0">
                <w:txbxContent>
                  <w:p w14:paraId="264CB1D6" w14:textId="674F17B0"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v:textbox>
              <w10:wrap anchorx="page" anchory="page"/>
            </v:shape>
          </w:pict>
        </mc:Fallback>
      </mc:AlternateContent>
    </w:r>
    <w:r w:rsidR="006E1B62">
      <w:rPr>
        <w:rFonts w:cs="Arial"/>
        <w:i/>
        <w:color w:val="808080"/>
      </w:rPr>
      <w:t xml:space="preserve">Public Summary Document - </w:t>
    </w:r>
    <w:r w:rsidR="0059794D">
      <w:rPr>
        <w:rFonts w:cs="Arial"/>
        <w:i/>
        <w:color w:val="808080"/>
      </w:rPr>
      <w:t>March 202</w:t>
    </w:r>
    <w:r w:rsidR="00170A8E">
      <w:rPr>
        <w:rFonts w:cs="Arial"/>
        <w:i/>
        <w:color w:val="808080"/>
      </w:rPr>
      <w:t>6</w:t>
    </w:r>
    <w:r w:rsidR="0059794D" w:rsidRPr="00056684">
      <w:rPr>
        <w:rFonts w:cs="Arial"/>
        <w:i/>
        <w:color w:val="808080"/>
      </w:rPr>
      <w:t xml:space="preserve"> PBAC Meeting</w:t>
    </w:r>
    <w:r w:rsidR="00D21F8E">
      <w:rPr>
        <w:rFonts w:cs="Arial"/>
        <w:i/>
        <w:color w:val="808080"/>
      </w:rPr>
      <w:t xml:space="preserve"> with OOS Addendum</w:t>
    </w:r>
  </w:p>
  <w:p w14:paraId="14D4F6A6" w14:textId="77777777" w:rsidR="009B6461" w:rsidRDefault="009B6461" w:rsidP="006E1B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1641" w14:textId="2C2D889A" w:rsidR="002F03F5" w:rsidRDefault="00245BE5">
    <w:pPr>
      <w:pStyle w:val="Header"/>
    </w:pPr>
    <w:r>
      <w:rPr>
        <w:i/>
        <w:iCs/>
        <w:noProof/>
      </w:rPr>
      <mc:AlternateContent>
        <mc:Choice Requires="wps">
          <w:drawing>
            <wp:anchor distT="0" distB="0" distL="0" distR="0" simplePos="0" relativeHeight="251658241" behindDoc="0" locked="0" layoutInCell="1" allowOverlap="1" wp14:anchorId="69DE3EDB" wp14:editId="3B8C903D">
              <wp:simplePos x="635" y="635"/>
              <wp:positionH relativeFrom="page">
                <wp:align>center</wp:align>
              </wp:positionH>
              <wp:positionV relativeFrom="page">
                <wp:align>top</wp:align>
              </wp:positionV>
              <wp:extent cx="622300" cy="452755"/>
              <wp:effectExtent l="0" t="0" r="6350" b="4445"/>
              <wp:wrapNone/>
              <wp:docPr id="3314958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887BA26" w14:textId="49FD127B"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DE3EDB" id="_x0000_t202" coordsize="21600,21600" o:spt="202" path="m,l,21600r21600,l21600,xe">
              <v:stroke joinstyle="miter"/>
              <v:path gradientshapeok="t" o:connecttype="rect"/>
            </v:shapetype>
            <v:shape id="Text Box 1" o:spid="_x0000_s1031" type="#_x0000_t202" alt="OFFICIAL" style="position:absolute;left:0;text-align:left;margin-left:0;margin-top:0;width:49pt;height:35.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CQOYW7DAIAABwEAAAO&#10;AAAAAAAAAAAAAAAAAC4CAABkcnMvZTJvRG9jLnhtbFBLAQItABQABgAIAAAAIQBFrBjJ2QAAAAMB&#10;AAAPAAAAAAAAAAAAAAAAAGYEAABkcnMvZG93bnJldi54bWxQSwUGAAAAAAQABADzAAAAbAUAAAAA&#10;" filled="f" stroked="f">
              <v:textbox style="mso-fit-shape-to-text:t" inset="0,15pt,0,0">
                <w:txbxContent>
                  <w:p w14:paraId="3887BA26" w14:textId="49FD127B" w:rsidR="00245BE5" w:rsidRPr="00245BE5" w:rsidRDefault="00245BE5" w:rsidP="00245BE5">
                    <w:pPr>
                      <w:spacing w:after="0"/>
                      <w:rPr>
                        <w:rFonts w:ascii="Aptos" w:eastAsia="Aptos" w:hAnsi="Aptos" w:cs="Aptos"/>
                        <w:noProof/>
                        <w:color w:val="FF0000"/>
                        <w:szCs w:val="24"/>
                      </w:rPr>
                    </w:pPr>
                    <w:r w:rsidRPr="00245BE5">
                      <w:rPr>
                        <w:rFonts w:ascii="Aptos" w:eastAsia="Aptos" w:hAnsi="Aptos" w:cs="Aptos"/>
                        <w:noProof/>
                        <w:color w:val="FF0000"/>
                        <w:szCs w:val="24"/>
                      </w:rPr>
                      <w:t>OFFICIAL</w:t>
                    </w:r>
                  </w:p>
                </w:txbxContent>
              </v:textbox>
              <w10:wrap anchorx="page" anchory="page"/>
            </v:shape>
          </w:pict>
        </mc:Fallback>
      </mc:AlternateContent>
    </w:r>
    <w:r w:rsidR="008F23FF">
      <w:rPr>
        <w:i/>
        <w:iCs/>
      </w:rPr>
      <w:t>RET</w:t>
    </w:r>
    <w:r w:rsidR="008F23FF">
      <w:t xml:space="preserve"> alteration testing/Selpercatinib </w:t>
    </w:r>
    <w:r w:rsidR="008F23FF">
      <w:tab/>
    </w:r>
    <w:r w:rsidR="008F23FF">
      <w:tab/>
      <w:t>MSAC 1804/PBAC 6.12.ESC ADV.</w:t>
    </w:r>
    <w:r w:rsidR="008F23FF">
      <w:fldChar w:fldCharType="begin"/>
    </w:r>
    <w:r w:rsidR="008F23FF">
      <w:instrText xml:space="preserve"> PAGE </w:instrText>
    </w:r>
    <w:r w:rsidR="008F23FF">
      <w:fldChar w:fldCharType="separate"/>
    </w:r>
    <w:r w:rsidR="008F23FF">
      <w:t>82</w:t>
    </w:r>
    <w:r w:rsidR="008F23FF">
      <w:fldChar w:fldCharType="end"/>
    </w:r>
  </w:p>
  <w:p w14:paraId="3C781642" w14:textId="627CFB6D" w:rsidR="002F03F5" w:rsidRDefault="002F03F5" w:rsidP="008A5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0053"/>
    <w:multiLevelType w:val="multilevel"/>
    <w:tmpl w:val="223A56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4521171"/>
    <w:multiLevelType w:val="hybridMultilevel"/>
    <w:tmpl w:val="94BEEA34"/>
    <w:lvl w:ilvl="0" w:tplc="90DA6528">
      <w:start w:val="1"/>
      <w:numFmt w:val="decimal"/>
      <w:lvlText w:val="%1."/>
      <w:lvlJc w:val="left"/>
      <w:pPr>
        <w:ind w:left="1020" w:hanging="360"/>
      </w:pPr>
    </w:lvl>
    <w:lvl w:ilvl="1" w:tplc="24D09EAE">
      <w:start w:val="1"/>
      <w:numFmt w:val="decimal"/>
      <w:lvlText w:val="%2."/>
      <w:lvlJc w:val="left"/>
      <w:pPr>
        <w:ind w:left="1020" w:hanging="360"/>
      </w:pPr>
    </w:lvl>
    <w:lvl w:ilvl="2" w:tplc="E452AF8E">
      <w:start w:val="1"/>
      <w:numFmt w:val="decimal"/>
      <w:lvlText w:val="%3."/>
      <w:lvlJc w:val="left"/>
      <w:pPr>
        <w:ind w:left="1020" w:hanging="360"/>
      </w:pPr>
    </w:lvl>
    <w:lvl w:ilvl="3" w:tplc="87681748">
      <w:start w:val="1"/>
      <w:numFmt w:val="decimal"/>
      <w:lvlText w:val="%4."/>
      <w:lvlJc w:val="left"/>
      <w:pPr>
        <w:ind w:left="1020" w:hanging="360"/>
      </w:pPr>
    </w:lvl>
    <w:lvl w:ilvl="4" w:tplc="7CF64D84">
      <w:start w:val="1"/>
      <w:numFmt w:val="decimal"/>
      <w:lvlText w:val="%5."/>
      <w:lvlJc w:val="left"/>
      <w:pPr>
        <w:ind w:left="1020" w:hanging="360"/>
      </w:pPr>
    </w:lvl>
    <w:lvl w:ilvl="5" w:tplc="3ACE6F9C">
      <w:start w:val="1"/>
      <w:numFmt w:val="decimal"/>
      <w:lvlText w:val="%6."/>
      <w:lvlJc w:val="left"/>
      <w:pPr>
        <w:ind w:left="1020" w:hanging="360"/>
      </w:pPr>
    </w:lvl>
    <w:lvl w:ilvl="6" w:tplc="41BC5000">
      <w:start w:val="1"/>
      <w:numFmt w:val="decimal"/>
      <w:lvlText w:val="%7."/>
      <w:lvlJc w:val="left"/>
      <w:pPr>
        <w:ind w:left="1020" w:hanging="360"/>
      </w:pPr>
    </w:lvl>
    <w:lvl w:ilvl="7" w:tplc="71B4828E">
      <w:start w:val="1"/>
      <w:numFmt w:val="decimal"/>
      <w:lvlText w:val="%8."/>
      <w:lvlJc w:val="left"/>
      <w:pPr>
        <w:ind w:left="1020" w:hanging="360"/>
      </w:pPr>
    </w:lvl>
    <w:lvl w:ilvl="8" w:tplc="F1BEBEFC">
      <w:start w:val="1"/>
      <w:numFmt w:val="decimal"/>
      <w:lvlText w:val="%9."/>
      <w:lvlJc w:val="left"/>
      <w:pPr>
        <w:ind w:left="1020" w:hanging="360"/>
      </w:pPr>
    </w:lvl>
  </w:abstractNum>
  <w:abstractNum w:abstractNumId="2"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975E3F"/>
    <w:multiLevelType w:val="hybridMultilevel"/>
    <w:tmpl w:val="5916F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0A46AC"/>
    <w:multiLevelType w:val="hybridMultilevel"/>
    <w:tmpl w:val="0B82F170"/>
    <w:lvl w:ilvl="0" w:tplc="053E6976">
      <w:start w:val="1"/>
      <w:numFmt w:val="bullet"/>
      <w:lvlText w:val=""/>
      <w:lvlJc w:val="left"/>
      <w:pPr>
        <w:ind w:left="720" w:hanging="360"/>
      </w:pPr>
      <w:rPr>
        <w:rFonts w:ascii="Symbol" w:hAnsi="Symbol"/>
      </w:rPr>
    </w:lvl>
    <w:lvl w:ilvl="1" w:tplc="43CA0FE4">
      <w:start w:val="1"/>
      <w:numFmt w:val="bullet"/>
      <w:lvlText w:val=""/>
      <w:lvlJc w:val="left"/>
      <w:pPr>
        <w:ind w:left="720" w:hanging="360"/>
      </w:pPr>
      <w:rPr>
        <w:rFonts w:ascii="Symbol" w:hAnsi="Symbol"/>
      </w:rPr>
    </w:lvl>
    <w:lvl w:ilvl="2" w:tplc="EF287EB4">
      <w:start w:val="1"/>
      <w:numFmt w:val="bullet"/>
      <w:lvlText w:val=""/>
      <w:lvlJc w:val="left"/>
      <w:pPr>
        <w:ind w:left="720" w:hanging="360"/>
      </w:pPr>
      <w:rPr>
        <w:rFonts w:ascii="Symbol" w:hAnsi="Symbol"/>
      </w:rPr>
    </w:lvl>
    <w:lvl w:ilvl="3" w:tplc="35FA3272">
      <w:start w:val="1"/>
      <w:numFmt w:val="bullet"/>
      <w:lvlText w:val=""/>
      <w:lvlJc w:val="left"/>
      <w:pPr>
        <w:ind w:left="720" w:hanging="360"/>
      </w:pPr>
      <w:rPr>
        <w:rFonts w:ascii="Symbol" w:hAnsi="Symbol"/>
      </w:rPr>
    </w:lvl>
    <w:lvl w:ilvl="4" w:tplc="855204DA">
      <w:start w:val="1"/>
      <w:numFmt w:val="bullet"/>
      <w:lvlText w:val=""/>
      <w:lvlJc w:val="left"/>
      <w:pPr>
        <w:ind w:left="720" w:hanging="360"/>
      </w:pPr>
      <w:rPr>
        <w:rFonts w:ascii="Symbol" w:hAnsi="Symbol"/>
      </w:rPr>
    </w:lvl>
    <w:lvl w:ilvl="5" w:tplc="A26C982A">
      <w:start w:val="1"/>
      <w:numFmt w:val="bullet"/>
      <w:lvlText w:val=""/>
      <w:lvlJc w:val="left"/>
      <w:pPr>
        <w:ind w:left="720" w:hanging="360"/>
      </w:pPr>
      <w:rPr>
        <w:rFonts w:ascii="Symbol" w:hAnsi="Symbol"/>
      </w:rPr>
    </w:lvl>
    <w:lvl w:ilvl="6" w:tplc="333E55CE">
      <w:start w:val="1"/>
      <w:numFmt w:val="bullet"/>
      <w:lvlText w:val=""/>
      <w:lvlJc w:val="left"/>
      <w:pPr>
        <w:ind w:left="720" w:hanging="360"/>
      </w:pPr>
      <w:rPr>
        <w:rFonts w:ascii="Symbol" w:hAnsi="Symbol"/>
      </w:rPr>
    </w:lvl>
    <w:lvl w:ilvl="7" w:tplc="40D45944">
      <w:start w:val="1"/>
      <w:numFmt w:val="bullet"/>
      <w:lvlText w:val=""/>
      <w:lvlJc w:val="left"/>
      <w:pPr>
        <w:ind w:left="720" w:hanging="360"/>
      </w:pPr>
      <w:rPr>
        <w:rFonts w:ascii="Symbol" w:hAnsi="Symbol"/>
      </w:rPr>
    </w:lvl>
    <w:lvl w:ilvl="8" w:tplc="EF16A8F6">
      <w:start w:val="1"/>
      <w:numFmt w:val="bullet"/>
      <w:lvlText w:val=""/>
      <w:lvlJc w:val="left"/>
      <w:pPr>
        <w:ind w:left="720" w:hanging="360"/>
      </w:pPr>
      <w:rPr>
        <w:rFonts w:ascii="Symbol" w:hAnsi="Symbol"/>
      </w:rPr>
    </w:lvl>
  </w:abstractNum>
  <w:abstractNum w:abstractNumId="5" w15:restartNumberingAfterBreak="0">
    <w:nsid w:val="38D16B6E"/>
    <w:multiLevelType w:val="hybridMultilevel"/>
    <w:tmpl w:val="356E074A"/>
    <w:lvl w:ilvl="0" w:tplc="F166A0EC">
      <w:start w:val="1"/>
      <w:numFmt w:val="bullet"/>
      <w:lvlText w:val=""/>
      <w:lvlJc w:val="left"/>
      <w:pPr>
        <w:ind w:left="2520" w:hanging="360"/>
      </w:pPr>
      <w:rPr>
        <w:rFonts w:ascii="Symbol" w:hAnsi="Symbol"/>
      </w:rPr>
    </w:lvl>
    <w:lvl w:ilvl="1" w:tplc="EBB8843E">
      <w:start w:val="1"/>
      <w:numFmt w:val="bullet"/>
      <w:lvlText w:val=""/>
      <w:lvlJc w:val="left"/>
      <w:pPr>
        <w:ind w:left="2520" w:hanging="360"/>
      </w:pPr>
      <w:rPr>
        <w:rFonts w:ascii="Symbol" w:hAnsi="Symbol"/>
      </w:rPr>
    </w:lvl>
    <w:lvl w:ilvl="2" w:tplc="D3E8E92A">
      <w:start w:val="1"/>
      <w:numFmt w:val="bullet"/>
      <w:lvlText w:val=""/>
      <w:lvlJc w:val="left"/>
      <w:pPr>
        <w:ind w:left="2520" w:hanging="360"/>
      </w:pPr>
      <w:rPr>
        <w:rFonts w:ascii="Symbol" w:hAnsi="Symbol"/>
      </w:rPr>
    </w:lvl>
    <w:lvl w:ilvl="3" w:tplc="86F4CAA6">
      <w:start w:val="1"/>
      <w:numFmt w:val="bullet"/>
      <w:lvlText w:val=""/>
      <w:lvlJc w:val="left"/>
      <w:pPr>
        <w:ind w:left="2520" w:hanging="360"/>
      </w:pPr>
      <w:rPr>
        <w:rFonts w:ascii="Symbol" w:hAnsi="Symbol"/>
      </w:rPr>
    </w:lvl>
    <w:lvl w:ilvl="4" w:tplc="FCB2D5BE">
      <w:start w:val="1"/>
      <w:numFmt w:val="bullet"/>
      <w:lvlText w:val=""/>
      <w:lvlJc w:val="left"/>
      <w:pPr>
        <w:ind w:left="2520" w:hanging="360"/>
      </w:pPr>
      <w:rPr>
        <w:rFonts w:ascii="Symbol" w:hAnsi="Symbol"/>
      </w:rPr>
    </w:lvl>
    <w:lvl w:ilvl="5" w:tplc="7AF48182">
      <w:start w:val="1"/>
      <w:numFmt w:val="bullet"/>
      <w:lvlText w:val=""/>
      <w:lvlJc w:val="left"/>
      <w:pPr>
        <w:ind w:left="2520" w:hanging="360"/>
      </w:pPr>
      <w:rPr>
        <w:rFonts w:ascii="Symbol" w:hAnsi="Symbol"/>
      </w:rPr>
    </w:lvl>
    <w:lvl w:ilvl="6" w:tplc="DAC20462">
      <w:start w:val="1"/>
      <w:numFmt w:val="bullet"/>
      <w:lvlText w:val=""/>
      <w:lvlJc w:val="left"/>
      <w:pPr>
        <w:ind w:left="2520" w:hanging="360"/>
      </w:pPr>
      <w:rPr>
        <w:rFonts w:ascii="Symbol" w:hAnsi="Symbol"/>
      </w:rPr>
    </w:lvl>
    <w:lvl w:ilvl="7" w:tplc="6B04DFD2">
      <w:start w:val="1"/>
      <w:numFmt w:val="bullet"/>
      <w:lvlText w:val=""/>
      <w:lvlJc w:val="left"/>
      <w:pPr>
        <w:ind w:left="2520" w:hanging="360"/>
      </w:pPr>
      <w:rPr>
        <w:rFonts w:ascii="Symbol" w:hAnsi="Symbol"/>
      </w:rPr>
    </w:lvl>
    <w:lvl w:ilvl="8" w:tplc="208CF388">
      <w:start w:val="1"/>
      <w:numFmt w:val="bullet"/>
      <w:lvlText w:val=""/>
      <w:lvlJc w:val="left"/>
      <w:pPr>
        <w:ind w:left="2520" w:hanging="360"/>
      </w:pPr>
      <w:rPr>
        <w:rFonts w:ascii="Symbol" w:hAnsi="Symbol"/>
      </w:rPr>
    </w:lvl>
  </w:abstractNum>
  <w:abstractNum w:abstractNumId="6" w15:restartNumberingAfterBreak="0">
    <w:nsid w:val="39E248C8"/>
    <w:multiLevelType w:val="hybridMultilevel"/>
    <w:tmpl w:val="F174A4BE"/>
    <w:lvl w:ilvl="0" w:tplc="9DE617A8">
      <w:start w:val="1"/>
      <w:numFmt w:val="bullet"/>
      <w:lvlText w:val=""/>
      <w:lvlJc w:val="left"/>
      <w:pPr>
        <w:ind w:left="720" w:hanging="360"/>
      </w:pPr>
      <w:rPr>
        <w:rFonts w:ascii="Symbol" w:hAnsi="Symbol"/>
      </w:rPr>
    </w:lvl>
    <w:lvl w:ilvl="1" w:tplc="9092BDA0">
      <w:start w:val="1"/>
      <w:numFmt w:val="bullet"/>
      <w:lvlText w:val=""/>
      <w:lvlJc w:val="left"/>
      <w:pPr>
        <w:ind w:left="720" w:hanging="360"/>
      </w:pPr>
      <w:rPr>
        <w:rFonts w:ascii="Symbol" w:hAnsi="Symbol"/>
      </w:rPr>
    </w:lvl>
    <w:lvl w:ilvl="2" w:tplc="84F65E22">
      <w:start w:val="1"/>
      <w:numFmt w:val="bullet"/>
      <w:lvlText w:val=""/>
      <w:lvlJc w:val="left"/>
      <w:pPr>
        <w:ind w:left="720" w:hanging="360"/>
      </w:pPr>
      <w:rPr>
        <w:rFonts w:ascii="Symbol" w:hAnsi="Symbol"/>
      </w:rPr>
    </w:lvl>
    <w:lvl w:ilvl="3" w:tplc="D93A42CA">
      <w:start w:val="1"/>
      <w:numFmt w:val="bullet"/>
      <w:lvlText w:val=""/>
      <w:lvlJc w:val="left"/>
      <w:pPr>
        <w:ind w:left="720" w:hanging="360"/>
      </w:pPr>
      <w:rPr>
        <w:rFonts w:ascii="Symbol" w:hAnsi="Symbol"/>
      </w:rPr>
    </w:lvl>
    <w:lvl w:ilvl="4" w:tplc="BFF80B1E">
      <w:start w:val="1"/>
      <w:numFmt w:val="bullet"/>
      <w:lvlText w:val=""/>
      <w:lvlJc w:val="left"/>
      <w:pPr>
        <w:ind w:left="720" w:hanging="360"/>
      </w:pPr>
      <w:rPr>
        <w:rFonts w:ascii="Symbol" w:hAnsi="Symbol"/>
      </w:rPr>
    </w:lvl>
    <w:lvl w:ilvl="5" w:tplc="F5A0B75E">
      <w:start w:val="1"/>
      <w:numFmt w:val="bullet"/>
      <w:lvlText w:val=""/>
      <w:lvlJc w:val="left"/>
      <w:pPr>
        <w:ind w:left="720" w:hanging="360"/>
      </w:pPr>
      <w:rPr>
        <w:rFonts w:ascii="Symbol" w:hAnsi="Symbol"/>
      </w:rPr>
    </w:lvl>
    <w:lvl w:ilvl="6" w:tplc="39247D26">
      <w:start w:val="1"/>
      <w:numFmt w:val="bullet"/>
      <w:lvlText w:val=""/>
      <w:lvlJc w:val="left"/>
      <w:pPr>
        <w:ind w:left="720" w:hanging="360"/>
      </w:pPr>
      <w:rPr>
        <w:rFonts w:ascii="Symbol" w:hAnsi="Symbol"/>
      </w:rPr>
    </w:lvl>
    <w:lvl w:ilvl="7" w:tplc="A0CC63D8">
      <w:start w:val="1"/>
      <w:numFmt w:val="bullet"/>
      <w:lvlText w:val=""/>
      <w:lvlJc w:val="left"/>
      <w:pPr>
        <w:ind w:left="720" w:hanging="360"/>
      </w:pPr>
      <w:rPr>
        <w:rFonts w:ascii="Symbol" w:hAnsi="Symbol"/>
      </w:rPr>
    </w:lvl>
    <w:lvl w:ilvl="8" w:tplc="B608DFBE">
      <w:start w:val="1"/>
      <w:numFmt w:val="bullet"/>
      <w:lvlText w:val=""/>
      <w:lvlJc w:val="left"/>
      <w:pPr>
        <w:ind w:left="720" w:hanging="360"/>
      </w:pPr>
      <w:rPr>
        <w:rFonts w:ascii="Symbol" w:hAnsi="Symbol"/>
      </w:rPr>
    </w:lvl>
  </w:abstractNum>
  <w:abstractNum w:abstractNumId="7" w15:restartNumberingAfterBreak="0">
    <w:nsid w:val="3C750C89"/>
    <w:multiLevelType w:val="multilevel"/>
    <w:tmpl w:val="4AF2A602"/>
    <w:lvl w:ilvl="0">
      <w:start w:val="1"/>
      <w:numFmt w:val="decimal"/>
      <w:pStyle w:val="PBACESHeading1"/>
      <w:lvlText w:val="%1"/>
      <w:lvlJc w:val="left"/>
      <w:pPr>
        <w:tabs>
          <w:tab w:val="num" w:pos="0"/>
        </w:tabs>
        <w:ind w:left="720" w:hanging="720"/>
      </w:pPr>
      <w:rPr>
        <w:b/>
      </w:rPr>
    </w:lvl>
    <w:lvl w:ilvl="1">
      <w:start w:val="1"/>
      <w:numFmt w:val="decimal"/>
      <w:pStyle w:val="3-BodyText"/>
      <w:lvlText w:val="%1.%2"/>
      <w:lvlJc w:val="left"/>
      <w:pPr>
        <w:tabs>
          <w:tab w:val="num" w:pos="0"/>
        </w:tabs>
        <w:ind w:left="720" w:hanging="720"/>
      </w:pPr>
      <w:rPr>
        <w:b w:val="0"/>
        <w:bCs w:val="0"/>
        <w:i w:val="0"/>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8" w15:restartNumberingAfterBreak="0">
    <w:nsid w:val="3D9D7A16"/>
    <w:multiLevelType w:val="hybridMultilevel"/>
    <w:tmpl w:val="A3AEC8F2"/>
    <w:lvl w:ilvl="0" w:tplc="32B470E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44035D7A"/>
    <w:multiLevelType w:val="multilevel"/>
    <w:tmpl w:val="A9F826A6"/>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4467BCC"/>
    <w:multiLevelType w:val="hybridMultilevel"/>
    <w:tmpl w:val="225A2948"/>
    <w:lvl w:ilvl="0" w:tplc="330A6D62">
      <w:start w:val="1"/>
      <w:numFmt w:val="bullet"/>
      <w:lvlText w:val=""/>
      <w:lvlJc w:val="left"/>
      <w:pPr>
        <w:ind w:left="1800" w:hanging="360"/>
      </w:pPr>
      <w:rPr>
        <w:rFonts w:ascii="Symbol" w:hAnsi="Symbol"/>
      </w:rPr>
    </w:lvl>
    <w:lvl w:ilvl="1" w:tplc="C2860340">
      <w:start w:val="1"/>
      <w:numFmt w:val="bullet"/>
      <w:lvlText w:val=""/>
      <w:lvlJc w:val="left"/>
      <w:pPr>
        <w:ind w:left="1800" w:hanging="360"/>
      </w:pPr>
      <w:rPr>
        <w:rFonts w:ascii="Symbol" w:hAnsi="Symbol"/>
      </w:rPr>
    </w:lvl>
    <w:lvl w:ilvl="2" w:tplc="2E8C3E0C">
      <w:start w:val="1"/>
      <w:numFmt w:val="bullet"/>
      <w:lvlText w:val=""/>
      <w:lvlJc w:val="left"/>
      <w:pPr>
        <w:ind w:left="1800" w:hanging="360"/>
      </w:pPr>
      <w:rPr>
        <w:rFonts w:ascii="Symbol" w:hAnsi="Symbol"/>
      </w:rPr>
    </w:lvl>
    <w:lvl w:ilvl="3" w:tplc="C2167DDE">
      <w:start w:val="1"/>
      <w:numFmt w:val="bullet"/>
      <w:lvlText w:val=""/>
      <w:lvlJc w:val="left"/>
      <w:pPr>
        <w:ind w:left="1800" w:hanging="360"/>
      </w:pPr>
      <w:rPr>
        <w:rFonts w:ascii="Symbol" w:hAnsi="Symbol"/>
      </w:rPr>
    </w:lvl>
    <w:lvl w:ilvl="4" w:tplc="18A60634">
      <w:start w:val="1"/>
      <w:numFmt w:val="bullet"/>
      <w:lvlText w:val=""/>
      <w:lvlJc w:val="left"/>
      <w:pPr>
        <w:ind w:left="1800" w:hanging="360"/>
      </w:pPr>
      <w:rPr>
        <w:rFonts w:ascii="Symbol" w:hAnsi="Symbol"/>
      </w:rPr>
    </w:lvl>
    <w:lvl w:ilvl="5" w:tplc="4394FB64">
      <w:start w:val="1"/>
      <w:numFmt w:val="bullet"/>
      <w:lvlText w:val=""/>
      <w:lvlJc w:val="left"/>
      <w:pPr>
        <w:ind w:left="1800" w:hanging="360"/>
      </w:pPr>
      <w:rPr>
        <w:rFonts w:ascii="Symbol" w:hAnsi="Symbol"/>
      </w:rPr>
    </w:lvl>
    <w:lvl w:ilvl="6" w:tplc="D776770A">
      <w:start w:val="1"/>
      <w:numFmt w:val="bullet"/>
      <w:lvlText w:val=""/>
      <w:lvlJc w:val="left"/>
      <w:pPr>
        <w:ind w:left="1800" w:hanging="360"/>
      </w:pPr>
      <w:rPr>
        <w:rFonts w:ascii="Symbol" w:hAnsi="Symbol"/>
      </w:rPr>
    </w:lvl>
    <w:lvl w:ilvl="7" w:tplc="5818F82C">
      <w:start w:val="1"/>
      <w:numFmt w:val="bullet"/>
      <w:lvlText w:val=""/>
      <w:lvlJc w:val="left"/>
      <w:pPr>
        <w:ind w:left="1800" w:hanging="360"/>
      </w:pPr>
      <w:rPr>
        <w:rFonts w:ascii="Symbol" w:hAnsi="Symbol"/>
      </w:rPr>
    </w:lvl>
    <w:lvl w:ilvl="8" w:tplc="4C78F996">
      <w:start w:val="1"/>
      <w:numFmt w:val="bullet"/>
      <w:lvlText w:val=""/>
      <w:lvlJc w:val="left"/>
      <w:pPr>
        <w:ind w:left="1800" w:hanging="360"/>
      </w:pPr>
      <w:rPr>
        <w:rFonts w:ascii="Symbol" w:hAnsi="Symbol"/>
      </w:rPr>
    </w:lvl>
  </w:abstractNum>
  <w:abstractNum w:abstractNumId="11" w15:restartNumberingAfterBreak="0">
    <w:nsid w:val="48F515F3"/>
    <w:multiLevelType w:val="multilevel"/>
    <w:tmpl w:val="2CF07F1E"/>
    <w:styleLink w:val="Style1"/>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49B034F6"/>
    <w:multiLevelType w:val="multilevel"/>
    <w:tmpl w:val="EC42517A"/>
    <w:lvl w:ilvl="0">
      <w:start w:val="1"/>
      <w:numFmt w:val="decimal"/>
      <w:lvlText w:val="%1."/>
      <w:lvlJc w:val="left"/>
      <w:pPr>
        <w:tabs>
          <w:tab w:val="num" w:pos="0"/>
        </w:tabs>
        <w:ind w:left="829" w:hanging="360"/>
      </w:pPr>
      <w:rPr>
        <w:i/>
        <w:color w:val="auto"/>
      </w:rPr>
    </w:lvl>
    <w:lvl w:ilvl="1">
      <w:start w:val="1"/>
      <w:numFmt w:val="lowerLetter"/>
      <w:lvlText w:val="%2."/>
      <w:lvlJc w:val="left"/>
      <w:pPr>
        <w:tabs>
          <w:tab w:val="num" w:pos="0"/>
        </w:tabs>
        <w:ind w:left="1549" w:hanging="360"/>
      </w:pPr>
    </w:lvl>
    <w:lvl w:ilvl="2">
      <w:start w:val="1"/>
      <w:numFmt w:val="lowerRoman"/>
      <w:lvlText w:val="%3."/>
      <w:lvlJc w:val="right"/>
      <w:pPr>
        <w:tabs>
          <w:tab w:val="num" w:pos="0"/>
        </w:tabs>
        <w:ind w:left="2269" w:hanging="180"/>
      </w:pPr>
    </w:lvl>
    <w:lvl w:ilvl="3">
      <w:start w:val="1"/>
      <w:numFmt w:val="decimal"/>
      <w:lvlText w:val="%4."/>
      <w:lvlJc w:val="left"/>
      <w:pPr>
        <w:tabs>
          <w:tab w:val="num" w:pos="0"/>
        </w:tabs>
        <w:ind w:left="2989" w:hanging="360"/>
      </w:pPr>
    </w:lvl>
    <w:lvl w:ilvl="4">
      <w:start w:val="1"/>
      <w:numFmt w:val="lowerLetter"/>
      <w:lvlText w:val="%5."/>
      <w:lvlJc w:val="left"/>
      <w:pPr>
        <w:tabs>
          <w:tab w:val="num" w:pos="0"/>
        </w:tabs>
        <w:ind w:left="3709" w:hanging="360"/>
      </w:pPr>
    </w:lvl>
    <w:lvl w:ilvl="5">
      <w:start w:val="1"/>
      <w:numFmt w:val="lowerRoman"/>
      <w:lvlText w:val="%6."/>
      <w:lvlJc w:val="right"/>
      <w:pPr>
        <w:tabs>
          <w:tab w:val="num" w:pos="0"/>
        </w:tabs>
        <w:ind w:left="4429" w:hanging="180"/>
      </w:pPr>
    </w:lvl>
    <w:lvl w:ilvl="6">
      <w:start w:val="1"/>
      <w:numFmt w:val="decimal"/>
      <w:lvlText w:val="%7."/>
      <w:lvlJc w:val="left"/>
      <w:pPr>
        <w:tabs>
          <w:tab w:val="num" w:pos="0"/>
        </w:tabs>
        <w:ind w:left="5149" w:hanging="360"/>
      </w:pPr>
    </w:lvl>
    <w:lvl w:ilvl="7">
      <w:start w:val="1"/>
      <w:numFmt w:val="lowerLetter"/>
      <w:lvlText w:val="%8."/>
      <w:lvlJc w:val="left"/>
      <w:pPr>
        <w:tabs>
          <w:tab w:val="num" w:pos="0"/>
        </w:tabs>
        <w:ind w:left="5869" w:hanging="360"/>
      </w:pPr>
    </w:lvl>
    <w:lvl w:ilvl="8">
      <w:start w:val="1"/>
      <w:numFmt w:val="lowerRoman"/>
      <w:lvlText w:val="%9."/>
      <w:lvlJc w:val="right"/>
      <w:pPr>
        <w:tabs>
          <w:tab w:val="num" w:pos="0"/>
        </w:tabs>
        <w:ind w:left="6589" w:hanging="180"/>
      </w:pPr>
    </w:lvl>
  </w:abstractNum>
  <w:abstractNum w:abstractNumId="13" w15:restartNumberingAfterBreak="0">
    <w:nsid w:val="4EF01C9F"/>
    <w:multiLevelType w:val="hybridMultilevel"/>
    <w:tmpl w:val="4AAAB1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096530C"/>
    <w:multiLevelType w:val="multilevel"/>
    <w:tmpl w:val="A9B63BEA"/>
    <w:lvl w:ilvl="0">
      <w:start w:val="1"/>
      <w:numFmt w:val="bullet"/>
      <w:pStyle w:val="MainBodyBulletPoin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476"/>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2821B02"/>
    <w:multiLevelType w:val="hybridMultilevel"/>
    <w:tmpl w:val="AEFEF35E"/>
    <w:lvl w:ilvl="0" w:tplc="FCACDD7A">
      <w:start w:val="1"/>
      <w:numFmt w:val="bullet"/>
      <w:lvlText w:val=""/>
      <w:lvlJc w:val="left"/>
      <w:pPr>
        <w:ind w:left="720" w:hanging="360"/>
      </w:pPr>
      <w:rPr>
        <w:rFonts w:ascii="Symbol" w:hAnsi="Symbol"/>
      </w:rPr>
    </w:lvl>
    <w:lvl w:ilvl="1" w:tplc="27289C92">
      <w:start w:val="1"/>
      <w:numFmt w:val="bullet"/>
      <w:lvlText w:val=""/>
      <w:lvlJc w:val="left"/>
      <w:pPr>
        <w:ind w:left="720" w:hanging="360"/>
      </w:pPr>
      <w:rPr>
        <w:rFonts w:ascii="Symbol" w:hAnsi="Symbol"/>
      </w:rPr>
    </w:lvl>
    <w:lvl w:ilvl="2" w:tplc="2E362588">
      <w:start w:val="1"/>
      <w:numFmt w:val="bullet"/>
      <w:lvlText w:val=""/>
      <w:lvlJc w:val="left"/>
      <w:pPr>
        <w:ind w:left="720" w:hanging="360"/>
      </w:pPr>
      <w:rPr>
        <w:rFonts w:ascii="Symbol" w:hAnsi="Symbol"/>
      </w:rPr>
    </w:lvl>
    <w:lvl w:ilvl="3" w:tplc="3F146730">
      <w:start w:val="1"/>
      <w:numFmt w:val="bullet"/>
      <w:lvlText w:val=""/>
      <w:lvlJc w:val="left"/>
      <w:pPr>
        <w:ind w:left="720" w:hanging="360"/>
      </w:pPr>
      <w:rPr>
        <w:rFonts w:ascii="Symbol" w:hAnsi="Symbol"/>
      </w:rPr>
    </w:lvl>
    <w:lvl w:ilvl="4" w:tplc="29CCD9F2">
      <w:start w:val="1"/>
      <w:numFmt w:val="bullet"/>
      <w:lvlText w:val=""/>
      <w:lvlJc w:val="left"/>
      <w:pPr>
        <w:ind w:left="720" w:hanging="360"/>
      </w:pPr>
      <w:rPr>
        <w:rFonts w:ascii="Symbol" w:hAnsi="Symbol"/>
      </w:rPr>
    </w:lvl>
    <w:lvl w:ilvl="5" w:tplc="A29E0512">
      <w:start w:val="1"/>
      <w:numFmt w:val="bullet"/>
      <w:lvlText w:val=""/>
      <w:lvlJc w:val="left"/>
      <w:pPr>
        <w:ind w:left="720" w:hanging="360"/>
      </w:pPr>
      <w:rPr>
        <w:rFonts w:ascii="Symbol" w:hAnsi="Symbol"/>
      </w:rPr>
    </w:lvl>
    <w:lvl w:ilvl="6" w:tplc="0682E270">
      <w:start w:val="1"/>
      <w:numFmt w:val="bullet"/>
      <w:lvlText w:val=""/>
      <w:lvlJc w:val="left"/>
      <w:pPr>
        <w:ind w:left="720" w:hanging="360"/>
      </w:pPr>
      <w:rPr>
        <w:rFonts w:ascii="Symbol" w:hAnsi="Symbol"/>
      </w:rPr>
    </w:lvl>
    <w:lvl w:ilvl="7" w:tplc="6D2C95C0">
      <w:start w:val="1"/>
      <w:numFmt w:val="bullet"/>
      <w:lvlText w:val=""/>
      <w:lvlJc w:val="left"/>
      <w:pPr>
        <w:ind w:left="720" w:hanging="360"/>
      </w:pPr>
      <w:rPr>
        <w:rFonts w:ascii="Symbol" w:hAnsi="Symbol"/>
      </w:rPr>
    </w:lvl>
    <w:lvl w:ilvl="8" w:tplc="62862BC8">
      <w:start w:val="1"/>
      <w:numFmt w:val="bullet"/>
      <w:lvlText w:val=""/>
      <w:lvlJc w:val="left"/>
      <w:pPr>
        <w:ind w:left="720" w:hanging="360"/>
      </w:pPr>
      <w:rPr>
        <w:rFonts w:ascii="Symbol" w:hAnsi="Symbol"/>
      </w:rPr>
    </w:lvl>
  </w:abstractNum>
  <w:abstractNum w:abstractNumId="16" w15:restartNumberingAfterBreak="0">
    <w:nsid w:val="563F7C8F"/>
    <w:multiLevelType w:val="multilevel"/>
    <w:tmpl w:val="9F2E1B44"/>
    <w:lvl w:ilvl="0">
      <w:start w:val="1"/>
      <w:numFmt w:val="decimal"/>
      <w:lvlText w:val="%1"/>
      <w:lvlJc w:val="left"/>
      <w:pPr>
        <w:tabs>
          <w:tab w:val="num" w:pos="0"/>
        </w:tabs>
        <w:ind w:left="720" w:hanging="720"/>
      </w:pPr>
      <w:rPr>
        <w:b/>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7" w15:restartNumberingAfterBreak="0">
    <w:nsid w:val="57A64491"/>
    <w:multiLevelType w:val="hybridMultilevel"/>
    <w:tmpl w:val="6B1A453C"/>
    <w:lvl w:ilvl="0" w:tplc="6E5633D8">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150B90"/>
    <w:multiLevelType w:val="hybridMultilevel"/>
    <w:tmpl w:val="356A79C4"/>
    <w:lvl w:ilvl="0" w:tplc="F328064A">
      <w:start w:val="1"/>
      <w:numFmt w:val="decimal"/>
      <w:pStyle w:val="MSAC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D0440D"/>
    <w:multiLevelType w:val="multilevel"/>
    <w:tmpl w:val="AE989CDA"/>
    <w:lvl w:ilvl="0">
      <w:start w:val="1"/>
      <w:numFmt w:val="decimal"/>
      <w:lvlText w:val="%1."/>
      <w:lvlJc w:val="left"/>
      <w:pPr>
        <w:tabs>
          <w:tab w:val="num" w:pos="0"/>
        </w:tabs>
        <w:ind w:left="360" w:hanging="360"/>
      </w:pPr>
      <w:rPr>
        <w:color w:val="auto"/>
      </w:rPr>
    </w:lvl>
    <w:lvl w:ilvl="1">
      <w:start w:val="1"/>
      <w:numFmt w:val="bullet"/>
      <w:lvlText w:val=""/>
      <w:lvlJc w:val="left"/>
      <w:pPr>
        <w:tabs>
          <w:tab w:val="num" w:pos="0"/>
        </w:tabs>
        <w:ind w:left="927"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38A7491"/>
    <w:multiLevelType w:val="multilevel"/>
    <w:tmpl w:val="8C426400"/>
    <w:lvl w:ilvl="0">
      <w:numFmt w:val="bullet"/>
      <w:lvlText w:val="•"/>
      <w:lvlJc w:val="left"/>
      <w:pPr>
        <w:tabs>
          <w:tab w:val="num" w:pos="360"/>
        </w:tabs>
        <w:ind w:left="1080" w:hanging="360"/>
      </w:pPr>
      <w:rPr>
        <w:rFonts w:ascii="Arial" w:hAnsi="Arial" w:hint="default"/>
      </w:rPr>
    </w:lvl>
    <w:lvl w:ilvl="1">
      <w:start w:val="1"/>
      <w:numFmt w:val="bullet"/>
      <w:lvlText w:val=""/>
      <w:lvlJc w:val="left"/>
      <w:pPr>
        <w:tabs>
          <w:tab w:val="num" w:pos="360"/>
        </w:tabs>
        <w:ind w:left="1800" w:hanging="476"/>
      </w:pPr>
      <w:rPr>
        <w:rFonts w:ascii="Symbol" w:hAnsi="Symbol" w:cs="Symbol" w:hint="default"/>
      </w:rPr>
    </w:lvl>
    <w:lvl w:ilvl="2">
      <w:start w:val="1"/>
      <w:numFmt w:val="bullet"/>
      <w:lvlText w:val=""/>
      <w:lvlJc w:val="left"/>
      <w:pPr>
        <w:tabs>
          <w:tab w:val="num" w:pos="360"/>
        </w:tabs>
        <w:ind w:left="2520" w:hanging="360"/>
      </w:pPr>
      <w:rPr>
        <w:rFonts w:ascii="Wingdings" w:hAnsi="Wingdings" w:cs="Wingdings" w:hint="default"/>
      </w:rPr>
    </w:lvl>
    <w:lvl w:ilvl="3">
      <w:start w:val="1"/>
      <w:numFmt w:val="bullet"/>
      <w:lvlText w:val=""/>
      <w:lvlJc w:val="left"/>
      <w:pPr>
        <w:tabs>
          <w:tab w:val="num" w:pos="360"/>
        </w:tabs>
        <w:ind w:left="3240" w:hanging="360"/>
      </w:pPr>
      <w:rPr>
        <w:rFonts w:ascii="Symbol" w:hAnsi="Symbol" w:cs="Symbol" w:hint="default"/>
      </w:rPr>
    </w:lvl>
    <w:lvl w:ilvl="4">
      <w:start w:val="1"/>
      <w:numFmt w:val="bullet"/>
      <w:lvlText w:val="o"/>
      <w:lvlJc w:val="left"/>
      <w:pPr>
        <w:tabs>
          <w:tab w:val="num" w:pos="360"/>
        </w:tabs>
        <w:ind w:left="3960" w:hanging="360"/>
      </w:pPr>
      <w:rPr>
        <w:rFonts w:ascii="Courier New" w:hAnsi="Courier New" w:cs="Courier New" w:hint="default"/>
      </w:rPr>
    </w:lvl>
    <w:lvl w:ilvl="5">
      <w:start w:val="1"/>
      <w:numFmt w:val="bullet"/>
      <w:lvlText w:val=""/>
      <w:lvlJc w:val="left"/>
      <w:pPr>
        <w:tabs>
          <w:tab w:val="num" w:pos="360"/>
        </w:tabs>
        <w:ind w:left="4680" w:hanging="360"/>
      </w:pPr>
      <w:rPr>
        <w:rFonts w:ascii="Wingdings" w:hAnsi="Wingdings" w:cs="Wingdings" w:hint="default"/>
      </w:rPr>
    </w:lvl>
    <w:lvl w:ilvl="6">
      <w:start w:val="1"/>
      <w:numFmt w:val="bullet"/>
      <w:lvlText w:val=""/>
      <w:lvlJc w:val="left"/>
      <w:pPr>
        <w:tabs>
          <w:tab w:val="num" w:pos="360"/>
        </w:tabs>
        <w:ind w:left="5400" w:hanging="360"/>
      </w:pPr>
      <w:rPr>
        <w:rFonts w:ascii="Symbol" w:hAnsi="Symbol" w:cs="Symbol" w:hint="default"/>
      </w:rPr>
    </w:lvl>
    <w:lvl w:ilvl="7">
      <w:start w:val="1"/>
      <w:numFmt w:val="bullet"/>
      <w:lvlText w:val="o"/>
      <w:lvlJc w:val="left"/>
      <w:pPr>
        <w:tabs>
          <w:tab w:val="num" w:pos="360"/>
        </w:tabs>
        <w:ind w:left="6120" w:hanging="360"/>
      </w:pPr>
      <w:rPr>
        <w:rFonts w:ascii="Courier New" w:hAnsi="Courier New" w:cs="Courier New" w:hint="default"/>
      </w:rPr>
    </w:lvl>
    <w:lvl w:ilvl="8">
      <w:start w:val="1"/>
      <w:numFmt w:val="bullet"/>
      <w:lvlText w:val=""/>
      <w:lvlJc w:val="left"/>
      <w:pPr>
        <w:tabs>
          <w:tab w:val="num" w:pos="360"/>
        </w:tabs>
        <w:ind w:left="6840" w:hanging="360"/>
      </w:pPr>
      <w:rPr>
        <w:rFonts w:ascii="Wingdings" w:hAnsi="Wingdings" w:cs="Wingdings" w:hint="default"/>
      </w:rPr>
    </w:lvl>
  </w:abstractNum>
  <w:abstractNum w:abstractNumId="21" w15:restartNumberingAfterBreak="0">
    <w:nsid w:val="641416BB"/>
    <w:multiLevelType w:val="multilevel"/>
    <w:tmpl w:val="8BCEF3CA"/>
    <w:lvl w:ilvl="0">
      <w:start w:val="1"/>
      <w:numFmt w:val="decimal"/>
      <w:pStyle w:val="Heading1"/>
      <w:lvlText w:val="%1"/>
      <w:lvlJc w:val="left"/>
      <w:pPr>
        <w:tabs>
          <w:tab w:val="num" w:pos="0"/>
        </w:tabs>
        <w:ind w:left="432" w:hanging="432"/>
      </w:pPr>
      <w:rPr>
        <w:b/>
      </w:rPr>
    </w:lvl>
    <w:lvl w:ilvl="1">
      <w:start w:val="1"/>
      <w:numFmt w:val="upperLetter"/>
      <w:lvlText w:val="%1%2"/>
      <w:lvlJc w:val="left"/>
      <w:pPr>
        <w:tabs>
          <w:tab w:val="num" w:pos="0"/>
        </w:tabs>
        <w:ind w:left="576" w:hanging="576"/>
      </w:pPr>
    </w:lvl>
    <w:lvl w:ilvl="2">
      <w:start w:val="1"/>
      <w:numFmt w:val="decimal"/>
      <w:lvlText w:val="%1%2.%3"/>
      <w:lvlJc w:val="left"/>
      <w:pPr>
        <w:tabs>
          <w:tab w:val="num" w:pos="0"/>
        </w:tabs>
        <w:ind w:left="0" w:firstLine="0"/>
      </w:pPr>
    </w:lvl>
    <w:lvl w:ilvl="3">
      <w:start w:val="1"/>
      <w:numFmt w:val="decimal"/>
      <w:pStyle w:val="Heading2"/>
      <w:lvlText w:val="%1.%4"/>
      <w:lvlJc w:val="left"/>
      <w:pPr>
        <w:tabs>
          <w:tab w:val="num" w:pos="0"/>
        </w:tabs>
        <w:ind w:left="864" w:hanging="864"/>
      </w:pPr>
    </w:lvl>
    <w:lvl w:ilvl="4">
      <w:start w:val="1"/>
      <w:numFmt w:val="decimal"/>
      <w:lvlText w:val="%1%2.%5"/>
      <w:lvlJc w:val="left"/>
      <w:pPr>
        <w:tabs>
          <w:tab w:val="num" w:pos="0"/>
        </w:tabs>
        <w:ind w:left="0" w:firstLine="0"/>
      </w:pPr>
    </w:lvl>
    <w:lvl w:ilvl="5">
      <w:start w:val="1"/>
      <w:numFmt w:val="none"/>
      <w:pStyle w:val="Heading3"/>
      <w:suff w:val="nothing"/>
      <w:lvlText w:val=""/>
      <w:lvlJc w:val="left"/>
      <w:pPr>
        <w:tabs>
          <w:tab w:val="num" w:pos="0"/>
        </w:tabs>
        <w:ind w:left="0" w:firstLine="0"/>
      </w:pPr>
    </w:lvl>
    <w:lvl w:ilvl="6">
      <w:start w:val="1"/>
      <w:numFmt w:val="none"/>
      <w:pStyle w:val="Heading4"/>
      <w:suff w:val="nothing"/>
      <w:lvlText w:val=""/>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2" w15:restartNumberingAfterBreak="0">
    <w:nsid w:val="6C5D04D9"/>
    <w:multiLevelType w:val="hybridMultilevel"/>
    <w:tmpl w:val="3ADA2D74"/>
    <w:lvl w:ilvl="0" w:tplc="39F83ED4">
      <w:start w:val="1"/>
      <w:numFmt w:val="bullet"/>
      <w:lvlText w:val=""/>
      <w:lvlJc w:val="left"/>
      <w:pPr>
        <w:ind w:left="720" w:hanging="360"/>
      </w:pPr>
      <w:rPr>
        <w:rFonts w:ascii="Symbol" w:hAnsi="Symbol"/>
      </w:rPr>
    </w:lvl>
    <w:lvl w:ilvl="1" w:tplc="9EB867EE">
      <w:start w:val="1"/>
      <w:numFmt w:val="bullet"/>
      <w:lvlText w:val=""/>
      <w:lvlJc w:val="left"/>
      <w:pPr>
        <w:ind w:left="720" w:hanging="360"/>
      </w:pPr>
      <w:rPr>
        <w:rFonts w:ascii="Symbol" w:hAnsi="Symbol"/>
      </w:rPr>
    </w:lvl>
    <w:lvl w:ilvl="2" w:tplc="AE1C06B2">
      <w:start w:val="1"/>
      <w:numFmt w:val="bullet"/>
      <w:lvlText w:val=""/>
      <w:lvlJc w:val="left"/>
      <w:pPr>
        <w:ind w:left="720" w:hanging="360"/>
      </w:pPr>
      <w:rPr>
        <w:rFonts w:ascii="Symbol" w:hAnsi="Symbol"/>
      </w:rPr>
    </w:lvl>
    <w:lvl w:ilvl="3" w:tplc="1548ECA6">
      <w:start w:val="1"/>
      <w:numFmt w:val="bullet"/>
      <w:lvlText w:val=""/>
      <w:lvlJc w:val="left"/>
      <w:pPr>
        <w:ind w:left="720" w:hanging="360"/>
      </w:pPr>
      <w:rPr>
        <w:rFonts w:ascii="Symbol" w:hAnsi="Symbol"/>
      </w:rPr>
    </w:lvl>
    <w:lvl w:ilvl="4" w:tplc="48AA227C">
      <w:start w:val="1"/>
      <w:numFmt w:val="bullet"/>
      <w:lvlText w:val=""/>
      <w:lvlJc w:val="left"/>
      <w:pPr>
        <w:ind w:left="720" w:hanging="360"/>
      </w:pPr>
      <w:rPr>
        <w:rFonts w:ascii="Symbol" w:hAnsi="Symbol"/>
      </w:rPr>
    </w:lvl>
    <w:lvl w:ilvl="5" w:tplc="4ED47504">
      <w:start w:val="1"/>
      <w:numFmt w:val="bullet"/>
      <w:lvlText w:val=""/>
      <w:lvlJc w:val="left"/>
      <w:pPr>
        <w:ind w:left="720" w:hanging="360"/>
      </w:pPr>
      <w:rPr>
        <w:rFonts w:ascii="Symbol" w:hAnsi="Symbol"/>
      </w:rPr>
    </w:lvl>
    <w:lvl w:ilvl="6" w:tplc="89BA0ADE">
      <w:start w:val="1"/>
      <w:numFmt w:val="bullet"/>
      <w:lvlText w:val=""/>
      <w:lvlJc w:val="left"/>
      <w:pPr>
        <w:ind w:left="720" w:hanging="360"/>
      </w:pPr>
      <w:rPr>
        <w:rFonts w:ascii="Symbol" w:hAnsi="Symbol"/>
      </w:rPr>
    </w:lvl>
    <w:lvl w:ilvl="7" w:tplc="4878A3AA">
      <w:start w:val="1"/>
      <w:numFmt w:val="bullet"/>
      <w:lvlText w:val=""/>
      <w:lvlJc w:val="left"/>
      <w:pPr>
        <w:ind w:left="720" w:hanging="360"/>
      </w:pPr>
      <w:rPr>
        <w:rFonts w:ascii="Symbol" w:hAnsi="Symbol"/>
      </w:rPr>
    </w:lvl>
    <w:lvl w:ilvl="8" w:tplc="2C369C7E">
      <w:start w:val="1"/>
      <w:numFmt w:val="bullet"/>
      <w:lvlText w:val=""/>
      <w:lvlJc w:val="left"/>
      <w:pPr>
        <w:ind w:left="720" w:hanging="360"/>
      </w:pPr>
      <w:rPr>
        <w:rFonts w:ascii="Symbol" w:hAnsi="Symbol"/>
      </w:rPr>
    </w:lvl>
  </w:abstractNum>
  <w:abstractNum w:abstractNumId="23" w15:restartNumberingAfterBreak="0">
    <w:nsid w:val="6F6D7100"/>
    <w:multiLevelType w:val="multilevel"/>
    <w:tmpl w:val="BF7802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84D033C"/>
    <w:multiLevelType w:val="multilevel"/>
    <w:tmpl w:val="6E6EEF34"/>
    <w:lvl w:ilvl="0">
      <w:start w:val="1"/>
      <w:numFmt w:val="decimal"/>
      <w:lvlText w:val="%1"/>
      <w:lvlJc w:val="left"/>
      <w:pPr>
        <w:ind w:left="720" w:hanging="720"/>
      </w:pPr>
      <w:rPr>
        <w:rFonts w:hint="default"/>
        <w:b/>
        <w:i w:val="0"/>
      </w:rPr>
    </w:lvl>
    <w:lvl w:ilvl="1">
      <w:start w:val="6"/>
      <w:numFmt w:val="decimal"/>
      <w:lvlText w:val="%1.%2"/>
      <w:lvlJc w:val="left"/>
      <w:pPr>
        <w:ind w:left="720" w:hanging="720"/>
      </w:pPr>
      <w:rPr>
        <w:rFonts w:asciiTheme="minorHAnsi" w:hAnsiTheme="minorHAnsi" w:cs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911BEF"/>
    <w:multiLevelType w:val="multilevel"/>
    <w:tmpl w:val="B156A7D0"/>
    <w:styleLink w:val="Style2"/>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6F475A"/>
    <w:multiLevelType w:val="multilevel"/>
    <w:tmpl w:val="0DBAE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4449897">
    <w:abstractNumId w:val="21"/>
  </w:num>
  <w:num w:numId="2" w16cid:durableId="1132865647">
    <w:abstractNumId w:val="7"/>
  </w:num>
  <w:num w:numId="3" w16cid:durableId="1358655896">
    <w:abstractNumId w:val="14"/>
  </w:num>
  <w:num w:numId="4" w16cid:durableId="1784611569">
    <w:abstractNumId w:val="9"/>
  </w:num>
  <w:num w:numId="5" w16cid:durableId="1896576121">
    <w:abstractNumId w:val="0"/>
  </w:num>
  <w:num w:numId="6" w16cid:durableId="899754450">
    <w:abstractNumId w:val="23"/>
  </w:num>
  <w:num w:numId="7" w16cid:durableId="695156491">
    <w:abstractNumId w:val="19"/>
  </w:num>
  <w:num w:numId="8" w16cid:durableId="391346726">
    <w:abstractNumId w:val="12"/>
  </w:num>
  <w:num w:numId="9" w16cid:durableId="1173492564">
    <w:abstractNumId w:val="7"/>
    <w:lvlOverride w:ilvl="0">
      <w:startOverride w:val="1"/>
    </w:lvlOverride>
  </w:num>
  <w:num w:numId="10" w16cid:durableId="459540515">
    <w:abstractNumId w:val="7"/>
  </w:num>
  <w:num w:numId="11" w16cid:durableId="1943294745">
    <w:abstractNumId w:val="2"/>
  </w:num>
  <w:num w:numId="12" w16cid:durableId="821584777">
    <w:abstractNumId w:val="11"/>
  </w:num>
  <w:num w:numId="13" w16cid:durableId="1170438738">
    <w:abstractNumId w:val="25"/>
  </w:num>
  <w:num w:numId="14" w16cid:durableId="542835030">
    <w:abstractNumId w:val="18"/>
  </w:num>
  <w:num w:numId="15" w16cid:durableId="204026457">
    <w:abstractNumId w:val="6"/>
  </w:num>
  <w:num w:numId="16" w16cid:durableId="2024889959">
    <w:abstractNumId w:val="15"/>
  </w:num>
  <w:num w:numId="17" w16cid:durableId="982005317">
    <w:abstractNumId w:val="4"/>
  </w:num>
  <w:num w:numId="18" w16cid:durableId="438645234">
    <w:abstractNumId w:val="22"/>
  </w:num>
  <w:num w:numId="19" w16cid:durableId="1979457665">
    <w:abstractNumId w:val="3"/>
  </w:num>
  <w:num w:numId="20" w16cid:durableId="887716870">
    <w:abstractNumId w:val="20"/>
  </w:num>
  <w:num w:numId="21" w16cid:durableId="373968092">
    <w:abstractNumId w:val="7"/>
  </w:num>
  <w:num w:numId="22" w16cid:durableId="66078166">
    <w:abstractNumId w:val="7"/>
  </w:num>
  <w:num w:numId="23" w16cid:durableId="1172331740">
    <w:abstractNumId w:val="7"/>
  </w:num>
  <w:num w:numId="24" w16cid:durableId="157498846">
    <w:abstractNumId w:val="26"/>
  </w:num>
  <w:num w:numId="25" w16cid:durableId="1854295365">
    <w:abstractNumId w:val="26"/>
    <w:lvlOverride w:ilvl="1">
      <w:lvl w:ilvl="1">
        <w:numFmt w:val="bullet"/>
        <w:lvlText w:val=""/>
        <w:lvlJc w:val="left"/>
        <w:pPr>
          <w:tabs>
            <w:tab w:val="num" w:pos="1440"/>
          </w:tabs>
          <w:ind w:left="1440" w:hanging="360"/>
        </w:pPr>
        <w:rPr>
          <w:rFonts w:ascii="Symbol" w:hAnsi="Symbol" w:hint="default"/>
          <w:sz w:val="20"/>
        </w:rPr>
      </w:lvl>
    </w:lvlOverride>
  </w:num>
  <w:num w:numId="26" w16cid:durableId="1325624089">
    <w:abstractNumId w:val="26"/>
    <w:lvlOverride w:ilvl="1">
      <w:lvl w:ilvl="1">
        <w:numFmt w:val="bullet"/>
        <w:lvlText w:val=""/>
        <w:lvlJc w:val="left"/>
        <w:pPr>
          <w:tabs>
            <w:tab w:val="num" w:pos="1440"/>
          </w:tabs>
          <w:ind w:left="1440" w:hanging="360"/>
        </w:pPr>
        <w:rPr>
          <w:rFonts w:ascii="Symbol" w:hAnsi="Symbol" w:hint="default"/>
          <w:sz w:val="20"/>
        </w:rPr>
      </w:lvl>
    </w:lvlOverride>
  </w:num>
  <w:num w:numId="27" w16cid:durableId="477385195">
    <w:abstractNumId w:val="14"/>
  </w:num>
  <w:num w:numId="28" w16cid:durableId="89855051">
    <w:abstractNumId w:val="14"/>
  </w:num>
  <w:num w:numId="29" w16cid:durableId="520360789">
    <w:abstractNumId w:val="7"/>
  </w:num>
  <w:num w:numId="30" w16cid:durableId="1744595281">
    <w:abstractNumId w:val="7"/>
  </w:num>
  <w:num w:numId="31" w16cid:durableId="2006594312">
    <w:abstractNumId w:val="7"/>
  </w:num>
  <w:num w:numId="32" w16cid:durableId="1083721674">
    <w:abstractNumId w:val="16"/>
  </w:num>
  <w:num w:numId="33" w16cid:durableId="671378625">
    <w:abstractNumId w:val="1"/>
  </w:num>
  <w:num w:numId="34" w16cid:durableId="1394885939">
    <w:abstractNumId w:val="7"/>
  </w:num>
  <w:num w:numId="35" w16cid:durableId="1354183482">
    <w:abstractNumId w:val="7"/>
  </w:num>
  <w:num w:numId="36" w16cid:durableId="681735708">
    <w:abstractNumId w:val="7"/>
  </w:num>
  <w:num w:numId="37" w16cid:durableId="61997521">
    <w:abstractNumId w:val="7"/>
  </w:num>
  <w:num w:numId="38" w16cid:durableId="384835553">
    <w:abstractNumId w:val="17"/>
  </w:num>
  <w:num w:numId="39" w16cid:durableId="1947494130">
    <w:abstractNumId w:val="7"/>
  </w:num>
  <w:num w:numId="40" w16cid:durableId="1054543656">
    <w:abstractNumId w:val="7"/>
  </w:num>
  <w:num w:numId="41" w16cid:durableId="995181770">
    <w:abstractNumId w:val="13"/>
  </w:num>
  <w:num w:numId="42" w16cid:durableId="1574780792">
    <w:abstractNumId w:val="10"/>
  </w:num>
  <w:num w:numId="43" w16cid:durableId="683939144">
    <w:abstractNumId w:val="5"/>
  </w:num>
  <w:num w:numId="44" w16cid:durableId="880896469">
    <w:abstractNumId w:val="7"/>
  </w:num>
  <w:num w:numId="45" w16cid:durableId="1243875485">
    <w:abstractNumId w:val="7"/>
  </w:num>
  <w:num w:numId="46" w16cid:durableId="1001353652">
    <w:abstractNumId w:val="7"/>
  </w:num>
  <w:num w:numId="47" w16cid:durableId="40443118">
    <w:abstractNumId w:val="8"/>
  </w:num>
  <w:num w:numId="48" w16cid:durableId="1111242883">
    <w:abstractNumId w:val="24"/>
  </w:num>
  <w:num w:numId="49" w16cid:durableId="611592073">
    <w:abstractNumId w:val="7"/>
  </w:num>
  <w:num w:numId="50" w16cid:durableId="28919806">
    <w:abstractNumId w:val="7"/>
  </w:num>
  <w:num w:numId="51" w16cid:durableId="181017967">
    <w:abstractNumId w:val="7"/>
  </w:num>
  <w:num w:numId="52" w16cid:durableId="1479881991">
    <w:abstractNumId w:val="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F5"/>
    <w:rsid w:val="000002FF"/>
    <w:rsid w:val="00000498"/>
    <w:rsid w:val="00000666"/>
    <w:rsid w:val="0000070D"/>
    <w:rsid w:val="0000076E"/>
    <w:rsid w:val="000007B0"/>
    <w:rsid w:val="00000833"/>
    <w:rsid w:val="000008F6"/>
    <w:rsid w:val="00000AC7"/>
    <w:rsid w:val="00000C75"/>
    <w:rsid w:val="00000E1F"/>
    <w:rsid w:val="00001089"/>
    <w:rsid w:val="000011FF"/>
    <w:rsid w:val="0000128C"/>
    <w:rsid w:val="000014A9"/>
    <w:rsid w:val="00001538"/>
    <w:rsid w:val="000018C6"/>
    <w:rsid w:val="00001A24"/>
    <w:rsid w:val="00001A30"/>
    <w:rsid w:val="00001A3B"/>
    <w:rsid w:val="00001AB4"/>
    <w:rsid w:val="00001F70"/>
    <w:rsid w:val="00002003"/>
    <w:rsid w:val="000021D3"/>
    <w:rsid w:val="00002350"/>
    <w:rsid w:val="00002463"/>
    <w:rsid w:val="000025D0"/>
    <w:rsid w:val="00002675"/>
    <w:rsid w:val="0000289F"/>
    <w:rsid w:val="000028D2"/>
    <w:rsid w:val="00002D0C"/>
    <w:rsid w:val="00002E32"/>
    <w:rsid w:val="00002E56"/>
    <w:rsid w:val="00002F41"/>
    <w:rsid w:val="00003059"/>
    <w:rsid w:val="00003427"/>
    <w:rsid w:val="00003694"/>
    <w:rsid w:val="00003843"/>
    <w:rsid w:val="00003855"/>
    <w:rsid w:val="00003D74"/>
    <w:rsid w:val="00003FCB"/>
    <w:rsid w:val="00004018"/>
    <w:rsid w:val="0000405F"/>
    <w:rsid w:val="00004181"/>
    <w:rsid w:val="00004182"/>
    <w:rsid w:val="000043B5"/>
    <w:rsid w:val="000043F4"/>
    <w:rsid w:val="00004423"/>
    <w:rsid w:val="000044A5"/>
    <w:rsid w:val="000045D4"/>
    <w:rsid w:val="00004694"/>
    <w:rsid w:val="000046A8"/>
    <w:rsid w:val="00004704"/>
    <w:rsid w:val="000047F2"/>
    <w:rsid w:val="000048ED"/>
    <w:rsid w:val="00004937"/>
    <w:rsid w:val="0000494F"/>
    <w:rsid w:val="00004C39"/>
    <w:rsid w:val="00004CE2"/>
    <w:rsid w:val="00004D05"/>
    <w:rsid w:val="00004FBD"/>
    <w:rsid w:val="00005128"/>
    <w:rsid w:val="000051F5"/>
    <w:rsid w:val="00005515"/>
    <w:rsid w:val="000055B5"/>
    <w:rsid w:val="00005660"/>
    <w:rsid w:val="000057CF"/>
    <w:rsid w:val="00005904"/>
    <w:rsid w:val="000059A9"/>
    <w:rsid w:val="000059D5"/>
    <w:rsid w:val="00005A61"/>
    <w:rsid w:val="00005E22"/>
    <w:rsid w:val="00005E41"/>
    <w:rsid w:val="00005EEF"/>
    <w:rsid w:val="00005F65"/>
    <w:rsid w:val="00005F93"/>
    <w:rsid w:val="000060A5"/>
    <w:rsid w:val="000062E0"/>
    <w:rsid w:val="00006649"/>
    <w:rsid w:val="000066DE"/>
    <w:rsid w:val="00006F26"/>
    <w:rsid w:val="00006F54"/>
    <w:rsid w:val="00006F98"/>
    <w:rsid w:val="00007054"/>
    <w:rsid w:val="00007059"/>
    <w:rsid w:val="00007366"/>
    <w:rsid w:val="00007448"/>
    <w:rsid w:val="0000759E"/>
    <w:rsid w:val="000078B3"/>
    <w:rsid w:val="000079B2"/>
    <w:rsid w:val="00007AA2"/>
    <w:rsid w:val="00007F71"/>
    <w:rsid w:val="00010058"/>
    <w:rsid w:val="000102CA"/>
    <w:rsid w:val="00010366"/>
    <w:rsid w:val="000103BD"/>
    <w:rsid w:val="000103F0"/>
    <w:rsid w:val="00010478"/>
    <w:rsid w:val="000105E0"/>
    <w:rsid w:val="0001066F"/>
    <w:rsid w:val="000107E8"/>
    <w:rsid w:val="00010810"/>
    <w:rsid w:val="000109D2"/>
    <w:rsid w:val="00010A9B"/>
    <w:rsid w:val="00010ACC"/>
    <w:rsid w:val="00010BE4"/>
    <w:rsid w:val="00010C2F"/>
    <w:rsid w:val="00010E4B"/>
    <w:rsid w:val="000110FF"/>
    <w:rsid w:val="000114FE"/>
    <w:rsid w:val="000115CA"/>
    <w:rsid w:val="000118E8"/>
    <w:rsid w:val="00011B39"/>
    <w:rsid w:val="00011BD0"/>
    <w:rsid w:val="00011BF2"/>
    <w:rsid w:val="00011EEE"/>
    <w:rsid w:val="0001207D"/>
    <w:rsid w:val="00012136"/>
    <w:rsid w:val="00012202"/>
    <w:rsid w:val="00012337"/>
    <w:rsid w:val="00012809"/>
    <w:rsid w:val="0001281E"/>
    <w:rsid w:val="0001285B"/>
    <w:rsid w:val="00012ACB"/>
    <w:rsid w:val="00012B11"/>
    <w:rsid w:val="00012B88"/>
    <w:rsid w:val="00012BCF"/>
    <w:rsid w:val="00012E10"/>
    <w:rsid w:val="00012E8C"/>
    <w:rsid w:val="0001304E"/>
    <w:rsid w:val="0001314F"/>
    <w:rsid w:val="00013178"/>
    <w:rsid w:val="000131C9"/>
    <w:rsid w:val="00013222"/>
    <w:rsid w:val="00013381"/>
    <w:rsid w:val="00013688"/>
    <w:rsid w:val="00013815"/>
    <w:rsid w:val="0001386B"/>
    <w:rsid w:val="00013915"/>
    <w:rsid w:val="00013961"/>
    <w:rsid w:val="00013A3A"/>
    <w:rsid w:val="00013AD0"/>
    <w:rsid w:val="00013E19"/>
    <w:rsid w:val="00013F91"/>
    <w:rsid w:val="000140E9"/>
    <w:rsid w:val="000141CB"/>
    <w:rsid w:val="000142C1"/>
    <w:rsid w:val="00014386"/>
    <w:rsid w:val="00014588"/>
    <w:rsid w:val="00014824"/>
    <w:rsid w:val="00014BA9"/>
    <w:rsid w:val="00014C09"/>
    <w:rsid w:val="00014C7E"/>
    <w:rsid w:val="00014D53"/>
    <w:rsid w:val="00014E9F"/>
    <w:rsid w:val="00014F90"/>
    <w:rsid w:val="000150FE"/>
    <w:rsid w:val="00015290"/>
    <w:rsid w:val="000153B8"/>
    <w:rsid w:val="00015478"/>
    <w:rsid w:val="0001548D"/>
    <w:rsid w:val="000154C8"/>
    <w:rsid w:val="00015788"/>
    <w:rsid w:val="00015821"/>
    <w:rsid w:val="000158D2"/>
    <w:rsid w:val="0001596D"/>
    <w:rsid w:val="00015A54"/>
    <w:rsid w:val="00015ABF"/>
    <w:rsid w:val="00015B01"/>
    <w:rsid w:val="00015B2C"/>
    <w:rsid w:val="00015D70"/>
    <w:rsid w:val="00015E62"/>
    <w:rsid w:val="00015FAB"/>
    <w:rsid w:val="00016248"/>
    <w:rsid w:val="000164CD"/>
    <w:rsid w:val="00016C1B"/>
    <w:rsid w:val="00016CC3"/>
    <w:rsid w:val="00016E10"/>
    <w:rsid w:val="00017026"/>
    <w:rsid w:val="00017029"/>
    <w:rsid w:val="000170DA"/>
    <w:rsid w:val="000170E1"/>
    <w:rsid w:val="000171E6"/>
    <w:rsid w:val="0001733E"/>
    <w:rsid w:val="00017416"/>
    <w:rsid w:val="0001751E"/>
    <w:rsid w:val="00017B7E"/>
    <w:rsid w:val="00017CB3"/>
    <w:rsid w:val="00017D61"/>
    <w:rsid w:val="00020042"/>
    <w:rsid w:val="00020049"/>
    <w:rsid w:val="000201C6"/>
    <w:rsid w:val="000201E2"/>
    <w:rsid w:val="00020633"/>
    <w:rsid w:val="00020681"/>
    <w:rsid w:val="00020775"/>
    <w:rsid w:val="00020811"/>
    <w:rsid w:val="0002095B"/>
    <w:rsid w:val="00020A35"/>
    <w:rsid w:val="00020B65"/>
    <w:rsid w:val="00020B68"/>
    <w:rsid w:val="00020CD9"/>
    <w:rsid w:val="00020D8F"/>
    <w:rsid w:val="00020DC2"/>
    <w:rsid w:val="00020E05"/>
    <w:rsid w:val="00020FBD"/>
    <w:rsid w:val="0002126D"/>
    <w:rsid w:val="000213F9"/>
    <w:rsid w:val="000216F1"/>
    <w:rsid w:val="00021729"/>
    <w:rsid w:val="000219E7"/>
    <w:rsid w:val="00021B48"/>
    <w:rsid w:val="00021F52"/>
    <w:rsid w:val="00022451"/>
    <w:rsid w:val="0002299F"/>
    <w:rsid w:val="000229AA"/>
    <w:rsid w:val="00022BA0"/>
    <w:rsid w:val="00022F40"/>
    <w:rsid w:val="00022F8C"/>
    <w:rsid w:val="00022FC1"/>
    <w:rsid w:val="00023080"/>
    <w:rsid w:val="000230A2"/>
    <w:rsid w:val="00023139"/>
    <w:rsid w:val="000231AA"/>
    <w:rsid w:val="000231FB"/>
    <w:rsid w:val="000232D9"/>
    <w:rsid w:val="00023363"/>
    <w:rsid w:val="00023680"/>
    <w:rsid w:val="000236A2"/>
    <w:rsid w:val="0002376C"/>
    <w:rsid w:val="0002395A"/>
    <w:rsid w:val="000239BE"/>
    <w:rsid w:val="00023A68"/>
    <w:rsid w:val="00023B10"/>
    <w:rsid w:val="00023C5E"/>
    <w:rsid w:val="00023DDF"/>
    <w:rsid w:val="00023F0E"/>
    <w:rsid w:val="0002407D"/>
    <w:rsid w:val="0002412A"/>
    <w:rsid w:val="00024367"/>
    <w:rsid w:val="000243AF"/>
    <w:rsid w:val="000243C9"/>
    <w:rsid w:val="0002460D"/>
    <w:rsid w:val="0002472B"/>
    <w:rsid w:val="000248A4"/>
    <w:rsid w:val="000248D6"/>
    <w:rsid w:val="00024B04"/>
    <w:rsid w:val="00024B9C"/>
    <w:rsid w:val="00024CB9"/>
    <w:rsid w:val="0002501A"/>
    <w:rsid w:val="00025288"/>
    <w:rsid w:val="00025389"/>
    <w:rsid w:val="000253C0"/>
    <w:rsid w:val="000257CD"/>
    <w:rsid w:val="0002598B"/>
    <w:rsid w:val="00025B1B"/>
    <w:rsid w:val="00025B73"/>
    <w:rsid w:val="00025BB9"/>
    <w:rsid w:val="00025F70"/>
    <w:rsid w:val="0002638A"/>
    <w:rsid w:val="00026398"/>
    <w:rsid w:val="000265A6"/>
    <w:rsid w:val="000267A3"/>
    <w:rsid w:val="000267E0"/>
    <w:rsid w:val="00026886"/>
    <w:rsid w:val="000269FD"/>
    <w:rsid w:val="00026B40"/>
    <w:rsid w:val="00026BA3"/>
    <w:rsid w:val="00026BAD"/>
    <w:rsid w:val="00026E3E"/>
    <w:rsid w:val="00026E56"/>
    <w:rsid w:val="00026ED4"/>
    <w:rsid w:val="00027000"/>
    <w:rsid w:val="000270A4"/>
    <w:rsid w:val="000271C8"/>
    <w:rsid w:val="0002724E"/>
    <w:rsid w:val="00027487"/>
    <w:rsid w:val="00027506"/>
    <w:rsid w:val="0002760B"/>
    <w:rsid w:val="00027820"/>
    <w:rsid w:val="0002787B"/>
    <w:rsid w:val="00027A8C"/>
    <w:rsid w:val="00027B2A"/>
    <w:rsid w:val="00027B32"/>
    <w:rsid w:val="00027D44"/>
    <w:rsid w:val="00027F0D"/>
    <w:rsid w:val="00027FD3"/>
    <w:rsid w:val="0003005D"/>
    <w:rsid w:val="000301BB"/>
    <w:rsid w:val="000301DF"/>
    <w:rsid w:val="0003021E"/>
    <w:rsid w:val="00030443"/>
    <w:rsid w:val="00030500"/>
    <w:rsid w:val="00030640"/>
    <w:rsid w:val="000307F5"/>
    <w:rsid w:val="00030C5C"/>
    <w:rsid w:val="00030D95"/>
    <w:rsid w:val="00030D9F"/>
    <w:rsid w:val="00030E52"/>
    <w:rsid w:val="00030EE1"/>
    <w:rsid w:val="00030FE9"/>
    <w:rsid w:val="000310A7"/>
    <w:rsid w:val="000313AA"/>
    <w:rsid w:val="00031651"/>
    <w:rsid w:val="000316F8"/>
    <w:rsid w:val="00031A23"/>
    <w:rsid w:val="00031BA7"/>
    <w:rsid w:val="00031BFF"/>
    <w:rsid w:val="000320CF"/>
    <w:rsid w:val="00032343"/>
    <w:rsid w:val="0003235B"/>
    <w:rsid w:val="000323B9"/>
    <w:rsid w:val="0003265B"/>
    <w:rsid w:val="00032A43"/>
    <w:rsid w:val="00032A68"/>
    <w:rsid w:val="00032BC0"/>
    <w:rsid w:val="00032C71"/>
    <w:rsid w:val="00032E96"/>
    <w:rsid w:val="00032F74"/>
    <w:rsid w:val="00032F85"/>
    <w:rsid w:val="000330EE"/>
    <w:rsid w:val="000331AC"/>
    <w:rsid w:val="000333DE"/>
    <w:rsid w:val="000335C1"/>
    <w:rsid w:val="000338A5"/>
    <w:rsid w:val="000339D0"/>
    <w:rsid w:val="00033A0A"/>
    <w:rsid w:val="00033CE1"/>
    <w:rsid w:val="00033E23"/>
    <w:rsid w:val="00033E58"/>
    <w:rsid w:val="00033FF1"/>
    <w:rsid w:val="00034176"/>
    <w:rsid w:val="00034179"/>
    <w:rsid w:val="00034404"/>
    <w:rsid w:val="00034479"/>
    <w:rsid w:val="0003461A"/>
    <w:rsid w:val="000347E8"/>
    <w:rsid w:val="00034804"/>
    <w:rsid w:val="00034949"/>
    <w:rsid w:val="0003497C"/>
    <w:rsid w:val="00034995"/>
    <w:rsid w:val="00034ACE"/>
    <w:rsid w:val="00034AD9"/>
    <w:rsid w:val="00034C09"/>
    <w:rsid w:val="0003500D"/>
    <w:rsid w:val="00035527"/>
    <w:rsid w:val="000355AD"/>
    <w:rsid w:val="00035795"/>
    <w:rsid w:val="00035899"/>
    <w:rsid w:val="000359BA"/>
    <w:rsid w:val="00035A02"/>
    <w:rsid w:val="00035A1B"/>
    <w:rsid w:val="00035A9D"/>
    <w:rsid w:val="00035AAE"/>
    <w:rsid w:val="00035B18"/>
    <w:rsid w:val="00035C34"/>
    <w:rsid w:val="00035C3A"/>
    <w:rsid w:val="00035E20"/>
    <w:rsid w:val="00035E22"/>
    <w:rsid w:val="00035E24"/>
    <w:rsid w:val="00035E82"/>
    <w:rsid w:val="000367A4"/>
    <w:rsid w:val="00036D7E"/>
    <w:rsid w:val="00036E77"/>
    <w:rsid w:val="00036F3B"/>
    <w:rsid w:val="00037213"/>
    <w:rsid w:val="00037325"/>
    <w:rsid w:val="00037540"/>
    <w:rsid w:val="000376C1"/>
    <w:rsid w:val="00037801"/>
    <w:rsid w:val="0003785D"/>
    <w:rsid w:val="000378E8"/>
    <w:rsid w:val="00037A15"/>
    <w:rsid w:val="00037A91"/>
    <w:rsid w:val="00037B2D"/>
    <w:rsid w:val="00037C14"/>
    <w:rsid w:val="00037E35"/>
    <w:rsid w:val="00037F4D"/>
    <w:rsid w:val="00040138"/>
    <w:rsid w:val="000403F2"/>
    <w:rsid w:val="000404CE"/>
    <w:rsid w:val="00040603"/>
    <w:rsid w:val="0004060B"/>
    <w:rsid w:val="00040640"/>
    <w:rsid w:val="00040A13"/>
    <w:rsid w:val="00040B14"/>
    <w:rsid w:val="00040C7D"/>
    <w:rsid w:val="00040D4C"/>
    <w:rsid w:val="00040DB9"/>
    <w:rsid w:val="00040EEC"/>
    <w:rsid w:val="00040F5D"/>
    <w:rsid w:val="000410BB"/>
    <w:rsid w:val="000412D3"/>
    <w:rsid w:val="00041353"/>
    <w:rsid w:val="000413FE"/>
    <w:rsid w:val="00041607"/>
    <w:rsid w:val="000416D3"/>
    <w:rsid w:val="00041A25"/>
    <w:rsid w:val="00042010"/>
    <w:rsid w:val="000421D8"/>
    <w:rsid w:val="000423C9"/>
    <w:rsid w:val="000424C5"/>
    <w:rsid w:val="00042AEC"/>
    <w:rsid w:val="00042B29"/>
    <w:rsid w:val="00042BFB"/>
    <w:rsid w:val="00042D46"/>
    <w:rsid w:val="00042D59"/>
    <w:rsid w:val="0004311B"/>
    <w:rsid w:val="0004338B"/>
    <w:rsid w:val="00043437"/>
    <w:rsid w:val="0004353C"/>
    <w:rsid w:val="000437A4"/>
    <w:rsid w:val="00043820"/>
    <w:rsid w:val="00043832"/>
    <w:rsid w:val="00043A47"/>
    <w:rsid w:val="00043AD0"/>
    <w:rsid w:val="00043B92"/>
    <w:rsid w:val="00043C3E"/>
    <w:rsid w:val="00043C93"/>
    <w:rsid w:val="00043DC6"/>
    <w:rsid w:val="0004400A"/>
    <w:rsid w:val="0004401F"/>
    <w:rsid w:val="00044032"/>
    <w:rsid w:val="0004410F"/>
    <w:rsid w:val="000442F4"/>
    <w:rsid w:val="0004433C"/>
    <w:rsid w:val="000443DE"/>
    <w:rsid w:val="0004441D"/>
    <w:rsid w:val="000447F7"/>
    <w:rsid w:val="00044834"/>
    <w:rsid w:val="000448DD"/>
    <w:rsid w:val="000449BA"/>
    <w:rsid w:val="00044A13"/>
    <w:rsid w:val="00044A15"/>
    <w:rsid w:val="00044BFA"/>
    <w:rsid w:val="00044D17"/>
    <w:rsid w:val="00044E10"/>
    <w:rsid w:val="00044F91"/>
    <w:rsid w:val="00045163"/>
    <w:rsid w:val="00045236"/>
    <w:rsid w:val="00045285"/>
    <w:rsid w:val="000452FE"/>
    <w:rsid w:val="00045552"/>
    <w:rsid w:val="000455B1"/>
    <w:rsid w:val="000456A5"/>
    <w:rsid w:val="00045732"/>
    <w:rsid w:val="0004587E"/>
    <w:rsid w:val="00045895"/>
    <w:rsid w:val="0004615F"/>
    <w:rsid w:val="0004618C"/>
    <w:rsid w:val="000461CF"/>
    <w:rsid w:val="000461FB"/>
    <w:rsid w:val="00046580"/>
    <w:rsid w:val="0004667A"/>
    <w:rsid w:val="00046A1D"/>
    <w:rsid w:val="00046BA2"/>
    <w:rsid w:val="00046D8F"/>
    <w:rsid w:val="00046DE7"/>
    <w:rsid w:val="000470D6"/>
    <w:rsid w:val="00047430"/>
    <w:rsid w:val="00047491"/>
    <w:rsid w:val="0004758F"/>
    <w:rsid w:val="0004759D"/>
    <w:rsid w:val="0004765F"/>
    <w:rsid w:val="0004769B"/>
    <w:rsid w:val="00047793"/>
    <w:rsid w:val="00047811"/>
    <w:rsid w:val="00047867"/>
    <w:rsid w:val="00047B06"/>
    <w:rsid w:val="00047B68"/>
    <w:rsid w:val="00047D79"/>
    <w:rsid w:val="00047E7D"/>
    <w:rsid w:val="00047F06"/>
    <w:rsid w:val="0005065A"/>
    <w:rsid w:val="00050776"/>
    <w:rsid w:val="00050795"/>
    <w:rsid w:val="0005081E"/>
    <w:rsid w:val="0005095C"/>
    <w:rsid w:val="0005097C"/>
    <w:rsid w:val="00050B02"/>
    <w:rsid w:val="00050B4F"/>
    <w:rsid w:val="00050B8F"/>
    <w:rsid w:val="00050E71"/>
    <w:rsid w:val="00050E9E"/>
    <w:rsid w:val="0005142E"/>
    <w:rsid w:val="00051472"/>
    <w:rsid w:val="00051531"/>
    <w:rsid w:val="0005164F"/>
    <w:rsid w:val="00051BD1"/>
    <w:rsid w:val="00051C79"/>
    <w:rsid w:val="00051D93"/>
    <w:rsid w:val="00051DC9"/>
    <w:rsid w:val="00051E81"/>
    <w:rsid w:val="00051F4E"/>
    <w:rsid w:val="00051FE4"/>
    <w:rsid w:val="000520C7"/>
    <w:rsid w:val="000520F6"/>
    <w:rsid w:val="000521D9"/>
    <w:rsid w:val="000522E2"/>
    <w:rsid w:val="000522EE"/>
    <w:rsid w:val="000522FB"/>
    <w:rsid w:val="00052445"/>
    <w:rsid w:val="000525B2"/>
    <w:rsid w:val="000526C0"/>
    <w:rsid w:val="000526E0"/>
    <w:rsid w:val="000526FF"/>
    <w:rsid w:val="000529CB"/>
    <w:rsid w:val="00052AED"/>
    <w:rsid w:val="00052B3B"/>
    <w:rsid w:val="00052BCD"/>
    <w:rsid w:val="00052CCB"/>
    <w:rsid w:val="00052D5D"/>
    <w:rsid w:val="00052DE6"/>
    <w:rsid w:val="00052FA9"/>
    <w:rsid w:val="0005317D"/>
    <w:rsid w:val="000531DE"/>
    <w:rsid w:val="0005333A"/>
    <w:rsid w:val="0005354A"/>
    <w:rsid w:val="000535B2"/>
    <w:rsid w:val="000537D5"/>
    <w:rsid w:val="000537E0"/>
    <w:rsid w:val="00053806"/>
    <w:rsid w:val="00053864"/>
    <w:rsid w:val="00053895"/>
    <w:rsid w:val="0005389B"/>
    <w:rsid w:val="0005396C"/>
    <w:rsid w:val="00053BAC"/>
    <w:rsid w:val="00053C28"/>
    <w:rsid w:val="00053C6D"/>
    <w:rsid w:val="00054028"/>
    <w:rsid w:val="00054146"/>
    <w:rsid w:val="00054171"/>
    <w:rsid w:val="000542CE"/>
    <w:rsid w:val="00054453"/>
    <w:rsid w:val="00054554"/>
    <w:rsid w:val="0005460D"/>
    <w:rsid w:val="00054985"/>
    <w:rsid w:val="00054B42"/>
    <w:rsid w:val="00054BD4"/>
    <w:rsid w:val="00054C06"/>
    <w:rsid w:val="00054D2C"/>
    <w:rsid w:val="00054F20"/>
    <w:rsid w:val="00054FFF"/>
    <w:rsid w:val="00055198"/>
    <w:rsid w:val="00055723"/>
    <w:rsid w:val="00055AB6"/>
    <w:rsid w:val="00055AFB"/>
    <w:rsid w:val="00055CF2"/>
    <w:rsid w:val="00055D7F"/>
    <w:rsid w:val="00055DCD"/>
    <w:rsid w:val="00055E4B"/>
    <w:rsid w:val="00055ECC"/>
    <w:rsid w:val="00055F4E"/>
    <w:rsid w:val="0005616C"/>
    <w:rsid w:val="000561B9"/>
    <w:rsid w:val="000561BA"/>
    <w:rsid w:val="00056281"/>
    <w:rsid w:val="000562C5"/>
    <w:rsid w:val="0005652D"/>
    <w:rsid w:val="0005675C"/>
    <w:rsid w:val="000567C3"/>
    <w:rsid w:val="00056A1F"/>
    <w:rsid w:val="00056A85"/>
    <w:rsid w:val="00056C5D"/>
    <w:rsid w:val="00056C64"/>
    <w:rsid w:val="00056F9B"/>
    <w:rsid w:val="0005727B"/>
    <w:rsid w:val="00057497"/>
    <w:rsid w:val="00057637"/>
    <w:rsid w:val="000578D9"/>
    <w:rsid w:val="000578EF"/>
    <w:rsid w:val="000579ED"/>
    <w:rsid w:val="00057C42"/>
    <w:rsid w:val="00057F1A"/>
    <w:rsid w:val="00057F71"/>
    <w:rsid w:val="00057F83"/>
    <w:rsid w:val="0006038A"/>
    <w:rsid w:val="000603CF"/>
    <w:rsid w:val="0006041D"/>
    <w:rsid w:val="000604E5"/>
    <w:rsid w:val="00060535"/>
    <w:rsid w:val="00060862"/>
    <w:rsid w:val="00060981"/>
    <w:rsid w:val="00060DE4"/>
    <w:rsid w:val="00060E58"/>
    <w:rsid w:val="00060E84"/>
    <w:rsid w:val="00060F3E"/>
    <w:rsid w:val="00060F6C"/>
    <w:rsid w:val="00060FB9"/>
    <w:rsid w:val="00060FD9"/>
    <w:rsid w:val="00061323"/>
    <w:rsid w:val="0006155B"/>
    <w:rsid w:val="00061DCC"/>
    <w:rsid w:val="00061FBB"/>
    <w:rsid w:val="00062018"/>
    <w:rsid w:val="00062067"/>
    <w:rsid w:val="00062185"/>
    <w:rsid w:val="00062230"/>
    <w:rsid w:val="0006225E"/>
    <w:rsid w:val="000623C7"/>
    <w:rsid w:val="000623F4"/>
    <w:rsid w:val="0006242C"/>
    <w:rsid w:val="000624E1"/>
    <w:rsid w:val="00062575"/>
    <w:rsid w:val="00062578"/>
    <w:rsid w:val="0006257D"/>
    <w:rsid w:val="000625D2"/>
    <w:rsid w:val="0006287B"/>
    <w:rsid w:val="000628C4"/>
    <w:rsid w:val="0006296A"/>
    <w:rsid w:val="000629B8"/>
    <w:rsid w:val="00062A1D"/>
    <w:rsid w:val="00062A32"/>
    <w:rsid w:val="00062A83"/>
    <w:rsid w:val="00062B9B"/>
    <w:rsid w:val="00062C3B"/>
    <w:rsid w:val="00062DA1"/>
    <w:rsid w:val="00062E0F"/>
    <w:rsid w:val="00062F04"/>
    <w:rsid w:val="00062FE2"/>
    <w:rsid w:val="0006342C"/>
    <w:rsid w:val="0006350B"/>
    <w:rsid w:val="000639E3"/>
    <w:rsid w:val="000639F4"/>
    <w:rsid w:val="00063B17"/>
    <w:rsid w:val="00063B69"/>
    <w:rsid w:val="00063DA9"/>
    <w:rsid w:val="00063F53"/>
    <w:rsid w:val="00064049"/>
    <w:rsid w:val="000642CC"/>
    <w:rsid w:val="000643FA"/>
    <w:rsid w:val="00064428"/>
    <w:rsid w:val="0006442F"/>
    <w:rsid w:val="0006444D"/>
    <w:rsid w:val="000649F5"/>
    <w:rsid w:val="00064A14"/>
    <w:rsid w:val="00064AF8"/>
    <w:rsid w:val="00064B2F"/>
    <w:rsid w:val="00064BD8"/>
    <w:rsid w:val="00064CC5"/>
    <w:rsid w:val="00064CF2"/>
    <w:rsid w:val="00064D04"/>
    <w:rsid w:val="00064D77"/>
    <w:rsid w:val="00064E0B"/>
    <w:rsid w:val="00064F75"/>
    <w:rsid w:val="00065190"/>
    <w:rsid w:val="00065250"/>
    <w:rsid w:val="000657D5"/>
    <w:rsid w:val="000657F7"/>
    <w:rsid w:val="000659FA"/>
    <w:rsid w:val="00065AF2"/>
    <w:rsid w:val="00065C62"/>
    <w:rsid w:val="00065CDE"/>
    <w:rsid w:val="00065D1D"/>
    <w:rsid w:val="00065E8A"/>
    <w:rsid w:val="00065EE0"/>
    <w:rsid w:val="00065F4A"/>
    <w:rsid w:val="00066075"/>
    <w:rsid w:val="000660F7"/>
    <w:rsid w:val="0006610D"/>
    <w:rsid w:val="00066120"/>
    <w:rsid w:val="0006620F"/>
    <w:rsid w:val="000663CC"/>
    <w:rsid w:val="00066460"/>
    <w:rsid w:val="000664BE"/>
    <w:rsid w:val="000666F9"/>
    <w:rsid w:val="00066709"/>
    <w:rsid w:val="00066738"/>
    <w:rsid w:val="000668DA"/>
    <w:rsid w:val="000669A7"/>
    <w:rsid w:val="00066AC9"/>
    <w:rsid w:val="00066BA2"/>
    <w:rsid w:val="00066BE8"/>
    <w:rsid w:val="00066C48"/>
    <w:rsid w:val="00066C53"/>
    <w:rsid w:val="00066D99"/>
    <w:rsid w:val="00066E83"/>
    <w:rsid w:val="00066FF0"/>
    <w:rsid w:val="0006700D"/>
    <w:rsid w:val="00067045"/>
    <w:rsid w:val="0006716D"/>
    <w:rsid w:val="000671C8"/>
    <w:rsid w:val="000672D4"/>
    <w:rsid w:val="000674EF"/>
    <w:rsid w:val="000676E5"/>
    <w:rsid w:val="000677DE"/>
    <w:rsid w:val="0006784C"/>
    <w:rsid w:val="00067851"/>
    <w:rsid w:val="0006790F"/>
    <w:rsid w:val="00067A18"/>
    <w:rsid w:val="00067BF0"/>
    <w:rsid w:val="00070149"/>
    <w:rsid w:val="000701E7"/>
    <w:rsid w:val="0007055E"/>
    <w:rsid w:val="000705AD"/>
    <w:rsid w:val="0007063B"/>
    <w:rsid w:val="000708AA"/>
    <w:rsid w:val="00070AE5"/>
    <w:rsid w:val="00070B01"/>
    <w:rsid w:val="00070B04"/>
    <w:rsid w:val="00070BCF"/>
    <w:rsid w:val="00070CF4"/>
    <w:rsid w:val="00070D75"/>
    <w:rsid w:val="00070DD9"/>
    <w:rsid w:val="00070F2E"/>
    <w:rsid w:val="00071034"/>
    <w:rsid w:val="000711F7"/>
    <w:rsid w:val="00071205"/>
    <w:rsid w:val="0007131C"/>
    <w:rsid w:val="000715CE"/>
    <w:rsid w:val="000715E4"/>
    <w:rsid w:val="000716DE"/>
    <w:rsid w:val="00071721"/>
    <w:rsid w:val="00071ADE"/>
    <w:rsid w:val="00071BB8"/>
    <w:rsid w:val="00072004"/>
    <w:rsid w:val="00072070"/>
    <w:rsid w:val="000720BC"/>
    <w:rsid w:val="000720E1"/>
    <w:rsid w:val="000720E2"/>
    <w:rsid w:val="000721C7"/>
    <w:rsid w:val="000721FB"/>
    <w:rsid w:val="0007236B"/>
    <w:rsid w:val="00072394"/>
    <w:rsid w:val="00072551"/>
    <w:rsid w:val="000725B6"/>
    <w:rsid w:val="000726B4"/>
    <w:rsid w:val="000726CA"/>
    <w:rsid w:val="00072AF6"/>
    <w:rsid w:val="00072B34"/>
    <w:rsid w:val="00072C53"/>
    <w:rsid w:val="00072F83"/>
    <w:rsid w:val="000730AE"/>
    <w:rsid w:val="0007319F"/>
    <w:rsid w:val="0007322F"/>
    <w:rsid w:val="0007327A"/>
    <w:rsid w:val="000732FB"/>
    <w:rsid w:val="00073543"/>
    <w:rsid w:val="0007358E"/>
    <w:rsid w:val="000735E2"/>
    <w:rsid w:val="000736A0"/>
    <w:rsid w:val="00073986"/>
    <w:rsid w:val="00073D71"/>
    <w:rsid w:val="00074007"/>
    <w:rsid w:val="0007414F"/>
    <w:rsid w:val="0007417B"/>
    <w:rsid w:val="0007460C"/>
    <w:rsid w:val="00074697"/>
    <w:rsid w:val="0007469F"/>
    <w:rsid w:val="000746D6"/>
    <w:rsid w:val="000746FA"/>
    <w:rsid w:val="00074725"/>
    <w:rsid w:val="000747C4"/>
    <w:rsid w:val="000749F6"/>
    <w:rsid w:val="00074A38"/>
    <w:rsid w:val="00074AA9"/>
    <w:rsid w:val="00074AF8"/>
    <w:rsid w:val="00074B1C"/>
    <w:rsid w:val="00074ECD"/>
    <w:rsid w:val="00074F02"/>
    <w:rsid w:val="00074F24"/>
    <w:rsid w:val="00074F6F"/>
    <w:rsid w:val="00074FC8"/>
    <w:rsid w:val="000750AD"/>
    <w:rsid w:val="000752FD"/>
    <w:rsid w:val="00075362"/>
    <w:rsid w:val="0007539A"/>
    <w:rsid w:val="00075451"/>
    <w:rsid w:val="0007549F"/>
    <w:rsid w:val="0007576C"/>
    <w:rsid w:val="000757A6"/>
    <w:rsid w:val="00075857"/>
    <w:rsid w:val="00075DCE"/>
    <w:rsid w:val="00075DD6"/>
    <w:rsid w:val="00075F47"/>
    <w:rsid w:val="00076079"/>
    <w:rsid w:val="00076368"/>
    <w:rsid w:val="00076434"/>
    <w:rsid w:val="000764F9"/>
    <w:rsid w:val="0007657E"/>
    <w:rsid w:val="00076585"/>
    <w:rsid w:val="000765D0"/>
    <w:rsid w:val="00076663"/>
    <w:rsid w:val="000767F1"/>
    <w:rsid w:val="00076932"/>
    <w:rsid w:val="000769D8"/>
    <w:rsid w:val="00076B60"/>
    <w:rsid w:val="00076CDE"/>
    <w:rsid w:val="00076DE2"/>
    <w:rsid w:val="00076EC2"/>
    <w:rsid w:val="00076EE2"/>
    <w:rsid w:val="00077076"/>
    <w:rsid w:val="000772D9"/>
    <w:rsid w:val="0007745A"/>
    <w:rsid w:val="00077648"/>
    <w:rsid w:val="00077AF6"/>
    <w:rsid w:val="00077F1E"/>
    <w:rsid w:val="0008051C"/>
    <w:rsid w:val="000805A5"/>
    <w:rsid w:val="0008064E"/>
    <w:rsid w:val="000807FA"/>
    <w:rsid w:val="00080813"/>
    <w:rsid w:val="0008099A"/>
    <w:rsid w:val="00080A71"/>
    <w:rsid w:val="00080C25"/>
    <w:rsid w:val="00080D1F"/>
    <w:rsid w:val="00080E33"/>
    <w:rsid w:val="00080E6B"/>
    <w:rsid w:val="00080FF3"/>
    <w:rsid w:val="0008107D"/>
    <w:rsid w:val="0008125B"/>
    <w:rsid w:val="0008168D"/>
    <w:rsid w:val="000816DF"/>
    <w:rsid w:val="00081754"/>
    <w:rsid w:val="000817E0"/>
    <w:rsid w:val="00081965"/>
    <w:rsid w:val="000820BE"/>
    <w:rsid w:val="0008219E"/>
    <w:rsid w:val="00082251"/>
    <w:rsid w:val="0008229B"/>
    <w:rsid w:val="00082422"/>
    <w:rsid w:val="00082448"/>
    <w:rsid w:val="0008245C"/>
    <w:rsid w:val="0008251C"/>
    <w:rsid w:val="0008251D"/>
    <w:rsid w:val="000825EF"/>
    <w:rsid w:val="00082668"/>
    <w:rsid w:val="00082868"/>
    <w:rsid w:val="000828B6"/>
    <w:rsid w:val="000829F7"/>
    <w:rsid w:val="00082A13"/>
    <w:rsid w:val="00082C37"/>
    <w:rsid w:val="00082C62"/>
    <w:rsid w:val="00082D24"/>
    <w:rsid w:val="00082D63"/>
    <w:rsid w:val="00082DB2"/>
    <w:rsid w:val="00082DB6"/>
    <w:rsid w:val="00082F18"/>
    <w:rsid w:val="000834E1"/>
    <w:rsid w:val="0008362B"/>
    <w:rsid w:val="00083836"/>
    <w:rsid w:val="000838F6"/>
    <w:rsid w:val="000839E7"/>
    <w:rsid w:val="00083D09"/>
    <w:rsid w:val="00083E94"/>
    <w:rsid w:val="00083F36"/>
    <w:rsid w:val="00084500"/>
    <w:rsid w:val="00084691"/>
    <w:rsid w:val="000847FC"/>
    <w:rsid w:val="000847FE"/>
    <w:rsid w:val="00084949"/>
    <w:rsid w:val="00084980"/>
    <w:rsid w:val="00084AAB"/>
    <w:rsid w:val="00084B18"/>
    <w:rsid w:val="00084C1D"/>
    <w:rsid w:val="00084EBD"/>
    <w:rsid w:val="00084F9D"/>
    <w:rsid w:val="00085310"/>
    <w:rsid w:val="00085395"/>
    <w:rsid w:val="000856F2"/>
    <w:rsid w:val="00085784"/>
    <w:rsid w:val="00085822"/>
    <w:rsid w:val="00085980"/>
    <w:rsid w:val="000859DF"/>
    <w:rsid w:val="00085D1A"/>
    <w:rsid w:val="00085EF4"/>
    <w:rsid w:val="00086003"/>
    <w:rsid w:val="00086017"/>
    <w:rsid w:val="000860CE"/>
    <w:rsid w:val="00086133"/>
    <w:rsid w:val="0008620F"/>
    <w:rsid w:val="00086233"/>
    <w:rsid w:val="000866D6"/>
    <w:rsid w:val="00086759"/>
    <w:rsid w:val="00086967"/>
    <w:rsid w:val="00086A9A"/>
    <w:rsid w:val="00086BBD"/>
    <w:rsid w:val="00086CE1"/>
    <w:rsid w:val="00086E48"/>
    <w:rsid w:val="00087174"/>
    <w:rsid w:val="00087203"/>
    <w:rsid w:val="000873EC"/>
    <w:rsid w:val="00087560"/>
    <w:rsid w:val="000876EB"/>
    <w:rsid w:val="000877EB"/>
    <w:rsid w:val="00087817"/>
    <w:rsid w:val="00087955"/>
    <w:rsid w:val="00087A83"/>
    <w:rsid w:val="00087C64"/>
    <w:rsid w:val="00087C77"/>
    <w:rsid w:val="00087D37"/>
    <w:rsid w:val="00087D97"/>
    <w:rsid w:val="00087DA7"/>
    <w:rsid w:val="00087E68"/>
    <w:rsid w:val="00087EC0"/>
    <w:rsid w:val="00087EC3"/>
    <w:rsid w:val="00087EED"/>
    <w:rsid w:val="00087F67"/>
    <w:rsid w:val="0009007E"/>
    <w:rsid w:val="000901A5"/>
    <w:rsid w:val="00090206"/>
    <w:rsid w:val="00090255"/>
    <w:rsid w:val="000902BA"/>
    <w:rsid w:val="00090311"/>
    <w:rsid w:val="0009038F"/>
    <w:rsid w:val="000903A4"/>
    <w:rsid w:val="000903C8"/>
    <w:rsid w:val="000907C4"/>
    <w:rsid w:val="00090998"/>
    <w:rsid w:val="00090A41"/>
    <w:rsid w:val="00090DDE"/>
    <w:rsid w:val="00091068"/>
    <w:rsid w:val="00091084"/>
    <w:rsid w:val="0009135F"/>
    <w:rsid w:val="00091474"/>
    <w:rsid w:val="000914ED"/>
    <w:rsid w:val="00091620"/>
    <w:rsid w:val="00091727"/>
    <w:rsid w:val="0009174E"/>
    <w:rsid w:val="00091770"/>
    <w:rsid w:val="000917AB"/>
    <w:rsid w:val="00091851"/>
    <w:rsid w:val="000918E9"/>
    <w:rsid w:val="00091A28"/>
    <w:rsid w:val="00091A32"/>
    <w:rsid w:val="00091AAA"/>
    <w:rsid w:val="00091B00"/>
    <w:rsid w:val="00091BB2"/>
    <w:rsid w:val="00091C37"/>
    <w:rsid w:val="00091D62"/>
    <w:rsid w:val="0009222C"/>
    <w:rsid w:val="0009228A"/>
    <w:rsid w:val="00092330"/>
    <w:rsid w:val="0009243F"/>
    <w:rsid w:val="00092442"/>
    <w:rsid w:val="000925D2"/>
    <w:rsid w:val="0009261D"/>
    <w:rsid w:val="00092727"/>
    <w:rsid w:val="00092945"/>
    <w:rsid w:val="00092A10"/>
    <w:rsid w:val="00092DD7"/>
    <w:rsid w:val="00093035"/>
    <w:rsid w:val="0009315C"/>
    <w:rsid w:val="000931F4"/>
    <w:rsid w:val="00093279"/>
    <w:rsid w:val="000932B0"/>
    <w:rsid w:val="0009332E"/>
    <w:rsid w:val="00093418"/>
    <w:rsid w:val="00093475"/>
    <w:rsid w:val="0009370E"/>
    <w:rsid w:val="0009373E"/>
    <w:rsid w:val="00093866"/>
    <w:rsid w:val="000938D4"/>
    <w:rsid w:val="000938E2"/>
    <w:rsid w:val="00093E41"/>
    <w:rsid w:val="00094005"/>
    <w:rsid w:val="000943FC"/>
    <w:rsid w:val="00094440"/>
    <w:rsid w:val="000946A0"/>
    <w:rsid w:val="00094761"/>
    <w:rsid w:val="00094805"/>
    <w:rsid w:val="0009483A"/>
    <w:rsid w:val="000948BB"/>
    <w:rsid w:val="00094A79"/>
    <w:rsid w:val="00094B3F"/>
    <w:rsid w:val="00094CDE"/>
    <w:rsid w:val="00094EFB"/>
    <w:rsid w:val="00095060"/>
    <w:rsid w:val="00095075"/>
    <w:rsid w:val="00095142"/>
    <w:rsid w:val="0009523F"/>
    <w:rsid w:val="000953B8"/>
    <w:rsid w:val="000953D2"/>
    <w:rsid w:val="00095459"/>
    <w:rsid w:val="0009585C"/>
    <w:rsid w:val="00095970"/>
    <w:rsid w:val="00095AD4"/>
    <w:rsid w:val="00095B2C"/>
    <w:rsid w:val="00095D28"/>
    <w:rsid w:val="00095D8F"/>
    <w:rsid w:val="00096127"/>
    <w:rsid w:val="00096152"/>
    <w:rsid w:val="00096225"/>
    <w:rsid w:val="00096331"/>
    <w:rsid w:val="0009636E"/>
    <w:rsid w:val="0009661B"/>
    <w:rsid w:val="00096652"/>
    <w:rsid w:val="000967EB"/>
    <w:rsid w:val="0009688E"/>
    <w:rsid w:val="0009695F"/>
    <w:rsid w:val="00096A8A"/>
    <w:rsid w:val="00096BCD"/>
    <w:rsid w:val="00096D00"/>
    <w:rsid w:val="00096D2A"/>
    <w:rsid w:val="000970AC"/>
    <w:rsid w:val="00097240"/>
    <w:rsid w:val="0009751D"/>
    <w:rsid w:val="00097592"/>
    <w:rsid w:val="0009759B"/>
    <w:rsid w:val="00097619"/>
    <w:rsid w:val="00097736"/>
    <w:rsid w:val="0009776D"/>
    <w:rsid w:val="00097A0E"/>
    <w:rsid w:val="00097FD1"/>
    <w:rsid w:val="000A0015"/>
    <w:rsid w:val="000A023E"/>
    <w:rsid w:val="000A027E"/>
    <w:rsid w:val="000A0289"/>
    <w:rsid w:val="000A0885"/>
    <w:rsid w:val="000A08A4"/>
    <w:rsid w:val="000A09CE"/>
    <w:rsid w:val="000A0A8F"/>
    <w:rsid w:val="000A0BAF"/>
    <w:rsid w:val="000A0BD3"/>
    <w:rsid w:val="000A0CAD"/>
    <w:rsid w:val="000A0F98"/>
    <w:rsid w:val="000A1316"/>
    <w:rsid w:val="000A139A"/>
    <w:rsid w:val="000A14B3"/>
    <w:rsid w:val="000A1560"/>
    <w:rsid w:val="000A178E"/>
    <w:rsid w:val="000A189A"/>
    <w:rsid w:val="000A18AF"/>
    <w:rsid w:val="000A1A88"/>
    <w:rsid w:val="000A1C0E"/>
    <w:rsid w:val="000A1F7B"/>
    <w:rsid w:val="000A2053"/>
    <w:rsid w:val="000A221D"/>
    <w:rsid w:val="000A242E"/>
    <w:rsid w:val="000A2449"/>
    <w:rsid w:val="000A267B"/>
    <w:rsid w:val="000A2694"/>
    <w:rsid w:val="000A28A2"/>
    <w:rsid w:val="000A2BFF"/>
    <w:rsid w:val="000A2EF1"/>
    <w:rsid w:val="000A3068"/>
    <w:rsid w:val="000A322D"/>
    <w:rsid w:val="000A3389"/>
    <w:rsid w:val="000A33BC"/>
    <w:rsid w:val="000A3566"/>
    <w:rsid w:val="000A380C"/>
    <w:rsid w:val="000A3833"/>
    <w:rsid w:val="000A393C"/>
    <w:rsid w:val="000A3B1B"/>
    <w:rsid w:val="000A3B21"/>
    <w:rsid w:val="000A3BB9"/>
    <w:rsid w:val="000A3D99"/>
    <w:rsid w:val="000A3DB0"/>
    <w:rsid w:val="000A3F4C"/>
    <w:rsid w:val="000A4027"/>
    <w:rsid w:val="000A41F6"/>
    <w:rsid w:val="000A42C9"/>
    <w:rsid w:val="000A44AB"/>
    <w:rsid w:val="000A479D"/>
    <w:rsid w:val="000A47A5"/>
    <w:rsid w:val="000A4861"/>
    <w:rsid w:val="000A4883"/>
    <w:rsid w:val="000A4B09"/>
    <w:rsid w:val="000A4B19"/>
    <w:rsid w:val="000A4C8A"/>
    <w:rsid w:val="000A4DB8"/>
    <w:rsid w:val="000A507D"/>
    <w:rsid w:val="000A51B1"/>
    <w:rsid w:val="000A5427"/>
    <w:rsid w:val="000A55C1"/>
    <w:rsid w:val="000A55D4"/>
    <w:rsid w:val="000A56C7"/>
    <w:rsid w:val="000A57D0"/>
    <w:rsid w:val="000A592C"/>
    <w:rsid w:val="000A59BA"/>
    <w:rsid w:val="000A5B1B"/>
    <w:rsid w:val="000A5BC3"/>
    <w:rsid w:val="000A5C69"/>
    <w:rsid w:val="000A5D00"/>
    <w:rsid w:val="000A5D44"/>
    <w:rsid w:val="000A5F2E"/>
    <w:rsid w:val="000A5FB9"/>
    <w:rsid w:val="000A6065"/>
    <w:rsid w:val="000A60F3"/>
    <w:rsid w:val="000A61A3"/>
    <w:rsid w:val="000A61CE"/>
    <w:rsid w:val="000A6270"/>
    <w:rsid w:val="000A6526"/>
    <w:rsid w:val="000A660E"/>
    <w:rsid w:val="000A671D"/>
    <w:rsid w:val="000A67D6"/>
    <w:rsid w:val="000A6802"/>
    <w:rsid w:val="000A689E"/>
    <w:rsid w:val="000A69DD"/>
    <w:rsid w:val="000A6D26"/>
    <w:rsid w:val="000A6DBF"/>
    <w:rsid w:val="000A6DF8"/>
    <w:rsid w:val="000A6F15"/>
    <w:rsid w:val="000A6F69"/>
    <w:rsid w:val="000A6FBD"/>
    <w:rsid w:val="000A701F"/>
    <w:rsid w:val="000A7274"/>
    <w:rsid w:val="000A7333"/>
    <w:rsid w:val="000A73CF"/>
    <w:rsid w:val="000A74E8"/>
    <w:rsid w:val="000A7522"/>
    <w:rsid w:val="000A7535"/>
    <w:rsid w:val="000A77DE"/>
    <w:rsid w:val="000A78D1"/>
    <w:rsid w:val="000A7B47"/>
    <w:rsid w:val="000A7C7D"/>
    <w:rsid w:val="000A7CB1"/>
    <w:rsid w:val="000A7DB5"/>
    <w:rsid w:val="000A7E5D"/>
    <w:rsid w:val="000A7EA5"/>
    <w:rsid w:val="000A7EDC"/>
    <w:rsid w:val="000B00B3"/>
    <w:rsid w:val="000B0186"/>
    <w:rsid w:val="000B01C4"/>
    <w:rsid w:val="000B0598"/>
    <w:rsid w:val="000B062B"/>
    <w:rsid w:val="000B06E5"/>
    <w:rsid w:val="000B074F"/>
    <w:rsid w:val="000B0848"/>
    <w:rsid w:val="000B0894"/>
    <w:rsid w:val="000B0D00"/>
    <w:rsid w:val="000B0DF6"/>
    <w:rsid w:val="000B111E"/>
    <w:rsid w:val="000B1757"/>
    <w:rsid w:val="000B1782"/>
    <w:rsid w:val="000B17AC"/>
    <w:rsid w:val="000B18CA"/>
    <w:rsid w:val="000B1C6A"/>
    <w:rsid w:val="000B2085"/>
    <w:rsid w:val="000B216E"/>
    <w:rsid w:val="000B2258"/>
    <w:rsid w:val="000B225D"/>
    <w:rsid w:val="000B24D3"/>
    <w:rsid w:val="000B2579"/>
    <w:rsid w:val="000B2697"/>
    <w:rsid w:val="000B273A"/>
    <w:rsid w:val="000B276B"/>
    <w:rsid w:val="000B289D"/>
    <w:rsid w:val="000B28EA"/>
    <w:rsid w:val="000B290F"/>
    <w:rsid w:val="000B2A8A"/>
    <w:rsid w:val="000B2AA2"/>
    <w:rsid w:val="000B2B06"/>
    <w:rsid w:val="000B2B4E"/>
    <w:rsid w:val="000B2BE3"/>
    <w:rsid w:val="000B2CAB"/>
    <w:rsid w:val="000B2D5D"/>
    <w:rsid w:val="000B333E"/>
    <w:rsid w:val="000B339D"/>
    <w:rsid w:val="000B3507"/>
    <w:rsid w:val="000B355D"/>
    <w:rsid w:val="000B35EA"/>
    <w:rsid w:val="000B375D"/>
    <w:rsid w:val="000B37AE"/>
    <w:rsid w:val="000B3972"/>
    <w:rsid w:val="000B3B8D"/>
    <w:rsid w:val="000B3B94"/>
    <w:rsid w:val="000B3BE6"/>
    <w:rsid w:val="000B3DC4"/>
    <w:rsid w:val="000B3ED0"/>
    <w:rsid w:val="000B3F05"/>
    <w:rsid w:val="000B4045"/>
    <w:rsid w:val="000B4659"/>
    <w:rsid w:val="000B472A"/>
    <w:rsid w:val="000B4782"/>
    <w:rsid w:val="000B4A01"/>
    <w:rsid w:val="000B4BEE"/>
    <w:rsid w:val="000B4C21"/>
    <w:rsid w:val="000B4D25"/>
    <w:rsid w:val="000B4D2F"/>
    <w:rsid w:val="000B4EE5"/>
    <w:rsid w:val="000B500C"/>
    <w:rsid w:val="000B5168"/>
    <w:rsid w:val="000B51D8"/>
    <w:rsid w:val="000B5206"/>
    <w:rsid w:val="000B522A"/>
    <w:rsid w:val="000B538A"/>
    <w:rsid w:val="000B53A4"/>
    <w:rsid w:val="000B5531"/>
    <w:rsid w:val="000B5606"/>
    <w:rsid w:val="000B56CD"/>
    <w:rsid w:val="000B57B2"/>
    <w:rsid w:val="000B5847"/>
    <w:rsid w:val="000B59FB"/>
    <w:rsid w:val="000B5A71"/>
    <w:rsid w:val="000B5B39"/>
    <w:rsid w:val="000B5C25"/>
    <w:rsid w:val="000B6053"/>
    <w:rsid w:val="000B6097"/>
    <w:rsid w:val="000B60B3"/>
    <w:rsid w:val="000B60F1"/>
    <w:rsid w:val="000B614E"/>
    <w:rsid w:val="000B62D0"/>
    <w:rsid w:val="000B6727"/>
    <w:rsid w:val="000B6B69"/>
    <w:rsid w:val="000B6F60"/>
    <w:rsid w:val="000B72DB"/>
    <w:rsid w:val="000B7541"/>
    <w:rsid w:val="000B7706"/>
    <w:rsid w:val="000B795E"/>
    <w:rsid w:val="000B7A61"/>
    <w:rsid w:val="000B7AED"/>
    <w:rsid w:val="000B7B7B"/>
    <w:rsid w:val="000B7C84"/>
    <w:rsid w:val="000C00A0"/>
    <w:rsid w:val="000C0104"/>
    <w:rsid w:val="000C0142"/>
    <w:rsid w:val="000C0171"/>
    <w:rsid w:val="000C02DB"/>
    <w:rsid w:val="000C0307"/>
    <w:rsid w:val="000C0367"/>
    <w:rsid w:val="000C03D3"/>
    <w:rsid w:val="000C04AD"/>
    <w:rsid w:val="000C058D"/>
    <w:rsid w:val="000C059E"/>
    <w:rsid w:val="000C059F"/>
    <w:rsid w:val="000C0833"/>
    <w:rsid w:val="000C0839"/>
    <w:rsid w:val="000C08AF"/>
    <w:rsid w:val="000C0953"/>
    <w:rsid w:val="000C0996"/>
    <w:rsid w:val="000C0BA1"/>
    <w:rsid w:val="000C0C15"/>
    <w:rsid w:val="000C0D23"/>
    <w:rsid w:val="000C0D7C"/>
    <w:rsid w:val="000C0EB2"/>
    <w:rsid w:val="000C11CC"/>
    <w:rsid w:val="000C129C"/>
    <w:rsid w:val="000C12C4"/>
    <w:rsid w:val="000C1445"/>
    <w:rsid w:val="000C1469"/>
    <w:rsid w:val="000C14BF"/>
    <w:rsid w:val="000C1630"/>
    <w:rsid w:val="000C17BA"/>
    <w:rsid w:val="000C1A0D"/>
    <w:rsid w:val="000C1D33"/>
    <w:rsid w:val="000C1E01"/>
    <w:rsid w:val="000C20CE"/>
    <w:rsid w:val="000C22A8"/>
    <w:rsid w:val="000C279B"/>
    <w:rsid w:val="000C291B"/>
    <w:rsid w:val="000C2EEF"/>
    <w:rsid w:val="000C2F0A"/>
    <w:rsid w:val="000C3102"/>
    <w:rsid w:val="000C3326"/>
    <w:rsid w:val="000C358B"/>
    <w:rsid w:val="000C372E"/>
    <w:rsid w:val="000C37D7"/>
    <w:rsid w:val="000C37FE"/>
    <w:rsid w:val="000C38C8"/>
    <w:rsid w:val="000C38E0"/>
    <w:rsid w:val="000C3C25"/>
    <w:rsid w:val="000C3C78"/>
    <w:rsid w:val="000C3CEE"/>
    <w:rsid w:val="000C3D64"/>
    <w:rsid w:val="000C3D9A"/>
    <w:rsid w:val="000C3DCE"/>
    <w:rsid w:val="000C3E3C"/>
    <w:rsid w:val="000C3ED9"/>
    <w:rsid w:val="000C3FCC"/>
    <w:rsid w:val="000C4249"/>
    <w:rsid w:val="000C4250"/>
    <w:rsid w:val="000C4308"/>
    <w:rsid w:val="000C4332"/>
    <w:rsid w:val="000C455C"/>
    <w:rsid w:val="000C4564"/>
    <w:rsid w:val="000C45BB"/>
    <w:rsid w:val="000C45BD"/>
    <w:rsid w:val="000C46F7"/>
    <w:rsid w:val="000C48AF"/>
    <w:rsid w:val="000C4A07"/>
    <w:rsid w:val="000C4A3B"/>
    <w:rsid w:val="000C4B62"/>
    <w:rsid w:val="000C4DB2"/>
    <w:rsid w:val="000C4EC1"/>
    <w:rsid w:val="000C4FE3"/>
    <w:rsid w:val="000C50F9"/>
    <w:rsid w:val="000C52B3"/>
    <w:rsid w:val="000C545D"/>
    <w:rsid w:val="000C5484"/>
    <w:rsid w:val="000C552C"/>
    <w:rsid w:val="000C5589"/>
    <w:rsid w:val="000C56AE"/>
    <w:rsid w:val="000C576D"/>
    <w:rsid w:val="000C579B"/>
    <w:rsid w:val="000C5911"/>
    <w:rsid w:val="000C595C"/>
    <w:rsid w:val="000C5A24"/>
    <w:rsid w:val="000C5BA1"/>
    <w:rsid w:val="000C5C40"/>
    <w:rsid w:val="000C5D44"/>
    <w:rsid w:val="000C5D64"/>
    <w:rsid w:val="000C5EE4"/>
    <w:rsid w:val="000C602D"/>
    <w:rsid w:val="000C610B"/>
    <w:rsid w:val="000C63EF"/>
    <w:rsid w:val="000C6583"/>
    <w:rsid w:val="000C6604"/>
    <w:rsid w:val="000C668E"/>
    <w:rsid w:val="000C682A"/>
    <w:rsid w:val="000C69B8"/>
    <w:rsid w:val="000C6A40"/>
    <w:rsid w:val="000C6B5B"/>
    <w:rsid w:val="000C6CD2"/>
    <w:rsid w:val="000C6D12"/>
    <w:rsid w:val="000C6D5C"/>
    <w:rsid w:val="000C6D8B"/>
    <w:rsid w:val="000C6E56"/>
    <w:rsid w:val="000C70B9"/>
    <w:rsid w:val="000C71CD"/>
    <w:rsid w:val="000C7367"/>
    <w:rsid w:val="000C7458"/>
    <w:rsid w:val="000C7514"/>
    <w:rsid w:val="000C759F"/>
    <w:rsid w:val="000C7857"/>
    <w:rsid w:val="000C7883"/>
    <w:rsid w:val="000C793A"/>
    <w:rsid w:val="000C793F"/>
    <w:rsid w:val="000C79EC"/>
    <w:rsid w:val="000C7A79"/>
    <w:rsid w:val="000C7B1E"/>
    <w:rsid w:val="000C7C13"/>
    <w:rsid w:val="000C7CBE"/>
    <w:rsid w:val="000C7F6B"/>
    <w:rsid w:val="000D000C"/>
    <w:rsid w:val="000D0017"/>
    <w:rsid w:val="000D0023"/>
    <w:rsid w:val="000D00B7"/>
    <w:rsid w:val="000D0225"/>
    <w:rsid w:val="000D0246"/>
    <w:rsid w:val="000D0263"/>
    <w:rsid w:val="000D04C2"/>
    <w:rsid w:val="000D051F"/>
    <w:rsid w:val="000D0A81"/>
    <w:rsid w:val="000D0AF4"/>
    <w:rsid w:val="000D0C5F"/>
    <w:rsid w:val="000D0D3E"/>
    <w:rsid w:val="000D0D72"/>
    <w:rsid w:val="000D0EBB"/>
    <w:rsid w:val="000D1223"/>
    <w:rsid w:val="000D1513"/>
    <w:rsid w:val="000D163B"/>
    <w:rsid w:val="000D169F"/>
    <w:rsid w:val="000D16A0"/>
    <w:rsid w:val="000D17C0"/>
    <w:rsid w:val="000D18E4"/>
    <w:rsid w:val="000D18E5"/>
    <w:rsid w:val="000D1914"/>
    <w:rsid w:val="000D1AB4"/>
    <w:rsid w:val="000D1DC4"/>
    <w:rsid w:val="000D1F11"/>
    <w:rsid w:val="000D1F54"/>
    <w:rsid w:val="000D21B2"/>
    <w:rsid w:val="000D2275"/>
    <w:rsid w:val="000D246A"/>
    <w:rsid w:val="000D2606"/>
    <w:rsid w:val="000D26D4"/>
    <w:rsid w:val="000D2851"/>
    <w:rsid w:val="000D294D"/>
    <w:rsid w:val="000D299D"/>
    <w:rsid w:val="000D2A75"/>
    <w:rsid w:val="000D2B62"/>
    <w:rsid w:val="000D2D6E"/>
    <w:rsid w:val="000D2E58"/>
    <w:rsid w:val="000D3058"/>
    <w:rsid w:val="000D319E"/>
    <w:rsid w:val="000D3210"/>
    <w:rsid w:val="000D33A3"/>
    <w:rsid w:val="000D3609"/>
    <w:rsid w:val="000D3854"/>
    <w:rsid w:val="000D3875"/>
    <w:rsid w:val="000D39EF"/>
    <w:rsid w:val="000D3AB6"/>
    <w:rsid w:val="000D3E33"/>
    <w:rsid w:val="000D3F86"/>
    <w:rsid w:val="000D3FB0"/>
    <w:rsid w:val="000D4035"/>
    <w:rsid w:val="000D411D"/>
    <w:rsid w:val="000D4189"/>
    <w:rsid w:val="000D4358"/>
    <w:rsid w:val="000D448B"/>
    <w:rsid w:val="000D46AC"/>
    <w:rsid w:val="000D4793"/>
    <w:rsid w:val="000D4A33"/>
    <w:rsid w:val="000D4A3F"/>
    <w:rsid w:val="000D4A90"/>
    <w:rsid w:val="000D4CAA"/>
    <w:rsid w:val="000D4EF5"/>
    <w:rsid w:val="000D507C"/>
    <w:rsid w:val="000D50AC"/>
    <w:rsid w:val="000D5114"/>
    <w:rsid w:val="000D516A"/>
    <w:rsid w:val="000D51C0"/>
    <w:rsid w:val="000D51CB"/>
    <w:rsid w:val="000D5375"/>
    <w:rsid w:val="000D53D9"/>
    <w:rsid w:val="000D5405"/>
    <w:rsid w:val="000D595C"/>
    <w:rsid w:val="000D59FE"/>
    <w:rsid w:val="000D5B53"/>
    <w:rsid w:val="000D5C02"/>
    <w:rsid w:val="000D5CF5"/>
    <w:rsid w:val="000D60B1"/>
    <w:rsid w:val="000D6249"/>
    <w:rsid w:val="000D6289"/>
    <w:rsid w:val="000D6307"/>
    <w:rsid w:val="000D657E"/>
    <w:rsid w:val="000D686A"/>
    <w:rsid w:val="000D6938"/>
    <w:rsid w:val="000D6A05"/>
    <w:rsid w:val="000D6D1C"/>
    <w:rsid w:val="000D6F7C"/>
    <w:rsid w:val="000D7257"/>
    <w:rsid w:val="000D7366"/>
    <w:rsid w:val="000D75AE"/>
    <w:rsid w:val="000D7704"/>
    <w:rsid w:val="000D78C3"/>
    <w:rsid w:val="000D7949"/>
    <w:rsid w:val="000D794F"/>
    <w:rsid w:val="000D79DF"/>
    <w:rsid w:val="000D7A89"/>
    <w:rsid w:val="000D7A9C"/>
    <w:rsid w:val="000D7DC3"/>
    <w:rsid w:val="000E0135"/>
    <w:rsid w:val="000E0169"/>
    <w:rsid w:val="000E01E8"/>
    <w:rsid w:val="000E0251"/>
    <w:rsid w:val="000E02FE"/>
    <w:rsid w:val="000E0334"/>
    <w:rsid w:val="000E039E"/>
    <w:rsid w:val="000E07CD"/>
    <w:rsid w:val="000E0953"/>
    <w:rsid w:val="000E0974"/>
    <w:rsid w:val="000E0A46"/>
    <w:rsid w:val="000E0C04"/>
    <w:rsid w:val="000E0C74"/>
    <w:rsid w:val="000E0CF4"/>
    <w:rsid w:val="000E0E50"/>
    <w:rsid w:val="000E0E6C"/>
    <w:rsid w:val="000E109D"/>
    <w:rsid w:val="000E1139"/>
    <w:rsid w:val="000E1480"/>
    <w:rsid w:val="000E14B6"/>
    <w:rsid w:val="000E160B"/>
    <w:rsid w:val="000E1750"/>
    <w:rsid w:val="000E17D2"/>
    <w:rsid w:val="000E18F1"/>
    <w:rsid w:val="000E1AEF"/>
    <w:rsid w:val="000E1C72"/>
    <w:rsid w:val="000E20B2"/>
    <w:rsid w:val="000E23A7"/>
    <w:rsid w:val="000E2449"/>
    <w:rsid w:val="000E2500"/>
    <w:rsid w:val="000E286D"/>
    <w:rsid w:val="000E29B1"/>
    <w:rsid w:val="000E2AC9"/>
    <w:rsid w:val="000E2B10"/>
    <w:rsid w:val="000E2DDF"/>
    <w:rsid w:val="000E2E40"/>
    <w:rsid w:val="000E2E56"/>
    <w:rsid w:val="000E2F8B"/>
    <w:rsid w:val="000E33AD"/>
    <w:rsid w:val="000E3600"/>
    <w:rsid w:val="000E360B"/>
    <w:rsid w:val="000E360F"/>
    <w:rsid w:val="000E3620"/>
    <w:rsid w:val="000E363B"/>
    <w:rsid w:val="000E36B2"/>
    <w:rsid w:val="000E3861"/>
    <w:rsid w:val="000E391B"/>
    <w:rsid w:val="000E391F"/>
    <w:rsid w:val="000E3CB9"/>
    <w:rsid w:val="000E3EF9"/>
    <w:rsid w:val="000E3F26"/>
    <w:rsid w:val="000E3F4E"/>
    <w:rsid w:val="000E4028"/>
    <w:rsid w:val="000E405B"/>
    <w:rsid w:val="000E4269"/>
    <w:rsid w:val="000E42DD"/>
    <w:rsid w:val="000E495A"/>
    <w:rsid w:val="000E4BD8"/>
    <w:rsid w:val="000E4CB6"/>
    <w:rsid w:val="000E5070"/>
    <w:rsid w:val="000E5098"/>
    <w:rsid w:val="000E5121"/>
    <w:rsid w:val="000E52D5"/>
    <w:rsid w:val="000E547B"/>
    <w:rsid w:val="000E561C"/>
    <w:rsid w:val="000E58A5"/>
    <w:rsid w:val="000E58CE"/>
    <w:rsid w:val="000E5C3B"/>
    <w:rsid w:val="000E5D9A"/>
    <w:rsid w:val="000E5E50"/>
    <w:rsid w:val="000E5F81"/>
    <w:rsid w:val="000E5F9A"/>
    <w:rsid w:val="000E61ED"/>
    <w:rsid w:val="000E6269"/>
    <w:rsid w:val="000E6374"/>
    <w:rsid w:val="000E649E"/>
    <w:rsid w:val="000E652F"/>
    <w:rsid w:val="000E65C0"/>
    <w:rsid w:val="000E667D"/>
    <w:rsid w:val="000E6709"/>
    <w:rsid w:val="000E683C"/>
    <w:rsid w:val="000E68A9"/>
    <w:rsid w:val="000E69BC"/>
    <w:rsid w:val="000E6A7E"/>
    <w:rsid w:val="000E6D13"/>
    <w:rsid w:val="000E7019"/>
    <w:rsid w:val="000E7403"/>
    <w:rsid w:val="000E752A"/>
    <w:rsid w:val="000E756C"/>
    <w:rsid w:val="000E75C3"/>
    <w:rsid w:val="000E7700"/>
    <w:rsid w:val="000E77A4"/>
    <w:rsid w:val="000E7B5B"/>
    <w:rsid w:val="000E7F98"/>
    <w:rsid w:val="000E7FA7"/>
    <w:rsid w:val="000F0009"/>
    <w:rsid w:val="000F0017"/>
    <w:rsid w:val="000F024C"/>
    <w:rsid w:val="000F0420"/>
    <w:rsid w:val="000F0471"/>
    <w:rsid w:val="000F05F8"/>
    <w:rsid w:val="000F06CD"/>
    <w:rsid w:val="000F0837"/>
    <w:rsid w:val="000F08AD"/>
    <w:rsid w:val="000F09C9"/>
    <w:rsid w:val="000F0C90"/>
    <w:rsid w:val="000F0CA7"/>
    <w:rsid w:val="000F0CFB"/>
    <w:rsid w:val="000F0D4A"/>
    <w:rsid w:val="000F0DDB"/>
    <w:rsid w:val="000F0FDB"/>
    <w:rsid w:val="000F0FF6"/>
    <w:rsid w:val="000F1064"/>
    <w:rsid w:val="000F11C6"/>
    <w:rsid w:val="000F122A"/>
    <w:rsid w:val="000F1AE7"/>
    <w:rsid w:val="000F1C21"/>
    <w:rsid w:val="000F1C5B"/>
    <w:rsid w:val="000F1D51"/>
    <w:rsid w:val="000F1DC3"/>
    <w:rsid w:val="000F2337"/>
    <w:rsid w:val="000F243A"/>
    <w:rsid w:val="000F24E2"/>
    <w:rsid w:val="000F2534"/>
    <w:rsid w:val="000F27A2"/>
    <w:rsid w:val="000F2B13"/>
    <w:rsid w:val="000F2D5D"/>
    <w:rsid w:val="000F2DEA"/>
    <w:rsid w:val="000F313A"/>
    <w:rsid w:val="000F31D5"/>
    <w:rsid w:val="000F31E5"/>
    <w:rsid w:val="000F3315"/>
    <w:rsid w:val="000F34B9"/>
    <w:rsid w:val="000F3652"/>
    <w:rsid w:val="000F365C"/>
    <w:rsid w:val="000F36EA"/>
    <w:rsid w:val="000F36F9"/>
    <w:rsid w:val="000F3938"/>
    <w:rsid w:val="000F3A3B"/>
    <w:rsid w:val="000F3B10"/>
    <w:rsid w:val="000F3D0F"/>
    <w:rsid w:val="000F3F2A"/>
    <w:rsid w:val="000F3F88"/>
    <w:rsid w:val="000F403D"/>
    <w:rsid w:val="000F40E5"/>
    <w:rsid w:val="000F4190"/>
    <w:rsid w:val="000F4210"/>
    <w:rsid w:val="000F439C"/>
    <w:rsid w:val="000F43D9"/>
    <w:rsid w:val="000F459D"/>
    <w:rsid w:val="000F45DD"/>
    <w:rsid w:val="000F46F4"/>
    <w:rsid w:val="000F4A0E"/>
    <w:rsid w:val="000F4A36"/>
    <w:rsid w:val="000F4AA2"/>
    <w:rsid w:val="000F4B0E"/>
    <w:rsid w:val="000F4BA5"/>
    <w:rsid w:val="000F4C0F"/>
    <w:rsid w:val="000F4C5E"/>
    <w:rsid w:val="000F4CC4"/>
    <w:rsid w:val="000F4D0D"/>
    <w:rsid w:val="000F5200"/>
    <w:rsid w:val="000F54A5"/>
    <w:rsid w:val="000F5532"/>
    <w:rsid w:val="000F557F"/>
    <w:rsid w:val="000F576D"/>
    <w:rsid w:val="000F58AA"/>
    <w:rsid w:val="000F59E8"/>
    <w:rsid w:val="000F5BA0"/>
    <w:rsid w:val="000F5DBE"/>
    <w:rsid w:val="000F5ECE"/>
    <w:rsid w:val="000F5F91"/>
    <w:rsid w:val="000F5FD0"/>
    <w:rsid w:val="000F60A5"/>
    <w:rsid w:val="000F6287"/>
    <w:rsid w:val="000F63CB"/>
    <w:rsid w:val="000F668D"/>
    <w:rsid w:val="000F66A1"/>
    <w:rsid w:val="000F670A"/>
    <w:rsid w:val="000F6721"/>
    <w:rsid w:val="000F673B"/>
    <w:rsid w:val="000F6B55"/>
    <w:rsid w:val="000F7002"/>
    <w:rsid w:val="000F7101"/>
    <w:rsid w:val="000F7202"/>
    <w:rsid w:val="000F773E"/>
    <w:rsid w:val="000F774A"/>
    <w:rsid w:val="000F7ACD"/>
    <w:rsid w:val="000F7E43"/>
    <w:rsid w:val="000F7FCC"/>
    <w:rsid w:val="0010002A"/>
    <w:rsid w:val="00100465"/>
    <w:rsid w:val="00100639"/>
    <w:rsid w:val="001007C1"/>
    <w:rsid w:val="001007F2"/>
    <w:rsid w:val="0010081B"/>
    <w:rsid w:val="0010086D"/>
    <w:rsid w:val="001008D2"/>
    <w:rsid w:val="00100986"/>
    <w:rsid w:val="00100A5D"/>
    <w:rsid w:val="00100A69"/>
    <w:rsid w:val="00100A84"/>
    <w:rsid w:val="00100AC8"/>
    <w:rsid w:val="00100CB7"/>
    <w:rsid w:val="00100F3E"/>
    <w:rsid w:val="0010115C"/>
    <w:rsid w:val="00101366"/>
    <w:rsid w:val="001015C2"/>
    <w:rsid w:val="00101705"/>
    <w:rsid w:val="0010178A"/>
    <w:rsid w:val="001018A8"/>
    <w:rsid w:val="00101B41"/>
    <w:rsid w:val="00101C0E"/>
    <w:rsid w:val="00101D3C"/>
    <w:rsid w:val="00101E9D"/>
    <w:rsid w:val="0010204A"/>
    <w:rsid w:val="00102333"/>
    <w:rsid w:val="0010242F"/>
    <w:rsid w:val="00102443"/>
    <w:rsid w:val="00102986"/>
    <w:rsid w:val="0010298E"/>
    <w:rsid w:val="001029EB"/>
    <w:rsid w:val="00102BAA"/>
    <w:rsid w:val="00102CC1"/>
    <w:rsid w:val="00102FE7"/>
    <w:rsid w:val="001032D6"/>
    <w:rsid w:val="001033E8"/>
    <w:rsid w:val="00103484"/>
    <w:rsid w:val="001034C6"/>
    <w:rsid w:val="00103638"/>
    <w:rsid w:val="00103810"/>
    <w:rsid w:val="001039B5"/>
    <w:rsid w:val="001039CD"/>
    <w:rsid w:val="00103B77"/>
    <w:rsid w:val="00103CEF"/>
    <w:rsid w:val="0010426E"/>
    <w:rsid w:val="00104451"/>
    <w:rsid w:val="0010456A"/>
    <w:rsid w:val="001045F4"/>
    <w:rsid w:val="0010466C"/>
    <w:rsid w:val="00104716"/>
    <w:rsid w:val="00104993"/>
    <w:rsid w:val="001049E5"/>
    <w:rsid w:val="00104A1D"/>
    <w:rsid w:val="00104C70"/>
    <w:rsid w:val="00104D5B"/>
    <w:rsid w:val="00104D86"/>
    <w:rsid w:val="00104E6C"/>
    <w:rsid w:val="00104F5C"/>
    <w:rsid w:val="00105049"/>
    <w:rsid w:val="00105058"/>
    <w:rsid w:val="00105103"/>
    <w:rsid w:val="00105184"/>
    <w:rsid w:val="00105281"/>
    <w:rsid w:val="001054F7"/>
    <w:rsid w:val="0010567D"/>
    <w:rsid w:val="001056C8"/>
    <w:rsid w:val="001059D6"/>
    <w:rsid w:val="00105BBA"/>
    <w:rsid w:val="00105CCF"/>
    <w:rsid w:val="00105DA0"/>
    <w:rsid w:val="00105DFA"/>
    <w:rsid w:val="00105E4D"/>
    <w:rsid w:val="0010613E"/>
    <w:rsid w:val="001062F1"/>
    <w:rsid w:val="001063EE"/>
    <w:rsid w:val="0010663E"/>
    <w:rsid w:val="00106757"/>
    <w:rsid w:val="001069A7"/>
    <w:rsid w:val="00106AA6"/>
    <w:rsid w:val="00106DFA"/>
    <w:rsid w:val="001072A2"/>
    <w:rsid w:val="001073D2"/>
    <w:rsid w:val="0010748B"/>
    <w:rsid w:val="0010774C"/>
    <w:rsid w:val="00107A49"/>
    <w:rsid w:val="00107CC7"/>
    <w:rsid w:val="00107D29"/>
    <w:rsid w:val="00107D33"/>
    <w:rsid w:val="00107D81"/>
    <w:rsid w:val="00107FFA"/>
    <w:rsid w:val="0011009C"/>
    <w:rsid w:val="001101F9"/>
    <w:rsid w:val="00110332"/>
    <w:rsid w:val="001105FC"/>
    <w:rsid w:val="001106C7"/>
    <w:rsid w:val="00110716"/>
    <w:rsid w:val="00110776"/>
    <w:rsid w:val="00110BA9"/>
    <w:rsid w:val="00110C71"/>
    <w:rsid w:val="00110E40"/>
    <w:rsid w:val="00110F4C"/>
    <w:rsid w:val="001111CF"/>
    <w:rsid w:val="00111396"/>
    <w:rsid w:val="00111521"/>
    <w:rsid w:val="00111641"/>
    <w:rsid w:val="00111667"/>
    <w:rsid w:val="001116A3"/>
    <w:rsid w:val="001116B8"/>
    <w:rsid w:val="00111827"/>
    <w:rsid w:val="00111829"/>
    <w:rsid w:val="00111951"/>
    <w:rsid w:val="00111A91"/>
    <w:rsid w:val="00111BC9"/>
    <w:rsid w:val="00111C43"/>
    <w:rsid w:val="00112209"/>
    <w:rsid w:val="0011262A"/>
    <w:rsid w:val="001126E1"/>
    <w:rsid w:val="00112932"/>
    <w:rsid w:val="00112E81"/>
    <w:rsid w:val="00112F1A"/>
    <w:rsid w:val="00112FC6"/>
    <w:rsid w:val="00113184"/>
    <w:rsid w:val="00113388"/>
    <w:rsid w:val="001134E8"/>
    <w:rsid w:val="001136A7"/>
    <w:rsid w:val="00113773"/>
    <w:rsid w:val="00113A30"/>
    <w:rsid w:val="00113A48"/>
    <w:rsid w:val="00113B9E"/>
    <w:rsid w:val="00113D84"/>
    <w:rsid w:val="001140A2"/>
    <w:rsid w:val="001144E6"/>
    <w:rsid w:val="001146B4"/>
    <w:rsid w:val="00114798"/>
    <w:rsid w:val="00114900"/>
    <w:rsid w:val="0011499A"/>
    <w:rsid w:val="001149CE"/>
    <w:rsid w:val="00114B82"/>
    <w:rsid w:val="00114BF5"/>
    <w:rsid w:val="00114C01"/>
    <w:rsid w:val="00114C7E"/>
    <w:rsid w:val="00114E6F"/>
    <w:rsid w:val="0011509E"/>
    <w:rsid w:val="001150EA"/>
    <w:rsid w:val="00115189"/>
    <w:rsid w:val="00115264"/>
    <w:rsid w:val="0011531F"/>
    <w:rsid w:val="00115574"/>
    <w:rsid w:val="001158CF"/>
    <w:rsid w:val="00115D20"/>
    <w:rsid w:val="00115FF5"/>
    <w:rsid w:val="0011600E"/>
    <w:rsid w:val="0011634E"/>
    <w:rsid w:val="001163C8"/>
    <w:rsid w:val="0011646C"/>
    <w:rsid w:val="00116527"/>
    <w:rsid w:val="00116618"/>
    <w:rsid w:val="00116639"/>
    <w:rsid w:val="0011663C"/>
    <w:rsid w:val="001166AA"/>
    <w:rsid w:val="001166D7"/>
    <w:rsid w:val="001167CB"/>
    <w:rsid w:val="00116A20"/>
    <w:rsid w:val="00116B91"/>
    <w:rsid w:val="00116DDB"/>
    <w:rsid w:val="00116FC8"/>
    <w:rsid w:val="00116FEE"/>
    <w:rsid w:val="0011706F"/>
    <w:rsid w:val="001172AF"/>
    <w:rsid w:val="001174BC"/>
    <w:rsid w:val="0011751A"/>
    <w:rsid w:val="00117660"/>
    <w:rsid w:val="001176CA"/>
    <w:rsid w:val="0011785F"/>
    <w:rsid w:val="00117B84"/>
    <w:rsid w:val="00117B92"/>
    <w:rsid w:val="00117C77"/>
    <w:rsid w:val="00117D87"/>
    <w:rsid w:val="00117DC1"/>
    <w:rsid w:val="00117DD7"/>
    <w:rsid w:val="00117EBA"/>
    <w:rsid w:val="00117F28"/>
    <w:rsid w:val="00120033"/>
    <w:rsid w:val="00120369"/>
    <w:rsid w:val="00120437"/>
    <w:rsid w:val="00120544"/>
    <w:rsid w:val="00120635"/>
    <w:rsid w:val="00120674"/>
    <w:rsid w:val="00120789"/>
    <w:rsid w:val="00120968"/>
    <w:rsid w:val="00120995"/>
    <w:rsid w:val="001209B9"/>
    <w:rsid w:val="00120A71"/>
    <w:rsid w:val="00120AEA"/>
    <w:rsid w:val="00120B27"/>
    <w:rsid w:val="00120D3C"/>
    <w:rsid w:val="00120F1F"/>
    <w:rsid w:val="001210A6"/>
    <w:rsid w:val="001210CA"/>
    <w:rsid w:val="001210DA"/>
    <w:rsid w:val="0012124C"/>
    <w:rsid w:val="001212FE"/>
    <w:rsid w:val="001213D3"/>
    <w:rsid w:val="0012156E"/>
    <w:rsid w:val="00121632"/>
    <w:rsid w:val="0012164A"/>
    <w:rsid w:val="0012169D"/>
    <w:rsid w:val="0012185A"/>
    <w:rsid w:val="0012191E"/>
    <w:rsid w:val="00121A06"/>
    <w:rsid w:val="00121A32"/>
    <w:rsid w:val="00121B8D"/>
    <w:rsid w:val="00121E64"/>
    <w:rsid w:val="0012213C"/>
    <w:rsid w:val="001221C9"/>
    <w:rsid w:val="001223F7"/>
    <w:rsid w:val="0012245E"/>
    <w:rsid w:val="001224D3"/>
    <w:rsid w:val="00122559"/>
    <w:rsid w:val="0012263C"/>
    <w:rsid w:val="0012278D"/>
    <w:rsid w:val="00122893"/>
    <w:rsid w:val="0012299D"/>
    <w:rsid w:val="00122B08"/>
    <w:rsid w:val="00122B90"/>
    <w:rsid w:val="00122C04"/>
    <w:rsid w:val="00122C25"/>
    <w:rsid w:val="00122CCD"/>
    <w:rsid w:val="00122D87"/>
    <w:rsid w:val="00122EB0"/>
    <w:rsid w:val="00122F9F"/>
    <w:rsid w:val="001233DD"/>
    <w:rsid w:val="001234CC"/>
    <w:rsid w:val="0012352B"/>
    <w:rsid w:val="00123544"/>
    <w:rsid w:val="001236A4"/>
    <w:rsid w:val="001236A5"/>
    <w:rsid w:val="00123991"/>
    <w:rsid w:val="00123AEC"/>
    <w:rsid w:val="00123C7C"/>
    <w:rsid w:val="00123CCD"/>
    <w:rsid w:val="00123D44"/>
    <w:rsid w:val="00123D8D"/>
    <w:rsid w:val="00123E01"/>
    <w:rsid w:val="00123E81"/>
    <w:rsid w:val="00123E88"/>
    <w:rsid w:val="00124156"/>
    <w:rsid w:val="001242A7"/>
    <w:rsid w:val="00124433"/>
    <w:rsid w:val="001244BB"/>
    <w:rsid w:val="00124788"/>
    <w:rsid w:val="00124891"/>
    <w:rsid w:val="001249EA"/>
    <w:rsid w:val="00124A65"/>
    <w:rsid w:val="00124C9D"/>
    <w:rsid w:val="00124FEE"/>
    <w:rsid w:val="0012508B"/>
    <w:rsid w:val="00125186"/>
    <w:rsid w:val="0012523C"/>
    <w:rsid w:val="00125272"/>
    <w:rsid w:val="0012541D"/>
    <w:rsid w:val="0012553A"/>
    <w:rsid w:val="00125673"/>
    <w:rsid w:val="00125686"/>
    <w:rsid w:val="0012569F"/>
    <w:rsid w:val="001257E9"/>
    <w:rsid w:val="00125957"/>
    <w:rsid w:val="00125B6E"/>
    <w:rsid w:val="00125CC9"/>
    <w:rsid w:val="00125CF9"/>
    <w:rsid w:val="00125D35"/>
    <w:rsid w:val="00125D6E"/>
    <w:rsid w:val="00125F3F"/>
    <w:rsid w:val="001262C9"/>
    <w:rsid w:val="00126496"/>
    <w:rsid w:val="0012691E"/>
    <w:rsid w:val="0012693D"/>
    <w:rsid w:val="00126AD9"/>
    <w:rsid w:val="00126B0D"/>
    <w:rsid w:val="00126CE4"/>
    <w:rsid w:val="00126DF3"/>
    <w:rsid w:val="00127002"/>
    <w:rsid w:val="0012701F"/>
    <w:rsid w:val="001272A1"/>
    <w:rsid w:val="0012749C"/>
    <w:rsid w:val="00127515"/>
    <w:rsid w:val="0012764E"/>
    <w:rsid w:val="001276B0"/>
    <w:rsid w:val="00127782"/>
    <w:rsid w:val="001278F7"/>
    <w:rsid w:val="001279AE"/>
    <w:rsid w:val="00127B9B"/>
    <w:rsid w:val="00127CBB"/>
    <w:rsid w:val="00127E22"/>
    <w:rsid w:val="00127FF1"/>
    <w:rsid w:val="001300A9"/>
    <w:rsid w:val="00130193"/>
    <w:rsid w:val="00130286"/>
    <w:rsid w:val="00130385"/>
    <w:rsid w:val="00130494"/>
    <w:rsid w:val="00130652"/>
    <w:rsid w:val="001307CC"/>
    <w:rsid w:val="001308EB"/>
    <w:rsid w:val="001309EF"/>
    <w:rsid w:val="00130BFA"/>
    <w:rsid w:val="00130C0F"/>
    <w:rsid w:val="00130C21"/>
    <w:rsid w:val="00130C31"/>
    <w:rsid w:val="00130C6E"/>
    <w:rsid w:val="001311D8"/>
    <w:rsid w:val="001314DD"/>
    <w:rsid w:val="00131571"/>
    <w:rsid w:val="001315A8"/>
    <w:rsid w:val="00131877"/>
    <w:rsid w:val="00131897"/>
    <w:rsid w:val="00131C63"/>
    <w:rsid w:val="00132024"/>
    <w:rsid w:val="0013217F"/>
    <w:rsid w:val="001323D6"/>
    <w:rsid w:val="00132402"/>
    <w:rsid w:val="00132739"/>
    <w:rsid w:val="00132760"/>
    <w:rsid w:val="00132786"/>
    <w:rsid w:val="00132901"/>
    <w:rsid w:val="00132909"/>
    <w:rsid w:val="00132AD6"/>
    <w:rsid w:val="00132B55"/>
    <w:rsid w:val="00132C8E"/>
    <w:rsid w:val="00132CE9"/>
    <w:rsid w:val="00132E60"/>
    <w:rsid w:val="00132EAA"/>
    <w:rsid w:val="001331A4"/>
    <w:rsid w:val="001333DB"/>
    <w:rsid w:val="0013341D"/>
    <w:rsid w:val="001335A5"/>
    <w:rsid w:val="001336B0"/>
    <w:rsid w:val="0013380F"/>
    <w:rsid w:val="00133980"/>
    <w:rsid w:val="00133A45"/>
    <w:rsid w:val="00133B1C"/>
    <w:rsid w:val="00133B6D"/>
    <w:rsid w:val="00133D38"/>
    <w:rsid w:val="00133DE8"/>
    <w:rsid w:val="0013410D"/>
    <w:rsid w:val="00134165"/>
    <w:rsid w:val="0013420C"/>
    <w:rsid w:val="001344F7"/>
    <w:rsid w:val="0013455C"/>
    <w:rsid w:val="00134690"/>
    <w:rsid w:val="00134862"/>
    <w:rsid w:val="001348FE"/>
    <w:rsid w:val="00134A70"/>
    <w:rsid w:val="00134CCE"/>
    <w:rsid w:val="00134DEF"/>
    <w:rsid w:val="00134E08"/>
    <w:rsid w:val="00134EE5"/>
    <w:rsid w:val="00135050"/>
    <w:rsid w:val="0013515F"/>
    <w:rsid w:val="00135307"/>
    <w:rsid w:val="00135491"/>
    <w:rsid w:val="001355F4"/>
    <w:rsid w:val="001356FD"/>
    <w:rsid w:val="001357BB"/>
    <w:rsid w:val="00135870"/>
    <w:rsid w:val="00135AA5"/>
    <w:rsid w:val="00135B5F"/>
    <w:rsid w:val="00135DA0"/>
    <w:rsid w:val="001360FF"/>
    <w:rsid w:val="00136176"/>
    <w:rsid w:val="0013619C"/>
    <w:rsid w:val="0013627A"/>
    <w:rsid w:val="00136306"/>
    <w:rsid w:val="00136348"/>
    <w:rsid w:val="00136399"/>
    <w:rsid w:val="001363C9"/>
    <w:rsid w:val="00136410"/>
    <w:rsid w:val="0013651C"/>
    <w:rsid w:val="0013656D"/>
    <w:rsid w:val="00136859"/>
    <w:rsid w:val="00136CD4"/>
    <w:rsid w:val="00136E2E"/>
    <w:rsid w:val="00136E3D"/>
    <w:rsid w:val="00136E76"/>
    <w:rsid w:val="00136EAC"/>
    <w:rsid w:val="00136F0F"/>
    <w:rsid w:val="00136F60"/>
    <w:rsid w:val="001371B4"/>
    <w:rsid w:val="00137441"/>
    <w:rsid w:val="0013770B"/>
    <w:rsid w:val="0013798B"/>
    <w:rsid w:val="00137995"/>
    <w:rsid w:val="00137C12"/>
    <w:rsid w:val="00137D0A"/>
    <w:rsid w:val="0014000D"/>
    <w:rsid w:val="00140068"/>
    <w:rsid w:val="00140239"/>
    <w:rsid w:val="0014047D"/>
    <w:rsid w:val="001405D0"/>
    <w:rsid w:val="001406C3"/>
    <w:rsid w:val="001409A4"/>
    <w:rsid w:val="00140A20"/>
    <w:rsid w:val="00140ACC"/>
    <w:rsid w:val="00140C2A"/>
    <w:rsid w:val="00140C5F"/>
    <w:rsid w:val="001410ED"/>
    <w:rsid w:val="00141594"/>
    <w:rsid w:val="00141623"/>
    <w:rsid w:val="0014163A"/>
    <w:rsid w:val="0014179D"/>
    <w:rsid w:val="00141946"/>
    <w:rsid w:val="00141B8C"/>
    <w:rsid w:val="00141E1B"/>
    <w:rsid w:val="00141E4B"/>
    <w:rsid w:val="00141E5E"/>
    <w:rsid w:val="00141EA8"/>
    <w:rsid w:val="00141EFB"/>
    <w:rsid w:val="0014208E"/>
    <w:rsid w:val="001420FD"/>
    <w:rsid w:val="0014212D"/>
    <w:rsid w:val="00142407"/>
    <w:rsid w:val="0014259F"/>
    <w:rsid w:val="001426CD"/>
    <w:rsid w:val="0014280E"/>
    <w:rsid w:val="0014283A"/>
    <w:rsid w:val="00142862"/>
    <w:rsid w:val="00142967"/>
    <w:rsid w:val="0014296B"/>
    <w:rsid w:val="00142A9F"/>
    <w:rsid w:val="00142B05"/>
    <w:rsid w:val="00142C3C"/>
    <w:rsid w:val="00142CD7"/>
    <w:rsid w:val="00142E37"/>
    <w:rsid w:val="00142F97"/>
    <w:rsid w:val="00142F98"/>
    <w:rsid w:val="001433C2"/>
    <w:rsid w:val="001435E3"/>
    <w:rsid w:val="0014371F"/>
    <w:rsid w:val="00143A91"/>
    <w:rsid w:val="00143B95"/>
    <w:rsid w:val="00143BD6"/>
    <w:rsid w:val="00143C13"/>
    <w:rsid w:val="00143F2E"/>
    <w:rsid w:val="0014400A"/>
    <w:rsid w:val="0014408C"/>
    <w:rsid w:val="00144254"/>
    <w:rsid w:val="00144347"/>
    <w:rsid w:val="00144393"/>
    <w:rsid w:val="001444A2"/>
    <w:rsid w:val="0014457B"/>
    <w:rsid w:val="001445FE"/>
    <w:rsid w:val="00144724"/>
    <w:rsid w:val="001447AA"/>
    <w:rsid w:val="001447F8"/>
    <w:rsid w:val="00144BC2"/>
    <w:rsid w:val="00144D92"/>
    <w:rsid w:val="001451BD"/>
    <w:rsid w:val="0014541F"/>
    <w:rsid w:val="001455E1"/>
    <w:rsid w:val="00145648"/>
    <w:rsid w:val="001456D6"/>
    <w:rsid w:val="001459EB"/>
    <w:rsid w:val="001459FD"/>
    <w:rsid w:val="00145A29"/>
    <w:rsid w:val="00145B03"/>
    <w:rsid w:val="00145DFA"/>
    <w:rsid w:val="00145F1A"/>
    <w:rsid w:val="00145FB9"/>
    <w:rsid w:val="00145FF2"/>
    <w:rsid w:val="0014600F"/>
    <w:rsid w:val="0014606B"/>
    <w:rsid w:val="00146291"/>
    <w:rsid w:val="0014635C"/>
    <w:rsid w:val="00146569"/>
    <w:rsid w:val="00146644"/>
    <w:rsid w:val="00146811"/>
    <w:rsid w:val="001468C6"/>
    <w:rsid w:val="001468E0"/>
    <w:rsid w:val="0014694F"/>
    <w:rsid w:val="00146A17"/>
    <w:rsid w:val="00146C47"/>
    <w:rsid w:val="00146CA9"/>
    <w:rsid w:val="00146CD4"/>
    <w:rsid w:val="00146F39"/>
    <w:rsid w:val="0014700F"/>
    <w:rsid w:val="001470B9"/>
    <w:rsid w:val="0014713B"/>
    <w:rsid w:val="0014734A"/>
    <w:rsid w:val="001475D3"/>
    <w:rsid w:val="001476BD"/>
    <w:rsid w:val="00147841"/>
    <w:rsid w:val="001478A9"/>
    <w:rsid w:val="00147ADC"/>
    <w:rsid w:val="00147C36"/>
    <w:rsid w:val="00147E0A"/>
    <w:rsid w:val="00147F24"/>
    <w:rsid w:val="00147FD2"/>
    <w:rsid w:val="00150554"/>
    <w:rsid w:val="001506CB"/>
    <w:rsid w:val="00150757"/>
    <w:rsid w:val="00150943"/>
    <w:rsid w:val="00150AC4"/>
    <w:rsid w:val="00150AC7"/>
    <w:rsid w:val="00150BC8"/>
    <w:rsid w:val="00150C29"/>
    <w:rsid w:val="00150C55"/>
    <w:rsid w:val="00150CD4"/>
    <w:rsid w:val="00150D4D"/>
    <w:rsid w:val="00150D7D"/>
    <w:rsid w:val="00151176"/>
    <w:rsid w:val="00151215"/>
    <w:rsid w:val="00151337"/>
    <w:rsid w:val="001513A9"/>
    <w:rsid w:val="001513BB"/>
    <w:rsid w:val="00151430"/>
    <w:rsid w:val="0015147C"/>
    <w:rsid w:val="0015150F"/>
    <w:rsid w:val="00151536"/>
    <w:rsid w:val="00151859"/>
    <w:rsid w:val="001518AD"/>
    <w:rsid w:val="00151C1A"/>
    <w:rsid w:val="00151F30"/>
    <w:rsid w:val="00151FBA"/>
    <w:rsid w:val="001521DB"/>
    <w:rsid w:val="001523DC"/>
    <w:rsid w:val="0015247C"/>
    <w:rsid w:val="001524C0"/>
    <w:rsid w:val="00152635"/>
    <w:rsid w:val="00152835"/>
    <w:rsid w:val="001532B4"/>
    <w:rsid w:val="001532DD"/>
    <w:rsid w:val="00153317"/>
    <w:rsid w:val="0015353A"/>
    <w:rsid w:val="0015360B"/>
    <w:rsid w:val="00153954"/>
    <w:rsid w:val="00153A26"/>
    <w:rsid w:val="00153A3C"/>
    <w:rsid w:val="00153E0E"/>
    <w:rsid w:val="00153E24"/>
    <w:rsid w:val="00153FF9"/>
    <w:rsid w:val="00154058"/>
    <w:rsid w:val="001540FD"/>
    <w:rsid w:val="001541A3"/>
    <w:rsid w:val="00154240"/>
    <w:rsid w:val="001544AF"/>
    <w:rsid w:val="001545BA"/>
    <w:rsid w:val="00154602"/>
    <w:rsid w:val="001546F3"/>
    <w:rsid w:val="00154704"/>
    <w:rsid w:val="00154735"/>
    <w:rsid w:val="001547EE"/>
    <w:rsid w:val="001548E3"/>
    <w:rsid w:val="00154A64"/>
    <w:rsid w:val="00154B2D"/>
    <w:rsid w:val="00154E39"/>
    <w:rsid w:val="00154F6B"/>
    <w:rsid w:val="0015503D"/>
    <w:rsid w:val="001552B5"/>
    <w:rsid w:val="001552BB"/>
    <w:rsid w:val="00155417"/>
    <w:rsid w:val="0015544A"/>
    <w:rsid w:val="001554AA"/>
    <w:rsid w:val="001557DF"/>
    <w:rsid w:val="0015588B"/>
    <w:rsid w:val="00155AFE"/>
    <w:rsid w:val="00155B43"/>
    <w:rsid w:val="00155E95"/>
    <w:rsid w:val="00156019"/>
    <w:rsid w:val="001560F8"/>
    <w:rsid w:val="0015633E"/>
    <w:rsid w:val="001563C1"/>
    <w:rsid w:val="00156492"/>
    <w:rsid w:val="001564BD"/>
    <w:rsid w:val="001565A8"/>
    <w:rsid w:val="00156826"/>
    <w:rsid w:val="00156871"/>
    <w:rsid w:val="001569BE"/>
    <w:rsid w:val="00156A7D"/>
    <w:rsid w:val="00156B60"/>
    <w:rsid w:val="00156B72"/>
    <w:rsid w:val="00156C0B"/>
    <w:rsid w:val="00156C5C"/>
    <w:rsid w:val="00156CC3"/>
    <w:rsid w:val="00156E2C"/>
    <w:rsid w:val="00157007"/>
    <w:rsid w:val="00157045"/>
    <w:rsid w:val="001571B6"/>
    <w:rsid w:val="0015756A"/>
    <w:rsid w:val="001575C3"/>
    <w:rsid w:val="00157920"/>
    <w:rsid w:val="00157B06"/>
    <w:rsid w:val="00157B96"/>
    <w:rsid w:val="00157C48"/>
    <w:rsid w:val="00157CB1"/>
    <w:rsid w:val="00157CF8"/>
    <w:rsid w:val="00157D58"/>
    <w:rsid w:val="00157D89"/>
    <w:rsid w:val="00157D8A"/>
    <w:rsid w:val="0016014E"/>
    <w:rsid w:val="00160239"/>
    <w:rsid w:val="0016030C"/>
    <w:rsid w:val="0016057F"/>
    <w:rsid w:val="001606D4"/>
    <w:rsid w:val="00160874"/>
    <w:rsid w:val="001609A4"/>
    <w:rsid w:val="00160A9C"/>
    <w:rsid w:val="00160B7E"/>
    <w:rsid w:val="0016124F"/>
    <w:rsid w:val="001613EF"/>
    <w:rsid w:val="00161686"/>
    <w:rsid w:val="001617F9"/>
    <w:rsid w:val="001618F5"/>
    <w:rsid w:val="001619A7"/>
    <w:rsid w:val="00161A18"/>
    <w:rsid w:val="00161B9C"/>
    <w:rsid w:val="00161E02"/>
    <w:rsid w:val="00161E29"/>
    <w:rsid w:val="00161E3C"/>
    <w:rsid w:val="00161F58"/>
    <w:rsid w:val="0016202B"/>
    <w:rsid w:val="00162156"/>
    <w:rsid w:val="001622AD"/>
    <w:rsid w:val="00162744"/>
    <w:rsid w:val="001627D0"/>
    <w:rsid w:val="00162850"/>
    <w:rsid w:val="00162A0D"/>
    <w:rsid w:val="00162E70"/>
    <w:rsid w:val="00162F95"/>
    <w:rsid w:val="001630B4"/>
    <w:rsid w:val="001630BE"/>
    <w:rsid w:val="001632CB"/>
    <w:rsid w:val="00163586"/>
    <w:rsid w:val="00163598"/>
    <w:rsid w:val="00163663"/>
    <w:rsid w:val="00163798"/>
    <w:rsid w:val="001638C4"/>
    <w:rsid w:val="001638FE"/>
    <w:rsid w:val="00163925"/>
    <w:rsid w:val="001639A0"/>
    <w:rsid w:val="00163A53"/>
    <w:rsid w:val="00163E44"/>
    <w:rsid w:val="00163E9A"/>
    <w:rsid w:val="00164047"/>
    <w:rsid w:val="001640DC"/>
    <w:rsid w:val="00164170"/>
    <w:rsid w:val="0016422D"/>
    <w:rsid w:val="0016431D"/>
    <w:rsid w:val="0016442F"/>
    <w:rsid w:val="00164650"/>
    <w:rsid w:val="001649D1"/>
    <w:rsid w:val="00164D02"/>
    <w:rsid w:val="0016503D"/>
    <w:rsid w:val="0016511E"/>
    <w:rsid w:val="00165418"/>
    <w:rsid w:val="001657F5"/>
    <w:rsid w:val="0016587E"/>
    <w:rsid w:val="001658C9"/>
    <w:rsid w:val="0016598C"/>
    <w:rsid w:val="00165A49"/>
    <w:rsid w:val="00165AD9"/>
    <w:rsid w:val="00165AE2"/>
    <w:rsid w:val="00165AFA"/>
    <w:rsid w:val="00165AFE"/>
    <w:rsid w:val="00165BD8"/>
    <w:rsid w:val="00165D3B"/>
    <w:rsid w:val="001660E4"/>
    <w:rsid w:val="00166138"/>
    <w:rsid w:val="0016619E"/>
    <w:rsid w:val="00166274"/>
    <w:rsid w:val="001664FB"/>
    <w:rsid w:val="00166632"/>
    <w:rsid w:val="00166741"/>
    <w:rsid w:val="00166789"/>
    <w:rsid w:val="001667A9"/>
    <w:rsid w:val="00166A36"/>
    <w:rsid w:val="00166C20"/>
    <w:rsid w:val="00166E5A"/>
    <w:rsid w:val="001674D4"/>
    <w:rsid w:val="001675A9"/>
    <w:rsid w:val="001675F1"/>
    <w:rsid w:val="001677FA"/>
    <w:rsid w:val="0016780D"/>
    <w:rsid w:val="001678E7"/>
    <w:rsid w:val="00167A3C"/>
    <w:rsid w:val="00167C6A"/>
    <w:rsid w:val="00167CE8"/>
    <w:rsid w:val="00167D3D"/>
    <w:rsid w:val="00167F00"/>
    <w:rsid w:val="001701A0"/>
    <w:rsid w:val="00170271"/>
    <w:rsid w:val="00170395"/>
    <w:rsid w:val="0017040E"/>
    <w:rsid w:val="0017041D"/>
    <w:rsid w:val="00170449"/>
    <w:rsid w:val="0017079C"/>
    <w:rsid w:val="001707D9"/>
    <w:rsid w:val="00170955"/>
    <w:rsid w:val="001709D4"/>
    <w:rsid w:val="00170A1E"/>
    <w:rsid w:val="00170A56"/>
    <w:rsid w:val="00170A8E"/>
    <w:rsid w:val="00170B3C"/>
    <w:rsid w:val="00170B50"/>
    <w:rsid w:val="00170B6B"/>
    <w:rsid w:val="00170BCC"/>
    <w:rsid w:val="00170E7E"/>
    <w:rsid w:val="00170F4D"/>
    <w:rsid w:val="0017103F"/>
    <w:rsid w:val="00171315"/>
    <w:rsid w:val="0017132B"/>
    <w:rsid w:val="001715EF"/>
    <w:rsid w:val="00171849"/>
    <w:rsid w:val="00171896"/>
    <w:rsid w:val="00171A57"/>
    <w:rsid w:val="00171AE9"/>
    <w:rsid w:val="00171C69"/>
    <w:rsid w:val="0017217A"/>
    <w:rsid w:val="00172340"/>
    <w:rsid w:val="001724D0"/>
    <w:rsid w:val="0017250B"/>
    <w:rsid w:val="0017252E"/>
    <w:rsid w:val="00172703"/>
    <w:rsid w:val="00172B82"/>
    <w:rsid w:val="00172D5F"/>
    <w:rsid w:val="00172FB4"/>
    <w:rsid w:val="001732C1"/>
    <w:rsid w:val="001733EF"/>
    <w:rsid w:val="001734FB"/>
    <w:rsid w:val="00173553"/>
    <w:rsid w:val="00173577"/>
    <w:rsid w:val="0017359C"/>
    <w:rsid w:val="001736C7"/>
    <w:rsid w:val="001736E6"/>
    <w:rsid w:val="00173793"/>
    <w:rsid w:val="001739B7"/>
    <w:rsid w:val="00173D25"/>
    <w:rsid w:val="00173D91"/>
    <w:rsid w:val="00173E55"/>
    <w:rsid w:val="00173EEC"/>
    <w:rsid w:val="00174058"/>
    <w:rsid w:val="00174454"/>
    <w:rsid w:val="00174576"/>
    <w:rsid w:val="0017459D"/>
    <w:rsid w:val="001745B3"/>
    <w:rsid w:val="00174632"/>
    <w:rsid w:val="001749A5"/>
    <w:rsid w:val="00174A5A"/>
    <w:rsid w:val="00174AAC"/>
    <w:rsid w:val="00174B5E"/>
    <w:rsid w:val="00174C1F"/>
    <w:rsid w:val="00174C97"/>
    <w:rsid w:val="00174E68"/>
    <w:rsid w:val="00174E6A"/>
    <w:rsid w:val="00174F86"/>
    <w:rsid w:val="00175045"/>
    <w:rsid w:val="001751C8"/>
    <w:rsid w:val="0017529A"/>
    <w:rsid w:val="00175308"/>
    <w:rsid w:val="00175354"/>
    <w:rsid w:val="00175424"/>
    <w:rsid w:val="0017564E"/>
    <w:rsid w:val="00175654"/>
    <w:rsid w:val="0017566D"/>
    <w:rsid w:val="0017588E"/>
    <w:rsid w:val="0017589B"/>
    <w:rsid w:val="00175971"/>
    <w:rsid w:val="00175A87"/>
    <w:rsid w:val="00175D80"/>
    <w:rsid w:val="00175EB8"/>
    <w:rsid w:val="00176412"/>
    <w:rsid w:val="001765C9"/>
    <w:rsid w:val="00176658"/>
    <w:rsid w:val="00176770"/>
    <w:rsid w:val="00176791"/>
    <w:rsid w:val="001769A1"/>
    <w:rsid w:val="00176A8F"/>
    <w:rsid w:val="00176AA5"/>
    <w:rsid w:val="00176B73"/>
    <w:rsid w:val="00176BB1"/>
    <w:rsid w:val="00176C9A"/>
    <w:rsid w:val="00176E44"/>
    <w:rsid w:val="00176EF4"/>
    <w:rsid w:val="00177033"/>
    <w:rsid w:val="0017706A"/>
    <w:rsid w:val="001770A7"/>
    <w:rsid w:val="001770E4"/>
    <w:rsid w:val="001770E9"/>
    <w:rsid w:val="001770F9"/>
    <w:rsid w:val="0017720E"/>
    <w:rsid w:val="001772CC"/>
    <w:rsid w:val="001773A9"/>
    <w:rsid w:val="001774B7"/>
    <w:rsid w:val="00177535"/>
    <w:rsid w:val="00177689"/>
    <w:rsid w:val="00177849"/>
    <w:rsid w:val="0017787B"/>
    <w:rsid w:val="00177893"/>
    <w:rsid w:val="001778E6"/>
    <w:rsid w:val="00177933"/>
    <w:rsid w:val="00177A41"/>
    <w:rsid w:val="00177CE8"/>
    <w:rsid w:val="00177F6A"/>
    <w:rsid w:val="0018015A"/>
    <w:rsid w:val="0018019D"/>
    <w:rsid w:val="00180217"/>
    <w:rsid w:val="00180260"/>
    <w:rsid w:val="001803E6"/>
    <w:rsid w:val="00180509"/>
    <w:rsid w:val="00180595"/>
    <w:rsid w:val="00180702"/>
    <w:rsid w:val="00180A0E"/>
    <w:rsid w:val="00180A84"/>
    <w:rsid w:val="00180AE7"/>
    <w:rsid w:val="00180BB4"/>
    <w:rsid w:val="00180C12"/>
    <w:rsid w:val="00180FB9"/>
    <w:rsid w:val="001811B6"/>
    <w:rsid w:val="001812F0"/>
    <w:rsid w:val="00181359"/>
    <w:rsid w:val="001813C9"/>
    <w:rsid w:val="00181412"/>
    <w:rsid w:val="0018141A"/>
    <w:rsid w:val="00181566"/>
    <w:rsid w:val="0018169F"/>
    <w:rsid w:val="001816DE"/>
    <w:rsid w:val="0018181F"/>
    <w:rsid w:val="001818E1"/>
    <w:rsid w:val="001819EE"/>
    <w:rsid w:val="00181AD7"/>
    <w:rsid w:val="00181BAF"/>
    <w:rsid w:val="00181BB6"/>
    <w:rsid w:val="00181E19"/>
    <w:rsid w:val="00181F19"/>
    <w:rsid w:val="00181F4F"/>
    <w:rsid w:val="001821B2"/>
    <w:rsid w:val="0018228E"/>
    <w:rsid w:val="0018277F"/>
    <w:rsid w:val="0018281C"/>
    <w:rsid w:val="001830F1"/>
    <w:rsid w:val="00183337"/>
    <w:rsid w:val="00183433"/>
    <w:rsid w:val="00183516"/>
    <w:rsid w:val="00183543"/>
    <w:rsid w:val="0018355D"/>
    <w:rsid w:val="0018371E"/>
    <w:rsid w:val="0018373E"/>
    <w:rsid w:val="001837AC"/>
    <w:rsid w:val="001838CC"/>
    <w:rsid w:val="00183948"/>
    <w:rsid w:val="001839C0"/>
    <w:rsid w:val="00183A05"/>
    <w:rsid w:val="00183A87"/>
    <w:rsid w:val="00183AF6"/>
    <w:rsid w:val="00183D32"/>
    <w:rsid w:val="00183ED8"/>
    <w:rsid w:val="00183F3C"/>
    <w:rsid w:val="00183FDE"/>
    <w:rsid w:val="00184048"/>
    <w:rsid w:val="00184081"/>
    <w:rsid w:val="0018411F"/>
    <w:rsid w:val="001841DE"/>
    <w:rsid w:val="00184221"/>
    <w:rsid w:val="0018423A"/>
    <w:rsid w:val="0018443E"/>
    <w:rsid w:val="00184793"/>
    <w:rsid w:val="00184928"/>
    <w:rsid w:val="001849E9"/>
    <w:rsid w:val="00184B03"/>
    <w:rsid w:val="00184DD9"/>
    <w:rsid w:val="00184E23"/>
    <w:rsid w:val="00184FD0"/>
    <w:rsid w:val="00184FFA"/>
    <w:rsid w:val="00185075"/>
    <w:rsid w:val="00185147"/>
    <w:rsid w:val="00185215"/>
    <w:rsid w:val="00185344"/>
    <w:rsid w:val="001853C8"/>
    <w:rsid w:val="001853F0"/>
    <w:rsid w:val="00185505"/>
    <w:rsid w:val="0018550C"/>
    <w:rsid w:val="0018562C"/>
    <w:rsid w:val="00185798"/>
    <w:rsid w:val="00185802"/>
    <w:rsid w:val="00185905"/>
    <w:rsid w:val="001859E8"/>
    <w:rsid w:val="00185C35"/>
    <w:rsid w:val="00185E2C"/>
    <w:rsid w:val="00185ED7"/>
    <w:rsid w:val="00185F29"/>
    <w:rsid w:val="00186127"/>
    <w:rsid w:val="00186169"/>
    <w:rsid w:val="00186307"/>
    <w:rsid w:val="0018639A"/>
    <w:rsid w:val="001863F7"/>
    <w:rsid w:val="0018669D"/>
    <w:rsid w:val="001866AC"/>
    <w:rsid w:val="00186924"/>
    <w:rsid w:val="00186EBC"/>
    <w:rsid w:val="001870C5"/>
    <w:rsid w:val="001870F1"/>
    <w:rsid w:val="00187105"/>
    <w:rsid w:val="00187293"/>
    <w:rsid w:val="001876EC"/>
    <w:rsid w:val="00187789"/>
    <w:rsid w:val="00187828"/>
    <w:rsid w:val="0018792C"/>
    <w:rsid w:val="00187B21"/>
    <w:rsid w:val="00187CB2"/>
    <w:rsid w:val="00187EAD"/>
    <w:rsid w:val="00190110"/>
    <w:rsid w:val="00190297"/>
    <w:rsid w:val="001902D9"/>
    <w:rsid w:val="00190304"/>
    <w:rsid w:val="0019037B"/>
    <w:rsid w:val="001904ED"/>
    <w:rsid w:val="00190AB4"/>
    <w:rsid w:val="00190C18"/>
    <w:rsid w:val="00190CC5"/>
    <w:rsid w:val="00190F69"/>
    <w:rsid w:val="001912D9"/>
    <w:rsid w:val="00191313"/>
    <w:rsid w:val="001916C0"/>
    <w:rsid w:val="00191744"/>
    <w:rsid w:val="00191867"/>
    <w:rsid w:val="0019188E"/>
    <w:rsid w:val="001918BD"/>
    <w:rsid w:val="001918EF"/>
    <w:rsid w:val="001919DE"/>
    <w:rsid w:val="00191AC7"/>
    <w:rsid w:val="00191B1A"/>
    <w:rsid w:val="00191D06"/>
    <w:rsid w:val="00191FEB"/>
    <w:rsid w:val="00192248"/>
    <w:rsid w:val="0019233C"/>
    <w:rsid w:val="00192670"/>
    <w:rsid w:val="0019279F"/>
    <w:rsid w:val="001927F1"/>
    <w:rsid w:val="001929AD"/>
    <w:rsid w:val="00192DC3"/>
    <w:rsid w:val="00192E43"/>
    <w:rsid w:val="00192EA6"/>
    <w:rsid w:val="00193278"/>
    <w:rsid w:val="0019346B"/>
    <w:rsid w:val="00193564"/>
    <w:rsid w:val="0019366F"/>
    <w:rsid w:val="001936A8"/>
    <w:rsid w:val="00193754"/>
    <w:rsid w:val="00193CF9"/>
    <w:rsid w:val="0019407E"/>
    <w:rsid w:val="001941E2"/>
    <w:rsid w:val="00194528"/>
    <w:rsid w:val="00194766"/>
    <w:rsid w:val="001949D5"/>
    <w:rsid w:val="00194A5C"/>
    <w:rsid w:val="00194AA5"/>
    <w:rsid w:val="00194F5E"/>
    <w:rsid w:val="00194F97"/>
    <w:rsid w:val="00195160"/>
    <w:rsid w:val="00195258"/>
    <w:rsid w:val="001952AA"/>
    <w:rsid w:val="001952BB"/>
    <w:rsid w:val="0019539A"/>
    <w:rsid w:val="00195692"/>
    <w:rsid w:val="001956CB"/>
    <w:rsid w:val="001956D0"/>
    <w:rsid w:val="0019571C"/>
    <w:rsid w:val="00195927"/>
    <w:rsid w:val="00195B84"/>
    <w:rsid w:val="00195DA4"/>
    <w:rsid w:val="00196053"/>
    <w:rsid w:val="001961F3"/>
    <w:rsid w:val="00196226"/>
    <w:rsid w:val="00196280"/>
    <w:rsid w:val="0019628C"/>
    <w:rsid w:val="001962A5"/>
    <w:rsid w:val="001962E5"/>
    <w:rsid w:val="0019637C"/>
    <w:rsid w:val="00196501"/>
    <w:rsid w:val="0019685C"/>
    <w:rsid w:val="00196864"/>
    <w:rsid w:val="00196876"/>
    <w:rsid w:val="001968BC"/>
    <w:rsid w:val="001969C1"/>
    <w:rsid w:val="00196B57"/>
    <w:rsid w:val="00196BA8"/>
    <w:rsid w:val="00196C01"/>
    <w:rsid w:val="00196C73"/>
    <w:rsid w:val="0019701B"/>
    <w:rsid w:val="001971F0"/>
    <w:rsid w:val="001973DF"/>
    <w:rsid w:val="00197764"/>
    <w:rsid w:val="00197834"/>
    <w:rsid w:val="00197874"/>
    <w:rsid w:val="00197CA2"/>
    <w:rsid w:val="00197D31"/>
    <w:rsid w:val="00197DE0"/>
    <w:rsid w:val="00197E35"/>
    <w:rsid w:val="00197E49"/>
    <w:rsid w:val="00197FE6"/>
    <w:rsid w:val="001A00F4"/>
    <w:rsid w:val="001A0142"/>
    <w:rsid w:val="001A047B"/>
    <w:rsid w:val="001A04D2"/>
    <w:rsid w:val="001A0767"/>
    <w:rsid w:val="001A0794"/>
    <w:rsid w:val="001A07DD"/>
    <w:rsid w:val="001A0B1C"/>
    <w:rsid w:val="001A0E21"/>
    <w:rsid w:val="001A0F79"/>
    <w:rsid w:val="001A0F9E"/>
    <w:rsid w:val="001A0FAA"/>
    <w:rsid w:val="001A0FFC"/>
    <w:rsid w:val="001A1018"/>
    <w:rsid w:val="001A1022"/>
    <w:rsid w:val="001A104D"/>
    <w:rsid w:val="001A1197"/>
    <w:rsid w:val="001A11D4"/>
    <w:rsid w:val="001A19CD"/>
    <w:rsid w:val="001A1F33"/>
    <w:rsid w:val="001A1F58"/>
    <w:rsid w:val="001A20DC"/>
    <w:rsid w:val="001A20F5"/>
    <w:rsid w:val="001A2145"/>
    <w:rsid w:val="001A24AF"/>
    <w:rsid w:val="001A254A"/>
    <w:rsid w:val="001A25D8"/>
    <w:rsid w:val="001A2753"/>
    <w:rsid w:val="001A27B9"/>
    <w:rsid w:val="001A2830"/>
    <w:rsid w:val="001A2991"/>
    <w:rsid w:val="001A2A96"/>
    <w:rsid w:val="001A2E64"/>
    <w:rsid w:val="001A2F3A"/>
    <w:rsid w:val="001A2F46"/>
    <w:rsid w:val="001A2F52"/>
    <w:rsid w:val="001A2FBD"/>
    <w:rsid w:val="001A31F3"/>
    <w:rsid w:val="001A3228"/>
    <w:rsid w:val="001A32FA"/>
    <w:rsid w:val="001A3367"/>
    <w:rsid w:val="001A3395"/>
    <w:rsid w:val="001A3452"/>
    <w:rsid w:val="001A3458"/>
    <w:rsid w:val="001A3588"/>
    <w:rsid w:val="001A37C9"/>
    <w:rsid w:val="001A37EF"/>
    <w:rsid w:val="001A3DC9"/>
    <w:rsid w:val="001A3E7C"/>
    <w:rsid w:val="001A4049"/>
    <w:rsid w:val="001A4194"/>
    <w:rsid w:val="001A41EB"/>
    <w:rsid w:val="001A4236"/>
    <w:rsid w:val="001A430A"/>
    <w:rsid w:val="001A4334"/>
    <w:rsid w:val="001A46E2"/>
    <w:rsid w:val="001A477B"/>
    <w:rsid w:val="001A4783"/>
    <w:rsid w:val="001A4998"/>
    <w:rsid w:val="001A4A5E"/>
    <w:rsid w:val="001A4BA0"/>
    <w:rsid w:val="001A4C25"/>
    <w:rsid w:val="001A4D29"/>
    <w:rsid w:val="001A4DBA"/>
    <w:rsid w:val="001A4F9B"/>
    <w:rsid w:val="001A4FBA"/>
    <w:rsid w:val="001A5087"/>
    <w:rsid w:val="001A54FC"/>
    <w:rsid w:val="001A57F0"/>
    <w:rsid w:val="001A5853"/>
    <w:rsid w:val="001A590D"/>
    <w:rsid w:val="001A597A"/>
    <w:rsid w:val="001A5A6E"/>
    <w:rsid w:val="001A5AA6"/>
    <w:rsid w:val="001A5BBF"/>
    <w:rsid w:val="001A6120"/>
    <w:rsid w:val="001A6159"/>
    <w:rsid w:val="001A6455"/>
    <w:rsid w:val="001A6483"/>
    <w:rsid w:val="001A6604"/>
    <w:rsid w:val="001A669B"/>
    <w:rsid w:val="001A6B4D"/>
    <w:rsid w:val="001A6B70"/>
    <w:rsid w:val="001A7228"/>
    <w:rsid w:val="001A73B6"/>
    <w:rsid w:val="001A754A"/>
    <w:rsid w:val="001A7DEF"/>
    <w:rsid w:val="001A7E0F"/>
    <w:rsid w:val="001A7EB6"/>
    <w:rsid w:val="001A7FBC"/>
    <w:rsid w:val="001A7FCA"/>
    <w:rsid w:val="001B00CE"/>
    <w:rsid w:val="001B0274"/>
    <w:rsid w:val="001B04C0"/>
    <w:rsid w:val="001B061A"/>
    <w:rsid w:val="001B0B3F"/>
    <w:rsid w:val="001B0B42"/>
    <w:rsid w:val="001B0BDA"/>
    <w:rsid w:val="001B0D54"/>
    <w:rsid w:val="001B10C0"/>
    <w:rsid w:val="001B11B2"/>
    <w:rsid w:val="001B1225"/>
    <w:rsid w:val="001B1250"/>
    <w:rsid w:val="001B1280"/>
    <w:rsid w:val="001B12A9"/>
    <w:rsid w:val="001B132B"/>
    <w:rsid w:val="001B13A6"/>
    <w:rsid w:val="001B1401"/>
    <w:rsid w:val="001B15B4"/>
    <w:rsid w:val="001B1639"/>
    <w:rsid w:val="001B167C"/>
    <w:rsid w:val="001B16B9"/>
    <w:rsid w:val="001B173D"/>
    <w:rsid w:val="001B1835"/>
    <w:rsid w:val="001B18FF"/>
    <w:rsid w:val="001B1C6E"/>
    <w:rsid w:val="001B204B"/>
    <w:rsid w:val="001B23E4"/>
    <w:rsid w:val="001B2429"/>
    <w:rsid w:val="001B27E0"/>
    <w:rsid w:val="001B2881"/>
    <w:rsid w:val="001B28A9"/>
    <w:rsid w:val="001B28BA"/>
    <w:rsid w:val="001B292F"/>
    <w:rsid w:val="001B2DEC"/>
    <w:rsid w:val="001B2F1A"/>
    <w:rsid w:val="001B3140"/>
    <w:rsid w:val="001B32BD"/>
    <w:rsid w:val="001B356B"/>
    <w:rsid w:val="001B3813"/>
    <w:rsid w:val="001B3860"/>
    <w:rsid w:val="001B3C0D"/>
    <w:rsid w:val="001B3ED9"/>
    <w:rsid w:val="001B3FAA"/>
    <w:rsid w:val="001B4105"/>
    <w:rsid w:val="001B4233"/>
    <w:rsid w:val="001B42AF"/>
    <w:rsid w:val="001B4387"/>
    <w:rsid w:val="001B43D0"/>
    <w:rsid w:val="001B4437"/>
    <w:rsid w:val="001B44AC"/>
    <w:rsid w:val="001B44D2"/>
    <w:rsid w:val="001B4584"/>
    <w:rsid w:val="001B48B6"/>
    <w:rsid w:val="001B48EB"/>
    <w:rsid w:val="001B4D22"/>
    <w:rsid w:val="001B50E7"/>
    <w:rsid w:val="001B5177"/>
    <w:rsid w:val="001B56BC"/>
    <w:rsid w:val="001B570D"/>
    <w:rsid w:val="001B57E4"/>
    <w:rsid w:val="001B5B6B"/>
    <w:rsid w:val="001B5D05"/>
    <w:rsid w:val="001B5DB0"/>
    <w:rsid w:val="001B5E6E"/>
    <w:rsid w:val="001B6389"/>
    <w:rsid w:val="001B6416"/>
    <w:rsid w:val="001B64D0"/>
    <w:rsid w:val="001B65EE"/>
    <w:rsid w:val="001B673E"/>
    <w:rsid w:val="001B67D0"/>
    <w:rsid w:val="001B69A9"/>
    <w:rsid w:val="001B6DC2"/>
    <w:rsid w:val="001B6DE6"/>
    <w:rsid w:val="001B6EBB"/>
    <w:rsid w:val="001B6F9E"/>
    <w:rsid w:val="001B7078"/>
    <w:rsid w:val="001B707C"/>
    <w:rsid w:val="001B717C"/>
    <w:rsid w:val="001B727B"/>
    <w:rsid w:val="001B731B"/>
    <w:rsid w:val="001B747C"/>
    <w:rsid w:val="001B75F4"/>
    <w:rsid w:val="001B799D"/>
    <w:rsid w:val="001C03FB"/>
    <w:rsid w:val="001C04CC"/>
    <w:rsid w:val="001C051E"/>
    <w:rsid w:val="001C05AB"/>
    <w:rsid w:val="001C06AA"/>
    <w:rsid w:val="001C07A1"/>
    <w:rsid w:val="001C0AE8"/>
    <w:rsid w:val="001C0C02"/>
    <w:rsid w:val="001C0C2B"/>
    <w:rsid w:val="001C0DC1"/>
    <w:rsid w:val="001C0FCB"/>
    <w:rsid w:val="001C11B8"/>
    <w:rsid w:val="001C1297"/>
    <w:rsid w:val="001C12DC"/>
    <w:rsid w:val="001C13AA"/>
    <w:rsid w:val="001C14AD"/>
    <w:rsid w:val="001C1510"/>
    <w:rsid w:val="001C16AB"/>
    <w:rsid w:val="001C187D"/>
    <w:rsid w:val="001C18DD"/>
    <w:rsid w:val="001C18E5"/>
    <w:rsid w:val="001C1A05"/>
    <w:rsid w:val="001C1A45"/>
    <w:rsid w:val="001C1C5B"/>
    <w:rsid w:val="001C1D81"/>
    <w:rsid w:val="001C1DC1"/>
    <w:rsid w:val="001C1DEC"/>
    <w:rsid w:val="001C1E84"/>
    <w:rsid w:val="001C1EB3"/>
    <w:rsid w:val="001C203E"/>
    <w:rsid w:val="001C209B"/>
    <w:rsid w:val="001C20B0"/>
    <w:rsid w:val="001C227C"/>
    <w:rsid w:val="001C2359"/>
    <w:rsid w:val="001C24AD"/>
    <w:rsid w:val="001C260F"/>
    <w:rsid w:val="001C2698"/>
    <w:rsid w:val="001C2D31"/>
    <w:rsid w:val="001C2DF6"/>
    <w:rsid w:val="001C2E24"/>
    <w:rsid w:val="001C3355"/>
    <w:rsid w:val="001C35F2"/>
    <w:rsid w:val="001C391C"/>
    <w:rsid w:val="001C3960"/>
    <w:rsid w:val="001C3AD4"/>
    <w:rsid w:val="001C3DB6"/>
    <w:rsid w:val="001C3E35"/>
    <w:rsid w:val="001C3E97"/>
    <w:rsid w:val="001C40A1"/>
    <w:rsid w:val="001C41CB"/>
    <w:rsid w:val="001C424F"/>
    <w:rsid w:val="001C439C"/>
    <w:rsid w:val="001C4429"/>
    <w:rsid w:val="001C4457"/>
    <w:rsid w:val="001C4660"/>
    <w:rsid w:val="001C4AFF"/>
    <w:rsid w:val="001C4B97"/>
    <w:rsid w:val="001C50E9"/>
    <w:rsid w:val="001C512C"/>
    <w:rsid w:val="001C5778"/>
    <w:rsid w:val="001C5779"/>
    <w:rsid w:val="001C5922"/>
    <w:rsid w:val="001C5932"/>
    <w:rsid w:val="001C5C58"/>
    <w:rsid w:val="001C621D"/>
    <w:rsid w:val="001C6493"/>
    <w:rsid w:val="001C650F"/>
    <w:rsid w:val="001C65ED"/>
    <w:rsid w:val="001C6741"/>
    <w:rsid w:val="001C67A5"/>
    <w:rsid w:val="001C67CA"/>
    <w:rsid w:val="001C69D7"/>
    <w:rsid w:val="001C6A40"/>
    <w:rsid w:val="001C6AE2"/>
    <w:rsid w:val="001C6B51"/>
    <w:rsid w:val="001C6E1B"/>
    <w:rsid w:val="001C6E87"/>
    <w:rsid w:val="001C713A"/>
    <w:rsid w:val="001C72DD"/>
    <w:rsid w:val="001C730D"/>
    <w:rsid w:val="001C7497"/>
    <w:rsid w:val="001C7518"/>
    <w:rsid w:val="001C778E"/>
    <w:rsid w:val="001C796E"/>
    <w:rsid w:val="001C7D17"/>
    <w:rsid w:val="001C7D1B"/>
    <w:rsid w:val="001C7E0D"/>
    <w:rsid w:val="001C7FE8"/>
    <w:rsid w:val="001D0028"/>
    <w:rsid w:val="001D0174"/>
    <w:rsid w:val="001D020F"/>
    <w:rsid w:val="001D03F0"/>
    <w:rsid w:val="001D052C"/>
    <w:rsid w:val="001D053B"/>
    <w:rsid w:val="001D071A"/>
    <w:rsid w:val="001D0853"/>
    <w:rsid w:val="001D0899"/>
    <w:rsid w:val="001D0DD5"/>
    <w:rsid w:val="001D0DF7"/>
    <w:rsid w:val="001D0E56"/>
    <w:rsid w:val="001D100E"/>
    <w:rsid w:val="001D104E"/>
    <w:rsid w:val="001D1348"/>
    <w:rsid w:val="001D153D"/>
    <w:rsid w:val="001D161D"/>
    <w:rsid w:val="001D17A7"/>
    <w:rsid w:val="001D17FB"/>
    <w:rsid w:val="001D1997"/>
    <w:rsid w:val="001D1AB2"/>
    <w:rsid w:val="001D1AF4"/>
    <w:rsid w:val="001D1B57"/>
    <w:rsid w:val="001D1CFA"/>
    <w:rsid w:val="001D1E48"/>
    <w:rsid w:val="001D1F11"/>
    <w:rsid w:val="001D21F9"/>
    <w:rsid w:val="001D2546"/>
    <w:rsid w:val="001D259F"/>
    <w:rsid w:val="001D25D2"/>
    <w:rsid w:val="001D278A"/>
    <w:rsid w:val="001D2802"/>
    <w:rsid w:val="001D28EC"/>
    <w:rsid w:val="001D2980"/>
    <w:rsid w:val="001D2987"/>
    <w:rsid w:val="001D2A99"/>
    <w:rsid w:val="001D2AB4"/>
    <w:rsid w:val="001D2E2C"/>
    <w:rsid w:val="001D2E30"/>
    <w:rsid w:val="001D2E5E"/>
    <w:rsid w:val="001D3478"/>
    <w:rsid w:val="001D34CB"/>
    <w:rsid w:val="001D3605"/>
    <w:rsid w:val="001D36C6"/>
    <w:rsid w:val="001D3702"/>
    <w:rsid w:val="001D37A5"/>
    <w:rsid w:val="001D3980"/>
    <w:rsid w:val="001D3AF9"/>
    <w:rsid w:val="001D3C72"/>
    <w:rsid w:val="001D3D44"/>
    <w:rsid w:val="001D4026"/>
    <w:rsid w:val="001D4098"/>
    <w:rsid w:val="001D40B3"/>
    <w:rsid w:val="001D40D0"/>
    <w:rsid w:val="001D4218"/>
    <w:rsid w:val="001D4464"/>
    <w:rsid w:val="001D44F9"/>
    <w:rsid w:val="001D44FF"/>
    <w:rsid w:val="001D46A1"/>
    <w:rsid w:val="001D4873"/>
    <w:rsid w:val="001D487C"/>
    <w:rsid w:val="001D496B"/>
    <w:rsid w:val="001D4971"/>
    <w:rsid w:val="001D49A8"/>
    <w:rsid w:val="001D49B6"/>
    <w:rsid w:val="001D4B64"/>
    <w:rsid w:val="001D4D94"/>
    <w:rsid w:val="001D51DA"/>
    <w:rsid w:val="001D52B5"/>
    <w:rsid w:val="001D54AE"/>
    <w:rsid w:val="001D55AC"/>
    <w:rsid w:val="001D56D5"/>
    <w:rsid w:val="001D5721"/>
    <w:rsid w:val="001D5771"/>
    <w:rsid w:val="001D5802"/>
    <w:rsid w:val="001D5808"/>
    <w:rsid w:val="001D58DE"/>
    <w:rsid w:val="001D599B"/>
    <w:rsid w:val="001D5A15"/>
    <w:rsid w:val="001D5A72"/>
    <w:rsid w:val="001D5B11"/>
    <w:rsid w:val="001D5C3B"/>
    <w:rsid w:val="001D5D47"/>
    <w:rsid w:val="001D5DE3"/>
    <w:rsid w:val="001D5E14"/>
    <w:rsid w:val="001D5F35"/>
    <w:rsid w:val="001D6068"/>
    <w:rsid w:val="001D614C"/>
    <w:rsid w:val="001D6226"/>
    <w:rsid w:val="001D624B"/>
    <w:rsid w:val="001D64D2"/>
    <w:rsid w:val="001D64EC"/>
    <w:rsid w:val="001D6733"/>
    <w:rsid w:val="001D6743"/>
    <w:rsid w:val="001D6841"/>
    <w:rsid w:val="001D6923"/>
    <w:rsid w:val="001D6A6E"/>
    <w:rsid w:val="001D6A98"/>
    <w:rsid w:val="001D6C53"/>
    <w:rsid w:val="001D6F1D"/>
    <w:rsid w:val="001D733E"/>
    <w:rsid w:val="001D73AE"/>
    <w:rsid w:val="001D7479"/>
    <w:rsid w:val="001D7698"/>
    <w:rsid w:val="001D7720"/>
    <w:rsid w:val="001D77EA"/>
    <w:rsid w:val="001D7805"/>
    <w:rsid w:val="001D7908"/>
    <w:rsid w:val="001D7929"/>
    <w:rsid w:val="001D792C"/>
    <w:rsid w:val="001D79A3"/>
    <w:rsid w:val="001D7BC4"/>
    <w:rsid w:val="001D7BFC"/>
    <w:rsid w:val="001D7CF1"/>
    <w:rsid w:val="001E0121"/>
    <w:rsid w:val="001E01B1"/>
    <w:rsid w:val="001E04E8"/>
    <w:rsid w:val="001E071B"/>
    <w:rsid w:val="001E0805"/>
    <w:rsid w:val="001E0959"/>
    <w:rsid w:val="001E0994"/>
    <w:rsid w:val="001E0A57"/>
    <w:rsid w:val="001E0B0D"/>
    <w:rsid w:val="001E0B6A"/>
    <w:rsid w:val="001E0C79"/>
    <w:rsid w:val="001E11AF"/>
    <w:rsid w:val="001E12E9"/>
    <w:rsid w:val="001E145F"/>
    <w:rsid w:val="001E1492"/>
    <w:rsid w:val="001E1517"/>
    <w:rsid w:val="001E1685"/>
    <w:rsid w:val="001E1827"/>
    <w:rsid w:val="001E1AE6"/>
    <w:rsid w:val="001E1AE9"/>
    <w:rsid w:val="001E1D4F"/>
    <w:rsid w:val="001E1EA1"/>
    <w:rsid w:val="001E1FF1"/>
    <w:rsid w:val="001E2132"/>
    <w:rsid w:val="001E220C"/>
    <w:rsid w:val="001E247D"/>
    <w:rsid w:val="001E25EC"/>
    <w:rsid w:val="001E290A"/>
    <w:rsid w:val="001E29A1"/>
    <w:rsid w:val="001E2A29"/>
    <w:rsid w:val="001E2A35"/>
    <w:rsid w:val="001E2AA3"/>
    <w:rsid w:val="001E2B8D"/>
    <w:rsid w:val="001E2BA0"/>
    <w:rsid w:val="001E2D3F"/>
    <w:rsid w:val="001E2DE5"/>
    <w:rsid w:val="001E2E25"/>
    <w:rsid w:val="001E2E48"/>
    <w:rsid w:val="001E2E6F"/>
    <w:rsid w:val="001E2ED8"/>
    <w:rsid w:val="001E2F0B"/>
    <w:rsid w:val="001E32F4"/>
    <w:rsid w:val="001E3603"/>
    <w:rsid w:val="001E36F3"/>
    <w:rsid w:val="001E3839"/>
    <w:rsid w:val="001E3842"/>
    <w:rsid w:val="001E39A7"/>
    <w:rsid w:val="001E3BAE"/>
    <w:rsid w:val="001E3F78"/>
    <w:rsid w:val="001E3F84"/>
    <w:rsid w:val="001E4018"/>
    <w:rsid w:val="001E4111"/>
    <w:rsid w:val="001E422A"/>
    <w:rsid w:val="001E436A"/>
    <w:rsid w:val="001E451D"/>
    <w:rsid w:val="001E458F"/>
    <w:rsid w:val="001E45B9"/>
    <w:rsid w:val="001E471D"/>
    <w:rsid w:val="001E4A59"/>
    <w:rsid w:val="001E4AE7"/>
    <w:rsid w:val="001E4BED"/>
    <w:rsid w:val="001E4C33"/>
    <w:rsid w:val="001E4CD9"/>
    <w:rsid w:val="001E4CDE"/>
    <w:rsid w:val="001E4DCC"/>
    <w:rsid w:val="001E4DD4"/>
    <w:rsid w:val="001E4E98"/>
    <w:rsid w:val="001E4EC3"/>
    <w:rsid w:val="001E5102"/>
    <w:rsid w:val="001E514A"/>
    <w:rsid w:val="001E52F4"/>
    <w:rsid w:val="001E52F8"/>
    <w:rsid w:val="001E53D8"/>
    <w:rsid w:val="001E5525"/>
    <w:rsid w:val="001E55C9"/>
    <w:rsid w:val="001E56B9"/>
    <w:rsid w:val="001E5768"/>
    <w:rsid w:val="001E585A"/>
    <w:rsid w:val="001E5896"/>
    <w:rsid w:val="001E5918"/>
    <w:rsid w:val="001E594B"/>
    <w:rsid w:val="001E594D"/>
    <w:rsid w:val="001E595F"/>
    <w:rsid w:val="001E5A9F"/>
    <w:rsid w:val="001E5B66"/>
    <w:rsid w:val="001E5B6F"/>
    <w:rsid w:val="001E5C54"/>
    <w:rsid w:val="001E5DBB"/>
    <w:rsid w:val="001E5F47"/>
    <w:rsid w:val="001E6055"/>
    <w:rsid w:val="001E6256"/>
    <w:rsid w:val="001E6408"/>
    <w:rsid w:val="001E665E"/>
    <w:rsid w:val="001E6C41"/>
    <w:rsid w:val="001E6D56"/>
    <w:rsid w:val="001E6EB4"/>
    <w:rsid w:val="001E71AE"/>
    <w:rsid w:val="001E71E0"/>
    <w:rsid w:val="001E7439"/>
    <w:rsid w:val="001E7487"/>
    <w:rsid w:val="001E76B8"/>
    <w:rsid w:val="001E76F4"/>
    <w:rsid w:val="001E7B0F"/>
    <w:rsid w:val="001E7D90"/>
    <w:rsid w:val="001E7ECE"/>
    <w:rsid w:val="001E7F8D"/>
    <w:rsid w:val="001E7FB3"/>
    <w:rsid w:val="001E7FD8"/>
    <w:rsid w:val="001F0357"/>
    <w:rsid w:val="001F0455"/>
    <w:rsid w:val="001F0517"/>
    <w:rsid w:val="001F062F"/>
    <w:rsid w:val="001F06DE"/>
    <w:rsid w:val="001F073C"/>
    <w:rsid w:val="001F0919"/>
    <w:rsid w:val="001F0923"/>
    <w:rsid w:val="001F0D0A"/>
    <w:rsid w:val="001F0E33"/>
    <w:rsid w:val="001F0F17"/>
    <w:rsid w:val="001F1025"/>
    <w:rsid w:val="001F1501"/>
    <w:rsid w:val="001F167A"/>
    <w:rsid w:val="001F16C2"/>
    <w:rsid w:val="001F17B3"/>
    <w:rsid w:val="001F1856"/>
    <w:rsid w:val="001F18C2"/>
    <w:rsid w:val="001F1A85"/>
    <w:rsid w:val="001F1C89"/>
    <w:rsid w:val="001F1D07"/>
    <w:rsid w:val="001F1EAC"/>
    <w:rsid w:val="001F2150"/>
    <w:rsid w:val="001F226A"/>
    <w:rsid w:val="001F2406"/>
    <w:rsid w:val="001F243D"/>
    <w:rsid w:val="001F25BA"/>
    <w:rsid w:val="001F26EE"/>
    <w:rsid w:val="001F2840"/>
    <w:rsid w:val="001F2859"/>
    <w:rsid w:val="001F2910"/>
    <w:rsid w:val="001F2912"/>
    <w:rsid w:val="001F296A"/>
    <w:rsid w:val="001F29DC"/>
    <w:rsid w:val="001F2DAD"/>
    <w:rsid w:val="001F2F47"/>
    <w:rsid w:val="001F349C"/>
    <w:rsid w:val="001F34B5"/>
    <w:rsid w:val="001F34B9"/>
    <w:rsid w:val="001F3528"/>
    <w:rsid w:val="001F35A2"/>
    <w:rsid w:val="001F366A"/>
    <w:rsid w:val="001F3800"/>
    <w:rsid w:val="001F38E0"/>
    <w:rsid w:val="001F399E"/>
    <w:rsid w:val="001F3C4A"/>
    <w:rsid w:val="001F3F2F"/>
    <w:rsid w:val="001F4184"/>
    <w:rsid w:val="001F41C1"/>
    <w:rsid w:val="001F4310"/>
    <w:rsid w:val="001F4362"/>
    <w:rsid w:val="001F43D4"/>
    <w:rsid w:val="001F4480"/>
    <w:rsid w:val="001F4645"/>
    <w:rsid w:val="001F4B82"/>
    <w:rsid w:val="001F4B92"/>
    <w:rsid w:val="001F4D0A"/>
    <w:rsid w:val="001F4D0C"/>
    <w:rsid w:val="001F4DDD"/>
    <w:rsid w:val="001F4EBB"/>
    <w:rsid w:val="001F5016"/>
    <w:rsid w:val="001F53CF"/>
    <w:rsid w:val="001F57A0"/>
    <w:rsid w:val="001F58F1"/>
    <w:rsid w:val="001F5944"/>
    <w:rsid w:val="001F5A0F"/>
    <w:rsid w:val="001F5B0D"/>
    <w:rsid w:val="001F5CED"/>
    <w:rsid w:val="001F5D34"/>
    <w:rsid w:val="001F5F86"/>
    <w:rsid w:val="001F6021"/>
    <w:rsid w:val="001F6113"/>
    <w:rsid w:val="001F6167"/>
    <w:rsid w:val="001F61C1"/>
    <w:rsid w:val="001F646A"/>
    <w:rsid w:val="001F66BD"/>
    <w:rsid w:val="001F66CB"/>
    <w:rsid w:val="001F6780"/>
    <w:rsid w:val="001F6896"/>
    <w:rsid w:val="001F68BA"/>
    <w:rsid w:val="001F68D2"/>
    <w:rsid w:val="001F6A98"/>
    <w:rsid w:val="001F6C6B"/>
    <w:rsid w:val="001F70DF"/>
    <w:rsid w:val="001F73B8"/>
    <w:rsid w:val="001F7479"/>
    <w:rsid w:val="001F74F7"/>
    <w:rsid w:val="001F7518"/>
    <w:rsid w:val="001F752E"/>
    <w:rsid w:val="001F7661"/>
    <w:rsid w:val="001F7856"/>
    <w:rsid w:val="001F7A4A"/>
    <w:rsid w:val="001F7AB9"/>
    <w:rsid w:val="001F7B7D"/>
    <w:rsid w:val="001F7B94"/>
    <w:rsid w:val="001F7E6A"/>
    <w:rsid w:val="001F7F38"/>
    <w:rsid w:val="001F7F7B"/>
    <w:rsid w:val="002001DD"/>
    <w:rsid w:val="00200296"/>
    <w:rsid w:val="002003CD"/>
    <w:rsid w:val="002003DA"/>
    <w:rsid w:val="00200400"/>
    <w:rsid w:val="00200465"/>
    <w:rsid w:val="00200628"/>
    <w:rsid w:val="00200654"/>
    <w:rsid w:val="0020072B"/>
    <w:rsid w:val="002007BD"/>
    <w:rsid w:val="00200919"/>
    <w:rsid w:val="00200939"/>
    <w:rsid w:val="00200A6C"/>
    <w:rsid w:val="00200B6C"/>
    <w:rsid w:val="00200B72"/>
    <w:rsid w:val="00200BE0"/>
    <w:rsid w:val="00200F73"/>
    <w:rsid w:val="00200F94"/>
    <w:rsid w:val="00200FCC"/>
    <w:rsid w:val="00201432"/>
    <w:rsid w:val="0020170B"/>
    <w:rsid w:val="0020192B"/>
    <w:rsid w:val="00201ADB"/>
    <w:rsid w:val="00201B5C"/>
    <w:rsid w:val="00201CED"/>
    <w:rsid w:val="00201DDE"/>
    <w:rsid w:val="00201DFB"/>
    <w:rsid w:val="00201F96"/>
    <w:rsid w:val="002020C5"/>
    <w:rsid w:val="0020250C"/>
    <w:rsid w:val="002025F0"/>
    <w:rsid w:val="00202802"/>
    <w:rsid w:val="002028E4"/>
    <w:rsid w:val="00202D4A"/>
    <w:rsid w:val="00202D59"/>
    <w:rsid w:val="00202DA8"/>
    <w:rsid w:val="00202DDB"/>
    <w:rsid w:val="00203240"/>
    <w:rsid w:val="0020377A"/>
    <w:rsid w:val="0020387E"/>
    <w:rsid w:val="0020393D"/>
    <w:rsid w:val="0020399D"/>
    <w:rsid w:val="00203ABB"/>
    <w:rsid w:val="00203ADD"/>
    <w:rsid w:val="00203C3C"/>
    <w:rsid w:val="00203D8B"/>
    <w:rsid w:val="00203EDC"/>
    <w:rsid w:val="00204012"/>
    <w:rsid w:val="0020403C"/>
    <w:rsid w:val="00204085"/>
    <w:rsid w:val="0020418C"/>
    <w:rsid w:val="00204252"/>
    <w:rsid w:val="00204725"/>
    <w:rsid w:val="00204771"/>
    <w:rsid w:val="002047AA"/>
    <w:rsid w:val="0020487C"/>
    <w:rsid w:val="00204B6C"/>
    <w:rsid w:val="00204B97"/>
    <w:rsid w:val="00204D4A"/>
    <w:rsid w:val="00204D5B"/>
    <w:rsid w:val="0020514A"/>
    <w:rsid w:val="002053CF"/>
    <w:rsid w:val="00205470"/>
    <w:rsid w:val="00205589"/>
    <w:rsid w:val="0020569A"/>
    <w:rsid w:val="002058E5"/>
    <w:rsid w:val="00205B45"/>
    <w:rsid w:val="00205BA5"/>
    <w:rsid w:val="00205E02"/>
    <w:rsid w:val="00205F63"/>
    <w:rsid w:val="00205FD0"/>
    <w:rsid w:val="002060E1"/>
    <w:rsid w:val="00206284"/>
    <w:rsid w:val="00206952"/>
    <w:rsid w:val="00206E44"/>
    <w:rsid w:val="002070DA"/>
    <w:rsid w:val="00207105"/>
    <w:rsid w:val="0020717A"/>
    <w:rsid w:val="002074C7"/>
    <w:rsid w:val="00207606"/>
    <w:rsid w:val="0020778D"/>
    <w:rsid w:val="00207982"/>
    <w:rsid w:val="00207B95"/>
    <w:rsid w:val="00207E82"/>
    <w:rsid w:val="00207F47"/>
    <w:rsid w:val="002100D3"/>
    <w:rsid w:val="002100F4"/>
    <w:rsid w:val="00210102"/>
    <w:rsid w:val="00210380"/>
    <w:rsid w:val="00210381"/>
    <w:rsid w:val="00210440"/>
    <w:rsid w:val="00210532"/>
    <w:rsid w:val="0021055E"/>
    <w:rsid w:val="00210655"/>
    <w:rsid w:val="002106BB"/>
    <w:rsid w:val="002106DA"/>
    <w:rsid w:val="0021075A"/>
    <w:rsid w:val="0021081D"/>
    <w:rsid w:val="0021096C"/>
    <w:rsid w:val="00210A1A"/>
    <w:rsid w:val="00210C8D"/>
    <w:rsid w:val="00210F11"/>
    <w:rsid w:val="00210FAA"/>
    <w:rsid w:val="002112F3"/>
    <w:rsid w:val="00211340"/>
    <w:rsid w:val="00211398"/>
    <w:rsid w:val="0021174C"/>
    <w:rsid w:val="0021176F"/>
    <w:rsid w:val="002118DA"/>
    <w:rsid w:val="002119E4"/>
    <w:rsid w:val="00211D04"/>
    <w:rsid w:val="00211DA1"/>
    <w:rsid w:val="00211F51"/>
    <w:rsid w:val="0021203B"/>
    <w:rsid w:val="00212155"/>
    <w:rsid w:val="002122EF"/>
    <w:rsid w:val="002126D4"/>
    <w:rsid w:val="002126F7"/>
    <w:rsid w:val="0021273A"/>
    <w:rsid w:val="002128E7"/>
    <w:rsid w:val="002129B8"/>
    <w:rsid w:val="00212BD0"/>
    <w:rsid w:val="00212CB7"/>
    <w:rsid w:val="00212EED"/>
    <w:rsid w:val="00212FAD"/>
    <w:rsid w:val="00213243"/>
    <w:rsid w:val="00213252"/>
    <w:rsid w:val="0021364C"/>
    <w:rsid w:val="002138C9"/>
    <w:rsid w:val="00213B2C"/>
    <w:rsid w:val="00213B63"/>
    <w:rsid w:val="00213D79"/>
    <w:rsid w:val="00214039"/>
    <w:rsid w:val="002141A2"/>
    <w:rsid w:val="00214205"/>
    <w:rsid w:val="00214438"/>
    <w:rsid w:val="00214530"/>
    <w:rsid w:val="002146E5"/>
    <w:rsid w:val="002146F4"/>
    <w:rsid w:val="00214770"/>
    <w:rsid w:val="002148B9"/>
    <w:rsid w:val="002148BA"/>
    <w:rsid w:val="002148ED"/>
    <w:rsid w:val="00214900"/>
    <w:rsid w:val="00214A8D"/>
    <w:rsid w:val="00214B77"/>
    <w:rsid w:val="00214C00"/>
    <w:rsid w:val="00214C49"/>
    <w:rsid w:val="00214CFF"/>
    <w:rsid w:val="0021507B"/>
    <w:rsid w:val="0021526C"/>
    <w:rsid w:val="0021557B"/>
    <w:rsid w:val="00215604"/>
    <w:rsid w:val="00215787"/>
    <w:rsid w:val="002157D8"/>
    <w:rsid w:val="002158C6"/>
    <w:rsid w:val="002158D8"/>
    <w:rsid w:val="002158FC"/>
    <w:rsid w:val="00215A83"/>
    <w:rsid w:val="00215B9C"/>
    <w:rsid w:val="00215D6A"/>
    <w:rsid w:val="00215EFE"/>
    <w:rsid w:val="00216054"/>
    <w:rsid w:val="00216125"/>
    <w:rsid w:val="00216260"/>
    <w:rsid w:val="002162F3"/>
    <w:rsid w:val="00216337"/>
    <w:rsid w:val="00216485"/>
    <w:rsid w:val="00216816"/>
    <w:rsid w:val="00216860"/>
    <w:rsid w:val="00216C31"/>
    <w:rsid w:val="00216C35"/>
    <w:rsid w:val="00216DB3"/>
    <w:rsid w:val="00216FD8"/>
    <w:rsid w:val="0021711E"/>
    <w:rsid w:val="002174E6"/>
    <w:rsid w:val="0021750D"/>
    <w:rsid w:val="00217698"/>
    <w:rsid w:val="002176A7"/>
    <w:rsid w:val="00217733"/>
    <w:rsid w:val="0021788D"/>
    <w:rsid w:val="00217969"/>
    <w:rsid w:val="00217A77"/>
    <w:rsid w:val="00217CC1"/>
    <w:rsid w:val="00217CE3"/>
    <w:rsid w:val="00217E64"/>
    <w:rsid w:val="00220150"/>
    <w:rsid w:val="002203FB"/>
    <w:rsid w:val="00220410"/>
    <w:rsid w:val="002205EB"/>
    <w:rsid w:val="0022060D"/>
    <w:rsid w:val="002207C8"/>
    <w:rsid w:val="0022089B"/>
    <w:rsid w:val="002209CA"/>
    <w:rsid w:val="00220A35"/>
    <w:rsid w:val="00220DC2"/>
    <w:rsid w:val="00220FE5"/>
    <w:rsid w:val="00221095"/>
    <w:rsid w:val="0022112C"/>
    <w:rsid w:val="0022130C"/>
    <w:rsid w:val="002213A0"/>
    <w:rsid w:val="002217AD"/>
    <w:rsid w:val="0022190F"/>
    <w:rsid w:val="00221B05"/>
    <w:rsid w:val="00221BF9"/>
    <w:rsid w:val="00221C11"/>
    <w:rsid w:val="00221CD4"/>
    <w:rsid w:val="00221E72"/>
    <w:rsid w:val="00221EF8"/>
    <w:rsid w:val="00221FF3"/>
    <w:rsid w:val="002220EA"/>
    <w:rsid w:val="0022216A"/>
    <w:rsid w:val="002221F9"/>
    <w:rsid w:val="0022222A"/>
    <w:rsid w:val="002222A5"/>
    <w:rsid w:val="00222312"/>
    <w:rsid w:val="002224C2"/>
    <w:rsid w:val="0022254D"/>
    <w:rsid w:val="00222685"/>
    <w:rsid w:val="00222785"/>
    <w:rsid w:val="00222854"/>
    <w:rsid w:val="00222AE0"/>
    <w:rsid w:val="00222B0F"/>
    <w:rsid w:val="00222B56"/>
    <w:rsid w:val="00222B61"/>
    <w:rsid w:val="00222C06"/>
    <w:rsid w:val="00222E6F"/>
    <w:rsid w:val="00222F7E"/>
    <w:rsid w:val="0022306D"/>
    <w:rsid w:val="002234A6"/>
    <w:rsid w:val="002235A0"/>
    <w:rsid w:val="00223619"/>
    <w:rsid w:val="00223799"/>
    <w:rsid w:val="002239B6"/>
    <w:rsid w:val="00223BC5"/>
    <w:rsid w:val="00223E18"/>
    <w:rsid w:val="00223F87"/>
    <w:rsid w:val="0022416B"/>
    <w:rsid w:val="00224350"/>
    <w:rsid w:val="00224386"/>
    <w:rsid w:val="0022452F"/>
    <w:rsid w:val="00224804"/>
    <w:rsid w:val="00224A11"/>
    <w:rsid w:val="00224A38"/>
    <w:rsid w:val="00224A60"/>
    <w:rsid w:val="00224A92"/>
    <w:rsid w:val="00224C4E"/>
    <w:rsid w:val="002250C2"/>
    <w:rsid w:val="00225191"/>
    <w:rsid w:val="00225221"/>
    <w:rsid w:val="002254CB"/>
    <w:rsid w:val="00225630"/>
    <w:rsid w:val="0022565A"/>
    <w:rsid w:val="002259DE"/>
    <w:rsid w:val="00225AD0"/>
    <w:rsid w:val="00225B3F"/>
    <w:rsid w:val="00225B42"/>
    <w:rsid w:val="00225BAF"/>
    <w:rsid w:val="00225C08"/>
    <w:rsid w:val="00225C1C"/>
    <w:rsid w:val="00225C98"/>
    <w:rsid w:val="00225CF1"/>
    <w:rsid w:val="00225EAC"/>
    <w:rsid w:val="00225ED5"/>
    <w:rsid w:val="00225FC2"/>
    <w:rsid w:val="00225FCB"/>
    <w:rsid w:val="00226189"/>
    <w:rsid w:val="00226217"/>
    <w:rsid w:val="0022663F"/>
    <w:rsid w:val="00226810"/>
    <w:rsid w:val="00226A16"/>
    <w:rsid w:val="00226E79"/>
    <w:rsid w:val="00226E7F"/>
    <w:rsid w:val="002271DD"/>
    <w:rsid w:val="002271FB"/>
    <w:rsid w:val="002272D5"/>
    <w:rsid w:val="0022734F"/>
    <w:rsid w:val="002273AC"/>
    <w:rsid w:val="00227761"/>
    <w:rsid w:val="00227A47"/>
    <w:rsid w:val="00227A70"/>
    <w:rsid w:val="00227B14"/>
    <w:rsid w:val="00227B16"/>
    <w:rsid w:val="00227D01"/>
    <w:rsid w:val="00227D10"/>
    <w:rsid w:val="00227E51"/>
    <w:rsid w:val="00227FD4"/>
    <w:rsid w:val="00230154"/>
    <w:rsid w:val="00230169"/>
    <w:rsid w:val="00230228"/>
    <w:rsid w:val="002302C3"/>
    <w:rsid w:val="00230533"/>
    <w:rsid w:val="00230603"/>
    <w:rsid w:val="002306C1"/>
    <w:rsid w:val="00230AF9"/>
    <w:rsid w:val="00230C61"/>
    <w:rsid w:val="002310C1"/>
    <w:rsid w:val="002311D3"/>
    <w:rsid w:val="0023129D"/>
    <w:rsid w:val="00231402"/>
    <w:rsid w:val="00231608"/>
    <w:rsid w:val="002316F8"/>
    <w:rsid w:val="0023173F"/>
    <w:rsid w:val="00231B59"/>
    <w:rsid w:val="00231F9D"/>
    <w:rsid w:val="00231FB2"/>
    <w:rsid w:val="0023202A"/>
    <w:rsid w:val="002320F5"/>
    <w:rsid w:val="00232290"/>
    <w:rsid w:val="002322CC"/>
    <w:rsid w:val="002323F5"/>
    <w:rsid w:val="002324E6"/>
    <w:rsid w:val="00232668"/>
    <w:rsid w:val="00232AAB"/>
    <w:rsid w:val="00232C0D"/>
    <w:rsid w:val="0023319C"/>
    <w:rsid w:val="00233296"/>
    <w:rsid w:val="002333F3"/>
    <w:rsid w:val="00233432"/>
    <w:rsid w:val="002335CB"/>
    <w:rsid w:val="00233714"/>
    <w:rsid w:val="00233805"/>
    <w:rsid w:val="00233AD7"/>
    <w:rsid w:val="00233B8E"/>
    <w:rsid w:val="00233C22"/>
    <w:rsid w:val="00233D1E"/>
    <w:rsid w:val="00233D43"/>
    <w:rsid w:val="00233EA8"/>
    <w:rsid w:val="00234259"/>
    <w:rsid w:val="0023431A"/>
    <w:rsid w:val="00234420"/>
    <w:rsid w:val="002344D5"/>
    <w:rsid w:val="002344FD"/>
    <w:rsid w:val="00234769"/>
    <w:rsid w:val="002347A6"/>
    <w:rsid w:val="00234843"/>
    <w:rsid w:val="00234A10"/>
    <w:rsid w:val="00234B88"/>
    <w:rsid w:val="00234E63"/>
    <w:rsid w:val="00235155"/>
    <w:rsid w:val="0023531D"/>
    <w:rsid w:val="0023535A"/>
    <w:rsid w:val="002353B7"/>
    <w:rsid w:val="00235477"/>
    <w:rsid w:val="00235793"/>
    <w:rsid w:val="002358FE"/>
    <w:rsid w:val="00235957"/>
    <w:rsid w:val="002359E9"/>
    <w:rsid w:val="00235BD4"/>
    <w:rsid w:val="00235E61"/>
    <w:rsid w:val="00236065"/>
    <w:rsid w:val="002360DB"/>
    <w:rsid w:val="00236156"/>
    <w:rsid w:val="00236185"/>
    <w:rsid w:val="0023621B"/>
    <w:rsid w:val="002365CD"/>
    <w:rsid w:val="00236764"/>
    <w:rsid w:val="002367D6"/>
    <w:rsid w:val="002369D7"/>
    <w:rsid w:val="00236BC1"/>
    <w:rsid w:val="00236CC6"/>
    <w:rsid w:val="00236D04"/>
    <w:rsid w:val="00236D6E"/>
    <w:rsid w:val="00236ED5"/>
    <w:rsid w:val="00236FBB"/>
    <w:rsid w:val="002370DA"/>
    <w:rsid w:val="0023725D"/>
    <w:rsid w:val="002373DD"/>
    <w:rsid w:val="00237783"/>
    <w:rsid w:val="00237F50"/>
    <w:rsid w:val="00237F69"/>
    <w:rsid w:val="0024009E"/>
    <w:rsid w:val="002400E3"/>
    <w:rsid w:val="0024025B"/>
    <w:rsid w:val="002403D8"/>
    <w:rsid w:val="002404BB"/>
    <w:rsid w:val="00240524"/>
    <w:rsid w:val="00240544"/>
    <w:rsid w:val="0024067F"/>
    <w:rsid w:val="00240A65"/>
    <w:rsid w:val="00240A9E"/>
    <w:rsid w:val="00240D14"/>
    <w:rsid w:val="00240F28"/>
    <w:rsid w:val="002411A1"/>
    <w:rsid w:val="00241233"/>
    <w:rsid w:val="002412A8"/>
    <w:rsid w:val="0024134A"/>
    <w:rsid w:val="0024171C"/>
    <w:rsid w:val="002417E9"/>
    <w:rsid w:val="00241B58"/>
    <w:rsid w:val="00241C96"/>
    <w:rsid w:val="00241CAB"/>
    <w:rsid w:val="00241CB4"/>
    <w:rsid w:val="00241F9C"/>
    <w:rsid w:val="00241FEE"/>
    <w:rsid w:val="0024201E"/>
    <w:rsid w:val="00242094"/>
    <w:rsid w:val="002421EF"/>
    <w:rsid w:val="0024237C"/>
    <w:rsid w:val="00242549"/>
    <w:rsid w:val="002425EA"/>
    <w:rsid w:val="00242682"/>
    <w:rsid w:val="002426F1"/>
    <w:rsid w:val="00242969"/>
    <w:rsid w:val="00242B7C"/>
    <w:rsid w:val="00242BF1"/>
    <w:rsid w:val="00242D28"/>
    <w:rsid w:val="00242EA0"/>
    <w:rsid w:val="002432B2"/>
    <w:rsid w:val="00243494"/>
    <w:rsid w:val="00243685"/>
    <w:rsid w:val="002436CD"/>
    <w:rsid w:val="00243A4A"/>
    <w:rsid w:val="00243E2D"/>
    <w:rsid w:val="00243F24"/>
    <w:rsid w:val="00243FA3"/>
    <w:rsid w:val="002441F9"/>
    <w:rsid w:val="00244282"/>
    <w:rsid w:val="00244466"/>
    <w:rsid w:val="0024459C"/>
    <w:rsid w:val="002447B6"/>
    <w:rsid w:val="00244853"/>
    <w:rsid w:val="002448D6"/>
    <w:rsid w:val="00244980"/>
    <w:rsid w:val="00244A7C"/>
    <w:rsid w:val="00244AD9"/>
    <w:rsid w:val="00244C68"/>
    <w:rsid w:val="00244DCE"/>
    <w:rsid w:val="00244FBD"/>
    <w:rsid w:val="0024529E"/>
    <w:rsid w:val="002454AE"/>
    <w:rsid w:val="002456A1"/>
    <w:rsid w:val="0024578B"/>
    <w:rsid w:val="00245AD0"/>
    <w:rsid w:val="00245AD1"/>
    <w:rsid w:val="00245AD9"/>
    <w:rsid w:val="00245BE5"/>
    <w:rsid w:val="00245CFA"/>
    <w:rsid w:val="00245D0E"/>
    <w:rsid w:val="00245F1D"/>
    <w:rsid w:val="002460AA"/>
    <w:rsid w:val="00246403"/>
    <w:rsid w:val="00246656"/>
    <w:rsid w:val="0024669F"/>
    <w:rsid w:val="00246866"/>
    <w:rsid w:val="00246A05"/>
    <w:rsid w:val="00246BDF"/>
    <w:rsid w:val="00246C01"/>
    <w:rsid w:val="00246E4C"/>
    <w:rsid w:val="00246F00"/>
    <w:rsid w:val="00246F93"/>
    <w:rsid w:val="002470BB"/>
    <w:rsid w:val="00247244"/>
    <w:rsid w:val="0024730B"/>
    <w:rsid w:val="00247435"/>
    <w:rsid w:val="002475A0"/>
    <w:rsid w:val="002478F4"/>
    <w:rsid w:val="002479A9"/>
    <w:rsid w:val="00247A08"/>
    <w:rsid w:val="00247B22"/>
    <w:rsid w:val="00247CC2"/>
    <w:rsid w:val="00247CF1"/>
    <w:rsid w:val="00247E33"/>
    <w:rsid w:val="00247F37"/>
    <w:rsid w:val="00247F7D"/>
    <w:rsid w:val="00250424"/>
    <w:rsid w:val="00250694"/>
    <w:rsid w:val="00250AB4"/>
    <w:rsid w:val="00250C13"/>
    <w:rsid w:val="00250D4C"/>
    <w:rsid w:val="00250DEC"/>
    <w:rsid w:val="00250F57"/>
    <w:rsid w:val="002510D6"/>
    <w:rsid w:val="0025123D"/>
    <w:rsid w:val="0025130F"/>
    <w:rsid w:val="0025162F"/>
    <w:rsid w:val="002516C7"/>
    <w:rsid w:val="002518AA"/>
    <w:rsid w:val="00251A44"/>
    <w:rsid w:val="00251AFA"/>
    <w:rsid w:val="00251CF5"/>
    <w:rsid w:val="00251DE6"/>
    <w:rsid w:val="00251E5F"/>
    <w:rsid w:val="00251FB3"/>
    <w:rsid w:val="00251FFF"/>
    <w:rsid w:val="002521ED"/>
    <w:rsid w:val="0025237B"/>
    <w:rsid w:val="002523E7"/>
    <w:rsid w:val="002524AA"/>
    <w:rsid w:val="002526C4"/>
    <w:rsid w:val="0025274E"/>
    <w:rsid w:val="0025278A"/>
    <w:rsid w:val="002527B9"/>
    <w:rsid w:val="002528AC"/>
    <w:rsid w:val="00252D61"/>
    <w:rsid w:val="00252D67"/>
    <w:rsid w:val="00252E2C"/>
    <w:rsid w:val="00252EF6"/>
    <w:rsid w:val="00252F5F"/>
    <w:rsid w:val="00252F99"/>
    <w:rsid w:val="00252FD2"/>
    <w:rsid w:val="00252FEF"/>
    <w:rsid w:val="00252FF3"/>
    <w:rsid w:val="002530E7"/>
    <w:rsid w:val="002531AD"/>
    <w:rsid w:val="002532B4"/>
    <w:rsid w:val="002532D3"/>
    <w:rsid w:val="0025344E"/>
    <w:rsid w:val="00253829"/>
    <w:rsid w:val="00253A4A"/>
    <w:rsid w:val="00253ADA"/>
    <w:rsid w:val="00253D5B"/>
    <w:rsid w:val="00253FA1"/>
    <w:rsid w:val="00254272"/>
    <w:rsid w:val="0025449A"/>
    <w:rsid w:val="002545BE"/>
    <w:rsid w:val="00254637"/>
    <w:rsid w:val="00254863"/>
    <w:rsid w:val="00254875"/>
    <w:rsid w:val="0025487C"/>
    <w:rsid w:val="00254885"/>
    <w:rsid w:val="00254890"/>
    <w:rsid w:val="00254AE2"/>
    <w:rsid w:val="00254DF2"/>
    <w:rsid w:val="00254E4A"/>
    <w:rsid w:val="00254EEB"/>
    <w:rsid w:val="00254F80"/>
    <w:rsid w:val="00254FB4"/>
    <w:rsid w:val="0025504A"/>
    <w:rsid w:val="0025505D"/>
    <w:rsid w:val="002550C9"/>
    <w:rsid w:val="0025539F"/>
    <w:rsid w:val="00255620"/>
    <w:rsid w:val="00255766"/>
    <w:rsid w:val="00255769"/>
    <w:rsid w:val="002557A8"/>
    <w:rsid w:val="002558B0"/>
    <w:rsid w:val="00255910"/>
    <w:rsid w:val="00255A19"/>
    <w:rsid w:val="00255C11"/>
    <w:rsid w:val="00255C76"/>
    <w:rsid w:val="00255CD1"/>
    <w:rsid w:val="0025613F"/>
    <w:rsid w:val="00256245"/>
    <w:rsid w:val="00256359"/>
    <w:rsid w:val="00256481"/>
    <w:rsid w:val="002565FF"/>
    <w:rsid w:val="002566FF"/>
    <w:rsid w:val="002567BB"/>
    <w:rsid w:val="002567C7"/>
    <w:rsid w:val="00256B6C"/>
    <w:rsid w:val="00256B8F"/>
    <w:rsid w:val="00256B9D"/>
    <w:rsid w:val="00256BB1"/>
    <w:rsid w:val="00256DB0"/>
    <w:rsid w:val="00256DCB"/>
    <w:rsid w:val="0025732E"/>
    <w:rsid w:val="002573C5"/>
    <w:rsid w:val="002574FA"/>
    <w:rsid w:val="002574FD"/>
    <w:rsid w:val="00257541"/>
    <w:rsid w:val="0025775B"/>
    <w:rsid w:val="00257826"/>
    <w:rsid w:val="00257932"/>
    <w:rsid w:val="00257A7E"/>
    <w:rsid w:val="00257B10"/>
    <w:rsid w:val="00257B28"/>
    <w:rsid w:val="00257C43"/>
    <w:rsid w:val="00257D2B"/>
    <w:rsid w:val="00257D6F"/>
    <w:rsid w:val="00257F91"/>
    <w:rsid w:val="00260019"/>
    <w:rsid w:val="002601A7"/>
    <w:rsid w:val="002604D3"/>
    <w:rsid w:val="0026089D"/>
    <w:rsid w:val="002608CD"/>
    <w:rsid w:val="00260DBD"/>
    <w:rsid w:val="002611E1"/>
    <w:rsid w:val="002613D9"/>
    <w:rsid w:val="002616D5"/>
    <w:rsid w:val="00261951"/>
    <w:rsid w:val="00261990"/>
    <w:rsid w:val="00261ACF"/>
    <w:rsid w:val="00261AE0"/>
    <w:rsid w:val="00261CBE"/>
    <w:rsid w:val="00261DC6"/>
    <w:rsid w:val="00261DE8"/>
    <w:rsid w:val="00261F7D"/>
    <w:rsid w:val="00262012"/>
    <w:rsid w:val="00262222"/>
    <w:rsid w:val="00262502"/>
    <w:rsid w:val="00262531"/>
    <w:rsid w:val="00262537"/>
    <w:rsid w:val="00262762"/>
    <w:rsid w:val="0026287D"/>
    <w:rsid w:val="00262921"/>
    <w:rsid w:val="00262C13"/>
    <w:rsid w:val="00262C33"/>
    <w:rsid w:val="00262CC3"/>
    <w:rsid w:val="00262D55"/>
    <w:rsid w:val="00262DF8"/>
    <w:rsid w:val="00262E81"/>
    <w:rsid w:val="00262F9D"/>
    <w:rsid w:val="0026322F"/>
    <w:rsid w:val="002632C0"/>
    <w:rsid w:val="00263330"/>
    <w:rsid w:val="00263714"/>
    <w:rsid w:val="0026386E"/>
    <w:rsid w:val="002638B1"/>
    <w:rsid w:val="0026395B"/>
    <w:rsid w:val="00263A45"/>
    <w:rsid w:val="00263D4F"/>
    <w:rsid w:val="00263DC3"/>
    <w:rsid w:val="00263E76"/>
    <w:rsid w:val="0026405E"/>
    <w:rsid w:val="0026450D"/>
    <w:rsid w:val="00264574"/>
    <w:rsid w:val="00264623"/>
    <w:rsid w:val="00264773"/>
    <w:rsid w:val="00264970"/>
    <w:rsid w:val="0026497B"/>
    <w:rsid w:val="00264A99"/>
    <w:rsid w:val="00264AE9"/>
    <w:rsid w:val="00264C35"/>
    <w:rsid w:val="00264D6A"/>
    <w:rsid w:val="00264DDC"/>
    <w:rsid w:val="00264E52"/>
    <w:rsid w:val="00264E8B"/>
    <w:rsid w:val="00264F63"/>
    <w:rsid w:val="002650A9"/>
    <w:rsid w:val="0026530A"/>
    <w:rsid w:val="00265410"/>
    <w:rsid w:val="00265618"/>
    <w:rsid w:val="0026570F"/>
    <w:rsid w:val="00265AC8"/>
    <w:rsid w:val="00265B97"/>
    <w:rsid w:val="00265C60"/>
    <w:rsid w:val="00265E5A"/>
    <w:rsid w:val="00265FE8"/>
    <w:rsid w:val="00266072"/>
    <w:rsid w:val="002660A2"/>
    <w:rsid w:val="002660B8"/>
    <w:rsid w:val="002663EE"/>
    <w:rsid w:val="002664BD"/>
    <w:rsid w:val="0026665F"/>
    <w:rsid w:val="00266735"/>
    <w:rsid w:val="002667D6"/>
    <w:rsid w:val="00266A54"/>
    <w:rsid w:val="00266B4A"/>
    <w:rsid w:val="00266C49"/>
    <w:rsid w:val="00266C9E"/>
    <w:rsid w:val="00266F1A"/>
    <w:rsid w:val="002670B8"/>
    <w:rsid w:val="002672C1"/>
    <w:rsid w:val="002672FB"/>
    <w:rsid w:val="002676BA"/>
    <w:rsid w:val="0026788D"/>
    <w:rsid w:val="002679BF"/>
    <w:rsid w:val="00267CDE"/>
    <w:rsid w:val="00267D52"/>
    <w:rsid w:val="00267D8B"/>
    <w:rsid w:val="00267E28"/>
    <w:rsid w:val="00267FBD"/>
    <w:rsid w:val="00270083"/>
    <w:rsid w:val="00270165"/>
    <w:rsid w:val="00270373"/>
    <w:rsid w:val="0027042E"/>
    <w:rsid w:val="00270552"/>
    <w:rsid w:val="0027072A"/>
    <w:rsid w:val="002707D7"/>
    <w:rsid w:val="002709F8"/>
    <w:rsid w:val="00270AB3"/>
    <w:rsid w:val="00270BA2"/>
    <w:rsid w:val="00270BBC"/>
    <w:rsid w:val="00270C2D"/>
    <w:rsid w:val="00270CCC"/>
    <w:rsid w:val="00271208"/>
    <w:rsid w:val="00271376"/>
    <w:rsid w:val="002713EF"/>
    <w:rsid w:val="00271548"/>
    <w:rsid w:val="0027188B"/>
    <w:rsid w:val="00271C2D"/>
    <w:rsid w:val="00271C84"/>
    <w:rsid w:val="00271CA3"/>
    <w:rsid w:val="00271D79"/>
    <w:rsid w:val="00271EF1"/>
    <w:rsid w:val="00271F74"/>
    <w:rsid w:val="00271F84"/>
    <w:rsid w:val="00272173"/>
    <w:rsid w:val="00272189"/>
    <w:rsid w:val="002721A0"/>
    <w:rsid w:val="00272432"/>
    <w:rsid w:val="002726EB"/>
    <w:rsid w:val="002729C7"/>
    <w:rsid w:val="002729D8"/>
    <w:rsid w:val="00272B8E"/>
    <w:rsid w:val="00272C26"/>
    <w:rsid w:val="00272D9C"/>
    <w:rsid w:val="0027331C"/>
    <w:rsid w:val="00273635"/>
    <w:rsid w:val="00273939"/>
    <w:rsid w:val="00273968"/>
    <w:rsid w:val="00273A1E"/>
    <w:rsid w:val="00273E23"/>
    <w:rsid w:val="00273EA5"/>
    <w:rsid w:val="00273EF2"/>
    <w:rsid w:val="00273FB9"/>
    <w:rsid w:val="0027410B"/>
    <w:rsid w:val="0027430A"/>
    <w:rsid w:val="00274408"/>
    <w:rsid w:val="002744CC"/>
    <w:rsid w:val="00274682"/>
    <w:rsid w:val="002747F6"/>
    <w:rsid w:val="00274834"/>
    <w:rsid w:val="0027489E"/>
    <w:rsid w:val="00274A6D"/>
    <w:rsid w:val="00274C1D"/>
    <w:rsid w:val="00274CD2"/>
    <w:rsid w:val="00274FBA"/>
    <w:rsid w:val="00275120"/>
    <w:rsid w:val="00275290"/>
    <w:rsid w:val="00275323"/>
    <w:rsid w:val="00275408"/>
    <w:rsid w:val="00275448"/>
    <w:rsid w:val="0027544A"/>
    <w:rsid w:val="0027549F"/>
    <w:rsid w:val="002755A5"/>
    <w:rsid w:val="002755C0"/>
    <w:rsid w:val="002755D1"/>
    <w:rsid w:val="002756BB"/>
    <w:rsid w:val="002756D7"/>
    <w:rsid w:val="0027575E"/>
    <w:rsid w:val="002759D2"/>
    <w:rsid w:val="00275AAF"/>
    <w:rsid w:val="00275C6A"/>
    <w:rsid w:val="00275DA9"/>
    <w:rsid w:val="00275EA0"/>
    <w:rsid w:val="00275F25"/>
    <w:rsid w:val="00275F27"/>
    <w:rsid w:val="00275F65"/>
    <w:rsid w:val="00276039"/>
    <w:rsid w:val="00276120"/>
    <w:rsid w:val="002761EF"/>
    <w:rsid w:val="00276294"/>
    <w:rsid w:val="002762B0"/>
    <w:rsid w:val="002765C5"/>
    <w:rsid w:val="002766CB"/>
    <w:rsid w:val="00276B4A"/>
    <w:rsid w:val="00276BCE"/>
    <w:rsid w:val="00276C3C"/>
    <w:rsid w:val="00276C3F"/>
    <w:rsid w:val="00276C8A"/>
    <w:rsid w:val="00276C8F"/>
    <w:rsid w:val="00276ED1"/>
    <w:rsid w:val="00276F28"/>
    <w:rsid w:val="00277119"/>
    <w:rsid w:val="002772E8"/>
    <w:rsid w:val="002774BB"/>
    <w:rsid w:val="00277657"/>
    <w:rsid w:val="002776CB"/>
    <w:rsid w:val="002776D3"/>
    <w:rsid w:val="002777E9"/>
    <w:rsid w:val="002779F7"/>
    <w:rsid w:val="00277BB7"/>
    <w:rsid w:val="00277BFA"/>
    <w:rsid w:val="00277D06"/>
    <w:rsid w:val="00277D40"/>
    <w:rsid w:val="00277E14"/>
    <w:rsid w:val="00277F63"/>
    <w:rsid w:val="00277FCC"/>
    <w:rsid w:val="00277FE8"/>
    <w:rsid w:val="0028006C"/>
    <w:rsid w:val="002801F4"/>
    <w:rsid w:val="00280312"/>
    <w:rsid w:val="00280517"/>
    <w:rsid w:val="00280599"/>
    <w:rsid w:val="002805B2"/>
    <w:rsid w:val="002806A1"/>
    <w:rsid w:val="0028072D"/>
    <w:rsid w:val="002808AE"/>
    <w:rsid w:val="002809C6"/>
    <w:rsid w:val="00280B5B"/>
    <w:rsid w:val="00280BD8"/>
    <w:rsid w:val="00280D8D"/>
    <w:rsid w:val="00280F91"/>
    <w:rsid w:val="0028100C"/>
    <w:rsid w:val="0028117B"/>
    <w:rsid w:val="002813A1"/>
    <w:rsid w:val="00281476"/>
    <w:rsid w:val="002815FC"/>
    <w:rsid w:val="00281708"/>
    <w:rsid w:val="002817CE"/>
    <w:rsid w:val="002819EA"/>
    <w:rsid w:val="00281DCF"/>
    <w:rsid w:val="0028218E"/>
    <w:rsid w:val="0028229B"/>
    <w:rsid w:val="002822C7"/>
    <w:rsid w:val="002823C7"/>
    <w:rsid w:val="002823DF"/>
    <w:rsid w:val="00282676"/>
    <w:rsid w:val="002826DF"/>
    <w:rsid w:val="00282737"/>
    <w:rsid w:val="00282778"/>
    <w:rsid w:val="00282885"/>
    <w:rsid w:val="00282C2A"/>
    <w:rsid w:val="00282CB3"/>
    <w:rsid w:val="00282D35"/>
    <w:rsid w:val="00282DDA"/>
    <w:rsid w:val="002830EF"/>
    <w:rsid w:val="00283108"/>
    <w:rsid w:val="00283325"/>
    <w:rsid w:val="00283353"/>
    <w:rsid w:val="00283567"/>
    <w:rsid w:val="002835D9"/>
    <w:rsid w:val="002836DF"/>
    <w:rsid w:val="00283A1E"/>
    <w:rsid w:val="00283AE9"/>
    <w:rsid w:val="00283C51"/>
    <w:rsid w:val="00283D02"/>
    <w:rsid w:val="00283F95"/>
    <w:rsid w:val="0028411D"/>
    <w:rsid w:val="0028460E"/>
    <w:rsid w:val="0028488B"/>
    <w:rsid w:val="00284A1D"/>
    <w:rsid w:val="00284C3A"/>
    <w:rsid w:val="00284D7F"/>
    <w:rsid w:val="00284E5A"/>
    <w:rsid w:val="00285213"/>
    <w:rsid w:val="0028524B"/>
    <w:rsid w:val="00285485"/>
    <w:rsid w:val="002854FE"/>
    <w:rsid w:val="002856E1"/>
    <w:rsid w:val="002858C0"/>
    <w:rsid w:val="00285ACB"/>
    <w:rsid w:val="00285C01"/>
    <w:rsid w:val="00285C9F"/>
    <w:rsid w:val="00285CDB"/>
    <w:rsid w:val="00285DDB"/>
    <w:rsid w:val="00285E0D"/>
    <w:rsid w:val="00285F1C"/>
    <w:rsid w:val="0028607B"/>
    <w:rsid w:val="0028608D"/>
    <w:rsid w:val="002861AB"/>
    <w:rsid w:val="0028631F"/>
    <w:rsid w:val="0028642A"/>
    <w:rsid w:val="00286745"/>
    <w:rsid w:val="00286905"/>
    <w:rsid w:val="0028695B"/>
    <w:rsid w:val="002869FD"/>
    <w:rsid w:val="00286CE9"/>
    <w:rsid w:val="00286D3A"/>
    <w:rsid w:val="00286D87"/>
    <w:rsid w:val="0028750C"/>
    <w:rsid w:val="00287596"/>
    <w:rsid w:val="0028777E"/>
    <w:rsid w:val="002879B6"/>
    <w:rsid w:val="00287A2E"/>
    <w:rsid w:val="00287AEA"/>
    <w:rsid w:val="00287B28"/>
    <w:rsid w:val="00287BA8"/>
    <w:rsid w:val="00287C6A"/>
    <w:rsid w:val="00287CF0"/>
    <w:rsid w:val="00287E1E"/>
    <w:rsid w:val="00287FA6"/>
    <w:rsid w:val="00290089"/>
    <w:rsid w:val="00290098"/>
    <w:rsid w:val="002900C4"/>
    <w:rsid w:val="002900DD"/>
    <w:rsid w:val="00290147"/>
    <w:rsid w:val="002901E1"/>
    <w:rsid w:val="002905AC"/>
    <w:rsid w:val="00290B26"/>
    <w:rsid w:val="00290B63"/>
    <w:rsid w:val="00290F0D"/>
    <w:rsid w:val="00290F0F"/>
    <w:rsid w:val="00291018"/>
    <w:rsid w:val="0029105C"/>
    <w:rsid w:val="002914F8"/>
    <w:rsid w:val="0029154F"/>
    <w:rsid w:val="002918AA"/>
    <w:rsid w:val="00291928"/>
    <w:rsid w:val="00291AA2"/>
    <w:rsid w:val="00291AAE"/>
    <w:rsid w:val="00291D18"/>
    <w:rsid w:val="00291E2C"/>
    <w:rsid w:val="00291E32"/>
    <w:rsid w:val="00291F9B"/>
    <w:rsid w:val="00292016"/>
    <w:rsid w:val="00292388"/>
    <w:rsid w:val="00292395"/>
    <w:rsid w:val="002923DF"/>
    <w:rsid w:val="002924E4"/>
    <w:rsid w:val="00292677"/>
    <w:rsid w:val="002927FB"/>
    <w:rsid w:val="0029289C"/>
    <w:rsid w:val="002928C5"/>
    <w:rsid w:val="002928F4"/>
    <w:rsid w:val="00292986"/>
    <w:rsid w:val="002929D6"/>
    <w:rsid w:val="00292C91"/>
    <w:rsid w:val="00292D02"/>
    <w:rsid w:val="00292F76"/>
    <w:rsid w:val="0029301F"/>
    <w:rsid w:val="0029311F"/>
    <w:rsid w:val="00293239"/>
    <w:rsid w:val="002932EF"/>
    <w:rsid w:val="00293301"/>
    <w:rsid w:val="002937FE"/>
    <w:rsid w:val="0029381B"/>
    <w:rsid w:val="00293A1D"/>
    <w:rsid w:val="00293CBD"/>
    <w:rsid w:val="00293D02"/>
    <w:rsid w:val="00293DCB"/>
    <w:rsid w:val="00293EB2"/>
    <w:rsid w:val="0029431B"/>
    <w:rsid w:val="002943B0"/>
    <w:rsid w:val="0029452D"/>
    <w:rsid w:val="00294559"/>
    <w:rsid w:val="00294560"/>
    <w:rsid w:val="002946C5"/>
    <w:rsid w:val="00294DDC"/>
    <w:rsid w:val="00294E6C"/>
    <w:rsid w:val="00294E76"/>
    <w:rsid w:val="00294ED6"/>
    <w:rsid w:val="00294F6A"/>
    <w:rsid w:val="00294FA3"/>
    <w:rsid w:val="00294FC3"/>
    <w:rsid w:val="00295235"/>
    <w:rsid w:val="00295C90"/>
    <w:rsid w:val="00295F75"/>
    <w:rsid w:val="002961E7"/>
    <w:rsid w:val="00296418"/>
    <w:rsid w:val="0029649C"/>
    <w:rsid w:val="0029653A"/>
    <w:rsid w:val="0029695E"/>
    <w:rsid w:val="00296C2A"/>
    <w:rsid w:val="00296ED4"/>
    <w:rsid w:val="00296FE1"/>
    <w:rsid w:val="0029704A"/>
    <w:rsid w:val="00297100"/>
    <w:rsid w:val="00297134"/>
    <w:rsid w:val="00297207"/>
    <w:rsid w:val="00297229"/>
    <w:rsid w:val="002972C1"/>
    <w:rsid w:val="002974A7"/>
    <w:rsid w:val="002974EC"/>
    <w:rsid w:val="002974F7"/>
    <w:rsid w:val="002979A4"/>
    <w:rsid w:val="00297D44"/>
    <w:rsid w:val="00297E9B"/>
    <w:rsid w:val="00297F46"/>
    <w:rsid w:val="002A021C"/>
    <w:rsid w:val="002A0228"/>
    <w:rsid w:val="002A02EC"/>
    <w:rsid w:val="002A0403"/>
    <w:rsid w:val="002A0698"/>
    <w:rsid w:val="002A099B"/>
    <w:rsid w:val="002A0D02"/>
    <w:rsid w:val="002A104F"/>
    <w:rsid w:val="002A1162"/>
    <w:rsid w:val="002A1314"/>
    <w:rsid w:val="002A13DC"/>
    <w:rsid w:val="002A14E1"/>
    <w:rsid w:val="002A16E7"/>
    <w:rsid w:val="002A1775"/>
    <w:rsid w:val="002A1835"/>
    <w:rsid w:val="002A191B"/>
    <w:rsid w:val="002A192E"/>
    <w:rsid w:val="002A1C6E"/>
    <w:rsid w:val="002A1D90"/>
    <w:rsid w:val="002A20B6"/>
    <w:rsid w:val="002A21F2"/>
    <w:rsid w:val="002A2303"/>
    <w:rsid w:val="002A23DC"/>
    <w:rsid w:val="002A25B8"/>
    <w:rsid w:val="002A2665"/>
    <w:rsid w:val="002A282D"/>
    <w:rsid w:val="002A2A8D"/>
    <w:rsid w:val="002A2C50"/>
    <w:rsid w:val="002A2CE7"/>
    <w:rsid w:val="002A2DD2"/>
    <w:rsid w:val="002A2E4D"/>
    <w:rsid w:val="002A2E92"/>
    <w:rsid w:val="002A2F7B"/>
    <w:rsid w:val="002A2FFE"/>
    <w:rsid w:val="002A3026"/>
    <w:rsid w:val="002A3047"/>
    <w:rsid w:val="002A31BA"/>
    <w:rsid w:val="002A327A"/>
    <w:rsid w:val="002A3425"/>
    <w:rsid w:val="002A34E5"/>
    <w:rsid w:val="002A390D"/>
    <w:rsid w:val="002A391F"/>
    <w:rsid w:val="002A3A58"/>
    <w:rsid w:val="002A3BA0"/>
    <w:rsid w:val="002A3C0C"/>
    <w:rsid w:val="002A3EEA"/>
    <w:rsid w:val="002A3F16"/>
    <w:rsid w:val="002A42B6"/>
    <w:rsid w:val="002A4309"/>
    <w:rsid w:val="002A43F3"/>
    <w:rsid w:val="002A4492"/>
    <w:rsid w:val="002A4503"/>
    <w:rsid w:val="002A47BE"/>
    <w:rsid w:val="002A47D0"/>
    <w:rsid w:val="002A4B4A"/>
    <w:rsid w:val="002A4E0B"/>
    <w:rsid w:val="002A50AC"/>
    <w:rsid w:val="002A52CD"/>
    <w:rsid w:val="002A566C"/>
    <w:rsid w:val="002A56A7"/>
    <w:rsid w:val="002A5763"/>
    <w:rsid w:val="002A57F2"/>
    <w:rsid w:val="002A597E"/>
    <w:rsid w:val="002A5A12"/>
    <w:rsid w:val="002A5A1A"/>
    <w:rsid w:val="002A5A72"/>
    <w:rsid w:val="002A5A8E"/>
    <w:rsid w:val="002A5AEC"/>
    <w:rsid w:val="002A5B8E"/>
    <w:rsid w:val="002A5F0B"/>
    <w:rsid w:val="002A6017"/>
    <w:rsid w:val="002A60CF"/>
    <w:rsid w:val="002A62F0"/>
    <w:rsid w:val="002A632E"/>
    <w:rsid w:val="002A6511"/>
    <w:rsid w:val="002A6714"/>
    <w:rsid w:val="002A67BE"/>
    <w:rsid w:val="002A6871"/>
    <w:rsid w:val="002A69C1"/>
    <w:rsid w:val="002A6E10"/>
    <w:rsid w:val="002A764A"/>
    <w:rsid w:val="002A7718"/>
    <w:rsid w:val="002A7897"/>
    <w:rsid w:val="002A78B9"/>
    <w:rsid w:val="002A7981"/>
    <w:rsid w:val="002A7AC5"/>
    <w:rsid w:val="002A7EB2"/>
    <w:rsid w:val="002A7EE9"/>
    <w:rsid w:val="002A7F85"/>
    <w:rsid w:val="002A7FCD"/>
    <w:rsid w:val="002B022D"/>
    <w:rsid w:val="002B02C0"/>
    <w:rsid w:val="002B05B8"/>
    <w:rsid w:val="002B0795"/>
    <w:rsid w:val="002B0A6F"/>
    <w:rsid w:val="002B0A73"/>
    <w:rsid w:val="002B0E4E"/>
    <w:rsid w:val="002B0E5E"/>
    <w:rsid w:val="002B109B"/>
    <w:rsid w:val="002B128C"/>
    <w:rsid w:val="002B13E3"/>
    <w:rsid w:val="002B1418"/>
    <w:rsid w:val="002B14E2"/>
    <w:rsid w:val="002B14E9"/>
    <w:rsid w:val="002B1512"/>
    <w:rsid w:val="002B152F"/>
    <w:rsid w:val="002B15CA"/>
    <w:rsid w:val="002B1814"/>
    <w:rsid w:val="002B199F"/>
    <w:rsid w:val="002B1A12"/>
    <w:rsid w:val="002B1B6C"/>
    <w:rsid w:val="002B1D05"/>
    <w:rsid w:val="002B1D1C"/>
    <w:rsid w:val="002B1DD6"/>
    <w:rsid w:val="002B1DDC"/>
    <w:rsid w:val="002B201B"/>
    <w:rsid w:val="002B2047"/>
    <w:rsid w:val="002B211B"/>
    <w:rsid w:val="002B2522"/>
    <w:rsid w:val="002B255B"/>
    <w:rsid w:val="002B2DA0"/>
    <w:rsid w:val="002B2F2F"/>
    <w:rsid w:val="002B30A3"/>
    <w:rsid w:val="002B313F"/>
    <w:rsid w:val="002B3321"/>
    <w:rsid w:val="002B3526"/>
    <w:rsid w:val="002B3851"/>
    <w:rsid w:val="002B39A3"/>
    <w:rsid w:val="002B3A2C"/>
    <w:rsid w:val="002B3A2F"/>
    <w:rsid w:val="002B3D59"/>
    <w:rsid w:val="002B445F"/>
    <w:rsid w:val="002B4795"/>
    <w:rsid w:val="002B4941"/>
    <w:rsid w:val="002B4AC0"/>
    <w:rsid w:val="002B4ADE"/>
    <w:rsid w:val="002B4CBD"/>
    <w:rsid w:val="002B4E57"/>
    <w:rsid w:val="002B4EA7"/>
    <w:rsid w:val="002B4F0D"/>
    <w:rsid w:val="002B4F28"/>
    <w:rsid w:val="002B5130"/>
    <w:rsid w:val="002B54D5"/>
    <w:rsid w:val="002B56CA"/>
    <w:rsid w:val="002B56F1"/>
    <w:rsid w:val="002B575C"/>
    <w:rsid w:val="002B593A"/>
    <w:rsid w:val="002B59CE"/>
    <w:rsid w:val="002B5C02"/>
    <w:rsid w:val="002B5C6A"/>
    <w:rsid w:val="002B5D11"/>
    <w:rsid w:val="002B5D74"/>
    <w:rsid w:val="002B5D91"/>
    <w:rsid w:val="002B5E74"/>
    <w:rsid w:val="002B5EA0"/>
    <w:rsid w:val="002B5EA4"/>
    <w:rsid w:val="002B6075"/>
    <w:rsid w:val="002B6080"/>
    <w:rsid w:val="002B65EF"/>
    <w:rsid w:val="002B665D"/>
    <w:rsid w:val="002B67B7"/>
    <w:rsid w:val="002B67CA"/>
    <w:rsid w:val="002B6817"/>
    <w:rsid w:val="002B69A4"/>
    <w:rsid w:val="002B69DC"/>
    <w:rsid w:val="002B69F2"/>
    <w:rsid w:val="002B6A6D"/>
    <w:rsid w:val="002B6B35"/>
    <w:rsid w:val="002B6CD0"/>
    <w:rsid w:val="002B6D6F"/>
    <w:rsid w:val="002B6FCE"/>
    <w:rsid w:val="002B719A"/>
    <w:rsid w:val="002B71B2"/>
    <w:rsid w:val="002B7429"/>
    <w:rsid w:val="002B7499"/>
    <w:rsid w:val="002B755D"/>
    <w:rsid w:val="002B7A0E"/>
    <w:rsid w:val="002B7A92"/>
    <w:rsid w:val="002B7AA9"/>
    <w:rsid w:val="002B7ADB"/>
    <w:rsid w:val="002B7D6F"/>
    <w:rsid w:val="002B7F83"/>
    <w:rsid w:val="002B7FDA"/>
    <w:rsid w:val="002C00F5"/>
    <w:rsid w:val="002C026E"/>
    <w:rsid w:val="002C0280"/>
    <w:rsid w:val="002C0450"/>
    <w:rsid w:val="002C0488"/>
    <w:rsid w:val="002C0693"/>
    <w:rsid w:val="002C06B7"/>
    <w:rsid w:val="002C06E3"/>
    <w:rsid w:val="002C07BB"/>
    <w:rsid w:val="002C0851"/>
    <w:rsid w:val="002C0AC4"/>
    <w:rsid w:val="002C0AD6"/>
    <w:rsid w:val="002C0B48"/>
    <w:rsid w:val="002C0CB2"/>
    <w:rsid w:val="002C0CCC"/>
    <w:rsid w:val="002C0DDD"/>
    <w:rsid w:val="002C0F6F"/>
    <w:rsid w:val="002C11BC"/>
    <w:rsid w:val="002C124C"/>
    <w:rsid w:val="002C1543"/>
    <w:rsid w:val="002C176E"/>
    <w:rsid w:val="002C17B4"/>
    <w:rsid w:val="002C17C7"/>
    <w:rsid w:val="002C1A34"/>
    <w:rsid w:val="002C1B93"/>
    <w:rsid w:val="002C1BA1"/>
    <w:rsid w:val="002C1D2F"/>
    <w:rsid w:val="002C1E15"/>
    <w:rsid w:val="002C1F80"/>
    <w:rsid w:val="002C203F"/>
    <w:rsid w:val="002C208B"/>
    <w:rsid w:val="002C21D1"/>
    <w:rsid w:val="002C2314"/>
    <w:rsid w:val="002C23C3"/>
    <w:rsid w:val="002C2436"/>
    <w:rsid w:val="002C24B8"/>
    <w:rsid w:val="002C2733"/>
    <w:rsid w:val="002C2820"/>
    <w:rsid w:val="002C2986"/>
    <w:rsid w:val="002C2D1C"/>
    <w:rsid w:val="002C2E27"/>
    <w:rsid w:val="002C2E49"/>
    <w:rsid w:val="002C2FCF"/>
    <w:rsid w:val="002C3164"/>
    <w:rsid w:val="002C33BD"/>
    <w:rsid w:val="002C349E"/>
    <w:rsid w:val="002C34C2"/>
    <w:rsid w:val="002C3640"/>
    <w:rsid w:val="002C38DE"/>
    <w:rsid w:val="002C3A02"/>
    <w:rsid w:val="002C3AAD"/>
    <w:rsid w:val="002C3C4F"/>
    <w:rsid w:val="002C3CB0"/>
    <w:rsid w:val="002C4341"/>
    <w:rsid w:val="002C472E"/>
    <w:rsid w:val="002C48A0"/>
    <w:rsid w:val="002C48BE"/>
    <w:rsid w:val="002C495E"/>
    <w:rsid w:val="002C49A3"/>
    <w:rsid w:val="002C4B48"/>
    <w:rsid w:val="002C4C83"/>
    <w:rsid w:val="002C5105"/>
    <w:rsid w:val="002C51A6"/>
    <w:rsid w:val="002C51DF"/>
    <w:rsid w:val="002C55A5"/>
    <w:rsid w:val="002C5609"/>
    <w:rsid w:val="002C58F6"/>
    <w:rsid w:val="002C5985"/>
    <w:rsid w:val="002C5C4D"/>
    <w:rsid w:val="002C5DFF"/>
    <w:rsid w:val="002C61FD"/>
    <w:rsid w:val="002C6266"/>
    <w:rsid w:val="002C62FC"/>
    <w:rsid w:val="002C657C"/>
    <w:rsid w:val="002C6795"/>
    <w:rsid w:val="002C691A"/>
    <w:rsid w:val="002C6B76"/>
    <w:rsid w:val="002C6E11"/>
    <w:rsid w:val="002C6F21"/>
    <w:rsid w:val="002C6FB4"/>
    <w:rsid w:val="002C719E"/>
    <w:rsid w:val="002C726D"/>
    <w:rsid w:val="002C73C0"/>
    <w:rsid w:val="002C74B7"/>
    <w:rsid w:val="002C76D4"/>
    <w:rsid w:val="002C772A"/>
    <w:rsid w:val="002C7981"/>
    <w:rsid w:val="002C7A18"/>
    <w:rsid w:val="002C7C13"/>
    <w:rsid w:val="002C7C2F"/>
    <w:rsid w:val="002D0065"/>
    <w:rsid w:val="002D0070"/>
    <w:rsid w:val="002D01CF"/>
    <w:rsid w:val="002D03A3"/>
    <w:rsid w:val="002D03CC"/>
    <w:rsid w:val="002D045E"/>
    <w:rsid w:val="002D04B5"/>
    <w:rsid w:val="002D054E"/>
    <w:rsid w:val="002D06BB"/>
    <w:rsid w:val="002D0C4F"/>
    <w:rsid w:val="002D0C97"/>
    <w:rsid w:val="002D0D89"/>
    <w:rsid w:val="002D0E31"/>
    <w:rsid w:val="002D0EF2"/>
    <w:rsid w:val="002D0FB3"/>
    <w:rsid w:val="002D10B0"/>
    <w:rsid w:val="002D1226"/>
    <w:rsid w:val="002D1242"/>
    <w:rsid w:val="002D138F"/>
    <w:rsid w:val="002D1566"/>
    <w:rsid w:val="002D15E8"/>
    <w:rsid w:val="002D1B56"/>
    <w:rsid w:val="002D1B5F"/>
    <w:rsid w:val="002D1BA2"/>
    <w:rsid w:val="002D2132"/>
    <w:rsid w:val="002D221F"/>
    <w:rsid w:val="002D224E"/>
    <w:rsid w:val="002D22B5"/>
    <w:rsid w:val="002D239F"/>
    <w:rsid w:val="002D23E6"/>
    <w:rsid w:val="002D24AC"/>
    <w:rsid w:val="002D2514"/>
    <w:rsid w:val="002D2544"/>
    <w:rsid w:val="002D25C1"/>
    <w:rsid w:val="002D25ED"/>
    <w:rsid w:val="002D2621"/>
    <w:rsid w:val="002D2668"/>
    <w:rsid w:val="002D268F"/>
    <w:rsid w:val="002D2A3F"/>
    <w:rsid w:val="002D2A7B"/>
    <w:rsid w:val="002D2C6C"/>
    <w:rsid w:val="002D2C9B"/>
    <w:rsid w:val="002D2D56"/>
    <w:rsid w:val="002D2E4E"/>
    <w:rsid w:val="002D2EA8"/>
    <w:rsid w:val="002D2EDC"/>
    <w:rsid w:val="002D2FCA"/>
    <w:rsid w:val="002D3322"/>
    <w:rsid w:val="002D3374"/>
    <w:rsid w:val="002D349E"/>
    <w:rsid w:val="002D34C7"/>
    <w:rsid w:val="002D37CF"/>
    <w:rsid w:val="002D38AB"/>
    <w:rsid w:val="002D399F"/>
    <w:rsid w:val="002D39BF"/>
    <w:rsid w:val="002D3A84"/>
    <w:rsid w:val="002D3A91"/>
    <w:rsid w:val="002D3C3C"/>
    <w:rsid w:val="002D3CF0"/>
    <w:rsid w:val="002D3D48"/>
    <w:rsid w:val="002D3DBD"/>
    <w:rsid w:val="002D3E4A"/>
    <w:rsid w:val="002D3F54"/>
    <w:rsid w:val="002D408F"/>
    <w:rsid w:val="002D41F8"/>
    <w:rsid w:val="002D42A7"/>
    <w:rsid w:val="002D455C"/>
    <w:rsid w:val="002D46F3"/>
    <w:rsid w:val="002D47C7"/>
    <w:rsid w:val="002D4938"/>
    <w:rsid w:val="002D4980"/>
    <w:rsid w:val="002D4CF2"/>
    <w:rsid w:val="002D4D22"/>
    <w:rsid w:val="002D4D62"/>
    <w:rsid w:val="002D50F3"/>
    <w:rsid w:val="002D5240"/>
    <w:rsid w:val="002D5468"/>
    <w:rsid w:val="002D5583"/>
    <w:rsid w:val="002D56B5"/>
    <w:rsid w:val="002D56DF"/>
    <w:rsid w:val="002D5714"/>
    <w:rsid w:val="002D5937"/>
    <w:rsid w:val="002D655E"/>
    <w:rsid w:val="002D658A"/>
    <w:rsid w:val="002D663D"/>
    <w:rsid w:val="002D6868"/>
    <w:rsid w:val="002D6A6F"/>
    <w:rsid w:val="002D70C2"/>
    <w:rsid w:val="002D710C"/>
    <w:rsid w:val="002D7120"/>
    <w:rsid w:val="002D7171"/>
    <w:rsid w:val="002D7173"/>
    <w:rsid w:val="002D7340"/>
    <w:rsid w:val="002D735B"/>
    <w:rsid w:val="002D740A"/>
    <w:rsid w:val="002D7430"/>
    <w:rsid w:val="002D74EF"/>
    <w:rsid w:val="002D74F8"/>
    <w:rsid w:val="002D754C"/>
    <w:rsid w:val="002D7625"/>
    <w:rsid w:val="002D76FC"/>
    <w:rsid w:val="002D7710"/>
    <w:rsid w:val="002D7741"/>
    <w:rsid w:val="002D7823"/>
    <w:rsid w:val="002D799C"/>
    <w:rsid w:val="002D7C65"/>
    <w:rsid w:val="002D7CE3"/>
    <w:rsid w:val="002D7D02"/>
    <w:rsid w:val="002D7F76"/>
    <w:rsid w:val="002D7FBB"/>
    <w:rsid w:val="002E000D"/>
    <w:rsid w:val="002E006E"/>
    <w:rsid w:val="002E012D"/>
    <w:rsid w:val="002E0237"/>
    <w:rsid w:val="002E02D9"/>
    <w:rsid w:val="002E0373"/>
    <w:rsid w:val="002E0383"/>
    <w:rsid w:val="002E03F6"/>
    <w:rsid w:val="002E0506"/>
    <w:rsid w:val="002E0520"/>
    <w:rsid w:val="002E056D"/>
    <w:rsid w:val="002E0678"/>
    <w:rsid w:val="002E07CC"/>
    <w:rsid w:val="002E09EB"/>
    <w:rsid w:val="002E0F08"/>
    <w:rsid w:val="002E1014"/>
    <w:rsid w:val="002E1265"/>
    <w:rsid w:val="002E126A"/>
    <w:rsid w:val="002E12D1"/>
    <w:rsid w:val="002E15EA"/>
    <w:rsid w:val="002E1722"/>
    <w:rsid w:val="002E18C1"/>
    <w:rsid w:val="002E1961"/>
    <w:rsid w:val="002E1982"/>
    <w:rsid w:val="002E1993"/>
    <w:rsid w:val="002E1D4B"/>
    <w:rsid w:val="002E1E47"/>
    <w:rsid w:val="002E219A"/>
    <w:rsid w:val="002E2257"/>
    <w:rsid w:val="002E27A3"/>
    <w:rsid w:val="002E284A"/>
    <w:rsid w:val="002E28EC"/>
    <w:rsid w:val="002E28FB"/>
    <w:rsid w:val="002E2C0A"/>
    <w:rsid w:val="002E2FCA"/>
    <w:rsid w:val="002E2FE2"/>
    <w:rsid w:val="002E31F1"/>
    <w:rsid w:val="002E3225"/>
    <w:rsid w:val="002E3227"/>
    <w:rsid w:val="002E33EC"/>
    <w:rsid w:val="002E34C4"/>
    <w:rsid w:val="002E3553"/>
    <w:rsid w:val="002E36D3"/>
    <w:rsid w:val="002E36FE"/>
    <w:rsid w:val="002E386A"/>
    <w:rsid w:val="002E389F"/>
    <w:rsid w:val="002E39F3"/>
    <w:rsid w:val="002E39FF"/>
    <w:rsid w:val="002E3AFB"/>
    <w:rsid w:val="002E3E91"/>
    <w:rsid w:val="002E4049"/>
    <w:rsid w:val="002E4061"/>
    <w:rsid w:val="002E4293"/>
    <w:rsid w:val="002E42D4"/>
    <w:rsid w:val="002E43B7"/>
    <w:rsid w:val="002E4638"/>
    <w:rsid w:val="002E46C5"/>
    <w:rsid w:val="002E4770"/>
    <w:rsid w:val="002E4C2D"/>
    <w:rsid w:val="002E4E68"/>
    <w:rsid w:val="002E4EF9"/>
    <w:rsid w:val="002E5285"/>
    <w:rsid w:val="002E52E9"/>
    <w:rsid w:val="002E5457"/>
    <w:rsid w:val="002E54B7"/>
    <w:rsid w:val="002E583E"/>
    <w:rsid w:val="002E5A23"/>
    <w:rsid w:val="002E5C3D"/>
    <w:rsid w:val="002E5D32"/>
    <w:rsid w:val="002E5DEA"/>
    <w:rsid w:val="002E6138"/>
    <w:rsid w:val="002E613D"/>
    <w:rsid w:val="002E65D0"/>
    <w:rsid w:val="002E66E0"/>
    <w:rsid w:val="002E670D"/>
    <w:rsid w:val="002E6750"/>
    <w:rsid w:val="002E6BAA"/>
    <w:rsid w:val="002E6F36"/>
    <w:rsid w:val="002E6F4C"/>
    <w:rsid w:val="002E6F6B"/>
    <w:rsid w:val="002E6FD9"/>
    <w:rsid w:val="002E7097"/>
    <w:rsid w:val="002E71F4"/>
    <w:rsid w:val="002E724A"/>
    <w:rsid w:val="002E72D1"/>
    <w:rsid w:val="002E747F"/>
    <w:rsid w:val="002E7516"/>
    <w:rsid w:val="002E7543"/>
    <w:rsid w:val="002E7725"/>
    <w:rsid w:val="002E7934"/>
    <w:rsid w:val="002E7A84"/>
    <w:rsid w:val="002E7B12"/>
    <w:rsid w:val="002E7F25"/>
    <w:rsid w:val="002F007C"/>
    <w:rsid w:val="002F01F6"/>
    <w:rsid w:val="002F0270"/>
    <w:rsid w:val="002F03F5"/>
    <w:rsid w:val="002F0445"/>
    <w:rsid w:val="002F04D5"/>
    <w:rsid w:val="002F078A"/>
    <w:rsid w:val="002F08CB"/>
    <w:rsid w:val="002F0B2C"/>
    <w:rsid w:val="002F0BAE"/>
    <w:rsid w:val="002F0DCE"/>
    <w:rsid w:val="002F11A9"/>
    <w:rsid w:val="002F14E4"/>
    <w:rsid w:val="002F193E"/>
    <w:rsid w:val="002F1B5E"/>
    <w:rsid w:val="002F1B79"/>
    <w:rsid w:val="002F1C76"/>
    <w:rsid w:val="002F1C9D"/>
    <w:rsid w:val="002F1CA2"/>
    <w:rsid w:val="002F24A7"/>
    <w:rsid w:val="002F26E6"/>
    <w:rsid w:val="002F2782"/>
    <w:rsid w:val="002F2829"/>
    <w:rsid w:val="002F28CD"/>
    <w:rsid w:val="002F2A28"/>
    <w:rsid w:val="002F2AC9"/>
    <w:rsid w:val="002F2D7F"/>
    <w:rsid w:val="002F2F04"/>
    <w:rsid w:val="002F2FDA"/>
    <w:rsid w:val="002F311E"/>
    <w:rsid w:val="002F313A"/>
    <w:rsid w:val="002F314D"/>
    <w:rsid w:val="002F3207"/>
    <w:rsid w:val="002F345B"/>
    <w:rsid w:val="002F36C4"/>
    <w:rsid w:val="002F3759"/>
    <w:rsid w:val="002F3780"/>
    <w:rsid w:val="002F3926"/>
    <w:rsid w:val="002F3933"/>
    <w:rsid w:val="002F3ABC"/>
    <w:rsid w:val="002F3CCD"/>
    <w:rsid w:val="002F3D11"/>
    <w:rsid w:val="002F3EFC"/>
    <w:rsid w:val="002F3FB7"/>
    <w:rsid w:val="002F41C2"/>
    <w:rsid w:val="002F44AC"/>
    <w:rsid w:val="002F4515"/>
    <w:rsid w:val="002F46BE"/>
    <w:rsid w:val="002F4906"/>
    <w:rsid w:val="002F4936"/>
    <w:rsid w:val="002F4A42"/>
    <w:rsid w:val="002F4A56"/>
    <w:rsid w:val="002F4C36"/>
    <w:rsid w:val="002F4D39"/>
    <w:rsid w:val="002F4E80"/>
    <w:rsid w:val="002F50FD"/>
    <w:rsid w:val="002F5284"/>
    <w:rsid w:val="002F52D1"/>
    <w:rsid w:val="002F531E"/>
    <w:rsid w:val="002F5399"/>
    <w:rsid w:val="002F5657"/>
    <w:rsid w:val="002F5658"/>
    <w:rsid w:val="002F5CDA"/>
    <w:rsid w:val="002F5FEC"/>
    <w:rsid w:val="002F622B"/>
    <w:rsid w:val="002F6628"/>
    <w:rsid w:val="002F665E"/>
    <w:rsid w:val="002F666F"/>
    <w:rsid w:val="002F68D1"/>
    <w:rsid w:val="002F6940"/>
    <w:rsid w:val="002F6957"/>
    <w:rsid w:val="002F6972"/>
    <w:rsid w:val="002F69E9"/>
    <w:rsid w:val="002F6A0C"/>
    <w:rsid w:val="002F6C92"/>
    <w:rsid w:val="002F6D4B"/>
    <w:rsid w:val="002F6F48"/>
    <w:rsid w:val="002F7013"/>
    <w:rsid w:val="002F7025"/>
    <w:rsid w:val="002F71B8"/>
    <w:rsid w:val="002F71F4"/>
    <w:rsid w:val="002F7225"/>
    <w:rsid w:val="002F7292"/>
    <w:rsid w:val="002F72FD"/>
    <w:rsid w:val="002F73FD"/>
    <w:rsid w:val="002F7575"/>
    <w:rsid w:val="002F75CB"/>
    <w:rsid w:val="002F787C"/>
    <w:rsid w:val="002F7912"/>
    <w:rsid w:val="002F7A02"/>
    <w:rsid w:val="002F7A14"/>
    <w:rsid w:val="002F7AC3"/>
    <w:rsid w:val="002F7AF4"/>
    <w:rsid w:val="002F7B46"/>
    <w:rsid w:val="003002CF"/>
    <w:rsid w:val="00300718"/>
    <w:rsid w:val="003007D2"/>
    <w:rsid w:val="00300971"/>
    <w:rsid w:val="003009B0"/>
    <w:rsid w:val="00300B70"/>
    <w:rsid w:val="00300C08"/>
    <w:rsid w:val="00300DD5"/>
    <w:rsid w:val="00300E52"/>
    <w:rsid w:val="00301263"/>
    <w:rsid w:val="003012CC"/>
    <w:rsid w:val="003014C5"/>
    <w:rsid w:val="0030156D"/>
    <w:rsid w:val="003016D2"/>
    <w:rsid w:val="003016DF"/>
    <w:rsid w:val="0030172E"/>
    <w:rsid w:val="00301C4A"/>
    <w:rsid w:val="00301D6C"/>
    <w:rsid w:val="00301EA1"/>
    <w:rsid w:val="00301F26"/>
    <w:rsid w:val="00301FA9"/>
    <w:rsid w:val="00301FC1"/>
    <w:rsid w:val="00301FC9"/>
    <w:rsid w:val="00302312"/>
    <w:rsid w:val="00302442"/>
    <w:rsid w:val="0030259F"/>
    <w:rsid w:val="00302678"/>
    <w:rsid w:val="0030292E"/>
    <w:rsid w:val="003029DF"/>
    <w:rsid w:val="00302C4C"/>
    <w:rsid w:val="00302CC1"/>
    <w:rsid w:val="00302D0F"/>
    <w:rsid w:val="00302F29"/>
    <w:rsid w:val="00302F70"/>
    <w:rsid w:val="00302FCC"/>
    <w:rsid w:val="00303140"/>
    <w:rsid w:val="00303346"/>
    <w:rsid w:val="00303388"/>
    <w:rsid w:val="003033CF"/>
    <w:rsid w:val="003034AB"/>
    <w:rsid w:val="003034FC"/>
    <w:rsid w:val="003035C6"/>
    <w:rsid w:val="00303648"/>
    <w:rsid w:val="0030372F"/>
    <w:rsid w:val="00303734"/>
    <w:rsid w:val="00303781"/>
    <w:rsid w:val="0030386F"/>
    <w:rsid w:val="00303A0C"/>
    <w:rsid w:val="00303AD6"/>
    <w:rsid w:val="00303B20"/>
    <w:rsid w:val="00303C16"/>
    <w:rsid w:val="00303EB0"/>
    <w:rsid w:val="00303EC2"/>
    <w:rsid w:val="00303ECF"/>
    <w:rsid w:val="00304074"/>
    <w:rsid w:val="00304222"/>
    <w:rsid w:val="003042E6"/>
    <w:rsid w:val="00304371"/>
    <w:rsid w:val="00304601"/>
    <w:rsid w:val="00304656"/>
    <w:rsid w:val="003046F4"/>
    <w:rsid w:val="00304753"/>
    <w:rsid w:val="00304765"/>
    <w:rsid w:val="003048D1"/>
    <w:rsid w:val="00304B63"/>
    <w:rsid w:val="00304B7D"/>
    <w:rsid w:val="00304C6A"/>
    <w:rsid w:val="00304CD3"/>
    <w:rsid w:val="00304D97"/>
    <w:rsid w:val="00304E4F"/>
    <w:rsid w:val="00304F42"/>
    <w:rsid w:val="003050BD"/>
    <w:rsid w:val="003051B9"/>
    <w:rsid w:val="003051C6"/>
    <w:rsid w:val="00305286"/>
    <w:rsid w:val="0030545C"/>
    <w:rsid w:val="00305484"/>
    <w:rsid w:val="00305635"/>
    <w:rsid w:val="003056AC"/>
    <w:rsid w:val="00305813"/>
    <w:rsid w:val="0030597B"/>
    <w:rsid w:val="00305D8B"/>
    <w:rsid w:val="00305E07"/>
    <w:rsid w:val="00305EA8"/>
    <w:rsid w:val="0030607B"/>
    <w:rsid w:val="00306208"/>
    <w:rsid w:val="00306219"/>
    <w:rsid w:val="00306240"/>
    <w:rsid w:val="003062AE"/>
    <w:rsid w:val="00306429"/>
    <w:rsid w:val="00306504"/>
    <w:rsid w:val="0030663A"/>
    <w:rsid w:val="003066D2"/>
    <w:rsid w:val="00306751"/>
    <w:rsid w:val="00306B08"/>
    <w:rsid w:val="00307216"/>
    <w:rsid w:val="003072E2"/>
    <w:rsid w:val="0030730C"/>
    <w:rsid w:val="00307748"/>
    <w:rsid w:val="00307A6B"/>
    <w:rsid w:val="00307AB2"/>
    <w:rsid w:val="00307B4C"/>
    <w:rsid w:val="00307C3E"/>
    <w:rsid w:val="00307DB8"/>
    <w:rsid w:val="00310010"/>
    <w:rsid w:val="0031033B"/>
    <w:rsid w:val="0031060A"/>
    <w:rsid w:val="00310651"/>
    <w:rsid w:val="00310722"/>
    <w:rsid w:val="0031079E"/>
    <w:rsid w:val="00310855"/>
    <w:rsid w:val="00310894"/>
    <w:rsid w:val="00310969"/>
    <w:rsid w:val="00310B93"/>
    <w:rsid w:val="00310D68"/>
    <w:rsid w:val="00310DB5"/>
    <w:rsid w:val="00310E37"/>
    <w:rsid w:val="00310F4C"/>
    <w:rsid w:val="00310F50"/>
    <w:rsid w:val="00310FAC"/>
    <w:rsid w:val="00311083"/>
    <w:rsid w:val="003111AA"/>
    <w:rsid w:val="003112B7"/>
    <w:rsid w:val="00311400"/>
    <w:rsid w:val="0031142F"/>
    <w:rsid w:val="003118DE"/>
    <w:rsid w:val="003118F7"/>
    <w:rsid w:val="003119DA"/>
    <w:rsid w:val="00311EF5"/>
    <w:rsid w:val="0031225D"/>
    <w:rsid w:val="00312431"/>
    <w:rsid w:val="0031261C"/>
    <w:rsid w:val="003126E4"/>
    <w:rsid w:val="003128BF"/>
    <w:rsid w:val="003128CA"/>
    <w:rsid w:val="00312BE1"/>
    <w:rsid w:val="00312DA5"/>
    <w:rsid w:val="00312E01"/>
    <w:rsid w:val="00312FC3"/>
    <w:rsid w:val="0031330C"/>
    <w:rsid w:val="003133CB"/>
    <w:rsid w:val="00313518"/>
    <w:rsid w:val="003137CF"/>
    <w:rsid w:val="0031380C"/>
    <w:rsid w:val="0031387B"/>
    <w:rsid w:val="003138F7"/>
    <w:rsid w:val="00313C39"/>
    <w:rsid w:val="00313C68"/>
    <w:rsid w:val="00313E71"/>
    <w:rsid w:val="00314198"/>
    <w:rsid w:val="00314293"/>
    <w:rsid w:val="003146B5"/>
    <w:rsid w:val="0031480D"/>
    <w:rsid w:val="003148F2"/>
    <w:rsid w:val="00314A66"/>
    <w:rsid w:val="00314A8E"/>
    <w:rsid w:val="00314B8D"/>
    <w:rsid w:val="00314BFC"/>
    <w:rsid w:val="00314CA2"/>
    <w:rsid w:val="00314CDC"/>
    <w:rsid w:val="00314D82"/>
    <w:rsid w:val="00315054"/>
    <w:rsid w:val="003153BF"/>
    <w:rsid w:val="0031541F"/>
    <w:rsid w:val="003154FC"/>
    <w:rsid w:val="00315514"/>
    <w:rsid w:val="00315533"/>
    <w:rsid w:val="0031556B"/>
    <w:rsid w:val="003155E9"/>
    <w:rsid w:val="003155EF"/>
    <w:rsid w:val="003155FB"/>
    <w:rsid w:val="003156BC"/>
    <w:rsid w:val="00315842"/>
    <w:rsid w:val="003159B5"/>
    <w:rsid w:val="00315A6B"/>
    <w:rsid w:val="00315C17"/>
    <w:rsid w:val="00315CFE"/>
    <w:rsid w:val="00315E98"/>
    <w:rsid w:val="0031612C"/>
    <w:rsid w:val="003162EB"/>
    <w:rsid w:val="00316B56"/>
    <w:rsid w:val="00316B7B"/>
    <w:rsid w:val="00316C2D"/>
    <w:rsid w:val="0031719F"/>
    <w:rsid w:val="00317286"/>
    <w:rsid w:val="00317339"/>
    <w:rsid w:val="0031737B"/>
    <w:rsid w:val="00317383"/>
    <w:rsid w:val="00317420"/>
    <w:rsid w:val="0031742D"/>
    <w:rsid w:val="003174DE"/>
    <w:rsid w:val="003179A0"/>
    <w:rsid w:val="00317B34"/>
    <w:rsid w:val="00317C6B"/>
    <w:rsid w:val="00317E18"/>
    <w:rsid w:val="00317E86"/>
    <w:rsid w:val="0032001C"/>
    <w:rsid w:val="003203EB"/>
    <w:rsid w:val="003204E8"/>
    <w:rsid w:val="003208AE"/>
    <w:rsid w:val="00320B9B"/>
    <w:rsid w:val="00320BC4"/>
    <w:rsid w:val="00320DAD"/>
    <w:rsid w:val="00320EC8"/>
    <w:rsid w:val="003215D9"/>
    <w:rsid w:val="003216C8"/>
    <w:rsid w:val="0032174D"/>
    <w:rsid w:val="00321787"/>
    <w:rsid w:val="0032185B"/>
    <w:rsid w:val="00321871"/>
    <w:rsid w:val="003219E8"/>
    <w:rsid w:val="00321AD4"/>
    <w:rsid w:val="00321B6C"/>
    <w:rsid w:val="00321ED0"/>
    <w:rsid w:val="00321F44"/>
    <w:rsid w:val="00322073"/>
    <w:rsid w:val="00322137"/>
    <w:rsid w:val="003225B0"/>
    <w:rsid w:val="00322662"/>
    <w:rsid w:val="003228B1"/>
    <w:rsid w:val="00322A55"/>
    <w:rsid w:val="00322CF6"/>
    <w:rsid w:val="00322DFA"/>
    <w:rsid w:val="00323115"/>
    <w:rsid w:val="0032319B"/>
    <w:rsid w:val="0032341A"/>
    <w:rsid w:val="0032348F"/>
    <w:rsid w:val="00323591"/>
    <w:rsid w:val="003236DA"/>
    <w:rsid w:val="00323761"/>
    <w:rsid w:val="003237A4"/>
    <w:rsid w:val="00323B80"/>
    <w:rsid w:val="00323C21"/>
    <w:rsid w:val="00323CDD"/>
    <w:rsid w:val="00324002"/>
    <w:rsid w:val="00324115"/>
    <w:rsid w:val="00324141"/>
    <w:rsid w:val="0032425F"/>
    <w:rsid w:val="00324266"/>
    <w:rsid w:val="003247A8"/>
    <w:rsid w:val="003247E7"/>
    <w:rsid w:val="003248E3"/>
    <w:rsid w:val="00324921"/>
    <w:rsid w:val="0032494A"/>
    <w:rsid w:val="00324A6D"/>
    <w:rsid w:val="00324B79"/>
    <w:rsid w:val="00324BD5"/>
    <w:rsid w:val="00324CA3"/>
    <w:rsid w:val="00324EA6"/>
    <w:rsid w:val="00325149"/>
    <w:rsid w:val="003255DB"/>
    <w:rsid w:val="0032565A"/>
    <w:rsid w:val="0032588A"/>
    <w:rsid w:val="00325956"/>
    <w:rsid w:val="00325B42"/>
    <w:rsid w:val="00325C75"/>
    <w:rsid w:val="00325C81"/>
    <w:rsid w:val="00325CF3"/>
    <w:rsid w:val="00325E55"/>
    <w:rsid w:val="00325EB5"/>
    <w:rsid w:val="00325F31"/>
    <w:rsid w:val="00326091"/>
    <w:rsid w:val="0032611F"/>
    <w:rsid w:val="0032618C"/>
    <w:rsid w:val="0032621D"/>
    <w:rsid w:val="00326251"/>
    <w:rsid w:val="00326291"/>
    <w:rsid w:val="003262EF"/>
    <w:rsid w:val="0032634B"/>
    <w:rsid w:val="00326390"/>
    <w:rsid w:val="0032649D"/>
    <w:rsid w:val="003265F1"/>
    <w:rsid w:val="0032671A"/>
    <w:rsid w:val="00326750"/>
    <w:rsid w:val="00326932"/>
    <w:rsid w:val="00326961"/>
    <w:rsid w:val="00326CE8"/>
    <w:rsid w:val="00326D7B"/>
    <w:rsid w:val="00326D8C"/>
    <w:rsid w:val="00326D9D"/>
    <w:rsid w:val="0032728A"/>
    <w:rsid w:val="003272F5"/>
    <w:rsid w:val="00327543"/>
    <w:rsid w:val="00327728"/>
    <w:rsid w:val="0032781D"/>
    <w:rsid w:val="003279BB"/>
    <w:rsid w:val="00327CE8"/>
    <w:rsid w:val="00327DC9"/>
    <w:rsid w:val="00327F3B"/>
    <w:rsid w:val="00327F7C"/>
    <w:rsid w:val="00327FED"/>
    <w:rsid w:val="003300FF"/>
    <w:rsid w:val="00330463"/>
    <w:rsid w:val="003306AE"/>
    <w:rsid w:val="00330727"/>
    <w:rsid w:val="00330965"/>
    <w:rsid w:val="00330BE8"/>
    <w:rsid w:val="00330E1E"/>
    <w:rsid w:val="00331136"/>
    <w:rsid w:val="00331418"/>
    <w:rsid w:val="00331A16"/>
    <w:rsid w:val="00331CF8"/>
    <w:rsid w:val="00331D0F"/>
    <w:rsid w:val="00331DC0"/>
    <w:rsid w:val="00331DEA"/>
    <w:rsid w:val="003321C8"/>
    <w:rsid w:val="00332259"/>
    <w:rsid w:val="003322A0"/>
    <w:rsid w:val="0033237E"/>
    <w:rsid w:val="0033244E"/>
    <w:rsid w:val="0033248A"/>
    <w:rsid w:val="00332793"/>
    <w:rsid w:val="00332B27"/>
    <w:rsid w:val="00332C07"/>
    <w:rsid w:val="00332EA2"/>
    <w:rsid w:val="00332FD1"/>
    <w:rsid w:val="003331DA"/>
    <w:rsid w:val="00333237"/>
    <w:rsid w:val="0033333E"/>
    <w:rsid w:val="003333CF"/>
    <w:rsid w:val="00333435"/>
    <w:rsid w:val="003334BD"/>
    <w:rsid w:val="0033359A"/>
    <w:rsid w:val="00333775"/>
    <w:rsid w:val="003337B2"/>
    <w:rsid w:val="003337E6"/>
    <w:rsid w:val="00333A35"/>
    <w:rsid w:val="00333B30"/>
    <w:rsid w:val="00333C84"/>
    <w:rsid w:val="00333EA0"/>
    <w:rsid w:val="00333F22"/>
    <w:rsid w:val="00334500"/>
    <w:rsid w:val="00334554"/>
    <w:rsid w:val="003346BE"/>
    <w:rsid w:val="003346E9"/>
    <w:rsid w:val="00334748"/>
    <w:rsid w:val="003348AA"/>
    <w:rsid w:val="0033491A"/>
    <w:rsid w:val="00334ACF"/>
    <w:rsid w:val="00334C9D"/>
    <w:rsid w:val="00334E09"/>
    <w:rsid w:val="00334F7A"/>
    <w:rsid w:val="0033525F"/>
    <w:rsid w:val="00335480"/>
    <w:rsid w:val="003354F0"/>
    <w:rsid w:val="00335556"/>
    <w:rsid w:val="00335559"/>
    <w:rsid w:val="0033558B"/>
    <w:rsid w:val="003356F9"/>
    <w:rsid w:val="00335A14"/>
    <w:rsid w:val="00335AD4"/>
    <w:rsid w:val="00335AE4"/>
    <w:rsid w:val="00335C8E"/>
    <w:rsid w:val="00335E6A"/>
    <w:rsid w:val="00336053"/>
    <w:rsid w:val="0033617A"/>
    <w:rsid w:val="003361B8"/>
    <w:rsid w:val="003361D1"/>
    <w:rsid w:val="003362AF"/>
    <w:rsid w:val="003362C6"/>
    <w:rsid w:val="00336376"/>
    <w:rsid w:val="003363E1"/>
    <w:rsid w:val="003363F7"/>
    <w:rsid w:val="003365A8"/>
    <w:rsid w:val="003365B1"/>
    <w:rsid w:val="003366DB"/>
    <w:rsid w:val="003367CA"/>
    <w:rsid w:val="00336860"/>
    <w:rsid w:val="0033686E"/>
    <w:rsid w:val="003369BF"/>
    <w:rsid w:val="00336A06"/>
    <w:rsid w:val="00336D13"/>
    <w:rsid w:val="00336D36"/>
    <w:rsid w:val="00336D9D"/>
    <w:rsid w:val="00336E9E"/>
    <w:rsid w:val="00337446"/>
    <w:rsid w:val="00337A09"/>
    <w:rsid w:val="00337AD7"/>
    <w:rsid w:val="00337BEC"/>
    <w:rsid w:val="00337CFD"/>
    <w:rsid w:val="00337F4F"/>
    <w:rsid w:val="00340010"/>
    <w:rsid w:val="00340241"/>
    <w:rsid w:val="00340789"/>
    <w:rsid w:val="00340829"/>
    <w:rsid w:val="003408B8"/>
    <w:rsid w:val="003408EE"/>
    <w:rsid w:val="0034093E"/>
    <w:rsid w:val="00340A70"/>
    <w:rsid w:val="00340CE3"/>
    <w:rsid w:val="00340D0C"/>
    <w:rsid w:val="003411F6"/>
    <w:rsid w:val="003412CB"/>
    <w:rsid w:val="00341318"/>
    <w:rsid w:val="0034152D"/>
    <w:rsid w:val="0034154F"/>
    <w:rsid w:val="0034158E"/>
    <w:rsid w:val="0034198E"/>
    <w:rsid w:val="00341A14"/>
    <w:rsid w:val="00341EA1"/>
    <w:rsid w:val="00342072"/>
    <w:rsid w:val="00342078"/>
    <w:rsid w:val="00342082"/>
    <w:rsid w:val="00342209"/>
    <w:rsid w:val="0034227B"/>
    <w:rsid w:val="0034273F"/>
    <w:rsid w:val="00342961"/>
    <w:rsid w:val="003429D1"/>
    <w:rsid w:val="00342BCC"/>
    <w:rsid w:val="00342D9F"/>
    <w:rsid w:val="00342FA0"/>
    <w:rsid w:val="003430CD"/>
    <w:rsid w:val="00343203"/>
    <w:rsid w:val="00343285"/>
    <w:rsid w:val="003435CB"/>
    <w:rsid w:val="00343835"/>
    <w:rsid w:val="0034390D"/>
    <w:rsid w:val="0034395B"/>
    <w:rsid w:val="0034396F"/>
    <w:rsid w:val="003439CD"/>
    <w:rsid w:val="00343B3C"/>
    <w:rsid w:val="00343B95"/>
    <w:rsid w:val="00343D35"/>
    <w:rsid w:val="00343E5D"/>
    <w:rsid w:val="00343EBC"/>
    <w:rsid w:val="0034402B"/>
    <w:rsid w:val="003442B3"/>
    <w:rsid w:val="003444CC"/>
    <w:rsid w:val="003446DA"/>
    <w:rsid w:val="0034498A"/>
    <w:rsid w:val="00344C9A"/>
    <w:rsid w:val="00344CC7"/>
    <w:rsid w:val="00344DBB"/>
    <w:rsid w:val="00344E2F"/>
    <w:rsid w:val="00344F19"/>
    <w:rsid w:val="00344F6E"/>
    <w:rsid w:val="00344FBD"/>
    <w:rsid w:val="00345072"/>
    <w:rsid w:val="00345157"/>
    <w:rsid w:val="003451FA"/>
    <w:rsid w:val="0034522A"/>
    <w:rsid w:val="00345344"/>
    <w:rsid w:val="0034566B"/>
    <w:rsid w:val="00345981"/>
    <w:rsid w:val="00345ADE"/>
    <w:rsid w:val="00345B61"/>
    <w:rsid w:val="00345E01"/>
    <w:rsid w:val="00345E27"/>
    <w:rsid w:val="00345ED3"/>
    <w:rsid w:val="003460D6"/>
    <w:rsid w:val="00346159"/>
    <w:rsid w:val="003461CD"/>
    <w:rsid w:val="00346219"/>
    <w:rsid w:val="00346845"/>
    <w:rsid w:val="003468F1"/>
    <w:rsid w:val="00346A70"/>
    <w:rsid w:val="00346AF6"/>
    <w:rsid w:val="00346BB6"/>
    <w:rsid w:val="00346CBA"/>
    <w:rsid w:val="00346DBB"/>
    <w:rsid w:val="00346FAD"/>
    <w:rsid w:val="003471DD"/>
    <w:rsid w:val="003471F1"/>
    <w:rsid w:val="00347501"/>
    <w:rsid w:val="00347615"/>
    <w:rsid w:val="003477DA"/>
    <w:rsid w:val="00347A0F"/>
    <w:rsid w:val="00347DB6"/>
    <w:rsid w:val="00347E22"/>
    <w:rsid w:val="00347F7D"/>
    <w:rsid w:val="00350060"/>
    <w:rsid w:val="00350187"/>
    <w:rsid w:val="00350197"/>
    <w:rsid w:val="00350276"/>
    <w:rsid w:val="0035038A"/>
    <w:rsid w:val="0035045D"/>
    <w:rsid w:val="003504D9"/>
    <w:rsid w:val="003505CC"/>
    <w:rsid w:val="003508F0"/>
    <w:rsid w:val="0035101B"/>
    <w:rsid w:val="00351050"/>
    <w:rsid w:val="003510B7"/>
    <w:rsid w:val="00351266"/>
    <w:rsid w:val="00351350"/>
    <w:rsid w:val="00351381"/>
    <w:rsid w:val="0035139D"/>
    <w:rsid w:val="003513B6"/>
    <w:rsid w:val="003513D5"/>
    <w:rsid w:val="003514E2"/>
    <w:rsid w:val="003516AE"/>
    <w:rsid w:val="003518E1"/>
    <w:rsid w:val="003518E9"/>
    <w:rsid w:val="00351A08"/>
    <w:rsid w:val="00351A45"/>
    <w:rsid w:val="00351AC8"/>
    <w:rsid w:val="00351AFE"/>
    <w:rsid w:val="00351C8C"/>
    <w:rsid w:val="00352156"/>
    <w:rsid w:val="003524A7"/>
    <w:rsid w:val="00352506"/>
    <w:rsid w:val="00352564"/>
    <w:rsid w:val="0035261D"/>
    <w:rsid w:val="003526A1"/>
    <w:rsid w:val="00352821"/>
    <w:rsid w:val="00352C17"/>
    <w:rsid w:val="00352C1A"/>
    <w:rsid w:val="00352EDC"/>
    <w:rsid w:val="0035304D"/>
    <w:rsid w:val="003530A6"/>
    <w:rsid w:val="00353428"/>
    <w:rsid w:val="00353627"/>
    <w:rsid w:val="00353650"/>
    <w:rsid w:val="003536C4"/>
    <w:rsid w:val="003537A6"/>
    <w:rsid w:val="0035388D"/>
    <w:rsid w:val="00353BC1"/>
    <w:rsid w:val="00353E3E"/>
    <w:rsid w:val="00353EE6"/>
    <w:rsid w:val="00353F06"/>
    <w:rsid w:val="00354063"/>
    <w:rsid w:val="0035406F"/>
    <w:rsid w:val="003540FC"/>
    <w:rsid w:val="00354211"/>
    <w:rsid w:val="003544F1"/>
    <w:rsid w:val="00354519"/>
    <w:rsid w:val="003547C5"/>
    <w:rsid w:val="003548DF"/>
    <w:rsid w:val="00354A78"/>
    <w:rsid w:val="00354B64"/>
    <w:rsid w:val="00354DFC"/>
    <w:rsid w:val="0035507B"/>
    <w:rsid w:val="00355414"/>
    <w:rsid w:val="003554B7"/>
    <w:rsid w:val="003556B6"/>
    <w:rsid w:val="00355773"/>
    <w:rsid w:val="00355823"/>
    <w:rsid w:val="003558A9"/>
    <w:rsid w:val="00355ABD"/>
    <w:rsid w:val="00355ADE"/>
    <w:rsid w:val="00355BAF"/>
    <w:rsid w:val="00355D8D"/>
    <w:rsid w:val="00355F72"/>
    <w:rsid w:val="00355F92"/>
    <w:rsid w:val="0035618C"/>
    <w:rsid w:val="00356198"/>
    <w:rsid w:val="00356364"/>
    <w:rsid w:val="003563D8"/>
    <w:rsid w:val="00356548"/>
    <w:rsid w:val="003565A3"/>
    <w:rsid w:val="003567CE"/>
    <w:rsid w:val="0035686C"/>
    <w:rsid w:val="003569E1"/>
    <w:rsid w:val="00356A35"/>
    <w:rsid w:val="00356AC5"/>
    <w:rsid w:val="00356BC1"/>
    <w:rsid w:val="00356D22"/>
    <w:rsid w:val="00356E19"/>
    <w:rsid w:val="00356E35"/>
    <w:rsid w:val="00356ED5"/>
    <w:rsid w:val="00357478"/>
    <w:rsid w:val="003574B1"/>
    <w:rsid w:val="00357567"/>
    <w:rsid w:val="0035758C"/>
    <w:rsid w:val="00357657"/>
    <w:rsid w:val="003576C4"/>
    <w:rsid w:val="0035772F"/>
    <w:rsid w:val="00357A91"/>
    <w:rsid w:val="00357E32"/>
    <w:rsid w:val="00360015"/>
    <w:rsid w:val="00360032"/>
    <w:rsid w:val="0036035D"/>
    <w:rsid w:val="00360426"/>
    <w:rsid w:val="003604F7"/>
    <w:rsid w:val="00360581"/>
    <w:rsid w:val="003605BA"/>
    <w:rsid w:val="00360796"/>
    <w:rsid w:val="00360863"/>
    <w:rsid w:val="003608B6"/>
    <w:rsid w:val="00360A81"/>
    <w:rsid w:val="00360BE8"/>
    <w:rsid w:val="00360DF5"/>
    <w:rsid w:val="00361008"/>
    <w:rsid w:val="003611BB"/>
    <w:rsid w:val="00361240"/>
    <w:rsid w:val="0036128E"/>
    <w:rsid w:val="003619BF"/>
    <w:rsid w:val="00361AB7"/>
    <w:rsid w:val="00361D08"/>
    <w:rsid w:val="00361D22"/>
    <w:rsid w:val="00361E13"/>
    <w:rsid w:val="00361E2E"/>
    <w:rsid w:val="00361E5F"/>
    <w:rsid w:val="003620CF"/>
    <w:rsid w:val="003620D3"/>
    <w:rsid w:val="0036224F"/>
    <w:rsid w:val="003622A0"/>
    <w:rsid w:val="00362386"/>
    <w:rsid w:val="003626AC"/>
    <w:rsid w:val="003627BF"/>
    <w:rsid w:val="00362A1D"/>
    <w:rsid w:val="00362A8B"/>
    <w:rsid w:val="00362C53"/>
    <w:rsid w:val="00362D1C"/>
    <w:rsid w:val="00362D31"/>
    <w:rsid w:val="00362D73"/>
    <w:rsid w:val="00362E51"/>
    <w:rsid w:val="00362F1C"/>
    <w:rsid w:val="00362F7E"/>
    <w:rsid w:val="00362FD0"/>
    <w:rsid w:val="0036300D"/>
    <w:rsid w:val="003632DE"/>
    <w:rsid w:val="00363487"/>
    <w:rsid w:val="00363546"/>
    <w:rsid w:val="00363641"/>
    <w:rsid w:val="003639A6"/>
    <w:rsid w:val="003639C8"/>
    <w:rsid w:val="00363A90"/>
    <w:rsid w:val="00363B2F"/>
    <w:rsid w:val="00363B86"/>
    <w:rsid w:val="00363C26"/>
    <w:rsid w:val="00363D3B"/>
    <w:rsid w:val="00363D3F"/>
    <w:rsid w:val="00363DEE"/>
    <w:rsid w:val="00363FB4"/>
    <w:rsid w:val="003640E0"/>
    <w:rsid w:val="00364325"/>
    <w:rsid w:val="0036436E"/>
    <w:rsid w:val="0036451E"/>
    <w:rsid w:val="003645A0"/>
    <w:rsid w:val="003645D5"/>
    <w:rsid w:val="0036461D"/>
    <w:rsid w:val="003647DF"/>
    <w:rsid w:val="00364850"/>
    <w:rsid w:val="0036498B"/>
    <w:rsid w:val="003649F8"/>
    <w:rsid w:val="00364D94"/>
    <w:rsid w:val="00364D9D"/>
    <w:rsid w:val="00365074"/>
    <w:rsid w:val="003652A5"/>
    <w:rsid w:val="0036535C"/>
    <w:rsid w:val="003654DF"/>
    <w:rsid w:val="003657BB"/>
    <w:rsid w:val="003658AB"/>
    <w:rsid w:val="00365929"/>
    <w:rsid w:val="00365AE7"/>
    <w:rsid w:val="00365E0F"/>
    <w:rsid w:val="00365EED"/>
    <w:rsid w:val="00365FF9"/>
    <w:rsid w:val="00366167"/>
    <w:rsid w:val="00366310"/>
    <w:rsid w:val="0036646F"/>
    <w:rsid w:val="00366755"/>
    <w:rsid w:val="003667E0"/>
    <w:rsid w:val="0036682F"/>
    <w:rsid w:val="00366906"/>
    <w:rsid w:val="0036699A"/>
    <w:rsid w:val="00366CD6"/>
    <w:rsid w:val="00366E9D"/>
    <w:rsid w:val="00367740"/>
    <w:rsid w:val="0036793A"/>
    <w:rsid w:val="003679AE"/>
    <w:rsid w:val="003679E6"/>
    <w:rsid w:val="00367AD4"/>
    <w:rsid w:val="00367B69"/>
    <w:rsid w:val="00367E21"/>
    <w:rsid w:val="00367F21"/>
    <w:rsid w:val="00370688"/>
    <w:rsid w:val="003708BE"/>
    <w:rsid w:val="003708E5"/>
    <w:rsid w:val="003709B0"/>
    <w:rsid w:val="00370AF7"/>
    <w:rsid w:val="00370B91"/>
    <w:rsid w:val="00370C1F"/>
    <w:rsid w:val="00370DF2"/>
    <w:rsid w:val="00370EB4"/>
    <w:rsid w:val="00370FC7"/>
    <w:rsid w:val="003714BA"/>
    <w:rsid w:val="0037160F"/>
    <w:rsid w:val="00371729"/>
    <w:rsid w:val="00371BF1"/>
    <w:rsid w:val="00371C99"/>
    <w:rsid w:val="0037252C"/>
    <w:rsid w:val="00372541"/>
    <w:rsid w:val="0037267C"/>
    <w:rsid w:val="003729D2"/>
    <w:rsid w:val="00372AAD"/>
    <w:rsid w:val="00372AD4"/>
    <w:rsid w:val="00372AFC"/>
    <w:rsid w:val="00372C97"/>
    <w:rsid w:val="00373320"/>
    <w:rsid w:val="00373471"/>
    <w:rsid w:val="00373883"/>
    <w:rsid w:val="003738C3"/>
    <w:rsid w:val="0037393B"/>
    <w:rsid w:val="003739E6"/>
    <w:rsid w:val="00373A2C"/>
    <w:rsid w:val="00373BB0"/>
    <w:rsid w:val="00373C11"/>
    <w:rsid w:val="00373CCB"/>
    <w:rsid w:val="00373D78"/>
    <w:rsid w:val="00373E32"/>
    <w:rsid w:val="00373E76"/>
    <w:rsid w:val="003740B2"/>
    <w:rsid w:val="00374120"/>
    <w:rsid w:val="003741DE"/>
    <w:rsid w:val="0037425F"/>
    <w:rsid w:val="0037455D"/>
    <w:rsid w:val="003746C3"/>
    <w:rsid w:val="00374787"/>
    <w:rsid w:val="003747ED"/>
    <w:rsid w:val="00374829"/>
    <w:rsid w:val="00374A0D"/>
    <w:rsid w:val="00374B01"/>
    <w:rsid w:val="00374B65"/>
    <w:rsid w:val="00374C48"/>
    <w:rsid w:val="00374FD9"/>
    <w:rsid w:val="0037505E"/>
    <w:rsid w:val="003750A4"/>
    <w:rsid w:val="003751B6"/>
    <w:rsid w:val="00375292"/>
    <w:rsid w:val="003755EE"/>
    <w:rsid w:val="00375B3F"/>
    <w:rsid w:val="00375BD5"/>
    <w:rsid w:val="00375C5B"/>
    <w:rsid w:val="00375EFE"/>
    <w:rsid w:val="00375F01"/>
    <w:rsid w:val="00375F22"/>
    <w:rsid w:val="003761B2"/>
    <w:rsid w:val="00376372"/>
    <w:rsid w:val="0037642D"/>
    <w:rsid w:val="00376443"/>
    <w:rsid w:val="00376639"/>
    <w:rsid w:val="00376807"/>
    <w:rsid w:val="00376B67"/>
    <w:rsid w:val="00376BEE"/>
    <w:rsid w:val="00376D32"/>
    <w:rsid w:val="00376DF9"/>
    <w:rsid w:val="00376F89"/>
    <w:rsid w:val="00376FA3"/>
    <w:rsid w:val="00376FF3"/>
    <w:rsid w:val="0037739F"/>
    <w:rsid w:val="00377547"/>
    <w:rsid w:val="00377581"/>
    <w:rsid w:val="003776EB"/>
    <w:rsid w:val="00377992"/>
    <w:rsid w:val="00377A94"/>
    <w:rsid w:val="00377FE5"/>
    <w:rsid w:val="0038011A"/>
    <w:rsid w:val="00380241"/>
    <w:rsid w:val="0038027B"/>
    <w:rsid w:val="003802AE"/>
    <w:rsid w:val="00380495"/>
    <w:rsid w:val="003804F2"/>
    <w:rsid w:val="0038052B"/>
    <w:rsid w:val="0038063F"/>
    <w:rsid w:val="00380943"/>
    <w:rsid w:val="0038097B"/>
    <w:rsid w:val="00380DF6"/>
    <w:rsid w:val="0038113B"/>
    <w:rsid w:val="0038157B"/>
    <w:rsid w:val="00381648"/>
    <w:rsid w:val="00381784"/>
    <w:rsid w:val="0038184F"/>
    <w:rsid w:val="003819D5"/>
    <w:rsid w:val="00381CA9"/>
    <w:rsid w:val="00381D4D"/>
    <w:rsid w:val="003821AE"/>
    <w:rsid w:val="003823C3"/>
    <w:rsid w:val="0038254F"/>
    <w:rsid w:val="00382661"/>
    <w:rsid w:val="003827D9"/>
    <w:rsid w:val="0038281C"/>
    <w:rsid w:val="00382899"/>
    <w:rsid w:val="003828E6"/>
    <w:rsid w:val="00382A7F"/>
    <w:rsid w:val="00382AE7"/>
    <w:rsid w:val="00382D03"/>
    <w:rsid w:val="00382EB5"/>
    <w:rsid w:val="00383268"/>
    <w:rsid w:val="00383281"/>
    <w:rsid w:val="00383296"/>
    <w:rsid w:val="003834FA"/>
    <w:rsid w:val="0038355C"/>
    <w:rsid w:val="00383603"/>
    <w:rsid w:val="00383772"/>
    <w:rsid w:val="0038377D"/>
    <w:rsid w:val="00383823"/>
    <w:rsid w:val="0038394F"/>
    <w:rsid w:val="00383A4F"/>
    <w:rsid w:val="00383BAA"/>
    <w:rsid w:val="00383CE0"/>
    <w:rsid w:val="00383CF0"/>
    <w:rsid w:val="00383FB8"/>
    <w:rsid w:val="00383FEC"/>
    <w:rsid w:val="003840BC"/>
    <w:rsid w:val="0038433A"/>
    <w:rsid w:val="00384603"/>
    <w:rsid w:val="003846B1"/>
    <w:rsid w:val="003849A2"/>
    <w:rsid w:val="00384B6F"/>
    <w:rsid w:val="00384C90"/>
    <w:rsid w:val="00384CE9"/>
    <w:rsid w:val="00384D34"/>
    <w:rsid w:val="00384D4D"/>
    <w:rsid w:val="00384DFC"/>
    <w:rsid w:val="00384E3B"/>
    <w:rsid w:val="00385028"/>
    <w:rsid w:val="00385073"/>
    <w:rsid w:val="0038508A"/>
    <w:rsid w:val="003850B1"/>
    <w:rsid w:val="0038511D"/>
    <w:rsid w:val="0038516B"/>
    <w:rsid w:val="003851D0"/>
    <w:rsid w:val="003851F3"/>
    <w:rsid w:val="0038521A"/>
    <w:rsid w:val="003854E1"/>
    <w:rsid w:val="00385620"/>
    <w:rsid w:val="003856AC"/>
    <w:rsid w:val="003856E6"/>
    <w:rsid w:val="003858AE"/>
    <w:rsid w:val="00385964"/>
    <w:rsid w:val="00385A64"/>
    <w:rsid w:val="00385EB6"/>
    <w:rsid w:val="003860AD"/>
    <w:rsid w:val="0038623E"/>
    <w:rsid w:val="003862CF"/>
    <w:rsid w:val="003862DD"/>
    <w:rsid w:val="003863BF"/>
    <w:rsid w:val="003864B7"/>
    <w:rsid w:val="003864D8"/>
    <w:rsid w:val="0038650A"/>
    <w:rsid w:val="00386579"/>
    <w:rsid w:val="00386679"/>
    <w:rsid w:val="00386706"/>
    <w:rsid w:val="00386A21"/>
    <w:rsid w:val="00386B69"/>
    <w:rsid w:val="00386C16"/>
    <w:rsid w:val="00386D1A"/>
    <w:rsid w:val="00386DE0"/>
    <w:rsid w:val="00386E66"/>
    <w:rsid w:val="00386F52"/>
    <w:rsid w:val="00386F7A"/>
    <w:rsid w:val="00386FAB"/>
    <w:rsid w:val="003871F2"/>
    <w:rsid w:val="00387256"/>
    <w:rsid w:val="003872AD"/>
    <w:rsid w:val="003872ED"/>
    <w:rsid w:val="0038743B"/>
    <w:rsid w:val="0038758F"/>
    <w:rsid w:val="00387593"/>
    <w:rsid w:val="0038775E"/>
    <w:rsid w:val="003879C0"/>
    <w:rsid w:val="00387A80"/>
    <w:rsid w:val="00387ACB"/>
    <w:rsid w:val="00387B21"/>
    <w:rsid w:val="00387BA3"/>
    <w:rsid w:val="00387CB8"/>
    <w:rsid w:val="00387CC3"/>
    <w:rsid w:val="00387DC6"/>
    <w:rsid w:val="00387DC7"/>
    <w:rsid w:val="00387E69"/>
    <w:rsid w:val="003901A9"/>
    <w:rsid w:val="003901BE"/>
    <w:rsid w:val="0039027F"/>
    <w:rsid w:val="00390428"/>
    <w:rsid w:val="0039045D"/>
    <w:rsid w:val="00390538"/>
    <w:rsid w:val="003907D4"/>
    <w:rsid w:val="003908E2"/>
    <w:rsid w:val="003908E4"/>
    <w:rsid w:val="00390B7A"/>
    <w:rsid w:val="00390B7D"/>
    <w:rsid w:val="00390C69"/>
    <w:rsid w:val="00390E3C"/>
    <w:rsid w:val="00390FBA"/>
    <w:rsid w:val="00391107"/>
    <w:rsid w:val="00391116"/>
    <w:rsid w:val="00391128"/>
    <w:rsid w:val="00391157"/>
    <w:rsid w:val="00391286"/>
    <w:rsid w:val="003912C4"/>
    <w:rsid w:val="00391404"/>
    <w:rsid w:val="00391479"/>
    <w:rsid w:val="0039159E"/>
    <w:rsid w:val="0039182E"/>
    <w:rsid w:val="003919BD"/>
    <w:rsid w:val="00391A3B"/>
    <w:rsid w:val="00391B54"/>
    <w:rsid w:val="00391E10"/>
    <w:rsid w:val="00391F44"/>
    <w:rsid w:val="00392185"/>
    <w:rsid w:val="003922E2"/>
    <w:rsid w:val="003922EB"/>
    <w:rsid w:val="0039259C"/>
    <w:rsid w:val="00392826"/>
    <w:rsid w:val="003929E2"/>
    <w:rsid w:val="003929F8"/>
    <w:rsid w:val="00392AD9"/>
    <w:rsid w:val="00392C42"/>
    <w:rsid w:val="00392D69"/>
    <w:rsid w:val="00392E9F"/>
    <w:rsid w:val="00392F18"/>
    <w:rsid w:val="0039304D"/>
    <w:rsid w:val="00393087"/>
    <w:rsid w:val="00393163"/>
    <w:rsid w:val="003931AB"/>
    <w:rsid w:val="0039335A"/>
    <w:rsid w:val="0039340A"/>
    <w:rsid w:val="0039342B"/>
    <w:rsid w:val="00393609"/>
    <w:rsid w:val="00393648"/>
    <w:rsid w:val="00393859"/>
    <w:rsid w:val="0039391F"/>
    <w:rsid w:val="00393AC0"/>
    <w:rsid w:val="00393B7E"/>
    <w:rsid w:val="00393CAD"/>
    <w:rsid w:val="00393CE0"/>
    <w:rsid w:val="00393ED9"/>
    <w:rsid w:val="00393F0E"/>
    <w:rsid w:val="00393FC2"/>
    <w:rsid w:val="00393FF9"/>
    <w:rsid w:val="003942F3"/>
    <w:rsid w:val="0039460F"/>
    <w:rsid w:val="00394BF6"/>
    <w:rsid w:val="00394C59"/>
    <w:rsid w:val="00394C83"/>
    <w:rsid w:val="00394F0D"/>
    <w:rsid w:val="00394FE5"/>
    <w:rsid w:val="00395331"/>
    <w:rsid w:val="003953B3"/>
    <w:rsid w:val="0039553E"/>
    <w:rsid w:val="00395745"/>
    <w:rsid w:val="003958FE"/>
    <w:rsid w:val="00395935"/>
    <w:rsid w:val="00395A50"/>
    <w:rsid w:val="00395A6F"/>
    <w:rsid w:val="00395C12"/>
    <w:rsid w:val="00395C96"/>
    <w:rsid w:val="00395CC8"/>
    <w:rsid w:val="00395E2B"/>
    <w:rsid w:val="00395E74"/>
    <w:rsid w:val="00395EB2"/>
    <w:rsid w:val="00395F88"/>
    <w:rsid w:val="00395F95"/>
    <w:rsid w:val="00396242"/>
    <w:rsid w:val="003962F1"/>
    <w:rsid w:val="0039630D"/>
    <w:rsid w:val="00396339"/>
    <w:rsid w:val="0039653D"/>
    <w:rsid w:val="003966F5"/>
    <w:rsid w:val="00396719"/>
    <w:rsid w:val="003968D5"/>
    <w:rsid w:val="00396A31"/>
    <w:rsid w:val="00396B3F"/>
    <w:rsid w:val="00396DE4"/>
    <w:rsid w:val="00396EC1"/>
    <w:rsid w:val="00397170"/>
    <w:rsid w:val="003977BC"/>
    <w:rsid w:val="0039786A"/>
    <w:rsid w:val="00397907"/>
    <w:rsid w:val="00397A0F"/>
    <w:rsid w:val="00397C2B"/>
    <w:rsid w:val="00397C34"/>
    <w:rsid w:val="00397D2A"/>
    <w:rsid w:val="003A00C2"/>
    <w:rsid w:val="003A033E"/>
    <w:rsid w:val="003A03BD"/>
    <w:rsid w:val="003A04B8"/>
    <w:rsid w:val="003A05DE"/>
    <w:rsid w:val="003A0643"/>
    <w:rsid w:val="003A096A"/>
    <w:rsid w:val="003A0A03"/>
    <w:rsid w:val="003A0D34"/>
    <w:rsid w:val="003A0D74"/>
    <w:rsid w:val="003A0D83"/>
    <w:rsid w:val="003A108D"/>
    <w:rsid w:val="003A13D3"/>
    <w:rsid w:val="003A156A"/>
    <w:rsid w:val="003A16B0"/>
    <w:rsid w:val="003A1700"/>
    <w:rsid w:val="003A1821"/>
    <w:rsid w:val="003A18AC"/>
    <w:rsid w:val="003A18E4"/>
    <w:rsid w:val="003A18F2"/>
    <w:rsid w:val="003A1C07"/>
    <w:rsid w:val="003A1DD3"/>
    <w:rsid w:val="003A1E17"/>
    <w:rsid w:val="003A1EC3"/>
    <w:rsid w:val="003A2050"/>
    <w:rsid w:val="003A208A"/>
    <w:rsid w:val="003A2177"/>
    <w:rsid w:val="003A22C6"/>
    <w:rsid w:val="003A2443"/>
    <w:rsid w:val="003A2493"/>
    <w:rsid w:val="003A259C"/>
    <w:rsid w:val="003A2602"/>
    <w:rsid w:val="003A268C"/>
    <w:rsid w:val="003A298C"/>
    <w:rsid w:val="003A29EE"/>
    <w:rsid w:val="003A2B9A"/>
    <w:rsid w:val="003A2ED1"/>
    <w:rsid w:val="003A2EDB"/>
    <w:rsid w:val="003A2F15"/>
    <w:rsid w:val="003A3162"/>
    <w:rsid w:val="003A3228"/>
    <w:rsid w:val="003A3344"/>
    <w:rsid w:val="003A3433"/>
    <w:rsid w:val="003A37A0"/>
    <w:rsid w:val="003A3882"/>
    <w:rsid w:val="003A390E"/>
    <w:rsid w:val="003A3B69"/>
    <w:rsid w:val="003A410F"/>
    <w:rsid w:val="003A42E5"/>
    <w:rsid w:val="003A4534"/>
    <w:rsid w:val="003A460D"/>
    <w:rsid w:val="003A476C"/>
    <w:rsid w:val="003A48A7"/>
    <w:rsid w:val="003A49C5"/>
    <w:rsid w:val="003A4C29"/>
    <w:rsid w:val="003A4CF3"/>
    <w:rsid w:val="003A50DD"/>
    <w:rsid w:val="003A5130"/>
    <w:rsid w:val="003A513C"/>
    <w:rsid w:val="003A537E"/>
    <w:rsid w:val="003A56C7"/>
    <w:rsid w:val="003A5DFC"/>
    <w:rsid w:val="003A5F01"/>
    <w:rsid w:val="003A5F74"/>
    <w:rsid w:val="003A60A9"/>
    <w:rsid w:val="003A60F0"/>
    <w:rsid w:val="003A61F6"/>
    <w:rsid w:val="003A6311"/>
    <w:rsid w:val="003A632D"/>
    <w:rsid w:val="003A660F"/>
    <w:rsid w:val="003A664D"/>
    <w:rsid w:val="003A6676"/>
    <w:rsid w:val="003A668D"/>
    <w:rsid w:val="003A6700"/>
    <w:rsid w:val="003A693E"/>
    <w:rsid w:val="003A6987"/>
    <w:rsid w:val="003A69C4"/>
    <w:rsid w:val="003A6B4F"/>
    <w:rsid w:val="003A6BA7"/>
    <w:rsid w:val="003A6D49"/>
    <w:rsid w:val="003A70AD"/>
    <w:rsid w:val="003A713E"/>
    <w:rsid w:val="003A715B"/>
    <w:rsid w:val="003A716E"/>
    <w:rsid w:val="003A74C9"/>
    <w:rsid w:val="003A7595"/>
    <w:rsid w:val="003A7971"/>
    <w:rsid w:val="003A79A4"/>
    <w:rsid w:val="003A7AFF"/>
    <w:rsid w:val="003A7B98"/>
    <w:rsid w:val="003A7D77"/>
    <w:rsid w:val="003A7E8D"/>
    <w:rsid w:val="003B00FE"/>
    <w:rsid w:val="003B02EF"/>
    <w:rsid w:val="003B030A"/>
    <w:rsid w:val="003B03B7"/>
    <w:rsid w:val="003B061C"/>
    <w:rsid w:val="003B07E5"/>
    <w:rsid w:val="003B0814"/>
    <w:rsid w:val="003B08CA"/>
    <w:rsid w:val="003B095E"/>
    <w:rsid w:val="003B09D0"/>
    <w:rsid w:val="003B0A65"/>
    <w:rsid w:val="003B0C1C"/>
    <w:rsid w:val="003B0E4A"/>
    <w:rsid w:val="003B10E3"/>
    <w:rsid w:val="003B1108"/>
    <w:rsid w:val="003B130D"/>
    <w:rsid w:val="003B134C"/>
    <w:rsid w:val="003B14B9"/>
    <w:rsid w:val="003B1545"/>
    <w:rsid w:val="003B1848"/>
    <w:rsid w:val="003B189F"/>
    <w:rsid w:val="003B197B"/>
    <w:rsid w:val="003B19D5"/>
    <w:rsid w:val="003B19F2"/>
    <w:rsid w:val="003B1CBF"/>
    <w:rsid w:val="003B200B"/>
    <w:rsid w:val="003B20A3"/>
    <w:rsid w:val="003B2370"/>
    <w:rsid w:val="003B2475"/>
    <w:rsid w:val="003B249F"/>
    <w:rsid w:val="003B24FF"/>
    <w:rsid w:val="003B27E0"/>
    <w:rsid w:val="003B2906"/>
    <w:rsid w:val="003B2927"/>
    <w:rsid w:val="003B29C8"/>
    <w:rsid w:val="003B2D54"/>
    <w:rsid w:val="003B2F47"/>
    <w:rsid w:val="003B2FEB"/>
    <w:rsid w:val="003B30A5"/>
    <w:rsid w:val="003B33C8"/>
    <w:rsid w:val="003B3472"/>
    <w:rsid w:val="003B366C"/>
    <w:rsid w:val="003B366F"/>
    <w:rsid w:val="003B370E"/>
    <w:rsid w:val="003B3776"/>
    <w:rsid w:val="003B3928"/>
    <w:rsid w:val="003B3B1D"/>
    <w:rsid w:val="003B3C35"/>
    <w:rsid w:val="003B3D4C"/>
    <w:rsid w:val="003B3F14"/>
    <w:rsid w:val="003B3F2B"/>
    <w:rsid w:val="003B3F9E"/>
    <w:rsid w:val="003B40E9"/>
    <w:rsid w:val="003B417E"/>
    <w:rsid w:val="003B440F"/>
    <w:rsid w:val="003B4556"/>
    <w:rsid w:val="003B49F5"/>
    <w:rsid w:val="003B4A1B"/>
    <w:rsid w:val="003B4B5D"/>
    <w:rsid w:val="003B4B73"/>
    <w:rsid w:val="003B4C2D"/>
    <w:rsid w:val="003B4D8E"/>
    <w:rsid w:val="003B4E4E"/>
    <w:rsid w:val="003B4F02"/>
    <w:rsid w:val="003B4F35"/>
    <w:rsid w:val="003B50B7"/>
    <w:rsid w:val="003B5115"/>
    <w:rsid w:val="003B520D"/>
    <w:rsid w:val="003B5252"/>
    <w:rsid w:val="003B530A"/>
    <w:rsid w:val="003B5605"/>
    <w:rsid w:val="003B5986"/>
    <w:rsid w:val="003B5BE5"/>
    <w:rsid w:val="003B5E57"/>
    <w:rsid w:val="003B5EA6"/>
    <w:rsid w:val="003B6064"/>
    <w:rsid w:val="003B6087"/>
    <w:rsid w:val="003B6265"/>
    <w:rsid w:val="003B67E9"/>
    <w:rsid w:val="003B68D0"/>
    <w:rsid w:val="003B6906"/>
    <w:rsid w:val="003B6A66"/>
    <w:rsid w:val="003B6E29"/>
    <w:rsid w:val="003B6EE2"/>
    <w:rsid w:val="003B7145"/>
    <w:rsid w:val="003B7303"/>
    <w:rsid w:val="003B738B"/>
    <w:rsid w:val="003B7656"/>
    <w:rsid w:val="003B76FA"/>
    <w:rsid w:val="003B772F"/>
    <w:rsid w:val="003B77E6"/>
    <w:rsid w:val="003B77F7"/>
    <w:rsid w:val="003B784A"/>
    <w:rsid w:val="003B78EE"/>
    <w:rsid w:val="003B7919"/>
    <w:rsid w:val="003B79DC"/>
    <w:rsid w:val="003B7B58"/>
    <w:rsid w:val="003B7CD1"/>
    <w:rsid w:val="003B7DA1"/>
    <w:rsid w:val="003B7EC2"/>
    <w:rsid w:val="003B7EE7"/>
    <w:rsid w:val="003C0127"/>
    <w:rsid w:val="003C03CB"/>
    <w:rsid w:val="003C0434"/>
    <w:rsid w:val="003C055D"/>
    <w:rsid w:val="003C07F4"/>
    <w:rsid w:val="003C08A3"/>
    <w:rsid w:val="003C0C72"/>
    <w:rsid w:val="003C0E6A"/>
    <w:rsid w:val="003C0EAF"/>
    <w:rsid w:val="003C0F40"/>
    <w:rsid w:val="003C1001"/>
    <w:rsid w:val="003C10AA"/>
    <w:rsid w:val="003C121C"/>
    <w:rsid w:val="003C12B9"/>
    <w:rsid w:val="003C1379"/>
    <w:rsid w:val="003C13D2"/>
    <w:rsid w:val="003C179A"/>
    <w:rsid w:val="003C1865"/>
    <w:rsid w:val="003C1A75"/>
    <w:rsid w:val="003C1A9F"/>
    <w:rsid w:val="003C1B5A"/>
    <w:rsid w:val="003C1CCF"/>
    <w:rsid w:val="003C1D33"/>
    <w:rsid w:val="003C1F43"/>
    <w:rsid w:val="003C206C"/>
    <w:rsid w:val="003C2101"/>
    <w:rsid w:val="003C2114"/>
    <w:rsid w:val="003C24EC"/>
    <w:rsid w:val="003C25DB"/>
    <w:rsid w:val="003C26AF"/>
    <w:rsid w:val="003C26F9"/>
    <w:rsid w:val="003C270A"/>
    <w:rsid w:val="003C272B"/>
    <w:rsid w:val="003C2747"/>
    <w:rsid w:val="003C28D0"/>
    <w:rsid w:val="003C2902"/>
    <w:rsid w:val="003C29F7"/>
    <w:rsid w:val="003C29FB"/>
    <w:rsid w:val="003C2B4E"/>
    <w:rsid w:val="003C2B7E"/>
    <w:rsid w:val="003C2D7B"/>
    <w:rsid w:val="003C2ED4"/>
    <w:rsid w:val="003C3200"/>
    <w:rsid w:val="003C3256"/>
    <w:rsid w:val="003C329D"/>
    <w:rsid w:val="003C3A26"/>
    <w:rsid w:val="003C3AC7"/>
    <w:rsid w:val="003C3C8B"/>
    <w:rsid w:val="003C3EED"/>
    <w:rsid w:val="003C4390"/>
    <w:rsid w:val="003C45AB"/>
    <w:rsid w:val="003C461B"/>
    <w:rsid w:val="003C4765"/>
    <w:rsid w:val="003C4780"/>
    <w:rsid w:val="003C483F"/>
    <w:rsid w:val="003C4987"/>
    <w:rsid w:val="003C4C63"/>
    <w:rsid w:val="003C4CAA"/>
    <w:rsid w:val="003C4DBE"/>
    <w:rsid w:val="003C4F09"/>
    <w:rsid w:val="003C4FC5"/>
    <w:rsid w:val="003C506A"/>
    <w:rsid w:val="003C523F"/>
    <w:rsid w:val="003C5312"/>
    <w:rsid w:val="003C549A"/>
    <w:rsid w:val="003C54D2"/>
    <w:rsid w:val="003C554E"/>
    <w:rsid w:val="003C598E"/>
    <w:rsid w:val="003C5AF1"/>
    <w:rsid w:val="003C5B68"/>
    <w:rsid w:val="003C5BCD"/>
    <w:rsid w:val="003C5CFF"/>
    <w:rsid w:val="003C5DDB"/>
    <w:rsid w:val="003C6570"/>
    <w:rsid w:val="003C65D0"/>
    <w:rsid w:val="003C6A73"/>
    <w:rsid w:val="003C6F26"/>
    <w:rsid w:val="003C6F3C"/>
    <w:rsid w:val="003C6F68"/>
    <w:rsid w:val="003C7040"/>
    <w:rsid w:val="003C7072"/>
    <w:rsid w:val="003C735A"/>
    <w:rsid w:val="003C737C"/>
    <w:rsid w:val="003C74A8"/>
    <w:rsid w:val="003C777E"/>
    <w:rsid w:val="003C7B93"/>
    <w:rsid w:val="003C7D38"/>
    <w:rsid w:val="003C7DEF"/>
    <w:rsid w:val="003C7F8C"/>
    <w:rsid w:val="003D0103"/>
    <w:rsid w:val="003D024A"/>
    <w:rsid w:val="003D02BE"/>
    <w:rsid w:val="003D04B8"/>
    <w:rsid w:val="003D0740"/>
    <w:rsid w:val="003D0A70"/>
    <w:rsid w:val="003D0AA0"/>
    <w:rsid w:val="003D0D11"/>
    <w:rsid w:val="003D1119"/>
    <w:rsid w:val="003D1126"/>
    <w:rsid w:val="003D1196"/>
    <w:rsid w:val="003D11A9"/>
    <w:rsid w:val="003D1280"/>
    <w:rsid w:val="003D1451"/>
    <w:rsid w:val="003D1516"/>
    <w:rsid w:val="003D1551"/>
    <w:rsid w:val="003D15B7"/>
    <w:rsid w:val="003D1806"/>
    <w:rsid w:val="003D1A97"/>
    <w:rsid w:val="003D1B39"/>
    <w:rsid w:val="003D1B65"/>
    <w:rsid w:val="003D1B9D"/>
    <w:rsid w:val="003D1FB3"/>
    <w:rsid w:val="003D2119"/>
    <w:rsid w:val="003D25AA"/>
    <w:rsid w:val="003D2670"/>
    <w:rsid w:val="003D27C3"/>
    <w:rsid w:val="003D28D8"/>
    <w:rsid w:val="003D29F1"/>
    <w:rsid w:val="003D2A37"/>
    <w:rsid w:val="003D2AA5"/>
    <w:rsid w:val="003D2B83"/>
    <w:rsid w:val="003D2BAD"/>
    <w:rsid w:val="003D2DF5"/>
    <w:rsid w:val="003D2FA7"/>
    <w:rsid w:val="003D2FAD"/>
    <w:rsid w:val="003D31A4"/>
    <w:rsid w:val="003D3606"/>
    <w:rsid w:val="003D36E8"/>
    <w:rsid w:val="003D3873"/>
    <w:rsid w:val="003D3AC7"/>
    <w:rsid w:val="003D3AD2"/>
    <w:rsid w:val="003D3B18"/>
    <w:rsid w:val="003D3CC7"/>
    <w:rsid w:val="003D3E6A"/>
    <w:rsid w:val="003D3E78"/>
    <w:rsid w:val="003D3EFE"/>
    <w:rsid w:val="003D401E"/>
    <w:rsid w:val="003D4152"/>
    <w:rsid w:val="003D4219"/>
    <w:rsid w:val="003D4274"/>
    <w:rsid w:val="003D428C"/>
    <w:rsid w:val="003D42EA"/>
    <w:rsid w:val="003D43DB"/>
    <w:rsid w:val="003D44D7"/>
    <w:rsid w:val="003D4516"/>
    <w:rsid w:val="003D45EE"/>
    <w:rsid w:val="003D4641"/>
    <w:rsid w:val="003D472C"/>
    <w:rsid w:val="003D479D"/>
    <w:rsid w:val="003D48E5"/>
    <w:rsid w:val="003D48FC"/>
    <w:rsid w:val="003D4A51"/>
    <w:rsid w:val="003D4B08"/>
    <w:rsid w:val="003D4D7D"/>
    <w:rsid w:val="003D50AA"/>
    <w:rsid w:val="003D5205"/>
    <w:rsid w:val="003D52B4"/>
    <w:rsid w:val="003D55AB"/>
    <w:rsid w:val="003D5658"/>
    <w:rsid w:val="003D5744"/>
    <w:rsid w:val="003D5760"/>
    <w:rsid w:val="003D5832"/>
    <w:rsid w:val="003D594E"/>
    <w:rsid w:val="003D59DD"/>
    <w:rsid w:val="003D5C1A"/>
    <w:rsid w:val="003D5D1A"/>
    <w:rsid w:val="003D625B"/>
    <w:rsid w:val="003D6335"/>
    <w:rsid w:val="003D64D9"/>
    <w:rsid w:val="003D66DF"/>
    <w:rsid w:val="003D680F"/>
    <w:rsid w:val="003D6966"/>
    <w:rsid w:val="003D69B7"/>
    <w:rsid w:val="003D69EF"/>
    <w:rsid w:val="003D6A23"/>
    <w:rsid w:val="003D6AD2"/>
    <w:rsid w:val="003D6BBB"/>
    <w:rsid w:val="003D6C8F"/>
    <w:rsid w:val="003D6F79"/>
    <w:rsid w:val="003D712F"/>
    <w:rsid w:val="003D7155"/>
    <w:rsid w:val="003D71C6"/>
    <w:rsid w:val="003D71EC"/>
    <w:rsid w:val="003D72BA"/>
    <w:rsid w:val="003D7428"/>
    <w:rsid w:val="003D79FE"/>
    <w:rsid w:val="003D7A3E"/>
    <w:rsid w:val="003D7A44"/>
    <w:rsid w:val="003D7DFA"/>
    <w:rsid w:val="003D7E3D"/>
    <w:rsid w:val="003D7E7A"/>
    <w:rsid w:val="003D7F41"/>
    <w:rsid w:val="003D7FC2"/>
    <w:rsid w:val="003E01F1"/>
    <w:rsid w:val="003E026D"/>
    <w:rsid w:val="003E0286"/>
    <w:rsid w:val="003E0456"/>
    <w:rsid w:val="003E04A7"/>
    <w:rsid w:val="003E0665"/>
    <w:rsid w:val="003E0888"/>
    <w:rsid w:val="003E0C27"/>
    <w:rsid w:val="003E0D53"/>
    <w:rsid w:val="003E0E88"/>
    <w:rsid w:val="003E0EDB"/>
    <w:rsid w:val="003E0F19"/>
    <w:rsid w:val="003E0F7B"/>
    <w:rsid w:val="003E1228"/>
    <w:rsid w:val="003E1405"/>
    <w:rsid w:val="003E141A"/>
    <w:rsid w:val="003E14F9"/>
    <w:rsid w:val="003E153A"/>
    <w:rsid w:val="003E15C7"/>
    <w:rsid w:val="003E15E7"/>
    <w:rsid w:val="003E1739"/>
    <w:rsid w:val="003E17AA"/>
    <w:rsid w:val="003E17E4"/>
    <w:rsid w:val="003E193A"/>
    <w:rsid w:val="003E1BCC"/>
    <w:rsid w:val="003E1D1B"/>
    <w:rsid w:val="003E1DA4"/>
    <w:rsid w:val="003E1F5E"/>
    <w:rsid w:val="003E1F76"/>
    <w:rsid w:val="003E24FC"/>
    <w:rsid w:val="003E27AE"/>
    <w:rsid w:val="003E2A45"/>
    <w:rsid w:val="003E2BCA"/>
    <w:rsid w:val="003E2F90"/>
    <w:rsid w:val="003E30BB"/>
    <w:rsid w:val="003E31BD"/>
    <w:rsid w:val="003E325B"/>
    <w:rsid w:val="003E327C"/>
    <w:rsid w:val="003E34E9"/>
    <w:rsid w:val="003E35D0"/>
    <w:rsid w:val="003E35DA"/>
    <w:rsid w:val="003E35FA"/>
    <w:rsid w:val="003E3607"/>
    <w:rsid w:val="003E3769"/>
    <w:rsid w:val="003E3855"/>
    <w:rsid w:val="003E3A05"/>
    <w:rsid w:val="003E3CDB"/>
    <w:rsid w:val="003E3D8A"/>
    <w:rsid w:val="003E3F1F"/>
    <w:rsid w:val="003E43E2"/>
    <w:rsid w:val="003E4463"/>
    <w:rsid w:val="003E4616"/>
    <w:rsid w:val="003E4649"/>
    <w:rsid w:val="003E4936"/>
    <w:rsid w:val="003E4A75"/>
    <w:rsid w:val="003E4CE9"/>
    <w:rsid w:val="003E4CEB"/>
    <w:rsid w:val="003E4F15"/>
    <w:rsid w:val="003E5085"/>
    <w:rsid w:val="003E5185"/>
    <w:rsid w:val="003E53B1"/>
    <w:rsid w:val="003E5512"/>
    <w:rsid w:val="003E559F"/>
    <w:rsid w:val="003E561B"/>
    <w:rsid w:val="003E5656"/>
    <w:rsid w:val="003E580E"/>
    <w:rsid w:val="003E58A1"/>
    <w:rsid w:val="003E590B"/>
    <w:rsid w:val="003E5A3D"/>
    <w:rsid w:val="003E5A8C"/>
    <w:rsid w:val="003E5B72"/>
    <w:rsid w:val="003E60CE"/>
    <w:rsid w:val="003E6196"/>
    <w:rsid w:val="003E62EE"/>
    <w:rsid w:val="003E630E"/>
    <w:rsid w:val="003E63D0"/>
    <w:rsid w:val="003E63D5"/>
    <w:rsid w:val="003E6475"/>
    <w:rsid w:val="003E6569"/>
    <w:rsid w:val="003E6783"/>
    <w:rsid w:val="003E6CD1"/>
    <w:rsid w:val="003E6CE2"/>
    <w:rsid w:val="003E703D"/>
    <w:rsid w:val="003E718E"/>
    <w:rsid w:val="003E72A1"/>
    <w:rsid w:val="003E73E9"/>
    <w:rsid w:val="003E749D"/>
    <w:rsid w:val="003E7547"/>
    <w:rsid w:val="003E76E6"/>
    <w:rsid w:val="003E7C50"/>
    <w:rsid w:val="003E7D4A"/>
    <w:rsid w:val="003E7EC2"/>
    <w:rsid w:val="003F0038"/>
    <w:rsid w:val="003F0081"/>
    <w:rsid w:val="003F00FE"/>
    <w:rsid w:val="003F01F0"/>
    <w:rsid w:val="003F0335"/>
    <w:rsid w:val="003F067B"/>
    <w:rsid w:val="003F09C9"/>
    <w:rsid w:val="003F0BFD"/>
    <w:rsid w:val="003F0D61"/>
    <w:rsid w:val="003F0E0D"/>
    <w:rsid w:val="003F0FEF"/>
    <w:rsid w:val="003F105A"/>
    <w:rsid w:val="003F11B4"/>
    <w:rsid w:val="003F1593"/>
    <w:rsid w:val="003F15D9"/>
    <w:rsid w:val="003F1679"/>
    <w:rsid w:val="003F169B"/>
    <w:rsid w:val="003F16A5"/>
    <w:rsid w:val="003F17AC"/>
    <w:rsid w:val="003F1A1C"/>
    <w:rsid w:val="003F1B08"/>
    <w:rsid w:val="003F1B09"/>
    <w:rsid w:val="003F1BD9"/>
    <w:rsid w:val="003F1C8C"/>
    <w:rsid w:val="003F1CED"/>
    <w:rsid w:val="003F1DD8"/>
    <w:rsid w:val="003F1E13"/>
    <w:rsid w:val="003F2045"/>
    <w:rsid w:val="003F2215"/>
    <w:rsid w:val="003F22BD"/>
    <w:rsid w:val="003F23C4"/>
    <w:rsid w:val="003F25F4"/>
    <w:rsid w:val="003F2695"/>
    <w:rsid w:val="003F29A9"/>
    <w:rsid w:val="003F2A7C"/>
    <w:rsid w:val="003F2C32"/>
    <w:rsid w:val="003F2C43"/>
    <w:rsid w:val="003F2CC6"/>
    <w:rsid w:val="003F2E81"/>
    <w:rsid w:val="003F2F6D"/>
    <w:rsid w:val="003F32D6"/>
    <w:rsid w:val="003F351F"/>
    <w:rsid w:val="003F3522"/>
    <w:rsid w:val="003F388B"/>
    <w:rsid w:val="003F3A4E"/>
    <w:rsid w:val="003F3FA6"/>
    <w:rsid w:val="003F4123"/>
    <w:rsid w:val="003F4192"/>
    <w:rsid w:val="003F41B1"/>
    <w:rsid w:val="003F423D"/>
    <w:rsid w:val="003F42DA"/>
    <w:rsid w:val="003F4325"/>
    <w:rsid w:val="003F4395"/>
    <w:rsid w:val="003F44CF"/>
    <w:rsid w:val="003F487C"/>
    <w:rsid w:val="003F492E"/>
    <w:rsid w:val="003F540C"/>
    <w:rsid w:val="003F57E6"/>
    <w:rsid w:val="003F59C2"/>
    <w:rsid w:val="003F59D7"/>
    <w:rsid w:val="003F5AE9"/>
    <w:rsid w:val="003F5B49"/>
    <w:rsid w:val="003F5C22"/>
    <w:rsid w:val="003F5F93"/>
    <w:rsid w:val="003F6198"/>
    <w:rsid w:val="003F6199"/>
    <w:rsid w:val="003F6330"/>
    <w:rsid w:val="003F6AED"/>
    <w:rsid w:val="003F6B4C"/>
    <w:rsid w:val="003F6C73"/>
    <w:rsid w:val="003F715C"/>
    <w:rsid w:val="003F71F7"/>
    <w:rsid w:val="003F7218"/>
    <w:rsid w:val="003F736E"/>
    <w:rsid w:val="003F73FD"/>
    <w:rsid w:val="003F748E"/>
    <w:rsid w:val="003F7637"/>
    <w:rsid w:val="003F771D"/>
    <w:rsid w:val="003F798A"/>
    <w:rsid w:val="003F79BC"/>
    <w:rsid w:val="003F7C27"/>
    <w:rsid w:val="003F7D72"/>
    <w:rsid w:val="003F7FAF"/>
    <w:rsid w:val="00400482"/>
    <w:rsid w:val="004005FF"/>
    <w:rsid w:val="00400659"/>
    <w:rsid w:val="00400866"/>
    <w:rsid w:val="00400A25"/>
    <w:rsid w:val="00400A65"/>
    <w:rsid w:val="00400AC0"/>
    <w:rsid w:val="00400C7D"/>
    <w:rsid w:val="00400D0C"/>
    <w:rsid w:val="00400EBA"/>
    <w:rsid w:val="00400EF6"/>
    <w:rsid w:val="00400F09"/>
    <w:rsid w:val="004013D1"/>
    <w:rsid w:val="00401482"/>
    <w:rsid w:val="00401694"/>
    <w:rsid w:val="004016E0"/>
    <w:rsid w:val="004017CE"/>
    <w:rsid w:val="00401A1D"/>
    <w:rsid w:val="00401B87"/>
    <w:rsid w:val="00401BF1"/>
    <w:rsid w:val="00401E5D"/>
    <w:rsid w:val="00401E77"/>
    <w:rsid w:val="00401E88"/>
    <w:rsid w:val="00401EA2"/>
    <w:rsid w:val="00401F14"/>
    <w:rsid w:val="00401F23"/>
    <w:rsid w:val="00401F39"/>
    <w:rsid w:val="00402063"/>
    <w:rsid w:val="004020A7"/>
    <w:rsid w:val="004020E8"/>
    <w:rsid w:val="0040227E"/>
    <w:rsid w:val="00402334"/>
    <w:rsid w:val="00402457"/>
    <w:rsid w:val="004024D2"/>
    <w:rsid w:val="0040255F"/>
    <w:rsid w:val="00402648"/>
    <w:rsid w:val="00402A14"/>
    <w:rsid w:val="00402A56"/>
    <w:rsid w:val="00402BAD"/>
    <w:rsid w:val="00403017"/>
    <w:rsid w:val="00403080"/>
    <w:rsid w:val="0040324C"/>
    <w:rsid w:val="004033BF"/>
    <w:rsid w:val="004034DA"/>
    <w:rsid w:val="00403523"/>
    <w:rsid w:val="0040367A"/>
    <w:rsid w:val="0040384C"/>
    <w:rsid w:val="004039E5"/>
    <w:rsid w:val="00403A09"/>
    <w:rsid w:val="00403A32"/>
    <w:rsid w:val="00403B5A"/>
    <w:rsid w:val="00403B72"/>
    <w:rsid w:val="00403C05"/>
    <w:rsid w:val="00403DAD"/>
    <w:rsid w:val="00403E1F"/>
    <w:rsid w:val="00403EB3"/>
    <w:rsid w:val="00404030"/>
    <w:rsid w:val="00404247"/>
    <w:rsid w:val="00404264"/>
    <w:rsid w:val="0040435D"/>
    <w:rsid w:val="00404418"/>
    <w:rsid w:val="0040447A"/>
    <w:rsid w:val="004044F2"/>
    <w:rsid w:val="00404584"/>
    <w:rsid w:val="00404700"/>
    <w:rsid w:val="00404892"/>
    <w:rsid w:val="004049B2"/>
    <w:rsid w:val="00404A5C"/>
    <w:rsid w:val="00404B7C"/>
    <w:rsid w:val="00404BB4"/>
    <w:rsid w:val="00404C3E"/>
    <w:rsid w:val="00404C8D"/>
    <w:rsid w:val="00404EA5"/>
    <w:rsid w:val="00404ECE"/>
    <w:rsid w:val="00404F0C"/>
    <w:rsid w:val="00404FA8"/>
    <w:rsid w:val="00405025"/>
    <w:rsid w:val="004050C0"/>
    <w:rsid w:val="0040535E"/>
    <w:rsid w:val="0040556C"/>
    <w:rsid w:val="0040562D"/>
    <w:rsid w:val="0040584D"/>
    <w:rsid w:val="00405909"/>
    <w:rsid w:val="00405928"/>
    <w:rsid w:val="00405A6E"/>
    <w:rsid w:val="00405DB6"/>
    <w:rsid w:val="00405E87"/>
    <w:rsid w:val="00405F75"/>
    <w:rsid w:val="0040607B"/>
    <w:rsid w:val="004063D3"/>
    <w:rsid w:val="00406441"/>
    <w:rsid w:val="004064F6"/>
    <w:rsid w:val="00406507"/>
    <w:rsid w:val="004065C2"/>
    <w:rsid w:val="004067E0"/>
    <w:rsid w:val="00406B77"/>
    <w:rsid w:val="00406C6C"/>
    <w:rsid w:val="00407373"/>
    <w:rsid w:val="004073DC"/>
    <w:rsid w:val="00407557"/>
    <w:rsid w:val="00407576"/>
    <w:rsid w:val="0040780F"/>
    <w:rsid w:val="00407947"/>
    <w:rsid w:val="0040794A"/>
    <w:rsid w:val="0040798A"/>
    <w:rsid w:val="00407A8D"/>
    <w:rsid w:val="00407AAD"/>
    <w:rsid w:val="00407B87"/>
    <w:rsid w:val="00407D41"/>
    <w:rsid w:val="00407D7F"/>
    <w:rsid w:val="00407DC2"/>
    <w:rsid w:val="00407FE8"/>
    <w:rsid w:val="004100D8"/>
    <w:rsid w:val="00410201"/>
    <w:rsid w:val="0041076C"/>
    <w:rsid w:val="004108DA"/>
    <w:rsid w:val="00410980"/>
    <w:rsid w:val="00410A54"/>
    <w:rsid w:val="00410E8C"/>
    <w:rsid w:val="00410EA0"/>
    <w:rsid w:val="00410F83"/>
    <w:rsid w:val="004110E0"/>
    <w:rsid w:val="00411293"/>
    <w:rsid w:val="004112C2"/>
    <w:rsid w:val="004117AB"/>
    <w:rsid w:val="0041193D"/>
    <w:rsid w:val="00411983"/>
    <w:rsid w:val="00411993"/>
    <w:rsid w:val="004119F7"/>
    <w:rsid w:val="00411AEB"/>
    <w:rsid w:val="00411D0E"/>
    <w:rsid w:val="00411D5B"/>
    <w:rsid w:val="00411EC0"/>
    <w:rsid w:val="00411EE4"/>
    <w:rsid w:val="00411F2D"/>
    <w:rsid w:val="0041216B"/>
    <w:rsid w:val="00412362"/>
    <w:rsid w:val="004124D3"/>
    <w:rsid w:val="00412512"/>
    <w:rsid w:val="004125E0"/>
    <w:rsid w:val="00412717"/>
    <w:rsid w:val="00412949"/>
    <w:rsid w:val="00412B39"/>
    <w:rsid w:val="00412BDA"/>
    <w:rsid w:val="00412D66"/>
    <w:rsid w:val="00412DF0"/>
    <w:rsid w:val="00412E9C"/>
    <w:rsid w:val="00412EC0"/>
    <w:rsid w:val="00412FDD"/>
    <w:rsid w:val="0041328E"/>
    <w:rsid w:val="004132C6"/>
    <w:rsid w:val="00413603"/>
    <w:rsid w:val="0041374D"/>
    <w:rsid w:val="0041376C"/>
    <w:rsid w:val="004137CF"/>
    <w:rsid w:val="00413811"/>
    <w:rsid w:val="00413859"/>
    <w:rsid w:val="00413956"/>
    <w:rsid w:val="00413A77"/>
    <w:rsid w:val="00413D5F"/>
    <w:rsid w:val="00413FE6"/>
    <w:rsid w:val="0041437A"/>
    <w:rsid w:val="00414755"/>
    <w:rsid w:val="0041498A"/>
    <w:rsid w:val="004149A5"/>
    <w:rsid w:val="00414BA4"/>
    <w:rsid w:val="00414E98"/>
    <w:rsid w:val="00414FC1"/>
    <w:rsid w:val="00414FDC"/>
    <w:rsid w:val="004150AE"/>
    <w:rsid w:val="004151CC"/>
    <w:rsid w:val="004152A8"/>
    <w:rsid w:val="004152EE"/>
    <w:rsid w:val="00415345"/>
    <w:rsid w:val="00415743"/>
    <w:rsid w:val="004158D9"/>
    <w:rsid w:val="00415908"/>
    <w:rsid w:val="00415991"/>
    <w:rsid w:val="004159FD"/>
    <w:rsid w:val="00415B1D"/>
    <w:rsid w:val="00415C63"/>
    <w:rsid w:val="00415D2E"/>
    <w:rsid w:val="00415EBE"/>
    <w:rsid w:val="00416000"/>
    <w:rsid w:val="004160C4"/>
    <w:rsid w:val="0041617A"/>
    <w:rsid w:val="004161B7"/>
    <w:rsid w:val="00416385"/>
    <w:rsid w:val="004163B5"/>
    <w:rsid w:val="00416479"/>
    <w:rsid w:val="0041685C"/>
    <w:rsid w:val="00416B9D"/>
    <w:rsid w:val="00416C0F"/>
    <w:rsid w:val="00417089"/>
    <w:rsid w:val="004170D4"/>
    <w:rsid w:val="00417380"/>
    <w:rsid w:val="00417395"/>
    <w:rsid w:val="004173F7"/>
    <w:rsid w:val="0041756A"/>
    <w:rsid w:val="004176E2"/>
    <w:rsid w:val="00417B5D"/>
    <w:rsid w:val="00417C83"/>
    <w:rsid w:val="00417CAB"/>
    <w:rsid w:val="00417CD7"/>
    <w:rsid w:val="00417D92"/>
    <w:rsid w:val="00417DAA"/>
    <w:rsid w:val="00417FEE"/>
    <w:rsid w:val="004200B4"/>
    <w:rsid w:val="00420114"/>
    <w:rsid w:val="0042052E"/>
    <w:rsid w:val="00420540"/>
    <w:rsid w:val="00420644"/>
    <w:rsid w:val="0042073C"/>
    <w:rsid w:val="004207C5"/>
    <w:rsid w:val="00420AB1"/>
    <w:rsid w:val="00420C7B"/>
    <w:rsid w:val="00420DE7"/>
    <w:rsid w:val="00420E94"/>
    <w:rsid w:val="0042101E"/>
    <w:rsid w:val="00421102"/>
    <w:rsid w:val="00421450"/>
    <w:rsid w:val="004217D9"/>
    <w:rsid w:val="00421838"/>
    <w:rsid w:val="00421DD5"/>
    <w:rsid w:val="00421EE9"/>
    <w:rsid w:val="00421FAE"/>
    <w:rsid w:val="00422276"/>
    <w:rsid w:val="00422280"/>
    <w:rsid w:val="004222A4"/>
    <w:rsid w:val="0042234B"/>
    <w:rsid w:val="00422674"/>
    <w:rsid w:val="0042267F"/>
    <w:rsid w:val="00422B1E"/>
    <w:rsid w:val="00422BC9"/>
    <w:rsid w:val="00422C7B"/>
    <w:rsid w:val="00422DBC"/>
    <w:rsid w:val="00422DC7"/>
    <w:rsid w:val="00422DD0"/>
    <w:rsid w:val="00422DFF"/>
    <w:rsid w:val="00422F23"/>
    <w:rsid w:val="004232D3"/>
    <w:rsid w:val="00423502"/>
    <w:rsid w:val="00423576"/>
    <w:rsid w:val="004235F3"/>
    <w:rsid w:val="004237D2"/>
    <w:rsid w:val="00423824"/>
    <w:rsid w:val="00423BD1"/>
    <w:rsid w:val="00423D64"/>
    <w:rsid w:val="00423F3A"/>
    <w:rsid w:val="004240DF"/>
    <w:rsid w:val="0042411C"/>
    <w:rsid w:val="00424191"/>
    <w:rsid w:val="004241A8"/>
    <w:rsid w:val="0042431E"/>
    <w:rsid w:val="004243D1"/>
    <w:rsid w:val="00424403"/>
    <w:rsid w:val="004244D3"/>
    <w:rsid w:val="004244D8"/>
    <w:rsid w:val="004244F0"/>
    <w:rsid w:val="00424621"/>
    <w:rsid w:val="0042478F"/>
    <w:rsid w:val="00424A1A"/>
    <w:rsid w:val="00424AAC"/>
    <w:rsid w:val="00424AF8"/>
    <w:rsid w:val="00424B94"/>
    <w:rsid w:val="00424CA7"/>
    <w:rsid w:val="00424CCB"/>
    <w:rsid w:val="00424D0B"/>
    <w:rsid w:val="00424D25"/>
    <w:rsid w:val="00424E26"/>
    <w:rsid w:val="00424EEA"/>
    <w:rsid w:val="00425029"/>
    <w:rsid w:val="004257A5"/>
    <w:rsid w:val="00425833"/>
    <w:rsid w:val="0042596B"/>
    <w:rsid w:val="00425C0E"/>
    <w:rsid w:val="00425DF1"/>
    <w:rsid w:val="00426044"/>
    <w:rsid w:val="00426090"/>
    <w:rsid w:val="004260BD"/>
    <w:rsid w:val="00426102"/>
    <w:rsid w:val="00426267"/>
    <w:rsid w:val="00426296"/>
    <w:rsid w:val="004263F7"/>
    <w:rsid w:val="004264C9"/>
    <w:rsid w:val="0042676E"/>
    <w:rsid w:val="004267A2"/>
    <w:rsid w:val="0042687A"/>
    <w:rsid w:val="0042687D"/>
    <w:rsid w:val="00426881"/>
    <w:rsid w:val="00426A14"/>
    <w:rsid w:val="00426C29"/>
    <w:rsid w:val="00426C2B"/>
    <w:rsid w:val="00426CD0"/>
    <w:rsid w:val="00426CF2"/>
    <w:rsid w:val="00427003"/>
    <w:rsid w:val="0042700A"/>
    <w:rsid w:val="00427080"/>
    <w:rsid w:val="00427134"/>
    <w:rsid w:val="004271B6"/>
    <w:rsid w:val="004272F4"/>
    <w:rsid w:val="00427385"/>
    <w:rsid w:val="004273AD"/>
    <w:rsid w:val="0042750A"/>
    <w:rsid w:val="0042761B"/>
    <w:rsid w:val="00427636"/>
    <w:rsid w:val="00427783"/>
    <w:rsid w:val="0042792B"/>
    <w:rsid w:val="0042792F"/>
    <w:rsid w:val="004279BC"/>
    <w:rsid w:val="00427A12"/>
    <w:rsid w:val="00427A74"/>
    <w:rsid w:val="00427A8D"/>
    <w:rsid w:val="00427B8C"/>
    <w:rsid w:val="00427E55"/>
    <w:rsid w:val="00427EF0"/>
    <w:rsid w:val="00430013"/>
    <w:rsid w:val="0043006C"/>
    <w:rsid w:val="004300E0"/>
    <w:rsid w:val="00430143"/>
    <w:rsid w:val="00430156"/>
    <w:rsid w:val="004304B9"/>
    <w:rsid w:val="00430529"/>
    <w:rsid w:val="00430BC1"/>
    <w:rsid w:val="00430BFF"/>
    <w:rsid w:val="00430CD3"/>
    <w:rsid w:val="004310A6"/>
    <w:rsid w:val="004310E3"/>
    <w:rsid w:val="0043110D"/>
    <w:rsid w:val="004311BD"/>
    <w:rsid w:val="00431241"/>
    <w:rsid w:val="004312AE"/>
    <w:rsid w:val="004313BB"/>
    <w:rsid w:val="00431406"/>
    <w:rsid w:val="00431875"/>
    <w:rsid w:val="00431898"/>
    <w:rsid w:val="0043195E"/>
    <w:rsid w:val="00431AE5"/>
    <w:rsid w:val="00431B97"/>
    <w:rsid w:val="00431BBC"/>
    <w:rsid w:val="00431D91"/>
    <w:rsid w:val="00431DFB"/>
    <w:rsid w:val="00431F97"/>
    <w:rsid w:val="00431FDB"/>
    <w:rsid w:val="00432027"/>
    <w:rsid w:val="00432071"/>
    <w:rsid w:val="00432391"/>
    <w:rsid w:val="004324D1"/>
    <w:rsid w:val="004327A8"/>
    <w:rsid w:val="00432988"/>
    <w:rsid w:val="00432B5B"/>
    <w:rsid w:val="00432BA1"/>
    <w:rsid w:val="00432CD2"/>
    <w:rsid w:val="00432CEF"/>
    <w:rsid w:val="00432D54"/>
    <w:rsid w:val="00432DEA"/>
    <w:rsid w:val="00432F4C"/>
    <w:rsid w:val="004331A0"/>
    <w:rsid w:val="004332AE"/>
    <w:rsid w:val="00433329"/>
    <w:rsid w:val="00433344"/>
    <w:rsid w:val="0043337D"/>
    <w:rsid w:val="0043345A"/>
    <w:rsid w:val="0043349E"/>
    <w:rsid w:val="0043355B"/>
    <w:rsid w:val="004335FD"/>
    <w:rsid w:val="00433A1A"/>
    <w:rsid w:val="00433E7B"/>
    <w:rsid w:val="00433F67"/>
    <w:rsid w:val="00434160"/>
    <w:rsid w:val="0043422A"/>
    <w:rsid w:val="00434233"/>
    <w:rsid w:val="00434350"/>
    <w:rsid w:val="004343CF"/>
    <w:rsid w:val="0043455B"/>
    <w:rsid w:val="0043464C"/>
    <w:rsid w:val="004346D4"/>
    <w:rsid w:val="0043472C"/>
    <w:rsid w:val="00434A4C"/>
    <w:rsid w:val="00434A6C"/>
    <w:rsid w:val="00434B03"/>
    <w:rsid w:val="00434B6F"/>
    <w:rsid w:val="00434D24"/>
    <w:rsid w:val="00434DF7"/>
    <w:rsid w:val="004350B9"/>
    <w:rsid w:val="00435267"/>
    <w:rsid w:val="00435336"/>
    <w:rsid w:val="00435554"/>
    <w:rsid w:val="00435671"/>
    <w:rsid w:val="004356A2"/>
    <w:rsid w:val="00435802"/>
    <w:rsid w:val="00435878"/>
    <w:rsid w:val="00435910"/>
    <w:rsid w:val="00435B6B"/>
    <w:rsid w:val="00435CC3"/>
    <w:rsid w:val="00435E71"/>
    <w:rsid w:val="004360D9"/>
    <w:rsid w:val="004362C8"/>
    <w:rsid w:val="00436343"/>
    <w:rsid w:val="00436494"/>
    <w:rsid w:val="0043662D"/>
    <w:rsid w:val="00436C0F"/>
    <w:rsid w:val="00436C59"/>
    <w:rsid w:val="00436E44"/>
    <w:rsid w:val="00436FFF"/>
    <w:rsid w:val="00437049"/>
    <w:rsid w:val="004371DE"/>
    <w:rsid w:val="004374C2"/>
    <w:rsid w:val="00437513"/>
    <w:rsid w:val="0043754A"/>
    <w:rsid w:val="00437878"/>
    <w:rsid w:val="004378A5"/>
    <w:rsid w:val="0043792E"/>
    <w:rsid w:val="00437BB5"/>
    <w:rsid w:val="00437C25"/>
    <w:rsid w:val="00437D11"/>
    <w:rsid w:val="00437E43"/>
    <w:rsid w:val="00437F36"/>
    <w:rsid w:val="00440074"/>
    <w:rsid w:val="0044037E"/>
    <w:rsid w:val="004403BD"/>
    <w:rsid w:val="0044081B"/>
    <w:rsid w:val="00440B87"/>
    <w:rsid w:val="00440D65"/>
    <w:rsid w:val="00440E1B"/>
    <w:rsid w:val="00440EA3"/>
    <w:rsid w:val="00440F73"/>
    <w:rsid w:val="0044115F"/>
    <w:rsid w:val="00441297"/>
    <w:rsid w:val="00441364"/>
    <w:rsid w:val="004413E3"/>
    <w:rsid w:val="004416B1"/>
    <w:rsid w:val="004416D2"/>
    <w:rsid w:val="004417E4"/>
    <w:rsid w:val="00441802"/>
    <w:rsid w:val="00441962"/>
    <w:rsid w:val="00441A4F"/>
    <w:rsid w:val="00441E16"/>
    <w:rsid w:val="0044203A"/>
    <w:rsid w:val="0044204A"/>
    <w:rsid w:val="004421BA"/>
    <w:rsid w:val="0044226B"/>
    <w:rsid w:val="0044227B"/>
    <w:rsid w:val="004426DF"/>
    <w:rsid w:val="00442847"/>
    <w:rsid w:val="00442849"/>
    <w:rsid w:val="00442B0A"/>
    <w:rsid w:val="00442B8A"/>
    <w:rsid w:val="00442BDD"/>
    <w:rsid w:val="00442DE9"/>
    <w:rsid w:val="00443020"/>
    <w:rsid w:val="00443129"/>
    <w:rsid w:val="004431C8"/>
    <w:rsid w:val="0044324D"/>
    <w:rsid w:val="004432A4"/>
    <w:rsid w:val="004432B0"/>
    <w:rsid w:val="0044344E"/>
    <w:rsid w:val="00443908"/>
    <w:rsid w:val="00443BA1"/>
    <w:rsid w:val="00443C02"/>
    <w:rsid w:val="00443D9E"/>
    <w:rsid w:val="00443E3D"/>
    <w:rsid w:val="00443EC6"/>
    <w:rsid w:val="00443FE4"/>
    <w:rsid w:val="00444060"/>
    <w:rsid w:val="0044415A"/>
    <w:rsid w:val="004441A1"/>
    <w:rsid w:val="00444610"/>
    <w:rsid w:val="00444868"/>
    <w:rsid w:val="0044488B"/>
    <w:rsid w:val="00444908"/>
    <w:rsid w:val="00444BBB"/>
    <w:rsid w:val="00444C99"/>
    <w:rsid w:val="00444D28"/>
    <w:rsid w:val="00444D2B"/>
    <w:rsid w:val="00444E21"/>
    <w:rsid w:val="00445008"/>
    <w:rsid w:val="004451DB"/>
    <w:rsid w:val="00445641"/>
    <w:rsid w:val="0044582F"/>
    <w:rsid w:val="00445A02"/>
    <w:rsid w:val="00445B25"/>
    <w:rsid w:val="00445C9C"/>
    <w:rsid w:val="00445EBA"/>
    <w:rsid w:val="00445EF1"/>
    <w:rsid w:val="00446051"/>
    <w:rsid w:val="0044606C"/>
    <w:rsid w:val="00446104"/>
    <w:rsid w:val="00446127"/>
    <w:rsid w:val="0044635F"/>
    <w:rsid w:val="004464B8"/>
    <w:rsid w:val="00446551"/>
    <w:rsid w:val="004465FA"/>
    <w:rsid w:val="0044662D"/>
    <w:rsid w:val="00446654"/>
    <w:rsid w:val="00446721"/>
    <w:rsid w:val="00446B7E"/>
    <w:rsid w:val="00446E49"/>
    <w:rsid w:val="0044719C"/>
    <w:rsid w:val="004471DD"/>
    <w:rsid w:val="004472AE"/>
    <w:rsid w:val="004473B9"/>
    <w:rsid w:val="004473BF"/>
    <w:rsid w:val="00447570"/>
    <w:rsid w:val="004475AF"/>
    <w:rsid w:val="00447AC7"/>
    <w:rsid w:val="00447B3E"/>
    <w:rsid w:val="00447C55"/>
    <w:rsid w:val="00447D0C"/>
    <w:rsid w:val="00447EAA"/>
    <w:rsid w:val="00447ED6"/>
    <w:rsid w:val="00450085"/>
    <w:rsid w:val="0045014B"/>
    <w:rsid w:val="00450443"/>
    <w:rsid w:val="00450483"/>
    <w:rsid w:val="004504AD"/>
    <w:rsid w:val="004504BA"/>
    <w:rsid w:val="004506A5"/>
    <w:rsid w:val="0045072F"/>
    <w:rsid w:val="00450809"/>
    <w:rsid w:val="00450CA4"/>
    <w:rsid w:val="00450D6E"/>
    <w:rsid w:val="004510AC"/>
    <w:rsid w:val="00451174"/>
    <w:rsid w:val="004511F9"/>
    <w:rsid w:val="00451200"/>
    <w:rsid w:val="004512A6"/>
    <w:rsid w:val="004513F2"/>
    <w:rsid w:val="00451587"/>
    <w:rsid w:val="0045167F"/>
    <w:rsid w:val="00451936"/>
    <w:rsid w:val="00451DAC"/>
    <w:rsid w:val="00451F63"/>
    <w:rsid w:val="00451F6C"/>
    <w:rsid w:val="0045202B"/>
    <w:rsid w:val="00452154"/>
    <w:rsid w:val="00452217"/>
    <w:rsid w:val="0045225C"/>
    <w:rsid w:val="004523DF"/>
    <w:rsid w:val="004523FF"/>
    <w:rsid w:val="004524E9"/>
    <w:rsid w:val="00452A66"/>
    <w:rsid w:val="00452AAF"/>
    <w:rsid w:val="00452AF1"/>
    <w:rsid w:val="00452C28"/>
    <w:rsid w:val="00452D18"/>
    <w:rsid w:val="00452DE6"/>
    <w:rsid w:val="00452EEF"/>
    <w:rsid w:val="00452FD8"/>
    <w:rsid w:val="0045300D"/>
    <w:rsid w:val="00453159"/>
    <w:rsid w:val="0045318D"/>
    <w:rsid w:val="00453191"/>
    <w:rsid w:val="00453203"/>
    <w:rsid w:val="00453267"/>
    <w:rsid w:val="004533FD"/>
    <w:rsid w:val="004534B6"/>
    <w:rsid w:val="00453538"/>
    <w:rsid w:val="0045356C"/>
    <w:rsid w:val="004535AC"/>
    <w:rsid w:val="00453615"/>
    <w:rsid w:val="004537F3"/>
    <w:rsid w:val="0045389C"/>
    <w:rsid w:val="00453B92"/>
    <w:rsid w:val="00453BA5"/>
    <w:rsid w:val="00453BAE"/>
    <w:rsid w:val="00453D59"/>
    <w:rsid w:val="00453D8D"/>
    <w:rsid w:val="00453F7C"/>
    <w:rsid w:val="00453FC4"/>
    <w:rsid w:val="00453FD7"/>
    <w:rsid w:val="00454173"/>
    <w:rsid w:val="00454263"/>
    <w:rsid w:val="004544F3"/>
    <w:rsid w:val="00454563"/>
    <w:rsid w:val="0045477E"/>
    <w:rsid w:val="0045487B"/>
    <w:rsid w:val="004548E9"/>
    <w:rsid w:val="00454945"/>
    <w:rsid w:val="004549BF"/>
    <w:rsid w:val="004549EB"/>
    <w:rsid w:val="00454A79"/>
    <w:rsid w:val="00454B20"/>
    <w:rsid w:val="00454B49"/>
    <w:rsid w:val="00454D58"/>
    <w:rsid w:val="00454E4F"/>
    <w:rsid w:val="00454E79"/>
    <w:rsid w:val="0045504A"/>
    <w:rsid w:val="00455074"/>
    <w:rsid w:val="004550DB"/>
    <w:rsid w:val="00455126"/>
    <w:rsid w:val="004553FE"/>
    <w:rsid w:val="00455672"/>
    <w:rsid w:val="00455765"/>
    <w:rsid w:val="004557E7"/>
    <w:rsid w:val="00455ABF"/>
    <w:rsid w:val="00455ADA"/>
    <w:rsid w:val="00455AEB"/>
    <w:rsid w:val="00455BEB"/>
    <w:rsid w:val="00455F2B"/>
    <w:rsid w:val="00455FB0"/>
    <w:rsid w:val="00456242"/>
    <w:rsid w:val="004566A5"/>
    <w:rsid w:val="00456785"/>
    <w:rsid w:val="00456952"/>
    <w:rsid w:val="00456980"/>
    <w:rsid w:val="00456995"/>
    <w:rsid w:val="004569E8"/>
    <w:rsid w:val="00456AD4"/>
    <w:rsid w:val="00456BAA"/>
    <w:rsid w:val="00456BBE"/>
    <w:rsid w:val="00456C3B"/>
    <w:rsid w:val="00456DB7"/>
    <w:rsid w:val="00456FF9"/>
    <w:rsid w:val="0045724C"/>
    <w:rsid w:val="004572D8"/>
    <w:rsid w:val="004572E1"/>
    <w:rsid w:val="00457362"/>
    <w:rsid w:val="004573DD"/>
    <w:rsid w:val="004573E4"/>
    <w:rsid w:val="0045743C"/>
    <w:rsid w:val="00457461"/>
    <w:rsid w:val="00457A34"/>
    <w:rsid w:val="00457B10"/>
    <w:rsid w:val="00457F0F"/>
    <w:rsid w:val="00457F94"/>
    <w:rsid w:val="00457FF0"/>
    <w:rsid w:val="0046018B"/>
    <w:rsid w:val="00460437"/>
    <w:rsid w:val="00460470"/>
    <w:rsid w:val="004606F4"/>
    <w:rsid w:val="0046084E"/>
    <w:rsid w:val="0046088D"/>
    <w:rsid w:val="004608D4"/>
    <w:rsid w:val="004608DD"/>
    <w:rsid w:val="004608FF"/>
    <w:rsid w:val="00460928"/>
    <w:rsid w:val="0046092E"/>
    <w:rsid w:val="00460A30"/>
    <w:rsid w:val="00460B6A"/>
    <w:rsid w:val="00460BCD"/>
    <w:rsid w:val="00460C56"/>
    <w:rsid w:val="00460DDB"/>
    <w:rsid w:val="00460E06"/>
    <w:rsid w:val="00460E28"/>
    <w:rsid w:val="00460F35"/>
    <w:rsid w:val="0046101C"/>
    <w:rsid w:val="00461065"/>
    <w:rsid w:val="0046121A"/>
    <w:rsid w:val="004613C6"/>
    <w:rsid w:val="00461421"/>
    <w:rsid w:val="00461488"/>
    <w:rsid w:val="004619BB"/>
    <w:rsid w:val="00461B63"/>
    <w:rsid w:val="00461BBE"/>
    <w:rsid w:val="00461D5B"/>
    <w:rsid w:val="00461E1B"/>
    <w:rsid w:val="00462069"/>
    <w:rsid w:val="004621DA"/>
    <w:rsid w:val="004621E3"/>
    <w:rsid w:val="004621FF"/>
    <w:rsid w:val="0046229F"/>
    <w:rsid w:val="004622B3"/>
    <w:rsid w:val="00462311"/>
    <w:rsid w:val="0046265D"/>
    <w:rsid w:val="004626B8"/>
    <w:rsid w:val="0046272E"/>
    <w:rsid w:val="004629D4"/>
    <w:rsid w:val="00462A11"/>
    <w:rsid w:val="00462B22"/>
    <w:rsid w:val="00462B36"/>
    <w:rsid w:val="00462BD3"/>
    <w:rsid w:val="00462EE4"/>
    <w:rsid w:val="004632AA"/>
    <w:rsid w:val="004632F7"/>
    <w:rsid w:val="004635E0"/>
    <w:rsid w:val="00463619"/>
    <w:rsid w:val="00463BA0"/>
    <w:rsid w:val="00463CA8"/>
    <w:rsid w:val="00463D6B"/>
    <w:rsid w:val="00463E1A"/>
    <w:rsid w:val="00464046"/>
    <w:rsid w:val="004640EE"/>
    <w:rsid w:val="004641AE"/>
    <w:rsid w:val="004641F6"/>
    <w:rsid w:val="0046427C"/>
    <w:rsid w:val="004642D9"/>
    <w:rsid w:val="0046431E"/>
    <w:rsid w:val="0046446E"/>
    <w:rsid w:val="00464588"/>
    <w:rsid w:val="00464764"/>
    <w:rsid w:val="00464955"/>
    <w:rsid w:val="00464D6D"/>
    <w:rsid w:val="00464DED"/>
    <w:rsid w:val="00464FD4"/>
    <w:rsid w:val="00464FDA"/>
    <w:rsid w:val="00465007"/>
    <w:rsid w:val="0046522C"/>
    <w:rsid w:val="0046532D"/>
    <w:rsid w:val="00465435"/>
    <w:rsid w:val="0046563E"/>
    <w:rsid w:val="0046582E"/>
    <w:rsid w:val="00465977"/>
    <w:rsid w:val="00465D3F"/>
    <w:rsid w:val="00465D6A"/>
    <w:rsid w:val="00465F63"/>
    <w:rsid w:val="0046600B"/>
    <w:rsid w:val="004660C8"/>
    <w:rsid w:val="004661E7"/>
    <w:rsid w:val="00466210"/>
    <w:rsid w:val="0046621E"/>
    <w:rsid w:val="004662AC"/>
    <w:rsid w:val="004663D2"/>
    <w:rsid w:val="00466750"/>
    <w:rsid w:val="00466802"/>
    <w:rsid w:val="00466825"/>
    <w:rsid w:val="0046690A"/>
    <w:rsid w:val="00466986"/>
    <w:rsid w:val="00466A29"/>
    <w:rsid w:val="00466B6F"/>
    <w:rsid w:val="00466DA7"/>
    <w:rsid w:val="00466E7B"/>
    <w:rsid w:val="00466E9C"/>
    <w:rsid w:val="00466F64"/>
    <w:rsid w:val="00467170"/>
    <w:rsid w:val="00467405"/>
    <w:rsid w:val="004674CB"/>
    <w:rsid w:val="004674F1"/>
    <w:rsid w:val="00467751"/>
    <w:rsid w:val="00467A01"/>
    <w:rsid w:val="00467A1B"/>
    <w:rsid w:val="00467C6F"/>
    <w:rsid w:val="00467F0B"/>
    <w:rsid w:val="00467FA6"/>
    <w:rsid w:val="004701EE"/>
    <w:rsid w:val="00470211"/>
    <w:rsid w:val="00470258"/>
    <w:rsid w:val="00470276"/>
    <w:rsid w:val="004704AE"/>
    <w:rsid w:val="004705E0"/>
    <w:rsid w:val="00470693"/>
    <w:rsid w:val="0047069A"/>
    <w:rsid w:val="0047071E"/>
    <w:rsid w:val="00470786"/>
    <w:rsid w:val="0047081C"/>
    <w:rsid w:val="0047095C"/>
    <w:rsid w:val="00470A53"/>
    <w:rsid w:val="00470AA0"/>
    <w:rsid w:val="00470ABD"/>
    <w:rsid w:val="00470AEA"/>
    <w:rsid w:val="00470BFA"/>
    <w:rsid w:val="00470E5F"/>
    <w:rsid w:val="00470F85"/>
    <w:rsid w:val="004710D5"/>
    <w:rsid w:val="00471151"/>
    <w:rsid w:val="00471166"/>
    <w:rsid w:val="004711FA"/>
    <w:rsid w:val="00471464"/>
    <w:rsid w:val="00471536"/>
    <w:rsid w:val="004715CA"/>
    <w:rsid w:val="004716C6"/>
    <w:rsid w:val="0047175B"/>
    <w:rsid w:val="004717EA"/>
    <w:rsid w:val="004717F8"/>
    <w:rsid w:val="00471B4A"/>
    <w:rsid w:val="00471E4E"/>
    <w:rsid w:val="00471EA5"/>
    <w:rsid w:val="00471EB9"/>
    <w:rsid w:val="00471FCD"/>
    <w:rsid w:val="00471FD1"/>
    <w:rsid w:val="004723E1"/>
    <w:rsid w:val="004726FC"/>
    <w:rsid w:val="00472952"/>
    <w:rsid w:val="0047299A"/>
    <w:rsid w:val="00472AA2"/>
    <w:rsid w:val="00472B80"/>
    <w:rsid w:val="00472BE9"/>
    <w:rsid w:val="00472C39"/>
    <w:rsid w:val="00472C96"/>
    <w:rsid w:val="00472D04"/>
    <w:rsid w:val="00472D1F"/>
    <w:rsid w:val="00472D4D"/>
    <w:rsid w:val="00472E63"/>
    <w:rsid w:val="00472EA6"/>
    <w:rsid w:val="00472FF2"/>
    <w:rsid w:val="00473128"/>
    <w:rsid w:val="004732EC"/>
    <w:rsid w:val="00473441"/>
    <w:rsid w:val="00473626"/>
    <w:rsid w:val="00473645"/>
    <w:rsid w:val="00473B42"/>
    <w:rsid w:val="00473C60"/>
    <w:rsid w:val="00473CD5"/>
    <w:rsid w:val="00474138"/>
    <w:rsid w:val="004742E0"/>
    <w:rsid w:val="00474416"/>
    <w:rsid w:val="004744E5"/>
    <w:rsid w:val="00474659"/>
    <w:rsid w:val="004746F0"/>
    <w:rsid w:val="0047491D"/>
    <w:rsid w:val="00474A78"/>
    <w:rsid w:val="00474A8F"/>
    <w:rsid w:val="00474ADE"/>
    <w:rsid w:val="00474B66"/>
    <w:rsid w:val="00474C0E"/>
    <w:rsid w:val="00474E21"/>
    <w:rsid w:val="00474EA8"/>
    <w:rsid w:val="00474EF8"/>
    <w:rsid w:val="00475014"/>
    <w:rsid w:val="004751A8"/>
    <w:rsid w:val="00475506"/>
    <w:rsid w:val="0047553B"/>
    <w:rsid w:val="004757CD"/>
    <w:rsid w:val="00475925"/>
    <w:rsid w:val="00475B40"/>
    <w:rsid w:val="00475BA7"/>
    <w:rsid w:val="00475BE0"/>
    <w:rsid w:val="00475DCB"/>
    <w:rsid w:val="00475E08"/>
    <w:rsid w:val="00475FB6"/>
    <w:rsid w:val="00475FD4"/>
    <w:rsid w:val="00475FF9"/>
    <w:rsid w:val="004760AA"/>
    <w:rsid w:val="00476273"/>
    <w:rsid w:val="00476886"/>
    <w:rsid w:val="004768C3"/>
    <w:rsid w:val="00476952"/>
    <w:rsid w:val="00476A25"/>
    <w:rsid w:val="00476B3C"/>
    <w:rsid w:val="00476BE8"/>
    <w:rsid w:val="00476E39"/>
    <w:rsid w:val="00476E6C"/>
    <w:rsid w:val="00476F90"/>
    <w:rsid w:val="00477040"/>
    <w:rsid w:val="004771D9"/>
    <w:rsid w:val="0047746E"/>
    <w:rsid w:val="00477556"/>
    <w:rsid w:val="0047780A"/>
    <w:rsid w:val="00477812"/>
    <w:rsid w:val="00477847"/>
    <w:rsid w:val="0047784E"/>
    <w:rsid w:val="004778D1"/>
    <w:rsid w:val="00477962"/>
    <w:rsid w:val="00477A12"/>
    <w:rsid w:val="00477BB1"/>
    <w:rsid w:val="00477C3C"/>
    <w:rsid w:val="00477E8F"/>
    <w:rsid w:val="00477F08"/>
    <w:rsid w:val="00477FB9"/>
    <w:rsid w:val="00480108"/>
    <w:rsid w:val="0048023B"/>
    <w:rsid w:val="00480252"/>
    <w:rsid w:val="004808BC"/>
    <w:rsid w:val="00480B82"/>
    <w:rsid w:val="00480E06"/>
    <w:rsid w:val="00481152"/>
    <w:rsid w:val="004811DC"/>
    <w:rsid w:val="00481272"/>
    <w:rsid w:val="004812A9"/>
    <w:rsid w:val="00481549"/>
    <w:rsid w:val="0048170A"/>
    <w:rsid w:val="004817F8"/>
    <w:rsid w:val="00481874"/>
    <w:rsid w:val="00481986"/>
    <w:rsid w:val="00481C3F"/>
    <w:rsid w:val="00481DF2"/>
    <w:rsid w:val="00481F7A"/>
    <w:rsid w:val="00481F99"/>
    <w:rsid w:val="0048228A"/>
    <w:rsid w:val="00482498"/>
    <w:rsid w:val="0048252F"/>
    <w:rsid w:val="00482604"/>
    <w:rsid w:val="0048272A"/>
    <w:rsid w:val="0048297C"/>
    <w:rsid w:val="00482982"/>
    <w:rsid w:val="0048299E"/>
    <w:rsid w:val="004829D4"/>
    <w:rsid w:val="00482A60"/>
    <w:rsid w:val="00482B04"/>
    <w:rsid w:val="00482B87"/>
    <w:rsid w:val="00482BC3"/>
    <w:rsid w:val="00482C65"/>
    <w:rsid w:val="00482D35"/>
    <w:rsid w:val="0048305B"/>
    <w:rsid w:val="004830AE"/>
    <w:rsid w:val="0048312D"/>
    <w:rsid w:val="004832D3"/>
    <w:rsid w:val="00483402"/>
    <w:rsid w:val="00483538"/>
    <w:rsid w:val="004837C4"/>
    <w:rsid w:val="004838D6"/>
    <w:rsid w:val="00483936"/>
    <w:rsid w:val="004839A9"/>
    <w:rsid w:val="00483A39"/>
    <w:rsid w:val="00483AB7"/>
    <w:rsid w:val="00483C9E"/>
    <w:rsid w:val="00483D23"/>
    <w:rsid w:val="00483D6C"/>
    <w:rsid w:val="00483D8B"/>
    <w:rsid w:val="00483DE2"/>
    <w:rsid w:val="00483E4E"/>
    <w:rsid w:val="00483F39"/>
    <w:rsid w:val="00483FC6"/>
    <w:rsid w:val="004845B5"/>
    <w:rsid w:val="004845FF"/>
    <w:rsid w:val="0048478C"/>
    <w:rsid w:val="00484909"/>
    <w:rsid w:val="00484995"/>
    <w:rsid w:val="00484C4C"/>
    <w:rsid w:val="00484D8C"/>
    <w:rsid w:val="00484FFD"/>
    <w:rsid w:val="004852B5"/>
    <w:rsid w:val="00485492"/>
    <w:rsid w:val="004855ED"/>
    <w:rsid w:val="00485640"/>
    <w:rsid w:val="0048565A"/>
    <w:rsid w:val="00485675"/>
    <w:rsid w:val="004859D4"/>
    <w:rsid w:val="00485A98"/>
    <w:rsid w:val="00485C11"/>
    <w:rsid w:val="00486019"/>
    <w:rsid w:val="00486252"/>
    <w:rsid w:val="00486307"/>
    <w:rsid w:val="00486318"/>
    <w:rsid w:val="004863E7"/>
    <w:rsid w:val="00486448"/>
    <w:rsid w:val="00486579"/>
    <w:rsid w:val="0048657E"/>
    <w:rsid w:val="004865F4"/>
    <w:rsid w:val="0048671E"/>
    <w:rsid w:val="00486895"/>
    <w:rsid w:val="00486A99"/>
    <w:rsid w:val="00486B92"/>
    <w:rsid w:val="00486CCD"/>
    <w:rsid w:val="00486D6D"/>
    <w:rsid w:val="00486DD6"/>
    <w:rsid w:val="00486EF7"/>
    <w:rsid w:val="00486F91"/>
    <w:rsid w:val="004875FD"/>
    <w:rsid w:val="0048761C"/>
    <w:rsid w:val="004876FB"/>
    <w:rsid w:val="00487ABD"/>
    <w:rsid w:val="00487B65"/>
    <w:rsid w:val="00487D7F"/>
    <w:rsid w:val="00487F76"/>
    <w:rsid w:val="00490251"/>
    <w:rsid w:val="004905CC"/>
    <w:rsid w:val="004906BC"/>
    <w:rsid w:val="0049076B"/>
    <w:rsid w:val="004908B7"/>
    <w:rsid w:val="00490942"/>
    <w:rsid w:val="00490943"/>
    <w:rsid w:val="00490A1F"/>
    <w:rsid w:val="00490A71"/>
    <w:rsid w:val="00490B8C"/>
    <w:rsid w:val="00490CE1"/>
    <w:rsid w:val="00490D6E"/>
    <w:rsid w:val="00491152"/>
    <w:rsid w:val="0049120D"/>
    <w:rsid w:val="004912D2"/>
    <w:rsid w:val="004914F1"/>
    <w:rsid w:val="0049181C"/>
    <w:rsid w:val="0049191D"/>
    <w:rsid w:val="004919DD"/>
    <w:rsid w:val="00491B46"/>
    <w:rsid w:val="00491C47"/>
    <w:rsid w:val="00491CFC"/>
    <w:rsid w:val="00491DF4"/>
    <w:rsid w:val="00491E22"/>
    <w:rsid w:val="00492164"/>
    <w:rsid w:val="0049232E"/>
    <w:rsid w:val="00492421"/>
    <w:rsid w:val="004927D0"/>
    <w:rsid w:val="00492A15"/>
    <w:rsid w:val="00492AEE"/>
    <w:rsid w:val="00492C53"/>
    <w:rsid w:val="00492DC9"/>
    <w:rsid w:val="00492E4D"/>
    <w:rsid w:val="00492E94"/>
    <w:rsid w:val="004930C0"/>
    <w:rsid w:val="004930D3"/>
    <w:rsid w:val="004931F5"/>
    <w:rsid w:val="004935EF"/>
    <w:rsid w:val="00493654"/>
    <w:rsid w:val="004936BE"/>
    <w:rsid w:val="0049379C"/>
    <w:rsid w:val="004938F9"/>
    <w:rsid w:val="0049398D"/>
    <w:rsid w:val="00493A78"/>
    <w:rsid w:val="00493A7C"/>
    <w:rsid w:val="00493AB3"/>
    <w:rsid w:val="00493BF8"/>
    <w:rsid w:val="00493D06"/>
    <w:rsid w:val="00493D5B"/>
    <w:rsid w:val="00493E85"/>
    <w:rsid w:val="004943A5"/>
    <w:rsid w:val="00494572"/>
    <w:rsid w:val="004947EC"/>
    <w:rsid w:val="00494908"/>
    <w:rsid w:val="00494A66"/>
    <w:rsid w:val="00494A9A"/>
    <w:rsid w:val="00494BEF"/>
    <w:rsid w:val="00494DCE"/>
    <w:rsid w:val="00494F0E"/>
    <w:rsid w:val="00494F7C"/>
    <w:rsid w:val="00495031"/>
    <w:rsid w:val="004951AB"/>
    <w:rsid w:val="00495590"/>
    <w:rsid w:val="0049576E"/>
    <w:rsid w:val="004958A2"/>
    <w:rsid w:val="00495965"/>
    <w:rsid w:val="00495DC5"/>
    <w:rsid w:val="00496075"/>
    <w:rsid w:val="0049640E"/>
    <w:rsid w:val="0049658A"/>
    <w:rsid w:val="00496602"/>
    <w:rsid w:val="004967CB"/>
    <w:rsid w:val="00496805"/>
    <w:rsid w:val="004969BF"/>
    <w:rsid w:val="00496BF4"/>
    <w:rsid w:val="00496CAA"/>
    <w:rsid w:val="00496D9E"/>
    <w:rsid w:val="00496DAC"/>
    <w:rsid w:val="004970C5"/>
    <w:rsid w:val="00497101"/>
    <w:rsid w:val="00497115"/>
    <w:rsid w:val="00497186"/>
    <w:rsid w:val="004972C1"/>
    <w:rsid w:val="0049739A"/>
    <w:rsid w:val="0049786F"/>
    <w:rsid w:val="004978EF"/>
    <w:rsid w:val="00497C31"/>
    <w:rsid w:val="00497E3B"/>
    <w:rsid w:val="00497EF4"/>
    <w:rsid w:val="004A005D"/>
    <w:rsid w:val="004A00F1"/>
    <w:rsid w:val="004A0173"/>
    <w:rsid w:val="004A0382"/>
    <w:rsid w:val="004A03E3"/>
    <w:rsid w:val="004A05EA"/>
    <w:rsid w:val="004A074C"/>
    <w:rsid w:val="004A0C6D"/>
    <w:rsid w:val="004A0E4B"/>
    <w:rsid w:val="004A0F11"/>
    <w:rsid w:val="004A1051"/>
    <w:rsid w:val="004A11C3"/>
    <w:rsid w:val="004A11FC"/>
    <w:rsid w:val="004A1384"/>
    <w:rsid w:val="004A13E1"/>
    <w:rsid w:val="004A147E"/>
    <w:rsid w:val="004A1624"/>
    <w:rsid w:val="004A16D2"/>
    <w:rsid w:val="004A170B"/>
    <w:rsid w:val="004A17E0"/>
    <w:rsid w:val="004A18E7"/>
    <w:rsid w:val="004A1A87"/>
    <w:rsid w:val="004A1B89"/>
    <w:rsid w:val="004A1CFD"/>
    <w:rsid w:val="004A1ED3"/>
    <w:rsid w:val="004A1FFF"/>
    <w:rsid w:val="004A2236"/>
    <w:rsid w:val="004A25B3"/>
    <w:rsid w:val="004A25D9"/>
    <w:rsid w:val="004A2752"/>
    <w:rsid w:val="004A2990"/>
    <w:rsid w:val="004A2A2D"/>
    <w:rsid w:val="004A2B86"/>
    <w:rsid w:val="004A2BFF"/>
    <w:rsid w:val="004A2C3B"/>
    <w:rsid w:val="004A2C57"/>
    <w:rsid w:val="004A2CBB"/>
    <w:rsid w:val="004A2CDB"/>
    <w:rsid w:val="004A2D95"/>
    <w:rsid w:val="004A2DF5"/>
    <w:rsid w:val="004A2E30"/>
    <w:rsid w:val="004A2F34"/>
    <w:rsid w:val="004A3056"/>
    <w:rsid w:val="004A328B"/>
    <w:rsid w:val="004A341B"/>
    <w:rsid w:val="004A34AD"/>
    <w:rsid w:val="004A37DE"/>
    <w:rsid w:val="004A3881"/>
    <w:rsid w:val="004A3AD8"/>
    <w:rsid w:val="004A3C4F"/>
    <w:rsid w:val="004A3C9E"/>
    <w:rsid w:val="004A3D19"/>
    <w:rsid w:val="004A3E30"/>
    <w:rsid w:val="004A3F69"/>
    <w:rsid w:val="004A409B"/>
    <w:rsid w:val="004A40C3"/>
    <w:rsid w:val="004A411B"/>
    <w:rsid w:val="004A41EA"/>
    <w:rsid w:val="004A4209"/>
    <w:rsid w:val="004A4232"/>
    <w:rsid w:val="004A4371"/>
    <w:rsid w:val="004A44CE"/>
    <w:rsid w:val="004A44F0"/>
    <w:rsid w:val="004A456C"/>
    <w:rsid w:val="004A466D"/>
    <w:rsid w:val="004A46D0"/>
    <w:rsid w:val="004A4764"/>
    <w:rsid w:val="004A4854"/>
    <w:rsid w:val="004A4907"/>
    <w:rsid w:val="004A4B1D"/>
    <w:rsid w:val="004A4EF3"/>
    <w:rsid w:val="004A4EFE"/>
    <w:rsid w:val="004A4FFF"/>
    <w:rsid w:val="004A501C"/>
    <w:rsid w:val="004A5169"/>
    <w:rsid w:val="004A54E0"/>
    <w:rsid w:val="004A551C"/>
    <w:rsid w:val="004A5528"/>
    <w:rsid w:val="004A5679"/>
    <w:rsid w:val="004A56CD"/>
    <w:rsid w:val="004A573F"/>
    <w:rsid w:val="004A5746"/>
    <w:rsid w:val="004A57B2"/>
    <w:rsid w:val="004A589B"/>
    <w:rsid w:val="004A5969"/>
    <w:rsid w:val="004A5C3C"/>
    <w:rsid w:val="004A5D3F"/>
    <w:rsid w:val="004A5D9A"/>
    <w:rsid w:val="004A5DA8"/>
    <w:rsid w:val="004A5E59"/>
    <w:rsid w:val="004A6037"/>
    <w:rsid w:val="004A6293"/>
    <w:rsid w:val="004A63A8"/>
    <w:rsid w:val="004A6537"/>
    <w:rsid w:val="004A66BB"/>
    <w:rsid w:val="004A682D"/>
    <w:rsid w:val="004A687E"/>
    <w:rsid w:val="004A6A89"/>
    <w:rsid w:val="004A6BF9"/>
    <w:rsid w:val="004A6CAE"/>
    <w:rsid w:val="004A6D38"/>
    <w:rsid w:val="004A6D76"/>
    <w:rsid w:val="004A6EB0"/>
    <w:rsid w:val="004A6F44"/>
    <w:rsid w:val="004A705B"/>
    <w:rsid w:val="004A7662"/>
    <w:rsid w:val="004A7708"/>
    <w:rsid w:val="004A7A47"/>
    <w:rsid w:val="004A7AB9"/>
    <w:rsid w:val="004A7BE8"/>
    <w:rsid w:val="004A7E14"/>
    <w:rsid w:val="004B010F"/>
    <w:rsid w:val="004B0118"/>
    <w:rsid w:val="004B01E4"/>
    <w:rsid w:val="004B029B"/>
    <w:rsid w:val="004B02BF"/>
    <w:rsid w:val="004B0337"/>
    <w:rsid w:val="004B03FF"/>
    <w:rsid w:val="004B050B"/>
    <w:rsid w:val="004B05A9"/>
    <w:rsid w:val="004B07AF"/>
    <w:rsid w:val="004B0832"/>
    <w:rsid w:val="004B0DEA"/>
    <w:rsid w:val="004B0E86"/>
    <w:rsid w:val="004B0FD3"/>
    <w:rsid w:val="004B10A7"/>
    <w:rsid w:val="004B1285"/>
    <w:rsid w:val="004B1522"/>
    <w:rsid w:val="004B15D8"/>
    <w:rsid w:val="004B1669"/>
    <w:rsid w:val="004B1753"/>
    <w:rsid w:val="004B1787"/>
    <w:rsid w:val="004B17F5"/>
    <w:rsid w:val="004B17F7"/>
    <w:rsid w:val="004B1A59"/>
    <w:rsid w:val="004B1A70"/>
    <w:rsid w:val="004B1B34"/>
    <w:rsid w:val="004B1BBB"/>
    <w:rsid w:val="004B1CF3"/>
    <w:rsid w:val="004B2138"/>
    <w:rsid w:val="004B2976"/>
    <w:rsid w:val="004B2A7B"/>
    <w:rsid w:val="004B2D2F"/>
    <w:rsid w:val="004B2ED6"/>
    <w:rsid w:val="004B2EF2"/>
    <w:rsid w:val="004B2F6F"/>
    <w:rsid w:val="004B306B"/>
    <w:rsid w:val="004B30A8"/>
    <w:rsid w:val="004B3298"/>
    <w:rsid w:val="004B33F5"/>
    <w:rsid w:val="004B3452"/>
    <w:rsid w:val="004B35FB"/>
    <w:rsid w:val="004B35FF"/>
    <w:rsid w:val="004B3673"/>
    <w:rsid w:val="004B3942"/>
    <w:rsid w:val="004B3AB7"/>
    <w:rsid w:val="004B3C00"/>
    <w:rsid w:val="004B3C40"/>
    <w:rsid w:val="004B3CEA"/>
    <w:rsid w:val="004B3E92"/>
    <w:rsid w:val="004B3FFF"/>
    <w:rsid w:val="004B412F"/>
    <w:rsid w:val="004B42EC"/>
    <w:rsid w:val="004B42F9"/>
    <w:rsid w:val="004B4483"/>
    <w:rsid w:val="004B4546"/>
    <w:rsid w:val="004B45E8"/>
    <w:rsid w:val="004B47E3"/>
    <w:rsid w:val="004B4907"/>
    <w:rsid w:val="004B4A6B"/>
    <w:rsid w:val="004B4BC9"/>
    <w:rsid w:val="004B4C1A"/>
    <w:rsid w:val="004B4C5F"/>
    <w:rsid w:val="004B5048"/>
    <w:rsid w:val="004B5361"/>
    <w:rsid w:val="004B5976"/>
    <w:rsid w:val="004B5A28"/>
    <w:rsid w:val="004B5AB6"/>
    <w:rsid w:val="004B5C12"/>
    <w:rsid w:val="004B5C21"/>
    <w:rsid w:val="004B5C7B"/>
    <w:rsid w:val="004B5DD5"/>
    <w:rsid w:val="004B5F1A"/>
    <w:rsid w:val="004B5F46"/>
    <w:rsid w:val="004B5F5B"/>
    <w:rsid w:val="004B64A6"/>
    <w:rsid w:val="004B64E1"/>
    <w:rsid w:val="004B6879"/>
    <w:rsid w:val="004B6A40"/>
    <w:rsid w:val="004B6AAC"/>
    <w:rsid w:val="004B6AAD"/>
    <w:rsid w:val="004B6DB1"/>
    <w:rsid w:val="004B6E55"/>
    <w:rsid w:val="004B7180"/>
    <w:rsid w:val="004B73FB"/>
    <w:rsid w:val="004B74D7"/>
    <w:rsid w:val="004B755D"/>
    <w:rsid w:val="004B764F"/>
    <w:rsid w:val="004B76DE"/>
    <w:rsid w:val="004B76EC"/>
    <w:rsid w:val="004B78BF"/>
    <w:rsid w:val="004B79FF"/>
    <w:rsid w:val="004B7B3B"/>
    <w:rsid w:val="004B7D80"/>
    <w:rsid w:val="004B7EF5"/>
    <w:rsid w:val="004C000E"/>
    <w:rsid w:val="004C005F"/>
    <w:rsid w:val="004C007C"/>
    <w:rsid w:val="004C0101"/>
    <w:rsid w:val="004C02E0"/>
    <w:rsid w:val="004C0326"/>
    <w:rsid w:val="004C076F"/>
    <w:rsid w:val="004C0777"/>
    <w:rsid w:val="004C0857"/>
    <w:rsid w:val="004C0A3F"/>
    <w:rsid w:val="004C0AE4"/>
    <w:rsid w:val="004C0BD6"/>
    <w:rsid w:val="004C0DF5"/>
    <w:rsid w:val="004C0F42"/>
    <w:rsid w:val="004C0FFA"/>
    <w:rsid w:val="004C1179"/>
    <w:rsid w:val="004C14E2"/>
    <w:rsid w:val="004C1635"/>
    <w:rsid w:val="004C1747"/>
    <w:rsid w:val="004C1863"/>
    <w:rsid w:val="004C197B"/>
    <w:rsid w:val="004C1AAC"/>
    <w:rsid w:val="004C1D0C"/>
    <w:rsid w:val="004C2055"/>
    <w:rsid w:val="004C21E5"/>
    <w:rsid w:val="004C2218"/>
    <w:rsid w:val="004C2280"/>
    <w:rsid w:val="004C229F"/>
    <w:rsid w:val="004C25EF"/>
    <w:rsid w:val="004C26E1"/>
    <w:rsid w:val="004C270F"/>
    <w:rsid w:val="004C295D"/>
    <w:rsid w:val="004C2B0D"/>
    <w:rsid w:val="004C2CB0"/>
    <w:rsid w:val="004C2CFA"/>
    <w:rsid w:val="004C2DBB"/>
    <w:rsid w:val="004C2E53"/>
    <w:rsid w:val="004C2FF3"/>
    <w:rsid w:val="004C31E2"/>
    <w:rsid w:val="004C323B"/>
    <w:rsid w:val="004C3258"/>
    <w:rsid w:val="004C343D"/>
    <w:rsid w:val="004C3512"/>
    <w:rsid w:val="004C353B"/>
    <w:rsid w:val="004C3653"/>
    <w:rsid w:val="004C36D1"/>
    <w:rsid w:val="004C37B3"/>
    <w:rsid w:val="004C38FE"/>
    <w:rsid w:val="004C3A12"/>
    <w:rsid w:val="004C3A47"/>
    <w:rsid w:val="004C3B63"/>
    <w:rsid w:val="004C3D88"/>
    <w:rsid w:val="004C3EDB"/>
    <w:rsid w:val="004C3FAA"/>
    <w:rsid w:val="004C42D9"/>
    <w:rsid w:val="004C436C"/>
    <w:rsid w:val="004C4392"/>
    <w:rsid w:val="004C445C"/>
    <w:rsid w:val="004C45DB"/>
    <w:rsid w:val="004C468E"/>
    <w:rsid w:val="004C473B"/>
    <w:rsid w:val="004C478F"/>
    <w:rsid w:val="004C4B9B"/>
    <w:rsid w:val="004C4D0B"/>
    <w:rsid w:val="004C4E60"/>
    <w:rsid w:val="004C5189"/>
    <w:rsid w:val="004C5414"/>
    <w:rsid w:val="004C559B"/>
    <w:rsid w:val="004C566A"/>
    <w:rsid w:val="004C56EE"/>
    <w:rsid w:val="004C596B"/>
    <w:rsid w:val="004C59F3"/>
    <w:rsid w:val="004C5A88"/>
    <w:rsid w:val="004C5BF2"/>
    <w:rsid w:val="004C5D82"/>
    <w:rsid w:val="004C5DFE"/>
    <w:rsid w:val="004C5F62"/>
    <w:rsid w:val="004C5FB2"/>
    <w:rsid w:val="004C65C5"/>
    <w:rsid w:val="004C6668"/>
    <w:rsid w:val="004C67D0"/>
    <w:rsid w:val="004C6990"/>
    <w:rsid w:val="004C69EE"/>
    <w:rsid w:val="004C6C0D"/>
    <w:rsid w:val="004C6C7D"/>
    <w:rsid w:val="004C6CB3"/>
    <w:rsid w:val="004C6FB9"/>
    <w:rsid w:val="004C70E7"/>
    <w:rsid w:val="004C71EF"/>
    <w:rsid w:val="004C74AC"/>
    <w:rsid w:val="004C74EB"/>
    <w:rsid w:val="004C770E"/>
    <w:rsid w:val="004C7742"/>
    <w:rsid w:val="004C7875"/>
    <w:rsid w:val="004C78B8"/>
    <w:rsid w:val="004C79A2"/>
    <w:rsid w:val="004C7A26"/>
    <w:rsid w:val="004C7B7E"/>
    <w:rsid w:val="004C7C03"/>
    <w:rsid w:val="004C7C23"/>
    <w:rsid w:val="004D025D"/>
    <w:rsid w:val="004D03B6"/>
    <w:rsid w:val="004D044B"/>
    <w:rsid w:val="004D0477"/>
    <w:rsid w:val="004D0551"/>
    <w:rsid w:val="004D05AF"/>
    <w:rsid w:val="004D06B2"/>
    <w:rsid w:val="004D0801"/>
    <w:rsid w:val="004D0898"/>
    <w:rsid w:val="004D0940"/>
    <w:rsid w:val="004D0A89"/>
    <w:rsid w:val="004D0B8E"/>
    <w:rsid w:val="004D0BBA"/>
    <w:rsid w:val="004D0E3D"/>
    <w:rsid w:val="004D0E84"/>
    <w:rsid w:val="004D0F55"/>
    <w:rsid w:val="004D1006"/>
    <w:rsid w:val="004D10AE"/>
    <w:rsid w:val="004D151E"/>
    <w:rsid w:val="004D17B3"/>
    <w:rsid w:val="004D17C9"/>
    <w:rsid w:val="004D17FC"/>
    <w:rsid w:val="004D1843"/>
    <w:rsid w:val="004D1A7B"/>
    <w:rsid w:val="004D1AC0"/>
    <w:rsid w:val="004D1BDD"/>
    <w:rsid w:val="004D1F7C"/>
    <w:rsid w:val="004D1FC7"/>
    <w:rsid w:val="004D2049"/>
    <w:rsid w:val="004D2325"/>
    <w:rsid w:val="004D23BF"/>
    <w:rsid w:val="004D2460"/>
    <w:rsid w:val="004D2BA3"/>
    <w:rsid w:val="004D2F7A"/>
    <w:rsid w:val="004D2FF8"/>
    <w:rsid w:val="004D33C9"/>
    <w:rsid w:val="004D356E"/>
    <w:rsid w:val="004D35C0"/>
    <w:rsid w:val="004D35FD"/>
    <w:rsid w:val="004D3647"/>
    <w:rsid w:val="004D3839"/>
    <w:rsid w:val="004D385F"/>
    <w:rsid w:val="004D39AF"/>
    <w:rsid w:val="004D3A0D"/>
    <w:rsid w:val="004D3A9F"/>
    <w:rsid w:val="004D3B29"/>
    <w:rsid w:val="004D3BA5"/>
    <w:rsid w:val="004D3D04"/>
    <w:rsid w:val="004D3D08"/>
    <w:rsid w:val="004D41D4"/>
    <w:rsid w:val="004D4273"/>
    <w:rsid w:val="004D431B"/>
    <w:rsid w:val="004D4337"/>
    <w:rsid w:val="004D43E2"/>
    <w:rsid w:val="004D4473"/>
    <w:rsid w:val="004D45CE"/>
    <w:rsid w:val="004D45DF"/>
    <w:rsid w:val="004D469F"/>
    <w:rsid w:val="004D46DA"/>
    <w:rsid w:val="004D4980"/>
    <w:rsid w:val="004D4981"/>
    <w:rsid w:val="004D4CC6"/>
    <w:rsid w:val="004D528B"/>
    <w:rsid w:val="004D530B"/>
    <w:rsid w:val="004D5466"/>
    <w:rsid w:val="004D5780"/>
    <w:rsid w:val="004D57EF"/>
    <w:rsid w:val="004D5834"/>
    <w:rsid w:val="004D5A70"/>
    <w:rsid w:val="004D5B13"/>
    <w:rsid w:val="004D5C01"/>
    <w:rsid w:val="004D5D26"/>
    <w:rsid w:val="004D5EFD"/>
    <w:rsid w:val="004D5F6D"/>
    <w:rsid w:val="004D5FDC"/>
    <w:rsid w:val="004D6140"/>
    <w:rsid w:val="004D6195"/>
    <w:rsid w:val="004D61D3"/>
    <w:rsid w:val="004D66D3"/>
    <w:rsid w:val="004D6778"/>
    <w:rsid w:val="004D6796"/>
    <w:rsid w:val="004D67CC"/>
    <w:rsid w:val="004D67E7"/>
    <w:rsid w:val="004D68E4"/>
    <w:rsid w:val="004D68ED"/>
    <w:rsid w:val="004D6A7C"/>
    <w:rsid w:val="004D6B0E"/>
    <w:rsid w:val="004D6BFB"/>
    <w:rsid w:val="004D6E71"/>
    <w:rsid w:val="004D6F45"/>
    <w:rsid w:val="004D728C"/>
    <w:rsid w:val="004D72A0"/>
    <w:rsid w:val="004D7792"/>
    <w:rsid w:val="004D7977"/>
    <w:rsid w:val="004D7A85"/>
    <w:rsid w:val="004D7D50"/>
    <w:rsid w:val="004D7EA7"/>
    <w:rsid w:val="004D7F30"/>
    <w:rsid w:val="004E00E2"/>
    <w:rsid w:val="004E0111"/>
    <w:rsid w:val="004E0179"/>
    <w:rsid w:val="004E02C7"/>
    <w:rsid w:val="004E03C0"/>
    <w:rsid w:val="004E047D"/>
    <w:rsid w:val="004E048F"/>
    <w:rsid w:val="004E06BD"/>
    <w:rsid w:val="004E088B"/>
    <w:rsid w:val="004E0A85"/>
    <w:rsid w:val="004E0AFC"/>
    <w:rsid w:val="004E0C0B"/>
    <w:rsid w:val="004E0EA2"/>
    <w:rsid w:val="004E0F6E"/>
    <w:rsid w:val="004E1010"/>
    <w:rsid w:val="004E10F4"/>
    <w:rsid w:val="004E116A"/>
    <w:rsid w:val="004E1234"/>
    <w:rsid w:val="004E1245"/>
    <w:rsid w:val="004E17B5"/>
    <w:rsid w:val="004E1D9F"/>
    <w:rsid w:val="004E1DBC"/>
    <w:rsid w:val="004E2000"/>
    <w:rsid w:val="004E20B0"/>
    <w:rsid w:val="004E2125"/>
    <w:rsid w:val="004E2277"/>
    <w:rsid w:val="004E2392"/>
    <w:rsid w:val="004E23D9"/>
    <w:rsid w:val="004E242A"/>
    <w:rsid w:val="004E2B24"/>
    <w:rsid w:val="004E2B42"/>
    <w:rsid w:val="004E2D76"/>
    <w:rsid w:val="004E30EA"/>
    <w:rsid w:val="004E3469"/>
    <w:rsid w:val="004E346E"/>
    <w:rsid w:val="004E3668"/>
    <w:rsid w:val="004E3A3C"/>
    <w:rsid w:val="004E3C43"/>
    <w:rsid w:val="004E3C5C"/>
    <w:rsid w:val="004E3CD7"/>
    <w:rsid w:val="004E3D0B"/>
    <w:rsid w:val="004E419C"/>
    <w:rsid w:val="004E44F0"/>
    <w:rsid w:val="004E4508"/>
    <w:rsid w:val="004E45A4"/>
    <w:rsid w:val="004E45DD"/>
    <w:rsid w:val="004E4690"/>
    <w:rsid w:val="004E475B"/>
    <w:rsid w:val="004E4D97"/>
    <w:rsid w:val="004E4E70"/>
    <w:rsid w:val="004E4EF1"/>
    <w:rsid w:val="004E4F2E"/>
    <w:rsid w:val="004E5137"/>
    <w:rsid w:val="004E53EA"/>
    <w:rsid w:val="004E5402"/>
    <w:rsid w:val="004E5405"/>
    <w:rsid w:val="004E5479"/>
    <w:rsid w:val="004E55A1"/>
    <w:rsid w:val="004E55E6"/>
    <w:rsid w:val="004E56A1"/>
    <w:rsid w:val="004E577A"/>
    <w:rsid w:val="004E586C"/>
    <w:rsid w:val="004E59C8"/>
    <w:rsid w:val="004E5AB6"/>
    <w:rsid w:val="004E5AE7"/>
    <w:rsid w:val="004E5B31"/>
    <w:rsid w:val="004E5BDB"/>
    <w:rsid w:val="004E5C4C"/>
    <w:rsid w:val="004E5DAC"/>
    <w:rsid w:val="004E5F8F"/>
    <w:rsid w:val="004E6110"/>
    <w:rsid w:val="004E6185"/>
    <w:rsid w:val="004E627B"/>
    <w:rsid w:val="004E6602"/>
    <w:rsid w:val="004E6636"/>
    <w:rsid w:val="004E66D8"/>
    <w:rsid w:val="004E6751"/>
    <w:rsid w:val="004E67DB"/>
    <w:rsid w:val="004E683C"/>
    <w:rsid w:val="004E6988"/>
    <w:rsid w:val="004E6BB9"/>
    <w:rsid w:val="004E6C58"/>
    <w:rsid w:val="004E6CFB"/>
    <w:rsid w:val="004E6CFF"/>
    <w:rsid w:val="004E6D75"/>
    <w:rsid w:val="004E6D9C"/>
    <w:rsid w:val="004E701B"/>
    <w:rsid w:val="004E710D"/>
    <w:rsid w:val="004E71F8"/>
    <w:rsid w:val="004E7408"/>
    <w:rsid w:val="004E7561"/>
    <w:rsid w:val="004E7604"/>
    <w:rsid w:val="004E760D"/>
    <w:rsid w:val="004E770E"/>
    <w:rsid w:val="004E7949"/>
    <w:rsid w:val="004E7AD4"/>
    <w:rsid w:val="004E7B1F"/>
    <w:rsid w:val="004E7C29"/>
    <w:rsid w:val="004E7C40"/>
    <w:rsid w:val="004E7D21"/>
    <w:rsid w:val="004E7D23"/>
    <w:rsid w:val="004E7DC3"/>
    <w:rsid w:val="004E7E0B"/>
    <w:rsid w:val="004F00C2"/>
    <w:rsid w:val="004F02E3"/>
    <w:rsid w:val="004F0635"/>
    <w:rsid w:val="004F075A"/>
    <w:rsid w:val="004F0893"/>
    <w:rsid w:val="004F09FC"/>
    <w:rsid w:val="004F0B22"/>
    <w:rsid w:val="004F0C28"/>
    <w:rsid w:val="004F0D88"/>
    <w:rsid w:val="004F104B"/>
    <w:rsid w:val="004F10BF"/>
    <w:rsid w:val="004F10CC"/>
    <w:rsid w:val="004F1176"/>
    <w:rsid w:val="004F1198"/>
    <w:rsid w:val="004F1395"/>
    <w:rsid w:val="004F144F"/>
    <w:rsid w:val="004F1712"/>
    <w:rsid w:val="004F1730"/>
    <w:rsid w:val="004F1802"/>
    <w:rsid w:val="004F1B49"/>
    <w:rsid w:val="004F1D45"/>
    <w:rsid w:val="004F1E67"/>
    <w:rsid w:val="004F1EA7"/>
    <w:rsid w:val="004F1F0F"/>
    <w:rsid w:val="004F2065"/>
    <w:rsid w:val="004F2098"/>
    <w:rsid w:val="004F2248"/>
    <w:rsid w:val="004F243B"/>
    <w:rsid w:val="004F249E"/>
    <w:rsid w:val="004F24D2"/>
    <w:rsid w:val="004F2544"/>
    <w:rsid w:val="004F2608"/>
    <w:rsid w:val="004F26F6"/>
    <w:rsid w:val="004F2873"/>
    <w:rsid w:val="004F2896"/>
    <w:rsid w:val="004F2930"/>
    <w:rsid w:val="004F2971"/>
    <w:rsid w:val="004F2BCA"/>
    <w:rsid w:val="004F2F53"/>
    <w:rsid w:val="004F315A"/>
    <w:rsid w:val="004F34F2"/>
    <w:rsid w:val="004F357E"/>
    <w:rsid w:val="004F35F7"/>
    <w:rsid w:val="004F363D"/>
    <w:rsid w:val="004F3688"/>
    <w:rsid w:val="004F38E2"/>
    <w:rsid w:val="004F3A2F"/>
    <w:rsid w:val="004F3AAE"/>
    <w:rsid w:val="004F3AF6"/>
    <w:rsid w:val="004F3B74"/>
    <w:rsid w:val="004F3C7B"/>
    <w:rsid w:val="004F3DF4"/>
    <w:rsid w:val="004F3EC4"/>
    <w:rsid w:val="004F3FC6"/>
    <w:rsid w:val="004F4096"/>
    <w:rsid w:val="004F41AD"/>
    <w:rsid w:val="004F4253"/>
    <w:rsid w:val="004F42A6"/>
    <w:rsid w:val="004F43A2"/>
    <w:rsid w:val="004F43C4"/>
    <w:rsid w:val="004F43C9"/>
    <w:rsid w:val="004F445A"/>
    <w:rsid w:val="004F4606"/>
    <w:rsid w:val="004F491B"/>
    <w:rsid w:val="004F4A00"/>
    <w:rsid w:val="004F4A58"/>
    <w:rsid w:val="004F4BDE"/>
    <w:rsid w:val="004F4C91"/>
    <w:rsid w:val="004F4C99"/>
    <w:rsid w:val="004F4CA3"/>
    <w:rsid w:val="004F4DD7"/>
    <w:rsid w:val="004F4EBF"/>
    <w:rsid w:val="004F4EEA"/>
    <w:rsid w:val="004F4F15"/>
    <w:rsid w:val="004F5277"/>
    <w:rsid w:val="004F54BD"/>
    <w:rsid w:val="004F566C"/>
    <w:rsid w:val="004F56BB"/>
    <w:rsid w:val="004F5897"/>
    <w:rsid w:val="004F593A"/>
    <w:rsid w:val="004F5987"/>
    <w:rsid w:val="004F5BA6"/>
    <w:rsid w:val="004F5E20"/>
    <w:rsid w:val="004F5E62"/>
    <w:rsid w:val="004F6072"/>
    <w:rsid w:val="004F60D1"/>
    <w:rsid w:val="004F65AA"/>
    <w:rsid w:val="004F68F2"/>
    <w:rsid w:val="004F68F4"/>
    <w:rsid w:val="004F69A7"/>
    <w:rsid w:val="004F6A58"/>
    <w:rsid w:val="004F6E90"/>
    <w:rsid w:val="004F728C"/>
    <w:rsid w:val="004F75C0"/>
    <w:rsid w:val="004F75E8"/>
    <w:rsid w:val="004F767C"/>
    <w:rsid w:val="004F7720"/>
    <w:rsid w:val="004F7763"/>
    <w:rsid w:val="004F778F"/>
    <w:rsid w:val="004F780C"/>
    <w:rsid w:val="004F7B40"/>
    <w:rsid w:val="004F7B53"/>
    <w:rsid w:val="004F7C38"/>
    <w:rsid w:val="004F7C4B"/>
    <w:rsid w:val="004F7C66"/>
    <w:rsid w:val="004F7CAC"/>
    <w:rsid w:val="004F7DF3"/>
    <w:rsid w:val="00500067"/>
    <w:rsid w:val="0050010D"/>
    <w:rsid w:val="0050019A"/>
    <w:rsid w:val="005001EE"/>
    <w:rsid w:val="00500213"/>
    <w:rsid w:val="005002C5"/>
    <w:rsid w:val="005004C3"/>
    <w:rsid w:val="005005DD"/>
    <w:rsid w:val="00500980"/>
    <w:rsid w:val="00500AFF"/>
    <w:rsid w:val="00500D33"/>
    <w:rsid w:val="00500E1B"/>
    <w:rsid w:val="00500E68"/>
    <w:rsid w:val="00501050"/>
    <w:rsid w:val="005010EC"/>
    <w:rsid w:val="00501221"/>
    <w:rsid w:val="005012D9"/>
    <w:rsid w:val="005013D0"/>
    <w:rsid w:val="0050145C"/>
    <w:rsid w:val="0050175A"/>
    <w:rsid w:val="0050177B"/>
    <w:rsid w:val="005017BA"/>
    <w:rsid w:val="005018C1"/>
    <w:rsid w:val="00501934"/>
    <w:rsid w:val="005019EE"/>
    <w:rsid w:val="00501D4E"/>
    <w:rsid w:val="00501D70"/>
    <w:rsid w:val="00501F8B"/>
    <w:rsid w:val="0050200F"/>
    <w:rsid w:val="00502229"/>
    <w:rsid w:val="005023D4"/>
    <w:rsid w:val="00502429"/>
    <w:rsid w:val="00502848"/>
    <w:rsid w:val="00502906"/>
    <w:rsid w:val="00502A8F"/>
    <w:rsid w:val="00502AA4"/>
    <w:rsid w:val="00502B25"/>
    <w:rsid w:val="00502B34"/>
    <w:rsid w:val="00502D60"/>
    <w:rsid w:val="00502E41"/>
    <w:rsid w:val="00502EBF"/>
    <w:rsid w:val="00502EE8"/>
    <w:rsid w:val="00502FA7"/>
    <w:rsid w:val="0050301D"/>
    <w:rsid w:val="00503066"/>
    <w:rsid w:val="005030F8"/>
    <w:rsid w:val="005032F3"/>
    <w:rsid w:val="005033EB"/>
    <w:rsid w:val="005034A0"/>
    <w:rsid w:val="005034C2"/>
    <w:rsid w:val="005036F9"/>
    <w:rsid w:val="0050391B"/>
    <w:rsid w:val="00503E77"/>
    <w:rsid w:val="00503F21"/>
    <w:rsid w:val="00504236"/>
    <w:rsid w:val="00504255"/>
    <w:rsid w:val="00504503"/>
    <w:rsid w:val="00504598"/>
    <w:rsid w:val="005045B6"/>
    <w:rsid w:val="00504608"/>
    <w:rsid w:val="005047E7"/>
    <w:rsid w:val="00504872"/>
    <w:rsid w:val="00504A27"/>
    <w:rsid w:val="00504C47"/>
    <w:rsid w:val="00504C7A"/>
    <w:rsid w:val="00504D06"/>
    <w:rsid w:val="00504D95"/>
    <w:rsid w:val="00504DA3"/>
    <w:rsid w:val="00504F94"/>
    <w:rsid w:val="00504FC1"/>
    <w:rsid w:val="00505775"/>
    <w:rsid w:val="0050591B"/>
    <w:rsid w:val="005059DE"/>
    <w:rsid w:val="00505B5E"/>
    <w:rsid w:val="00505BDE"/>
    <w:rsid w:val="00505E01"/>
    <w:rsid w:val="00505E5F"/>
    <w:rsid w:val="00505FF5"/>
    <w:rsid w:val="005061BB"/>
    <w:rsid w:val="00506213"/>
    <w:rsid w:val="005062C4"/>
    <w:rsid w:val="00506481"/>
    <w:rsid w:val="0050664D"/>
    <w:rsid w:val="0050668E"/>
    <w:rsid w:val="005066A1"/>
    <w:rsid w:val="0050678E"/>
    <w:rsid w:val="005068A2"/>
    <w:rsid w:val="00506CD5"/>
    <w:rsid w:val="00507095"/>
    <w:rsid w:val="00507138"/>
    <w:rsid w:val="00507254"/>
    <w:rsid w:val="005073B4"/>
    <w:rsid w:val="00507548"/>
    <w:rsid w:val="0050764E"/>
    <w:rsid w:val="00507689"/>
    <w:rsid w:val="005077C0"/>
    <w:rsid w:val="0050790C"/>
    <w:rsid w:val="00507A37"/>
    <w:rsid w:val="00507A41"/>
    <w:rsid w:val="00507C3C"/>
    <w:rsid w:val="00507CED"/>
    <w:rsid w:val="00507FB7"/>
    <w:rsid w:val="00510095"/>
    <w:rsid w:val="00510107"/>
    <w:rsid w:val="005102D3"/>
    <w:rsid w:val="005104E4"/>
    <w:rsid w:val="0051066A"/>
    <w:rsid w:val="00510692"/>
    <w:rsid w:val="0051080F"/>
    <w:rsid w:val="005108E5"/>
    <w:rsid w:val="005109D1"/>
    <w:rsid w:val="005109F1"/>
    <w:rsid w:val="00510B4F"/>
    <w:rsid w:val="00511039"/>
    <w:rsid w:val="0051117F"/>
    <w:rsid w:val="0051121A"/>
    <w:rsid w:val="00511228"/>
    <w:rsid w:val="005112EE"/>
    <w:rsid w:val="00511320"/>
    <w:rsid w:val="0051133A"/>
    <w:rsid w:val="0051161B"/>
    <w:rsid w:val="005119C9"/>
    <w:rsid w:val="005119E1"/>
    <w:rsid w:val="00511E35"/>
    <w:rsid w:val="00511EAD"/>
    <w:rsid w:val="005120D4"/>
    <w:rsid w:val="00512264"/>
    <w:rsid w:val="005126DB"/>
    <w:rsid w:val="0051299F"/>
    <w:rsid w:val="00512A3F"/>
    <w:rsid w:val="00512A7E"/>
    <w:rsid w:val="00512BA5"/>
    <w:rsid w:val="00512CB0"/>
    <w:rsid w:val="00512E5F"/>
    <w:rsid w:val="00512E83"/>
    <w:rsid w:val="005130A2"/>
    <w:rsid w:val="00513177"/>
    <w:rsid w:val="005134E8"/>
    <w:rsid w:val="005134FE"/>
    <w:rsid w:val="0051353F"/>
    <w:rsid w:val="00513606"/>
    <w:rsid w:val="00513692"/>
    <w:rsid w:val="005138E4"/>
    <w:rsid w:val="00513A41"/>
    <w:rsid w:val="00513BA5"/>
    <w:rsid w:val="00513D4C"/>
    <w:rsid w:val="00513EBF"/>
    <w:rsid w:val="0051414E"/>
    <w:rsid w:val="00514194"/>
    <w:rsid w:val="00514320"/>
    <w:rsid w:val="005143F9"/>
    <w:rsid w:val="005144EA"/>
    <w:rsid w:val="00514812"/>
    <w:rsid w:val="00514B18"/>
    <w:rsid w:val="00514C15"/>
    <w:rsid w:val="00514D35"/>
    <w:rsid w:val="00514D65"/>
    <w:rsid w:val="00514E2D"/>
    <w:rsid w:val="00514E56"/>
    <w:rsid w:val="00515201"/>
    <w:rsid w:val="005157A7"/>
    <w:rsid w:val="005157F2"/>
    <w:rsid w:val="0051586A"/>
    <w:rsid w:val="00515A6A"/>
    <w:rsid w:val="00515B4D"/>
    <w:rsid w:val="00515BFB"/>
    <w:rsid w:val="00516517"/>
    <w:rsid w:val="00516566"/>
    <w:rsid w:val="0051666F"/>
    <w:rsid w:val="00516794"/>
    <w:rsid w:val="00516E51"/>
    <w:rsid w:val="005172DA"/>
    <w:rsid w:val="00517316"/>
    <w:rsid w:val="00517509"/>
    <w:rsid w:val="005176F8"/>
    <w:rsid w:val="005177D8"/>
    <w:rsid w:val="005177F3"/>
    <w:rsid w:val="00517B35"/>
    <w:rsid w:val="00517CCE"/>
    <w:rsid w:val="00517D5F"/>
    <w:rsid w:val="00517EE3"/>
    <w:rsid w:val="00520028"/>
    <w:rsid w:val="00520371"/>
    <w:rsid w:val="005206A1"/>
    <w:rsid w:val="005206E6"/>
    <w:rsid w:val="0052072B"/>
    <w:rsid w:val="00520748"/>
    <w:rsid w:val="005208F6"/>
    <w:rsid w:val="00520A64"/>
    <w:rsid w:val="00520CE2"/>
    <w:rsid w:val="00520E72"/>
    <w:rsid w:val="00520F41"/>
    <w:rsid w:val="00521001"/>
    <w:rsid w:val="00521198"/>
    <w:rsid w:val="005211CF"/>
    <w:rsid w:val="005215AA"/>
    <w:rsid w:val="00521614"/>
    <w:rsid w:val="005217C5"/>
    <w:rsid w:val="0052187F"/>
    <w:rsid w:val="005218C3"/>
    <w:rsid w:val="005218EC"/>
    <w:rsid w:val="00521932"/>
    <w:rsid w:val="005219FA"/>
    <w:rsid w:val="00521DB3"/>
    <w:rsid w:val="00521DBE"/>
    <w:rsid w:val="005222BC"/>
    <w:rsid w:val="00522415"/>
    <w:rsid w:val="005226A7"/>
    <w:rsid w:val="0052288A"/>
    <w:rsid w:val="0052289E"/>
    <w:rsid w:val="00522963"/>
    <w:rsid w:val="00522CDA"/>
    <w:rsid w:val="00522CFA"/>
    <w:rsid w:val="00522D79"/>
    <w:rsid w:val="00522FFA"/>
    <w:rsid w:val="00523281"/>
    <w:rsid w:val="0052329C"/>
    <w:rsid w:val="00523343"/>
    <w:rsid w:val="00523519"/>
    <w:rsid w:val="00523528"/>
    <w:rsid w:val="00523631"/>
    <w:rsid w:val="0052376B"/>
    <w:rsid w:val="005238BC"/>
    <w:rsid w:val="00523A2A"/>
    <w:rsid w:val="00523B9B"/>
    <w:rsid w:val="00523C21"/>
    <w:rsid w:val="00523C56"/>
    <w:rsid w:val="00523DF9"/>
    <w:rsid w:val="00523EA5"/>
    <w:rsid w:val="00523F1F"/>
    <w:rsid w:val="00523F83"/>
    <w:rsid w:val="0052429D"/>
    <w:rsid w:val="005242E8"/>
    <w:rsid w:val="0052430C"/>
    <w:rsid w:val="0052436E"/>
    <w:rsid w:val="00524487"/>
    <w:rsid w:val="0052487F"/>
    <w:rsid w:val="0052493D"/>
    <w:rsid w:val="00524BF7"/>
    <w:rsid w:val="00524C63"/>
    <w:rsid w:val="00524D4D"/>
    <w:rsid w:val="00524DFC"/>
    <w:rsid w:val="00524F76"/>
    <w:rsid w:val="005253E2"/>
    <w:rsid w:val="005254A9"/>
    <w:rsid w:val="00525620"/>
    <w:rsid w:val="00525782"/>
    <w:rsid w:val="00525B6B"/>
    <w:rsid w:val="00525B7B"/>
    <w:rsid w:val="00525E63"/>
    <w:rsid w:val="00525F51"/>
    <w:rsid w:val="00525F5F"/>
    <w:rsid w:val="0052602A"/>
    <w:rsid w:val="00526059"/>
    <w:rsid w:val="005260BA"/>
    <w:rsid w:val="005260D5"/>
    <w:rsid w:val="005261B4"/>
    <w:rsid w:val="005261D1"/>
    <w:rsid w:val="0052633A"/>
    <w:rsid w:val="00526578"/>
    <w:rsid w:val="00526872"/>
    <w:rsid w:val="005268D2"/>
    <w:rsid w:val="00526B94"/>
    <w:rsid w:val="00526BE5"/>
    <w:rsid w:val="00526CCA"/>
    <w:rsid w:val="00527100"/>
    <w:rsid w:val="00527244"/>
    <w:rsid w:val="0052732D"/>
    <w:rsid w:val="005274D2"/>
    <w:rsid w:val="0052758B"/>
    <w:rsid w:val="0052769F"/>
    <w:rsid w:val="005276B5"/>
    <w:rsid w:val="00527740"/>
    <w:rsid w:val="00527978"/>
    <w:rsid w:val="005279D7"/>
    <w:rsid w:val="00527AF6"/>
    <w:rsid w:val="00527C14"/>
    <w:rsid w:val="00527EE7"/>
    <w:rsid w:val="00527F7E"/>
    <w:rsid w:val="00527FFB"/>
    <w:rsid w:val="00530233"/>
    <w:rsid w:val="00530420"/>
    <w:rsid w:val="0053056C"/>
    <w:rsid w:val="00530959"/>
    <w:rsid w:val="00530B93"/>
    <w:rsid w:val="00530C0C"/>
    <w:rsid w:val="00530D32"/>
    <w:rsid w:val="00530D7E"/>
    <w:rsid w:val="00530FCF"/>
    <w:rsid w:val="00531081"/>
    <w:rsid w:val="00531310"/>
    <w:rsid w:val="005313F5"/>
    <w:rsid w:val="005314C1"/>
    <w:rsid w:val="00531682"/>
    <w:rsid w:val="0053193D"/>
    <w:rsid w:val="005319DC"/>
    <w:rsid w:val="00531A4B"/>
    <w:rsid w:val="00531C11"/>
    <w:rsid w:val="00531D76"/>
    <w:rsid w:val="00531D92"/>
    <w:rsid w:val="00531EA5"/>
    <w:rsid w:val="005320F3"/>
    <w:rsid w:val="0053210F"/>
    <w:rsid w:val="0053211C"/>
    <w:rsid w:val="0053221B"/>
    <w:rsid w:val="0053226C"/>
    <w:rsid w:val="0053274E"/>
    <w:rsid w:val="005327EC"/>
    <w:rsid w:val="00532870"/>
    <w:rsid w:val="00532A00"/>
    <w:rsid w:val="00532B73"/>
    <w:rsid w:val="00532CC2"/>
    <w:rsid w:val="00532DBE"/>
    <w:rsid w:val="00532F91"/>
    <w:rsid w:val="005331D3"/>
    <w:rsid w:val="0053324E"/>
    <w:rsid w:val="0053328C"/>
    <w:rsid w:val="00533473"/>
    <w:rsid w:val="0053350B"/>
    <w:rsid w:val="00533547"/>
    <w:rsid w:val="00533684"/>
    <w:rsid w:val="00533916"/>
    <w:rsid w:val="00533A49"/>
    <w:rsid w:val="00533C73"/>
    <w:rsid w:val="00534027"/>
    <w:rsid w:val="00534149"/>
    <w:rsid w:val="005342AF"/>
    <w:rsid w:val="0053449A"/>
    <w:rsid w:val="0053450F"/>
    <w:rsid w:val="005346F8"/>
    <w:rsid w:val="00534BCC"/>
    <w:rsid w:val="00534DAA"/>
    <w:rsid w:val="00534EC5"/>
    <w:rsid w:val="0053502A"/>
    <w:rsid w:val="005352E7"/>
    <w:rsid w:val="0053540A"/>
    <w:rsid w:val="00535471"/>
    <w:rsid w:val="0053558C"/>
    <w:rsid w:val="005356C9"/>
    <w:rsid w:val="0053585D"/>
    <w:rsid w:val="00535899"/>
    <w:rsid w:val="005359C3"/>
    <w:rsid w:val="00535B65"/>
    <w:rsid w:val="00535C74"/>
    <w:rsid w:val="00535D90"/>
    <w:rsid w:val="00535E1B"/>
    <w:rsid w:val="005361AB"/>
    <w:rsid w:val="005364B8"/>
    <w:rsid w:val="005366D8"/>
    <w:rsid w:val="005366DC"/>
    <w:rsid w:val="00536834"/>
    <w:rsid w:val="005368DA"/>
    <w:rsid w:val="00536A02"/>
    <w:rsid w:val="00536C76"/>
    <w:rsid w:val="00536D16"/>
    <w:rsid w:val="00536E4F"/>
    <w:rsid w:val="005370BE"/>
    <w:rsid w:val="005371BF"/>
    <w:rsid w:val="00537281"/>
    <w:rsid w:val="005372B5"/>
    <w:rsid w:val="0053734E"/>
    <w:rsid w:val="005373CB"/>
    <w:rsid w:val="005373D0"/>
    <w:rsid w:val="005376B7"/>
    <w:rsid w:val="005376CB"/>
    <w:rsid w:val="00537889"/>
    <w:rsid w:val="00537BF8"/>
    <w:rsid w:val="00537C0F"/>
    <w:rsid w:val="00537D4A"/>
    <w:rsid w:val="00537E81"/>
    <w:rsid w:val="00537EC5"/>
    <w:rsid w:val="00537ED0"/>
    <w:rsid w:val="00537FD2"/>
    <w:rsid w:val="00540023"/>
    <w:rsid w:val="0054006B"/>
    <w:rsid w:val="0054023D"/>
    <w:rsid w:val="0054027A"/>
    <w:rsid w:val="00540451"/>
    <w:rsid w:val="005404F3"/>
    <w:rsid w:val="00540540"/>
    <w:rsid w:val="00540561"/>
    <w:rsid w:val="0054059E"/>
    <w:rsid w:val="00540762"/>
    <w:rsid w:val="0054082B"/>
    <w:rsid w:val="005408B1"/>
    <w:rsid w:val="00540A01"/>
    <w:rsid w:val="00540C33"/>
    <w:rsid w:val="00540E70"/>
    <w:rsid w:val="00540ED4"/>
    <w:rsid w:val="00540F02"/>
    <w:rsid w:val="0054103E"/>
    <w:rsid w:val="00541090"/>
    <w:rsid w:val="00541100"/>
    <w:rsid w:val="00541377"/>
    <w:rsid w:val="0054159D"/>
    <w:rsid w:val="005416CF"/>
    <w:rsid w:val="00541840"/>
    <w:rsid w:val="0054184D"/>
    <w:rsid w:val="00541945"/>
    <w:rsid w:val="00541999"/>
    <w:rsid w:val="005419D5"/>
    <w:rsid w:val="00541B5C"/>
    <w:rsid w:val="00541C4C"/>
    <w:rsid w:val="00541D43"/>
    <w:rsid w:val="00541E8E"/>
    <w:rsid w:val="00541F9F"/>
    <w:rsid w:val="00542068"/>
    <w:rsid w:val="00542592"/>
    <w:rsid w:val="005427BA"/>
    <w:rsid w:val="005427F4"/>
    <w:rsid w:val="005428CF"/>
    <w:rsid w:val="00542A37"/>
    <w:rsid w:val="00542C80"/>
    <w:rsid w:val="00542E1A"/>
    <w:rsid w:val="00542EA8"/>
    <w:rsid w:val="00542FB2"/>
    <w:rsid w:val="00543261"/>
    <w:rsid w:val="0054326D"/>
    <w:rsid w:val="005432F7"/>
    <w:rsid w:val="0054359C"/>
    <w:rsid w:val="005435F9"/>
    <w:rsid w:val="0054384E"/>
    <w:rsid w:val="005438B4"/>
    <w:rsid w:val="005438BF"/>
    <w:rsid w:val="00543990"/>
    <w:rsid w:val="005439E5"/>
    <w:rsid w:val="00543AE2"/>
    <w:rsid w:val="00543AEB"/>
    <w:rsid w:val="00543AF9"/>
    <w:rsid w:val="00543B12"/>
    <w:rsid w:val="00543B84"/>
    <w:rsid w:val="00543CFA"/>
    <w:rsid w:val="00543D57"/>
    <w:rsid w:val="00543EBC"/>
    <w:rsid w:val="00543ED2"/>
    <w:rsid w:val="00544088"/>
    <w:rsid w:val="005440BB"/>
    <w:rsid w:val="005441D6"/>
    <w:rsid w:val="0054426E"/>
    <w:rsid w:val="00544501"/>
    <w:rsid w:val="005446E5"/>
    <w:rsid w:val="00544847"/>
    <w:rsid w:val="00544A26"/>
    <w:rsid w:val="00544A3C"/>
    <w:rsid w:val="00544AAE"/>
    <w:rsid w:val="00544B97"/>
    <w:rsid w:val="00544BA9"/>
    <w:rsid w:val="00544C74"/>
    <w:rsid w:val="00544C77"/>
    <w:rsid w:val="00544D02"/>
    <w:rsid w:val="00544D72"/>
    <w:rsid w:val="00544DE1"/>
    <w:rsid w:val="00544DFD"/>
    <w:rsid w:val="0054510C"/>
    <w:rsid w:val="00545144"/>
    <w:rsid w:val="005454EE"/>
    <w:rsid w:val="005457C8"/>
    <w:rsid w:val="0054586A"/>
    <w:rsid w:val="00545978"/>
    <w:rsid w:val="00545A51"/>
    <w:rsid w:val="00545A6D"/>
    <w:rsid w:val="00545A93"/>
    <w:rsid w:val="00545A9C"/>
    <w:rsid w:val="00545ACA"/>
    <w:rsid w:val="00545BC7"/>
    <w:rsid w:val="00545DA6"/>
    <w:rsid w:val="00545DE5"/>
    <w:rsid w:val="00546168"/>
    <w:rsid w:val="0054645E"/>
    <w:rsid w:val="005466FD"/>
    <w:rsid w:val="00546701"/>
    <w:rsid w:val="00546862"/>
    <w:rsid w:val="00546978"/>
    <w:rsid w:val="00546A34"/>
    <w:rsid w:val="00546ABD"/>
    <w:rsid w:val="00546BF4"/>
    <w:rsid w:val="00546CDF"/>
    <w:rsid w:val="00546D09"/>
    <w:rsid w:val="00546F40"/>
    <w:rsid w:val="00547204"/>
    <w:rsid w:val="00547315"/>
    <w:rsid w:val="0054740F"/>
    <w:rsid w:val="0054749A"/>
    <w:rsid w:val="00547614"/>
    <w:rsid w:val="00547693"/>
    <w:rsid w:val="00547718"/>
    <w:rsid w:val="005477FE"/>
    <w:rsid w:val="00547C35"/>
    <w:rsid w:val="00547CD2"/>
    <w:rsid w:val="00547FC0"/>
    <w:rsid w:val="0055008D"/>
    <w:rsid w:val="0055014A"/>
    <w:rsid w:val="005501CD"/>
    <w:rsid w:val="00550224"/>
    <w:rsid w:val="005503D6"/>
    <w:rsid w:val="00550481"/>
    <w:rsid w:val="005505D3"/>
    <w:rsid w:val="00550650"/>
    <w:rsid w:val="0055072B"/>
    <w:rsid w:val="00550754"/>
    <w:rsid w:val="00550854"/>
    <w:rsid w:val="00550AB8"/>
    <w:rsid w:val="00550B08"/>
    <w:rsid w:val="00550D8F"/>
    <w:rsid w:val="00550E79"/>
    <w:rsid w:val="00550E7B"/>
    <w:rsid w:val="00551312"/>
    <w:rsid w:val="005514C6"/>
    <w:rsid w:val="005514E5"/>
    <w:rsid w:val="0055164C"/>
    <w:rsid w:val="005517B2"/>
    <w:rsid w:val="0055180B"/>
    <w:rsid w:val="0055184C"/>
    <w:rsid w:val="00551B03"/>
    <w:rsid w:val="00551C11"/>
    <w:rsid w:val="00551C77"/>
    <w:rsid w:val="00551CF6"/>
    <w:rsid w:val="00551DCF"/>
    <w:rsid w:val="00551EE6"/>
    <w:rsid w:val="00551F1C"/>
    <w:rsid w:val="00551F5E"/>
    <w:rsid w:val="0055202C"/>
    <w:rsid w:val="00552033"/>
    <w:rsid w:val="005520AB"/>
    <w:rsid w:val="00552119"/>
    <w:rsid w:val="00552138"/>
    <w:rsid w:val="005521D4"/>
    <w:rsid w:val="0055245A"/>
    <w:rsid w:val="00552789"/>
    <w:rsid w:val="00552878"/>
    <w:rsid w:val="0055287E"/>
    <w:rsid w:val="005529D0"/>
    <w:rsid w:val="005529E9"/>
    <w:rsid w:val="00552BED"/>
    <w:rsid w:val="00552D64"/>
    <w:rsid w:val="00552F39"/>
    <w:rsid w:val="00552F5B"/>
    <w:rsid w:val="005531DA"/>
    <w:rsid w:val="0055323C"/>
    <w:rsid w:val="00553275"/>
    <w:rsid w:val="005532FE"/>
    <w:rsid w:val="005534BD"/>
    <w:rsid w:val="005535A0"/>
    <w:rsid w:val="005536C5"/>
    <w:rsid w:val="00553AC5"/>
    <w:rsid w:val="00553BF7"/>
    <w:rsid w:val="00553F5A"/>
    <w:rsid w:val="00554058"/>
    <w:rsid w:val="005542E6"/>
    <w:rsid w:val="005544C0"/>
    <w:rsid w:val="0055450D"/>
    <w:rsid w:val="00554719"/>
    <w:rsid w:val="00554978"/>
    <w:rsid w:val="00554A2F"/>
    <w:rsid w:val="00554E8D"/>
    <w:rsid w:val="00554EBE"/>
    <w:rsid w:val="00554FDB"/>
    <w:rsid w:val="00555065"/>
    <w:rsid w:val="0055522A"/>
    <w:rsid w:val="005552C0"/>
    <w:rsid w:val="0055532F"/>
    <w:rsid w:val="005555B6"/>
    <w:rsid w:val="005555F5"/>
    <w:rsid w:val="00555846"/>
    <w:rsid w:val="005558A9"/>
    <w:rsid w:val="005558B5"/>
    <w:rsid w:val="005559DF"/>
    <w:rsid w:val="00555B26"/>
    <w:rsid w:val="00555B30"/>
    <w:rsid w:val="00555B4A"/>
    <w:rsid w:val="00555B8E"/>
    <w:rsid w:val="00555BB5"/>
    <w:rsid w:val="00555EBA"/>
    <w:rsid w:val="0055629A"/>
    <w:rsid w:val="005562BC"/>
    <w:rsid w:val="0055645E"/>
    <w:rsid w:val="005565DF"/>
    <w:rsid w:val="0055668F"/>
    <w:rsid w:val="005566F2"/>
    <w:rsid w:val="00556806"/>
    <w:rsid w:val="00556824"/>
    <w:rsid w:val="005569DB"/>
    <w:rsid w:val="00556A16"/>
    <w:rsid w:val="00556BAC"/>
    <w:rsid w:val="00557427"/>
    <w:rsid w:val="00557628"/>
    <w:rsid w:val="005577DB"/>
    <w:rsid w:val="0055780A"/>
    <w:rsid w:val="00557B87"/>
    <w:rsid w:val="00557BC8"/>
    <w:rsid w:val="00557C48"/>
    <w:rsid w:val="00557CCA"/>
    <w:rsid w:val="00560033"/>
    <w:rsid w:val="005600E9"/>
    <w:rsid w:val="005601C3"/>
    <w:rsid w:val="005603B3"/>
    <w:rsid w:val="005603D6"/>
    <w:rsid w:val="005603E2"/>
    <w:rsid w:val="005605E3"/>
    <w:rsid w:val="005607AF"/>
    <w:rsid w:val="005608E3"/>
    <w:rsid w:val="005608E6"/>
    <w:rsid w:val="0056093B"/>
    <w:rsid w:val="00560960"/>
    <w:rsid w:val="00560B4A"/>
    <w:rsid w:val="00560BC3"/>
    <w:rsid w:val="00560CFA"/>
    <w:rsid w:val="00560D73"/>
    <w:rsid w:val="00560DA3"/>
    <w:rsid w:val="00560F1A"/>
    <w:rsid w:val="00560FF1"/>
    <w:rsid w:val="0056116C"/>
    <w:rsid w:val="005611B0"/>
    <w:rsid w:val="005611DA"/>
    <w:rsid w:val="005614AF"/>
    <w:rsid w:val="005615C7"/>
    <w:rsid w:val="00561721"/>
    <w:rsid w:val="005617DF"/>
    <w:rsid w:val="005617F6"/>
    <w:rsid w:val="0056180A"/>
    <w:rsid w:val="00561929"/>
    <w:rsid w:val="00561A34"/>
    <w:rsid w:val="00561B0E"/>
    <w:rsid w:val="00561B4E"/>
    <w:rsid w:val="00561C16"/>
    <w:rsid w:val="00561C38"/>
    <w:rsid w:val="00561D24"/>
    <w:rsid w:val="00561D29"/>
    <w:rsid w:val="00561D3A"/>
    <w:rsid w:val="00561DFC"/>
    <w:rsid w:val="00561E69"/>
    <w:rsid w:val="00561E9B"/>
    <w:rsid w:val="00561FFC"/>
    <w:rsid w:val="005620C2"/>
    <w:rsid w:val="005620E1"/>
    <w:rsid w:val="005620FE"/>
    <w:rsid w:val="0056215F"/>
    <w:rsid w:val="0056230B"/>
    <w:rsid w:val="0056236F"/>
    <w:rsid w:val="005624B6"/>
    <w:rsid w:val="005627EF"/>
    <w:rsid w:val="00562828"/>
    <w:rsid w:val="005629BC"/>
    <w:rsid w:val="00562A75"/>
    <w:rsid w:val="00562D92"/>
    <w:rsid w:val="00562FAB"/>
    <w:rsid w:val="0056306D"/>
    <w:rsid w:val="00563080"/>
    <w:rsid w:val="005631C0"/>
    <w:rsid w:val="0056329D"/>
    <w:rsid w:val="005633B3"/>
    <w:rsid w:val="0056340A"/>
    <w:rsid w:val="005635BA"/>
    <w:rsid w:val="005636B9"/>
    <w:rsid w:val="00563771"/>
    <w:rsid w:val="00563844"/>
    <w:rsid w:val="005639F9"/>
    <w:rsid w:val="00563A0E"/>
    <w:rsid w:val="00563A79"/>
    <w:rsid w:val="00563A7E"/>
    <w:rsid w:val="00563AD2"/>
    <w:rsid w:val="00563B3D"/>
    <w:rsid w:val="00563C00"/>
    <w:rsid w:val="00563CC8"/>
    <w:rsid w:val="00563DB2"/>
    <w:rsid w:val="00563EA9"/>
    <w:rsid w:val="005640B0"/>
    <w:rsid w:val="0056429D"/>
    <w:rsid w:val="005646E1"/>
    <w:rsid w:val="00564718"/>
    <w:rsid w:val="005647AC"/>
    <w:rsid w:val="00564A88"/>
    <w:rsid w:val="00564BD2"/>
    <w:rsid w:val="00564CCA"/>
    <w:rsid w:val="00564FF4"/>
    <w:rsid w:val="00565057"/>
    <w:rsid w:val="0056527A"/>
    <w:rsid w:val="005653FF"/>
    <w:rsid w:val="00565401"/>
    <w:rsid w:val="0056545F"/>
    <w:rsid w:val="0056553C"/>
    <w:rsid w:val="005655EF"/>
    <w:rsid w:val="00565636"/>
    <w:rsid w:val="00565914"/>
    <w:rsid w:val="00565A06"/>
    <w:rsid w:val="00565B8D"/>
    <w:rsid w:val="00565DF6"/>
    <w:rsid w:val="00566010"/>
    <w:rsid w:val="0056604F"/>
    <w:rsid w:val="00566244"/>
    <w:rsid w:val="0056640F"/>
    <w:rsid w:val="005664C9"/>
    <w:rsid w:val="0056677F"/>
    <w:rsid w:val="00566879"/>
    <w:rsid w:val="00566926"/>
    <w:rsid w:val="00566986"/>
    <w:rsid w:val="00566A7C"/>
    <w:rsid w:val="00566B51"/>
    <w:rsid w:val="00566BB4"/>
    <w:rsid w:val="00566C37"/>
    <w:rsid w:val="00566CA2"/>
    <w:rsid w:val="00566E68"/>
    <w:rsid w:val="00566EDF"/>
    <w:rsid w:val="00567066"/>
    <w:rsid w:val="00567067"/>
    <w:rsid w:val="00567193"/>
    <w:rsid w:val="00567AC2"/>
    <w:rsid w:val="00567C49"/>
    <w:rsid w:val="00567D4B"/>
    <w:rsid w:val="00567DB6"/>
    <w:rsid w:val="00567EAA"/>
    <w:rsid w:val="00567EFB"/>
    <w:rsid w:val="00567F07"/>
    <w:rsid w:val="005702DC"/>
    <w:rsid w:val="00570431"/>
    <w:rsid w:val="00570655"/>
    <w:rsid w:val="00570932"/>
    <w:rsid w:val="00570951"/>
    <w:rsid w:val="00570A71"/>
    <w:rsid w:val="00570BC4"/>
    <w:rsid w:val="00570D9B"/>
    <w:rsid w:val="00570F4F"/>
    <w:rsid w:val="00570F6B"/>
    <w:rsid w:val="00570FF3"/>
    <w:rsid w:val="0057108E"/>
    <w:rsid w:val="0057124B"/>
    <w:rsid w:val="00571604"/>
    <w:rsid w:val="0057160A"/>
    <w:rsid w:val="00571641"/>
    <w:rsid w:val="00571853"/>
    <w:rsid w:val="00571871"/>
    <w:rsid w:val="00571AC1"/>
    <w:rsid w:val="00571BBD"/>
    <w:rsid w:val="00571D72"/>
    <w:rsid w:val="00571EA4"/>
    <w:rsid w:val="00571EB4"/>
    <w:rsid w:val="00572111"/>
    <w:rsid w:val="0057213D"/>
    <w:rsid w:val="005721E3"/>
    <w:rsid w:val="00572377"/>
    <w:rsid w:val="005725FD"/>
    <w:rsid w:val="005727CE"/>
    <w:rsid w:val="0057286A"/>
    <w:rsid w:val="00572C84"/>
    <w:rsid w:val="00572C8E"/>
    <w:rsid w:val="00572CC7"/>
    <w:rsid w:val="00572D3B"/>
    <w:rsid w:val="00572D9F"/>
    <w:rsid w:val="00572DF9"/>
    <w:rsid w:val="00572FA4"/>
    <w:rsid w:val="0057303D"/>
    <w:rsid w:val="005730A9"/>
    <w:rsid w:val="00573144"/>
    <w:rsid w:val="0057324A"/>
    <w:rsid w:val="005733E5"/>
    <w:rsid w:val="005733E8"/>
    <w:rsid w:val="00573604"/>
    <w:rsid w:val="005738A6"/>
    <w:rsid w:val="00573947"/>
    <w:rsid w:val="00573AA6"/>
    <w:rsid w:val="00573C90"/>
    <w:rsid w:val="00573DF9"/>
    <w:rsid w:val="005741D4"/>
    <w:rsid w:val="0057421D"/>
    <w:rsid w:val="00574269"/>
    <w:rsid w:val="00574496"/>
    <w:rsid w:val="0057459F"/>
    <w:rsid w:val="005745CF"/>
    <w:rsid w:val="005745FE"/>
    <w:rsid w:val="005748A8"/>
    <w:rsid w:val="00574C74"/>
    <w:rsid w:val="00574CB1"/>
    <w:rsid w:val="00574E05"/>
    <w:rsid w:val="00574E31"/>
    <w:rsid w:val="00574EB1"/>
    <w:rsid w:val="0057539E"/>
    <w:rsid w:val="00575488"/>
    <w:rsid w:val="00575539"/>
    <w:rsid w:val="00575635"/>
    <w:rsid w:val="0057578B"/>
    <w:rsid w:val="005759CE"/>
    <w:rsid w:val="005759F7"/>
    <w:rsid w:val="00575BDE"/>
    <w:rsid w:val="00575C8E"/>
    <w:rsid w:val="00576150"/>
    <w:rsid w:val="005761C4"/>
    <w:rsid w:val="0057621F"/>
    <w:rsid w:val="005764F9"/>
    <w:rsid w:val="00576518"/>
    <w:rsid w:val="0057675F"/>
    <w:rsid w:val="00576783"/>
    <w:rsid w:val="005767F0"/>
    <w:rsid w:val="00576A09"/>
    <w:rsid w:val="00576A96"/>
    <w:rsid w:val="00576ADE"/>
    <w:rsid w:val="00576B5E"/>
    <w:rsid w:val="00576BB1"/>
    <w:rsid w:val="00576BED"/>
    <w:rsid w:val="00576CAB"/>
    <w:rsid w:val="00576F95"/>
    <w:rsid w:val="005770BA"/>
    <w:rsid w:val="00577204"/>
    <w:rsid w:val="00577419"/>
    <w:rsid w:val="00577620"/>
    <w:rsid w:val="0057768B"/>
    <w:rsid w:val="005776D5"/>
    <w:rsid w:val="005776E0"/>
    <w:rsid w:val="00577726"/>
    <w:rsid w:val="0057796F"/>
    <w:rsid w:val="00577C92"/>
    <w:rsid w:val="00577CFD"/>
    <w:rsid w:val="00577D4F"/>
    <w:rsid w:val="00577DEF"/>
    <w:rsid w:val="005801B0"/>
    <w:rsid w:val="00580240"/>
    <w:rsid w:val="005803AD"/>
    <w:rsid w:val="00580588"/>
    <w:rsid w:val="00580625"/>
    <w:rsid w:val="0058063B"/>
    <w:rsid w:val="00580698"/>
    <w:rsid w:val="005806CE"/>
    <w:rsid w:val="0058074B"/>
    <w:rsid w:val="005809DE"/>
    <w:rsid w:val="00580CF6"/>
    <w:rsid w:val="00580D11"/>
    <w:rsid w:val="00580EA9"/>
    <w:rsid w:val="00580FC8"/>
    <w:rsid w:val="00581023"/>
    <w:rsid w:val="0058130E"/>
    <w:rsid w:val="00581472"/>
    <w:rsid w:val="005815BD"/>
    <w:rsid w:val="005816DC"/>
    <w:rsid w:val="005816FD"/>
    <w:rsid w:val="005817EC"/>
    <w:rsid w:val="00581890"/>
    <w:rsid w:val="0058189E"/>
    <w:rsid w:val="005818B6"/>
    <w:rsid w:val="0058190F"/>
    <w:rsid w:val="00581A28"/>
    <w:rsid w:val="00581D38"/>
    <w:rsid w:val="00581DE9"/>
    <w:rsid w:val="00582104"/>
    <w:rsid w:val="0058211F"/>
    <w:rsid w:val="00582446"/>
    <w:rsid w:val="00582686"/>
    <w:rsid w:val="00582A9E"/>
    <w:rsid w:val="00582D3C"/>
    <w:rsid w:val="00583243"/>
    <w:rsid w:val="005833EC"/>
    <w:rsid w:val="0058350F"/>
    <w:rsid w:val="0058370B"/>
    <w:rsid w:val="005837E4"/>
    <w:rsid w:val="00583867"/>
    <w:rsid w:val="00583D40"/>
    <w:rsid w:val="00583EDA"/>
    <w:rsid w:val="0058427F"/>
    <w:rsid w:val="005842A9"/>
    <w:rsid w:val="005842E9"/>
    <w:rsid w:val="005844A0"/>
    <w:rsid w:val="005845BE"/>
    <w:rsid w:val="00584899"/>
    <w:rsid w:val="0058490B"/>
    <w:rsid w:val="00584A13"/>
    <w:rsid w:val="00584AB5"/>
    <w:rsid w:val="00584ADC"/>
    <w:rsid w:val="00584D03"/>
    <w:rsid w:val="00584E75"/>
    <w:rsid w:val="00584EC8"/>
    <w:rsid w:val="00585030"/>
    <w:rsid w:val="005850E4"/>
    <w:rsid w:val="005852A5"/>
    <w:rsid w:val="005856C3"/>
    <w:rsid w:val="00585714"/>
    <w:rsid w:val="005858BE"/>
    <w:rsid w:val="00585B27"/>
    <w:rsid w:val="00585DE3"/>
    <w:rsid w:val="00585EB7"/>
    <w:rsid w:val="00586058"/>
    <w:rsid w:val="005864B9"/>
    <w:rsid w:val="0058656F"/>
    <w:rsid w:val="0058673B"/>
    <w:rsid w:val="00586756"/>
    <w:rsid w:val="00586780"/>
    <w:rsid w:val="00586804"/>
    <w:rsid w:val="0058685A"/>
    <w:rsid w:val="00587106"/>
    <w:rsid w:val="00587365"/>
    <w:rsid w:val="005875DF"/>
    <w:rsid w:val="005875E0"/>
    <w:rsid w:val="005876C3"/>
    <w:rsid w:val="0058776A"/>
    <w:rsid w:val="00587AF2"/>
    <w:rsid w:val="00587B3A"/>
    <w:rsid w:val="00587E1F"/>
    <w:rsid w:val="00587EDA"/>
    <w:rsid w:val="00587F58"/>
    <w:rsid w:val="00590029"/>
    <w:rsid w:val="00590137"/>
    <w:rsid w:val="0059025F"/>
    <w:rsid w:val="005907B5"/>
    <w:rsid w:val="00590890"/>
    <w:rsid w:val="00590BBF"/>
    <w:rsid w:val="00590D7B"/>
    <w:rsid w:val="00590EEA"/>
    <w:rsid w:val="00590F58"/>
    <w:rsid w:val="00590F6E"/>
    <w:rsid w:val="00591055"/>
    <w:rsid w:val="00591206"/>
    <w:rsid w:val="0059150F"/>
    <w:rsid w:val="005915E8"/>
    <w:rsid w:val="0059172B"/>
    <w:rsid w:val="005917D8"/>
    <w:rsid w:val="00591A5A"/>
    <w:rsid w:val="00591BAE"/>
    <w:rsid w:val="00591D98"/>
    <w:rsid w:val="0059216B"/>
    <w:rsid w:val="005926B5"/>
    <w:rsid w:val="00592716"/>
    <w:rsid w:val="00592829"/>
    <w:rsid w:val="00592AF7"/>
    <w:rsid w:val="00592CB6"/>
    <w:rsid w:val="00592CC6"/>
    <w:rsid w:val="00592D1A"/>
    <w:rsid w:val="00592D80"/>
    <w:rsid w:val="00592E5D"/>
    <w:rsid w:val="00592ECE"/>
    <w:rsid w:val="00592FC3"/>
    <w:rsid w:val="0059319F"/>
    <w:rsid w:val="005931CE"/>
    <w:rsid w:val="00593288"/>
    <w:rsid w:val="0059329F"/>
    <w:rsid w:val="00593574"/>
    <w:rsid w:val="005937F0"/>
    <w:rsid w:val="00593B15"/>
    <w:rsid w:val="00593BB3"/>
    <w:rsid w:val="00593C95"/>
    <w:rsid w:val="00593E4E"/>
    <w:rsid w:val="00593ED1"/>
    <w:rsid w:val="0059421F"/>
    <w:rsid w:val="00594594"/>
    <w:rsid w:val="005945AD"/>
    <w:rsid w:val="0059464A"/>
    <w:rsid w:val="005947AD"/>
    <w:rsid w:val="005949AC"/>
    <w:rsid w:val="00594BE7"/>
    <w:rsid w:val="00594F4D"/>
    <w:rsid w:val="00594FFE"/>
    <w:rsid w:val="005953B3"/>
    <w:rsid w:val="0059551F"/>
    <w:rsid w:val="00595734"/>
    <w:rsid w:val="0059576A"/>
    <w:rsid w:val="00595859"/>
    <w:rsid w:val="00595861"/>
    <w:rsid w:val="005958B2"/>
    <w:rsid w:val="005958BF"/>
    <w:rsid w:val="00595A51"/>
    <w:rsid w:val="00595C9B"/>
    <w:rsid w:val="00595EBD"/>
    <w:rsid w:val="00596056"/>
    <w:rsid w:val="0059645B"/>
    <w:rsid w:val="005964BA"/>
    <w:rsid w:val="00596723"/>
    <w:rsid w:val="00596A1D"/>
    <w:rsid w:val="00596B1B"/>
    <w:rsid w:val="00596BB4"/>
    <w:rsid w:val="00597004"/>
    <w:rsid w:val="00597243"/>
    <w:rsid w:val="00597464"/>
    <w:rsid w:val="00597835"/>
    <w:rsid w:val="0059794D"/>
    <w:rsid w:val="00597972"/>
    <w:rsid w:val="00597A2F"/>
    <w:rsid w:val="00597BF2"/>
    <w:rsid w:val="00597F6E"/>
    <w:rsid w:val="00597FAB"/>
    <w:rsid w:val="00597FBA"/>
    <w:rsid w:val="005A01A0"/>
    <w:rsid w:val="005A01B9"/>
    <w:rsid w:val="005A01F8"/>
    <w:rsid w:val="005A055C"/>
    <w:rsid w:val="005A0874"/>
    <w:rsid w:val="005A096A"/>
    <w:rsid w:val="005A0B38"/>
    <w:rsid w:val="005A0D97"/>
    <w:rsid w:val="005A0F19"/>
    <w:rsid w:val="005A10FE"/>
    <w:rsid w:val="005A11F4"/>
    <w:rsid w:val="005A1205"/>
    <w:rsid w:val="005A1319"/>
    <w:rsid w:val="005A1574"/>
    <w:rsid w:val="005A1B06"/>
    <w:rsid w:val="005A1E59"/>
    <w:rsid w:val="005A2064"/>
    <w:rsid w:val="005A207B"/>
    <w:rsid w:val="005A20AF"/>
    <w:rsid w:val="005A213C"/>
    <w:rsid w:val="005A2221"/>
    <w:rsid w:val="005A22A8"/>
    <w:rsid w:val="005A22B0"/>
    <w:rsid w:val="005A2336"/>
    <w:rsid w:val="005A23CE"/>
    <w:rsid w:val="005A24A6"/>
    <w:rsid w:val="005A26FD"/>
    <w:rsid w:val="005A2870"/>
    <w:rsid w:val="005A287F"/>
    <w:rsid w:val="005A2C1B"/>
    <w:rsid w:val="005A2C4F"/>
    <w:rsid w:val="005A2CE3"/>
    <w:rsid w:val="005A2CE5"/>
    <w:rsid w:val="005A2F48"/>
    <w:rsid w:val="005A2FEC"/>
    <w:rsid w:val="005A3281"/>
    <w:rsid w:val="005A35AA"/>
    <w:rsid w:val="005A372C"/>
    <w:rsid w:val="005A3C1D"/>
    <w:rsid w:val="005A3D37"/>
    <w:rsid w:val="005A3E91"/>
    <w:rsid w:val="005A441F"/>
    <w:rsid w:val="005A44E7"/>
    <w:rsid w:val="005A455B"/>
    <w:rsid w:val="005A473F"/>
    <w:rsid w:val="005A4842"/>
    <w:rsid w:val="005A4C3B"/>
    <w:rsid w:val="005A4C43"/>
    <w:rsid w:val="005A4C9B"/>
    <w:rsid w:val="005A4D0D"/>
    <w:rsid w:val="005A5150"/>
    <w:rsid w:val="005A529B"/>
    <w:rsid w:val="005A5441"/>
    <w:rsid w:val="005A5650"/>
    <w:rsid w:val="005A5783"/>
    <w:rsid w:val="005A58A7"/>
    <w:rsid w:val="005A58CD"/>
    <w:rsid w:val="005A5983"/>
    <w:rsid w:val="005A5A88"/>
    <w:rsid w:val="005A5AB8"/>
    <w:rsid w:val="005A5BBE"/>
    <w:rsid w:val="005A5DCD"/>
    <w:rsid w:val="005A6096"/>
    <w:rsid w:val="005A6149"/>
    <w:rsid w:val="005A6358"/>
    <w:rsid w:val="005A67ED"/>
    <w:rsid w:val="005A68A6"/>
    <w:rsid w:val="005A69F7"/>
    <w:rsid w:val="005A6C5D"/>
    <w:rsid w:val="005A6DCC"/>
    <w:rsid w:val="005A700D"/>
    <w:rsid w:val="005A7064"/>
    <w:rsid w:val="005A71D6"/>
    <w:rsid w:val="005A724B"/>
    <w:rsid w:val="005A7342"/>
    <w:rsid w:val="005A747C"/>
    <w:rsid w:val="005A756D"/>
    <w:rsid w:val="005A7671"/>
    <w:rsid w:val="005A76E1"/>
    <w:rsid w:val="005A7732"/>
    <w:rsid w:val="005A78B2"/>
    <w:rsid w:val="005A78C7"/>
    <w:rsid w:val="005A7945"/>
    <w:rsid w:val="005A7EB3"/>
    <w:rsid w:val="005A7EE8"/>
    <w:rsid w:val="005A7F96"/>
    <w:rsid w:val="005B003D"/>
    <w:rsid w:val="005B019B"/>
    <w:rsid w:val="005B05DF"/>
    <w:rsid w:val="005B05E6"/>
    <w:rsid w:val="005B0699"/>
    <w:rsid w:val="005B0834"/>
    <w:rsid w:val="005B08E7"/>
    <w:rsid w:val="005B0F37"/>
    <w:rsid w:val="005B104C"/>
    <w:rsid w:val="005B10C3"/>
    <w:rsid w:val="005B1139"/>
    <w:rsid w:val="005B13B1"/>
    <w:rsid w:val="005B13C4"/>
    <w:rsid w:val="005B1620"/>
    <w:rsid w:val="005B1770"/>
    <w:rsid w:val="005B1825"/>
    <w:rsid w:val="005B1ABC"/>
    <w:rsid w:val="005B2056"/>
    <w:rsid w:val="005B212F"/>
    <w:rsid w:val="005B215A"/>
    <w:rsid w:val="005B2584"/>
    <w:rsid w:val="005B2701"/>
    <w:rsid w:val="005B270C"/>
    <w:rsid w:val="005B28AA"/>
    <w:rsid w:val="005B29BD"/>
    <w:rsid w:val="005B2C1E"/>
    <w:rsid w:val="005B2C90"/>
    <w:rsid w:val="005B2EA3"/>
    <w:rsid w:val="005B3069"/>
    <w:rsid w:val="005B31B3"/>
    <w:rsid w:val="005B31F9"/>
    <w:rsid w:val="005B3269"/>
    <w:rsid w:val="005B3381"/>
    <w:rsid w:val="005B36AD"/>
    <w:rsid w:val="005B3751"/>
    <w:rsid w:val="005B37B5"/>
    <w:rsid w:val="005B3938"/>
    <w:rsid w:val="005B3B6A"/>
    <w:rsid w:val="005B3B89"/>
    <w:rsid w:val="005B3BF7"/>
    <w:rsid w:val="005B3EB4"/>
    <w:rsid w:val="005B4071"/>
    <w:rsid w:val="005B40A3"/>
    <w:rsid w:val="005B46E3"/>
    <w:rsid w:val="005B4776"/>
    <w:rsid w:val="005B4953"/>
    <w:rsid w:val="005B4A97"/>
    <w:rsid w:val="005B4F56"/>
    <w:rsid w:val="005B50A9"/>
    <w:rsid w:val="005B5144"/>
    <w:rsid w:val="005B51BA"/>
    <w:rsid w:val="005B5515"/>
    <w:rsid w:val="005B5731"/>
    <w:rsid w:val="005B57AB"/>
    <w:rsid w:val="005B59BB"/>
    <w:rsid w:val="005B5BCB"/>
    <w:rsid w:val="005B5C5F"/>
    <w:rsid w:val="005B5D29"/>
    <w:rsid w:val="005B5D8D"/>
    <w:rsid w:val="005B5DED"/>
    <w:rsid w:val="005B5E68"/>
    <w:rsid w:val="005B6071"/>
    <w:rsid w:val="005B60D9"/>
    <w:rsid w:val="005B61C9"/>
    <w:rsid w:val="005B61EA"/>
    <w:rsid w:val="005B62CA"/>
    <w:rsid w:val="005B63A3"/>
    <w:rsid w:val="005B63A4"/>
    <w:rsid w:val="005B6923"/>
    <w:rsid w:val="005B69ED"/>
    <w:rsid w:val="005B6B7E"/>
    <w:rsid w:val="005B6C61"/>
    <w:rsid w:val="005B6CA9"/>
    <w:rsid w:val="005B6D08"/>
    <w:rsid w:val="005B7084"/>
    <w:rsid w:val="005B72DB"/>
    <w:rsid w:val="005B7809"/>
    <w:rsid w:val="005B791D"/>
    <w:rsid w:val="005B7938"/>
    <w:rsid w:val="005B7B46"/>
    <w:rsid w:val="005C0083"/>
    <w:rsid w:val="005C03E9"/>
    <w:rsid w:val="005C054F"/>
    <w:rsid w:val="005C05EE"/>
    <w:rsid w:val="005C06AD"/>
    <w:rsid w:val="005C0776"/>
    <w:rsid w:val="005C07FF"/>
    <w:rsid w:val="005C0A83"/>
    <w:rsid w:val="005C0BCD"/>
    <w:rsid w:val="005C0BE0"/>
    <w:rsid w:val="005C0C32"/>
    <w:rsid w:val="005C0DDD"/>
    <w:rsid w:val="005C0FA4"/>
    <w:rsid w:val="005C1003"/>
    <w:rsid w:val="005C1004"/>
    <w:rsid w:val="005C1408"/>
    <w:rsid w:val="005C17E3"/>
    <w:rsid w:val="005C18F6"/>
    <w:rsid w:val="005C1980"/>
    <w:rsid w:val="005C19A9"/>
    <w:rsid w:val="005C1A45"/>
    <w:rsid w:val="005C1AC1"/>
    <w:rsid w:val="005C1BC0"/>
    <w:rsid w:val="005C1CFC"/>
    <w:rsid w:val="005C1D10"/>
    <w:rsid w:val="005C1D48"/>
    <w:rsid w:val="005C1E2E"/>
    <w:rsid w:val="005C1F49"/>
    <w:rsid w:val="005C1FB1"/>
    <w:rsid w:val="005C1FB5"/>
    <w:rsid w:val="005C2085"/>
    <w:rsid w:val="005C21BC"/>
    <w:rsid w:val="005C2332"/>
    <w:rsid w:val="005C2480"/>
    <w:rsid w:val="005C28DA"/>
    <w:rsid w:val="005C2C91"/>
    <w:rsid w:val="005C2CA3"/>
    <w:rsid w:val="005C2F83"/>
    <w:rsid w:val="005C3150"/>
    <w:rsid w:val="005C31B1"/>
    <w:rsid w:val="005C32BE"/>
    <w:rsid w:val="005C3465"/>
    <w:rsid w:val="005C3682"/>
    <w:rsid w:val="005C3699"/>
    <w:rsid w:val="005C36A1"/>
    <w:rsid w:val="005C39CB"/>
    <w:rsid w:val="005C3A00"/>
    <w:rsid w:val="005C3A10"/>
    <w:rsid w:val="005C3B5A"/>
    <w:rsid w:val="005C3B72"/>
    <w:rsid w:val="005C3B79"/>
    <w:rsid w:val="005C3C7C"/>
    <w:rsid w:val="005C3CBF"/>
    <w:rsid w:val="005C3D73"/>
    <w:rsid w:val="005C3D7F"/>
    <w:rsid w:val="005C3DA2"/>
    <w:rsid w:val="005C3DE0"/>
    <w:rsid w:val="005C3E66"/>
    <w:rsid w:val="005C407E"/>
    <w:rsid w:val="005C40C8"/>
    <w:rsid w:val="005C43CF"/>
    <w:rsid w:val="005C4508"/>
    <w:rsid w:val="005C4817"/>
    <w:rsid w:val="005C48D5"/>
    <w:rsid w:val="005C491A"/>
    <w:rsid w:val="005C4B60"/>
    <w:rsid w:val="005C4C67"/>
    <w:rsid w:val="005C4D4C"/>
    <w:rsid w:val="005C50E9"/>
    <w:rsid w:val="005C533D"/>
    <w:rsid w:val="005C53C7"/>
    <w:rsid w:val="005C54CA"/>
    <w:rsid w:val="005C5583"/>
    <w:rsid w:val="005C5659"/>
    <w:rsid w:val="005C575B"/>
    <w:rsid w:val="005C590E"/>
    <w:rsid w:val="005C5A19"/>
    <w:rsid w:val="005C5B3F"/>
    <w:rsid w:val="005C5F5B"/>
    <w:rsid w:val="005C5F89"/>
    <w:rsid w:val="005C5FB7"/>
    <w:rsid w:val="005C61BB"/>
    <w:rsid w:val="005C623E"/>
    <w:rsid w:val="005C63C1"/>
    <w:rsid w:val="005C64A0"/>
    <w:rsid w:val="005C64D2"/>
    <w:rsid w:val="005C66AB"/>
    <w:rsid w:val="005C68A1"/>
    <w:rsid w:val="005C69A0"/>
    <w:rsid w:val="005C6A66"/>
    <w:rsid w:val="005C6CDF"/>
    <w:rsid w:val="005C6F0C"/>
    <w:rsid w:val="005C6F38"/>
    <w:rsid w:val="005C6F49"/>
    <w:rsid w:val="005C7101"/>
    <w:rsid w:val="005C71A9"/>
    <w:rsid w:val="005C72E6"/>
    <w:rsid w:val="005C7443"/>
    <w:rsid w:val="005C7803"/>
    <w:rsid w:val="005C78B3"/>
    <w:rsid w:val="005C793C"/>
    <w:rsid w:val="005C7B8C"/>
    <w:rsid w:val="005C7D1A"/>
    <w:rsid w:val="005C7FA5"/>
    <w:rsid w:val="005D0068"/>
    <w:rsid w:val="005D0083"/>
    <w:rsid w:val="005D00FD"/>
    <w:rsid w:val="005D014E"/>
    <w:rsid w:val="005D01B6"/>
    <w:rsid w:val="005D024B"/>
    <w:rsid w:val="005D03A1"/>
    <w:rsid w:val="005D0837"/>
    <w:rsid w:val="005D093E"/>
    <w:rsid w:val="005D09A3"/>
    <w:rsid w:val="005D0A1A"/>
    <w:rsid w:val="005D0AD6"/>
    <w:rsid w:val="005D0BAC"/>
    <w:rsid w:val="005D0BC0"/>
    <w:rsid w:val="005D0DE3"/>
    <w:rsid w:val="005D1014"/>
    <w:rsid w:val="005D10A5"/>
    <w:rsid w:val="005D1392"/>
    <w:rsid w:val="005D142B"/>
    <w:rsid w:val="005D1665"/>
    <w:rsid w:val="005D1729"/>
    <w:rsid w:val="005D18D8"/>
    <w:rsid w:val="005D1938"/>
    <w:rsid w:val="005D195E"/>
    <w:rsid w:val="005D1A82"/>
    <w:rsid w:val="005D1C47"/>
    <w:rsid w:val="005D1C78"/>
    <w:rsid w:val="005D1CEC"/>
    <w:rsid w:val="005D1F06"/>
    <w:rsid w:val="005D1F5E"/>
    <w:rsid w:val="005D1F63"/>
    <w:rsid w:val="005D2081"/>
    <w:rsid w:val="005D22D1"/>
    <w:rsid w:val="005D22FE"/>
    <w:rsid w:val="005D2347"/>
    <w:rsid w:val="005D2B7F"/>
    <w:rsid w:val="005D2ED6"/>
    <w:rsid w:val="005D34F8"/>
    <w:rsid w:val="005D3513"/>
    <w:rsid w:val="005D379C"/>
    <w:rsid w:val="005D396F"/>
    <w:rsid w:val="005D39BB"/>
    <w:rsid w:val="005D3B6D"/>
    <w:rsid w:val="005D3BAD"/>
    <w:rsid w:val="005D3F07"/>
    <w:rsid w:val="005D3F3D"/>
    <w:rsid w:val="005D4068"/>
    <w:rsid w:val="005D430B"/>
    <w:rsid w:val="005D46E7"/>
    <w:rsid w:val="005D48FE"/>
    <w:rsid w:val="005D4B9D"/>
    <w:rsid w:val="005D4E27"/>
    <w:rsid w:val="005D4E88"/>
    <w:rsid w:val="005D4EC9"/>
    <w:rsid w:val="005D4FCE"/>
    <w:rsid w:val="005D5023"/>
    <w:rsid w:val="005D5047"/>
    <w:rsid w:val="005D5094"/>
    <w:rsid w:val="005D537A"/>
    <w:rsid w:val="005D5443"/>
    <w:rsid w:val="005D5455"/>
    <w:rsid w:val="005D547A"/>
    <w:rsid w:val="005D5624"/>
    <w:rsid w:val="005D5891"/>
    <w:rsid w:val="005D59FD"/>
    <w:rsid w:val="005D5BA1"/>
    <w:rsid w:val="005D5C4A"/>
    <w:rsid w:val="005D5E31"/>
    <w:rsid w:val="005D6086"/>
    <w:rsid w:val="005D6133"/>
    <w:rsid w:val="005D63FC"/>
    <w:rsid w:val="005D64C3"/>
    <w:rsid w:val="005D65F5"/>
    <w:rsid w:val="005D66B2"/>
    <w:rsid w:val="005D6734"/>
    <w:rsid w:val="005D697E"/>
    <w:rsid w:val="005D69E4"/>
    <w:rsid w:val="005D6C62"/>
    <w:rsid w:val="005D6EAA"/>
    <w:rsid w:val="005D6FF9"/>
    <w:rsid w:val="005D7397"/>
    <w:rsid w:val="005D757A"/>
    <w:rsid w:val="005D77F3"/>
    <w:rsid w:val="005D7812"/>
    <w:rsid w:val="005D795D"/>
    <w:rsid w:val="005D7981"/>
    <w:rsid w:val="005D79FC"/>
    <w:rsid w:val="005D7ABE"/>
    <w:rsid w:val="005D7C1B"/>
    <w:rsid w:val="005D7CBB"/>
    <w:rsid w:val="005D7DB9"/>
    <w:rsid w:val="005D7E27"/>
    <w:rsid w:val="005D7E4F"/>
    <w:rsid w:val="005D7E6B"/>
    <w:rsid w:val="005D7F29"/>
    <w:rsid w:val="005D7F75"/>
    <w:rsid w:val="005E00F5"/>
    <w:rsid w:val="005E0468"/>
    <w:rsid w:val="005E04D3"/>
    <w:rsid w:val="005E06C0"/>
    <w:rsid w:val="005E070C"/>
    <w:rsid w:val="005E08C8"/>
    <w:rsid w:val="005E09FF"/>
    <w:rsid w:val="005E0F38"/>
    <w:rsid w:val="005E0F51"/>
    <w:rsid w:val="005E107C"/>
    <w:rsid w:val="005E1130"/>
    <w:rsid w:val="005E1467"/>
    <w:rsid w:val="005E1643"/>
    <w:rsid w:val="005E16B2"/>
    <w:rsid w:val="005E16F0"/>
    <w:rsid w:val="005E17F3"/>
    <w:rsid w:val="005E1890"/>
    <w:rsid w:val="005E18DF"/>
    <w:rsid w:val="005E1DB5"/>
    <w:rsid w:val="005E1ED2"/>
    <w:rsid w:val="005E2106"/>
    <w:rsid w:val="005E2354"/>
    <w:rsid w:val="005E24AD"/>
    <w:rsid w:val="005E26CC"/>
    <w:rsid w:val="005E27CA"/>
    <w:rsid w:val="005E27D8"/>
    <w:rsid w:val="005E27FD"/>
    <w:rsid w:val="005E29D1"/>
    <w:rsid w:val="005E29DE"/>
    <w:rsid w:val="005E2B7F"/>
    <w:rsid w:val="005E2D0C"/>
    <w:rsid w:val="005E2D89"/>
    <w:rsid w:val="005E2DAA"/>
    <w:rsid w:val="005E2F06"/>
    <w:rsid w:val="005E2F48"/>
    <w:rsid w:val="005E3344"/>
    <w:rsid w:val="005E33B8"/>
    <w:rsid w:val="005E33D0"/>
    <w:rsid w:val="005E346A"/>
    <w:rsid w:val="005E3625"/>
    <w:rsid w:val="005E3651"/>
    <w:rsid w:val="005E39FD"/>
    <w:rsid w:val="005E3A08"/>
    <w:rsid w:val="005E3C5C"/>
    <w:rsid w:val="005E3C93"/>
    <w:rsid w:val="005E3D20"/>
    <w:rsid w:val="005E3E1B"/>
    <w:rsid w:val="005E3FC9"/>
    <w:rsid w:val="005E420E"/>
    <w:rsid w:val="005E4308"/>
    <w:rsid w:val="005E460A"/>
    <w:rsid w:val="005E4660"/>
    <w:rsid w:val="005E4695"/>
    <w:rsid w:val="005E472E"/>
    <w:rsid w:val="005E49B2"/>
    <w:rsid w:val="005E4A73"/>
    <w:rsid w:val="005E4B12"/>
    <w:rsid w:val="005E4D15"/>
    <w:rsid w:val="005E4F13"/>
    <w:rsid w:val="005E4F82"/>
    <w:rsid w:val="005E5040"/>
    <w:rsid w:val="005E5252"/>
    <w:rsid w:val="005E56C8"/>
    <w:rsid w:val="005E595A"/>
    <w:rsid w:val="005E5D5E"/>
    <w:rsid w:val="005E5FE7"/>
    <w:rsid w:val="005E6219"/>
    <w:rsid w:val="005E6358"/>
    <w:rsid w:val="005E6560"/>
    <w:rsid w:val="005E65D6"/>
    <w:rsid w:val="005E6A26"/>
    <w:rsid w:val="005E6AFE"/>
    <w:rsid w:val="005E6D43"/>
    <w:rsid w:val="005E6E72"/>
    <w:rsid w:val="005E6E99"/>
    <w:rsid w:val="005E6FBC"/>
    <w:rsid w:val="005E7474"/>
    <w:rsid w:val="005E7653"/>
    <w:rsid w:val="005E765B"/>
    <w:rsid w:val="005E766F"/>
    <w:rsid w:val="005E7672"/>
    <w:rsid w:val="005E7821"/>
    <w:rsid w:val="005E79DD"/>
    <w:rsid w:val="005E7A9C"/>
    <w:rsid w:val="005E7AFA"/>
    <w:rsid w:val="005E7B55"/>
    <w:rsid w:val="005E7C15"/>
    <w:rsid w:val="005E7C69"/>
    <w:rsid w:val="005E7C77"/>
    <w:rsid w:val="005E7E78"/>
    <w:rsid w:val="005F0071"/>
    <w:rsid w:val="005F06C5"/>
    <w:rsid w:val="005F0824"/>
    <w:rsid w:val="005F0866"/>
    <w:rsid w:val="005F08B6"/>
    <w:rsid w:val="005F0997"/>
    <w:rsid w:val="005F09AB"/>
    <w:rsid w:val="005F0AE8"/>
    <w:rsid w:val="005F0B6D"/>
    <w:rsid w:val="005F0BF0"/>
    <w:rsid w:val="005F1066"/>
    <w:rsid w:val="005F10A3"/>
    <w:rsid w:val="005F141C"/>
    <w:rsid w:val="005F1684"/>
    <w:rsid w:val="005F17F0"/>
    <w:rsid w:val="005F18DD"/>
    <w:rsid w:val="005F1938"/>
    <w:rsid w:val="005F1A8D"/>
    <w:rsid w:val="005F1B65"/>
    <w:rsid w:val="005F1B74"/>
    <w:rsid w:val="005F1C3A"/>
    <w:rsid w:val="005F1CAF"/>
    <w:rsid w:val="005F1D3F"/>
    <w:rsid w:val="005F1EEB"/>
    <w:rsid w:val="005F1F1F"/>
    <w:rsid w:val="005F1FD6"/>
    <w:rsid w:val="005F20FE"/>
    <w:rsid w:val="005F21BB"/>
    <w:rsid w:val="005F2351"/>
    <w:rsid w:val="005F242F"/>
    <w:rsid w:val="005F2448"/>
    <w:rsid w:val="005F2515"/>
    <w:rsid w:val="005F276D"/>
    <w:rsid w:val="005F295B"/>
    <w:rsid w:val="005F29D1"/>
    <w:rsid w:val="005F2A09"/>
    <w:rsid w:val="005F2A6B"/>
    <w:rsid w:val="005F2A85"/>
    <w:rsid w:val="005F2AFA"/>
    <w:rsid w:val="005F2D85"/>
    <w:rsid w:val="005F2DD4"/>
    <w:rsid w:val="005F2E20"/>
    <w:rsid w:val="005F2FC2"/>
    <w:rsid w:val="005F2FD1"/>
    <w:rsid w:val="005F3067"/>
    <w:rsid w:val="005F3111"/>
    <w:rsid w:val="005F315F"/>
    <w:rsid w:val="005F3257"/>
    <w:rsid w:val="005F3280"/>
    <w:rsid w:val="005F3366"/>
    <w:rsid w:val="005F34C9"/>
    <w:rsid w:val="005F3947"/>
    <w:rsid w:val="005F39BC"/>
    <w:rsid w:val="005F3BC6"/>
    <w:rsid w:val="005F3C46"/>
    <w:rsid w:val="005F3F14"/>
    <w:rsid w:val="005F3FA6"/>
    <w:rsid w:val="005F3FDB"/>
    <w:rsid w:val="005F40C1"/>
    <w:rsid w:val="005F428F"/>
    <w:rsid w:val="005F4296"/>
    <w:rsid w:val="005F435C"/>
    <w:rsid w:val="005F43B4"/>
    <w:rsid w:val="005F4586"/>
    <w:rsid w:val="005F47D1"/>
    <w:rsid w:val="005F4965"/>
    <w:rsid w:val="005F4B29"/>
    <w:rsid w:val="005F4BEE"/>
    <w:rsid w:val="005F4D81"/>
    <w:rsid w:val="005F4FE2"/>
    <w:rsid w:val="005F506A"/>
    <w:rsid w:val="005F5230"/>
    <w:rsid w:val="005F5513"/>
    <w:rsid w:val="005F5757"/>
    <w:rsid w:val="005F5944"/>
    <w:rsid w:val="005F5977"/>
    <w:rsid w:val="005F59B5"/>
    <w:rsid w:val="005F5AD4"/>
    <w:rsid w:val="005F5B1E"/>
    <w:rsid w:val="005F5C19"/>
    <w:rsid w:val="005F5C9E"/>
    <w:rsid w:val="005F5E67"/>
    <w:rsid w:val="005F5F51"/>
    <w:rsid w:val="005F6356"/>
    <w:rsid w:val="005F63E6"/>
    <w:rsid w:val="005F675F"/>
    <w:rsid w:val="005F6830"/>
    <w:rsid w:val="005F6973"/>
    <w:rsid w:val="005F6A72"/>
    <w:rsid w:val="005F6AAD"/>
    <w:rsid w:val="005F6C17"/>
    <w:rsid w:val="005F6F21"/>
    <w:rsid w:val="005F7144"/>
    <w:rsid w:val="005F7372"/>
    <w:rsid w:val="005F740D"/>
    <w:rsid w:val="005F75B3"/>
    <w:rsid w:val="005F76C6"/>
    <w:rsid w:val="005F773B"/>
    <w:rsid w:val="005F775F"/>
    <w:rsid w:val="005F7872"/>
    <w:rsid w:val="005F78CB"/>
    <w:rsid w:val="005F78DE"/>
    <w:rsid w:val="005F7A39"/>
    <w:rsid w:val="005F7ABF"/>
    <w:rsid w:val="005F7E74"/>
    <w:rsid w:val="005F7EE9"/>
    <w:rsid w:val="005F7FB9"/>
    <w:rsid w:val="00600312"/>
    <w:rsid w:val="00600401"/>
    <w:rsid w:val="006004BC"/>
    <w:rsid w:val="006004DD"/>
    <w:rsid w:val="0060067F"/>
    <w:rsid w:val="00600847"/>
    <w:rsid w:val="006008D0"/>
    <w:rsid w:val="006008DA"/>
    <w:rsid w:val="006008E0"/>
    <w:rsid w:val="00600A39"/>
    <w:rsid w:val="00600BD0"/>
    <w:rsid w:val="00600D0D"/>
    <w:rsid w:val="00600F6A"/>
    <w:rsid w:val="006011AE"/>
    <w:rsid w:val="0060121E"/>
    <w:rsid w:val="00601241"/>
    <w:rsid w:val="0060146E"/>
    <w:rsid w:val="006018C8"/>
    <w:rsid w:val="0060192C"/>
    <w:rsid w:val="0060194F"/>
    <w:rsid w:val="00601A1F"/>
    <w:rsid w:val="006020A1"/>
    <w:rsid w:val="00602115"/>
    <w:rsid w:val="0060215A"/>
    <w:rsid w:val="006021B8"/>
    <w:rsid w:val="0060220B"/>
    <w:rsid w:val="0060222F"/>
    <w:rsid w:val="006022DB"/>
    <w:rsid w:val="006023E5"/>
    <w:rsid w:val="006024D3"/>
    <w:rsid w:val="0060273E"/>
    <w:rsid w:val="00602952"/>
    <w:rsid w:val="00602BA5"/>
    <w:rsid w:val="00602BC4"/>
    <w:rsid w:val="00602BE7"/>
    <w:rsid w:val="00602FD8"/>
    <w:rsid w:val="0060332C"/>
    <w:rsid w:val="00603372"/>
    <w:rsid w:val="00603590"/>
    <w:rsid w:val="0060364B"/>
    <w:rsid w:val="0060369F"/>
    <w:rsid w:val="006036D6"/>
    <w:rsid w:val="006037AB"/>
    <w:rsid w:val="0060382A"/>
    <w:rsid w:val="006038D3"/>
    <w:rsid w:val="006038DE"/>
    <w:rsid w:val="00603ADD"/>
    <w:rsid w:val="00603B6F"/>
    <w:rsid w:val="00603EE5"/>
    <w:rsid w:val="00603F00"/>
    <w:rsid w:val="00604057"/>
    <w:rsid w:val="006040AA"/>
    <w:rsid w:val="00604105"/>
    <w:rsid w:val="006043D9"/>
    <w:rsid w:val="0060450F"/>
    <w:rsid w:val="0060451B"/>
    <w:rsid w:val="00604579"/>
    <w:rsid w:val="00604641"/>
    <w:rsid w:val="00604756"/>
    <w:rsid w:val="00604812"/>
    <w:rsid w:val="00604BE6"/>
    <w:rsid w:val="00604BEB"/>
    <w:rsid w:val="00604CDA"/>
    <w:rsid w:val="00604F2F"/>
    <w:rsid w:val="00604FEA"/>
    <w:rsid w:val="00605059"/>
    <w:rsid w:val="006050C8"/>
    <w:rsid w:val="006051DA"/>
    <w:rsid w:val="00605393"/>
    <w:rsid w:val="00605AAA"/>
    <w:rsid w:val="00605AB4"/>
    <w:rsid w:val="00605B69"/>
    <w:rsid w:val="00605C20"/>
    <w:rsid w:val="00605CF3"/>
    <w:rsid w:val="00605DC1"/>
    <w:rsid w:val="00605F66"/>
    <w:rsid w:val="0060640C"/>
    <w:rsid w:val="006064D8"/>
    <w:rsid w:val="0060656B"/>
    <w:rsid w:val="006065C9"/>
    <w:rsid w:val="00606636"/>
    <w:rsid w:val="0060666A"/>
    <w:rsid w:val="00606A29"/>
    <w:rsid w:val="00606B89"/>
    <w:rsid w:val="00606CC6"/>
    <w:rsid w:val="00606EF9"/>
    <w:rsid w:val="00606F81"/>
    <w:rsid w:val="00606F8A"/>
    <w:rsid w:val="00607026"/>
    <w:rsid w:val="0060706A"/>
    <w:rsid w:val="006073CB"/>
    <w:rsid w:val="0060764B"/>
    <w:rsid w:val="00607758"/>
    <w:rsid w:val="006077DF"/>
    <w:rsid w:val="0060784E"/>
    <w:rsid w:val="00607855"/>
    <w:rsid w:val="00607A26"/>
    <w:rsid w:val="00607A8F"/>
    <w:rsid w:val="00607C81"/>
    <w:rsid w:val="0061017E"/>
    <w:rsid w:val="0061022F"/>
    <w:rsid w:val="0061036D"/>
    <w:rsid w:val="00610582"/>
    <w:rsid w:val="00610674"/>
    <w:rsid w:val="006107C4"/>
    <w:rsid w:val="00610985"/>
    <w:rsid w:val="006109D6"/>
    <w:rsid w:val="00610C4D"/>
    <w:rsid w:val="00610D5E"/>
    <w:rsid w:val="00610EE9"/>
    <w:rsid w:val="006110E8"/>
    <w:rsid w:val="006112E3"/>
    <w:rsid w:val="006113A3"/>
    <w:rsid w:val="006114E6"/>
    <w:rsid w:val="0061151D"/>
    <w:rsid w:val="006118C7"/>
    <w:rsid w:val="00611920"/>
    <w:rsid w:val="00611A38"/>
    <w:rsid w:val="00611B69"/>
    <w:rsid w:val="00611B81"/>
    <w:rsid w:val="00611F77"/>
    <w:rsid w:val="0061203B"/>
    <w:rsid w:val="00612087"/>
    <w:rsid w:val="00612311"/>
    <w:rsid w:val="00612460"/>
    <w:rsid w:val="006124AF"/>
    <w:rsid w:val="006124DA"/>
    <w:rsid w:val="00612648"/>
    <w:rsid w:val="00612A50"/>
    <w:rsid w:val="00612B45"/>
    <w:rsid w:val="00612E54"/>
    <w:rsid w:val="00612FF6"/>
    <w:rsid w:val="00613101"/>
    <w:rsid w:val="00613250"/>
    <w:rsid w:val="006132D8"/>
    <w:rsid w:val="00613380"/>
    <w:rsid w:val="00613467"/>
    <w:rsid w:val="006134DC"/>
    <w:rsid w:val="00613512"/>
    <w:rsid w:val="00613740"/>
    <w:rsid w:val="00613852"/>
    <w:rsid w:val="00613992"/>
    <w:rsid w:val="00613B3A"/>
    <w:rsid w:val="00613C3D"/>
    <w:rsid w:val="00613D62"/>
    <w:rsid w:val="00613DCB"/>
    <w:rsid w:val="00613F2E"/>
    <w:rsid w:val="0061416F"/>
    <w:rsid w:val="00614202"/>
    <w:rsid w:val="00614233"/>
    <w:rsid w:val="0061455C"/>
    <w:rsid w:val="006147E8"/>
    <w:rsid w:val="00614B72"/>
    <w:rsid w:val="00614BAE"/>
    <w:rsid w:val="00614D1E"/>
    <w:rsid w:val="00614DD1"/>
    <w:rsid w:val="006150AA"/>
    <w:rsid w:val="006150C6"/>
    <w:rsid w:val="0061523A"/>
    <w:rsid w:val="00615323"/>
    <w:rsid w:val="00615391"/>
    <w:rsid w:val="006153E0"/>
    <w:rsid w:val="006153E3"/>
    <w:rsid w:val="00615507"/>
    <w:rsid w:val="00615544"/>
    <w:rsid w:val="0061554C"/>
    <w:rsid w:val="006155E7"/>
    <w:rsid w:val="006156D3"/>
    <w:rsid w:val="006156E2"/>
    <w:rsid w:val="00615879"/>
    <w:rsid w:val="006158E1"/>
    <w:rsid w:val="00615941"/>
    <w:rsid w:val="00615983"/>
    <w:rsid w:val="00615A0F"/>
    <w:rsid w:val="00615A91"/>
    <w:rsid w:val="00615B3F"/>
    <w:rsid w:val="00615B58"/>
    <w:rsid w:val="00615BD2"/>
    <w:rsid w:val="00615DC1"/>
    <w:rsid w:val="00616359"/>
    <w:rsid w:val="0061636A"/>
    <w:rsid w:val="006163E3"/>
    <w:rsid w:val="0061642F"/>
    <w:rsid w:val="006164EA"/>
    <w:rsid w:val="006165DA"/>
    <w:rsid w:val="0061667B"/>
    <w:rsid w:val="006168AF"/>
    <w:rsid w:val="00616998"/>
    <w:rsid w:val="00616A28"/>
    <w:rsid w:val="00616A87"/>
    <w:rsid w:val="00616B7B"/>
    <w:rsid w:val="00616C56"/>
    <w:rsid w:val="00616E52"/>
    <w:rsid w:val="00616EFA"/>
    <w:rsid w:val="00617429"/>
    <w:rsid w:val="0061766F"/>
    <w:rsid w:val="006176B5"/>
    <w:rsid w:val="006178A9"/>
    <w:rsid w:val="00617AE4"/>
    <w:rsid w:val="00617B40"/>
    <w:rsid w:val="00617C56"/>
    <w:rsid w:val="00617C94"/>
    <w:rsid w:val="00617CB5"/>
    <w:rsid w:val="00620258"/>
    <w:rsid w:val="0062027A"/>
    <w:rsid w:val="006202B9"/>
    <w:rsid w:val="0062072D"/>
    <w:rsid w:val="006208D4"/>
    <w:rsid w:val="00620B4E"/>
    <w:rsid w:val="00620BCE"/>
    <w:rsid w:val="00620BFA"/>
    <w:rsid w:val="00620C08"/>
    <w:rsid w:val="00620C24"/>
    <w:rsid w:val="00620D09"/>
    <w:rsid w:val="00620D6A"/>
    <w:rsid w:val="00620E16"/>
    <w:rsid w:val="006215B7"/>
    <w:rsid w:val="00621613"/>
    <w:rsid w:val="006217B4"/>
    <w:rsid w:val="006219FD"/>
    <w:rsid w:val="00621EF7"/>
    <w:rsid w:val="0062207E"/>
    <w:rsid w:val="00622255"/>
    <w:rsid w:val="00622501"/>
    <w:rsid w:val="006225E2"/>
    <w:rsid w:val="006227A7"/>
    <w:rsid w:val="00622BBE"/>
    <w:rsid w:val="00622C31"/>
    <w:rsid w:val="00623092"/>
    <w:rsid w:val="00623201"/>
    <w:rsid w:val="00623221"/>
    <w:rsid w:val="00623247"/>
    <w:rsid w:val="00623324"/>
    <w:rsid w:val="00623454"/>
    <w:rsid w:val="0062398E"/>
    <w:rsid w:val="00623A42"/>
    <w:rsid w:val="00623AFB"/>
    <w:rsid w:val="00623CD9"/>
    <w:rsid w:val="00623EA8"/>
    <w:rsid w:val="00623EF3"/>
    <w:rsid w:val="00624315"/>
    <w:rsid w:val="0062442E"/>
    <w:rsid w:val="00624580"/>
    <w:rsid w:val="0062459A"/>
    <w:rsid w:val="006245AB"/>
    <w:rsid w:val="00624699"/>
    <w:rsid w:val="006246E3"/>
    <w:rsid w:val="00624778"/>
    <w:rsid w:val="00624A5F"/>
    <w:rsid w:val="00624A73"/>
    <w:rsid w:val="00624B27"/>
    <w:rsid w:val="00624C2C"/>
    <w:rsid w:val="00624C95"/>
    <w:rsid w:val="00624CB3"/>
    <w:rsid w:val="00624DD9"/>
    <w:rsid w:val="006251F0"/>
    <w:rsid w:val="00625263"/>
    <w:rsid w:val="0062545B"/>
    <w:rsid w:val="0062552A"/>
    <w:rsid w:val="0062578F"/>
    <w:rsid w:val="006257FA"/>
    <w:rsid w:val="00625800"/>
    <w:rsid w:val="006258FD"/>
    <w:rsid w:val="00625A42"/>
    <w:rsid w:val="00625B90"/>
    <w:rsid w:val="00625CC6"/>
    <w:rsid w:val="00625E69"/>
    <w:rsid w:val="0062608B"/>
    <w:rsid w:val="006261DF"/>
    <w:rsid w:val="006261EF"/>
    <w:rsid w:val="006264D2"/>
    <w:rsid w:val="006265E6"/>
    <w:rsid w:val="00626802"/>
    <w:rsid w:val="0062685A"/>
    <w:rsid w:val="00626ABA"/>
    <w:rsid w:val="00626B47"/>
    <w:rsid w:val="00626BB7"/>
    <w:rsid w:val="00626BE0"/>
    <w:rsid w:val="00626E7D"/>
    <w:rsid w:val="00627020"/>
    <w:rsid w:val="0062708A"/>
    <w:rsid w:val="0062711A"/>
    <w:rsid w:val="0062726F"/>
    <w:rsid w:val="006272B2"/>
    <w:rsid w:val="0062767E"/>
    <w:rsid w:val="00627829"/>
    <w:rsid w:val="00627CBD"/>
    <w:rsid w:val="00627D3E"/>
    <w:rsid w:val="00627E22"/>
    <w:rsid w:val="00627E50"/>
    <w:rsid w:val="00630127"/>
    <w:rsid w:val="006301D2"/>
    <w:rsid w:val="006302DF"/>
    <w:rsid w:val="00630496"/>
    <w:rsid w:val="0063060B"/>
    <w:rsid w:val="006306E3"/>
    <w:rsid w:val="006306FF"/>
    <w:rsid w:val="006308DA"/>
    <w:rsid w:val="00630936"/>
    <w:rsid w:val="006309A2"/>
    <w:rsid w:val="00630CED"/>
    <w:rsid w:val="00630D67"/>
    <w:rsid w:val="00630F06"/>
    <w:rsid w:val="00630F2B"/>
    <w:rsid w:val="00631458"/>
    <w:rsid w:val="006316A3"/>
    <w:rsid w:val="00631C38"/>
    <w:rsid w:val="00631D67"/>
    <w:rsid w:val="00631DF8"/>
    <w:rsid w:val="00631EC8"/>
    <w:rsid w:val="00631F95"/>
    <w:rsid w:val="00631FF4"/>
    <w:rsid w:val="00632094"/>
    <w:rsid w:val="0063213E"/>
    <w:rsid w:val="0063226F"/>
    <w:rsid w:val="00632321"/>
    <w:rsid w:val="0063235D"/>
    <w:rsid w:val="00632680"/>
    <w:rsid w:val="00632734"/>
    <w:rsid w:val="00632915"/>
    <w:rsid w:val="006329EF"/>
    <w:rsid w:val="00632B27"/>
    <w:rsid w:val="00632C6F"/>
    <w:rsid w:val="00632F83"/>
    <w:rsid w:val="00632FF4"/>
    <w:rsid w:val="006331E2"/>
    <w:rsid w:val="006332BE"/>
    <w:rsid w:val="006333B9"/>
    <w:rsid w:val="006333C5"/>
    <w:rsid w:val="006333F9"/>
    <w:rsid w:val="0063348B"/>
    <w:rsid w:val="0063355B"/>
    <w:rsid w:val="006336DC"/>
    <w:rsid w:val="00633784"/>
    <w:rsid w:val="006337A9"/>
    <w:rsid w:val="006337AA"/>
    <w:rsid w:val="00633885"/>
    <w:rsid w:val="00633A14"/>
    <w:rsid w:val="00633B49"/>
    <w:rsid w:val="00633C0D"/>
    <w:rsid w:val="00633C3F"/>
    <w:rsid w:val="00633C5B"/>
    <w:rsid w:val="00633F7A"/>
    <w:rsid w:val="00634286"/>
    <w:rsid w:val="00634503"/>
    <w:rsid w:val="00634585"/>
    <w:rsid w:val="00634A3A"/>
    <w:rsid w:val="00634D44"/>
    <w:rsid w:val="00634DE3"/>
    <w:rsid w:val="00634EE9"/>
    <w:rsid w:val="00634F4E"/>
    <w:rsid w:val="00635007"/>
    <w:rsid w:val="0063500A"/>
    <w:rsid w:val="00635039"/>
    <w:rsid w:val="006350B5"/>
    <w:rsid w:val="0063523C"/>
    <w:rsid w:val="0063528B"/>
    <w:rsid w:val="006352CC"/>
    <w:rsid w:val="0063533F"/>
    <w:rsid w:val="00635459"/>
    <w:rsid w:val="0063549D"/>
    <w:rsid w:val="0063554C"/>
    <w:rsid w:val="00635683"/>
    <w:rsid w:val="00635698"/>
    <w:rsid w:val="0063594D"/>
    <w:rsid w:val="00635AAF"/>
    <w:rsid w:val="00635B1F"/>
    <w:rsid w:val="00635B42"/>
    <w:rsid w:val="00635CF7"/>
    <w:rsid w:val="00635FB8"/>
    <w:rsid w:val="0063606B"/>
    <w:rsid w:val="006360DD"/>
    <w:rsid w:val="006364D3"/>
    <w:rsid w:val="0063652B"/>
    <w:rsid w:val="00636572"/>
    <w:rsid w:val="0063658E"/>
    <w:rsid w:val="0063676D"/>
    <w:rsid w:val="0063697B"/>
    <w:rsid w:val="00636D93"/>
    <w:rsid w:val="00636E3F"/>
    <w:rsid w:val="0063702B"/>
    <w:rsid w:val="00637079"/>
    <w:rsid w:val="006376C6"/>
    <w:rsid w:val="0063776F"/>
    <w:rsid w:val="006379B1"/>
    <w:rsid w:val="00637BE7"/>
    <w:rsid w:val="00637C1A"/>
    <w:rsid w:val="00637C5B"/>
    <w:rsid w:val="00637CBA"/>
    <w:rsid w:val="00637D97"/>
    <w:rsid w:val="00637E16"/>
    <w:rsid w:val="00637EC3"/>
    <w:rsid w:val="00637F8E"/>
    <w:rsid w:val="00637FD1"/>
    <w:rsid w:val="00637FE3"/>
    <w:rsid w:val="00640021"/>
    <w:rsid w:val="00640051"/>
    <w:rsid w:val="0064010F"/>
    <w:rsid w:val="00640557"/>
    <w:rsid w:val="0064061E"/>
    <w:rsid w:val="00640892"/>
    <w:rsid w:val="006408C3"/>
    <w:rsid w:val="006409E3"/>
    <w:rsid w:val="00640BBA"/>
    <w:rsid w:val="00640E65"/>
    <w:rsid w:val="00641157"/>
    <w:rsid w:val="00641241"/>
    <w:rsid w:val="00641428"/>
    <w:rsid w:val="006414A8"/>
    <w:rsid w:val="006415A4"/>
    <w:rsid w:val="00641607"/>
    <w:rsid w:val="0064170C"/>
    <w:rsid w:val="00641896"/>
    <w:rsid w:val="00641A58"/>
    <w:rsid w:val="00641D16"/>
    <w:rsid w:val="00641D49"/>
    <w:rsid w:val="00641D62"/>
    <w:rsid w:val="00641DBE"/>
    <w:rsid w:val="00641F9D"/>
    <w:rsid w:val="006423BD"/>
    <w:rsid w:val="006423D4"/>
    <w:rsid w:val="00642443"/>
    <w:rsid w:val="006424F8"/>
    <w:rsid w:val="00642589"/>
    <w:rsid w:val="0064287E"/>
    <w:rsid w:val="006428AF"/>
    <w:rsid w:val="0064290C"/>
    <w:rsid w:val="006429F0"/>
    <w:rsid w:val="00642A61"/>
    <w:rsid w:val="00642B48"/>
    <w:rsid w:val="00642C89"/>
    <w:rsid w:val="00642CEA"/>
    <w:rsid w:val="00642E89"/>
    <w:rsid w:val="00642E96"/>
    <w:rsid w:val="00642F69"/>
    <w:rsid w:val="006431DB"/>
    <w:rsid w:val="006432C5"/>
    <w:rsid w:val="0064344A"/>
    <w:rsid w:val="00643536"/>
    <w:rsid w:val="006435A7"/>
    <w:rsid w:val="006435A9"/>
    <w:rsid w:val="006436B7"/>
    <w:rsid w:val="0064376A"/>
    <w:rsid w:val="00643821"/>
    <w:rsid w:val="006438A5"/>
    <w:rsid w:val="00643949"/>
    <w:rsid w:val="00643A16"/>
    <w:rsid w:val="00643CAE"/>
    <w:rsid w:val="00643F7B"/>
    <w:rsid w:val="00644061"/>
    <w:rsid w:val="00644108"/>
    <w:rsid w:val="0064432A"/>
    <w:rsid w:val="006448C0"/>
    <w:rsid w:val="0064499F"/>
    <w:rsid w:val="00644B1E"/>
    <w:rsid w:val="00644E4F"/>
    <w:rsid w:val="00644FCE"/>
    <w:rsid w:val="00644FF5"/>
    <w:rsid w:val="006451D3"/>
    <w:rsid w:val="006453C8"/>
    <w:rsid w:val="00645477"/>
    <w:rsid w:val="006454BB"/>
    <w:rsid w:val="00645637"/>
    <w:rsid w:val="00645786"/>
    <w:rsid w:val="0064580F"/>
    <w:rsid w:val="006458AC"/>
    <w:rsid w:val="006459B8"/>
    <w:rsid w:val="00645AB3"/>
    <w:rsid w:val="00645B0F"/>
    <w:rsid w:val="00645C11"/>
    <w:rsid w:val="00645C1D"/>
    <w:rsid w:val="00645F50"/>
    <w:rsid w:val="0064606A"/>
    <w:rsid w:val="0064611F"/>
    <w:rsid w:val="0064613F"/>
    <w:rsid w:val="0064620D"/>
    <w:rsid w:val="006462A3"/>
    <w:rsid w:val="00646445"/>
    <w:rsid w:val="00646576"/>
    <w:rsid w:val="00646642"/>
    <w:rsid w:val="00646C69"/>
    <w:rsid w:val="00646CE4"/>
    <w:rsid w:val="00646E12"/>
    <w:rsid w:val="00646FBD"/>
    <w:rsid w:val="006470AB"/>
    <w:rsid w:val="0064719A"/>
    <w:rsid w:val="0064734B"/>
    <w:rsid w:val="0064734D"/>
    <w:rsid w:val="00647508"/>
    <w:rsid w:val="00647907"/>
    <w:rsid w:val="00647B05"/>
    <w:rsid w:val="00647C04"/>
    <w:rsid w:val="00647CDB"/>
    <w:rsid w:val="00647E83"/>
    <w:rsid w:val="00647FCF"/>
    <w:rsid w:val="00647FE8"/>
    <w:rsid w:val="006500AD"/>
    <w:rsid w:val="006500E0"/>
    <w:rsid w:val="00650144"/>
    <w:rsid w:val="006501F6"/>
    <w:rsid w:val="0065025C"/>
    <w:rsid w:val="006504FE"/>
    <w:rsid w:val="006507EF"/>
    <w:rsid w:val="006509D0"/>
    <w:rsid w:val="00650E9B"/>
    <w:rsid w:val="00650EC9"/>
    <w:rsid w:val="00651498"/>
    <w:rsid w:val="00651986"/>
    <w:rsid w:val="006519DF"/>
    <w:rsid w:val="00651A09"/>
    <w:rsid w:val="00651ACE"/>
    <w:rsid w:val="00651B38"/>
    <w:rsid w:val="00651C69"/>
    <w:rsid w:val="00651CAE"/>
    <w:rsid w:val="00651D4A"/>
    <w:rsid w:val="00651F19"/>
    <w:rsid w:val="0065226B"/>
    <w:rsid w:val="006522A3"/>
    <w:rsid w:val="00652484"/>
    <w:rsid w:val="006526A9"/>
    <w:rsid w:val="006527DA"/>
    <w:rsid w:val="0065283B"/>
    <w:rsid w:val="0065289F"/>
    <w:rsid w:val="006528FD"/>
    <w:rsid w:val="00652A7C"/>
    <w:rsid w:val="00652B84"/>
    <w:rsid w:val="00652C31"/>
    <w:rsid w:val="00652C4F"/>
    <w:rsid w:val="00652FC4"/>
    <w:rsid w:val="00653185"/>
    <w:rsid w:val="00653187"/>
    <w:rsid w:val="006531C1"/>
    <w:rsid w:val="00653239"/>
    <w:rsid w:val="0065325E"/>
    <w:rsid w:val="006532BC"/>
    <w:rsid w:val="00653328"/>
    <w:rsid w:val="006535C1"/>
    <w:rsid w:val="006536C1"/>
    <w:rsid w:val="00653CFA"/>
    <w:rsid w:val="00653F72"/>
    <w:rsid w:val="0065409A"/>
    <w:rsid w:val="006544ED"/>
    <w:rsid w:val="00654503"/>
    <w:rsid w:val="006545E6"/>
    <w:rsid w:val="0065467F"/>
    <w:rsid w:val="00654729"/>
    <w:rsid w:val="0065494C"/>
    <w:rsid w:val="00654974"/>
    <w:rsid w:val="006549DB"/>
    <w:rsid w:val="00654A6D"/>
    <w:rsid w:val="00654B4F"/>
    <w:rsid w:val="00654CD3"/>
    <w:rsid w:val="00654E17"/>
    <w:rsid w:val="00654E31"/>
    <w:rsid w:val="00654FAE"/>
    <w:rsid w:val="006550DD"/>
    <w:rsid w:val="00655158"/>
    <w:rsid w:val="006551B1"/>
    <w:rsid w:val="00655241"/>
    <w:rsid w:val="0065543D"/>
    <w:rsid w:val="00655489"/>
    <w:rsid w:val="00655638"/>
    <w:rsid w:val="006557CE"/>
    <w:rsid w:val="006557E6"/>
    <w:rsid w:val="00655B60"/>
    <w:rsid w:val="00655C15"/>
    <w:rsid w:val="00655DA7"/>
    <w:rsid w:val="00655F82"/>
    <w:rsid w:val="00655F8F"/>
    <w:rsid w:val="006561E6"/>
    <w:rsid w:val="00656323"/>
    <w:rsid w:val="00656365"/>
    <w:rsid w:val="00656787"/>
    <w:rsid w:val="006567FF"/>
    <w:rsid w:val="006568AF"/>
    <w:rsid w:val="00656943"/>
    <w:rsid w:val="0065694E"/>
    <w:rsid w:val="00656A27"/>
    <w:rsid w:val="0065707A"/>
    <w:rsid w:val="00657125"/>
    <w:rsid w:val="00657354"/>
    <w:rsid w:val="0065735E"/>
    <w:rsid w:val="00657754"/>
    <w:rsid w:val="00657B0F"/>
    <w:rsid w:val="00657E1E"/>
    <w:rsid w:val="00657F7D"/>
    <w:rsid w:val="006601C8"/>
    <w:rsid w:val="006602D8"/>
    <w:rsid w:val="00660316"/>
    <w:rsid w:val="0066081A"/>
    <w:rsid w:val="00660994"/>
    <w:rsid w:val="00660E29"/>
    <w:rsid w:val="00660F50"/>
    <w:rsid w:val="00660FE9"/>
    <w:rsid w:val="006610A5"/>
    <w:rsid w:val="0066126A"/>
    <w:rsid w:val="00661294"/>
    <w:rsid w:val="0066129A"/>
    <w:rsid w:val="006613E4"/>
    <w:rsid w:val="00661533"/>
    <w:rsid w:val="00661552"/>
    <w:rsid w:val="006616A8"/>
    <w:rsid w:val="00661704"/>
    <w:rsid w:val="0066170A"/>
    <w:rsid w:val="006617C0"/>
    <w:rsid w:val="006618AA"/>
    <w:rsid w:val="00661972"/>
    <w:rsid w:val="00661A92"/>
    <w:rsid w:val="00661AFC"/>
    <w:rsid w:val="00661B06"/>
    <w:rsid w:val="00661FE4"/>
    <w:rsid w:val="0066227F"/>
    <w:rsid w:val="0066231E"/>
    <w:rsid w:val="0066241C"/>
    <w:rsid w:val="006626F0"/>
    <w:rsid w:val="00662773"/>
    <w:rsid w:val="00662872"/>
    <w:rsid w:val="00662A21"/>
    <w:rsid w:val="00662C86"/>
    <w:rsid w:val="00662DFF"/>
    <w:rsid w:val="006630A4"/>
    <w:rsid w:val="006630AB"/>
    <w:rsid w:val="006631B6"/>
    <w:rsid w:val="00663277"/>
    <w:rsid w:val="006633B1"/>
    <w:rsid w:val="006633F4"/>
    <w:rsid w:val="0066367C"/>
    <w:rsid w:val="006637EE"/>
    <w:rsid w:val="0066383F"/>
    <w:rsid w:val="00663A9E"/>
    <w:rsid w:val="00663B47"/>
    <w:rsid w:val="00663C1E"/>
    <w:rsid w:val="00663C9F"/>
    <w:rsid w:val="00663CFE"/>
    <w:rsid w:val="00663D96"/>
    <w:rsid w:val="00663DD7"/>
    <w:rsid w:val="00663F55"/>
    <w:rsid w:val="00664356"/>
    <w:rsid w:val="0066450D"/>
    <w:rsid w:val="006645C2"/>
    <w:rsid w:val="00664A18"/>
    <w:rsid w:val="00664B19"/>
    <w:rsid w:val="00664B79"/>
    <w:rsid w:val="00664F81"/>
    <w:rsid w:val="00664FD4"/>
    <w:rsid w:val="00665177"/>
    <w:rsid w:val="006651FA"/>
    <w:rsid w:val="0066528B"/>
    <w:rsid w:val="00665306"/>
    <w:rsid w:val="00665624"/>
    <w:rsid w:val="006657AE"/>
    <w:rsid w:val="006658A1"/>
    <w:rsid w:val="006658AD"/>
    <w:rsid w:val="00665909"/>
    <w:rsid w:val="00665ADF"/>
    <w:rsid w:val="00665D57"/>
    <w:rsid w:val="00665E05"/>
    <w:rsid w:val="00665FC6"/>
    <w:rsid w:val="00665FD0"/>
    <w:rsid w:val="00666337"/>
    <w:rsid w:val="0066638D"/>
    <w:rsid w:val="006664A4"/>
    <w:rsid w:val="006669AB"/>
    <w:rsid w:val="00666A1F"/>
    <w:rsid w:val="00666A5D"/>
    <w:rsid w:val="00666AEF"/>
    <w:rsid w:val="00666B50"/>
    <w:rsid w:val="00666D6F"/>
    <w:rsid w:val="00666DF3"/>
    <w:rsid w:val="00666DF8"/>
    <w:rsid w:val="00666E6B"/>
    <w:rsid w:val="00666EF3"/>
    <w:rsid w:val="00667005"/>
    <w:rsid w:val="00667010"/>
    <w:rsid w:val="00667104"/>
    <w:rsid w:val="00667305"/>
    <w:rsid w:val="00667508"/>
    <w:rsid w:val="00667812"/>
    <w:rsid w:val="006678C3"/>
    <w:rsid w:val="00667918"/>
    <w:rsid w:val="00667A79"/>
    <w:rsid w:val="00667A98"/>
    <w:rsid w:val="00667B00"/>
    <w:rsid w:val="00667CBF"/>
    <w:rsid w:val="00667EE2"/>
    <w:rsid w:val="0067040C"/>
    <w:rsid w:val="006704F4"/>
    <w:rsid w:val="006705A3"/>
    <w:rsid w:val="00670920"/>
    <w:rsid w:val="00670966"/>
    <w:rsid w:val="00670BC2"/>
    <w:rsid w:val="00670C14"/>
    <w:rsid w:val="00670CCA"/>
    <w:rsid w:val="00670DB0"/>
    <w:rsid w:val="00670DDE"/>
    <w:rsid w:val="0067120D"/>
    <w:rsid w:val="00671219"/>
    <w:rsid w:val="00671231"/>
    <w:rsid w:val="0067148B"/>
    <w:rsid w:val="006714E0"/>
    <w:rsid w:val="006716F5"/>
    <w:rsid w:val="006717C8"/>
    <w:rsid w:val="006718A3"/>
    <w:rsid w:val="00671955"/>
    <w:rsid w:val="00671988"/>
    <w:rsid w:val="006719E7"/>
    <w:rsid w:val="00671DE0"/>
    <w:rsid w:val="00671EDE"/>
    <w:rsid w:val="0067203A"/>
    <w:rsid w:val="00672062"/>
    <w:rsid w:val="00672120"/>
    <w:rsid w:val="0067227D"/>
    <w:rsid w:val="00672285"/>
    <w:rsid w:val="0067228D"/>
    <w:rsid w:val="0067233A"/>
    <w:rsid w:val="0067252F"/>
    <w:rsid w:val="00672650"/>
    <w:rsid w:val="006726FB"/>
    <w:rsid w:val="006727CF"/>
    <w:rsid w:val="0067283F"/>
    <w:rsid w:val="00672C48"/>
    <w:rsid w:val="00672DA8"/>
    <w:rsid w:val="00673197"/>
    <w:rsid w:val="0067327D"/>
    <w:rsid w:val="00673352"/>
    <w:rsid w:val="006735AD"/>
    <w:rsid w:val="006737B7"/>
    <w:rsid w:val="00673820"/>
    <w:rsid w:val="00673843"/>
    <w:rsid w:val="0067398E"/>
    <w:rsid w:val="00673C59"/>
    <w:rsid w:val="00673D9D"/>
    <w:rsid w:val="00673E03"/>
    <w:rsid w:val="0067401B"/>
    <w:rsid w:val="006741D7"/>
    <w:rsid w:val="006747D3"/>
    <w:rsid w:val="0067485C"/>
    <w:rsid w:val="00674883"/>
    <w:rsid w:val="006749C1"/>
    <w:rsid w:val="00674AC2"/>
    <w:rsid w:val="00674D00"/>
    <w:rsid w:val="00674FD6"/>
    <w:rsid w:val="006750D0"/>
    <w:rsid w:val="006750E3"/>
    <w:rsid w:val="006753AA"/>
    <w:rsid w:val="006753BE"/>
    <w:rsid w:val="006756B4"/>
    <w:rsid w:val="00675745"/>
    <w:rsid w:val="006757F5"/>
    <w:rsid w:val="0067591A"/>
    <w:rsid w:val="00675ADE"/>
    <w:rsid w:val="00675C1A"/>
    <w:rsid w:val="00675CC2"/>
    <w:rsid w:val="00675E4B"/>
    <w:rsid w:val="00676057"/>
    <w:rsid w:val="0067638A"/>
    <w:rsid w:val="006763DD"/>
    <w:rsid w:val="006764A6"/>
    <w:rsid w:val="006765C9"/>
    <w:rsid w:val="00676709"/>
    <w:rsid w:val="006767D6"/>
    <w:rsid w:val="006767F5"/>
    <w:rsid w:val="00676C75"/>
    <w:rsid w:val="00676CF7"/>
    <w:rsid w:val="00676E15"/>
    <w:rsid w:val="00676EE0"/>
    <w:rsid w:val="00676FBE"/>
    <w:rsid w:val="00676FEC"/>
    <w:rsid w:val="006770D5"/>
    <w:rsid w:val="00677138"/>
    <w:rsid w:val="006771CE"/>
    <w:rsid w:val="006772F5"/>
    <w:rsid w:val="00677446"/>
    <w:rsid w:val="00677484"/>
    <w:rsid w:val="00677671"/>
    <w:rsid w:val="00677743"/>
    <w:rsid w:val="00677769"/>
    <w:rsid w:val="00677773"/>
    <w:rsid w:val="00677906"/>
    <w:rsid w:val="00677B80"/>
    <w:rsid w:val="00677BA4"/>
    <w:rsid w:val="00677D93"/>
    <w:rsid w:val="00677F02"/>
    <w:rsid w:val="00677FB4"/>
    <w:rsid w:val="00680304"/>
    <w:rsid w:val="00680463"/>
    <w:rsid w:val="00680767"/>
    <w:rsid w:val="00680905"/>
    <w:rsid w:val="00680B86"/>
    <w:rsid w:val="00680BB3"/>
    <w:rsid w:val="00680C2B"/>
    <w:rsid w:val="00680C6D"/>
    <w:rsid w:val="00680DB9"/>
    <w:rsid w:val="00681038"/>
    <w:rsid w:val="00681460"/>
    <w:rsid w:val="00681581"/>
    <w:rsid w:val="00681726"/>
    <w:rsid w:val="00681764"/>
    <w:rsid w:val="00681C5B"/>
    <w:rsid w:val="00681FCA"/>
    <w:rsid w:val="00681FED"/>
    <w:rsid w:val="006821D0"/>
    <w:rsid w:val="0068237B"/>
    <w:rsid w:val="006824CC"/>
    <w:rsid w:val="00682756"/>
    <w:rsid w:val="006827AD"/>
    <w:rsid w:val="00682882"/>
    <w:rsid w:val="00682EA3"/>
    <w:rsid w:val="0068316C"/>
    <w:rsid w:val="006832E7"/>
    <w:rsid w:val="00683346"/>
    <w:rsid w:val="00683581"/>
    <w:rsid w:val="006835D2"/>
    <w:rsid w:val="0068368C"/>
    <w:rsid w:val="0068369A"/>
    <w:rsid w:val="00683709"/>
    <w:rsid w:val="00683718"/>
    <w:rsid w:val="00683793"/>
    <w:rsid w:val="00683985"/>
    <w:rsid w:val="00683B2F"/>
    <w:rsid w:val="00683F0A"/>
    <w:rsid w:val="00683F83"/>
    <w:rsid w:val="00683FCD"/>
    <w:rsid w:val="00683FE7"/>
    <w:rsid w:val="006842A5"/>
    <w:rsid w:val="006842C6"/>
    <w:rsid w:val="0068446B"/>
    <w:rsid w:val="006846A1"/>
    <w:rsid w:val="006846A8"/>
    <w:rsid w:val="006846B3"/>
    <w:rsid w:val="006848E3"/>
    <w:rsid w:val="006848FD"/>
    <w:rsid w:val="00684A85"/>
    <w:rsid w:val="00684AFB"/>
    <w:rsid w:val="00684B03"/>
    <w:rsid w:val="00684B7A"/>
    <w:rsid w:val="006850EC"/>
    <w:rsid w:val="00685174"/>
    <w:rsid w:val="00685191"/>
    <w:rsid w:val="00685365"/>
    <w:rsid w:val="006855E7"/>
    <w:rsid w:val="00685696"/>
    <w:rsid w:val="00685789"/>
    <w:rsid w:val="006857C6"/>
    <w:rsid w:val="00685AF2"/>
    <w:rsid w:val="00685B5F"/>
    <w:rsid w:val="00685C55"/>
    <w:rsid w:val="00685EF5"/>
    <w:rsid w:val="00685F3E"/>
    <w:rsid w:val="00685FDF"/>
    <w:rsid w:val="0068622B"/>
    <w:rsid w:val="006862E4"/>
    <w:rsid w:val="0068650C"/>
    <w:rsid w:val="0068680D"/>
    <w:rsid w:val="006868C6"/>
    <w:rsid w:val="00686997"/>
    <w:rsid w:val="00686A71"/>
    <w:rsid w:val="00686B42"/>
    <w:rsid w:val="00686DFF"/>
    <w:rsid w:val="00686EE5"/>
    <w:rsid w:val="006871A1"/>
    <w:rsid w:val="00687653"/>
    <w:rsid w:val="0068774F"/>
    <w:rsid w:val="006878A9"/>
    <w:rsid w:val="0068795F"/>
    <w:rsid w:val="00687B88"/>
    <w:rsid w:val="00687ED3"/>
    <w:rsid w:val="00690010"/>
    <w:rsid w:val="00690686"/>
    <w:rsid w:val="00690AE5"/>
    <w:rsid w:val="00690B08"/>
    <w:rsid w:val="00690CAE"/>
    <w:rsid w:val="00690F83"/>
    <w:rsid w:val="0069101D"/>
    <w:rsid w:val="006910C9"/>
    <w:rsid w:val="0069123E"/>
    <w:rsid w:val="0069171F"/>
    <w:rsid w:val="006918BF"/>
    <w:rsid w:val="006918F0"/>
    <w:rsid w:val="00691913"/>
    <w:rsid w:val="00691A65"/>
    <w:rsid w:val="00691BE6"/>
    <w:rsid w:val="00691CBD"/>
    <w:rsid w:val="00691D39"/>
    <w:rsid w:val="00691D3F"/>
    <w:rsid w:val="00691DC2"/>
    <w:rsid w:val="00691FA6"/>
    <w:rsid w:val="0069221C"/>
    <w:rsid w:val="0069228D"/>
    <w:rsid w:val="006922CB"/>
    <w:rsid w:val="0069238A"/>
    <w:rsid w:val="006925F2"/>
    <w:rsid w:val="006927B6"/>
    <w:rsid w:val="006928C2"/>
    <w:rsid w:val="00692CD8"/>
    <w:rsid w:val="00692F7D"/>
    <w:rsid w:val="0069313E"/>
    <w:rsid w:val="0069328C"/>
    <w:rsid w:val="00693345"/>
    <w:rsid w:val="00693399"/>
    <w:rsid w:val="00693603"/>
    <w:rsid w:val="00693618"/>
    <w:rsid w:val="00693657"/>
    <w:rsid w:val="006937F1"/>
    <w:rsid w:val="00693870"/>
    <w:rsid w:val="00693AE7"/>
    <w:rsid w:val="00693AEA"/>
    <w:rsid w:val="00693B57"/>
    <w:rsid w:val="00694135"/>
    <w:rsid w:val="00694193"/>
    <w:rsid w:val="006942FC"/>
    <w:rsid w:val="00694434"/>
    <w:rsid w:val="006944B2"/>
    <w:rsid w:val="0069459C"/>
    <w:rsid w:val="00694C61"/>
    <w:rsid w:val="00694C87"/>
    <w:rsid w:val="00694CF1"/>
    <w:rsid w:val="00694D59"/>
    <w:rsid w:val="00694F14"/>
    <w:rsid w:val="006951E6"/>
    <w:rsid w:val="00695287"/>
    <w:rsid w:val="00695810"/>
    <w:rsid w:val="006958A1"/>
    <w:rsid w:val="006958BF"/>
    <w:rsid w:val="0069591E"/>
    <w:rsid w:val="006959AA"/>
    <w:rsid w:val="00695A0B"/>
    <w:rsid w:val="00695A3A"/>
    <w:rsid w:val="00695AE6"/>
    <w:rsid w:val="00695D0B"/>
    <w:rsid w:val="00695D17"/>
    <w:rsid w:val="00695F9A"/>
    <w:rsid w:val="006960D3"/>
    <w:rsid w:val="006960FE"/>
    <w:rsid w:val="00696583"/>
    <w:rsid w:val="00696673"/>
    <w:rsid w:val="0069667A"/>
    <w:rsid w:val="00696905"/>
    <w:rsid w:val="00696E11"/>
    <w:rsid w:val="00696E30"/>
    <w:rsid w:val="00696ED9"/>
    <w:rsid w:val="00696F95"/>
    <w:rsid w:val="0069706C"/>
    <w:rsid w:val="006971BC"/>
    <w:rsid w:val="0069728F"/>
    <w:rsid w:val="00697479"/>
    <w:rsid w:val="0069748B"/>
    <w:rsid w:val="006974E8"/>
    <w:rsid w:val="006974FA"/>
    <w:rsid w:val="00697502"/>
    <w:rsid w:val="00697588"/>
    <w:rsid w:val="00697915"/>
    <w:rsid w:val="00697958"/>
    <w:rsid w:val="00697A1D"/>
    <w:rsid w:val="00697A7A"/>
    <w:rsid w:val="00697C02"/>
    <w:rsid w:val="00697CD8"/>
    <w:rsid w:val="00697DC4"/>
    <w:rsid w:val="00697E87"/>
    <w:rsid w:val="00697F73"/>
    <w:rsid w:val="00697F7F"/>
    <w:rsid w:val="006A01C4"/>
    <w:rsid w:val="006A052D"/>
    <w:rsid w:val="006A074F"/>
    <w:rsid w:val="006A0860"/>
    <w:rsid w:val="006A0947"/>
    <w:rsid w:val="006A0B12"/>
    <w:rsid w:val="006A0C68"/>
    <w:rsid w:val="006A0D1B"/>
    <w:rsid w:val="006A0DD1"/>
    <w:rsid w:val="006A0F12"/>
    <w:rsid w:val="006A0F35"/>
    <w:rsid w:val="006A1041"/>
    <w:rsid w:val="006A118E"/>
    <w:rsid w:val="006A1265"/>
    <w:rsid w:val="006A138B"/>
    <w:rsid w:val="006A138C"/>
    <w:rsid w:val="006A13F1"/>
    <w:rsid w:val="006A1417"/>
    <w:rsid w:val="006A14C0"/>
    <w:rsid w:val="006A1569"/>
    <w:rsid w:val="006A15B9"/>
    <w:rsid w:val="006A15DD"/>
    <w:rsid w:val="006A1747"/>
    <w:rsid w:val="006A17D9"/>
    <w:rsid w:val="006A1900"/>
    <w:rsid w:val="006A1909"/>
    <w:rsid w:val="006A19E9"/>
    <w:rsid w:val="006A1B54"/>
    <w:rsid w:val="006A1BAB"/>
    <w:rsid w:val="006A20F6"/>
    <w:rsid w:val="006A2182"/>
    <w:rsid w:val="006A239A"/>
    <w:rsid w:val="006A23E5"/>
    <w:rsid w:val="006A2674"/>
    <w:rsid w:val="006A267F"/>
    <w:rsid w:val="006A28FE"/>
    <w:rsid w:val="006A2C82"/>
    <w:rsid w:val="006A2FEA"/>
    <w:rsid w:val="006A3397"/>
    <w:rsid w:val="006A33CD"/>
    <w:rsid w:val="006A3454"/>
    <w:rsid w:val="006A392F"/>
    <w:rsid w:val="006A39F7"/>
    <w:rsid w:val="006A3A48"/>
    <w:rsid w:val="006A3C17"/>
    <w:rsid w:val="006A3C3E"/>
    <w:rsid w:val="006A3CCC"/>
    <w:rsid w:val="006A3EFF"/>
    <w:rsid w:val="006A4137"/>
    <w:rsid w:val="006A4239"/>
    <w:rsid w:val="006A42BF"/>
    <w:rsid w:val="006A42C0"/>
    <w:rsid w:val="006A455A"/>
    <w:rsid w:val="006A45A2"/>
    <w:rsid w:val="006A4661"/>
    <w:rsid w:val="006A46F8"/>
    <w:rsid w:val="006A4765"/>
    <w:rsid w:val="006A4768"/>
    <w:rsid w:val="006A4780"/>
    <w:rsid w:val="006A4894"/>
    <w:rsid w:val="006A4987"/>
    <w:rsid w:val="006A4A4D"/>
    <w:rsid w:val="006A4A5D"/>
    <w:rsid w:val="006A4AD4"/>
    <w:rsid w:val="006A4F2A"/>
    <w:rsid w:val="006A4FA7"/>
    <w:rsid w:val="006A5016"/>
    <w:rsid w:val="006A51E5"/>
    <w:rsid w:val="006A536D"/>
    <w:rsid w:val="006A543F"/>
    <w:rsid w:val="006A55D0"/>
    <w:rsid w:val="006A5639"/>
    <w:rsid w:val="006A574F"/>
    <w:rsid w:val="006A57B2"/>
    <w:rsid w:val="006A59DF"/>
    <w:rsid w:val="006A5ACF"/>
    <w:rsid w:val="006A5B6A"/>
    <w:rsid w:val="006A5CCA"/>
    <w:rsid w:val="006A5D3A"/>
    <w:rsid w:val="006A5DB3"/>
    <w:rsid w:val="006A5E8B"/>
    <w:rsid w:val="006A60A6"/>
    <w:rsid w:val="006A60EF"/>
    <w:rsid w:val="006A60F4"/>
    <w:rsid w:val="006A6437"/>
    <w:rsid w:val="006A6554"/>
    <w:rsid w:val="006A65B0"/>
    <w:rsid w:val="006A6609"/>
    <w:rsid w:val="006A678E"/>
    <w:rsid w:val="006A681F"/>
    <w:rsid w:val="006A6843"/>
    <w:rsid w:val="006A696A"/>
    <w:rsid w:val="006A69C5"/>
    <w:rsid w:val="006A6AEB"/>
    <w:rsid w:val="006A6B24"/>
    <w:rsid w:val="006A6C42"/>
    <w:rsid w:val="006A6D18"/>
    <w:rsid w:val="006A6E5E"/>
    <w:rsid w:val="006A6EB1"/>
    <w:rsid w:val="006A6FB7"/>
    <w:rsid w:val="006A7B67"/>
    <w:rsid w:val="006A7E55"/>
    <w:rsid w:val="006A7ED6"/>
    <w:rsid w:val="006A7F66"/>
    <w:rsid w:val="006A7F75"/>
    <w:rsid w:val="006A7F83"/>
    <w:rsid w:val="006A7FCA"/>
    <w:rsid w:val="006A7FDF"/>
    <w:rsid w:val="006B0031"/>
    <w:rsid w:val="006B0082"/>
    <w:rsid w:val="006B011C"/>
    <w:rsid w:val="006B0151"/>
    <w:rsid w:val="006B0248"/>
    <w:rsid w:val="006B02C0"/>
    <w:rsid w:val="006B0480"/>
    <w:rsid w:val="006B0499"/>
    <w:rsid w:val="006B0536"/>
    <w:rsid w:val="006B09AC"/>
    <w:rsid w:val="006B0A06"/>
    <w:rsid w:val="006B0B46"/>
    <w:rsid w:val="006B0B67"/>
    <w:rsid w:val="006B1177"/>
    <w:rsid w:val="006B126C"/>
    <w:rsid w:val="006B130F"/>
    <w:rsid w:val="006B140A"/>
    <w:rsid w:val="006B142A"/>
    <w:rsid w:val="006B1527"/>
    <w:rsid w:val="006B15F5"/>
    <w:rsid w:val="006B16FF"/>
    <w:rsid w:val="006B1A75"/>
    <w:rsid w:val="006B1C58"/>
    <w:rsid w:val="006B1D7E"/>
    <w:rsid w:val="006B1DF9"/>
    <w:rsid w:val="006B1EEF"/>
    <w:rsid w:val="006B210E"/>
    <w:rsid w:val="006B2355"/>
    <w:rsid w:val="006B23C1"/>
    <w:rsid w:val="006B23D3"/>
    <w:rsid w:val="006B24EC"/>
    <w:rsid w:val="006B27D1"/>
    <w:rsid w:val="006B281C"/>
    <w:rsid w:val="006B2881"/>
    <w:rsid w:val="006B2976"/>
    <w:rsid w:val="006B2990"/>
    <w:rsid w:val="006B29A0"/>
    <w:rsid w:val="006B2B7D"/>
    <w:rsid w:val="006B2CEC"/>
    <w:rsid w:val="006B2D1E"/>
    <w:rsid w:val="006B3233"/>
    <w:rsid w:val="006B3299"/>
    <w:rsid w:val="006B32AD"/>
    <w:rsid w:val="006B338D"/>
    <w:rsid w:val="006B34D0"/>
    <w:rsid w:val="006B3675"/>
    <w:rsid w:val="006B376C"/>
    <w:rsid w:val="006B378A"/>
    <w:rsid w:val="006B383B"/>
    <w:rsid w:val="006B3A62"/>
    <w:rsid w:val="006B3CA9"/>
    <w:rsid w:val="006B3CE8"/>
    <w:rsid w:val="006B3DFF"/>
    <w:rsid w:val="006B3F19"/>
    <w:rsid w:val="006B43AC"/>
    <w:rsid w:val="006B43EE"/>
    <w:rsid w:val="006B4439"/>
    <w:rsid w:val="006B44B0"/>
    <w:rsid w:val="006B4588"/>
    <w:rsid w:val="006B4767"/>
    <w:rsid w:val="006B478A"/>
    <w:rsid w:val="006B4944"/>
    <w:rsid w:val="006B4A82"/>
    <w:rsid w:val="006B4B3C"/>
    <w:rsid w:val="006B4BEB"/>
    <w:rsid w:val="006B4C93"/>
    <w:rsid w:val="006B4CBF"/>
    <w:rsid w:val="006B4CD4"/>
    <w:rsid w:val="006B4E39"/>
    <w:rsid w:val="006B506E"/>
    <w:rsid w:val="006B513D"/>
    <w:rsid w:val="006B51B9"/>
    <w:rsid w:val="006B5321"/>
    <w:rsid w:val="006B53A7"/>
    <w:rsid w:val="006B54F5"/>
    <w:rsid w:val="006B5708"/>
    <w:rsid w:val="006B5C50"/>
    <w:rsid w:val="006B5CD8"/>
    <w:rsid w:val="006B5CEF"/>
    <w:rsid w:val="006B5D29"/>
    <w:rsid w:val="006B5D77"/>
    <w:rsid w:val="006B5F90"/>
    <w:rsid w:val="006B6044"/>
    <w:rsid w:val="006B6180"/>
    <w:rsid w:val="006B6248"/>
    <w:rsid w:val="006B6580"/>
    <w:rsid w:val="006B68D7"/>
    <w:rsid w:val="006B6AAA"/>
    <w:rsid w:val="006B6CD5"/>
    <w:rsid w:val="006B6DE4"/>
    <w:rsid w:val="006B6E37"/>
    <w:rsid w:val="006B6E7E"/>
    <w:rsid w:val="006B6E9D"/>
    <w:rsid w:val="006B6F3C"/>
    <w:rsid w:val="006B74F6"/>
    <w:rsid w:val="006B7555"/>
    <w:rsid w:val="006B75F1"/>
    <w:rsid w:val="006B7744"/>
    <w:rsid w:val="006B77C7"/>
    <w:rsid w:val="006B7899"/>
    <w:rsid w:val="006B789A"/>
    <w:rsid w:val="006B791E"/>
    <w:rsid w:val="006B792F"/>
    <w:rsid w:val="006B7D63"/>
    <w:rsid w:val="006B7F93"/>
    <w:rsid w:val="006B7FCF"/>
    <w:rsid w:val="006C014A"/>
    <w:rsid w:val="006C01E5"/>
    <w:rsid w:val="006C0548"/>
    <w:rsid w:val="006C0668"/>
    <w:rsid w:val="006C079B"/>
    <w:rsid w:val="006C0952"/>
    <w:rsid w:val="006C0971"/>
    <w:rsid w:val="006C0974"/>
    <w:rsid w:val="006C0A49"/>
    <w:rsid w:val="006C0B8B"/>
    <w:rsid w:val="006C0B92"/>
    <w:rsid w:val="006C0BC8"/>
    <w:rsid w:val="006C0BEF"/>
    <w:rsid w:val="006C0C9D"/>
    <w:rsid w:val="006C0ECF"/>
    <w:rsid w:val="006C16A2"/>
    <w:rsid w:val="006C1967"/>
    <w:rsid w:val="006C1BB0"/>
    <w:rsid w:val="006C1BC9"/>
    <w:rsid w:val="006C1CC9"/>
    <w:rsid w:val="006C1D21"/>
    <w:rsid w:val="006C1D33"/>
    <w:rsid w:val="006C1DB3"/>
    <w:rsid w:val="006C1E0E"/>
    <w:rsid w:val="006C2383"/>
    <w:rsid w:val="006C2522"/>
    <w:rsid w:val="006C2662"/>
    <w:rsid w:val="006C26A6"/>
    <w:rsid w:val="006C26FA"/>
    <w:rsid w:val="006C2777"/>
    <w:rsid w:val="006C28C0"/>
    <w:rsid w:val="006C28C8"/>
    <w:rsid w:val="006C2A2B"/>
    <w:rsid w:val="006C2A49"/>
    <w:rsid w:val="006C2A61"/>
    <w:rsid w:val="006C2ABB"/>
    <w:rsid w:val="006C2B68"/>
    <w:rsid w:val="006C2C04"/>
    <w:rsid w:val="006C2D08"/>
    <w:rsid w:val="006C2F0E"/>
    <w:rsid w:val="006C346A"/>
    <w:rsid w:val="006C37BF"/>
    <w:rsid w:val="006C380F"/>
    <w:rsid w:val="006C39EA"/>
    <w:rsid w:val="006C401A"/>
    <w:rsid w:val="006C40D1"/>
    <w:rsid w:val="006C418B"/>
    <w:rsid w:val="006C41E4"/>
    <w:rsid w:val="006C420F"/>
    <w:rsid w:val="006C4269"/>
    <w:rsid w:val="006C4282"/>
    <w:rsid w:val="006C42EA"/>
    <w:rsid w:val="006C4567"/>
    <w:rsid w:val="006C4677"/>
    <w:rsid w:val="006C4831"/>
    <w:rsid w:val="006C484F"/>
    <w:rsid w:val="006C4906"/>
    <w:rsid w:val="006C4907"/>
    <w:rsid w:val="006C4917"/>
    <w:rsid w:val="006C4E84"/>
    <w:rsid w:val="006C504B"/>
    <w:rsid w:val="006C51BB"/>
    <w:rsid w:val="006C523E"/>
    <w:rsid w:val="006C5307"/>
    <w:rsid w:val="006C5314"/>
    <w:rsid w:val="006C5392"/>
    <w:rsid w:val="006C5394"/>
    <w:rsid w:val="006C53F1"/>
    <w:rsid w:val="006C55BC"/>
    <w:rsid w:val="006C574B"/>
    <w:rsid w:val="006C5798"/>
    <w:rsid w:val="006C586B"/>
    <w:rsid w:val="006C5B73"/>
    <w:rsid w:val="006C5ECF"/>
    <w:rsid w:val="006C5F5F"/>
    <w:rsid w:val="006C6091"/>
    <w:rsid w:val="006C623E"/>
    <w:rsid w:val="006C6544"/>
    <w:rsid w:val="006C6558"/>
    <w:rsid w:val="006C66D3"/>
    <w:rsid w:val="006C683D"/>
    <w:rsid w:val="006C686E"/>
    <w:rsid w:val="006C6AA6"/>
    <w:rsid w:val="006C6D7E"/>
    <w:rsid w:val="006C6D94"/>
    <w:rsid w:val="006C6EE5"/>
    <w:rsid w:val="006C7115"/>
    <w:rsid w:val="006C7172"/>
    <w:rsid w:val="006C72CB"/>
    <w:rsid w:val="006C76CD"/>
    <w:rsid w:val="006C792F"/>
    <w:rsid w:val="006C7B3F"/>
    <w:rsid w:val="006C7D8F"/>
    <w:rsid w:val="006C7ECB"/>
    <w:rsid w:val="006C7F9E"/>
    <w:rsid w:val="006D0142"/>
    <w:rsid w:val="006D015F"/>
    <w:rsid w:val="006D0281"/>
    <w:rsid w:val="006D096E"/>
    <w:rsid w:val="006D09F0"/>
    <w:rsid w:val="006D0A1A"/>
    <w:rsid w:val="006D0DFE"/>
    <w:rsid w:val="006D0E22"/>
    <w:rsid w:val="006D0E70"/>
    <w:rsid w:val="006D0E76"/>
    <w:rsid w:val="006D0FD9"/>
    <w:rsid w:val="006D1234"/>
    <w:rsid w:val="006D132B"/>
    <w:rsid w:val="006D14F4"/>
    <w:rsid w:val="006D1920"/>
    <w:rsid w:val="006D1DA3"/>
    <w:rsid w:val="006D2400"/>
    <w:rsid w:val="006D2483"/>
    <w:rsid w:val="006D26FE"/>
    <w:rsid w:val="006D2738"/>
    <w:rsid w:val="006D2858"/>
    <w:rsid w:val="006D2ADA"/>
    <w:rsid w:val="006D2C11"/>
    <w:rsid w:val="006D2E77"/>
    <w:rsid w:val="006D2F91"/>
    <w:rsid w:val="006D3174"/>
    <w:rsid w:val="006D3271"/>
    <w:rsid w:val="006D33C5"/>
    <w:rsid w:val="006D35A6"/>
    <w:rsid w:val="006D362E"/>
    <w:rsid w:val="006D3725"/>
    <w:rsid w:val="006D37ED"/>
    <w:rsid w:val="006D3B90"/>
    <w:rsid w:val="006D3C0C"/>
    <w:rsid w:val="006D3CA1"/>
    <w:rsid w:val="006D3CF2"/>
    <w:rsid w:val="006D3FDC"/>
    <w:rsid w:val="006D4268"/>
    <w:rsid w:val="006D42CE"/>
    <w:rsid w:val="006D43DF"/>
    <w:rsid w:val="006D4670"/>
    <w:rsid w:val="006D4700"/>
    <w:rsid w:val="006D470D"/>
    <w:rsid w:val="006D4875"/>
    <w:rsid w:val="006D4898"/>
    <w:rsid w:val="006D4929"/>
    <w:rsid w:val="006D4AD3"/>
    <w:rsid w:val="006D4C11"/>
    <w:rsid w:val="006D4E1F"/>
    <w:rsid w:val="006D50D2"/>
    <w:rsid w:val="006D5182"/>
    <w:rsid w:val="006D5508"/>
    <w:rsid w:val="006D56FF"/>
    <w:rsid w:val="006D5845"/>
    <w:rsid w:val="006D5A61"/>
    <w:rsid w:val="006D5B6E"/>
    <w:rsid w:val="006D5B79"/>
    <w:rsid w:val="006D5BF0"/>
    <w:rsid w:val="006D5D03"/>
    <w:rsid w:val="006D5D70"/>
    <w:rsid w:val="006D5F43"/>
    <w:rsid w:val="006D608B"/>
    <w:rsid w:val="006D6179"/>
    <w:rsid w:val="006D6343"/>
    <w:rsid w:val="006D6558"/>
    <w:rsid w:val="006D6654"/>
    <w:rsid w:val="006D6706"/>
    <w:rsid w:val="006D6759"/>
    <w:rsid w:val="006D6831"/>
    <w:rsid w:val="006D6C7E"/>
    <w:rsid w:val="006D6EEA"/>
    <w:rsid w:val="006D701A"/>
    <w:rsid w:val="006D714F"/>
    <w:rsid w:val="006D719E"/>
    <w:rsid w:val="006D719F"/>
    <w:rsid w:val="006D749F"/>
    <w:rsid w:val="006D74B5"/>
    <w:rsid w:val="006D7555"/>
    <w:rsid w:val="006D78B7"/>
    <w:rsid w:val="006D790B"/>
    <w:rsid w:val="006D7A11"/>
    <w:rsid w:val="006D7AE1"/>
    <w:rsid w:val="006D7B05"/>
    <w:rsid w:val="006D7CBB"/>
    <w:rsid w:val="006D7D25"/>
    <w:rsid w:val="006E0178"/>
    <w:rsid w:val="006E03DB"/>
    <w:rsid w:val="006E03E6"/>
    <w:rsid w:val="006E044C"/>
    <w:rsid w:val="006E0760"/>
    <w:rsid w:val="006E082C"/>
    <w:rsid w:val="006E08C3"/>
    <w:rsid w:val="006E0A31"/>
    <w:rsid w:val="006E0AE8"/>
    <w:rsid w:val="006E0B7E"/>
    <w:rsid w:val="006E0C0B"/>
    <w:rsid w:val="006E0D70"/>
    <w:rsid w:val="006E0F6A"/>
    <w:rsid w:val="006E0FC3"/>
    <w:rsid w:val="006E0FED"/>
    <w:rsid w:val="006E1175"/>
    <w:rsid w:val="006E12DD"/>
    <w:rsid w:val="006E1ADC"/>
    <w:rsid w:val="006E1B62"/>
    <w:rsid w:val="006E20AE"/>
    <w:rsid w:val="006E228B"/>
    <w:rsid w:val="006E239F"/>
    <w:rsid w:val="006E24F4"/>
    <w:rsid w:val="006E263D"/>
    <w:rsid w:val="006E266E"/>
    <w:rsid w:val="006E28A3"/>
    <w:rsid w:val="006E28AC"/>
    <w:rsid w:val="006E2C3B"/>
    <w:rsid w:val="006E2E03"/>
    <w:rsid w:val="006E2E69"/>
    <w:rsid w:val="006E2F37"/>
    <w:rsid w:val="006E2FC3"/>
    <w:rsid w:val="006E319C"/>
    <w:rsid w:val="006E32D8"/>
    <w:rsid w:val="006E3337"/>
    <w:rsid w:val="006E3375"/>
    <w:rsid w:val="006E358D"/>
    <w:rsid w:val="006E3729"/>
    <w:rsid w:val="006E3CC5"/>
    <w:rsid w:val="006E3D47"/>
    <w:rsid w:val="006E3E1D"/>
    <w:rsid w:val="006E3F71"/>
    <w:rsid w:val="006E4257"/>
    <w:rsid w:val="006E43DC"/>
    <w:rsid w:val="006E4566"/>
    <w:rsid w:val="006E4711"/>
    <w:rsid w:val="006E4A0B"/>
    <w:rsid w:val="006E4E35"/>
    <w:rsid w:val="006E4F91"/>
    <w:rsid w:val="006E5019"/>
    <w:rsid w:val="006E5049"/>
    <w:rsid w:val="006E509A"/>
    <w:rsid w:val="006E5143"/>
    <w:rsid w:val="006E5173"/>
    <w:rsid w:val="006E5383"/>
    <w:rsid w:val="006E53FC"/>
    <w:rsid w:val="006E58A7"/>
    <w:rsid w:val="006E5948"/>
    <w:rsid w:val="006E599B"/>
    <w:rsid w:val="006E59C7"/>
    <w:rsid w:val="006E5B16"/>
    <w:rsid w:val="006E5B60"/>
    <w:rsid w:val="006E5C5D"/>
    <w:rsid w:val="006E5CF8"/>
    <w:rsid w:val="006E5D0C"/>
    <w:rsid w:val="006E6069"/>
    <w:rsid w:val="006E6090"/>
    <w:rsid w:val="006E62CC"/>
    <w:rsid w:val="006E6344"/>
    <w:rsid w:val="006E635C"/>
    <w:rsid w:val="006E6401"/>
    <w:rsid w:val="006E66B4"/>
    <w:rsid w:val="006E68C9"/>
    <w:rsid w:val="006E69C3"/>
    <w:rsid w:val="006E6A04"/>
    <w:rsid w:val="006E6AC5"/>
    <w:rsid w:val="006E6DCF"/>
    <w:rsid w:val="006E6DDD"/>
    <w:rsid w:val="006E6F7C"/>
    <w:rsid w:val="006E72E3"/>
    <w:rsid w:val="006E7302"/>
    <w:rsid w:val="006E7382"/>
    <w:rsid w:val="006E73E9"/>
    <w:rsid w:val="006E741D"/>
    <w:rsid w:val="006E75D6"/>
    <w:rsid w:val="006E7713"/>
    <w:rsid w:val="006E777D"/>
    <w:rsid w:val="006E7799"/>
    <w:rsid w:val="006E78BA"/>
    <w:rsid w:val="006E79BB"/>
    <w:rsid w:val="006E7C16"/>
    <w:rsid w:val="006E7C5D"/>
    <w:rsid w:val="006E7D0D"/>
    <w:rsid w:val="006E7F0D"/>
    <w:rsid w:val="006F005D"/>
    <w:rsid w:val="006F0257"/>
    <w:rsid w:val="006F0768"/>
    <w:rsid w:val="006F07A5"/>
    <w:rsid w:val="006F0962"/>
    <w:rsid w:val="006F09A1"/>
    <w:rsid w:val="006F09A9"/>
    <w:rsid w:val="006F0D9B"/>
    <w:rsid w:val="006F1133"/>
    <w:rsid w:val="006F12B3"/>
    <w:rsid w:val="006F12B8"/>
    <w:rsid w:val="006F1338"/>
    <w:rsid w:val="006F161E"/>
    <w:rsid w:val="006F16DA"/>
    <w:rsid w:val="006F171A"/>
    <w:rsid w:val="006F197C"/>
    <w:rsid w:val="006F1B75"/>
    <w:rsid w:val="006F1BB3"/>
    <w:rsid w:val="006F1F49"/>
    <w:rsid w:val="006F2005"/>
    <w:rsid w:val="006F204F"/>
    <w:rsid w:val="006F2083"/>
    <w:rsid w:val="006F213F"/>
    <w:rsid w:val="006F21CC"/>
    <w:rsid w:val="006F26DB"/>
    <w:rsid w:val="006F27AF"/>
    <w:rsid w:val="006F27D0"/>
    <w:rsid w:val="006F29DD"/>
    <w:rsid w:val="006F2B4A"/>
    <w:rsid w:val="006F34CD"/>
    <w:rsid w:val="006F350A"/>
    <w:rsid w:val="006F3573"/>
    <w:rsid w:val="006F35F8"/>
    <w:rsid w:val="006F36C6"/>
    <w:rsid w:val="006F380E"/>
    <w:rsid w:val="006F382B"/>
    <w:rsid w:val="006F3AA8"/>
    <w:rsid w:val="006F3DED"/>
    <w:rsid w:val="006F3F13"/>
    <w:rsid w:val="006F4350"/>
    <w:rsid w:val="006F446C"/>
    <w:rsid w:val="006F4A79"/>
    <w:rsid w:val="006F4C07"/>
    <w:rsid w:val="006F4DA4"/>
    <w:rsid w:val="006F4F06"/>
    <w:rsid w:val="006F4F55"/>
    <w:rsid w:val="006F51E5"/>
    <w:rsid w:val="006F5270"/>
    <w:rsid w:val="006F5448"/>
    <w:rsid w:val="006F5A00"/>
    <w:rsid w:val="006F5AF5"/>
    <w:rsid w:val="006F5B5C"/>
    <w:rsid w:val="006F5B88"/>
    <w:rsid w:val="006F5C40"/>
    <w:rsid w:val="006F5D1D"/>
    <w:rsid w:val="006F5D26"/>
    <w:rsid w:val="006F60CF"/>
    <w:rsid w:val="006F60E6"/>
    <w:rsid w:val="006F6295"/>
    <w:rsid w:val="006F662A"/>
    <w:rsid w:val="006F663D"/>
    <w:rsid w:val="006F6850"/>
    <w:rsid w:val="006F6891"/>
    <w:rsid w:val="006F68DA"/>
    <w:rsid w:val="006F6A68"/>
    <w:rsid w:val="006F6B92"/>
    <w:rsid w:val="006F6CAB"/>
    <w:rsid w:val="006F6EF2"/>
    <w:rsid w:val="006F7010"/>
    <w:rsid w:val="006F7287"/>
    <w:rsid w:val="006F7418"/>
    <w:rsid w:val="006F7453"/>
    <w:rsid w:val="006F79D4"/>
    <w:rsid w:val="006F7B45"/>
    <w:rsid w:val="006F7F9A"/>
    <w:rsid w:val="006F7FD8"/>
    <w:rsid w:val="006F7FD9"/>
    <w:rsid w:val="007000F0"/>
    <w:rsid w:val="00700111"/>
    <w:rsid w:val="00700121"/>
    <w:rsid w:val="007004D9"/>
    <w:rsid w:val="00700674"/>
    <w:rsid w:val="00700677"/>
    <w:rsid w:val="00700691"/>
    <w:rsid w:val="007007AD"/>
    <w:rsid w:val="007007D7"/>
    <w:rsid w:val="00700880"/>
    <w:rsid w:val="0070091A"/>
    <w:rsid w:val="00700A4D"/>
    <w:rsid w:val="00700ABC"/>
    <w:rsid w:val="00700FE7"/>
    <w:rsid w:val="00701096"/>
    <w:rsid w:val="00701231"/>
    <w:rsid w:val="0070132F"/>
    <w:rsid w:val="00701443"/>
    <w:rsid w:val="0070152A"/>
    <w:rsid w:val="007015D3"/>
    <w:rsid w:val="007017D2"/>
    <w:rsid w:val="00701953"/>
    <w:rsid w:val="007019AA"/>
    <w:rsid w:val="00701AED"/>
    <w:rsid w:val="00701C00"/>
    <w:rsid w:val="00701D18"/>
    <w:rsid w:val="00701F1D"/>
    <w:rsid w:val="00702013"/>
    <w:rsid w:val="0070206E"/>
    <w:rsid w:val="007020E2"/>
    <w:rsid w:val="007022B3"/>
    <w:rsid w:val="0070232E"/>
    <w:rsid w:val="00702414"/>
    <w:rsid w:val="0070252B"/>
    <w:rsid w:val="00702672"/>
    <w:rsid w:val="0070271F"/>
    <w:rsid w:val="0070276E"/>
    <w:rsid w:val="007028AF"/>
    <w:rsid w:val="00702AD8"/>
    <w:rsid w:val="00702BD2"/>
    <w:rsid w:val="00702F2D"/>
    <w:rsid w:val="00702F94"/>
    <w:rsid w:val="007030C4"/>
    <w:rsid w:val="007030F9"/>
    <w:rsid w:val="00703304"/>
    <w:rsid w:val="00703418"/>
    <w:rsid w:val="00703702"/>
    <w:rsid w:val="0070396A"/>
    <w:rsid w:val="00703A54"/>
    <w:rsid w:val="00703B0F"/>
    <w:rsid w:val="00703E51"/>
    <w:rsid w:val="00703E9D"/>
    <w:rsid w:val="00703F9F"/>
    <w:rsid w:val="00703FF0"/>
    <w:rsid w:val="00704005"/>
    <w:rsid w:val="0070414E"/>
    <w:rsid w:val="00704205"/>
    <w:rsid w:val="00704575"/>
    <w:rsid w:val="0070459F"/>
    <w:rsid w:val="007046AA"/>
    <w:rsid w:val="00704900"/>
    <w:rsid w:val="00704D8B"/>
    <w:rsid w:val="00704E08"/>
    <w:rsid w:val="00704E82"/>
    <w:rsid w:val="00704EDE"/>
    <w:rsid w:val="00704F56"/>
    <w:rsid w:val="00704F97"/>
    <w:rsid w:val="00705591"/>
    <w:rsid w:val="00705818"/>
    <w:rsid w:val="007058FF"/>
    <w:rsid w:val="00705C5D"/>
    <w:rsid w:val="00705E70"/>
    <w:rsid w:val="00705ED0"/>
    <w:rsid w:val="00705F0B"/>
    <w:rsid w:val="00706072"/>
    <w:rsid w:val="007060A6"/>
    <w:rsid w:val="0070615B"/>
    <w:rsid w:val="007061AA"/>
    <w:rsid w:val="007062B0"/>
    <w:rsid w:val="007062F3"/>
    <w:rsid w:val="007063D3"/>
    <w:rsid w:val="007066CB"/>
    <w:rsid w:val="00706775"/>
    <w:rsid w:val="007067A7"/>
    <w:rsid w:val="0070685E"/>
    <w:rsid w:val="007068AE"/>
    <w:rsid w:val="007069A2"/>
    <w:rsid w:val="007069D9"/>
    <w:rsid w:val="00706A54"/>
    <w:rsid w:val="00706C17"/>
    <w:rsid w:val="00706D42"/>
    <w:rsid w:val="00706EA0"/>
    <w:rsid w:val="00707092"/>
    <w:rsid w:val="007070E5"/>
    <w:rsid w:val="00707144"/>
    <w:rsid w:val="00707657"/>
    <w:rsid w:val="007079E9"/>
    <w:rsid w:val="00707B81"/>
    <w:rsid w:val="00707BF2"/>
    <w:rsid w:val="00707BFB"/>
    <w:rsid w:val="00707C6C"/>
    <w:rsid w:val="00707CB5"/>
    <w:rsid w:val="00707D5B"/>
    <w:rsid w:val="00707D97"/>
    <w:rsid w:val="00707E4A"/>
    <w:rsid w:val="00707E5A"/>
    <w:rsid w:val="00707FB1"/>
    <w:rsid w:val="0071016C"/>
    <w:rsid w:val="0071020D"/>
    <w:rsid w:val="0071024D"/>
    <w:rsid w:val="00710485"/>
    <w:rsid w:val="007104C4"/>
    <w:rsid w:val="00710559"/>
    <w:rsid w:val="00710677"/>
    <w:rsid w:val="007106B0"/>
    <w:rsid w:val="007109D8"/>
    <w:rsid w:val="00710B0A"/>
    <w:rsid w:val="00710B5E"/>
    <w:rsid w:val="00710BC2"/>
    <w:rsid w:val="00710BD6"/>
    <w:rsid w:val="00710C97"/>
    <w:rsid w:val="00710CB9"/>
    <w:rsid w:val="00710E6F"/>
    <w:rsid w:val="00710E79"/>
    <w:rsid w:val="0071152E"/>
    <w:rsid w:val="00711534"/>
    <w:rsid w:val="007115E8"/>
    <w:rsid w:val="007117FA"/>
    <w:rsid w:val="00711A65"/>
    <w:rsid w:val="00711C52"/>
    <w:rsid w:val="007123A7"/>
    <w:rsid w:val="007126A1"/>
    <w:rsid w:val="00712770"/>
    <w:rsid w:val="007128EB"/>
    <w:rsid w:val="007129A4"/>
    <w:rsid w:val="007129A6"/>
    <w:rsid w:val="007129F6"/>
    <w:rsid w:val="00712C73"/>
    <w:rsid w:val="00712F63"/>
    <w:rsid w:val="00712F8C"/>
    <w:rsid w:val="00712FA6"/>
    <w:rsid w:val="00712FD3"/>
    <w:rsid w:val="007132AA"/>
    <w:rsid w:val="007132FF"/>
    <w:rsid w:val="0071332D"/>
    <w:rsid w:val="0071362E"/>
    <w:rsid w:val="0071365D"/>
    <w:rsid w:val="0071377A"/>
    <w:rsid w:val="007139FA"/>
    <w:rsid w:val="00713BFE"/>
    <w:rsid w:val="00713C4C"/>
    <w:rsid w:val="00714316"/>
    <w:rsid w:val="007146D5"/>
    <w:rsid w:val="00714703"/>
    <w:rsid w:val="00714899"/>
    <w:rsid w:val="00714E0D"/>
    <w:rsid w:val="00714FB7"/>
    <w:rsid w:val="00714FC7"/>
    <w:rsid w:val="00715033"/>
    <w:rsid w:val="007151CF"/>
    <w:rsid w:val="007153E7"/>
    <w:rsid w:val="0071553C"/>
    <w:rsid w:val="0071564D"/>
    <w:rsid w:val="007159E1"/>
    <w:rsid w:val="00715BEB"/>
    <w:rsid w:val="00715CCB"/>
    <w:rsid w:val="00715D8A"/>
    <w:rsid w:val="00715DB8"/>
    <w:rsid w:val="00715E08"/>
    <w:rsid w:val="00715F11"/>
    <w:rsid w:val="0071600F"/>
    <w:rsid w:val="0071605C"/>
    <w:rsid w:val="007160EA"/>
    <w:rsid w:val="007163A1"/>
    <w:rsid w:val="007163CD"/>
    <w:rsid w:val="0071642F"/>
    <w:rsid w:val="007166D7"/>
    <w:rsid w:val="00716A05"/>
    <w:rsid w:val="00716C8A"/>
    <w:rsid w:val="00716D9E"/>
    <w:rsid w:val="00716E0E"/>
    <w:rsid w:val="00716F99"/>
    <w:rsid w:val="007172D4"/>
    <w:rsid w:val="00717714"/>
    <w:rsid w:val="00717A2A"/>
    <w:rsid w:val="00717A79"/>
    <w:rsid w:val="00717AA7"/>
    <w:rsid w:val="00717AC6"/>
    <w:rsid w:val="00717ACD"/>
    <w:rsid w:val="00717C8E"/>
    <w:rsid w:val="00717C9F"/>
    <w:rsid w:val="00717CDC"/>
    <w:rsid w:val="00717CF4"/>
    <w:rsid w:val="00717E34"/>
    <w:rsid w:val="00720131"/>
    <w:rsid w:val="007201F3"/>
    <w:rsid w:val="00720421"/>
    <w:rsid w:val="00720447"/>
    <w:rsid w:val="00720488"/>
    <w:rsid w:val="007204C1"/>
    <w:rsid w:val="0072083A"/>
    <w:rsid w:val="007209C3"/>
    <w:rsid w:val="00720CE5"/>
    <w:rsid w:val="00720DCA"/>
    <w:rsid w:val="00720E59"/>
    <w:rsid w:val="00720EB7"/>
    <w:rsid w:val="00721074"/>
    <w:rsid w:val="0072114E"/>
    <w:rsid w:val="007211A3"/>
    <w:rsid w:val="007211BA"/>
    <w:rsid w:val="007211CD"/>
    <w:rsid w:val="007212FA"/>
    <w:rsid w:val="007214A6"/>
    <w:rsid w:val="00721536"/>
    <w:rsid w:val="00721551"/>
    <w:rsid w:val="00721615"/>
    <w:rsid w:val="0072179B"/>
    <w:rsid w:val="007217EC"/>
    <w:rsid w:val="00721903"/>
    <w:rsid w:val="0072193E"/>
    <w:rsid w:val="00721BD3"/>
    <w:rsid w:val="00721BE4"/>
    <w:rsid w:val="00721CE5"/>
    <w:rsid w:val="00721D50"/>
    <w:rsid w:val="007220F7"/>
    <w:rsid w:val="00722107"/>
    <w:rsid w:val="00722429"/>
    <w:rsid w:val="00722446"/>
    <w:rsid w:val="007225C0"/>
    <w:rsid w:val="007227BC"/>
    <w:rsid w:val="0072281B"/>
    <w:rsid w:val="007229E3"/>
    <w:rsid w:val="00722B4C"/>
    <w:rsid w:val="007230D6"/>
    <w:rsid w:val="0072311C"/>
    <w:rsid w:val="0072317D"/>
    <w:rsid w:val="00723399"/>
    <w:rsid w:val="007234E9"/>
    <w:rsid w:val="00723616"/>
    <w:rsid w:val="0072378B"/>
    <w:rsid w:val="007237E2"/>
    <w:rsid w:val="00723996"/>
    <w:rsid w:val="00723C79"/>
    <w:rsid w:val="00723E1E"/>
    <w:rsid w:val="00724143"/>
    <w:rsid w:val="007241CF"/>
    <w:rsid w:val="0072424D"/>
    <w:rsid w:val="00724433"/>
    <w:rsid w:val="00724556"/>
    <w:rsid w:val="00724655"/>
    <w:rsid w:val="0072486B"/>
    <w:rsid w:val="007249A0"/>
    <w:rsid w:val="00724BA0"/>
    <w:rsid w:val="00724C54"/>
    <w:rsid w:val="00724C59"/>
    <w:rsid w:val="00724D9F"/>
    <w:rsid w:val="00724E7C"/>
    <w:rsid w:val="00724E8D"/>
    <w:rsid w:val="00724ECA"/>
    <w:rsid w:val="00724F42"/>
    <w:rsid w:val="00724FA8"/>
    <w:rsid w:val="0072502F"/>
    <w:rsid w:val="00725052"/>
    <w:rsid w:val="00725132"/>
    <w:rsid w:val="007251B6"/>
    <w:rsid w:val="00725369"/>
    <w:rsid w:val="0072538C"/>
    <w:rsid w:val="007257A8"/>
    <w:rsid w:val="007257CF"/>
    <w:rsid w:val="00725936"/>
    <w:rsid w:val="007259ED"/>
    <w:rsid w:val="00725B31"/>
    <w:rsid w:val="00725B65"/>
    <w:rsid w:val="00725BEF"/>
    <w:rsid w:val="00725C45"/>
    <w:rsid w:val="00725C47"/>
    <w:rsid w:val="00726010"/>
    <w:rsid w:val="0072604A"/>
    <w:rsid w:val="00726381"/>
    <w:rsid w:val="007265BA"/>
    <w:rsid w:val="007266C0"/>
    <w:rsid w:val="0072685C"/>
    <w:rsid w:val="00726F27"/>
    <w:rsid w:val="00726F7B"/>
    <w:rsid w:val="0072700E"/>
    <w:rsid w:val="0072710C"/>
    <w:rsid w:val="00727306"/>
    <w:rsid w:val="007274AF"/>
    <w:rsid w:val="007275EC"/>
    <w:rsid w:val="0072761D"/>
    <w:rsid w:val="007276E6"/>
    <w:rsid w:val="00727748"/>
    <w:rsid w:val="00727843"/>
    <w:rsid w:val="007278D9"/>
    <w:rsid w:val="007278E1"/>
    <w:rsid w:val="007278EB"/>
    <w:rsid w:val="00727995"/>
    <w:rsid w:val="00727B7C"/>
    <w:rsid w:val="00727B8A"/>
    <w:rsid w:val="00727C3A"/>
    <w:rsid w:val="00727F1E"/>
    <w:rsid w:val="00730140"/>
    <w:rsid w:val="00730185"/>
    <w:rsid w:val="00730267"/>
    <w:rsid w:val="0073057A"/>
    <w:rsid w:val="0073057F"/>
    <w:rsid w:val="0073093E"/>
    <w:rsid w:val="00730B07"/>
    <w:rsid w:val="00730B8E"/>
    <w:rsid w:val="00730BBC"/>
    <w:rsid w:val="00730D54"/>
    <w:rsid w:val="00730D7F"/>
    <w:rsid w:val="00730DD3"/>
    <w:rsid w:val="00730E50"/>
    <w:rsid w:val="0073102A"/>
    <w:rsid w:val="0073108D"/>
    <w:rsid w:val="007312B3"/>
    <w:rsid w:val="0073147A"/>
    <w:rsid w:val="00731710"/>
    <w:rsid w:val="00731885"/>
    <w:rsid w:val="007318DA"/>
    <w:rsid w:val="0073190B"/>
    <w:rsid w:val="007319AB"/>
    <w:rsid w:val="00731BFB"/>
    <w:rsid w:val="0073200B"/>
    <w:rsid w:val="00732025"/>
    <w:rsid w:val="007323E0"/>
    <w:rsid w:val="00732733"/>
    <w:rsid w:val="007328EB"/>
    <w:rsid w:val="00732961"/>
    <w:rsid w:val="0073297A"/>
    <w:rsid w:val="00732C68"/>
    <w:rsid w:val="00732F57"/>
    <w:rsid w:val="00733042"/>
    <w:rsid w:val="00733107"/>
    <w:rsid w:val="007331EC"/>
    <w:rsid w:val="007332B9"/>
    <w:rsid w:val="007333D2"/>
    <w:rsid w:val="00733438"/>
    <w:rsid w:val="007335BB"/>
    <w:rsid w:val="007336FF"/>
    <w:rsid w:val="0073395F"/>
    <w:rsid w:val="00733AA3"/>
    <w:rsid w:val="00733F48"/>
    <w:rsid w:val="00733F66"/>
    <w:rsid w:val="0073412B"/>
    <w:rsid w:val="007342D9"/>
    <w:rsid w:val="00734391"/>
    <w:rsid w:val="007343B7"/>
    <w:rsid w:val="007344E6"/>
    <w:rsid w:val="00734751"/>
    <w:rsid w:val="00734A59"/>
    <w:rsid w:val="00734EC9"/>
    <w:rsid w:val="00735041"/>
    <w:rsid w:val="00735071"/>
    <w:rsid w:val="007351C2"/>
    <w:rsid w:val="007351CC"/>
    <w:rsid w:val="007351D8"/>
    <w:rsid w:val="0073528D"/>
    <w:rsid w:val="007352F6"/>
    <w:rsid w:val="0073530E"/>
    <w:rsid w:val="0073535E"/>
    <w:rsid w:val="00735552"/>
    <w:rsid w:val="00735648"/>
    <w:rsid w:val="00735846"/>
    <w:rsid w:val="007358A8"/>
    <w:rsid w:val="007359E7"/>
    <w:rsid w:val="00735AF3"/>
    <w:rsid w:val="00735AF8"/>
    <w:rsid w:val="00735C00"/>
    <w:rsid w:val="00735EE6"/>
    <w:rsid w:val="00736148"/>
    <w:rsid w:val="007361A4"/>
    <w:rsid w:val="00736368"/>
    <w:rsid w:val="007364FA"/>
    <w:rsid w:val="00736504"/>
    <w:rsid w:val="00736AD2"/>
    <w:rsid w:val="00736ADF"/>
    <w:rsid w:val="00736DE7"/>
    <w:rsid w:val="00736F7B"/>
    <w:rsid w:val="0073700E"/>
    <w:rsid w:val="007370B9"/>
    <w:rsid w:val="00737294"/>
    <w:rsid w:val="00737537"/>
    <w:rsid w:val="007378EF"/>
    <w:rsid w:val="007379AE"/>
    <w:rsid w:val="00737A32"/>
    <w:rsid w:val="00737A73"/>
    <w:rsid w:val="00737B3F"/>
    <w:rsid w:val="00737B64"/>
    <w:rsid w:val="00737C80"/>
    <w:rsid w:val="00737E86"/>
    <w:rsid w:val="00737F72"/>
    <w:rsid w:val="0074006E"/>
    <w:rsid w:val="0074029C"/>
    <w:rsid w:val="00740303"/>
    <w:rsid w:val="00740462"/>
    <w:rsid w:val="007404D1"/>
    <w:rsid w:val="00740589"/>
    <w:rsid w:val="00740656"/>
    <w:rsid w:val="00740728"/>
    <w:rsid w:val="007407E0"/>
    <w:rsid w:val="0074084D"/>
    <w:rsid w:val="007408B9"/>
    <w:rsid w:val="007408E8"/>
    <w:rsid w:val="007408F2"/>
    <w:rsid w:val="0074091A"/>
    <w:rsid w:val="00740A3C"/>
    <w:rsid w:val="00740A57"/>
    <w:rsid w:val="00740B7E"/>
    <w:rsid w:val="00740BE4"/>
    <w:rsid w:val="00740E4A"/>
    <w:rsid w:val="007414C8"/>
    <w:rsid w:val="007414F6"/>
    <w:rsid w:val="00741588"/>
    <w:rsid w:val="007416A9"/>
    <w:rsid w:val="00741846"/>
    <w:rsid w:val="00741926"/>
    <w:rsid w:val="00741A6D"/>
    <w:rsid w:val="00741CB6"/>
    <w:rsid w:val="00741CC5"/>
    <w:rsid w:val="00741D0E"/>
    <w:rsid w:val="00741FA3"/>
    <w:rsid w:val="00741FAB"/>
    <w:rsid w:val="00742002"/>
    <w:rsid w:val="007420CC"/>
    <w:rsid w:val="007425B8"/>
    <w:rsid w:val="00742695"/>
    <w:rsid w:val="007428C5"/>
    <w:rsid w:val="00742A09"/>
    <w:rsid w:val="00742ECA"/>
    <w:rsid w:val="00742F06"/>
    <w:rsid w:val="007430D0"/>
    <w:rsid w:val="007430DC"/>
    <w:rsid w:val="007431E2"/>
    <w:rsid w:val="00743218"/>
    <w:rsid w:val="0074323A"/>
    <w:rsid w:val="007433FF"/>
    <w:rsid w:val="00743593"/>
    <w:rsid w:val="007435B3"/>
    <w:rsid w:val="007438A2"/>
    <w:rsid w:val="00743927"/>
    <w:rsid w:val="00743B80"/>
    <w:rsid w:val="00743C4B"/>
    <w:rsid w:val="00743C86"/>
    <w:rsid w:val="00743CC8"/>
    <w:rsid w:val="00743F6D"/>
    <w:rsid w:val="0074420E"/>
    <w:rsid w:val="00744331"/>
    <w:rsid w:val="00744452"/>
    <w:rsid w:val="00744644"/>
    <w:rsid w:val="0074471B"/>
    <w:rsid w:val="00744734"/>
    <w:rsid w:val="0074480D"/>
    <w:rsid w:val="00744927"/>
    <w:rsid w:val="00744AD0"/>
    <w:rsid w:val="00744B97"/>
    <w:rsid w:val="00744C3C"/>
    <w:rsid w:val="00744D88"/>
    <w:rsid w:val="00744E20"/>
    <w:rsid w:val="00744E44"/>
    <w:rsid w:val="00744F1D"/>
    <w:rsid w:val="00744F33"/>
    <w:rsid w:val="0074511D"/>
    <w:rsid w:val="007455A3"/>
    <w:rsid w:val="007455DC"/>
    <w:rsid w:val="00745737"/>
    <w:rsid w:val="00745750"/>
    <w:rsid w:val="00745787"/>
    <w:rsid w:val="007459AA"/>
    <w:rsid w:val="00745A33"/>
    <w:rsid w:val="00745AA6"/>
    <w:rsid w:val="00745C42"/>
    <w:rsid w:val="00745E02"/>
    <w:rsid w:val="00746000"/>
    <w:rsid w:val="00746251"/>
    <w:rsid w:val="007463F2"/>
    <w:rsid w:val="007464E3"/>
    <w:rsid w:val="00746575"/>
    <w:rsid w:val="007465F1"/>
    <w:rsid w:val="00746680"/>
    <w:rsid w:val="00746857"/>
    <w:rsid w:val="007468C4"/>
    <w:rsid w:val="00746A84"/>
    <w:rsid w:val="00746C45"/>
    <w:rsid w:val="00746E1A"/>
    <w:rsid w:val="00746E78"/>
    <w:rsid w:val="00746E7F"/>
    <w:rsid w:val="00747045"/>
    <w:rsid w:val="0074708B"/>
    <w:rsid w:val="00747141"/>
    <w:rsid w:val="007472A0"/>
    <w:rsid w:val="00747380"/>
    <w:rsid w:val="0074747B"/>
    <w:rsid w:val="00747571"/>
    <w:rsid w:val="00747661"/>
    <w:rsid w:val="00747782"/>
    <w:rsid w:val="007479CF"/>
    <w:rsid w:val="007479FF"/>
    <w:rsid w:val="00747C80"/>
    <w:rsid w:val="00747D53"/>
    <w:rsid w:val="007500DF"/>
    <w:rsid w:val="007500FB"/>
    <w:rsid w:val="007501A1"/>
    <w:rsid w:val="007501F6"/>
    <w:rsid w:val="0075031C"/>
    <w:rsid w:val="00750355"/>
    <w:rsid w:val="0075039A"/>
    <w:rsid w:val="007503C5"/>
    <w:rsid w:val="00750406"/>
    <w:rsid w:val="00750420"/>
    <w:rsid w:val="007506C2"/>
    <w:rsid w:val="00750704"/>
    <w:rsid w:val="0075073A"/>
    <w:rsid w:val="00750785"/>
    <w:rsid w:val="0075082C"/>
    <w:rsid w:val="00750943"/>
    <w:rsid w:val="007509A6"/>
    <w:rsid w:val="00750A66"/>
    <w:rsid w:val="00750B5A"/>
    <w:rsid w:val="00750BFB"/>
    <w:rsid w:val="00750C5D"/>
    <w:rsid w:val="00750CCF"/>
    <w:rsid w:val="00750DC4"/>
    <w:rsid w:val="00750E56"/>
    <w:rsid w:val="00750EA8"/>
    <w:rsid w:val="00750FAC"/>
    <w:rsid w:val="00751282"/>
    <w:rsid w:val="0075128D"/>
    <w:rsid w:val="00751379"/>
    <w:rsid w:val="007514CE"/>
    <w:rsid w:val="00751537"/>
    <w:rsid w:val="007515C7"/>
    <w:rsid w:val="00751682"/>
    <w:rsid w:val="00751752"/>
    <w:rsid w:val="00751963"/>
    <w:rsid w:val="00751A72"/>
    <w:rsid w:val="00751ABC"/>
    <w:rsid w:val="00751B61"/>
    <w:rsid w:val="00751C6B"/>
    <w:rsid w:val="00751DF4"/>
    <w:rsid w:val="00751F15"/>
    <w:rsid w:val="00751F34"/>
    <w:rsid w:val="00751FD3"/>
    <w:rsid w:val="00751FE2"/>
    <w:rsid w:val="00752119"/>
    <w:rsid w:val="007525CD"/>
    <w:rsid w:val="0075283A"/>
    <w:rsid w:val="00752C3D"/>
    <w:rsid w:val="00752E5B"/>
    <w:rsid w:val="00753375"/>
    <w:rsid w:val="007536DB"/>
    <w:rsid w:val="0075383A"/>
    <w:rsid w:val="00753868"/>
    <w:rsid w:val="0075395E"/>
    <w:rsid w:val="007539B9"/>
    <w:rsid w:val="00753BA9"/>
    <w:rsid w:val="00753CFA"/>
    <w:rsid w:val="00753EE2"/>
    <w:rsid w:val="00753F83"/>
    <w:rsid w:val="00754265"/>
    <w:rsid w:val="00754558"/>
    <w:rsid w:val="00754668"/>
    <w:rsid w:val="00754703"/>
    <w:rsid w:val="00754715"/>
    <w:rsid w:val="00754893"/>
    <w:rsid w:val="00754918"/>
    <w:rsid w:val="0075496C"/>
    <w:rsid w:val="00754A6A"/>
    <w:rsid w:val="00754A91"/>
    <w:rsid w:val="00754BB3"/>
    <w:rsid w:val="00754CE9"/>
    <w:rsid w:val="00754D70"/>
    <w:rsid w:val="00754E39"/>
    <w:rsid w:val="00754E85"/>
    <w:rsid w:val="00754EA0"/>
    <w:rsid w:val="00754F75"/>
    <w:rsid w:val="00754FA2"/>
    <w:rsid w:val="00755166"/>
    <w:rsid w:val="00755327"/>
    <w:rsid w:val="007553C5"/>
    <w:rsid w:val="00755440"/>
    <w:rsid w:val="007554C8"/>
    <w:rsid w:val="007558FA"/>
    <w:rsid w:val="00755AF5"/>
    <w:rsid w:val="00755C6D"/>
    <w:rsid w:val="00755C97"/>
    <w:rsid w:val="00755CA8"/>
    <w:rsid w:val="00755CDC"/>
    <w:rsid w:val="00755D07"/>
    <w:rsid w:val="00755E9C"/>
    <w:rsid w:val="00755F66"/>
    <w:rsid w:val="00755F72"/>
    <w:rsid w:val="00756034"/>
    <w:rsid w:val="007561F7"/>
    <w:rsid w:val="0075628B"/>
    <w:rsid w:val="007562A8"/>
    <w:rsid w:val="0075661E"/>
    <w:rsid w:val="0075662A"/>
    <w:rsid w:val="0075667F"/>
    <w:rsid w:val="007567FB"/>
    <w:rsid w:val="0075681D"/>
    <w:rsid w:val="00756883"/>
    <w:rsid w:val="00756964"/>
    <w:rsid w:val="00756AD4"/>
    <w:rsid w:val="00756B02"/>
    <w:rsid w:val="00756B69"/>
    <w:rsid w:val="00756BFC"/>
    <w:rsid w:val="00756D13"/>
    <w:rsid w:val="00756D1F"/>
    <w:rsid w:val="00757026"/>
    <w:rsid w:val="00757059"/>
    <w:rsid w:val="007571E6"/>
    <w:rsid w:val="00757237"/>
    <w:rsid w:val="007572B0"/>
    <w:rsid w:val="0075733D"/>
    <w:rsid w:val="007576DC"/>
    <w:rsid w:val="0075773E"/>
    <w:rsid w:val="00757792"/>
    <w:rsid w:val="007577AC"/>
    <w:rsid w:val="00757956"/>
    <w:rsid w:val="00757E45"/>
    <w:rsid w:val="00757EE9"/>
    <w:rsid w:val="00757F1F"/>
    <w:rsid w:val="00760494"/>
    <w:rsid w:val="00760511"/>
    <w:rsid w:val="007606F4"/>
    <w:rsid w:val="007606F5"/>
    <w:rsid w:val="007608C1"/>
    <w:rsid w:val="00761098"/>
    <w:rsid w:val="007615ED"/>
    <w:rsid w:val="00761618"/>
    <w:rsid w:val="0076175D"/>
    <w:rsid w:val="00761A96"/>
    <w:rsid w:val="00761AE0"/>
    <w:rsid w:val="00761E62"/>
    <w:rsid w:val="00761EA7"/>
    <w:rsid w:val="00762014"/>
    <w:rsid w:val="00762052"/>
    <w:rsid w:val="0076212B"/>
    <w:rsid w:val="00762373"/>
    <w:rsid w:val="007623AF"/>
    <w:rsid w:val="00762673"/>
    <w:rsid w:val="007629A7"/>
    <w:rsid w:val="00762E46"/>
    <w:rsid w:val="00762E69"/>
    <w:rsid w:val="00762F6A"/>
    <w:rsid w:val="00762F6E"/>
    <w:rsid w:val="00762F81"/>
    <w:rsid w:val="00762F86"/>
    <w:rsid w:val="007631D0"/>
    <w:rsid w:val="00763218"/>
    <w:rsid w:val="00763272"/>
    <w:rsid w:val="00763311"/>
    <w:rsid w:val="00763500"/>
    <w:rsid w:val="007637DB"/>
    <w:rsid w:val="007637ED"/>
    <w:rsid w:val="007639D2"/>
    <w:rsid w:val="00763AE4"/>
    <w:rsid w:val="00763B05"/>
    <w:rsid w:val="00763EA2"/>
    <w:rsid w:val="007640DC"/>
    <w:rsid w:val="007641BF"/>
    <w:rsid w:val="0076446C"/>
    <w:rsid w:val="00764519"/>
    <w:rsid w:val="007646B5"/>
    <w:rsid w:val="007647AB"/>
    <w:rsid w:val="007648C8"/>
    <w:rsid w:val="00764A27"/>
    <w:rsid w:val="00764AC2"/>
    <w:rsid w:val="00764D89"/>
    <w:rsid w:val="00764F9C"/>
    <w:rsid w:val="0076500E"/>
    <w:rsid w:val="0076518A"/>
    <w:rsid w:val="0076536B"/>
    <w:rsid w:val="007653F8"/>
    <w:rsid w:val="00765493"/>
    <w:rsid w:val="007655A1"/>
    <w:rsid w:val="007655C5"/>
    <w:rsid w:val="0076573D"/>
    <w:rsid w:val="00765750"/>
    <w:rsid w:val="00765862"/>
    <w:rsid w:val="00765AB2"/>
    <w:rsid w:val="00765BD2"/>
    <w:rsid w:val="007663BD"/>
    <w:rsid w:val="0076644C"/>
    <w:rsid w:val="007664F0"/>
    <w:rsid w:val="007666D6"/>
    <w:rsid w:val="00766831"/>
    <w:rsid w:val="00766ABB"/>
    <w:rsid w:val="00766BBA"/>
    <w:rsid w:val="00766CAD"/>
    <w:rsid w:val="00766EA0"/>
    <w:rsid w:val="00766F4D"/>
    <w:rsid w:val="00766F85"/>
    <w:rsid w:val="00766FE9"/>
    <w:rsid w:val="00767297"/>
    <w:rsid w:val="007672BA"/>
    <w:rsid w:val="00767412"/>
    <w:rsid w:val="00767B69"/>
    <w:rsid w:val="00767E1D"/>
    <w:rsid w:val="00770014"/>
    <w:rsid w:val="007701BE"/>
    <w:rsid w:val="007703B7"/>
    <w:rsid w:val="00770709"/>
    <w:rsid w:val="00770966"/>
    <w:rsid w:val="00770A69"/>
    <w:rsid w:val="00770AC1"/>
    <w:rsid w:val="00770BED"/>
    <w:rsid w:val="00770DFC"/>
    <w:rsid w:val="00770E99"/>
    <w:rsid w:val="00770F15"/>
    <w:rsid w:val="0077166D"/>
    <w:rsid w:val="00771827"/>
    <w:rsid w:val="00771B12"/>
    <w:rsid w:val="00771B3D"/>
    <w:rsid w:val="00771D04"/>
    <w:rsid w:val="00771D8A"/>
    <w:rsid w:val="00771DF0"/>
    <w:rsid w:val="00771E08"/>
    <w:rsid w:val="0077201E"/>
    <w:rsid w:val="00772109"/>
    <w:rsid w:val="00772552"/>
    <w:rsid w:val="00772596"/>
    <w:rsid w:val="00772A66"/>
    <w:rsid w:val="00772AD0"/>
    <w:rsid w:val="00772C70"/>
    <w:rsid w:val="00772CB3"/>
    <w:rsid w:val="00772D45"/>
    <w:rsid w:val="00772F9F"/>
    <w:rsid w:val="00773050"/>
    <w:rsid w:val="00773402"/>
    <w:rsid w:val="007737FE"/>
    <w:rsid w:val="007737FF"/>
    <w:rsid w:val="007739A2"/>
    <w:rsid w:val="00773BE2"/>
    <w:rsid w:val="00773C69"/>
    <w:rsid w:val="00773CE9"/>
    <w:rsid w:val="00773EC0"/>
    <w:rsid w:val="0077434E"/>
    <w:rsid w:val="0077437F"/>
    <w:rsid w:val="0077443E"/>
    <w:rsid w:val="007744E5"/>
    <w:rsid w:val="0077463C"/>
    <w:rsid w:val="00774658"/>
    <w:rsid w:val="007746B1"/>
    <w:rsid w:val="007746B5"/>
    <w:rsid w:val="007747BA"/>
    <w:rsid w:val="00774BF5"/>
    <w:rsid w:val="00774CAB"/>
    <w:rsid w:val="00774E7D"/>
    <w:rsid w:val="00774F6F"/>
    <w:rsid w:val="0077510E"/>
    <w:rsid w:val="00775423"/>
    <w:rsid w:val="0077548D"/>
    <w:rsid w:val="00775644"/>
    <w:rsid w:val="00775B52"/>
    <w:rsid w:val="00775DBB"/>
    <w:rsid w:val="00775E2A"/>
    <w:rsid w:val="00775EFB"/>
    <w:rsid w:val="00775FAA"/>
    <w:rsid w:val="00776152"/>
    <w:rsid w:val="00776344"/>
    <w:rsid w:val="00776350"/>
    <w:rsid w:val="007763C8"/>
    <w:rsid w:val="0077648B"/>
    <w:rsid w:val="00776493"/>
    <w:rsid w:val="00776539"/>
    <w:rsid w:val="00776564"/>
    <w:rsid w:val="007765F3"/>
    <w:rsid w:val="00776712"/>
    <w:rsid w:val="00776776"/>
    <w:rsid w:val="0077682D"/>
    <w:rsid w:val="00776866"/>
    <w:rsid w:val="00776A32"/>
    <w:rsid w:val="00776C72"/>
    <w:rsid w:val="00776D6E"/>
    <w:rsid w:val="00776DBD"/>
    <w:rsid w:val="00776EEF"/>
    <w:rsid w:val="00776F64"/>
    <w:rsid w:val="007771CA"/>
    <w:rsid w:val="00777219"/>
    <w:rsid w:val="0077759C"/>
    <w:rsid w:val="00777762"/>
    <w:rsid w:val="007777C0"/>
    <w:rsid w:val="00777821"/>
    <w:rsid w:val="0077789D"/>
    <w:rsid w:val="00777922"/>
    <w:rsid w:val="00777ABA"/>
    <w:rsid w:val="00777AD1"/>
    <w:rsid w:val="007800D9"/>
    <w:rsid w:val="0078010B"/>
    <w:rsid w:val="00780201"/>
    <w:rsid w:val="00780280"/>
    <w:rsid w:val="0078032C"/>
    <w:rsid w:val="0078033E"/>
    <w:rsid w:val="00780383"/>
    <w:rsid w:val="007804E0"/>
    <w:rsid w:val="007806CF"/>
    <w:rsid w:val="00780A44"/>
    <w:rsid w:val="00780D96"/>
    <w:rsid w:val="00780EDA"/>
    <w:rsid w:val="007811E2"/>
    <w:rsid w:val="0078127A"/>
    <w:rsid w:val="007812D4"/>
    <w:rsid w:val="007812E3"/>
    <w:rsid w:val="00781447"/>
    <w:rsid w:val="00781654"/>
    <w:rsid w:val="00781777"/>
    <w:rsid w:val="007817EE"/>
    <w:rsid w:val="007818AA"/>
    <w:rsid w:val="00781B0A"/>
    <w:rsid w:val="00781B8B"/>
    <w:rsid w:val="00781CA5"/>
    <w:rsid w:val="00781EC7"/>
    <w:rsid w:val="00781F4B"/>
    <w:rsid w:val="00781F81"/>
    <w:rsid w:val="007820A3"/>
    <w:rsid w:val="007820A5"/>
    <w:rsid w:val="007820A6"/>
    <w:rsid w:val="0078218C"/>
    <w:rsid w:val="007821BE"/>
    <w:rsid w:val="007821F1"/>
    <w:rsid w:val="007822E4"/>
    <w:rsid w:val="00782482"/>
    <w:rsid w:val="0078249C"/>
    <w:rsid w:val="007825D8"/>
    <w:rsid w:val="0078267F"/>
    <w:rsid w:val="007827C0"/>
    <w:rsid w:val="00782837"/>
    <w:rsid w:val="0078284C"/>
    <w:rsid w:val="00782889"/>
    <w:rsid w:val="00782AE2"/>
    <w:rsid w:val="00782BAC"/>
    <w:rsid w:val="00782BD3"/>
    <w:rsid w:val="00782CF6"/>
    <w:rsid w:val="00782DB4"/>
    <w:rsid w:val="0078305D"/>
    <w:rsid w:val="00783101"/>
    <w:rsid w:val="0078317B"/>
    <w:rsid w:val="0078357B"/>
    <w:rsid w:val="00783656"/>
    <w:rsid w:val="00783704"/>
    <w:rsid w:val="00783742"/>
    <w:rsid w:val="00783C45"/>
    <w:rsid w:val="00783E69"/>
    <w:rsid w:val="00783E92"/>
    <w:rsid w:val="00783F43"/>
    <w:rsid w:val="007840B6"/>
    <w:rsid w:val="0078411E"/>
    <w:rsid w:val="007842CA"/>
    <w:rsid w:val="007843A5"/>
    <w:rsid w:val="00784462"/>
    <w:rsid w:val="007845F8"/>
    <w:rsid w:val="00784606"/>
    <w:rsid w:val="00784696"/>
    <w:rsid w:val="007847FA"/>
    <w:rsid w:val="00784A4B"/>
    <w:rsid w:val="00784AD5"/>
    <w:rsid w:val="00784B04"/>
    <w:rsid w:val="00784C12"/>
    <w:rsid w:val="00784E6B"/>
    <w:rsid w:val="00784FFF"/>
    <w:rsid w:val="007850A7"/>
    <w:rsid w:val="0078523E"/>
    <w:rsid w:val="00785268"/>
    <w:rsid w:val="007854A4"/>
    <w:rsid w:val="007858E2"/>
    <w:rsid w:val="00785A21"/>
    <w:rsid w:val="00785BA5"/>
    <w:rsid w:val="00785C8A"/>
    <w:rsid w:val="00785CD6"/>
    <w:rsid w:val="00785EAB"/>
    <w:rsid w:val="007860A4"/>
    <w:rsid w:val="00786131"/>
    <w:rsid w:val="00786199"/>
    <w:rsid w:val="00786243"/>
    <w:rsid w:val="00786249"/>
    <w:rsid w:val="0078627F"/>
    <w:rsid w:val="007862CB"/>
    <w:rsid w:val="007864D1"/>
    <w:rsid w:val="0078653D"/>
    <w:rsid w:val="00786A46"/>
    <w:rsid w:val="00786A67"/>
    <w:rsid w:val="00786B42"/>
    <w:rsid w:val="00786B43"/>
    <w:rsid w:val="00786E42"/>
    <w:rsid w:val="00786E7B"/>
    <w:rsid w:val="00786F5A"/>
    <w:rsid w:val="00787280"/>
    <w:rsid w:val="00787332"/>
    <w:rsid w:val="007874D9"/>
    <w:rsid w:val="007874DE"/>
    <w:rsid w:val="007875CB"/>
    <w:rsid w:val="00787889"/>
    <w:rsid w:val="007878B6"/>
    <w:rsid w:val="00787916"/>
    <w:rsid w:val="00787940"/>
    <w:rsid w:val="00787AC1"/>
    <w:rsid w:val="00787B2C"/>
    <w:rsid w:val="00787BC9"/>
    <w:rsid w:val="00787D5A"/>
    <w:rsid w:val="00787E3D"/>
    <w:rsid w:val="00787F03"/>
    <w:rsid w:val="0079021A"/>
    <w:rsid w:val="0079039F"/>
    <w:rsid w:val="007905AE"/>
    <w:rsid w:val="00790656"/>
    <w:rsid w:val="0079066F"/>
    <w:rsid w:val="00790862"/>
    <w:rsid w:val="007908A8"/>
    <w:rsid w:val="00790910"/>
    <w:rsid w:val="007909D7"/>
    <w:rsid w:val="007909DD"/>
    <w:rsid w:val="00790C20"/>
    <w:rsid w:val="00790CCB"/>
    <w:rsid w:val="00790E4F"/>
    <w:rsid w:val="00790F72"/>
    <w:rsid w:val="00791115"/>
    <w:rsid w:val="00791477"/>
    <w:rsid w:val="007917EA"/>
    <w:rsid w:val="007918E6"/>
    <w:rsid w:val="00791AE9"/>
    <w:rsid w:val="00791D23"/>
    <w:rsid w:val="00791D2E"/>
    <w:rsid w:val="00791D3D"/>
    <w:rsid w:val="00791DA1"/>
    <w:rsid w:val="00791DE1"/>
    <w:rsid w:val="00791EDD"/>
    <w:rsid w:val="007922EE"/>
    <w:rsid w:val="00792394"/>
    <w:rsid w:val="00792481"/>
    <w:rsid w:val="007924E8"/>
    <w:rsid w:val="00792528"/>
    <w:rsid w:val="00792574"/>
    <w:rsid w:val="007925EF"/>
    <w:rsid w:val="00792660"/>
    <w:rsid w:val="00792866"/>
    <w:rsid w:val="00792D72"/>
    <w:rsid w:val="00793065"/>
    <w:rsid w:val="00793081"/>
    <w:rsid w:val="00793138"/>
    <w:rsid w:val="00793234"/>
    <w:rsid w:val="0079325D"/>
    <w:rsid w:val="007934EC"/>
    <w:rsid w:val="0079375E"/>
    <w:rsid w:val="007937B9"/>
    <w:rsid w:val="0079392F"/>
    <w:rsid w:val="00793A1A"/>
    <w:rsid w:val="00793A2E"/>
    <w:rsid w:val="00793C8A"/>
    <w:rsid w:val="00793F3E"/>
    <w:rsid w:val="00794251"/>
    <w:rsid w:val="007942E4"/>
    <w:rsid w:val="007944E6"/>
    <w:rsid w:val="0079462B"/>
    <w:rsid w:val="00794B3E"/>
    <w:rsid w:val="00794B41"/>
    <w:rsid w:val="00794BAC"/>
    <w:rsid w:val="00794BF1"/>
    <w:rsid w:val="00794D46"/>
    <w:rsid w:val="00794F46"/>
    <w:rsid w:val="00795001"/>
    <w:rsid w:val="0079508E"/>
    <w:rsid w:val="0079515E"/>
    <w:rsid w:val="00795242"/>
    <w:rsid w:val="00795386"/>
    <w:rsid w:val="007953CA"/>
    <w:rsid w:val="00795599"/>
    <w:rsid w:val="00795622"/>
    <w:rsid w:val="00795666"/>
    <w:rsid w:val="00795764"/>
    <w:rsid w:val="0079598E"/>
    <w:rsid w:val="00795A1A"/>
    <w:rsid w:val="00795B9C"/>
    <w:rsid w:val="00795C53"/>
    <w:rsid w:val="00795D87"/>
    <w:rsid w:val="00795DEC"/>
    <w:rsid w:val="00795E19"/>
    <w:rsid w:val="00795FB5"/>
    <w:rsid w:val="00796035"/>
    <w:rsid w:val="00796198"/>
    <w:rsid w:val="00796358"/>
    <w:rsid w:val="007963F3"/>
    <w:rsid w:val="0079649C"/>
    <w:rsid w:val="0079655C"/>
    <w:rsid w:val="007965BB"/>
    <w:rsid w:val="007966AD"/>
    <w:rsid w:val="00796774"/>
    <w:rsid w:val="00796796"/>
    <w:rsid w:val="0079686E"/>
    <w:rsid w:val="00796A8B"/>
    <w:rsid w:val="00796B51"/>
    <w:rsid w:val="00796B91"/>
    <w:rsid w:val="00796DCA"/>
    <w:rsid w:val="007970DE"/>
    <w:rsid w:val="00797122"/>
    <w:rsid w:val="007973AF"/>
    <w:rsid w:val="00797583"/>
    <w:rsid w:val="007977B1"/>
    <w:rsid w:val="00797BB2"/>
    <w:rsid w:val="00797BF5"/>
    <w:rsid w:val="00797CA8"/>
    <w:rsid w:val="00797D36"/>
    <w:rsid w:val="00797DD9"/>
    <w:rsid w:val="00797E44"/>
    <w:rsid w:val="00797EE5"/>
    <w:rsid w:val="007A003C"/>
    <w:rsid w:val="007A0119"/>
    <w:rsid w:val="007A019D"/>
    <w:rsid w:val="007A0268"/>
    <w:rsid w:val="007A0329"/>
    <w:rsid w:val="007A0653"/>
    <w:rsid w:val="007A0667"/>
    <w:rsid w:val="007A0831"/>
    <w:rsid w:val="007A09D9"/>
    <w:rsid w:val="007A0BB6"/>
    <w:rsid w:val="007A0C94"/>
    <w:rsid w:val="007A0EB9"/>
    <w:rsid w:val="007A0F77"/>
    <w:rsid w:val="007A1141"/>
    <w:rsid w:val="007A11C6"/>
    <w:rsid w:val="007A125D"/>
    <w:rsid w:val="007A14B9"/>
    <w:rsid w:val="007A1569"/>
    <w:rsid w:val="007A158F"/>
    <w:rsid w:val="007A15B8"/>
    <w:rsid w:val="007A1655"/>
    <w:rsid w:val="007A1825"/>
    <w:rsid w:val="007A194C"/>
    <w:rsid w:val="007A1A66"/>
    <w:rsid w:val="007A1AEB"/>
    <w:rsid w:val="007A1B8A"/>
    <w:rsid w:val="007A1BA3"/>
    <w:rsid w:val="007A1FE2"/>
    <w:rsid w:val="007A2143"/>
    <w:rsid w:val="007A219A"/>
    <w:rsid w:val="007A23DA"/>
    <w:rsid w:val="007A2491"/>
    <w:rsid w:val="007A25FE"/>
    <w:rsid w:val="007A27C3"/>
    <w:rsid w:val="007A27D7"/>
    <w:rsid w:val="007A2961"/>
    <w:rsid w:val="007A29A6"/>
    <w:rsid w:val="007A29C6"/>
    <w:rsid w:val="007A2AAA"/>
    <w:rsid w:val="007A2AF0"/>
    <w:rsid w:val="007A2B64"/>
    <w:rsid w:val="007A2BC2"/>
    <w:rsid w:val="007A2C5A"/>
    <w:rsid w:val="007A2D4D"/>
    <w:rsid w:val="007A2D94"/>
    <w:rsid w:val="007A3130"/>
    <w:rsid w:val="007A321D"/>
    <w:rsid w:val="007A34A0"/>
    <w:rsid w:val="007A375C"/>
    <w:rsid w:val="007A37EA"/>
    <w:rsid w:val="007A3887"/>
    <w:rsid w:val="007A3A8C"/>
    <w:rsid w:val="007A3B18"/>
    <w:rsid w:val="007A3BCE"/>
    <w:rsid w:val="007A3C17"/>
    <w:rsid w:val="007A3CDD"/>
    <w:rsid w:val="007A3DDE"/>
    <w:rsid w:val="007A3E0A"/>
    <w:rsid w:val="007A4070"/>
    <w:rsid w:val="007A40E4"/>
    <w:rsid w:val="007A4246"/>
    <w:rsid w:val="007A43DC"/>
    <w:rsid w:val="007A44D5"/>
    <w:rsid w:val="007A4500"/>
    <w:rsid w:val="007A4529"/>
    <w:rsid w:val="007A46AD"/>
    <w:rsid w:val="007A4A48"/>
    <w:rsid w:val="007A4D31"/>
    <w:rsid w:val="007A4EC3"/>
    <w:rsid w:val="007A4F3B"/>
    <w:rsid w:val="007A558B"/>
    <w:rsid w:val="007A561C"/>
    <w:rsid w:val="007A5665"/>
    <w:rsid w:val="007A57C9"/>
    <w:rsid w:val="007A584C"/>
    <w:rsid w:val="007A5AD6"/>
    <w:rsid w:val="007A5C72"/>
    <w:rsid w:val="007A5C96"/>
    <w:rsid w:val="007A5DAD"/>
    <w:rsid w:val="007A5F5F"/>
    <w:rsid w:val="007A5FB6"/>
    <w:rsid w:val="007A5FD6"/>
    <w:rsid w:val="007A5FEA"/>
    <w:rsid w:val="007A60CA"/>
    <w:rsid w:val="007A6254"/>
    <w:rsid w:val="007A6306"/>
    <w:rsid w:val="007A63F7"/>
    <w:rsid w:val="007A6491"/>
    <w:rsid w:val="007A64CA"/>
    <w:rsid w:val="007A66BD"/>
    <w:rsid w:val="007A67E4"/>
    <w:rsid w:val="007A6835"/>
    <w:rsid w:val="007A68A9"/>
    <w:rsid w:val="007A68B5"/>
    <w:rsid w:val="007A6918"/>
    <w:rsid w:val="007A69F8"/>
    <w:rsid w:val="007A6A3D"/>
    <w:rsid w:val="007A6A45"/>
    <w:rsid w:val="007A6B32"/>
    <w:rsid w:val="007A6C79"/>
    <w:rsid w:val="007A6D2B"/>
    <w:rsid w:val="007A710B"/>
    <w:rsid w:val="007A71F6"/>
    <w:rsid w:val="007A726E"/>
    <w:rsid w:val="007A75D8"/>
    <w:rsid w:val="007A765F"/>
    <w:rsid w:val="007A7788"/>
    <w:rsid w:val="007A7901"/>
    <w:rsid w:val="007A7D1D"/>
    <w:rsid w:val="007A7D6E"/>
    <w:rsid w:val="007A7EBE"/>
    <w:rsid w:val="007A7EC9"/>
    <w:rsid w:val="007A7F3A"/>
    <w:rsid w:val="007A7F73"/>
    <w:rsid w:val="007B01A7"/>
    <w:rsid w:val="007B0503"/>
    <w:rsid w:val="007B0589"/>
    <w:rsid w:val="007B07DF"/>
    <w:rsid w:val="007B0B7C"/>
    <w:rsid w:val="007B0E0C"/>
    <w:rsid w:val="007B0F31"/>
    <w:rsid w:val="007B0F90"/>
    <w:rsid w:val="007B0FCC"/>
    <w:rsid w:val="007B1126"/>
    <w:rsid w:val="007B12B5"/>
    <w:rsid w:val="007B132D"/>
    <w:rsid w:val="007B13CB"/>
    <w:rsid w:val="007B1704"/>
    <w:rsid w:val="007B170F"/>
    <w:rsid w:val="007B1720"/>
    <w:rsid w:val="007B1816"/>
    <w:rsid w:val="007B1924"/>
    <w:rsid w:val="007B1A54"/>
    <w:rsid w:val="007B1E3D"/>
    <w:rsid w:val="007B1E7E"/>
    <w:rsid w:val="007B1EB4"/>
    <w:rsid w:val="007B2073"/>
    <w:rsid w:val="007B20D7"/>
    <w:rsid w:val="007B23AF"/>
    <w:rsid w:val="007B2475"/>
    <w:rsid w:val="007B25B9"/>
    <w:rsid w:val="007B26F8"/>
    <w:rsid w:val="007B28E3"/>
    <w:rsid w:val="007B2972"/>
    <w:rsid w:val="007B2A07"/>
    <w:rsid w:val="007B2A75"/>
    <w:rsid w:val="007B2AC8"/>
    <w:rsid w:val="007B2AF8"/>
    <w:rsid w:val="007B2C11"/>
    <w:rsid w:val="007B328A"/>
    <w:rsid w:val="007B3339"/>
    <w:rsid w:val="007B349E"/>
    <w:rsid w:val="007B36FF"/>
    <w:rsid w:val="007B3858"/>
    <w:rsid w:val="007B3883"/>
    <w:rsid w:val="007B3D88"/>
    <w:rsid w:val="007B3DA7"/>
    <w:rsid w:val="007B3EA7"/>
    <w:rsid w:val="007B3EE5"/>
    <w:rsid w:val="007B41C9"/>
    <w:rsid w:val="007B41DA"/>
    <w:rsid w:val="007B41F8"/>
    <w:rsid w:val="007B423A"/>
    <w:rsid w:val="007B4306"/>
    <w:rsid w:val="007B4651"/>
    <w:rsid w:val="007B4CB1"/>
    <w:rsid w:val="007B4CFB"/>
    <w:rsid w:val="007B4E6A"/>
    <w:rsid w:val="007B518C"/>
    <w:rsid w:val="007B51DE"/>
    <w:rsid w:val="007B51E5"/>
    <w:rsid w:val="007B51FE"/>
    <w:rsid w:val="007B5344"/>
    <w:rsid w:val="007B53AB"/>
    <w:rsid w:val="007B5440"/>
    <w:rsid w:val="007B5767"/>
    <w:rsid w:val="007B58D7"/>
    <w:rsid w:val="007B591B"/>
    <w:rsid w:val="007B5961"/>
    <w:rsid w:val="007B59F4"/>
    <w:rsid w:val="007B5ADE"/>
    <w:rsid w:val="007B5BC8"/>
    <w:rsid w:val="007B5FA1"/>
    <w:rsid w:val="007B6088"/>
    <w:rsid w:val="007B61B8"/>
    <w:rsid w:val="007B64B5"/>
    <w:rsid w:val="007B65C4"/>
    <w:rsid w:val="007B6698"/>
    <w:rsid w:val="007B6706"/>
    <w:rsid w:val="007B67D0"/>
    <w:rsid w:val="007B6816"/>
    <w:rsid w:val="007B6822"/>
    <w:rsid w:val="007B6824"/>
    <w:rsid w:val="007B6832"/>
    <w:rsid w:val="007B68D8"/>
    <w:rsid w:val="007B6970"/>
    <w:rsid w:val="007B6D52"/>
    <w:rsid w:val="007B6F92"/>
    <w:rsid w:val="007B6FA3"/>
    <w:rsid w:val="007B711C"/>
    <w:rsid w:val="007B72E1"/>
    <w:rsid w:val="007B7338"/>
    <w:rsid w:val="007B74C2"/>
    <w:rsid w:val="007B75A3"/>
    <w:rsid w:val="007B75FA"/>
    <w:rsid w:val="007B7686"/>
    <w:rsid w:val="007B7901"/>
    <w:rsid w:val="007B7937"/>
    <w:rsid w:val="007B7A6C"/>
    <w:rsid w:val="007B7A8D"/>
    <w:rsid w:val="007B7B03"/>
    <w:rsid w:val="007B7C10"/>
    <w:rsid w:val="007B7D56"/>
    <w:rsid w:val="007B7D75"/>
    <w:rsid w:val="007B7FC5"/>
    <w:rsid w:val="007B7FDF"/>
    <w:rsid w:val="007C01A4"/>
    <w:rsid w:val="007C021D"/>
    <w:rsid w:val="007C0783"/>
    <w:rsid w:val="007C0B02"/>
    <w:rsid w:val="007C0B64"/>
    <w:rsid w:val="007C0D0E"/>
    <w:rsid w:val="007C0DEA"/>
    <w:rsid w:val="007C1163"/>
    <w:rsid w:val="007C11F9"/>
    <w:rsid w:val="007C13EC"/>
    <w:rsid w:val="007C152A"/>
    <w:rsid w:val="007C170D"/>
    <w:rsid w:val="007C1846"/>
    <w:rsid w:val="007C1998"/>
    <w:rsid w:val="007C1B1D"/>
    <w:rsid w:val="007C1C5D"/>
    <w:rsid w:val="007C1C67"/>
    <w:rsid w:val="007C1CBF"/>
    <w:rsid w:val="007C1E4C"/>
    <w:rsid w:val="007C1F06"/>
    <w:rsid w:val="007C2212"/>
    <w:rsid w:val="007C244B"/>
    <w:rsid w:val="007C2580"/>
    <w:rsid w:val="007C26E5"/>
    <w:rsid w:val="007C2922"/>
    <w:rsid w:val="007C29A2"/>
    <w:rsid w:val="007C29FA"/>
    <w:rsid w:val="007C2AC8"/>
    <w:rsid w:val="007C2B44"/>
    <w:rsid w:val="007C2DC8"/>
    <w:rsid w:val="007C2E57"/>
    <w:rsid w:val="007C2EF8"/>
    <w:rsid w:val="007C317D"/>
    <w:rsid w:val="007C3380"/>
    <w:rsid w:val="007C345D"/>
    <w:rsid w:val="007C35EC"/>
    <w:rsid w:val="007C35F7"/>
    <w:rsid w:val="007C3639"/>
    <w:rsid w:val="007C3833"/>
    <w:rsid w:val="007C38AE"/>
    <w:rsid w:val="007C3A25"/>
    <w:rsid w:val="007C3A3C"/>
    <w:rsid w:val="007C3A4B"/>
    <w:rsid w:val="007C3CA3"/>
    <w:rsid w:val="007C3D15"/>
    <w:rsid w:val="007C3DB8"/>
    <w:rsid w:val="007C3E30"/>
    <w:rsid w:val="007C3E4A"/>
    <w:rsid w:val="007C3EF4"/>
    <w:rsid w:val="007C408B"/>
    <w:rsid w:val="007C409C"/>
    <w:rsid w:val="007C4128"/>
    <w:rsid w:val="007C42B5"/>
    <w:rsid w:val="007C4853"/>
    <w:rsid w:val="007C497A"/>
    <w:rsid w:val="007C4C77"/>
    <w:rsid w:val="007C4D79"/>
    <w:rsid w:val="007C4EFA"/>
    <w:rsid w:val="007C4F42"/>
    <w:rsid w:val="007C4F6F"/>
    <w:rsid w:val="007C5174"/>
    <w:rsid w:val="007C51F6"/>
    <w:rsid w:val="007C52BF"/>
    <w:rsid w:val="007C52D2"/>
    <w:rsid w:val="007C5313"/>
    <w:rsid w:val="007C53A4"/>
    <w:rsid w:val="007C53D4"/>
    <w:rsid w:val="007C55EB"/>
    <w:rsid w:val="007C580B"/>
    <w:rsid w:val="007C5891"/>
    <w:rsid w:val="007C59CC"/>
    <w:rsid w:val="007C5D43"/>
    <w:rsid w:val="007C5E60"/>
    <w:rsid w:val="007C5E61"/>
    <w:rsid w:val="007C60CC"/>
    <w:rsid w:val="007C618D"/>
    <w:rsid w:val="007C643D"/>
    <w:rsid w:val="007C64BB"/>
    <w:rsid w:val="007C6668"/>
    <w:rsid w:val="007C67AB"/>
    <w:rsid w:val="007C6927"/>
    <w:rsid w:val="007C6B05"/>
    <w:rsid w:val="007C6B1D"/>
    <w:rsid w:val="007C6D12"/>
    <w:rsid w:val="007C6D7D"/>
    <w:rsid w:val="007C720A"/>
    <w:rsid w:val="007C722F"/>
    <w:rsid w:val="007C7396"/>
    <w:rsid w:val="007C7499"/>
    <w:rsid w:val="007C74F6"/>
    <w:rsid w:val="007C793E"/>
    <w:rsid w:val="007C7960"/>
    <w:rsid w:val="007C7995"/>
    <w:rsid w:val="007C79C1"/>
    <w:rsid w:val="007C7AAC"/>
    <w:rsid w:val="007C7F48"/>
    <w:rsid w:val="007D0348"/>
    <w:rsid w:val="007D03A7"/>
    <w:rsid w:val="007D0425"/>
    <w:rsid w:val="007D05C6"/>
    <w:rsid w:val="007D05FB"/>
    <w:rsid w:val="007D07DB"/>
    <w:rsid w:val="007D0AF4"/>
    <w:rsid w:val="007D0B41"/>
    <w:rsid w:val="007D0BF4"/>
    <w:rsid w:val="007D0EDA"/>
    <w:rsid w:val="007D1092"/>
    <w:rsid w:val="007D1099"/>
    <w:rsid w:val="007D118C"/>
    <w:rsid w:val="007D143A"/>
    <w:rsid w:val="007D15E8"/>
    <w:rsid w:val="007D16CD"/>
    <w:rsid w:val="007D1825"/>
    <w:rsid w:val="007D1924"/>
    <w:rsid w:val="007D199B"/>
    <w:rsid w:val="007D1B4F"/>
    <w:rsid w:val="007D1B53"/>
    <w:rsid w:val="007D1BAB"/>
    <w:rsid w:val="007D1BF3"/>
    <w:rsid w:val="007D1E71"/>
    <w:rsid w:val="007D1F85"/>
    <w:rsid w:val="007D1FE3"/>
    <w:rsid w:val="007D21B0"/>
    <w:rsid w:val="007D21E9"/>
    <w:rsid w:val="007D2350"/>
    <w:rsid w:val="007D23CE"/>
    <w:rsid w:val="007D23E1"/>
    <w:rsid w:val="007D2621"/>
    <w:rsid w:val="007D2636"/>
    <w:rsid w:val="007D271F"/>
    <w:rsid w:val="007D27BA"/>
    <w:rsid w:val="007D29B0"/>
    <w:rsid w:val="007D2B17"/>
    <w:rsid w:val="007D2BFE"/>
    <w:rsid w:val="007D2CAD"/>
    <w:rsid w:val="007D2E3A"/>
    <w:rsid w:val="007D30DA"/>
    <w:rsid w:val="007D30F2"/>
    <w:rsid w:val="007D321B"/>
    <w:rsid w:val="007D3285"/>
    <w:rsid w:val="007D339A"/>
    <w:rsid w:val="007D3457"/>
    <w:rsid w:val="007D3528"/>
    <w:rsid w:val="007D36CE"/>
    <w:rsid w:val="007D378A"/>
    <w:rsid w:val="007D37C2"/>
    <w:rsid w:val="007D3937"/>
    <w:rsid w:val="007D3A21"/>
    <w:rsid w:val="007D3BFB"/>
    <w:rsid w:val="007D3D92"/>
    <w:rsid w:val="007D3E7D"/>
    <w:rsid w:val="007D3EF9"/>
    <w:rsid w:val="007D42D2"/>
    <w:rsid w:val="007D42FE"/>
    <w:rsid w:val="007D4808"/>
    <w:rsid w:val="007D4B31"/>
    <w:rsid w:val="007D4CD6"/>
    <w:rsid w:val="007D4DCA"/>
    <w:rsid w:val="007D4F1E"/>
    <w:rsid w:val="007D4F54"/>
    <w:rsid w:val="007D5038"/>
    <w:rsid w:val="007D5051"/>
    <w:rsid w:val="007D52A3"/>
    <w:rsid w:val="007D53A6"/>
    <w:rsid w:val="007D5523"/>
    <w:rsid w:val="007D55E5"/>
    <w:rsid w:val="007D55F5"/>
    <w:rsid w:val="007D5638"/>
    <w:rsid w:val="007D5646"/>
    <w:rsid w:val="007D5741"/>
    <w:rsid w:val="007D5956"/>
    <w:rsid w:val="007D5B41"/>
    <w:rsid w:val="007D5CA8"/>
    <w:rsid w:val="007D5D08"/>
    <w:rsid w:val="007D5E98"/>
    <w:rsid w:val="007D6040"/>
    <w:rsid w:val="007D60EE"/>
    <w:rsid w:val="007D6145"/>
    <w:rsid w:val="007D614D"/>
    <w:rsid w:val="007D62D3"/>
    <w:rsid w:val="007D641C"/>
    <w:rsid w:val="007D643B"/>
    <w:rsid w:val="007D647E"/>
    <w:rsid w:val="007D64A1"/>
    <w:rsid w:val="007D66F6"/>
    <w:rsid w:val="007D6871"/>
    <w:rsid w:val="007D68FB"/>
    <w:rsid w:val="007D68FF"/>
    <w:rsid w:val="007D69EC"/>
    <w:rsid w:val="007D6B26"/>
    <w:rsid w:val="007D6B9E"/>
    <w:rsid w:val="007D6DFF"/>
    <w:rsid w:val="007D6E09"/>
    <w:rsid w:val="007D6E24"/>
    <w:rsid w:val="007D6F77"/>
    <w:rsid w:val="007D6FE4"/>
    <w:rsid w:val="007D702D"/>
    <w:rsid w:val="007D7328"/>
    <w:rsid w:val="007D7373"/>
    <w:rsid w:val="007D7471"/>
    <w:rsid w:val="007D76DF"/>
    <w:rsid w:val="007D774C"/>
    <w:rsid w:val="007D774E"/>
    <w:rsid w:val="007D77E2"/>
    <w:rsid w:val="007D7A19"/>
    <w:rsid w:val="007D7AB6"/>
    <w:rsid w:val="007D7B4E"/>
    <w:rsid w:val="007D7BBB"/>
    <w:rsid w:val="007E0256"/>
    <w:rsid w:val="007E02D8"/>
    <w:rsid w:val="007E03CD"/>
    <w:rsid w:val="007E07E3"/>
    <w:rsid w:val="007E08E7"/>
    <w:rsid w:val="007E09DC"/>
    <w:rsid w:val="007E0B6D"/>
    <w:rsid w:val="007E0CAF"/>
    <w:rsid w:val="007E0D63"/>
    <w:rsid w:val="007E0D65"/>
    <w:rsid w:val="007E1064"/>
    <w:rsid w:val="007E1085"/>
    <w:rsid w:val="007E10FD"/>
    <w:rsid w:val="007E12DB"/>
    <w:rsid w:val="007E1518"/>
    <w:rsid w:val="007E1585"/>
    <w:rsid w:val="007E15BD"/>
    <w:rsid w:val="007E172F"/>
    <w:rsid w:val="007E1823"/>
    <w:rsid w:val="007E19DE"/>
    <w:rsid w:val="007E1A0F"/>
    <w:rsid w:val="007E1D16"/>
    <w:rsid w:val="007E1D93"/>
    <w:rsid w:val="007E1E61"/>
    <w:rsid w:val="007E1FCD"/>
    <w:rsid w:val="007E20AF"/>
    <w:rsid w:val="007E230D"/>
    <w:rsid w:val="007E2420"/>
    <w:rsid w:val="007E2558"/>
    <w:rsid w:val="007E2565"/>
    <w:rsid w:val="007E2649"/>
    <w:rsid w:val="007E29DF"/>
    <w:rsid w:val="007E29F8"/>
    <w:rsid w:val="007E2CD3"/>
    <w:rsid w:val="007E2CDF"/>
    <w:rsid w:val="007E2ECC"/>
    <w:rsid w:val="007E2F09"/>
    <w:rsid w:val="007E2F6D"/>
    <w:rsid w:val="007E2FA4"/>
    <w:rsid w:val="007E2FF2"/>
    <w:rsid w:val="007E3114"/>
    <w:rsid w:val="007E3117"/>
    <w:rsid w:val="007E32BE"/>
    <w:rsid w:val="007E3358"/>
    <w:rsid w:val="007E3594"/>
    <w:rsid w:val="007E39F5"/>
    <w:rsid w:val="007E3A01"/>
    <w:rsid w:val="007E3AEC"/>
    <w:rsid w:val="007E3C0F"/>
    <w:rsid w:val="007E3C16"/>
    <w:rsid w:val="007E3C7B"/>
    <w:rsid w:val="007E3D1C"/>
    <w:rsid w:val="007E3E1E"/>
    <w:rsid w:val="007E3EE9"/>
    <w:rsid w:val="007E40FF"/>
    <w:rsid w:val="007E415D"/>
    <w:rsid w:val="007E41E1"/>
    <w:rsid w:val="007E4487"/>
    <w:rsid w:val="007E4588"/>
    <w:rsid w:val="007E4747"/>
    <w:rsid w:val="007E4810"/>
    <w:rsid w:val="007E4824"/>
    <w:rsid w:val="007E48CD"/>
    <w:rsid w:val="007E4A1B"/>
    <w:rsid w:val="007E4E55"/>
    <w:rsid w:val="007E4E9E"/>
    <w:rsid w:val="007E4F30"/>
    <w:rsid w:val="007E50EE"/>
    <w:rsid w:val="007E551D"/>
    <w:rsid w:val="007E5638"/>
    <w:rsid w:val="007E573C"/>
    <w:rsid w:val="007E58DD"/>
    <w:rsid w:val="007E58EB"/>
    <w:rsid w:val="007E5967"/>
    <w:rsid w:val="007E59E1"/>
    <w:rsid w:val="007E5D40"/>
    <w:rsid w:val="007E5D56"/>
    <w:rsid w:val="007E5D84"/>
    <w:rsid w:val="007E5F6B"/>
    <w:rsid w:val="007E60B7"/>
    <w:rsid w:val="007E6175"/>
    <w:rsid w:val="007E61D5"/>
    <w:rsid w:val="007E632F"/>
    <w:rsid w:val="007E673B"/>
    <w:rsid w:val="007E6962"/>
    <w:rsid w:val="007E6D28"/>
    <w:rsid w:val="007E6D92"/>
    <w:rsid w:val="007E6E38"/>
    <w:rsid w:val="007E7330"/>
    <w:rsid w:val="007E7562"/>
    <w:rsid w:val="007E75B8"/>
    <w:rsid w:val="007E764F"/>
    <w:rsid w:val="007E76B6"/>
    <w:rsid w:val="007E76C9"/>
    <w:rsid w:val="007E76E2"/>
    <w:rsid w:val="007E7804"/>
    <w:rsid w:val="007E7A72"/>
    <w:rsid w:val="007E7C5F"/>
    <w:rsid w:val="007E7CF6"/>
    <w:rsid w:val="007E7DD6"/>
    <w:rsid w:val="007E7E11"/>
    <w:rsid w:val="007E7EE2"/>
    <w:rsid w:val="007F01D6"/>
    <w:rsid w:val="007F046A"/>
    <w:rsid w:val="007F0494"/>
    <w:rsid w:val="007F0562"/>
    <w:rsid w:val="007F0634"/>
    <w:rsid w:val="007F08CA"/>
    <w:rsid w:val="007F0BA4"/>
    <w:rsid w:val="007F0C14"/>
    <w:rsid w:val="007F0CE5"/>
    <w:rsid w:val="007F0D42"/>
    <w:rsid w:val="007F0F3C"/>
    <w:rsid w:val="007F10B1"/>
    <w:rsid w:val="007F1115"/>
    <w:rsid w:val="007F12AB"/>
    <w:rsid w:val="007F1376"/>
    <w:rsid w:val="007F1934"/>
    <w:rsid w:val="007F1A58"/>
    <w:rsid w:val="007F1B5F"/>
    <w:rsid w:val="007F1C7B"/>
    <w:rsid w:val="007F1CE2"/>
    <w:rsid w:val="007F1DF8"/>
    <w:rsid w:val="007F1E56"/>
    <w:rsid w:val="007F1EF2"/>
    <w:rsid w:val="007F201F"/>
    <w:rsid w:val="007F228C"/>
    <w:rsid w:val="007F26FA"/>
    <w:rsid w:val="007F2792"/>
    <w:rsid w:val="007F27FB"/>
    <w:rsid w:val="007F2827"/>
    <w:rsid w:val="007F2AB4"/>
    <w:rsid w:val="007F2B12"/>
    <w:rsid w:val="007F2B44"/>
    <w:rsid w:val="007F2D08"/>
    <w:rsid w:val="007F2D9B"/>
    <w:rsid w:val="007F2E7A"/>
    <w:rsid w:val="007F32BB"/>
    <w:rsid w:val="007F339C"/>
    <w:rsid w:val="007F340C"/>
    <w:rsid w:val="007F35ED"/>
    <w:rsid w:val="007F373A"/>
    <w:rsid w:val="007F37B2"/>
    <w:rsid w:val="007F3B57"/>
    <w:rsid w:val="007F3B6E"/>
    <w:rsid w:val="007F3E68"/>
    <w:rsid w:val="007F40D5"/>
    <w:rsid w:val="007F4267"/>
    <w:rsid w:val="007F429D"/>
    <w:rsid w:val="007F432F"/>
    <w:rsid w:val="007F44DE"/>
    <w:rsid w:val="007F4609"/>
    <w:rsid w:val="007F461F"/>
    <w:rsid w:val="007F476E"/>
    <w:rsid w:val="007F4925"/>
    <w:rsid w:val="007F4A00"/>
    <w:rsid w:val="007F4B09"/>
    <w:rsid w:val="007F4BA4"/>
    <w:rsid w:val="007F4DAE"/>
    <w:rsid w:val="007F4DEF"/>
    <w:rsid w:val="007F4F82"/>
    <w:rsid w:val="007F507C"/>
    <w:rsid w:val="007F5093"/>
    <w:rsid w:val="007F540E"/>
    <w:rsid w:val="007F5754"/>
    <w:rsid w:val="007F5EF7"/>
    <w:rsid w:val="007F5F47"/>
    <w:rsid w:val="007F6019"/>
    <w:rsid w:val="007F6056"/>
    <w:rsid w:val="007F6199"/>
    <w:rsid w:val="007F61C1"/>
    <w:rsid w:val="007F61D4"/>
    <w:rsid w:val="007F62C7"/>
    <w:rsid w:val="007F64CC"/>
    <w:rsid w:val="007F66FF"/>
    <w:rsid w:val="007F67BE"/>
    <w:rsid w:val="007F6B00"/>
    <w:rsid w:val="007F6B12"/>
    <w:rsid w:val="007F6B5D"/>
    <w:rsid w:val="007F6D54"/>
    <w:rsid w:val="007F7114"/>
    <w:rsid w:val="007F7158"/>
    <w:rsid w:val="007F7179"/>
    <w:rsid w:val="007F71EB"/>
    <w:rsid w:val="007F732F"/>
    <w:rsid w:val="007F74BC"/>
    <w:rsid w:val="007F75B5"/>
    <w:rsid w:val="007F7616"/>
    <w:rsid w:val="007F769C"/>
    <w:rsid w:val="007F77FE"/>
    <w:rsid w:val="007F79EF"/>
    <w:rsid w:val="007F7AC2"/>
    <w:rsid w:val="007F7B1C"/>
    <w:rsid w:val="007F7C07"/>
    <w:rsid w:val="007F7C48"/>
    <w:rsid w:val="007F7F56"/>
    <w:rsid w:val="007F7F9F"/>
    <w:rsid w:val="0080027F"/>
    <w:rsid w:val="008002A1"/>
    <w:rsid w:val="0080049C"/>
    <w:rsid w:val="008004FE"/>
    <w:rsid w:val="00800535"/>
    <w:rsid w:val="0080054D"/>
    <w:rsid w:val="00800602"/>
    <w:rsid w:val="0080067A"/>
    <w:rsid w:val="0080080B"/>
    <w:rsid w:val="00800944"/>
    <w:rsid w:val="00800C85"/>
    <w:rsid w:val="00800CCC"/>
    <w:rsid w:val="00800E17"/>
    <w:rsid w:val="00800E8C"/>
    <w:rsid w:val="008011AB"/>
    <w:rsid w:val="00801423"/>
    <w:rsid w:val="0080144C"/>
    <w:rsid w:val="00801451"/>
    <w:rsid w:val="00801577"/>
    <w:rsid w:val="008017CD"/>
    <w:rsid w:val="008017EE"/>
    <w:rsid w:val="00801AEE"/>
    <w:rsid w:val="00801C8F"/>
    <w:rsid w:val="00801D5C"/>
    <w:rsid w:val="00801D7D"/>
    <w:rsid w:val="00801DD3"/>
    <w:rsid w:val="00801DFE"/>
    <w:rsid w:val="00801E50"/>
    <w:rsid w:val="00801EC9"/>
    <w:rsid w:val="00802090"/>
    <w:rsid w:val="008020AC"/>
    <w:rsid w:val="008020C1"/>
    <w:rsid w:val="00802153"/>
    <w:rsid w:val="00802213"/>
    <w:rsid w:val="0080238E"/>
    <w:rsid w:val="008023F2"/>
    <w:rsid w:val="00802493"/>
    <w:rsid w:val="008024D7"/>
    <w:rsid w:val="00802848"/>
    <w:rsid w:val="008029E8"/>
    <w:rsid w:val="00802B63"/>
    <w:rsid w:val="00802C2B"/>
    <w:rsid w:val="00802C92"/>
    <w:rsid w:val="00802EF5"/>
    <w:rsid w:val="0080300A"/>
    <w:rsid w:val="00803120"/>
    <w:rsid w:val="00803169"/>
    <w:rsid w:val="00803182"/>
    <w:rsid w:val="008031BE"/>
    <w:rsid w:val="00803294"/>
    <w:rsid w:val="00803330"/>
    <w:rsid w:val="008037B0"/>
    <w:rsid w:val="008038B4"/>
    <w:rsid w:val="0080398A"/>
    <w:rsid w:val="00803A16"/>
    <w:rsid w:val="00803D82"/>
    <w:rsid w:val="00803DAC"/>
    <w:rsid w:val="00803E7B"/>
    <w:rsid w:val="00803F6A"/>
    <w:rsid w:val="00804166"/>
    <w:rsid w:val="008041AC"/>
    <w:rsid w:val="008044A5"/>
    <w:rsid w:val="00804567"/>
    <w:rsid w:val="008048E3"/>
    <w:rsid w:val="00804A66"/>
    <w:rsid w:val="00804B5A"/>
    <w:rsid w:val="00804CCC"/>
    <w:rsid w:val="00804DD3"/>
    <w:rsid w:val="0080510D"/>
    <w:rsid w:val="0080567D"/>
    <w:rsid w:val="008059AE"/>
    <w:rsid w:val="00805A1B"/>
    <w:rsid w:val="00805A24"/>
    <w:rsid w:val="00805AAF"/>
    <w:rsid w:val="00805D60"/>
    <w:rsid w:val="00805DC0"/>
    <w:rsid w:val="00805EF8"/>
    <w:rsid w:val="00805F58"/>
    <w:rsid w:val="0080641B"/>
    <w:rsid w:val="00806421"/>
    <w:rsid w:val="00806434"/>
    <w:rsid w:val="00806439"/>
    <w:rsid w:val="00806651"/>
    <w:rsid w:val="00806666"/>
    <w:rsid w:val="00806749"/>
    <w:rsid w:val="008067F8"/>
    <w:rsid w:val="0080695B"/>
    <w:rsid w:val="00806A42"/>
    <w:rsid w:val="00806D4D"/>
    <w:rsid w:val="00806ECC"/>
    <w:rsid w:val="00807019"/>
    <w:rsid w:val="008070BE"/>
    <w:rsid w:val="008070CA"/>
    <w:rsid w:val="008070D4"/>
    <w:rsid w:val="00807305"/>
    <w:rsid w:val="00807324"/>
    <w:rsid w:val="00807346"/>
    <w:rsid w:val="008073BC"/>
    <w:rsid w:val="00807559"/>
    <w:rsid w:val="0080761E"/>
    <w:rsid w:val="008077EC"/>
    <w:rsid w:val="008078F8"/>
    <w:rsid w:val="00807C3E"/>
    <w:rsid w:val="00807E02"/>
    <w:rsid w:val="00807E5F"/>
    <w:rsid w:val="00807F1C"/>
    <w:rsid w:val="00807F88"/>
    <w:rsid w:val="00810281"/>
    <w:rsid w:val="00810385"/>
    <w:rsid w:val="0081038A"/>
    <w:rsid w:val="0081048B"/>
    <w:rsid w:val="00810596"/>
    <w:rsid w:val="008105A5"/>
    <w:rsid w:val="00810752"/>
    <w:rsid w:val="00810812"/>
    <w:rsid w:val="00810848"/>
    <w:rsid w:val="00810A0C"/>
    <w:rsid w:val="008110D7"/>
    <w:rsid w:val="008110E1"/>
    <w:rsid w:val="00811161"/>
    <w:rsid w:val="008111D0"/>
    <w:rsid w:val="008113AF"/>
    <w:rsid w:val="00811571"/>
    <w:rsid w:val="008115C2"/>
    <w:rsid w:val="008117BF"/>
    <w:rsid w:val="00811869"/>
    <w:rsid w:val="0081188B"/>
    <w:rsid w:val="00811AF4"/>
    <w:rsid w:val="0081208E"/>
    <w:rsid w:val="008120D3"/>
    <w:rsid w:val="008125FD"/>
    <w:rsid w:val="00812685"/>
    <w:rsid w:val="008127AA"/>
    <w:rsid w:val="00812883"/>
    <w:rsid w:val="00813059"/>
    <w:rsid w:val="008130C8"/>
    <w:rsid w:val="0081322F"/>
    <w:rsid w:val="00813280"/>
    <w:rsid w:val="00813288"/>
    <w:rsid w:val="008132DB"/>
    <w:rsid w:val="008132EF"/>
    <w:rsid w:val="008132F6"/>
    <w:rsid w:val="00813433"/>
    <w:rsid w:val="0081364A"/>
    <w:rsid w:val="0081396F"/>
    <w:rsid w:val="00813A27"/>
    <w:rsid w:val="00813A86"/>
    <w:rsid w:val="00813BD9"/>
    <w:rsid w:val="00813C4C"/>
    <w:rsid w:val="00813C7E"/>
    <w:rsid w:val="00813C82"/>
    <w:rsid w:val="00813DF7"/>
    <w:rsid w:val="00813FBA"/>
    <w:rsid w:val="00813FF6"/>
    <w:rsid w:val="0081406D"/>
    <w:rsid w:val="00814453"/>
    <w:rsid w:val="0081445B"/>
    <w:rsid w:val="0081465D"/>
    <w:rsid w:val="0081469B"/>
    <w:rsid w:val="008146F8"/>
    <w:rsid w:val="00814762"/>
    <w:rsid w:val="00814FAD"/>
    <w:rsid w:val="0081505A"/>
    <w:rsid w:val="008150FF"/>
    <w:rsid w:val="0081512F"/>
    <w:rsid w:val="008151D4"/>
    <w:rsid w:val="0081529B"/>
    <w:rsid w:val="00815336"/>
    <w:rsid w:val="008154BD"/>
    <w:rsid w:val="0081555E"/>
    <w:rsid w:val="008155CC"/>
    <w:rsid w:val="00815642"/>
    <w:rsid w:val="0081574B"/>
    <w:rsid w:val="00815C79"/>
    <w:rsid w:val="00815E94"/>
    <w:rsid w:val="0081612A"/>
    <w:rsid w:val="0081614A"/>
    <w:rsid w:val="00816162"/>
    <w:rsid w:val="008162A4"/>
    <w:rsid w:val="00816471"/>
    <w:rsid w:val="008164B8"/>
    <w:rsid w:val="008164CE"/>
    <w:rsid w:val="00816532"/>
    <w:rsid w:val="00816647"/>
    <w:rsid w:val="00816703"/>
    <w:rsid w:val="0081675E"/>
    <w:rsid w:val="00816BC8"/>
    <w:rsid w:val="00816E11"/>
    <w:rsid w:val="00816E14"/>
    <w:rsid w:val="00817065"/>
    <w:rsid w:val="00817119"/>
    <w:rsid w:val="008171B2"/>
    <w:rsid w:val="00817447"/>
    <w:rsid w:val="00817484"/>
    <w:rsid w:val="008174C1"/>
    <w:rsid w:val="008177B4"/>
    <w:rsid w:val="00817A19"/>
    <w:rsid w:val="00817BBB"/>
    <w:rsid w:val="00817C9D"/>
    <w:rsid w:val="00817CE5"/>
    <w:rsid w:val="00817ECD"/>
    <w:rsid w:val="00817F31"/>
    <w:rsid w:val="00817F6C"/>
    <w:rsid w:val="00817F97"/>
    <w:rsid w:val="008200A6"/>
    <w:rsid w:val="008200A7"/>
    <w:rsid w:val="00820126"/>
    <w:rsid w:val="0082014E"/>
    <w:rsid w:val="008202C4"/>
    <w:rsid w:val="008203A6"/>
    <w:rsid w:val="00820632"/>
    <w:rsid w:val="0082074C"/>
    <w:rsid w:val="00820769"/>
    <w:rsid w:val="00820855"/>
    <w:rsid w:val="00820CBF"/>
    <w:rsid w:val="00820D58"/>
    <w:rsid w:val="00821020"/>
    <w:rsid w:val="00821251"/>
    <w:rsid w:val="0082183A"/>
    <w:rsid w:val="008219B1"/>
    <w:rsid w:val="00821A29"/>
    <w:rsid w:val="00821AA9"/>
    <w:rsid w:val="00821ABD"/>
    <w:rsid w:val="00821AEB"/>
    <w:rsid w:val="00821C69"/>
    <w:rsid w:val="00821CEF"/>
    <w:rsid w:val="00821D25"/>
    <w:rsid w:val="0082208C"/>
    <w:rsid w:val="008220FD"/>
    <w:rsid w:val="0082276A"/>
    <w:rsid w:val="00822825"/>
    <w:rsid w:val="00822A87"/>
    <w:rsid w:val="00822AE8"/>
    <w:rsid w:val="00822CC8"/>
    <w:rsid w:val="00822ED0"/>
    <w:rsid w:val="00822F2B"/>
    <w:rsid w:val="0082302F"/>
    <w:rsid w:val="00823041"/>
    <w:rsid w:val="00823233"/>
    <w:rsid w:val="0082335F"/>
    <w:rsid w:val="0082342A"/>
    <w:rsid w:val="0082348F"/>
    <w:rsid w:val="0082356F"/>
    <w:rsid w:val="008236B8"/>
    <w:rsid w:val="00823823"/>
    <w:rsid w:val="0082387F"/>
    <w:rsid w:val="0082390F"/>
    <w:rsid w:val="00823B7F"/>
    <w:rsid w:val="00823D75"/>
    <w:rsid w:val="00823ECA"/>
    <w:rsid w:val="008240D3"/>
    <w:rsid w:val="008240DC"/>
    <w:rsid w:val="0082428E"/>
    <w:rsid w:val="008242A4"/>
    <w:rsid w:val="00824426"/>
    <w:rsid w:val="0082459E"/>
    <w:rsid w:val="00824696"/>
    <w:rsid w:val="00824703"/>
    <w:rsid w:val="0082496B"/>
    <w:rsid w:val="00824A03"/>
    <w:rsid w:val="00824A94"/>
    <w:rsid w:val="00824AA1"/>
    <w:rsid w:val="00824B0E"/>
    <w:rsid w:val="00824BC7"/>
    <w:rsid w:val="00824C9D"/>
    <w:rsid w:val="00824CB8"/>
    <w:rsid w:val="00824DEB"/>
    <w:rsid w:val="00824E0C"/>
    <w:rsid w:val="00824ECD"/>
    <w:rsid w:val="00824ED2"/>
    <w:rsid w:val="00824F3B"/>
    <w:rsid w:val="00825345"/>
    <w:rsid w:val="0082541E"/>
    <w:rsid w:val="008257E3"/>
    <w:rsid w:val="0082582A"/>
    <w:rsid w:val="00825B11"/>
    <w:rsid w:val="00825CFD"/>
    <w:rsid w:val="00825E09"/>
    <w:rsid w:val="00825F6E"/>
    <w:rsid w:val="00825F87"/>
    <w:rsid w:val="008260B8"/>
    <w:rsid w:val="0082615B"/>
    <w:rsid w:val="008266A7"/>
    <w:rsid w:val="0082671B"/>
    <w:rsid w:val="00826737"/>
    <w:rsid w:val="00826907"/>
    <w:rsid w:val="00826A16"/>
    <w:rsid w:val="00826A7E"/>
    <w:rsid w:val="00826C23"/>
    <w:rsid w:val="00826CB5"/>
    <w:rsid w:val="00826E32"/>
    <w:rsid w:val="008270C3"/>
    <w:rsid w:val="00827126"/>
    <w:rsid w:val="008273DE"/>
    <w:rsid w:val="008273F8"/>
    <w:rsid w:val="008276D1"/>
    <w:rsid w:val="00827830"/>
    <w:rsid w:val="00827B49"/>
    <w:rsid w:val="00827D3D"/>
    <w:rsid w:val="00827E38"/>
    <w:rsid w:val="008300F6"/>
    <w:rsid w:val="008302AD"/>
    <w:rsid w:val="00830444"/>
    <w:rsid w:val="008304FC"/>
    <w:rsid w:val="0083050A"/>
    <w:rsid w:val="00830597"/>
    <w:rsid w:val="008305A6"/>
    <w:rsid w:val="00830663"/>
    <w:rsid w:val="008307CB"/>
    <w:rsid w:val="00830A49"/>
    <w:rsid w:val="00830A60"/>
    <w:rsid w:val="00830B9D"/>
    <w:rsid w:val="00830D5D"/>
    <w:rsid w:val="00830E52"/>
    <w:rsid w:val="00830FCF"/>
    <w:rsid w:val="00831047"/>
    <w:rsid w:val="00831418"/>
    <w:rsid w:val="00831475"/>
    <w:rsid w:val="00831963"/>
    <w:rsid w:val="00831D55"/>
    <w:rsid w:val="00831DAD"/>
    <w:rsid w:val="00831FCC"/>
    <w:rsid w:val="00832136"/>
    <w:rsid w:val="0083213F"/>
    <w:rsid w:val="00832262"/>
    <w:rsid w:val="0083233F"/>
    <w:rsid w:val="008324E3"/>
    <w:rsid w:val="00832569"/>
    <w:rsid w:val="008325C0"/>
    <w:rsid w:val="00832656"/>
    <w:rsid w:val="0083276D"/>
    <w:rsid w:val="008328B1"/>
    <w:rsid w:val="008329B2"/>
    <w:rsid w:val="00832A6A"/>
    <w:rsid w:val="00832BA0"/>
    <w:rsid w:val="00832BD9"/>
    <w:rsid w:val="00832DAE"/>
    <w:rsid w:val="00833293"/>
    <w:rsid w:val="008333F8"/>
    <w:rsid w:val="00833530"/>
    <w:rsid w:val="00833664"/>
    <w:rsid w:val="0083382E"/>
    <w:rsid w:val="0083395F"/>
    <w:rsid w:val="00833A4E"/>
    <w:rsid w:val="00833A6F"/>
    <w:rsid w:val="00833B18"/>
    <w:rsid w:val="00833B9F"/>
    <w:rsid w:val="00833C24"/>
    <w:rsid w:val="00833C6F"/>
    <w:rsid w:val="00833CC1"/>
    <w:rsid w:val="00833D9E"/>
    <w:rsid w:val="00833E2F"/>
    <w:rsid w:val="00833E59"/>
    <w:rsid w:val="008341DB"/>
    <w:rsid w:val="0083424B"/>
    <w:rsid w:val="008344EC"/>
    <w:rsid w:val="00834556"/>
    <w:rsid w:val="0083460F"/>
    <w:rsid w:val="0083468A"/>
    <w:rsid w:val="0083483D"/>
    <w:rsid w:val="0083499B"/>
    <w:rsid w:val="00834B02"/>
    <w:rsid w:val="00834D2A"/>
    <w:rsid w:val="00834E27"/>
    <w:rsid w:val="00834E86"/>
    <w:rsid w:val="00834F6B"/>
    <w:rsid w:val="00834F9D"/>
    <w:rsid w:val="00834FCA"/>
    <w:rsid w:val="008351CB"/>
    <w:rsid w:val="00835401"/>
    <w:rsid w:val="00835467"/>
    <w:rsid w:val="008354CC"/>
    <w:rsid w:val="008354D8"/>
    <w:rsid w:val="0083551F"/>
    <w:rsid w:val="00835588"/>
    <w:rsid w:val="008356C8"/>
    <w:rsid w:val="00835721"/>
    <w:rsid w:val="00835822"/>
    <w:rsid w:val="0083592A"/>
    <w:rsid w:val="00835A1B"/>
    <w:rsid w:val="00835AB3"/>
    <w:rsid w:val="00835B2C"/>
    <w:rsid w:val="00835CFF"/>
    <w:rsid w:val="00835D7E"/>
    <w:rsid w:val="00835F88"/>
    <w:rsid w:val="0083603D"/>
    <w:rsid w:val="008360DF"/>
    <w:rsid w:val="00836231"/>
    <w:rsid w:val="0083628B"/>
    <w:rsid w:val="00836414"/>
    <w:rsid w:val="0083663A"/>
    <w:rsid w:val="0083679B"/>
    <w:rsid w:val="008367B6"/>
    <w:rsid w:val="0083684B"/>
    <w:rsid w:val="008368D7"/>
    <w:rsid w:val="00836A20"/>
    <w:rsid w:val="00836A9D"/>
    <w:rsid w:val="00836BDB"/>
    <w:rsid w:val="00836CCE"/>
    <w:rsid w:val="00836D13"/>
    <w:rsid w:val="00836E8D"/>
    <w:rsid w:val="00836FAA"/>
    <w:rsid w:val="00836FD1"/>
    <w:rsid w:val="008370AD"/>
    <w:rsid w:val="008370AF"/>
    <w:rsid w:val="008372DB"/>
    <w:rsid w:val="00837335"/>
    <w:rsid w:val="0083758B"/>
    <w:rsid w:val="0083770C"/>
    <w:rsid w:val="008378C7"/>
    <w:rsid w:val="008378F0"/>
    <w:rsid w:val="00837D76"/>
    <w:rsid w:val="00837FAF"/>
    <w:rsid w:val="00840227"/>
    <w:rsid w:val="00840296"/>
    <w:rsid w:val="0084041D"/>
    <w:rsid w:val="0084053C"/>
    <w:rsid w:val="0084086E"/>
    <w:rsid w:val="00840959"/>
    <w:rsid w:val="00840BBB"/>
    <w:rsid w:val="00840BD8"/>
    <w:rsid w:val="00840E89"/>
    <w:rsid w:val="00840FF7"/>
    <w:rsid w:val="008412E5"/>
    <w:rsid w:val="00841378"/>
    <w:rsid w:val="0084137A"/>
    <w:rsid w:val="008414EB"/>
    <w:rsid w:val="008416FA"/>
    <w:rsid w:val="00841907"/>
    <w:rsid w:val="00841925"/>
    <w:rsid w:val="00841A27"/>
    <w:rsid w:val="00841AE9"/>
    <w:rsid w:val="00841BF6"/>
    <w:rsid w:val="00841C72"/>
    <w:rsid w:val="00841CD3"/>
    <w:rsid w:val="00841E0E"/>
    <w:rsid w:val="008420E0"/>
    <w:rsid w:val="008423D7"/>
    <w:rsid w:val="00842439"/>
    <w:rsid w:val="00842580"/>
    <w:rsid w:val="00842803"/>
    <w:rsid w:val="00842974"/>
    <w:rsid w:val="00842AE5"/>
    <w:rsid w:val="00842CC3"/>
    <w:rsid w:val="00842DC3"/>
    <w:rsid w:val="00842DD1"/>
    <w:rsid w:val="00842DD5"/>
    <w:rsid w:val="00842E81"/>
    <w:rsid w:val="008430A2"/>
    <w:rsid w:val="00843238"/>
    <w:rsid w:val="008432AF"/>
    <w:rsid w:val="008435A7"/>
    <w:rsid w:val="008435B7"/>
    <w:rsid w:val="00843633"/>
    <w:rsid w:val="008437EA"/>
    <w:rsid w:val="0084381D"/>
    <w:rsid w:val="00843844"/>
    <w:rsid w:val="00843A9E"/>
    <w:rsid w:val="00843AAD"/>
    <w:rsid w:val="00844032"/>
    <w:rsid w:val="008440A6"/>
    <w:rsid w:val="008441D9"/>
    <w:rsid w:val="008441F5"/>
    <w:rsid w:val="00844294"/>
    <w:rsid w:val="0084430F"/>
    <w:rsid w:val="00844347"/>
    <w:rsid w:val="0084437F"/>
    <w:rsid w:val="00844458"/>
    <w:rsid w:val="0084459A"/>
    <w:rsid w:val="008445A2"/>
    <w:rsid w:val="00844670"/>
    <w:rsid w:val="008446B2"/>
    <w:rsid w:val="00844AA4"/>
    <w:rsid w:val="00844C54"/>
    <w:rsid w:val="00844CD6"/>
    <w:rsid w:val="00844CF2"/>
    <w:rsid w:val="00844DF5"/>
    <w:rsid w:val="00844F30"/>
    <w:rsid w:val="00844FA7"/>
    <w:rsid w:val="008450F3"/>
    <w:rsid w:val="00845107"/>
    <w:rsid w:val="00845131"/>
    <w:rsid w:val="00845159"/>
    <w:rsid w:val="008451CC"/>
    <w:rsid w:val="00845372"/>
    <w:rsid w:val="008454D9"/>
    <w:rsid w:val="0084579C"/>
    <w:rsid w:val="00845946"/>
    <w:rsid w:val="0084597D"/>
    <w:rsid w:val="008459C1"/>
    <w:rsid w:val="00845A5F"/>
    <w:rsid w:val="00845B31"/>
    <w:rsid w:val="00845B7E"/>
    <w:rsid w:val="00845BE8"/>
    <w:rsid w:val="00845CBF"/>
    <w:rsid w:val="00845CF1"/>
    <w:rsid w:val="00845ED3"/>
    <w:rsid w:val="00846009"/>
    <w:rsid w:val="00846250"/>
    <w:rsid w:val="008462B3"/>
    <w:rsid w:val="0084651C"/>
    <w:rsid w:val="0084658D"/>
    <w:rsid w:val="008465DF"/>
    <w:rsid w:val="0084689D"/>
    <w:rsid w:val="00846962"/>
    <w:rsid w:val="00846CF3"/>
    <w:rsid w:val="00846F81"/>
    <w:rsid w:val="00846FB4"/>
    <w:rsid w:val="00846FFD"/>
    <w:rsid w:val="00847067"/>
    <w:rsid w:val="008471F9"/>
    <w:rsid w:val="008473C4"/>
    <w:rsid w:val="008476A0"/>
    <w:rsid w:val="008477E2"/>
    <w:rsid w:val="00847B68"/>
    <w:rsid w:val="00847D1F"/>
    <w:rsid w:val="00847DB7"/>
    <w:rsid w:val="00847E8C"/>
    <w:rsid w:val="00847F94"/>
    <w:rsid w:val="008502DA"/>
    <w:rsid w:val="008502F4"/>
    <w:rsid w:val="00850304"/>
    <w:rsid w:val="0085031A"/>
    <w:rsid w:val="008503F8"/>
    <w:rsid w:val="0085041B"/>
    <w:rsid w:val="00850468"/>
    <w:rsid w:val="008506F5"/>
    <w:rsid w:val="008509E0"/>
    <w:rsid w:val="00850AAE"/>
    <w:rsid w:val="00850ADC"/>
    <w:rsid w:val="00850B66"/>
    <w:rsid w:val="00850C70"/>
    <w:rsid w:val="00850DC8"/>
    <w:rsid w:val="00850E06"/>
    <w:rsid w:val="00850EDB"/>
    <w:rsid w:val="00850FFA"/>
    <w:rsid w:val="0085111E"/>
    <w:rsid w:val="008511C2"/>
    <w:rsid w:val="008513D2"/>
    <w:rsid w:val="00851750"/>
    <w:rsid w:val="0085177E"/>
    <w:rsid w:val="0085196D"/>
    <w:rsid w:val="00851A5D"/>
    <w:rsid w:val="00851C5E"/>
    <w:rsid w:val="00851C9A"/>
    <w:rsid w:val="00851CE0"/>
    <w:rsid w:val="00852057"/>
    <w:rsid w:val="008522A9"/>
    <w:rsid w:val="00852319"/>
    <w:rsid w:val="008523C0"/>
    <w:rsid w:val="008523C6"/>
    <w:rsid w:val="008524FA"/>
    <w:rsid w:val="00852588"/>
    <w:rsid w:val="0085289B"/>
    <w:rsid w:val="00852A19"/>
    <w:rsid w:val="00852A33"/>
    <w:rsid w:val="00852AFE"/>
    <w:rsid w:val="00852EB1"/>
    <w:rsid w:val="00852F38"/>
    <w:rsid w:val="00853006"/>
    <w:rsid w:val="008531B6"/>
    <w:rsid w:val="008532AB"/>
    <w:rsid w:val="00853650"/>
    <w:rsid w:val="008536E8"/>
    <w:rsid w:val="00853791"/>
    <w:rsid w:val="00853875"/>
    <w:rsid w:val="008538C7"/>
    <w:rsid w:val="00853AF0"/>
    <w:rsid w:val="00853C0C"/>
    <w:rsid w:val="00853C8C"/>
    <w:rsid w:val="00854146"/>
    <w:rsid w:val="0085441F"/>
    <w:rsid w:val="008545CF"/>
    <w:rsid w:val="0085470F"/>
    <w:rsid w:val="00854973"/>
    <w:rsid w:val="008549B9"/>
    <w:rsid w:val="00854C15"/>
    <w:rsid w:val="00854C2C"/>
    <w:rsid w:val="00854CAB"/>
    <w:rsid w:val="00854D1F"/>
    <w:rsid w:val="00854E7C"/>
    <w:rsid w:val="00854ED9"/>
    <w:rsid w:val="00854EF0"/>
    <w:rsid w:val="00855135"/>
    <w:rsid w:val="008552AD"/>
    <w:rsid w:val="0085535A"/>
    <w:rsid w:val="008554A4"/>
    <w:rsid w:val="00855582"/>
    <w:rsid w:val="00855615"/>
    <w:rsid w:val="008556BF"/>
    <w:rsid w:val="0085576A"/>
    <w:rsid w:val="00855791"/>
    <w:rsid w:val="00855A43"/>
    <w:rsid w:val="00855B5D"/>
    <w:rsid w:val="0085608B"/>
    <w:rsid w:val="00856273"/>
    <w:rsid w:val="00856275"/>
    <w:rsid w:val="008563E9"/>
    <w:rsid w:val="00856469"/>
    <w:rsid w:val="008566C6"/>
    <w:rsid w:val="00856834"/>
    <w:rsid w:val="00856ADB"/>
    <w:rsid w:val="00856C34"/>
    <w:rsid w:val="00856CAB"/>
    <w:rsid w:val="00856CF6"/>
    <w:rsid w:val="00856D36"/>
    <w:rsid w:val="00856DDF"/>
    <w:rsid w:val="0085704D"/>
    <w:rsid w:val="0085717A"/>
    <w:rsid w:val="008573D4"/>
    <w:rsid w:val="008574A3"/>
    <w:rsid w:val="008575F8"/>
    <w:rsid w:val="00857706"/>
    <w:rsid w:val="0085774C"/>
    <w:rsid w:val="0085774F"/>
    <w:rsid w:val="0085779F"/>
    <w:rsid w:val="008579B5"/>
    <w:rsid w:val="00857A98"/>
    <w:rsid w:val="008602E0"/>
    <w:rsid w:val="008604CE"/>
    <w:rsid w:val="00860658"/>
    <w:rsid w:val="008606FF"/>
    <w:rsid w:val="00860796"/>
    <w:rsid w:val="00860A05"/>
    <w:rsid w:val="00860A9C"/>
    <w:rsid w:val="00860C31"/>
    <w:rsid w:val="00860F2E"/>
    <w:rsid w:val="00860F95"/>
    <w:rsid w:val="00861014"/>
    <w:rsid w:val="0086103B"/>
    <w:rsid w:val="008610AB"/>
    <w:rsid w:val="00861159"/>
    <w:rsid w:val="00861297"/>
    <w:rsid w:val="008613FB"/>
    <w:rsid w:val="008615A7"/>
    <w:rsid w:val="008615E1"/>
    <w:rsid w:val="00861636"/>
    <w:rsid w:val="00861758"/>
    <w:rsid w:val="00861773"/>
    <w:rsid w:val="00861813"/>
    <w:rsid w:val="00861A56"/>
    <w:rsid w:val="00861A59"/>
    <w:rsid w:val="00861B09"/>
    <w:rsid w:val="00861C4B"/>
    <w:rsid w:val="00861D2A"/>
    <w:rsid w:val="00861D6F"/>
    <w:rsid w:val="00862011"/>
    <w:rsid w:val="008621C6"/>
    <w:rsid w:val="00862200"/>
    <w:rsid w:val="00862346"/>
    <w:rsid w:val="0086281F"/>
    <w:rsid w:val="0086282C"/>
    <w:rsid w:val="00862974"/>
    <w:rsid w:val="0086297E"/>
    <w:rsid w:val="00862B69"/>
    <w:rsid w:val="00862B80"/>
    <w:rsid w:val="00862BF8"/>
    <w:rsid w:val="00862DB7"/>
    <w:rsid w:val="0086302C"/>
    <w:rsid w:val="008630D2"/>
    <w:rsid w:val="00863176"/>
    <w:rsid w:val="008631B5"/>
    <w:rsid w:val="008631FB"/>
    <w:rsid w:val="008632D3"/>
    <w:rsid w:val="008632F1"/>
    <w:rsid w:val="00863361"/>
    <w:rsid w:val="00863376"/>
    <w:rsid w:val="008637D3"/>
    <w:rsid w:val="00863884"/>
    <w:rsid w:val="00863959"/>
    <w:rsid w:val="00863A1C"/>
    <w:rsid w:val="00863BCD"/>
    <w:rsid w:val="00863C96"/>
    <w:rsid w:val="00863DAC"/>
    <w:rsid w:val="00863E95"/>
    <w:rsid w:val="00863EA4"/>
    <w:rsid w:val="00864049"/>
    <w:rsid w:val="0086413F"/>
    <w:rsid w:val="00864176"/>
    <w:rsid w:val="008642E2"/>
    <w:rsid w:val="008642E3"/>
    <w:rsid w:val="008645BB"/>
    <w:rsid w:val="008645C2"/>
    <w:rsid w:val="00864A6E"/>
    <w:rsid w:val="00864E00"/>
    <w:rsid w:val="00864E89"/>
    <w:rsid w:val="0086505B"/>
    <w:rsid w:val="008650CF"/>
    <w:rsid w:val="00865305"/>
    <w:rsid w:val="00865321"/>
    <w:rsid w:val="00865416"/>
    <w:rsid w:val="00865546"/>
    <w:rsid w:val="00865747"/>
    <w:rsid w:val="0086575A"/>
    <w:rsid w:val="0086589B"/>
    <w:rsid w:val="008658E9"/>
    <w:rsid w:val="00865BD8"/>
    <w:rsid w:val="00865BE9"/>
    <w:rsid w:val="00865CAD"/>
    <w:rsid w:val="00865CDB"/>
    <w:rsid w:val="00865CDE"/>
    <w:rsid w:val="00865D8C"/>
    <w:rsid w:val="00865DC1"/>
    <w:rsid w:val="00865F1C"/>
    <w:rsid w:val="00866312"/>
    <w:rsid w:val="00866313"/>
    <w:rsid w:val="0086646D"/>
    <w:rsid w:val="008664CF"/>
    <w:rsid w:val="008667D1"/>
    <w:rsid w:val="008668D1"/>
    <w:rsid w:val="00866A32"/>
    <w:rsid w:val="00866A7C"/>
    <w:rsid w:val="00866B45"/>
    <w:rsid w:val="00866D45"/>
    <w:rsid w:val="00866EBD"/>
    <w:rsid w:val="0086703D"/>
    <w:rsid w:val="00867264"/>
    <w:rsid w:val="008672AB"/>
    <w:rsid w:val="00867368"/>
    <w:rsid w:val="00867485"/>
    <w:rsid w:val="0086758B"/>
    <w:rsid w:val="00867A9A"/>
    <w:rsid w:val="00867E67"/>
    <w:rsid w:val="00867F71"/>
    <w:rsid w:val="0087003C"/>
    <w:rsid w:val="00870112"/>
    <w:rsid w:val="0087038B"/>
    <w:rsid w:val="0087070C"/>
    <w:rsid w:val="008708E6"/>
    <w:rsid w:val="00870C8E"/>
    <w:rsid w:val="00870E7E"/>
    <w:rsid w:val="00870F04"/>
    <w:rsid w:val="00870F53"/>
    <w:rsid w:val="00870F5D"/>
    <w:rsid w:val="00870F6D"/>
    <w:rsid w:val="008710C3"/>
    <w:rsid w:val="008710FB"/>
    <w:rsid w:val="0087114F"/>
    <w:rsid w:val="0087120D"/>
    <w:rsid w:val="0087122A"/>
    <w:rsid w:val="0087152A"/>
    <w:rsid w:val="00871692"/>
    <w:rsid w:val="0087182D"/>
    <w:rsid w:val="00871940"/>
    <w:rsid w:val="0087198D"/>
    <w:rsid w:val="00871A36"/>
    <w:rsid w:val="00871A8C"/>
    <w:rsid w:val="00871AF3"/>
    <w:rsid w:val="00871B97"/>
    <w:rsid w:val="00872038"/>
    <w:rsid w:val="008720B9"/>
    <w:rsid w:val="008720C6"/>
    <w:rsid w:val="00872315"/>
    <w:rsid w:val="008726CA"/>
    <w:rsid w:val="0087289B"/>
    <w:rsid w:val="008728AE"/>
    <w:rsid w:val="00872B24"/>
    <w:rsid w:val="00872C89"/>
    <w:rsid w:val="00872E84"/>
    <w:rsid w:val="0087301F"/>
    <w:rsid w:val="0087302C"/>
    <w:rsid w:val="00873291"/>
    <w:rsid w:val="00873298"/>
    <w:rsid w:val="00873464"/>
    <w:rsid w:val="00873524"/>
    <w:rsid w:val="0087357C"/>
    <w:rsid w:val="00873592"/>
    <w:rsid w:val="0087365A"/>
    <w:rsid w:val="0087372A"/>
    <w:rsid w:val="0087375E"/>
    <w:rsid w:val="00873816"/>
    <w:rsid w:val="00873A87"/>
    <w:rsid w:val="00873B69"/>
    <w:rsid w:val="00873C3A"/>
    <w:rsid w:val="00873CF5"/>
    <w:rsid w:val="00873DC0"/>
    <w:rsid w:val="0087411F"/>
    <w:rsid w:val="008742BB"/>
    <w:rsid w:val="00874318"/>
    <w:rsid w:val="008743C7"/>
    <w:rsid w:val="008743D9"/>
    <w:rsid w:val="00874682"/>
    <w:rsid w:val="00874754"/>
    <w:rsid w:val="00874836"/>
    <w:rsid w:val="00874915"/>
    <w:rsid w:val="00874EC0"/>
    <w:rsid w:val="00874F19"/>
    <w:rsid w:val="008750EB"/>
    <w:rsid w:val="008750F9"/>
    <w:rsid w:val="008752A3"/>
    <w:rsid w:val="00875341"/>
    <w:rsid w:val="0087536F"/>
    <w:rsid w:val="008754AF"/>
    <w:rsid w:val="00875581"/>
    <w:rsid w:val="00875706"/>
    <w:rsid w:val="00875A31"/>
    <w:rsid w:val="00875B88"/>
    <w:rsid w:val="00875D80"/>
    <w:rsid w:val="00875FF2"/>
    <w:rsid w:val="00876074"/>
    <w:rsid w:val="008760E2"/>
    <w:rsid w:val="00876341"/>
    <w:rsid w:val="008763E7"/>
    <w:rsid w:val="00876603"/>
    <w:rsid w:val="00876689"/>
    <w:rsid w:val="0087681F"/>
    <w:rsid w:val="008769F8"/>
    <w:rsid w:val="00876A29"/>
    <w:rsid w:val="00876A78"/>
    <w:rsid w:val="00876ABD"/>
    <w:rsid w:val="00876B12"/>
    <w:rsid w:val="00876B6A"/>
    <w:rsid w:val="00876CC1"/>
    <w:rsid w:val="00876DA5"/>
    <w:rsid w:val="00876DC6"/>
    <w:rsid w:val="00876E36"/>
    <w:rsid w:val="00876FAF"/>
    <w:rsid w:val="00876FC2"/>
    <w:rsid w:val="00877136"/>
    <w:rsid w:val="008771DF"/>
    <w:rsid w:val="00877383"/>
    <w:rsid w:val="008773CC"/>
    <w:rsid w:val="00877418"/>
    <w:rsid w:val="008775C5"/>
    <w:rsid w:val="008776E1"/>
    <w:rsid w:val="00877877"/>
    <w:rsid w:val="008778FA"/>
    <w:rsid w:val="00877BB5"/>
    <w:rsid w:val="00877CDA"/>
    <w:rsid w:val="00877DE1"/>
    <w:rsid w:val="00880458"/>
    <w:rsid w:val="00880497"/>
    <w:rsid w:val="008804E8"/>
    <w:rsid w:val="00880500"/>
    <w:rsid w:val="00880519"/>
    <w:rsid w:val="008805ED"/>
    <w:rsid w:val="008806BA"/>
    <w:rsid w:val="00880713"/>
    <w:rsid w:val="0088086C"/>
    <w:rsid w:val="00880936"/>
    <w:rsid w:val="00880A40"/>
    <w:rsid w:val="00880AC5"/>
    <w:rsid w:val="00880E9D"/>
    <w:rsid w:val="00880EB4"/>
    <w:rsid w:val="008810DB"/>
    <w:rsid w:val="008814FB"/>
    <w:rsid w:val="0088165D"/>
    <w:rsid w:val="008817AE"/>
    <w:rsid w:val="00881995"/>
    <w:rsid w:val="00881A3C"/>
    <w:rsid w:val="00881C81"/>
    <w:rsid w:val="00881D52"/>
    <w:rsid w:val="00881E38"/>
    <w:rsid w:val="00881F5F"/>
    <w:rsid w:val="00881F7B"/>
    <w:rsid w:val="00881F8B"/>
    <w:rsid w:val="00881FD0"/>
    <w:rsid w:val="008822A4"/>
    <w:rsid w:val="008823BD"/>
    <w:rsid w:val="0088241B"/>
    <w:rsid w:val="00882647"/>
    <w:rsid w:val="008828D6"/>
    <w:rsid w:val="00882B13"/>
    <w:rsid w:val="00882C06"/>
    <w:rsid w:val="00882CC7"/>
    <w:rsid w:val="00882E33"/>
    <w:rsid w:val="00882F71"/>
    <w:rsid w:val="00882F7A"/>
    <w:rsid w:val="008831D9"/>
    <w:rsid w:val="00883305"/>
    <w:rsid w:val="008836FE"/>
    <w:rsid w:val="0088377D"/>
    <w:rsid w:val="008837ED"/>
    <w:rsid w:val="00883865"/>
    <w:rsid w:val="00883CC3"/>
    <w:rsid w:val="00883EBD"/>
    <w:rsid w:val="00883ED4"/>
    <w:rsid w:val="00884643"/>
    <w:rsid w:val="0088487E"/>
    <w:rsid w:val="00884BD2"/>
    <w:rsid w:val="00885232"/>
    <w:rsid w:val="008854C8"/>
    <w:rsid w:val="008854D1"/>
    <w:rsid w:val="00885644"/>
    <w:rsid w:val="0088569F"/>
    <w:rsid w:val="008857E4"/>
    <w:rsid w:val="00885853"/>
    <w:rsid w:val="00885A3E"/>
    <w:rsid w:val="00885A72"/>
    <w:rsid w:val="00885C56"/>
    <w:rsid w:val="00885D07"/>
    <w:rsid w:val="00885D5B"/>
    <w:rsid w:val="00885E84"/>
    <w:rsid w:val="00885EB9"/>
    <w:rsid w:val="00885F4B"/>
    <w:rsid w:val="00885FF6"/>
    <w:rsid w:val="0088607F"/>
    <w:rsid w:val="008860C5"/>
    <w:rsid w:val="008863D5"/>
    <w:rsid w:val="00886472"/>
    <w:rsid w:val="008865A8"/>
    <w:rsid w:val="008866F4"/>
    <w:rsid w:val="0088682B"/>
    <w:rsid w:val="00886858"/>
    <w:rsid w:val="00886975"/>
    <w:rsid w:val="00886993"/>
    <w:rsid w:val="008869F4"/>
    <w:rsid w:val="00886A83"/>
    <w:rsid w:val="00886D87"/>
    <w:rsid w:val="00886D8E"/>
    <w:rsid w:val="00886E93"/>
    <w:rsid w:val="00886ED6"/>
    <w:rsid w:val="00886EF7"/>
    <w:rsid w:val="0088742D"/>
    <w:rsid w:val="008876BF"/>
    <w:rsid w:val="0088772A"/>
    <w:rsid w:val="008877A7"/>
    <w:rsid w:val="008878AB"/>
    <w:rsid w:val="00887945"/>
    <w:rsid w:val="00887B1A"/>
    <w:rsid w:val="00887DE2"/>
    <w:rsid w:val="00887E0F"/>
    <w:rsid w:val="00887F57"/>
    <w:rsid w:val="00887F96"/>
    <w:rsid w:val="00887FDB"/>
    <w:rsid w:val="0089003B"/>
    <w:rsid w:val="0089008D"/>
    <w:rsid w:val="0089013F"/>
    <w:rsid w:val="008902FB"/>
    <w:rsid w:val="0089035D"/>
    <w:rsid w:val="00890692"/>
    <w:rsid w:val="008906B6"/>
    <w:rsid w:val="008906FF"/>
    <w:rsid w:val="00890754"/>
    <w:rsid w:val="0089084B"/>
    <w:rsid w:val="00890994"/>
    <w:rsid w:val="008909A0"/>
    <w:rsid w:val="00890B0B"/>
    <w:rsid w:val="00890BB5"/>
    <w:rsid w:val="00890D11"/>
    <w:rsid w:val="00890D7F"/>
    <w:rsid w:val="0089100A"/>
    <w:rsid w:val="00891029"/>
    <w:rsid w:val="008910DC"/>
    <w:rsid w:val="008911CB"/>
    <w:rsid w:val="00891405"/>
    <w:rsid w:val="0089143E"/>
    <w:rsid w:val="008914A5"/>
    <w:rsid w:val="0089154E"/>
    <w:rsid w:val="008917B3"/>
    <w:rsid w:val="008918D2"/>
    <w:rsid w:val="0089199B"/>
    <w:rsid w:val="00891BDA"/>
    <w:rsid w:val="00891BEF"/>
    <w:rsid w:val="00891C21"/>
    <w:rsid w:val="00891E73"/>
    <w:rsid w:val="008920D5"/>
    <w:rsid w:val="0089241E"/>
    <w:rsid w:val="008924B9"/>
    <w:rsid w:val="008924F4"/>
    <w:rsid w:val="008925F1"/>
    <w:rsid w:val="00892755"/>
    <w:rsid w:val="0089281D"/>
    <w:rsid w:val="0089291A"/>
    <w:rsid w:val="00892BC6"/>
    <w:rsid w:val="00892DFA"/>
    <w:rsid w:val="0089302A"/>
    <w:rsid w:val="0089309F"/>
    <w:rsid w:val="0089316B"/>
    <w:rsid w:val="00893202"/>
    <w:rsid w:val="00893391"/>
    <w:rsid w:val="00893394"/>
    <w:rsid w:val="008934F0"/>
    <w:rsid w:val="008936DE"/>
    <w:rsid w:val="00893953"/>
    <w:rsid w:val="0089397F"/>
    <w:rsid w:val="00893BCB"/>
    <w:rsid w:val="00893C5E"/>
    <w:rsid w:val="00893D23"/>
    <w:rsid w:val="00893D26"/>
    <w:rsid w:val="00893EEF"/>
    <w:rsid w:val="008940AA"/>
    <w:rsid w:val="00894391"/>
    <w:rsid w:val="00894737"/>
    <w:rsid w:val="00894948"/>
    <w:rsid w:val="00894AA0"/>
    <w:rsid w:val="00894AFA"/>
    <w:rsid w:val="0089511E"/>
    <w:rsid w:val="0089593A"/>
    <w:rsid w:val="0089595C"/>
    <w:rsid w:val="00895987"/>
    <w:rsid w:val="008959C0"/>
    <w:rsid w:val="00895A4F"/>
    <w:rsid w:val="00895A7C"/>
    <w:rsid w:val="00895A9B"/>
    <w:rsid w:val="00895AA3"/>
    <w:rsid w:val="00895C3A"/>
    <w:rsid w:val="00895F48"/>
    <w:rsid w:val="00895F78"/>
    <w:rsid w:val="00896034"/>
    <w:rsid w:val="00896320"/>
    <w:rsid w:val="00896360"/>
    <w:rsid w:val="008964F2"/>
    <w:rsid w:val="00896575"/>
    <w:rsid w:val="0089671C"/>
    <w:rsid w:val="0089674F"/>
    <w:rsid w:val="008968C7"/>
    <w:rsid w:val="00896998"/>
    <w:rsid w:val="00896B1C"/>
    <w:rsid w:val="00896BC4"/>
    <w:rsid w:val="00896EA9"/>
    <w:rsid w:val="00896ECB"/>
    <w:rsid w:val="00896FCF"/>
    <w:rsid w:val="00897162"/>
    <w:rsid w:val="0089716B"/>
    <w:rsid w:val="008971A2"/>
    <w:rsid w:val="0089720F"/>
    <w:rsid w:val="008972A1"/>
    <w:rsid w:val="00897343"/>
    <w:rsid w:val="0089743E"/>
    <w:rsid w:val="00897504"/>
    <w:rsid w:val="00897571"/>
    <w:rsid w:val="008975A2"/>
    <w:rsid w:val="008976BA"/>
    <w:rsid w:val="00897780"/>
    <w:rsid w:val="00897A3D"/>
    <w:rsid w:val="00897A4A"/>
    <w:rsid w:val="00897B51"/>
    <w:rsid w:val="00897CA1"/>
    <w:rsid w:val="00897DC2"/>
    <w:rsid w:val="00897E93"/>
    <w:rsid w:val="00897F4E"/>
    <w:rsid w:val="00897F4F"/>
    <w:rsid w:val="008A0021"/>
    <w:rsid w:val="008A0063"/>
    <w:rsid w:val="008A029F"/>
    <w:rsid w:val="008A02D8"/>
    <w:rsid w:val="008A03A0"/>
    <w:rsid w:val="008A0638"/>
    <w:rsid w:val="008A0660"/>
    <w:rsid w:val="008A0692"/>
    <w:rsid w:val="008A0704"/>
    <w:rsid w:val="008A07E3"/>
    <w:rsid w:val="008A0898"/>
    <w:rsid w:val="008A08D3"/>
    <w:rsid w:val="008A0922"/>
    <w:rsid w:val="008A0990"/>
    <w:rsid w:val="008A0B91"/>
    <w:rsid w:val="008A0BB5"/>
    <w:rsid w:val="008A0F1A"/>
    <w:rsid w:val="008A0F31"/>
    <w:rsid w:val="008A11CA"/>
    <w:rsid w:val="008A122E"/>
    <w:rsid w:val="008A1272"/>
    <w:rsid w:val="008A12B3"/>
    <w:rsid w:val="008A14CB"/>
    <w:rsid w:val="008A1634"/>
    <w:rsid w:val="008A17B0"/>
    <w:rsid w:val="008A184F"/>
    <w:rsid w:val="008A18BC"/>
    <w:rsid w:val="008A1981"/>
    <w:rsid w:val="008A1AF3"/>
    <w:rsid w:val="008A1C87"/>
    <w:rsid w:val="008A1D24"/>
    <w:rsid w:val="008A1E86"/>
    <w:rsid w:val="008A2095"/>
    <w:rsid w:val="008A23A4"/>
    <w:rsid w:val="008A23E2"/>
    <w:rsid w:val="008A2944"/>
    <w:rsid w:val="008A2ABE"/>
    <w:rsid w:val="008A2C72"/>
    <w:rsid w:val="008A2D31"/>
    <w:rsid w:val="008A2EC8"/>
    <w:rsid w:val="008A2EE0"/>
    <w:rsid w:val="008A3034"/>
    <w:rsid w:val="008A3370"/>
    <w:rsid w:val="008A3425"/>
    <w:rsid w:val="008A3471"/>
    <w:rsid w:val="008A3490"/>
    <w:rsid w:val="008A34A1"/>
    <w:rsid w:val="008A34E2"/>
    <w:rsid w:val="008A38D3"/>
    <w:rsid w:val="008A39FB"/>
    <w:rsid w:val="008A3ADD"/>
    <w:rsid w:val="008A40BC"/>
    <w:rsid w:val="008A40DD"/>
    <w:rsid w:val="008A41CC"/>
    <w:rsid w:val="008A41CD"/>
    <w:rsid w:val="008A428A"/>
    <w:rsid w:val="008A42AF"/>
    <w:rsid w:val="008A4471"/>
    <w:rsid w:val="008A44B5"/>
    <w:rsid w:val="008A45EC"/>
    <w:rsid w:val="008A47CE"/>
    <w:rsid w:val="008A4880"/>
    <w:rsid w:val="008A48B0"/>
    <w:rsid w:val="008A4939"/>
    <w:rsid w:val="008A4986"/>
    <w:rsid w:val="008A498B"/>
    <w:rsid w:val="008A4D88"/>
    <w:rsid w:val="008A4DF2"/>
    <w:rsid w:val="008A4EB0"/>
    <w:rsid w:val="008A5233"/>
    <w:rsid w:val="008A52B1"/>
    <w:rsid w:val="008A549B"/>
    <w:rsid w:val="008A5754"/>
    <w:rsid w:val="008A58A6"/>
    <w:rsid w:val="008A5B01"/>
    <w:rsid w:val="008A5E0E"/>
    <w:rsid w:val="008A5E99"/>
    <w:rsid w:val="008A5E9C"/>
    <w:rsid w:val="008A5EED"/>
    <w:rsid w:val="008A5F45"/>
    <w:rsid w:val="008A5F9C"/>
    <w:rsid w:val="008A5FB5"/>
    <w:rsid w:val="008A60E9"/>
    <w:rsid w:val="008A6121"/>
    <w:rsid w:val="008A65DB"/>
    <w:rsid w:val="008A66BE"/>
    <w:rsid w:val="008A67CD"/>
    <w:rsid w:val="008A6B59"/>
    <w:rsid w:val="008A6EE3"/>
    <w:rsid w:val="008A6F65"/>
    <w:rsid w:val="008A6FEE"/>
    <w:rsid w:val="008A74AE"/>
    <w:rsid w:val="008A7584"/>
    <w:rsid w:val="008A7638"/>
    <w:rsid w:val="008A776B"/>
    <w:rsid w:val="008A7AC4"/>
    <w:rsid w:val="008A7B31"/>
    <w:rsid w:val="008A7CA9"/>
    <w:rsid w:val="008A7D41"/>
    <w:rsid w:val="008A7E66"/>
    <w:rsid w:val="008A7F9D"/>
    <w:rsid w:val="008B019C"/>
    <w:rsid w:val="008B01EA"/>
    <w:rsid w:val="008B0499"/>
    <w:rsid w:val="008B0962"/>
    <w:rsid w:val="008B0C34"/>
    <w:rsid w:val="008B0C53"/>
    <w:rsid w:val="008B0C6C"/>
    <w:rsid w:val="008B0C9D"/>
    <w:rsid w:val="008B0DBA"/>
    <w:rsid w:val="008B0F73"/>
    <w:rsid w:val="008B10BF"/>
    <w:rsid w:val="008B1303"/>
    <w:rsid w:val="008B143F"/>
    <w:rsid w:val="008B1626"/>
    <w:rsid w:val="008B1BDE"/>
    <w:rsid w:val="008B1FFD"/>
    <w:rsid w:val="008B221A"/>
    <w:rsid w:val="008B2287"/>
    <w:rsid w:val="008B22BA"/>
    <w:rsid w:val="008B22BD"/>
    <w:rsid w:val="008B267F"/>
    <w:rsid w:val="008B26CD"/>
    <w:rsid w:val="008B29B3"/>
    <w:rsid w:val="008B2C31"/>
    <w:rsid w:val="008B2CBA"/>
    <w:rsid w:val="008B2E71"/>
    <w:rsid w:val="008B2FE4"/>
    <w:rsid w:val="008B3297"/>
    <w:rsid w:val="008B33A9"/>
    <w:rsid w:val="008B34A8"/>
    <w:rsid w:val="008B34D2"/>
    <w:rsid w:val="008B3779"/>
    <w:rsid w:val="008B3811"/>
    <w:rsid w:val="008B38E5"/>
    <w:rsid w:val="008B3A56"/>
    <w:rsid w:val="008B3C27"/>
    <w:rsid w:val="008B3D16"/>
    <w:rsid w:val="008B3E86"/>
    <w:rsid w:val="008B409C"/>
    <w:rsid w:val="008B4108"/>
    <w:rsid w:val="008B4183"/>
    <w:rsid w:val="008B4413"/>
    <w:rsid w:val="008B45E3"/>
    <w:rsid w:val="008B4705"/>
    <w:rsid w:val="008B48CE"/>
    <w:rsid w:val="008B4C57"/>
    <w:rsid w:val="008B4D4F"/>
    <w:rsid w:val="008B4EA4"/>
    <w:rsid w:val="008B4F36"/>
    <w:rsid w:val="008B4F45"/>
    <w:rsid w:val="008B4F70"/>
    <w:rsid w:val="008B4FDA"/>
    <w:rsid w:val="008B5285"/>
    <w:rsid w:val="008B53A2"/>
    <w:rsid w:val="008B53BD"/>
    <w:rsid w:val="008B5730"/>
    <w:rsid w:val="008B5759"/>
    <w:rsid w:val="008B59B7"/>
    <w:rsid w:val="008B5B32"/>
    <w:rsid w:val="008B5CB1"/>
    <w:rsid w:val="008B5D36"/>
    <w:rsid w:val="008B5D45"/>
    <w:rsid w:val="008B6067"/>
    <w:rsid w:val="008B625B"/>
    <w:rsid w:val="008B6492"/>
    <w:rsid w:val="008B65AF"/>
    <w:rsid w:val="008B6604"/>
    <w:rsid w:val="008B6A55"/>
    <w:rsid w:val="008B6AA7"/>
    <w:rsid w:val="008B6B15"/>
    <w:rsid w:val="008B6C3D"/>
    <w:rsid w:val="008B6F17"/>
    <w:rsid w:val="008B71AB"/>
    <w:rsid w:val="008B721F"/>
    <w:rsid w:val="008B7287"/>
    <w:rsid w:val="008B736C"/>
    <w:rsid w:val="008B73A2"/>
    <w:rsid w:val="008B74C5"/>
    <w:rsid w:val="008B74EB"/>
    <w:rsid w:val="008B7709"/>
    <w:rsid w:val="008B77E3"/>
    <w:rsid w:val="008B7958"/>
    <w:rsid w:val="008B7A60"/>
    <w:rsid w:val="008B7C3E"/>
    <w:rsid w:val="008B7C92"/>
    <w:rsid w:val="008C0093"/>
    <w:rsid w:val="008C00D2"/>
    <w:rsid w:val="008C00EC"/>
    <w:rsid w:val="008C0283"/>
    <w:rsid w:val="008C038A"/>
    <w:rsid w:val="008C04BE"/>
    <w:rsid w:val="008C04F5"/>
    <w:rsid w:val="008C055D"/>
    <w:rsid w:val="008C05B9"/>
    <w:rsid w:val="008C0685"/>
    <w:rsid w:val="008C0787"/>
    <w:rsid w:val="008C078A"/>
    <w:rsid w:val="008C0A11"/>
    <w:rsid w:val="008C0A3B"/>
    <w:rsid w:val="008C0D88"/>
    <w:rsid w:val="008C0E08"/>
    <w:rsid w:val="008C0F20"/>
    <w:rsid w:val="008C0FEB"/>
    <w:rsid w:val="008C1212"/>
    <w:rsid w:val="008C1259"/>
    <w:rsid w:val="008C16E0"/>
    <w:rsid w:val="008C16E5"/>
    <w:rsid w:val="008C185E"/>
    <w:rsid w:val="008C19FA"/>
    <w:rsid w:val="008C1C1C"/>
    <w:rsid w:val="008C1C59"/>
    <w:rsid w:val="008C1F0B"/>
    <w:rsid w:val="008C23CC"/>
    <w:rsid w:val="008C24C2"/>
    <w:rsid w:val="008C24F6"/>
    <w:rsid w:val="008C2669"/>
    <w:rsid w:val="008C26E3"/>
    <w:rsid w:val="008C2837"/>
    <w:rsid w:val="008C2989"/>
    <w:rsid w:val="008C29A3"/>
    <w:rsid w:val="008C2B82"/>
    <w:rsid w:val="008C2C35"/>
    <w:rsid w:val="008C2CF0"/>
    <w:rsid w:val="008C2D24"/>
    <w:rsid w:val="008C2D3A"/>
    <w:rsid w:val="008C2DDB"/>
    <w:rsid w:val="008C2EFA"/>
    <w:rsid w:val="008C2F27"/>
    <w:rsid w:val="008C3128"/>
    <w:rsid w:val="008C31B6"/>
    <w:rsid w:val="008C3349"/>
    <w:rsid w:val="008C341C"/>
    <w:rsid w:val="008C3447"/>
    <w:rsid w:val="008C34E0"/>
    <w:rsid w:val="008C3552"/>
    <w:rsid w:val="008C397C"/>
    <w:rsid w:val="008C3B57"/>
    <w:rsid w:val="008C3D0F"/>
    <w:rsid w:val="008C3E46"/>
    <w:rsid w:val="008C3FAC"/>
    <w:rsid w:val="008C3FE4"/>
    <w:rsid w:val="008C3FF3"/>
    <w:rsid w:val="008C3FF8"/>
    <w:rsid w:val="008C402C"/>
    <w:rsid w:val="008C42D1"/>
    <w:rsid w:val="008C4369"/>
    <w:rsid w:val="008C4372"/>
    <w:rsid w:val="008C4447"/>
    <w:rsid w:val="008C45B4"/>
    <w:rsid w:val="008C460D"/>
    <w:rsid w:val="008C4702"/>
    <w:rsid w:val="008C492A"/>
    <w:rsid w:val="008C4F34"/>
    <w:rsid w:val="008C50C4"/>
    <w:rsid w:val="008C51B8"/>
    <w:rsid w:val="008C52C0"/>
    <w:rsid w:val="008C52CD"/>
    <w:rsid w:val="008C52FD"/>
    <w:rsid w:val="008C533F"/>
    <w:rsid w:val="008C538C"/>
    <w:rsid w:val="008C54C6"/>
    <w:rsid w:val="008C576D"/>
    <w:rsid w:val="008C583A"/>
    <w:rsid w:val="008C585E"/>
    <w:rsid w:val="008C59A3"/>
    <w:rsid w:val="008C59C7"/>
    <w:rsid w:val="008C59D2"/>
    <w:rsid w:val="008C59D5"/>
    <w:rsid w:val="008C5A17"/>
    <w:rsid w:val="008C5AA0"/>
    <w:rsid w:val="008C5BA7"/>
    <w:rsid w:val="008C5CA0"/>
    <w:rsid w:val="008C5F21"/>
    <w:rsid w:val="008C5F60"/>
    <w:rsid w:val="008C6084"/>
    <w:rsid w:val="008C6144"/>
    <w:rsid w:val="008C6219"/>
    <w:rsid w:val="008C623D"/>
    <w:rsid w:val="008C6305"/>
    <w:rsid w:val="008C6339"/>
    <w:rsid w:val="008C63D8"/>
    <w:rsid w:val="008C6693"/>
    <w:rsid w:val="008C673F"/>
    <w:rsid w:val="008C67E8"/>
    <w:rsid w:val="008C6949"/>
    <w:rsid w:val="008C69C5"/>
    <w:rsid w:val="008C69CA"/>
    <w:rsid w:val="008C6B48"/>
    <w:rsid w:val="008C6BEC"/>
    <w:rsid w:val="008C6CEB"/>
    <w:rsid w:val="008C6CEF"/>
    <w:rsid w:val="008C6E8A"/>
    <w:rsid w:val="008C6ED1"/>
    <w:rsid w:val="008C6F6C"/>
    <w:rsid w:val="008C7116"/>
    <w:rsid w:val="008C737F"/>
    <w:rsid w:val="008C7580"/>
    <w:rsid w:val="008C7602"/>
    <w:rsid w:val="008C76F7"/>
    <w:rsid w:val="008C7940"/>
    <w:rsid w:val="008C7D1E"/>
    <w:rsid w:val="008C7D95"/>
    <w:rsid w:val="008C7DDF"/>
    <w:rsid w:val="008C7FB8"/>
    <w:rsid w:val="008D01CF"/>
    <w:rsid w:val="008D0222"/>
    <w:rsid w:val="008D040C"/>
    <w:rsid w:val="008D04E8"/>
    <w:rsid w:val="008D053D"/>
    <w:rsid w:val="008D0694"/>
    <w:rsid w:val="008D0766"/>
    <w:rsid w:val="008D09DD"/>
    <w:rsid w:val="008D0C08"/>
    <w:rsid w:val="008D0E47"/>
    <w:rsid w:val="008D0F64"/>
    <w:rsid w:val="008D0FFB"/>
    <w:rsid w:val="008D10CA"/>
    <w:rsid w:val="008D1122"/>
    <w:rsid w:val="008D116F"/>
    <w:rsid w:val="008D1355"/>
    <w:rsid w:val="008D1392"/>
    <w:rsid w:val="008D15A4"/>
    <w:rsid w:val="008D1784"/>
    <w:rsid w:val="008D17BB"/>
    <w:rsid w:val="008D19F5"/>
    <w:rsid w:val="008D1D0B"/>
    <w:rsid w:val="008D1DFF"/>
    <w:rsid w:val="008D1EAB"/>
    <w:rsid w:val="008D1F10"/>
    <w:rsid w:val="008D23BF"/>
    <w:rsid w:val="008D2569"/>
    <w:rsid w:val="008D2584"/>
    <w:rsid w:val="008D269A"/>
    <w:rsid w:val="008D26A4"/>
    <w:rsid w:val="008D2DF4"/>
    <w:rsid w:val="008D2F5A"/>
    <w:rsid w:val="008D3168"/>
    <w:rsid w:val="008D32C5"/>
    <w:rsid w:val="008D32E3"/>
    <w:rsid w:val="008D331C"/>
    <w:rsid w:val="008D3632"/>
    <w:rsid w:val="008D3659"/>
    <w:rsid w:val="008D383B"/>
    <w:rsid w:val="008D3901"/>
    <w:rsid w:val="008D3EDB"/>
    <w:rsid w:val="008D4031"/>
    <w:rsid w:val="008D424E"/>
    <w:rsid w:val="008D475B"/>
    <w:rsid w:val="008D4790"/>
    <w:rsid w:val="008D4833"/>
    <w:rsid w:val="008D48A7"/>
    <w:rsid w:val="008D4A8F"/>
    <w:rsid w:val="008D4B4B"/>
    <w:rsid w:val="008D4C35"/>
    <w:rsid w:val="008D4E76"/>
    <w:rsid w:val="008D4F6B"/>
    <w:rsid w:val="008D52A5"/>
    <w:rsid w:val="008D540C"/>
    <w:rsid w:val="008D547D"/>
    <w:rsid w:val="008D549B"/>
    <w:rsid w:val="008D551B"/>
    <w:rsid w:val="008D555B"/>
    <w:rsid w:val="008D55D3"/>
    <w:rsid w:val="008D56B8"/>
    <w:rsid w:val="008D5703"/>
    <w:rsid w:val="008D5789"/>
    <w:rsid w:val="008D58FA"/>
    <w:rsid w:val="008D5963"/>
    <w:rsid w:val="008D5D1A"/>
    <w:rsid w:val="008D5DCA"/>
    <w:rsid w:val="008D5EB5"/>
    <w:rsid w:val="008D5F97"/>
    <w:rsid w:val="008D6337"/>
    <w:rsid w:val="008D633A"/>
    <w:rsid w:val="008D660D"/>
    <w:rsid w:val="008D669B"/>
    <w:rsid w:val="008D66E5"/>
    <w:rsid w:val="008D691E"/>
    <w:rsid w:val="008D6BEE"/>
    <w:rsid w:val="008D6C8E"/>
    <w:rsid w:val="008D6D5A"/>
    <w:rsid w:val="008D7019"/>
    <w:rsid w:val="008D750E"/>
    <w:rsid w:val="008D78FF"/>
    <w:rsid w:val="008D7BF5"/>
    <w:rsid w:val="008D7D19"/>
    <w:rsid w:val="008D7E4E"/>
    <w:rsid w:val="008E0124"/>
    <w:rsid w:val="008E0355"/>
    <w:rsid w:val="008E04E0"/>
    <w:rsid w:val="008E05A4"/>
    <w:rsid w:val="008E072F"/>
    <w:rsid w:val="008E07DC"/>
    <w:rsid w:val="008E0886"/>
    <w:rsid w:val="008E09C8"/>
    <w:rsid w:val="008E1072"/>
    <w:rsid w:val="008E10EE"/>
    <w:rsid w:val="008E1139"/>
    <w:rsid w:val="008E1180"/>
    <w:rsid w:val="008E12BD"/>
    <w:rsid w:val="008E1509"/>
    <w:rsid w:val="008E16F2"/>
    <w:rsid w:val="008E1A09"/>
    <w:rsid w:val="008E1A6C"/>
    <w:rsid w:val="008E1C3B"/>
    <w:rsid w:val="008E1CB4"/>
    <w:rsid w:val="008E1CCB"/>
    <w:rsid w:val="008E1ED7"/>
    <w:rsid w:val="008E20DB"/>
    <w:rsid w:val="008E239E"/>
    <w:rsid w:val="008E23C5"/>
    <w:rsid w:val="008E2646"/>
    <w:rsid w:val="008E2902"/>
    <w:rsid w:val="008E2A51"/>
    <w:rsid w:val="008E2D66"/>
    <w:rsid w:val="008E2F4A"/>
    <w:rsid w:val="008E2F87"/>
    <w:rsid w:val="008E3071"/>
    <w:rsid w:val="008E31E2"/>
    <w:rsid w:val="008E326C"/>
    <w:rsid w:val="008E3667"/>
    <w:rsid w:val="008E373A"/>
    <w:rsid w:val="008E3AC6"/>
    <w:rsid w:val="008E3C9C"/>
    <w:rsid w:val="008E3DB2"/>
    <w:rsid w:val="008E3E5F"/>
    <w:rsid w:val="008E4130"/>
    <w:rsid w:val="008E430B"/>
    <w:rsid w:val="008E4431"/>
    <w:rsid w:val="008E449D"/>
    <w:rsid w:val="008E45D7"/>
    <w:rsid w:val="008E4769"/>
    <w:rsid w:val="008E480A"/>
    <w:rsid w:val="008E4889"/>
    <w:rsid w:val="008E48F5"/>
    <w:rsid w:val="008E4C18"/>
    <w:rsid w:val="008E4D1E"/>
    <w:rsid w:val="008E4D51"/>
    <w:rsid w:val="008E4EAA"/>
    <w:rsid w:val="008E4FF9"/>
    <w:rsid w:val="008E5035"/>
    <w:rsid w:val="008E51A4"/>
    <w:rsid w:val="008E5340"/>
    <w:rsid w:val="008E5506"/>
    <w:rsid w:val="008E5593"/>
    <w:rsid w:val="008E55C5"/>
    <w:rsid w:val="008E5CD7"/>
    <w:rsid w:val="008E5D3A"/>
    <w:rsid w:val="008E5EB0"/>
    <w:rsid w:val="008E63F3"/>
    <w:rsid w:val="008E64B5"/>
    <w:rsid w:val="008E653B"/>
    <w:rsid w:val="008E6558"/>
    <w:rsid w:val="008E65A6"/>
    <w:rsid w:val="008E668D"/>
    <w:rsid w:val="008E6713"/>
    <w:rsid w:val="008E686E"/>
    <w:rsid w:val="008E69F8"/>
    <w:rsid w:val="008E6AED"/>
    <w:rsid w:val="008E6BBF"/>
    <w:rsid w:val="008E6D0E"/>
    <w:rsid w:val="008E6E0C"/>
    <w:rsid w:val="008E6E3F"/>
    <w:rsid w:val="008E6E4D"/>
    <w:rsid w:val="008E6EF7"/>
    <w:rsid w:val="008E7273"/>
    <w:rsid w:val="008E73DE"/>
    <w:rsid w:val="008E769F"/>
    <w:rsid w:val="008E7728"/>
    <w:rsid w:val="008E7763"/>
    <w:rsid w:val="008E7A6A"/>
    <w:rsid w:val="008E7A82"/>
    <w:rsid w:val="008E7CC7"/>
    <w:rsid w:val="008E7DBD"/>
    <w:rsid w:val="008F006F"/>
    <w:rsid w:val="008F007E"/>
    <w:rsid w:val="008F01A8"/>
    <w:rsid w:val="008F01B8"/>
    <w:rsid w:val="008F0294"/>
    <w:rsid w:val="008F02EE"/>
    <w:rsid w:val="008F056C"/>
    <w:rsid w:val="008F076A"/>
    <w:rsid w:val="008F07FC"/>
    <w:rsid w:val="008F0871"/>
    <w:rsid w:val="008F0A85"/>
    <w:rsid w:val="008F0AD8"/>
    <w:rsid w:val="008F0ADC"/>
    <w:rsid w:val="008F0C59"/>
    <w:rsid w:val="008F0CD7"/>
    <w:rsid w:val="008F0EB0"/>
    <w:rsid w:val="008F0FFD"/>
    <w:rsid w:val="008F1055"/>
    <w:rsid w:val="008F1120"/>
    <w:rsid w:val="008F1176"/>
    <w:rsid w:val="008F1312"/>
    <w:rsid w:val="008F135B"/>
    <w:rsid w:val="008F14E8"/>
    <w:rsid w:val="008F156B"/>
    <w:rsid w:val="008F15A2"/>
    <w:rsid w:val="008F17F9"/>
    <w:rsid w:val="008F1A41"/>
    <w:rsid w:val="008F1AE6"/>
    <w:rsid w:val="008F1B67"/>
    <w:rsid w:val="008F1E48"/>
    <w:rsid w:val="008F20CB"/>
    <w:rsid w:val="008F2162"/>
    <w:rsid w:val="008F220A"/>
    <w:rsid w:val="008F235C"/>
    <w:rsid w:val="008F2389"/>
    <w:rsid w:val="008F23FF"/>
    <w:rsid w:val="008F242E"/>
    <w:rsid w:val="008F2468"/>
    <w:rsid w:val="008F259A"/>
    <w:rsid w:val="008F27B8"/>
    <w:rsid w:val="008F2948"/>
    <w:rsid w:val="008F2B86"/>
    <w:rsid w:val="008F2C70"/>
    <w:rsid w:val="008F3519"/>
    <w:rsid w:val="008F39F4"/>
    <w:rsid w:val="008F3A56"/>
    <w:rsid w:val="008F3AFB"/>
    <w:rsid w:val="008F3BE9"/>
    <w:rsid w:val="008F3C1D"/>
    <w:rsid w:val="008F3C6D"/>
    <w:rsid w:val="008F3E5D"/>
    <w:rsid w:val="008F3F73"/>
    <w:rsid w:val="008F42EC"/>
    <w:rsid w:val="008F4495"/>
    <w:rsid w:val="008F4669"/>
    <w:rsid w:val="008F4930"/>
    <w:rsid w:val="008F4A7E"/>
    <w:rsid w:val="008F4B56"/>
    <w:rsid w:val="008F4BE2"/>
    <w:rsid w:val="008F4CC0"/>
    <w:rsid w:val="008F5299"/>
    <w:rsid w:val="008F5319"/>
    <w:rsid w:val="008F5493"/>
    <w:rsid w:val="008F54FB"/>
    <w:rsid w:val="008F566B"/>
    <w:rsid w:val="008F5888"/>
    <w:rsid w:val="008F59A8"/>
    <w:rsid w:val="008F59B4"/>
    <w:rsid w:val="008F5B7D"/>
    <w:rsid w:val="008F5C53"/>
    <w:rsid w:val="008F5C70"/>
    <w:rsid w:val="008F5D46"/>
    <w:rsid w:val="008F5E79"/>
    <w:rsid w:val="008F6331"/>
    <w:rsid w:val="008F6594"/>
    <w:rsid w:val="008F669C"/>
    <w:rsid w:val="008F66B1"/>
    <w:rsid w:val="008F66B6"/>
    <w:rsid w:val="008F6702"/>
    <w:rsid w:val="008F68D9"/>
    <w:rsid w:val="008F69C9"/>
    <w:rsid w:val="008F703E"/>
    <w:rsid w:val="008F71E8"/>
    <w:rsid w:val="008F7AE6"/>
    <w:rsid w:val="008F7BE0"/>
    <w:rsid w:val="008F7D47"/>
    <w:rsid w:val="008F7DA4"/>
    <w:rsid w:val="008F7E42"/>
    <w:rsid w:val="00900174"/>
    <w:rsid w:val="009003BE"/>
    <w:rsid w:val="0090071B"/>
    <w:rsid w:val="00900855"/>
    <w:rsid w:val="00900AB2"/>
    <w:rsid w:val="00900D70"/>
    <w:rsid w:val="00900D9B"/>
    <w:rsid w:val="00900E1F"/>
    <w:rsid w:val="0090109B"/>
    <w:rsid w:val="009010A9"/>
    <w:rsid w:val="009010C7"/>
    <w:rsid w:val="009010DA"/>
    <w:rsid w:val="0090123D"/>
    <w:rsid w:val="0090128B"/>
    <w:rsid w:val="0090136F"/>
    <w:rsid w:val="0090162C"/>
    <w:rsid w:val="0090198D"/>
    <w:rsid w:val="00901A3F"/>
    <w:rsid w:val="00901C26"/>
    <w:rsid w:val="00901CF1"/>
    <w:rsid w:val="00901F46"/>
    <w:rsid w:val="009021B9"/>
    <w:rsid w:val="00902250"/>
    <w:rsid w:val="009022AB"/>
    <w:rsid w:val="009023B3"/>
    <w:rsid w:val="00902501"/>
    <w:rsid w:val="00902517"/>
    <w:rsid w:val="009026E6"/>
    <w:rsid w:val="00902869"/>
    <w:rsid w:val="00902ABA"/>
    <w:rsid w:val="00902B4F"/>
    <w:rsid w:val="00902C1B"/>
    <w:rsid w:val="00902FA5"/>
    <w:rsid w:val="0090301E"/>
    <w:rsid w:val="00903087"/>
    <w:rsid w:val="009033B0"/>
    <w:rsid w:val="009034B1"/>
    <w:rsid w:val="00903605"/>
    <w:rsid w:val="00903635"/>
    <w:rsid w:val="00903937"/>
    <w:rsid w:val="00903A37"/>
    <w:rsid w:val="00903A55"/>
    <w:rsid w:val="00903D56"/>
    <w:rsid w:val="00903DF7"/>
    <w:rsid w:val="00903ECD"/>
    <w:rsid w:val="00903F28"/>
    <w:rsid w:val="00903F33"/>
    <w:rsid w:val="00903F48"/>
    <w:rsid w:val="00904086"/>
    <w:rsid w:val="00904317"/>
    <w:rsid w:val="0090440F"/>
    <w:rsid w:val="00904434"/>
    <w:rsid w:val="00904505"/>
    <w:rsid w:val="009046F7"/>
    <w:rsid w:val="00904789"/>
    <w:rsid w:val="0090481B"/>
    <w:rsid w:val="0090485F"/>
    <w:rsid w:val="009049BE"/>
    <w:rsid w:val="00904C20"/>
    <w:rsid w:val="00904E8B"/>
    <w:rsid w:val="00904E9B"/>
    <w:rsid w:val="0090529F"/>
    <w:rsid w:val="00905B63"/>
    <w:rsid w:val="00906022"/>
    <w:rsid w:val="0090603A"/>
    <w:rsid w:val="0090607D"/>
    <w:rsid w:val="00906165"/>
    <w:rsid w:val="00906271"/>
    <w:rsid w:val="00906471"/>
    <w:rsid w:val="0090649E"/>
    <w:rsid w:val="009066A5"/>
    <w:rsid w:val="009066F4"/>
    <w:rsid w:val="009067BC"/>
    <w:rsid w:val="009067E4"/>
    <w:rsid w:val="0090698B"/>
    <w:rsid w:val="00906A2F"/>
    <w:rsid w:val="00906AFB"/>
    <w:rsid w:val="00906B3A"/>
    <w:rsid w:val="00906C2F"/>
    <w:rsid w:val="00906E6C"/>
    <w:rsid w:val="00906F5E"/>
    <w:rsid w:val="00907268"/>
    <w:rsid w:val="0090734D"/>
    <w:rsid w:val="00907460"/>
    <w:rsid w:val="00907795"/>
    <w:rsid w:val="00907899"/>
    <w:rsid w:val="00907B74"/>
    <w:rsid w:val="00907BDC"/>
    <w:rsid w:val="00907FE0"/>
    <w:rsid w:val="00910020"/>
    <w:rsid w:val="0091003C"/>
    <w:rsid w:val="00910214"/>
    <w:rsid w:val="009102B2"/>
    <w:rsid w:val="00910510"/>
    <w:rsid w:val="009106C9"/>
    <w:rsid w:val="00910731"/>
    <w:rsid w:val="00910A84"/>
    <w:rsid w:val="00910AEE"/>
    <w:rsid w:val="00910CE1"/>
    <w:rsid w:val="00910CFA"/>
    <w:rsid w:val="00911013"/>
    <w:rsid w:val="009110A4"/>
    <w:rsid w:val="009110BC"/>
    <w:rsid w:val="009110C3"/>
    <w:rsid w:val="009111DC"/>
    <w:rsid w:val="009112A7"/>
    <w:rsid w:val="0091131C"/>
    <w:rsid w:val="0091148E"/>
    <w:rsid w:val="0091175C"/>
    <w:rsid w:val="00911837"/>
    <w:rsid w:val="009119BA"/>
    <w:rsid w:val="00911A24"/>
    <w:rsid w:val="00911ABD"/>
    <w:rsid w:val="00911AF3"/>
    <w:rsid w:val="00911C8E"/>
    <w:rsid w:val="00911CF2"/>
    <w:rsid w:val="00911D17"/>
    <w:rsid w:val="00911D29"/>
    <w:rsid w:val="00911D30"/>
    <w:rsid w:val="00911EB7"/>
    <w:rsid w:val="00911FED"/>
    <w:rsid w:val="0091218F"/>
    <w:rsid w:val="0091233D"/>
    <w:rsid w:val="0091238F"/>
    <w:rsid w:val="009124ED"/>
    <w:rsid w:val="00912868"/>
    <w:rsid w:val="0091295C"/>
    <w:rsid w:val="009129C2"/>
    <w:rsid w:val="00912FC1"/>
    <w:rsid w:val="009130A9"/>
    <w:rsid w:val="009130AF"/>
    <w:rsid w:val="009131E6"/>
    <w:rsid w:val="00913281"/>
    <w:rsid w:val="009132AD"/>
    <w:rsid w:val="00913633"/>
    <w:rsid w:val="0091376E"/>
    <w:rsid w:val="009137F8"/>
    <w:rsid w:val="00913A80"/>
    <w:rsid w:val="00913C0C"/>
    <w:rsid w:val="00913C4E"/>
    <w:rsid w:val="009140B5"/>
    <w:rsid w:val="00914298"/>
    <w:rsid w:val="0091449B"/>
    <w:rsid w:val="009146E4"/>
    <w:rsid w:val="009147CD"/>
    <w:rsid w:val="00914837"/>
    <w:rsid w:val="009148F6"/>
    <w:rsid w:val="00914CF2"/>
    <w:rsid w:val="00914D2D"/>
    <w:rsid w:val="00914DA7"/>
    <w:rsid w:val="00914F23"/>
    <w:rsid w:val="00914FDD"/>
    <w:rsid w:val="00915031"/>
    <w:rsid w:val="00915042"/>
    <w:rsid w:val="0091535D"/>
    <w:rsid w:val="009156A1"/>
    <w:rsid w:val="00915834"/>
    <w:rsid w:val="00915993"/>
    <w:rsid w:val="00915AF1"/>
    <w:rsid w:val="00915BA7"/>
    <w:rsid w:val="00915DAE"/>
    <w:rsid w:val="00915F63"/>
    <w:rsid w:val="009163D0"/>
    <w:rsid w:val="00916564"/>
    <w:rsid w:val="00916576"/>
    <w:rsid w:val="009165C5"/>
    <w:rsid w:val="0091667A"/>
    <w:rsid w:val="00916808"/>
    <w:rsid w:val="00916A3C"/>
    <w:rsid w:val="00916AFA"/>
    <w:rsid w:val="00916C11"/>
    <w:rsid w:val="00916CC2"/>
    <w:rsid w:val="009171AA"/>
    <w:rsid w:val="009171B6"/>
    <w:rsid w:val="0091737A"/>
    <w:rsid w:val="0091738B"/>
    <w:rsid w:val="009173B4"/>
    <w:rsid w:val="009173E9"/>
    <w:rsid w:val="00917433"/>
    <w:rsid w:val="0091773D"/>
    <w:rsid w:val="009177E9"/>
    <w:rsid w:val="0091791C"/>
    <w:rsid w:val="00917920"/>
    <w:rsid w:val="00917C1D"/>
    <w:rsid w:val="00917CA4"/>
    <w:rsid w:val="00917FD7"/>
    <w:rsid w:val="009200BB"/>
    <w:rsid w:val="00920216"/>
    <w:rsid w:val="009203BD"/>
    <w:rsid w:val="00920497"/>
    <w:rsid w:val="0092076E"/>
    <w:rsid w:val="00920982"/>
    <w:rsid w:val="00920A0B"/>
    <w:rsid w:val="00920A32"/>
    <w:rsid w:val="00920C4B"/>
    <w:rsid w:val="00920CB0"/>
    <w:rsid w:val="00920EB0"/>
    <w:rsid w:val="00920ED6"/>
    <w:rsid w:val="0092105C"/>
    <w:rsid w:val="00921095"/>
    <w:rsid w:val="009211BF"/>
    <w:rsid w:val="0092124F"/>
    <w:rsid w:val="0092165D"/>
    <w:rsid w:val="00921780"/>
    <w:rsid w:val="00921799"/>
    <w:rsid w:val="00921AAE"/>
    <w:rsid w:val="00921B10"/>
    <w:rsid w:val="00921C5D"/>
    <w:rsid w:val="00921E05"/>
    <w:rsid w:val="00921E64"/>
    <w:rsid w:val="00921FF3"/>
    <w:rsid w:val="009220F4"/>
    <w:rsid w:val="009221AD"/>
    <w:rsid w:val="0092221E"/>
    <w:rsid w:val="00922386"/>
    <w:rsid w:val="0092249B"/>
    <w:rsid w:val="00922538"/>
    <w:rsid w:val="0092293B"/>
    <w:rsid w:val="00922B8B"/>
    <w:rsid w:val="00922C6D"/>
    <w:rsid w:val="00923023"/>
    <w:rsid w:val="0092304A"/>
    <w:rsid w:val="009231B5"/>
    <w:rsid w:val="009231C7"/>
    <w:rsid w:val="009231F6"/>
    <w:rsid w:val="009231FC"/>
    <w:rsid w:val="00923366"/>
    <w:rsid w:val="00923377"/>
    <w:rsid w:val="00923547"/>
    <w:rsid w:val="00923577"/>
    <w:rsid w:val="00923602"/>
    <w:rsid w:val="00923690"/>
    <w:rsid w:val="00923853"/>
    <w:rsid w:val="0092399C"/>
    <w:rsid w:val="00923DD2"/>
    <w:rsid w:val="009240B7"/>
    <w:rsid w:val="009241D9"/>
    <w:rsid w:val="009243D9"/>
    <w:rsid w:val="0092467C"/>
    <w:rsid w:val="00924958"/>
    <w:rsid w:val="00924AEE"/>
    <w:rsid w:val="00924B38"/>
    <w:rsid w:val="00924B62"/>
    <w:rsid w:val="00924BB8"/>
    <w:rsid w:val="00924C05"/>
    <w:rsid w:val="00924C5C"/>
    <w:rsid w:val="00924C73"/>
    <w:rsid w:val="00924CD5"/>
    <w:rsid w:val="00924F32"/>
    <w:rsid w:val="0092512B"/>
    <w:rsid w:val="0092526C"/>
    <w:rsid w:val="00925377"/>
    <w:rsid w:val="009253CF"/>
    <w:rsid w:val="0092576A"/>
    <w:rsid w:val="009257C1"/>
    <w:rsid w:val="009258E5"/>
    <w:rsid w:val="00925B42"/>
    <w:rsid w:val="0092600B"/>
    <w:rsid w:val="009261AE"/>
    <w:rsid w:val="009262E1"/>
    <w:rsid w:val="00926463"/>
    <w:rsid w:val="009265C7"/>
    <w:rsid w:val="00926866"/>
    <w:rsid w:val="00926BED"/>
    <w:rsid w:val="00926D27"/>
    <w:rsid w:val="00926DEB"/>
    <w:rsid w:val="00926E17"/>
    <w:rsid w:val="00926E62"/>
    <w:rsid w:val="00926ED5"/>
    <w:rsid w:val="00926FC4"/>
    <w:rsid w:val="0092724F"/>
    <w:rsid w:val="00927529"/>
    <w:rsid w:val="009275AF"/>
    <w:rsid w:val="009275C0"/>
    <w:rsid w:val="00927AB9"/>
    <w:rsid w:val="00927C57"/>
    <w:rsid w:val="00927EA5"/>
    <w:rsid w:val="00927F21"/>
    <w:rsid w:val="00927FDA"/>
    <w:rsid w:val="009300B3"/>
    <w:rsid w:val="0093015A"/>
    <w:rsid w:val="0093024F"/>
    <w:rsid w:val="0093034D"/>
    <w:rsid w:val="0093039A"/>
    <w:rsid w:val="00930434"/>
    <w:rsid w:val="009306EA"/>
    <w:rsid w:val="00930884"/>
    <w:rsid w:val="00930940"/>
    <w:rsid w:val="00930AB7"/>
    <w:rsid w:val="00930B39"/>
    <w:rsid w:val="00930C2E"/>
    <w:rsid w:val="00930CD1"/>
    <w:rsid w:val="00930D09"/>
    <w:rsid w:val="00930DF7"/>
    <w:rsid w:val="00930FBD"/>
    <w:rsid w:val="00930FF0"/>
    <w:rsid w:val="00931380"/>
    <w:rsid w:val="009313AF"/>
    <w:rsid w:val="009314C0"/>
    <w:rsid w:val="009314C6"/>
    <w:rsid w:val="0093154A"/>
    <w:rsid w:val="0093156C"/>
    <w:rsid w:val="00931925"/>
    <w:rsid w:val="00931C37"/>
    <w:rsid w:val="00931E44"/>
    <w:rsid w:val="00931E7E"/>
    <w:rsid w:val="00931EDA"/>
    <w:rsid w:val="00931EF1"/>
    <w:rsid w:val="00931F8C"/>
    <w:rsid w:val="00932208"/>
    <w:rsid w:val="00932376"/>
    <w:rsid w:val="0093238C"/>
    <w:rsid w:val="00932493"/>
    <w:rsid w:val="009324B6"/>
    <w:rsid w:val="00932675"/>
    <w:rsid w:val="00932796"/>
    <w:rsid w:val="0093288B"/>
    <w:rsid w:val="009328C0"/>
    <w:rsid w:val="009328C9"/>
    <w:rsid w:val="00932A48"/>
    <w:rsid w:val="00932B00"/>
    <w:rsid w:val="00932B6F"/>
    <w:rsid w:val="00932D1D"/>
    <w:rsid w:val="00932EF5"/>
    <w:rsid w:val="00932F15"/>
    <w:rsid w:val="00932F76"/>
    <w:rsid w:val="0093301F"/>
    <w:rsid w:val="0093308A"/>
    <w:rsid w:val="009331CD"/>
    <w:rsid w:val="009331CF"/>
    <w:rsid w:val="009331FD"/>
    <w:rsid w:val="0093326C"/>
    <w:rsid w:val="0093329F"/>
    <w:rsid w:val="009333CF"/>
    <w:rsid w:val="009334AC"/>
    <w:rsid w:val="0093364F"/>
    <w:rsid w:val="00933711"/>
    <w:rsid w:val="009339A5"/>
    <w:rsid w:val="00933A06"/>
    <w:rsid w:val="00933BEE"/>
    <w:rsid w:val="00933C22"/>
    <w:rsid w:val="00933C6D"/>
    <w:rsid w:val="00933CA2"/>
    <w:rsid w:val="00933EDD"/>
    <w:rsid w:val="00933F03"/>
    <w:rsid w:val="00934060"/>
    <w:rsid w:val="009340C8"/>
    <w:rsid w:val="009340F4"/>
    <w:rsid w:val="00934227"/>
    <w:rsid w:val="0093432B"/>
    <w:rsid w:val="00934349"/>
    <w:rsid w:val="00934564"/>
    <w:rsid w:val="00934EB7"/>
    <w:rsid w:val="00934EEB"/>
    <w:rsid w:val="009350DB"/>
    <w:rsid w:val="00935248"/>
    <w:rsid w:val="009352E4"/>
    <w:rsid w:val="00935301"/>
    <w:rsid w:val="00935554"/>
    <w:rsid w:val="00935630"/>
    <w:rsid w:val="00935734"/>
    <w:rsid w:val="00935819"/>
    <w:rsid w:val="009358E9"/>
    <w:rsid w:val="00935A58"/>
    <w:rsid w:val="00935AC4"/>
    <w:rsid w:val="00935CF3"/>
    <w:rsid w:val="00935DC8"/>
    <w:rsid w:val="00935E03"/>
    <w:rsid w:val="00935EC8"/>
    <w:rsid w:val="00936032"/>
    <w:rsid w:val="00936406"/>
    <w:rsid w:val="009366B4"/>
    <w:rsid w:val="00936774"/>
    <w:rsid w:val="009368E5"/>
    <w:rsid w:val="00936ACE"/>
    <w:rsid w:val="00936AF7"/>
    <w:rsid w:val="00936B49"/>
    <w:rsid w:val="00936D1F"/>
    <w:rsid w:val="00936DF2"/>
    <w:rsid w:val="00936FC0"/>
    <w:rsid w:val="0093717D"/>
    <w:rsid w:val="009371A2"/>
    <w:rsid w:val="00937268"/>
    <w:rsid w:val="009375E5"/>
    <w:rsid w:val="00937713"/>
    <w:rsid w:val="00937928"/>
    <w:rsid w:val="00937ACB"/>
    <w:rsid w:val="00937C4E"/>
    <w:rsid w:val="00937D65"/>
    <w:rsid w:val="00937E53"/>
    <w:rsid w:val="00937F6F"/>
    <w:rsid w:val="00940092"/>
    <w:rsid w:val="009402C6"/>
    <w:rsid w:val="00940390"/>
    <w:rsid w:val="0094070A"/>
    <w:rsid w:val="00940755"/>
    <w:rsid w:val="009407C3"/>
    <w:rsid w:val="00940849"/>
    <w:rsid w:val="0094092C"/>
    <w:rsid w:val="009409C8"/>
    <w:rsid w:val="00940C08"/>
    <w:rsid w:val="00940C29"/>
    <w:rsid w:val="00940DA3"/>
    <w:rsid w:val="009412DE"/>
    <w:rsid w:val="00941341"/>
    <w:rsid w:val="00941361"/>
    <w:rsid w:val="009413DF"/>
    <w:rsid w:val="0094141E"/>
    <w:rsid w:val="0094146D"/>
    <w:rsid w:val="009416D7"/>
    <w:rsid w:val="009418BA"/>
    <w:rsid w:val="00941A22"/>
    <w:rsid w:val="00941CF7"/>
    <w:rsid w:val="00941EA3"/>
    <w:rsid w:val="00941ED9"/>
    <w:rsid w:val="00942010"/>
    <w:rsid w:val="0094224E"/>
    <w:rsid w:val="009425EB"/>
    <w:rsid w:val="00942700"/>
    <w:rsid w:val="009427EB"/>
    <w:rsid w:val="00942922"/>
    <w:rsid w:val="009429C3"/>
    <w:rsid w:val="00942A25"/>
    <w:rsid w:val="00942C8E"/>
    <w:rsid w:val="00942D8C"/>
    <w:rsid w:val="0094320A"/>
    <w:rsid w:val="009433D2"/>
    <w:rsid w:val="00943676"/>
    <w:rsid w:val="0094367E"/>
    <w:rsid w:val="00943720"/>
    <w:rsid w:val="00943A87"/>
    <w:rsid w:val="00943BB0"/>
    <w:rsid w:val="00943F8E"/>
    <w:rsid w:val="00943FE1"/>
    <w:rsid w:val="0094414D"/>
    <w:rsid w:val="00944294"/>
    <w:rsid w:val="009442E4"/>
    <w:rsid w:val="009443AD"/>
    <w:rsid w:val="00944412"/>
    <w:rsid w:val="00944489"/>
    <w:rsid w:val="009445BA"/>
    <w:rsid w:val="009446DD"/>
    <w:rsid w:val="009446F1"/>
    <w:rsid w:val="00944712"/>
    <w:rsid w:val="00944CFF"/>
    <w:rsid w:val="00944FE2"/>
    <w:rsid w:val="0094539F"/>
    <w:rsid w:val="00945542"/>
    <w:rsid w:val="009455E7"/>
    <w:rsid w:val="00945A89"/>
    <w:rsid w:val="00945AFE"/>
    <w:rsid w:val="00945E71"/>
    <w:rsid w:val="00946081"/>
    <w:rsid w:val="009461A7"/>
    <w:rsid w:val="009463BC"/>
    <w:rsid w:val="009464A6"/>
    <w:rsid w:val="00946751"/>
    <w:rsid w:val="009468A4"/>
    <w:rsid w:val="00946981"/>
    <w:rsid w:val="00946996"/>
    <w:rsid w:val="00946AAA"/>
    <w:rsid w:val="00946CCA"/>
    <w:rsid w:val="00947088"/>
    <w:rsid w:val="00947208"/>
    <w:rsid w:val="0094727C"/>
    <w:rsid w:val="00947344"/>
    <w:rsid w:val="00947550"/>
    <w:rsid w:val="00947590"/>
    <w:rsid w:val="0094762E"/>
    <w:rsid w:val="00947637"/>
    <w:rsid w:val="00947674"/>
    <w:rsid w:val="009477ED"/>
    <w:rsid w:val="00947C01"/>
    <w:rsid w:val="00947CC9"/>
    <w:rsid w:val="00947CDD"/>
    <w:rsid w:val="00947F7C"/>
    <w:rsid w:val="009500AD"/>
    <w:rsid w:val="009500B1"/>
    <w:rsid w:val="009501C6"/>
    <w:rsid w:val="00950609"/>
    <w:rsid w:val="009506CD"/>
    <w:rsid w:val="009507F8"/>
    <w:rsid w:val="00950CED"/>
    <w:rsid w:val="00950DE0"/>
    <w:rsid w:val="00951175"/>
    <w:rsid w:val="0095159B"/>
    <w:rsid w:val="0095159C"/>
    <w:rsid w:val="0095170D"/>
    <w:rsid w:val="0095177E"/>
    <w:rsid w:val="0095197F"/>
    <w:rsid w:val="009519DC"/>
    <w:rsid w:val="00951AA2"/>
    <w:rsid w:val="00951DFA"/>
    <w:rsid w:val="00951EA5"/>
    <w:rsid w:val="00952160"/>
    <w:rsid w:val="00952176"/>
    <w:rsid w:val="00952339"/>
    <w:rsid w:val="00952630"/>
    <w:rsid w:val="00952632"/>
    <w:rsid w:val="009526AC"/>
    <w:rsid w:val="00952A49"/>
    <w:rsid w:val="00952B1A"/>
    <w:rsid w:val="00952BB7"/>
    <w:rsid w:val="00952C14"/>
    <w:rsid w:val="00952C5E"/>
    <w:rsid w:val="0095307F"/>
    <w:rsid w:val="009530A3"/>
    <w:rsid w:val="0095312A"/>
    <w:rsid w:val="0095335B"/>
    <w:rsid w:val="00953424"/>
    <w:rsid w:val="00953432"/>
    <w:rsid w:val="0095356A"/>
    <w:rsid w:val="0095371B"/>
    <w:rsid w:val="0095391A"/>
    <w:rsid w:val="00953B34"/>
    <w:rsid w:val="00953C98"/>
    <w:rsid w:val="00953D7F"/>
    <w:rsid w:val="00953DFD"/>
    <w:rsid w:val="00953E1F"/>
    <w:rsid w:val="009542CE"/>
    <w:rsid w:val="009542E3"/>
    <w:rsid w:val="00954512"/>
    <w:rsid w:val="009545A7"/>
    <w:rsid w:val="00954624"/>
    <w:rsid w:val="00954630"/>
    <w:rsid w:val="0095466A"/>
    <w:rsid w:val="00954821"/>
    <w:rsid w:val="009548FF"/>
    <w:rsid w:val="00954B40"/>
    <w:rsid w:val="00954BE3"/>
    <w:rsid w:val="00954E47"/>
    <w:rsid w:val="009550E8"/>
    <w:rsid w:val="00955247"/>
    <w:rsid w:val="0095524F"/>
    <w:rsid w:val="0095526A"/>
    <w:rsid w:val="00955452"/>
    <w:rsid w:val="00955526"/>
    <w:rsid w:val="009557C9"/>
    <w:rsid w:val="009558BA"/>
    <w:rsid w:val="009559B3"/>
    <w:rsid w:val="00955B84"/>
    <w:rsid w:val="00955D4D"/>
    <w:rsid w:val="00955E5E"/>
    <w:rsid w:val="00955EF1"/>
    <w:rsid w:val="009560FB"/>
    <w:rsid w:val="0095610D"/>
    <w:rsid w:val="00956189"/>
    <w:rsid w:val="0095647D"/>
    <w:rsid w:val="009565E7"/>
    <w:rsid w:val="0095661C"/>
    <w:rsid w:val="009569C4"/>
    <w:rsid w:val="00956A85"/>
    <w:rsid w:val="00956B58"/>
    <w:rsid w:val="00956B72"/>
    <w:rsid w:val="00956BB5"/>
    <w:rsid w:val="0095713F"/>
    <w:rsid w:val="00957274"/>
    <w:rsid w:val="00957850"/>
    <w:rsid w:val="00957A49"/>
    <w:rsid w:val="00957ABA"/>
    <w:rsid w:val="00957C0B"/>
    <w:rsid w:val="00957E66"/>
    <w:rsid w:val="00957FD5"/>
    <w:rsid w:val="00960116"/>
    <w:rsid w:val="00960307"/>
    <w:rsid w:val="009603F0"/>
    <w:rsid w:val="00960552"/>
    <w:rsid w:val="009605B8"/>
    <w:rsid w:val="0096088F"/>
    <w:rsid w:val="00960919"/>
    <w:rsid w:val="00960A5B"/>
    <w:rsid w:val="00960C09"/>
    <w:rsid w:val="00960C3C"/>
    <w:rsid w:val="00960CCD"/>
    <w:rsid w:val="00960F29"/>
    <w:rsid w:val="00960F73"/>
    <w:rsid w:val="00960FB2"/>
    <w:rsid w:val="0096115D"/>
    <w:rsid w:val="00961356"/>
    <w:rsid w:val="009613CA"/>
    <w:rsid w:val="00961414"/>
    <w:rsid w:val="0096149E"/>
    <w:rsid w:val="009614CA"/>
    <w:rsid w:val="00961650"/>
    <w:rsid w:val="009619D0"/>
    <w:rsid w:val="009619FB"/>
    <w:rsid w:val="00961C8D"/>
    <w:rsid w:val="00961D75"/>
    <w:rsid w:val="00962290"/>
    <w:rsid w:val="009622E1"/>
    <w:rsid w:val="0096231B"/>
    <w:rsid w:val="009624F6"/>
    <w:rsid w:val="00962538"/>
    <w:rsid w:val="00962810"/>
    <w:rsid w:val="00962847"/>
    <w:rsid w:val="009628B4"/>
    <w:rsid w:val="009629E8"/>
    <w:rsid w:val="00962A68"/>
    <w:rsid w:val="00962CC6"/>
    <w:rsid w:val="00962EAA"/>
    <w:rsid w:val="00962FAD"/>
    <w:rsid w:val="00963021"/>
    <w:rsid w:val="00963082"/>
    <w:rsid w:val="00963157"/>
    <w:rsid w:val="009632A1"/>
    <w:rsid w:val="00963511"/>
    <w:rsid w:val="00963714"/>
    <w:rsid w:val="009637D6"/>
    <w:rsid w:val="0096387B"/>
    <w:rsid w:val="00963899"/>
    <w:rsid w:val="00963916"/>
    <w:rsid w:val="00963A9C"/>
    <w:rsid w:val="00963BB7"/>
    <w:rsid w:val="00963D11"/>
    <w:rsid w:val="00963D38"/>
    <w:rsid w:val="00963DAE"/>
    <w:rsid w:val="00964544"/>
    <w:rsid w:val="0096469F"/>
    <w:rsid w:val="009647F6"/>
    <w:rsid w:val="009648DF"/>
    <w:rsid w:val="00964C61"/>
    <w:rsid w:val="00964D2E"/>
    <w:rsid w:val="00964DCA"/>
    <w:rsid w:val="00964DCF"/>
    <w:rsid w:val="00964FB0"/>
    <w:rsid w:val="00965130"/>
    <w:rsid w:val="00965132"/>
    <w:rsid w:val="00965195"/>
    <w:rsid w:val="00965269"/>
    <w:rsid w:val="009655A3"/>
    <w:rsid w:val="00965910"/>
    <w:rsid w:val="00965911"/>
    <w:rsid w:val="0096591F"/>
    <w:rsid w:val="00965AD9"/>
    <w:rsid w:val="00965BAC"/>
    <w:rsid w:val="00965F79"/>
    <w:rsid w:val="00965F91"/>
    <w:rsid w:val="009661D7"/>
    <w:rsid w:val="009662E5"/>
    <w:rsid w:val="009662FC"/>
    <w:rsid w:val="0096667A"/>
    <w:rsid w:val="00966709"/>
    <w:rsid w:val="0096673D"/>
    <w:rsid w:val="00966936"/>
    <w:rsid w:val="00966B30"/>
    <w:rsid w:val="00966C09"/>
    <w:rsid w:val="009670E8"/>
    <w:rsid w:val="009671CC"/>
    <w:rsid w:val="009676E9"/>
    <w:rsid w:val="00967943"/>
    <w:rsid w:val="00967A16"/>
    <w:rsid w:val="00967ABA"/>
    <w:rsid w:val="00967AC5"/>
    <w:rsid w:val="00967CE3"/>
    <w:rsid w:val="00967F28"/>
    <w:rsid w:val="00967F2A"/>
    <w:rsid w:val="00967FF4"/>
    <w:rsid w:val="00970001"/>
    <w:rsid w:val="009700B5"/>
    <w:rsid w:val="00970101"/>
    <w:rsid w:val="009702FE"/>
    <w:rsid w:val="0097030D"/>
    <w:rsid w:val="0097058A"/>
    <w:rsid w:val="00970847"/>
    <w:rsid w:val="00970924"/>
    <w:rsid w:val="009709B1"/>
    <w:rsid w:val="009709B6"/>
    <w:rsid w:val="009709CF"/>
    <w:rsid w:val="00970B6D"/>
    <w:rsid w:val="00970D2E"/>
    <w:rsid w:val="00970EC7"/>
    <w:rsid w:val="00970EDA"/>
    <w:rsid w:val="00971105"/>
    <w:rsid w:val="00971247"/>
    <w:rsid w:val="009712B9"/>
    <w:rsid w:val="009712FA"/>
    <w:rsid w:val="0097144E"/>
    <w:rsid w:val="00971520"/>
    <w:rsid w:val="00971821"/>
    <w:rsid w:val="009719AE"/>
    <w:rsid w:val="00971AAC"/>
    <w:rsid w:val="00971AF4"/>
    <w:rsid w:val="00971CE1"/>
    <w:rsid w:val="00971E31"/>
    <w:rsid w:val="009723D5"/>
    <w:rsid w:val="009724DC"/>
    <w:rsid w:val="009727D9"/>
    <w:rsid w:val="00972829"/>
    <w:rsid w:val="00972BC7"/>
    <w:rsid w:val="00972CC0"/>
    <w:rsid w:val="00972CCA"/>
    <w:rsid w:val="00972EE8"/>
    <w:rsid w:val="009730E4"/>
    <w:rsid w:val="009732E6"/>
    <w:rsid w:val="00973376"/>
    <w:rsid w:val="00973509"/>
    <w:rsid w:val="009735C0"/>
    <w:rsid w:val="0097378A"/>
    <w:rsid w:val="0097392B"/>
    <w:rsid w:val="00973BCF"/>
    <w:rsid w:val="00973E9B"/>
    <w:rsid w:val="00973EF3"/>
    <w:rsid w:val="009740E0"/>
    <w:rsid w:val="00974104"/>
    <w:rsid w:val="0097451B"/>
    <w:rsid w:val="00974830"/>
    <w:rsid w:val="00974866"/>
    <w:rsid w:val="00974ADF"/>
    <w:rsid w:val="00974B49"/>
    <w:rsid w:val="00974E08"/>
    <w:rsid w:val="00974EC3"/>
    <w:rsid w:val="009755B4"/>
    <w:rsid w:val="009755F8"/>
    <w:rsid w:val="009756BF"/>
    <w:rsid w:val="00975820"/>
    <w:rsid w:val="009759DB"/>
    <w:rsid w:val="009759EB"/>
    <w:rsid w:val="00975A73"/>
    <w:rsid w:val="00975BA4"/>
    <w:rsid w:val="00975C72"/>
    <w:rsid w:val="00975CD6"/>
    <w:rsid w:val="00975DBB"/>
    <w:rsid w:val="00975EBC"/>
    <w:rsid w:val="00975EFB"/>
    <w:rsid w:val="00975F24"/>
    <w:rsid w:val="00975F91"/>
    <w:rsid w:val="0097602A"/>
    <w:rsid w:val="00976209"/>
    <w:rsid w:val="00976276"/>
    <w:rsid w:val="009763A1"/>
    <w:rsid w:val="009765E5"/>
    <w:rsid w:val="0097670E"/>
    <w:rsid w:val="009769D6"/>
    <w:rsid w:val="00976A5D"/>
    <w:rsid w:val="00976EEC"/>
    <w:rsid w:val="00976F58"/>
    <w:rsid w:val="00976FCE"/>
    <w:rsid w:val="00976FEB"/>
    <w:rsid w:val="00977004"/>
    <w:rsid w:val="00977146"/>
    <w:rsid w:val="009771B7"/>
    <w:rsid w:val="009777C7"/>
    <w:rsid w:val="00977A0F"/>
    <w:rsid w:val="00977A46"/>
    <w:rsid w:val="00977A73"/>
    <w:rsid w:val="00977A8B"/>
    <w:rsid w:val="00977C19"/>
    <w:rsid w:val="00977CB4"/>
    <w:rsid w:val="00977E1A"/>
    <w:rsid w:val="00977F0A"/>
    <w:rsid w:val="0098038D"/>
    <w:rsid w:val="00980639"/>
    <w:rsid w:val="0098063C"/>
    <w:rsid w:val="0098063D"/>
    <w:rsid w:val="0098064B"/>
    <w:rsid w:val="0098069A"/>
    <w:rsid w:val="00980728"/>
    <w:rsid w:val="0098073B"/>
    <w:rsid w:val="00980768"/>
    <w:rsid w:val="00980940"/>
    <w:rsid w:val="00980983"/>
    <w:rsid w:val="00980993"/>
    <w:rsid w:val="00980B20"/>
    <w:rsid w:val="00980BE0"/>
    <w:rsid w:val="00980BE9"/>
    <w:rsid w:val="00980CA9"/>
    <w:rsid w:val="00980D30"/>
    <w:rsid w:val="00980DA0"/>
    <w:rsid w:val="00980F29"/>
    <w:rsid w:val="00980F87"/>
    <w:rsid w:val="009810BB"/>
    <w:rsid w:val="0098119E"/>
    <w:rsid w:val="009813B0"/>
    <w:rsid w:val="00981427"/>
    <w:rsid w:val="00981447"/>
    <w:rsid w:val="00981467"/>
    <w:rsid w:val="00981549"/>
    <w:rsid w:val="00981571"/>
    <w:rsid w:val="00981928"/>
    <w:rsid w:val="00981939"/>
    <w:rsid w:val="009819BA"/>
    <w:rsid w:val="00981AAE"/>
    <w:rsid w:val="00981C63"/>
    <w:rsid w:val="00981C92"/>
    <w:rsid w:val="009820B1"/>
    <w:rsid w:val="009820D9"/>
    <w:rsid w:val="0098244D"/>
    <w:rsid w:val="0098246C"/>
    <w:rsid w:val="009825A2"/>
    <w:rsid w:val="009827FA"/>
    <w:rsid w:val="00982A2B"/>
    <w:rsid w:val="00982A92"/>
    <w:rsid w:val="00982BA5"/>
    <w:rsid w:val="00982BF7"/>
    <w:rsid w:val="00982D97"/>
    <w:rsid w:val="00982F22"/>
    <w:rsid w:val="00983602"/>
    <w:rsid w:val="00983732"/>
    <w:rsid w:val="00983777"/>
    <w:rsid w:val="00983899"/>
    <w:rsid w:val="009838BD"/>
    <w:rsid w:val="00983AF0"/>
    <w:rsid w:val="00983C45"/>
    <w:rsid w:val="00983CB1"/>
    <w:rsid w:val="0098407D"/>
    <w:rsid w:val="009840C7"/>
    <w:rsid w:val="00984292"/>
    <w:rsid w:val="009842FF"/>
    <w:rsid w:val="00984389"/>
    <w:rsid w:val="00984441"/>
    <w:rsid w:val="009844B4"/>
    <w:rsid w:val="009844C1"/>
    <w:rsid w:val="009844CF"/>
    <w:rsid w:val="00984772"/>
    <w:rsid w:val="0098477C"/>
    <w:rsid w:val="009847BF"/>
    <w:rsid w:val="0098481F"/>
    <w:rsid w:val="00984AEA"/>
    <w:rsid w:val="00984CFA"/>
    <w:rsid w:val="00984DD8"/>
    <w:rsid w:val="009850A1"/>
    <w:rsid w:val="00985306"/>
    <w:rsid w:val="00985643"/>
    <w:rsid w:val="009856F9"/>
    <w:rsid w:val="00985700"/>
    <w:rsid w:val="00985937"/>
    <w:rsid w:val="00985996"/>
    <w:rsid w:val="00985CF4"/>
    <w:rsid w:val="00985D05"/>
    <w:rsid w:val="00985DC3"/>
    <w:rsid w:val="009860C5"/>
    <w:rsid w:val="009863B5"/>
    <w:rsid w:val="009863B8"/>
    <w:rsid w:val="00986644"/>
    <w:rsid w:val="009866AE"/>
    <w:rsid w:val="009866CA"/>
    <w:rsid w:val="0098682D"/>
    <w:rsid w:val="0098690F"/>
    <w:rsid w:val="00986B3E"/>
    <w:rsid w:val="00986D5A"/>
    <w:rsid w:val="00986D84"/>
    <w:rsid w:val="0098703F"/>
    <w:rsid w:val="00987080"/>
    <w:rsid w:val="00987225"/>
    <w:rsid w:val="00987257"/>
    <w:rsid w:val="00987481"/>
    <w:rsid w:val="009875DF"/>
    <w:rsid w:val="00987865"/>
    <w:rsid w:val="00987A3C"/>
    <w:rsid w:val="00987BF9"/>
    <w:rsid w:val="00987C16"/>
    <w:rsid w:val="00987C31"/>
    <w:rsid w:val="00987CDE"/>
    <w:rsid w:val="00987D30"/>
    <w:rsid w:val="00987D3E"/>
    <w:rsid w:val="00987DC6"/>
    <w:rsid w:val="00987DFB"/>
    <w:rsid w:val="00987E45"/>
    <w:rsid w:val="00987ED5"/>
    <w:rsid w:val="009902AB"/>
    <w:rsid w:val="009903BE"/>
    <w:rsid w:val="009907CF"/>
    <w:rsid w:val="0099085F"/>
    <w:rsid w:val="00990ACE"/>
    <w:rsid w:val="00990DFF"/>
    <w:rsid w:val="00990E78"/>
    <w:rsid w:val="00990E81"/>
    <w:rsid w:val="00990FDB"/>
    <w:rsid w:val="00991094"/>
    <w:rsid w:val="009910B3"/>
    <w:rsid w:val="009912B1"/>
    <w:rsid w:val="009916B2"/>
    <w:rsid w:val="009916C1"/>
    <w:rsid w:val="00991C4A"/>
    <w:rsid w:val="00991FEC"/>
    <w:rsid w:val="0099216C"/>
    <w:rsid w:val="009922B3"/>
    <w:rsid w:val="0099244A"/>
    <w:rsid w:val="00992518"/>
    <w:rsid w:val="009925DB"/>
    <w:rsid w:val="00992627"/>
    <w:rsid w:val="00992769"/>
    <w:rsid w:val="0099281A"/>
    <w:rsid w:val="00992A6C"/>
    <w:rsid w:val="00992B1F"/>
    <w:rsid w:val="00992C5D"/>
    <w:rsid w:val="00992FB8"/>
    <w:rsid w:val="00993036"/>
    <w:rsid w:val="00993114"/>
    <w:rsid w:val="00993134"/>
    <w:rsid w:val="00993210"/>
    <w:rsid w:val="009932FD"/>
    <w:rsid w:val="00993345"/>
    <w:rsid w:val="009933D8"/>
    <w:rsid w:val="00993555"/>
    <w:rsid w:val="009937C3"/>
    <w:rsid w:val="00993823"/>
    <w:rsid w:val="00993B72"/>
    <w:rsid w:val="00993CC9"/>
    <w:rsid w:val="00993E91"/>
    <w:rsid w:val="00993FDA"/>
    <w:rsid w:val="009940A4"/>
    <w:rsid w:val="0099426D"/>
    <w:rsid w:val="009942C4"/>
    <w:rsid w:val="00994397"/>
    <w:rsid w:val="009943B5"/>
    <w:rsid w:val="0099448D"/>
    <w:rsid w:val="00994543"/>
    <w:rsid w:val="00994556"/>
    <w:rsid w:val="009945F9"/>
    <w:rsid w:val="009946CD"/>
    <w:rsid w:val="00994B68"/>
    <w:rsid w:val="00994DE3"/>
    <w:rsid w:val="00994E62"/>
    <w:rsid w:val="00994EA1"/>
    <w:rsid w:val="00994F07"/>
    <w:rsid w:val="00994FBC"/>
    <w:rsid w:val="009952CE"/>
    <w:rsid w:val="00995AD7"/>
    <w:rsid w:val="00995B17"/>
    <w:rsid w:val="00995CAF"/>
    <w:rsid w:val="009960B7"/>
    <w:rsid w:val="00996142"/>
    <w:rsid w:val="00996530"/>
    <w:rsid w:val="009965CB"/>
    <w:rsid w:val="0099666D"/>
    <w:rsid w:val="009967E2"/>
    <w:rsid w:val="00996827"/>
    <w:rsid w:val="00996872"/>
    <w:rsid w:val="009969E6"/>
    <w:rsid w:val="00996DB9"/>
    <w:rsid w:val="00996DE5"/>
    <w:rsid w:val="00996F75"/>
    <w:rsid w:val="00997134"/>
    <w:rsid w:val="00997261"/>
    <w:rsid w:val="009975BE"/>
    <w:rsid w:val="009976BB"/>
    <w:rsid w:val="009977D3"/>
    <w:rsid w:val="00997AC5"/>
    <w:rsid w:val="00997B3F"/>
    <w:rsid w:val="00997BBF"/>
    <w:rsid w:val="00997D6E"/>
    <w:rsid w:val="00997E66"/>
    <w:rsid w:val="009A0020"/>
    <w:rsid w:val="009A0032"/>
    <w:rsid w:val="009A006C"/>
    <w:rsid w:val="009A0104"/>
    <w:rsid w:val="009A0186"/>
    <w:rsid w:val="009A0411"/>
    <w:rsid w:val="009A061A"/>
    <w:rsid w:val="009A0711"/>
    <w:rsid w:val="009A0858"/>
    <w:rsid w:val="009A08A4"/>
    <w:rsid w:val="009A0972"/>
    <w:rsid w:val="009A0C68"/>
    <w:rsid w:val="009A0D27"/>
    <w:rsid w:val="009A0EBA"/>
    <w:rsid w:val="009A1166"/>
    <w:rsid w:val="009A13AA"/>
    <w:rsid w:val="009A1740"/>
    <w:rsid w:val="009A1DE0"/>
    <w:rsid w:val="009A1F0D"/>
    <w:rsid w:val="009A2132"/>
    <w:rsid w:val="009A2289"/>
    <w:rsid w:val="009A23AB"/>
    <w:rsid w:val="009A23EB"/>
    <w:rsid w:val="009A260E"/>
    <w:rsid w:val="009A27EF"/>
    <w:rsid w:val="009A2956"/>
    <w:rsid w:val="009A295D"/>
    <w:rsid w:val="009A2C7E"/>
    <w:rsid w:val="009A2EEA"/>
    <w:rsid w:val="009A30D6"/>
    <w:rsid w:val="009A312D"/>
    <w:rsid w:val="009A35BC"/>
    <w:rsid w:val="009A3896"/>
    <w:rsid w:val="009A3AAA"/>
    <w:rsid w:val="009A3C7F"/>
    <w:rsid w:val="009A3E7C"/>
    <w:rsid w:val="009A3E91"/>
    <w:rsid w:val="009A3F45"/>
    <w:rsid w:val="009A4305"/>
    <w:rsid w:val="009A4774"/>
    <w:rsid w:val="009A478A"/>
    <w:rsid w:val="009A4925"/>
    <w:rsid w:val="009A492F"/>
    <w:rsid w:val="009A4984"/>
    <w:rsid w:val="009A514E"/>
    <w:rsid w:val="009A529D"/>
    <w:rsid w:val="009A52CC"/>
    <w:rsid w:val="009A5517"/>
    <w:rsid w:val="009A55F5"/>
    <w:rsid w:val="009A580E"/>
    <w:rsid w:val="009A5961"/>
    <w:rsid w:val="009A5979"/>
    <w:rsid w:val="009A5BEC"/>
    <w:rsid w:val="009A5D40"/>
    <w:rsid w:val="009A5EA2"/>
    <w:rsid w:val="009A5F3D"/>
    <w:rsid w:val="009A5FA0"/>
    <w:rsid w:val="009A5FBC"/>
    <w:rsid w:val="009A6660"/>
    <w:rsid w:val="009A678D"/>
    <w:rsid w:val="009A6881"/>
    <w:rsid w:val="009A68A7"/>
    <w:rsid w:val="009A68B2"/>
    <w:rsid w:val="009A692D"/>
    <w:rsid w:val="009A6961"/>
    <w:rsid w:val="009A69B3"/>
    <w:rsid w:val="009A6A30"/>
    <w:rsid w:val="009A6A4D"/>
    <w:rsid w:val="009A6BC9"/>
    <w:rsid w:val="009A6BD4"/>
    <w:rsid w:val="009A6C09"/>
    <w:rsid w:val="009A6C68"/>
    <w:rsid w:val="009A6CBA"/>
    <w:rsid w:val="009A6CEF"/>
    <w:rsid w:val="009A6D13"/>
    <w:rsid w:val="009A6DAC"/>
    <w:rsid w:val="009A6E6E"/>
    <w:rsid w:val="009A6F70"/>
    <w:rsid w:val="009A6F74"/>
    <w:rsid w:val="009A70B9"/>
    <w:rsid w:val="009A7114"/>
    <w:rsid w:val="009A7346"/>
    <w:rsid w:val="009A74C3"/>
    <w:rsid w:val="009A75BF"/>
    <w:rsid w:val="009A76C9"/>
    <w:rsid w:val="009A76F7"/>
    <w:rsid w:val="009A7825"/>
    <w:rsid w:val="009A7DF9"/>
    <w:rsid w:val="009A7E07"/>
    <w:rsid w:val="009A7EFF"/>
    <w:rsid w:val="009B0079"/>
    <w:rsid w:val="009B0085"/>
    <w:rsid w:val="009B011E"/>
    <w:rsid w:val="009B035D"/>
    <w:rsid w:val="009B0485"/>
    <w:rsid w:val="009B052A"/>
    <w:rsid w:val="009B064D"/>
    <w:rsid w:val="009B0768"/>
    <w:rsid w:val="009B086C"/>
    <w:rsid w:val="009B096E"/>
    <w:rsid w:val="009B0B3D"/>
    <w:rsid w:val="009B0BD2"/>
    <w:rsid w:val="009B0CD5"/>
    <w:rsid w:val="009B0D62"/>
    <w:rsid w:val="009B0F25"/>
    <w:rsid w:val="009B0FB9"/>
    <w:rsid w:val="009B10FA"/>
    <w:rsid w:val="009B1152"/>
    <w:rsid w:val="009B1249"/>
    <w:rsid w:val="009B151C"/>
    <w:rsid w:val="009B17AB"/>
    <w:rsid w:val="009B1955"/>
    <w:rsid w:val="009B1A79"/>
    <w:rsid w:val="009B1B2D"/>
    <w:rsid w:val="009B1E6E"/>
    <w:rsid w:val="009B1ECE"/>
    <w:rsid w:val="009B1FDA"/>
    <w:rsid w:val="009B2138"/>
    <w:rsid w:val="009B25A6"/>
    <w:rsid w:val="009B2AB8"/>
    <w:rsid w:val="009B2E37"/>
    <w:rsid w:val="009B2EE7"/>
    <w:rsid w:val="009B315C"/>
    <w:rsid w:val="009B3179"/>
    <w:rsid w:val="009B317F"/>
    <w:rsid w:val="009B336B"/>
    <w:rsid w:val="009B3435"/>
    <w:rsid w:val="009B34BD"/>
    <w:rsid w:val="009B35A0"/>
    <w:rsid w:val="009B38A8"/>
    <w:rsid w:val="009B39BD"/>
    <w:rsid w:val="009B3A16"/>
    <w:rsid w:val="009B3A85"/>
    <w:rsid w:val="009B3B15"/>
    <w:rsid w:val="009B3C30"/>
    <w:rsid w:val="009B3DA8"/>
    <w:rsid w:val="009B3DC4"/>
    <w:rsid w:val="009B3EE6"/>
    <w:rsid w:val="009B42BC"/>
    <w:rsid w:val="009B453E"/>
    <w:rsid w:val="009B458E"/>
    <w:rsid w:val="009B48BA"/>
    <w:rsid w:val="009B4A0C"/>
    <w:rsid w:val="009B4A3A"/>
    <w:rsid w:val="009B4BF6"/>
    <w:rsid w:val="009B4BF8"/>
    <w:rsid w:val="009B4DF5"/>
    <w:rsid w:val="009B4E5E"/>
    <w:rsid w:val="009B4EAF"/>
    <w:rsid w:val="009B4F3F"/>
    <w:rsid w:val="009B4F54"/>
    <w:rsid w:val="009B4F62"/>
    <w:rsid w:val="009B5040"/>
    <w:rsid w:val="009B5089"/>
    <w:rsid w:val="009B515C"/>
    <w:rsid w:val="009B51DE"/>
    <w:rsid w:val="009B51E4"/>
    <w:rsid w:val="009B524F"/>
    <w:rsid w:val="009B542E"/>
    <w:rsid w:val="009B54A3"/>
    <w:rsid w:val="009B54E7"/>
    <w:rsid w:val="009B5591"/>
    <w:rsid w:val="009B5592"/>
    <w:rsid w:val="009B56F6"/>
    <w:rsid w:val="009B58D8"/>
    <w:rsid w:val="009B59ED"/>
    <w:rsid w:val="009B5AC4"/>
    <w:rsid w:val="009B5BDC"/>
    <w:rsid w:val="009B5D14"/>
    <w:rsid w:val="009B5F85"/>
    <w:rsid w:val="009B5FD1"/>
    <w:rsid w:val="009B6217"/>
    <w:rsid w:val="009B62B2"/>
    <w:rsid w:val="009B62CD"/>
    <w:rsid w:val="009B6461"/>
    <w:rsid w:val="009B665C"/>
    <w:rsid w:val="009B6695"/>
    <w:rsid w:val="009B671D"/>
    <w:rsid w:val="009B69B6"/>
    <w:rsid w:val="009B69D3"/>
    <w:rsid w:val="009B6AB8"/>
    <w:rsid w:val="009B70E7"/>
    <w:rsid w:val="009B72B2"/>
    <w:rsid w:val="009B7453"/>
    <w:rsid w:val="009B7547"/>
    <w:rsid w:val="009B76B2"/>
    <w:rsid w:val="009B771F"/>
    <w:rsid w:val="009B7785"/>
    <w:rsid w:val="009B7938"/>
    <w:rsid w:val="009B7B97"/>
    <w:rsid w:val="009B7BD2"/>
    <w:rsid w:val="009C032A"/>
    <w:rsid w:val="009C03CB"/>
    <w:rsid w:val="009C03F9"/>
    <w:rsid w:val="009C042E"/>
    <w:rsid w:val="009C05CE"/>
    <w:rsid w:val="009C0672"/>
    <w:rsid w:val="009C0753"/>
    <w:rsid w:val="009C0CBF"/>
    <w:rsid w:val="009C0CC4"/>
    <w:rsid w:val="009C0DB0"/>
    <w:rsid w:val="009C0E12"/>
    <w:rsid w:val="009C0E8D"/>
    <w:rsid w:val="009C0F03"/>
    <w:rsid w:val="009C1325"/>
    <w:rsid w:val="009C1577"/>
    <w:rsid w:val="009C16B5"/>
    <w:rsid w:val="009C1830"/>
    <w:rsid w:val="009C198F"/>
    <w:rsid w:val="009C19BF"/>
    <w:rsid w:val="009C1CAF"/>
    <w:rsid w:val="009C2075"/>
    <w:rsid w:val="009C2383"/>
    <w:rsid w:val="009C2792"/>
    <w:rsid w:val="009C2800"/>
    <w:rsid w:val="009C293A"/>
    <w:rsid w:val="009C2AC1"/>
    <w:rsid w:val="009C2DED"/>
    <w:rsid w:val="009C2E92"/>
    <w:rsid w:val="009C303C"/>
    <w:rsid w:val="009C30D1"/>
    <w:rsid w:val="009C31C9"/>
    <w:rsid w:val="009C38DF"/>
    <w:rsid w:val="009C3A4F"/>
    <w:rsid w:val="009C3CA5"/>
    <w:rsid w:val="009C3D1C"/>
    <w:rsid w:val="009C3E6B"/>
    <w:rsid w:val="009C42E8"/>
    <w:rsid w:val="009C432D"/>
    <w:rsid w:val="009C4345"/>
    <w:rsid w:val="009C4779"/>
    <w:rsid w:val="009C4817"/>
    <w:rsid w:val="009C4D08"/>
    <w:rsid w:val="009C4DAE"/>
    <w:rsid w:val="009C4DE8"/>
    <w:rsid w:val="009C4E63"/>
    <w:rsid w:val="009C4F22"/>
    <w:rsid w:val="009C4F55"/>
    <w:rsid w:val="009C506B"/>
    <w:rsid w:val="009C50F9"/>
    <w:rsid w:val="009C51AC"/>
    <w:rsid w:val="009C5347"/>
    <w:rsid w:val="009C54F5"/>
    <w:rsid w:val="009C5631"/>
    <w:rsid w:val="009C56E2"/>
    <w:rsid w:val="009C56F9"/>
    <w:rsid w:val="009C57BC"/>
    <w:rsid w:val="009C5CBF"/>
    <w:rsid w:val="009C5FC0"/>
    <w:rsid w:val="009C62AA"/>
    <w:rsid w:val="009C6404"/>
    <w:rsid w:val="009C655C"/>
    <w:rsid w:val="009C6582"/>
    <w:rsid w:val="009C668D"/>
    <w:rsid w:val="009C6759"/>
    <w:rsid w:val="009C67F0"/>
    <w:rsid w:val="009C68CC"/>
    <w:rsid w:val="009C6912"/>
    <w:rsid w:val="009C6BFD"/>
    <w:rsid w:val="009C6E3D"/>
    <w:rsid w:val="009C6EFB"/>
    <w:rsid w:val="009C6F84"/>
    <w:rsid w:val="009C6FFA"/>
    <w:rsid w:val="009C72DF"/>
    <w:rsid w:val="009C72F5"/>
    <w:rsid w:val="009C74A5"/>
    <w:rsid w:val="009C7552"/>
    <w:rsid w:val="009C7589"/>
    <w:rsid w:val="009C7690"/>
    <w:rsid w:val="009C7783"/>
    <w:rsid w:val="009C7784"/>
    <w:rsid w:val="009C7CF5"/>
    <w:rsid w:val="009C7D3F"/>
    <w:rsid w:val="009C7D72"/>
    <w:rsid w:val="009C7E64"/>
    <w:rsid w:val="009C7EA6"/>
    <w:rsid w:val="009C7F9F"/>
    <w:rsid w:val="009D014F"/>
    <w:rsid w:val="009D019C"/>
    <w:rsid w:val="009D01E9"/>
    <w:rsid w:val="009D0220"/>
    <w:rsid w:val="009D0230"/>
    <w:rsid w:val="009D0272"/>
    <w:rsid w:val="009D0673"/>
    <w:rsid w:val="009D073A"/>
    <w:rsid w:val="009D09BB"/>
    <w:rsid w:val="009D0A11"/>
    <w:rsid w:val="009D0A54"/>
    <w:rsid w:val="009D0B12"/>
    <w:rsid w:val="009D0DC9"/>
    <w:rsid w:val="009D0FF2"/>
    <w:rsid w:val="009D1087"/>
    <w:rsid w:val="009D14B4"/>
    <w:rsid w:val="009D166F"/>
    <w:rsid w:val="009D171B"/>
    <w:rsid w:val="009D1906"/>
    <w:rsid w:val="009D195B"/>
    <w:rsid w:val="009D195F"/>
    <w:rsid w:val="009D1A37"/>
    <w:rsid w:val="009D1AF6"/>
    <w:rsid w:val="009D1C55"/>
    <w:rsid w:val="009D1DF2"/>
    <w:rsid w:val="009D1E39"/>
    <w:rsid w:val="009D203B"/>
    <w:rsid w:val="009D2071"/>
    <w:rsid w:val="009D2131"/>
    <w:rsid w:val="009D23F6"/>
    <w:rsid w:val="009D2770"/>
    <w:rsid w:val="009D29CC"/>
    <w:rsid w:val="009D29FB"/>
    <w:rsid w:val="009D2A0A"/>
    <w:rsid w:val="009D2AA6"/>
    <w:rsid w:val="009D2C35"/>
    <w:rsid w:val="009D2C83"/>
    <w:rsid w:val="009D2D5D"/>
    <w:rsid w:val="009D2EA0"/>
    <w:rsid w:val="009D2F1C"/>
    <w:rsid w:val="009D2F1F"/>
    <w:rsid w:val="009D3027"/>
    <w:rsid w:val="009D3170"/>
    <w:rsid w:val="009D3237"/>
    <w:rsid w:val="009D3340"/>
    <w:rsid w:val="009D3399"/>
    <w:rsid w:val="009D3533"/>
    <w:rsid w:val="009D360C"/>
    <w:rsid w:val="009D3628"/>
    <w:rsid w:val="009D3734"/>
    <w:rsid w:val="009D3852"/>
    <w:rsid w:val="009D3870"/>
    <w:rsid w:val="009D3874"/>
    <w:rsid w:val="009D3A11"/>
    <w:rsid w:val="009D3A57"/>
    <w:rsid w:val="009D3A83"/>
    <w:rsid w:val="009D3B4E"/>
    <w:rsid w:val="009D3C63"/>
    <w:rsid w:val="009D3CCC"/>
    <w:rsid w:val="009D3D83"/>
    <w:rsid w:val="009D3FB3"/>
    <w:rsid w:val="009D4170"/>
    <w:rsid w:val="009D437E"/>
    <w:rsid w:val="009D45A7"/>
    <w:rsid w:val="009D460C"/>
    <w:rsid w:val="009D468D"/>
    <w:rsid w:val="009D46A9"/>
    <w:rsid w:val="009D472D"/>
    <w:rsid w:val="009D4903"/>
    <w:rsid w:val="009D4943"/>
    <w:rsid w:val="009D4A63"/>
    <w:rsid w:val="009D4C2A"/>
    <w:rsid w:val="009D4C2C"/>
    <w:rsid w:val="009D4D77"/>
    <w:rsid w:val="009D4E81"/>
    <w:rsid w:val="009D505C"/>
    <w:rsid w:val="009D51FD"/>
    <w:rsid w:val="009D5323"/>
    <w:rsid w:val="009D5461"/>
    <w:rsid w:val="009D548A"/>
    <w:rsid w:val="009D54CF"/>
    <w:rsid w:val="009D54DA"/>
    <w:rsid w:val="009D555C"/>
    <w:rsid w:val="009D5578"/>
    <w:rsid w:val="009D5631"/>
    <w:rsid w:val="009D566B"/>
    <w:rsid w:val="009D56AE"/>
    <w:rsid w:val="009D575F"/>
    <w:rsid w:val="009D595E"/>
    <w:rsid w:val="009D5B0E"/>
    <w:rsid w:val="009D5B8F"/>
    <w:rsid w:val="009D5C09"/>
    <w:rsid w:val="009D5C3D"/>
    <w:rsid w:val="009D5D58"/>
    <w:rsid w:val="009D5D65"/>
    <w:rsid w:val="009D5EAC"/>
    <w:rsid w:val="009D5FCF"/>
    <w:rsid w:val="009D607F"/>
    <w:rsid w:val="009D6391"/>
    <w:rsid w:val="009D63AF"/>
    <w:rsid w:val="009D63BD"/>
    <w:rsid w:val="009D6409"/>
    <w:rsid w:val="009D64C6"/>
    <w:rsid w:val="009D675A"/>
    <w:rsid w:val="009D6914"/>
    <w:rsid w:val="009D6A0C"/>
    <w:rsid w:val="009D6B64"/>
    <w:rsid w:val="009D6C6A"/>
    <w:rsid w:val="009D6D19"/>
    <w:rsid w:val="009D6E4F"/>
    <w:rsid w:val="009D70BA"/>
    <w:rsid w:val="009D7183"/>
    <w:rsid w:val="009D7197"/>
    <w:rsid w:val="009D74FA"/>
    <w:rsid w:val="009D7501"/>
    <w:rsid w:val="009D7677"/>
    <w:rsid w:val="009D76B7"/>
    <w:rsid w:val="009D780A"/>
    <w:rsid w:val="009D782A"/>
    <w:rsid w:val="009D7889"/>
    <w:rsid w:val="009D7BF0"/>
    <w:rsid w:val="009D7E52"/>
    <w:rsid w:val="009D7F10"/>
    <w:rsid w:val="009E020C"/>
    <w:rsid w:val="009E02BF"/>
    <w:rsid w:val="009E0449"/>
    <w:rsid w:val="009E0536"/>
    <w:rsid w:val="009E074F"/>
    <w:rsid w:val="009E0926"/>
    <w:rsid w:val="009E0A74"/>
    <w:rsid w:val="009E0C6C"/>
    <w:rsid w:val="009E0C7B"/>
    <w:rsid w:val="009E113E"/>
    <w:rsid w:val="009E1170"/>
    <w:rsid w:val="009E13BE"/>
    <w:rsid w:val="009E15A7"/>
    <w:rsid w:val="009E1715"/>
    <w:rsid w:val="009E1754"/>
    <w:rsid w:val="009E1836"/>
    <w:rsid w:val="009E188E"/>
    <w:rsid w:val="009E18A9"/>
    <w:rsid w:val="009E1A3C"/>
    <w:rsid w:val="009E1AC6"/>
    <w:rsid w:val="009E1B06"/>
    <w:rsid w:val="009E1C22"/>
    <w:rsid w:val="009E1EA3"/>
    <w:rsid w:val="009E1F73"/>
    <w:rsid w:val="009E2030"/>
    <w:rsid w:val="009E2239"/>
    <w:rsid w:val="009E2276"/>
    <w:rsid w:val="009E2481"/>
    <w:rsid w:val="009E2534"/>
    <w:rsid w:val="009E2542"/>
    <w:rsid w:val="009E2619"/>
    <w:rsid w:val="009E2636"/>
    <w:rsid w:val="009E267A"/>
    <w:rsid w:val="009E2A0C"/>
    <w:rsid w:val="009E2CEC"/>
    <w:rsid w:val="009E2D75"/>
    <w:rsid w:val="009E2EC0"/>
    <w:rsid w:val="009E2F8A"/>
    <w:rsid w:val="009E3169"/>
    <w:rsid w:val="009E31C3"/>
    <w:rsid w:val="009E3423"/>
    <w:rsid w:val="009E34C7"/>
    <w:rsid w:val="009E362B"/>
    <w:rsid w:val="009E3654"/>
    <w:rsid w:val="009E37E4"/>
    <w:rsid w:val="009E37EF"/>
    <w:rsid w:val="009E3911"/>
    <w:rsid w:val="009E396D"/>
    <w:rsid w:val="009E39E7"/>
    <w:rsid w:val="009E3B19"/>
    <w:rsid w:val="009E3C1A"/>
    <w:rsid w:val="009E3C72"/>
    <w:rsid w:val="009E3C7E"/>
    <w:rsid w:val="009E3D17"/>
    <w:rsid w:val="009E3E52"/>
    <w:rsid w:val="009E3EC3"/>
    <w:rsid w:val="009E3F13"/>
    <w:rsid w:val="009E3F41"/>
    <w:rsid w:val="009E3F9F"/>
    <w:rsid w:val="009E4049"/>
    <w:rsid w:val="009E419E"/>
    <w:rsid w:val="009E43E8"/>
    <w:rsid w:val="009E43FB"/>
    <w:rsid w:val="009E43FC"/>
    <w:rsid w:val="009E44BB"/>
    <w:rsid w:val="009E451C"/>
    <w:rsid w:val="009E45C4"/>
    <w:rsid w:val="009E4797"/>
    <w:rsid w:val="009E4886"/>
    <w:rsid w:val="009E4A8B"/>
    <w:rsid w:val="009E4C70"/>
    <w:rsid w:val="009E4CE5"/>
    <w:rsid w:val="009E4E44"/>
    <w:rsid w:val="009E4F01"/>
    <w:rsid w:val="009E54C1"/>
    <w:rsid w:val="009E559D"/>
    <w:rsid w:val="009E5970"/>
    <w:rsid w:val="009E5AE8"/>
    <w:rsid w:val="009E5EFC"/>
    <w:rsid w:val="009E60CD"/>
    <w:rsid w:val="009E6601"/>
    <w:rsid w:val="009E6670"/>
    <w:rsid w:val="009E66EC"/>
    <w:rsid w:val="009E674F"/>
    <w:rsid w:val="009E67B1"/>
    <w:rsid w:val="009E67BF"/>
    <w:rsid w:val="009E67CC"/>
    <w:rsid w:val="009E6916"/>
    <w:rsid w:val="009E6BD0"/>
    <w:rsid w:val="009E6C26"/>
    <w:rsid w:val="009E6E04"/>
    <w:rsid w:val="009E6E4A"/>
    <w:rsid w:val="009E6EFA"/>
    <w:rsid w:val="009E6EFB"/>
    <w:rsid w:val="009E6F2E"/>
    <w:rsid w:val="009E71AA"/>
    <w:rsid w:val="009E7208"/>
    <w:rsid w:val="009E7238"/>
    <w:rsid w:val="009E725D"/>
    <w:rsid w:val="009E747B"/>
    <w:rsid w:val="009E754C"/>
    <w:rsid w:val="009E75B6"/>
    <w:rsid w:val="009E75F9"/>
    <w:rsid w:val="009E7696"/>
    <w:rsid w:val="009E775B"/>
    <w:rsid w:val="009E7A04"/>
    <w:rsid w:val="009E7A2F"/>
    <w:rsid w:val="009E7A31"/>
    <w:rsid w:val="009E7BA5"/>
    <w:rsid w:val="009E7C33"/>
    <w:rsid w:val="009E7D79"/>
    <w:rsid w:val="009E7DD5"/>
    <w:rsid w:val="009F00CE"/>
    <w:rsid w:val="009F017D"/>
    <w:rsid w:val="009F0366"/>
    <w:rsid w:val="009F0381"/>
    <w:rsid w:val="009F0394"/>
    <w:rsid w:val="009F03DA"/>
    <w:rsid w:val="009F052F"/>
    <w:rsid w:val="009F0715"/>
    <w:rsid w:val="009F0758"/>
    <w:rsid w:val="009F09ED"/>
    <w:rsid w:val="009F0B18"/>
    <w:rsid w:val="009F0B5B"/>
    <w:rsid w:val="009F0BD1"/>
    <w:rsid w:val="009F0BF7"/>
    <w:rsid w:val="009F0DAF"/>
    <w:rsid w:val="009F1256"/>
    <w:rsid w:val="009F12D3"/>
    <w:rsid w:val="009F1330"/>
    <w:rsid w:val="009F13A0"/>
    <w:rsid w:val="009F1504"/>
    <w:rsid w:val="009F16A3"/>
    <w:rsid w:val="009F1704"/>
    <w:rsid w:val="009F1763"/>
    <w:rsid w:val="009F183D"/>
    <w:rsid w:val="009F18EE"/>
    <w:rsid w:val="009F193A"/>
    <w:rsid w:val="009F1AD8"/>
    <w:rsid w:val="009F2040"/>
    <w:rsid w:val="009F2141"/>
    <w:rsid w:val="009F2378"/>
    <w:rsid w:val="009F2419"/>
    <w:rsid w:val="009F248E"/>
    <w:rsid w:val="009F2584"/>
    <w:rsid w:val="009F2589"/>
    <w:rsid w:val="009F25BD"/>
    <w:rsid w:val="009F26D7"/>
    <w:rsid w:val="009F282D"/>
    <w:rsid w:val="009F2923"/>
    <w:rsid w:val="009F2AA4"/>
    <w:rsid w:val="009F2B56"/>
    <w:rsid w:val="009F3030"/>
    <w:rsid w:val="009F3117"/>
    <w:rsid w:val="009F31F9"/>
    <w:rsid w:val="009F3434"/>
    <w:rsid w:val="009F3631"/>
    <w:rsid w:val="009F363C"/>
    <w:rsid w:val="009F3790"/>
    <w:rsid w:val="009F3884"/>
    <w:rsid w:val="009F3A1E"/>
    <w:rsid w:val="009F3AB3"/>
    <w:rsid w:val="009F3AD0"/>
    <w:rsid w:val="009F3C5A"/>
    <w:rsid w:val="009F3E43"/>
    <w:rsid w:val="009F3EBD"/>
    <w:rsid w:val="009F4013"/>
    <w:rsid w:val="009F41E0"/>
    <w:rsid w:val="009F4200"/>
    <w:rsid w:val="009F4229"/>
    <w:rsid w:val="009F4302"/>
    <w:rsid w:val="009F4359"/>
    <w:rsid w:val="009F448E"/>
    <w:rsid w:val="009F44F6"/>
    <w:rsid w:val="009F456B"/>
    <w:rsid w:val="009F45CB"/>
    <w:rsid w:val="009F476C"/>
    <w:rsid w:val="009F480E"/>
    <w:rsid w:val="009F4AD7"/>
    <w:rsid w:val="009F4B82"/>
    <w:rsid w:val="009F4E64"/>
    <w:rsid w:val="009F4F3B"/>
    <w:rsid w:val="009F501A"/>
    <w:rsid w:val="009F51A8"/>
    <w:rsid w:val="009F575C"/>
    <w:rsid w:val="009F586C"/>
    <w:rsid w:val="009F58B7"/>
    <w:rsid w:val="009F5BE6"/>
    <w:rsid w:val="009F5C92"/>
    <w:rsid w:val="009F5D30"/>
    <w:rsid w:val="009F5D42"/>
    <w:rsid w:val="009F5E06"/>
    <w:rsid w:val="009F5E62"/>
    <w:rsid w:val="009F5FB6"/>
    <w:rsid w:val="009F6224"/>
    <w:rsid w:val="009F62DC"/>
    <w:rsid w:val="009F6B50"/>
    <w:rsid w:val="009F6B68"/>
    <w:rsid w:val="009F6E35"/>
    <w:rsid w:val="009F7054"/>
    <w:rsid w:val="009F7057"/>
    <w:rsid w:val="009F705D"/>
    <w:rsid w:val="009F7077"/>
    <w:rsid w:val="009F7090"/>
    <w:rsid w:val="009F74A4"/>
    <w:rsid w:val="009F75D1"/>
    <w:rsid w:val="009F7605"/>
    <w:rsid w:val="009F7611"/>
    <w:rsid w:val="009F7868"/>
    <w:rsid w:val="009F7A90"/>
    <w:rsid w:val="009F7B4F"/>
    <w:rsid w:val="009F7B83"/>
    <w:rsid w:val="009F7C64"/>
    <w:rsid w:val="009F7CE5"/>
    <w:rsid w:val="009F7CEB"/>
    <w:rsid w:val="009F7D5F"/>
    <w:rsid w:val="009F7E1D"/>
    <w:rsid w:val="009F7EDF"/>
    <w:rsid w:val="00A000D3"/>
    <w:rsid w:val="00A00102"/>
    <w:rsid w:val="00A00158"/>
    <w:rsid w:val="00A0018A"/>
    <w:rsid w:val="00A0051F"/>
    <w:rsid w:val="00A005BF"/>
    <w:rsid w:val="00A00626"/>
    <w:rsid w:val="00A00677"/>
    <w:rsid w:val="00A008A4"/>
    <w:rsid w:val="00A009A5"/>
    <w:rsid w:val="00A00A21"/>
    <w:rsid w:val="00A00DAD"/>
    <w:rsid w:val="00A00E02"/>
    <w:rsid w:val="00A00F2B"/>
    <w:rsid w:val="00A00FFC"/>
    <w:rsid w:val="00A0116E"/>
    <w:rsid w:val="00A01200"/>
    <w:rsid w:val="00A012C6"/>
    <w:rsid w:val="00A01523"/>
    <w:rsid w:val="00A0152B"/>
    <w:rsid w:val="00A015FF"/>
    <w:rsid w:val="00A0198C"/>
    <w:rsid w:val="00A01AE9"/>
    <w:rsid w:val="00A01BB1"/>
    <w:rsid w:val="00A01BF1"/>
    <w:rsid w:val="00A01CC4"/>
    <w:rsid w:val="00A01D45"/>
    <w:rsid w:val="00A01DD9"/>
    <w:rsid w:val="00A01F30"/>
    <w:rsid w:val="00A01FCA"/>
    <w:rsid w:val="00A0231E"/>
    <w:rsid w:val="00A02815"/>
    <w:rsid w:val="00A02878"/>
    <w:rsid w:val="00A02C50"/>
    <w:rsid w:val="00A02CAC"/>
    <w:rsid w:val="00A02D21"/>
    <w:rsid w:val="00A02D24"/>
    <w:rsid w:val="00A02D80"/>
    <w:rsid w:val="00A03176"/>
    <w:rsid w:val="00A03207"/>
    <w:rsid w:val="00A03216"/>
    <w:rsid w:val="00A0324C"/>
    <w:rsid w:val="00A03256"/>
    <w:rsid w:val="00A03258"/>
    <w:rsid w:val="00A03291"/>
    <w:rsid w:val="00A03410"/>
    <w:rsid w:val="00A03912"/>
    <w:rsid w:val="00A03955"/>
    <w:rsid w:val="00A03A35"/>
    <w:rsid w:val="00A03ADF"/>
    <w:rsid w:val="00A03AF6"/>
    <w:rsid w:val="00A03AFB"/>
    <w:rsid w:val="00A03D04"/>
    <w:rsid w:val="00A03E88"/>
    <w:rsid w:val="00A04081"/>
    <w:rsid w:val="00A040FD"/>
    <w:rsid w:val="00A04151"/>
    <w:rsid w:val="00A0426A"/>
    <w:rsid w:val="00A046EA"/>
    <w:rsid w:val="00A04770"/>
    <w:rsid w:val="00A0482E"/>
    <w:rsid w:val="00A04AAB"/>
    <w:rsid w:val="00A04B74"/>
    <w:rsid w:val="00A04C0D"/>
    <w:rsid w:val="00A04DDC"/>
    <w:rsid w:val="00A04DE1"/>
    <w:rsid w:val="00A04F14"/>
    <w:rsid w:val="00A04F32"/>
    <w:rsid w:val="00A05152"/>
    <w:rsid w:val="00A0520A"/>
    <w:rsid w:val="00A0533C"/>
    <w:rsid w:val="00A0550B"/>
    <w:rsid w:val="00A05537"/>
    <w:rsid w:val="00A055C2"/>
    <w:rsid w:val="00A05660"/>
    <w:rsid w:val="00A059CE"/>
    <w:rsid w:val="00A05B90"/>
    <w:rsid w:val="00A05C29"/>
    <w:rsid w:val="00A05F23"/>
    <w:rsid w:val="00A05F4E"/>
    <w:rsid w:val="00A061C9"/>
    <w:rsid w:val="00A06340"/>
    <w:rsid w:val="00A064C6"/>
    <w:rsid w:val="00A06668"/>
    <w:rsid w:val="00A067AA"/>
    <w:rsid w:val="00A067B1"/>
    <w:rsid w:val="00A06A27"/>
    <w:rsid w:val="00A06AEE"/>
    <w:rsid w:val="00A06B50"/>
    <w:rsid w:val="00A06DE8"/>
    <w:rsid w:val="00A06F6F"/>
    <w:rsid w:val="00A07327"/>
    <w:rsid w:val="00A07396"/>
    <w:rsid w:val="00A0742E"/>
    <w:rsid w:val="00A07655"/>
    <w:rsid w:val="00A07656"/>
    <w:rsid w:val="00A07743"/>
    <w:rsid w:val="00A07923"/>
    <w:rsid w:val="00A0795C"/>
    <w:rsid w:val="00A07E86"/>
    <w:rsid w:val="00A07F6F"/>
    <w:rsid w:val="00A07F83"/>
    <w:rsid w:val="00A100B0"/>
    <w:rsid w:val="00A104AD"/>
    <w:rsid w:val="00A10619"/>
    <w:rsid w:val="00A106B5"/>
    <w:rsid w:val="00A106D4"/>
    <w:rsid w:val="00A109BA"/>
    <w:rsid w:val="00A10E6F"/>
    <w:rsid w:val="00A10E8B"/>
    <w:rsid w:val="00A10F89"/>
    <w:rsid w:val="00A10FBF"/>
    <w:rsid w:val="00A1101B"/>
    <w:rsid w:val="00A1109F"/>
    <w:rsid w:val="00A11126"/>
    <w:rsid w:val="00A11181"/>
    <w:rsid w:val="00A11288"/>
    <w:rsid w:val="00A1134A"/>
    <w:rsid w:val="00A11412"/>
    <w:rsid w:val="00A11491"/>
    <w:rsid w:val="00A115C5"/>
    <w:rsid w:val="00A116F0"/>
    <w:rsid w:val="00A11A57"/>
    <w:rsid w:val="00A11A9F"/>
    <w:rsid w:val="00A11B01"/>
    <w:rsid w:val="00A11C86"/>
    <w:rsid w:val="00A11E4A"/>
    <w:rsid w:val="00A11F1C"/>
    <w:rsid w:val="00A12202"/>
    <w:rsid w:val="00A12362"/>
    <w:rsid w:val="00A1257D"/>
    <w:rsid w:val="00A12694"/>
    <w:rsid w:val="00A1281D"/>
    <w:rsid w:val="00A12825"/>
    <w:rsid w:val="00A1290C"/>
    <w:rsid w:val="00A12A44"/>
    <w:rsid w:val="00A12A58"/>
    <w:rsid w:val="00A12CD9"/>
    <w:rsid w:val="00A12D76"/>
    <w:rsid w:val="00A12DB9"/>
    <w:rsid w:val="00A1314B"/>
    <w:rsid w:val="00A131D3"/>
    <w:rsid w:val="00A13217"/>
    <w:rsid w:val="00A13478"/>
    <w:rsid w:val="00A136C7"/>
    <w:rsid w:val="00A1375E"/>
    <w:rsid w:val="00A1378C"/>
    <w:rsid w:val="00A13797"/>
    <w:rsid w:val="00A137F9"/>
    <w:rsid w:val="00A138AE"/>
    <w:rsid w:val="00A13B03"/>
    <w:rsid w:val="00A13CD5"/>
    <w:rsid w:val="00A13D2D"/>
    <w:rsid w:val="00A13EC7"/>
    <w:rsid w:val="00A140F6"/>
    <w:rsid w:val="00A14188"/>
    <w:rsid w:val="00A143B8"/>
    <w:rsid w:val="00A144A2"/>
    <w:rsid w:val="00A1476F"/>
    <w:rsid w:val="00A148B3"/>
    <w:rsid w:val="00A149C5"/>
    <w:rsid w:val="00A14AAB"/>
    <w:rsid w:val="00A14B10"/>
    <w:rsid w:val="00A14D2C"/>
    <w:rsid w:val="00A14D64"/>
    <w:rsid w:val="00A15148"/>
    <w:rsid w:val="00A1532E"/>
    <w:rsid w:val="00A154B8"/>
    <w:rsid w:val="00A15599"/>
    <w:rsid w:val="00A1568D"/>
    <w:rsid w:val="00A15761"/>
    <w:rsid w:val="00A159D2"/>
    <w:rsid w:val="00A159E9"/>
    <w:rsid w:val="00A15B6B"/>
    <w:rsid w:val="00A1604C"/>
    <w:rsid w:val="00A16341"/>
    <w:rsid w:val="00A1646B"/>
    <w:rsid w:val="00A165B6"/>
    <w:rsid w:val="00A16638"/>
    <w:rsid w:val="00A1685C"/>
    <w:rsid w:val="00A16876"/>
    <w:rsid w:val="00A16A25"/>
    <w:rsid w:val="00A16C2C"/>
    <w:rsid w:val="00A16CD0"/>
    <w:rsid w:val="00A16D46"/>
    <w:rsid w:val="00A16D6F"/>
    <w:rsid w:val="00A16FA7"/>
    <w:rsid w:val="00A17228"/>
    <w:rsid w:val="00A172A8"/>
    <w:rsid w:val="00A17425"/>
    <w:rsid w:val="00A17490"/>
    <w:rsid w:val="00A175E4"/>
    <w:rsid w:val="00A17695"/>
    <w:rsid w:val="00A1791C"/>
    <w:rsid w:val="00A1799A"/>
    <w:rsid w:val="00A179C8"/>
    <w:rsid w:val="00A179CF"/>
    <w:rsid w:val="00A17A41"/>
    <w:rsid w:val="00A17B69"/>
    <w:rsid w:val="00A17EB5"/>
    <w:rsid w:val="00A17F19"/>
    <w:rsid w:val="00A17FED"/>
    <w:rsid w:val="00A201B9"/>
    <w:rsid w:val="00A201D2"/>
    <w:rsid w:val="00A2027A"/>
    <w:rsid w:val="00A20B1A"/>
    <w:rsid w:val="00A20D63"/>
    <w:rsid w:val="00A20E77"/>
    <w:rsid w:val="00A210DA"/>
    <w:rsid w:val="00A21168"/>
    <w:rsid w:val="00A2148D"/>
    <w:rsid w:val="00A21493"/>
    <w:rsid w:val="00A2165E"/>
    <w:rsid w:val="00A216F9"/>
    <w:rsid w:val="00A217BA"/>
    <w:rsid w:val="00A21867"/>
    <w:rsid w:val="00A21B10"/>
    <w:rsid w:val="00A21B75"/>
    <w:rsid w:val="00A21BD5"/>
    <w:rsid w:val="00A21C21"/>
    <w:rsid w:val="00A21C88"/>
    <w:rsid w:val="00A21E43"/>
    <w:rsid w:val="00A2204F"/>
    <w:rsid w:val="00A22167"/>
    <w:rsid w:val="00A221B4"/>
    <w:rsid w:val="00A222F9"/>
    <w:rsid w:val="00A227BA"/>
    <w:rsid w:val="00A22885"/>
    <w:rsid w:val="00A22A39"/>
    <w:rsid w:val="00A22EC9"/>
    <w:rsid w:val="00A2315A"/>
    <w:rsid w:val="00A233FD"/>
    <w:rsid w:val="00A2362C"/>
    <w:rsid w:val="00A236C9"/>
    <w:rsid w:val="00A23737"/>
    <w:rsid w:val="00A23762"/>
    <w:rsid w:val="00A23AC8"/>
    <w:rsid w:val="00A23B36"/>
    <w:rsid w:val="00A23C4F"/>
    <w:rsid w:val="00A23DA6"/>
    <w:rsid w:val="00A23E14"/>
    <w:rsid w:val="00A23EE5"/>
    <w:rsid w:val="00A23F68"/>
    <w:rsid w:val="00A245B6"/>
    <w:rsid w:val="00A24620"/>
    <w:rsid w:val="00A2485F"/>
    <w:rsid w:val="00A249DA"/>
    <w:rsid w:val="00A24A0B"/>
    <w:rsid w:val="00A24A13"/>
    <w:rsid w:val="00A24AB8"/>
    <w:rsid w:val="00A24E3D"/>
    <w:rsid w:val="00A25106"/>
    <w:rsid w:val="00A25278"/>
    <w:rsid w:val="00A2538D"/>
    <w:rsid w:val="00A25408"/>
    <w:rsid w:val="00A255F5"/>
    <w:rsid w:val="00A2562B"/>
    <w:rsid w:val="00A2572B"/>
    <w:rsid w:val="00A25B4E"/>
    <w:rsid w:val="00A25C51"/>
    <w:rsid w:val="00A25F50"/>
    <w:rsid w:val="00A261AB"/>
    <w:rsid w:val="00A2646D"/>
    <w:rsid w:val="00A2661F"/>
    <w:rsid w:val="00A2672F"/>
    <w:rsid w:val="00A2676B"/>
    <w:rsid w:val="00A26776"/>
    <w:rsid w:val="00A26BC0"/>
    <w:rsid w:val="00A26D1F"/>
    <w:rsid w:val="00A26D3F"/>
    <w:rsid w:val="00A26E4A"/>
    <w:rsid w:val="00A26F33"/>
    <w:rsid w:val="00A270DB"/>
    <w:rsid w:val="00A2719D"/>
    <w:rsid w:val="00A2738E"/>
    <w:rsid w:val="00A273C6"/>
    <w:rsid w:val="00A275CF"/>
    <w:rsid w:val="00A276B0"/>
    <w:rsid w:val="00A27705"/>
    <w:rsid w:val="00A27812"/>
    <w:rsid w:val="00A27913"/>
    <w:rsid w:val="00A279A3"/>
    <w:rsid w:val="00A27AA7"/>
    <w:rsid w:val="00A27AD3"/>
    <w:rsid w:val="00A27DFD"/>
    <w:rsid w:val="00A300AB"/>
    <w:rsid w:val="00A300B2"/>
    <w:rsid w:val="00A302B9"/>
    <w:rsid w:val="00A303DB"/>
    <w:rsid w:val="00A305B2"/>
    <w:rsid w:val="00A30A01"/>
    <w:rsid w:val="00A30B48"/>
    <w:rsid w:val="00A310C1"/>
    <w:rsid w:val="00A310F1"/>
    <w:rsid w:val="00A31196"/>
    <w:rsid w:val="00A3155C"/>
    <w:rsid w:val="00A31669"/>
    <w:rsid w:val="00A3178B"/>
    <w:rsid w:val="00A31865"/>
    <w:rsid w:val="00A3198F"/>
    <w:rsid w:val="00A31ABC"/>
    <w:rsid w:val="00A31EEA"/>
    <w:rsid w:val="00A32046"/>
    <w:rsid w:val="00A321BD"/>
    <w:rsid w:val="00A32240"/>
    <w:rsid w:val="00A3266F"/>
    <w:rsid w:val="00A32925"/>
    <w:rsid w:val="00A32CC9"/>
    <w:rsid w:val="00A32EE1"/>
    <w:rsid w:val="00A3300A"/>
    <w:rsid w:val="00A33434"/>
    <w:rsid w:val="00A334EF"/>
    <w:rsid w:val="00A334FA"/>
    <w:rsid w:val="00A33577"/>
    <w:rsid w:val="00A3377F"/>
    <w:rsid w:val="00A33982"/>
    <w:rsid w:val="00A33BB4"/>
    <w:rsid w:val="00A33BF2"/>
    <w:rsid w:val="00A33CF9"/>
    <w:rsid w:val="00A34148"/>
    <w:rsid w:val="00A34222"/>
    <w:rsid w:val="00A34282"/>
    <w:rsid w:val="00A34436"/>
    <w:rsid w:val="00A34572"/>
    <w:rsid w:val="00A34639"/>
    <w:rsid w:val="00A347BD"/>
    <w:rsid w:val="00A34832"/>
    <w:rsid w:val="00A34868"/>
    <w:rsid w:val="00A34989"/>
    <w:rsid w:val="00A34A2F"/>
    <w:rsid w:val="00A34F06"/>
    <w:rsid w:val="00A34F15"/>
    <w:rsid w:val="00A34FB5"/>
    <w:rsid w:val="00A350FE"/>
    <w:rsid w:val="00A35276"/>
    <w:rsid w:val="00A3565D"/>
    <w:rsid w:val="00A3579B"/>
    <w:rsid w:val="00A3588A"/>
    <w:rsid w:val="00A359B5"/>
    <w:rsid w:val="00A35A36"/>
    <w:rsid w:val="00A35AFC"/>
    <w:rsid w:val="00A35C62"/>
    <w:rsid w:val="00A35CD2"/>
    <w:rsid w:val="00A35CEA"/>
    <w:rsid w:val="00A35D7D"/>
    <w:rsid w:val="00A35EE2"/>
    <w:rsid w:val="00A35F32"/>
    <w:rsid w:val="00A35FA6"/>
    <w:rsid w:val="00A360DD"/>
    <w:rsid w:val="00A36190"/>
    <w:rsid w:val="00A36334"/>
    <w:rsid w:val="00A36353"/>
    <w:rsid w:val="00A367DB"/>
    <w:rsid w:val="00A36BC3"/>
    <w:rsid w:val="00A36C24"/>
    <w:rsid w:val="00A36D87"/>
    <w:rsid w:val="00A36E74"/>
    <w:rsid w:val="00A36EDB"/>
    <w:rsid w:val="00A36F39"/>
    <w:rsid w:val="00A36FAE"/>
    <w:rsid w:val="00A370F3"/>
    <w:rsid w:val="00A371BA"/>
    <w:rsid w:val="00A37202"/>
    <w:rsid w:val="00A37444"/>
    <w:rsid w:val="00A3752E"/>
    <w:rsid w:val="00A375DD"/>
    <w:rsid w:val="00A375E4"/>
    <w:rsid w:val="00A37681"/>
    <w:rsid w:val="00A3770A"/>
    <w:rsid w:val="00A37942"/>
    <w:rsid w:val="00A37A68"/>
    <w:rsid w:val="00A37AD3"/>
    <w:rsid w:val="00A37DAF"/>
    <w:rsid w:val="00A40037"/>
    <w:rsid w:val="00A402E3"/>
    <w:rsid w:val="00A404CC"/>
    <w:rsid w:val="00A40599"/>
    <w:rsid w:val="00A4072F"/>
    <w:rsid w:val="00A40788"/>
    <w:rsid w:val="00A40852"/>
    <w:rsid w:val="00A4088D"/>
    <w:rsid w:val="00A4096C"/>
    <w:rsid w:val="00A40AF5"/>
    <w:rsid w:val="00A40FF4"/>
    <w:rsid w:val="00A41087"/>
    <w:rsid w:val="00A41529"/>
    <w:rsid w:val="00A41730"/>
    <w:rsid w:val="00A418CD"/>
    <w:rsid w:val="00A41912"/>
    <w:rsid w:val="00A41A6E"/>
    <w:rsid w:val="00A41D13"/>
    <w:rsid w:val="00A41D3A"/>
    <w:rsid w:val="00A41D9E"/>
    <w:rsid w:val="00A41DF0"/>
    <w:rsid w:val="00A41E03"/>
    <w:rsid w:val="00A41E5D"/>
    <w:rsid w:val="00A41EBF"/>
    <w:rsid w:val="00A41FC0"/>
    <w:rsid w:val="00A4233F"/>
    <w:rsid w:val="00A4236B"/>
    <w:rsid w:val="00A425E1"/>
    <w:rsid w:val="00A42641"/>
    <w:rsid w:val="00A42864"/>
    <w:rsid w:val="00A42CEE"/>
    <w:rsid w:val="00A43084"/>
    <w:rsid w:val="00A4310F"/>
    <w:rsid w:val="00A434C7"/>
    <w:rsid w:val="00A43518"/>
    <w:rsid w:val="00A437A5"/>
    <w:rsid w:val="00A43AED"/>
    <w:rsid w:val="00A43B81"/>
    <w:rsid w:val="00A43C64"/>
    <w:rsid w:val="00A43CC7"/>
    <w:rsid w:val="00A43D4C"/>
    <w:rsid w:val="00A43F20"/>
    <w:rsid w:val="00A440ED"/>
    <w:rsid w:val="00A44129"/>
    <w:rsid w:val="00A44221"/>
    <w:rsid w:val="00A4437D"/>
    <w:rsid w:val="00A446D3"/>
    <w:rsid w:val="00A447A3"/>
    <w:rsid w:val="00A44802"/>
    <w:rsid w:val="00A448BC"/>
    <w:rsid w:val="00A44940"/>
    <w:rsid w:val="00A44A46"/>
    <w:rsid w:val="00A44AA0"/>
    <w:rsid w:val="00A44AC3"/>
    <w:rsid w:val="00A44AF7"/>
    <w:rsid w:val="00A44B61"/>
    <w:rsid w:val="00A44B87"/>
    <w:rsid w:val="00A44BE1"/>
    <w:rsid w:val="00A44C05"/>
    <w:rsid w:val="00A44D03"/>
    <w:rsid w:val="00A44DAF"/>
    <w:rsid w:val="00A45024"/>
    <w:rsid w:val="00A45069"/>
    <w:rsid w:val="00A45200"/>
    <w:rsid w:val="00A4523A"/>
    <w:rsid w:val="00A45378"/>
    <w:rsid w:val="00A45409"/>
    <w:rsid w:val="00A4546C"/>
    <w:rsid w:val="00A459C1"/>
    <w:rsid w:val="00A45BB3"/>
    <w:rsid w:val="00A45C5F"/>
    <w:rsid w:val="00A45CF4"/>
    <w:rsid w:val="00A45FE3"/>
    <w:rsid w:val="00A4619D"/>
    <w:rsid w:val="00A462C4"/>
    <w:rsid w:val="00A4642A"/>
    <w:rsid w:val="00A464ED"/>
    <w:rsid w:val="00A46995"/>
    <w:rsid w:val="00A469AB"/>
    <w:rsid w:val="00A46A04"/>
    <w:rsid w:val="00A4707E"/>
    <w:rsid w:val="00A472E2"/>
    <w:rsid w:val="00A4760B"/>
    <w:rsid w:val="00A47749"/>
    <w:rsid w:val="00A477E9"/>
    <w:rsid w:val="00A4794A"/>
    <w:rsid w:val="00A47961"/>
    <w:rsid w:val="00A47A28"/>
    <w:rsid w:val="00A47E83"/>
    <w:rsid w:val="00A47EED"/>
    <w:rsid w:val="00A47EFC"/>
    <w:rsid w:val="00A5017D"/>
    <w:rsid w:val="00A5022C"/>
    <w:rsid w:val="00A503CF"/>
    <w:rsid w:val="00A503D9"/>
    <w:rsid w:val="00A50421"/>
    <w:rsid w:val="00A5043A"/>
    <w:rsid w:val="00A5043E"/>
    <w:rsid w:val="00A50854"/>
    <w:rsid w:val="00A50C40"/>
    <w:rsid w:val="00A50C83"/>
    <w:rsid w:val="00A50CFA"/>
    <w:rsid w:val="00A50DBF"/>
    <w:rsid w:val="00A50E9B"/>
    <w:rsid w:val="00A51035"/>
    <w:rsid w:val="00A51059"/>
    <w:rsid w:val="00A51094"/>
    <w:rsid w:val="00A510A3"/>
    <w:rsid w:val="00A51294"/>
    <w:rsid w:val="00A513C2"/>
    <w:rsid w:val="00A51450"/>
    <w:rsid w:val="00A515D1"/>
    <w:rsid w:val="00A516F8"/>
    <w:rsid w:val="00A519A8"/>
    <w:rsid w:val="00A51C70"/>
    <w:rsid w:val="00A51CA0"/>
    <w:rsid w:val="00A51DAA"/>
    <w:rsid w:val="00A51DB2"/>
    <w:rsid w:val="00A51E28"/>
    <w:rsid w:val="00A521C3"/>
    <w:rsid w:val="00A52287"/>
    <w:rsid w:val="00A524C0"/>
    <w:rsid w:val="00A525E4"/>
    <w:rsid w:val="00A525F2"/>
    <w:rsid w:val="00A52695"/>
    <w:rsid w:val="00A5272B"/>
    <w:rsid w:val="00A52797"/>
    <w:rsid w:val="00A5291B"/>
    <w:rsid w:val="00A5292B"/>
    <w:rsid w:val="00A52D4C"/>
    <w:rsid w:val="00A52DB4"/>
    <w:rsid w:val="00A52E24"/>
    <w:rsid w:val="00A52E52"/>
    <w:rsid w:val="00A52FB5"/>
    <w:rsid w:val="00A53316"/>
    <w:rsid w:val="00A533AF"/>
    <w:rsid w:val="00A535FB"/>
    <w:rsid w:val="00A53CA1"/>
    <w:rsid w:val="00A53E1B"/>
    <w:rsid w:val="00A53F0F"/>
    <w:rsid w:val="00A53F45"/>
    <w:rsid w:val="00A53FA8"/>
    <w:rsid w:val="00A5403E"/>
    <w:rsid w:val="00A542EC"/>
    <w:rsid w:val="00A54372"/>
    <w:rsid w:val="00A543EF"/>
    <w:rsid w:val="00A5453C"/>
    <w:rsid w:val="00A54643"/>
    <w:rsid w:val="00A5473B"/>
    <w:rsid w:val="00A5498C"/>
    <w:rsid w:val="00A54CAC"/>
    <w:rsid w:val="00A54D23"/>
    <w:rsid w:val="00A54D29"/>
    <w:rsid w:val="00A54D97"/>
    <w:rsid w:val="00A550AE"/>
    <w:rsid w:val="00A550BA"/>
    <w:rsid w:val="00A550D0"/>
    <w:rsid w:val="00A552E9"/>
    <w:rsid w:val="00A55535"/>
    <w:rsid w:val="00A55581"/>
    <w:rsid w:val="00A555FC"/>
    <w:rsid w:val="00A557C6"/>
    <w:rsid w:val="00A557DD"/>
    <w:rsid w:val="00A5586F"/>
    <w:rsid w:val="00A55924"/>
    <w:rsid w:val="00A55A51"/>
    <w:rsid w:val="00A55C60"/>
    <w:rsid w:val="00A55CD2"/>
    <w:rsid w:val="00A55FF8"/>
    <w:rsid w:val="00A5600B"/>
    <w:rsid w:val="00A56175"/>
    <w:rsid w:val="00A56384"/>
    <w:rsid w:val="00A5642F"/>
    <w:rsid w:val="00A56512"/>
    <w:rsid w:val="00A56667"/>
    <w:rsid w:val="00A5669B"/>
    <w:rsid w:val="00A56871"/>
    <w:rsid w:val="00A56925"/>
    <w:rsid w:val="00A5693A"/>
    <w:rsid w:val="00A56AD9"/>
    <w:rsid w:val="00A56B2A"/>
    <w:rsid w:val="00A56BC2"/>
    <w:rsid w:val="00A56BE1"/>
    <w:rsid w:val="00A56CBB"/>
    <w:rsid w:val="00A56D60"/>
    <w:rsid w:val="00A56D66"/>
    <w:rsid w:val="00A56E18"/>
    <w:rsid w:val="00A56E6C"/>
    <w:rsid w:val="00A56E9D"/>
    <w:rsid w:val="00A56F36"/>
    <w:rsid w:val="00A57017"/>
    <w:rsid w:val="00A570E7"/>
    <w:rsid w:val="00A571BC"/>
    <w:rsid w:val="00A5722A"/>
    <w:rsid w:val="00A572AE"/>
    <w:rsid w:val="00A572D5"/>
    <w:rsid w:val="00A575CA"/>
    <w:rsid w:val="00A57699"/>
    <w:rsid w:val="00A57A98"/>
    <w:rsid w:val="00A57EBB"/>
    <w:rsid w:val="00A6009C"/>
    <w:rsid w:val="00A60392"/>
    <w:rsid w:val="00A60759"/>
    <w:rsid w:val="00A609E6"/>
    <w:rsid w:val="00A60AE9"/>
    <w:rsid w:val="00A60D8D"/>
    <w:rsid w:val="00A60DBE"/>
    <w:rsid w:val="00A60F0F"/>
    <w:rsid w:val="00A610D0"/>
    <w:rsid w:val="00A61123"/>
    <w:rsid w:val="00A6115C"/>
    <w:rsid w:val="00A611FB"/>
    <w:rsid w:val="00A616C6"/>
    <w:rsid w:val="00A61844"/>
    <w:rsid w:val="00A61B06"/>
    <w:rsid w:val="00A61C95"/>
    <w:rsid w:val="00A61EF1"/>
    <w:rsid w:val="00A61FC1"/>
    <w:rsid w:val="00A62549"/>
    <w:rsid w:val="00A62942"/>
    <w:rsid w:val="00A62BFC"/>
    <w:rsid w:val="00A62D75"/>
    <w:rsid w:val="00A62E60"/>
    <w:rsid w:val="00A62EC7"/>
    <w:rsid w:val="00A62EF7"/>
    <w:rsid w:val="00A630D0"/>
    <w:rsid w:val="00A631E3"/>
    <w:rsid w:val="00A632CD"/>
    <w:rsid w:val="00A6347B"/>
    <w:rsid w:val="00A63630"/>
    <w:rsid w:val="00A63690"/>
    <w:rsid w:val="00A6374D"/>
    <w:rsid w:val="00A638B8"/>
    <w:rsid w:val="00A63A42"/>
    <w:rsid w:val="00A63AE4"/>
    <w:rsid w:val="00A63DB6"/>
    <w:rsid w:val="00A6413E"/>
    <w:rsid w:val="00A64476"/>
    <w:rsid w:val="00A64775"/>
    <w:rsid w:val="00A647ED"/>
    <w:rsid w:val="00A64902"/>
    <w:rsid w:val="00A649BB"/>
    <w:rsid w:val="00A649DC"/>
    <w:rsid w:val="00A64AF5"/>
    <w:rsid w:val="00A64EB2"/>
    <w:rsid w:val="00A650D0"/>
    <w:rsid w:val="00A6515E"/>
    <w:rsid w:val="00A6517D"/>
    <w:rsid w:val="00A65211"/>
    <w:rsid w:val="00A654CB"/>
    <w:rsid w:val="00A65511"/>
    <w:rsid w:val="00A65628"/>
    <w:rsid w:val="00A656DE"/>
    <w:rsid w:val="00A657E1"/>
    <w:rsid w:val="00A657E7"/>
    <w:rsid w:val="00A657EF"/>
    <w:rsid w:val="00A65BF9"/>
    <w:rsid w:val="00A65C1F"/>
    <w:rsid w:val="00A65C24"/>
    <w:rsid w:val="00A65E4D"/>
    <w:rsid w:val="00A66092"/>
    <w:rsid w:val="00A66126"/>
    <w:rsid w:val="00A6625A"/>
    <w:rsid w:val="00A66274"/>
    <w:rsid w:val="00A6628B"/>
    <w:rsid w:val="00A662B3"/>
    <w:rsid w:val="00A66463"/>
    <w:rsid w:val="00A66541"/>
    <w:rsid w:val="00A666ED"/>
    <w:rsid w:val="00A666F6"/>
    <w:rsid w:val="00A667F8"/>
    <w:rsid w:val="00A66885"/>
    <w:rsid w:val="00A66BB7"/>
    <w:rsid w:val="00A66C93"/>
    <w:rsid w:val="00A66E16"/>
    <w:rsid w:val="00A66F70"/>
    <w:rsid w:val="00A66FA6"/>
    <w:rsid w:val="00A673B8"/>
    <w:rsid w:val="00A673C6"/>
    <w:rsid w:val="00A6761B"/>
    <w:rsid w:val="00A677D7"/>
    <w:rsid w:val="00A67876"/>
    <w:rsid w:val="00A67AAC"/>
    <w:rsid w:val="00A67B5F"/>
    <w:rsid w:val="00A67D06"/>
    <w:rsid w:val="00A67DE1"/>
    <w:rsid w:val="00A67E4D"/>
    <w:rsid w:val="00A70328"/>
    <w:rsid w:val="00A70346"/>
    <w:rsid w:val="00A703F7"/>
    <w:rsid w:val="00A70697"/>
    <w:rsid w:val="00A706B9"/>
    <w:rsid w:val="00A707C9"/>
    <w:rsid w:val="00A708DB"/>
    <w:rsid w:val="00A70A75"/>
    <w:rsid w:val="00A70ABF"/>
    <w:rsid w:val="00A70E36"/>
    <w:rsid w:val="00A70FC2"/>
    <w:rsid w:val="00A711D2"/>
    <w:rsid w:val="00A7148B"/>
    <w:rsid w:val="00A716A9"/>
    <w:rsid w:val="00A717B3"/>
    <w:rsid w:val="00A719E2"/>
    <w:rsid w:val="00A71A0C"/>
    <w:rsid w:val="00A71AD0"/>
    <w:rsid w:val="00A71C1A"/>
    <w:rsid w:val="00A71D6C"/>
    <w:rsid w:val="00A71F68"/>
    <w:rsid w:val="00A7230D"/>
    <w:rsid w:val="00A723E6"/>
    <w:rsid w:val="00A72636"/>
    <w:rsid w:val="00A72784"/>
    <w:rsid w:val="00A728F5"/>
    <w:rsid w:val="00A729C3"/>
    <w:rsid w:val="00A72AE4"/>
    <w:rsid w:val="00A72B4B"/>
    <w:rsid w:val="00A72BAD"/>
    <w:rsid w:val="00A72BD8"/>
    <w:rsid w:val="00A72F65"/>
    <w:rsid w:val="00A72FBC"/>
    <w:rsid w:val="00A731AA"/>
    <w:rsid w:val="00A73630"/>
    <w:rsid w:val="00A7371B"/>
    <w:rsid w:val="00A73A9C"/>
    <w:rsid w:val="00A73B7B"/>
    <w:rsid w:val="00A73FC6"/>
    <w:rsid w:val="00A74271"/>
    <w:rsid w:val="00A74404"/>
    <w:rsid w:val="00A7463D"/>
    <w:rsid w:val="00A74648"/>
    <w:rsid w:val="00A746D3"/>
    <w:rsid w:val="00A74886"/>
    <w:rsid w:val="00A74916"/>
    <w:rsid w:val="00A74A9A"/>
    <w:rsid w:val="00A74C6C"/>
    <w:rsid w:val="00A74D14"/>
    <w:rsid w:val="00A75086"/>
    <w:rsid w:val="00A75112"/>
    <w:rsid w:val="00A7533E"/>
    <w:rsid w:val="00A754F1"/>
    <w:rsid w:val="00A75707"/>
    <w:rsid w:val="00A75871"/>
    <w:rsid w:val="00A75A2C"/>
    <w:rsid w:val="00A75C0D"/>
    <w:rsid w:val="00A75DA1"/>
    <w:rsid w:val="00A75DD6"/>
    <w:rsid w:val="00A7600F"/>
    <w:rsid w:val="00A76125"/>
    <w:rsid w:val="00A761B7"/>
    <w:rsid w:val="00A761E8"/>
    <w:rsid w:val="00A761FF"/>
    <w:rsid w:val="00A763E3"/>
    <w:rsid w:val="00A764CB"/>
    <w:rsid w:val="00A76567"/>
    <w:rsid w:val="00A765CF"/>
    <w:rsid w:val="00A76718"/>
    <w:rsid w:val="00A768AC"/>
    <w:rsid w:val="00A76BA4"/>
    <w:rsid w:val="00A76BC0"/>
    <w:rsid w:val="00A76D46"/>
    <w:rsid w:val="00A76EA4"/>
    <w:rsid w:val="00A76EE5"/>
    <w:rsid w:val="00A76F2A"/>
    <w:rsid w:val="00A7719C"/>
    <w:rsid w:val="00A774B7"/>
    <w:rsid w:val="00A77618"/>
    <w:rsid w:val="00A77626"/>
    <w:rsid w:val="00A776F7"/>
    <w:rsid w:val="00A7795E"/>
    <w:rsid w:val="00A77BDE"/>
    <w:rsid w:val="00A77C0A"/>
    <w:rsid w:val="00A77CBB"/>
    <w:rsid w:val="00A77D3A"/>
    <w:rsid w:val="00A77F64"/>
    <w:rsid w:val="00A77FF8"/>
    <w:rsid w:val="00A8018B"/>
    <w:rsid w:val="00A804EB"/>
    <w:rsid w:val="00A80525"/>
    <w:rsid w:val="00A806BB"/>
    <w:rsid w:val="00A80832"/>
    <w:rsid w:val="00A8083E"/>
    <w:rsid w:val="00A808BB"/>
    <w:rsid w:val="00A80931"/>
    <w:rsid w:val="00A80972"/>
    <w:rsid w:val="00A80D10"/>
    <w:rsid w:val="00A80E82"/>
    <w:rsid w:val="00A810B9"/>
    <w:rsid w:val="00A811FD"/>
    <w:rsid w:val="00A81221"/>
    <w:rsid w:val="00A813B2"/>
    <w:rsid w:val="00A8145C"/>
    <w:rsid w:val="00A814D6"/>
    <w:rsid w:val="00A81562"/>
    <w:rsid w:val="00A81633"/>
    <w:rsid w:val="00A819FA"/>
    <w:rsid w:val="00A81B8F"/>
    <w:rsid w:val="00A81BE5"/>
    <w:rsid w:val="00A81D81"/>
    <w:rsid w:val="00A81F82"/>
    <w:rsid w:val="00A81F95"/>
    <w:rsid w:val="00A8240B"/>
    <w:rsid w:val="00A82437"/>
    <w:rsid w:val="00A8246C"/>
    <w:rsid w:val="00A826A4"/>
    <w:rsid w:val="00A82897"/>
    <w:rsid w:val="00A829DE"/>
    <w:rsid w:val="00A82A7E"/>
    <w:rsid w:val="00A82A9D"/>
    <w:rsid w:val="00A82CE8"/>
    <w:rsid w:val="00A82E51"/>
    <w:rsid w:val="00A82F07"/>
    <w:rsid w:val="00A82F45"/>
    <w:rsid w:val="00A82FD6"/>
    <w:rsid w:val="00A8319D"/>
    <w:rsid w:val="00A83322"/>
    <w:rsid w:val="00A83713"/>
    <w:rsid w:val="00A83783"/>
    <w:rsid w:val="00A83986"/>
    <w:rsid w:val="00A83995"/>
    <w:rsid w:val="00A83B00"/>
    <w:rsid w:val="00A83C07"/>
    <w:rsid w:val="00A83DEF"/>
    <w:rsid w:val="00A8401C"/>
    <w:rsid w:val="00A84038"/>
    <w:rsid w:val="00A840CF"/>
    <w:rsid w:val="00A841B0"/>
    <w:rsid w:val="00A842AC"/>
    <w:rsid w:val="00A842C5"/>
    <w:rsid w:val="00A842D9"/>
    <w:rsid w:val="00A84426"/>
    <w:rsid w:val="00A84A2F"/>
    <w:rsid w:val="00A84CA9"/>
    <w:rsid w:val="00A84E76"/>
    <w:rsid w:val="00A84EAA"/>
    <w:rsid w:val="00A84EE5"/>
    <w:rsid w:val="00A85025"/>
    <w:rsid w:val="00A850D0"/>
    <w:rsid w:val="00A851D8"/>
    <w:rsid w:val="00A85348"/>
    <w:rsid w:val="00A8560A"/>
    <w:rsid w:val="00A85636"/>
    <w:rsid w:val="00A8565E"/>
    <w:rsid w:val="00A85676"/>
    <w:rsid w:val="00A8567C"/>
    <w:rsid w:val="00A8567F"/>
    <w:rsid w:val="00A856EB"/>
    <w:rsid w:val="00A85A2B"/>
    <w:rsid w:val="00A85B0F"/>
    <w:rsid w:val="00A85B11"/>
    <w:rsid w:val="00A85BC5"/>
    <w:rsid w:val="00A85CCA"/>
    <w:rsid w:val="00A85DEC"/>
    <w:rsid w:val="00A85E0F"/>
    <w:rsid w:val="00A85E8A"/>
    <w:rsid w:val="00A85F0F"/>
    <w:rsid w:val="00A85FFB"/>
    <w:rsid w:val="00A86148"/>
    <w:rsid w:val="00A86157"/>
    <w:rsid w:val="00A862D0"/>
    <w:rsid w:val="00A8630E"/>
    <w:rsid w:val="00A8632E"/>
    <w:rsid w:val="00A864F7"/>
    <w:rsid w:val="00A8655D"/>
    <w:rsid w:val="00A86565"/>
    <w:rsid w:val="00A86ACC"/>
    <w:rsid w:val="00A86D14"/>
    <w:rsid w:val="00A86D52"/>
    <w:rsid w:val="00A86E5D"/>
    <w:rsid w:val="00A86E9C"/>
    <w:rsid w:val="00A86EB6"/>
    <w:rsid w:val="00A87064"/>
    <w:rsid w:val="00A8707D"/>
    <w:rsid w:val="00A877F8"/>
    <w:rsid w:val="00A87877"/>
    <w:rsid w:val="00A878B5"/>
    <w:rsid w:val="00A878D6"/>
    <w:rsid w:val="00A87937"/>
    <w:rsid w:val="00A87B84"/>
    <w:rsid w:val="00A87CE4"/>
    <w:rsid w:val="00A87D5D"/>
    <w:rsid w:val="00A87D99"/>
    <w:rsid w:val="00A90207"/>
    <w:rsid w:val="00A9073F"/>
    <w:rsid w:val="00A90790"/>
    <w:rsid w:val="00A908B0"/>
    <w:rsid w:val="00A90A4F"/>
    <w:rsid w:val="00A90AC8"/>
    <w:rsid w:val="00A90B78"/>
    <w:rsid w:val="00A90CAA"/>
    <w:rsid w:val="00A90E05"/>
    <w:rsid w:val="00A90F19"/>
    <w:rsid w:val="00A9109D"/>
    <w:rsid w:val="00A910CA"/>
    <w:rsid w:val="00A91416"/>
    <w:rsid w:val="00A9167D"/>
    <w:rsid w:val="00A91AF1"/>
    <w:rsid w:val="00A91AFA"/>
    <w:rsid w:val="00A91C15"/>
    <w:rsid w:val="00A91CF2"/>
    <w:rsid w:val="00A91EF2"/>
    <w:rsid w:val="00A91FF1"/>
    <w:rsid w:val="00A9217F"/>
    <w:rsid w:val="00A92448"/>
    <w:rsid w:val="00A92452"/>
    <w:rsid w:val="00A924C6"/>
    <w:rsid w:val="00A92536"/>
    <w:rsid w:val="00A92557"/>
    <w:rsid w:val="00A9255D"/>
    <w:rsid w:val="00A92B13"/>
    <w:rsid w:val="00A92CF0"/>
    <w:rsid w:val="00A92D0D"/>
    <w:rsid w:val="00A92DBF"/>
    <w:rsid w:val="00A92DE3"/>
    <w:rsid w:val="00A92E01"/>
    <w:rsid w:val="00A92FEA"/>
    <w:rsid w:val="00A9310D"/>
    <w:rsid w:val="00A931FF"/>
    <w:rsid w:val="00A932E8"/>
    <w:rsid w:val="00A933C2"/>
    <w:rsid w:val="00A934B4"/>
    <w:rsid w:val="00A93543"/>
    <w:rsid w:val="00A9355B"/>
    <w:rsid w:val="00A93573"/>
    <w:rsid w:val="00A9383F"/>
    <w:rsid w:val="00A93854"/>
    <w:rsid w:val="00A93AFF"/>
    <w:rsid w:val="00A93C1F"/>
    <w:rsid w:val="00A93C53"/>
    <w:rsid w:val="00A93DE7"/>
    <w:rsid w:val="00A93F16"/>
    <w:rsid w:val="00A93F6B"/>
    <w:rsid w:val="00A93FB9"/>
    <w:rsid w:val="00A9402D"/>
    <w:rsid w:val="00A94175"/>
    <w:rsid w:val="00A94201"/>
    <w:rsid w:val="00A94278"/>
    <w:rsid w:val="00A942BF"/>
    <w:rsid w:val="00A94549"/>
    <w:rsid w:val="00A94629"/>
    <w:rsid w:val="00A94740"/>
    <w:rsid w:val="00A9485C"/>
    <w:rsid w:val="00A948AF"/>
    <w:rsid w:val="00A94A13"/>
    <w:rsid w:val="00A94A80"/>
    <w:rsid w:val="00A94C4F"/>
    <w:rsid w:val="00A94CDD"/>
    <w:rsid w:val="00A94D8B"/>
    <w:rsid w:val="00A94E67"/>
    <w:rsid w:val="00A94EC9"/>
    <w:rsid w:val="00A94EFC"/>
    <w:rsid w:val="00A94F38"/>
    <w:rsid w:val="00A950C9"/>
    <w:rsid w:val="00A95171"/>
    <w:rsid w:val="00A956C4"/>
    <w:rsid w:val="00A95789"/>
    <w:rsid w:val="00A9580A"/>
    <w:rsid w:val="00A9584C"/>
    <w:rsid w:val="00A9584D"/>
    <w:rsid w:val="00A95A08"/>
    <w:rsid w:val="00A95A8F"/>
    <w:rsid w:val="00A95BC6"/>
    <w:rsid w:val="00A95BE1"/>
    <w:rsid w:val="00A95CC8"/>
    <w:rsid w:val="00A95E4B"/>
    <w:rsid w:val="00A95EFC"/>
    <w:rsid w:val="00A95FD5"/>
    <w:rsid w:val="00A96061"/>
    <w:rsid w:val="00A960AB"/>
    <w:rsid w:val="00A96139"/>
    <w:rsid w:val="00A96206"/>
    <w:rsid w:val="00A962BB"/>
    <w:rsid w:val="00A963DD"/>
    <w:rsid w:val="00A9644D"/>
    <w:rsid w:val="00A96458"/>
    <w:rsid w:val="00A96719"/>
    <w:rsid w:val="00A9682D"/>
    <w:rsid w:val="00A96DF1"/>
    <w:rsid w:val="00A96E98"/>
    <w:rsid w:val="00A96EA6"/>
    <w:rsid w:val="00A96EE6"/>
    <w:rsid w:val="00A973B2"/>
    <w:rsid w:val="00A976DA"/>
    <w:rsid w:val="00A97711"/>
    <w:rsid w:val="00A977AA"/>
    <w:rsid w:val="00A977C9"/>
    <w:rsid w:val="00A97840"/>
    <w:rsid w:val="00A9791F"/>
    <w:rsid w:val="00A97A12"/>
    <w:rsid w:val="00A97ABE"/>
    <w:rsid w:val="00A97B5F"/>
    <w:rsid w:val="00A97CBB"/>
    <w:rsid w:val="00A97D26"/>
    <w:rsid w:val="00A97E8C"/>
    <w:rsid w:val="00AA00BE"/>
    <w:rsid w:val="00AA0353"/>
    <w:rsid w:val="00AA040C"/>
    <w:rsid w:val="00AA04AA"/>
    <w:rsid w:val="00AA07A0"/>
    <w:rsid w:val="00AA07C1"/>
    <w:rsid w:val="00AA0972"/>
    <w:rsid w:val="00AA0D5D"/>
    <w:rsid w:val="00AA0D99"/>
    <w:rsid w:val="00AA0E3F"/>
    <w:rsid w:val="00AA0F9C"/>
    <w:rsid w:val="00AA1044"/>
    <w:rsid w:val="00AA10A8"/>
    <w:rsid w:val="00AA153C"/>
    <w:rsid w:val="00AA1681"/>
    <w:rsid w:val="00AA1A2A"/>
    <w:rsid w:val="00AA1A3B"/>
    <w:rsid w:val="00AA1C50"/>
    <w:rsid w:val="00AA1CEE"/>
    <w:rsid w:val="00AA1DC5"/>
    <w:rsid w:val="00AA1DF2"/>
    <w:rsid w:val="00AA1E10"/>
    <w:rsid w:val="00AA1E32"/>
    <w:rsid w:val="00AA1E41"/>
    <w:rsid w:val="00AA1E9F"/>
    <w:rsid w:val="00AA1FDE"/>
    <w:rsid w:val="00AA201E"/>
    <w:rsid w:val="00AA20F4"/>
    <w:rsid w:val="00AA2B6F"/>
    <w:rsid w:val="00AA2DDF"/>
    <w:rsid w:val="00AA2F85"/>
    <w:rsid w:val="00AA2FA1"/>
    <w:rsid w:val="00AA3017"/>
    <w:rsid w:val="00AA3146"/>
    <w:rsid w:val="00AA331E"/>
    <w:rsid w:val="00AA3582"/>
    <w:rsid w:val="00AA35AE"/>
    <w:rsid w:val="00AA35FE"/>
    <w:rsid w:val="00AA3651"/>
    <w:rsid w:val="00AA36A0"/>
    <w:rsid w:val="00AA378B"/>
    <w:rsid w:val="00AA3901"/>
    <w:rsid w:val="00AA3A15"/>
    <w:rsid w:val="00AA3A54"/>
    <w:rsid w:val="00AA3C48"/>
    <w:rsid w:val="00AA3C6C"/>
    <w:rsid w:val="00AA3E8C"/>
    <w:rsid w:val="00AA3EF7"/>
    <w:rsid w:val="00AA3EFE"/>
    <w:rsid w:val="00AA42D3"/>
    <w:rsid w:val="00AA4369"/>
    <w:rsid w:val="00AA43E1"/>
    <w:rsid w:val="00AA489E"/>
    <w:rsid w:val="00AA48C2"/>
    <w:rsid w:val="00AA4A7B"/>
    <w:rsid w:val="00AA4C0B"/>
    <w:rsid w:val="00AA4FDD"/>
    <w:rsid w:val="00AA512D"/>
    <w:rsid w:val="00AA5163"/>
    <w:rsid w:val="00AA51AA"/>
    <w:rsid w:val="00AA51C1"/>
    <w:rsid w:val="00AA51F1"/>
    <w:rsid w:val="00AA528D"/>
    <w:rsid w:val="00AA52EA"/>
    <w:rsid w:val="00AA549A"/>
    <w:rsid w:val="00AA59FD"/>
    <w:rsid w:val="00AA5B05"/>
    <w:rsid w:val="00AA5C45"/>
    <w:rsid w:val="00AA5D67"/>
    <w:rsid w:val="00AA5E1B"/>
    <w:rsid w:val="00AA5EBA"/>
    <w:rsid w:val="00AA5F2B"/>
    <w:rsid w:val="00AA5F59"/>
    <w:rsid w:val="00AA5F80"/>
    <w:rsid w:val="00AA613E"/>
    <w:rsid w:val="00AA6156"/>
    <w:rsid w:val="00AA62E7"/>
    <w:rsid w:val="00AA63F3"/>
    <w:rsid w:val="00AA6473"/>
    <w:rsid w:val="00AA652E"/>
    <w:rsid w:val="00AA6695"/>
    <w:rsid w:val="00AA6861"/>
    <w:rsid w:val="00AA68B0"/>
    <w:rsid w:val="00AA69DE"/>
    <w:rsid w:val="00AA6CE6"/>
    <w:rsid w:val="00AA6EA8"/>
    <w:rsid w:val="00AA711C"/>
    <w:rsid w:val="00AA728E"/>
    <w:rsid w:val="00AA72F6"/>
    <w:rsid w:val="00AA73AC"/>
    <w:rsid w:val="00AA73C7"/>
    <w:rsid w:val="00AA73D8"/>
    <w:rsid w:val="00AA748D"/>
    <w:rsid w:val="00AA7793"/>
    <w:rsid w:val="00AA7938"/>
    <w:rsid w:val="00AA79A3"/>
    <w:rsid w:val="00AA79D5"/>
    <w:rsid w:val="00AA7B4C"/>
    <w:rsid w:val="00AA7B77"/>
    <w:rsid w:val="00AA7C93"/>
    <w:rsid w:val="00AA7D2F"/>
    <w:rsid w:val="00AB0033"/>
    <w:rsid w:val="00AB0391"/>
    <w:rsid w:val="00AB046F"/>
    <w:rsid w:val="00AB05FD"/>
    <w:rsid w:val="00AB069E"/>
    <w:rsid w:val="00AB074C"/>
    <w:rsid w:val="00AB07D3"/>
    <w:rsid w:val="00AB089D"/>
    <w:rsid w:val="00AB0911"/>
    <w:rsid w:val="00AB0983"/>
    <w:rsid w:val="00AB0A19"/>
    <w:rsid w:val="00AB0BD8"/>
    <w:rsid w:val="00AB0EA1"/>
    <w:rsid w:val="00AB128E"/>
    <w:rsid w:val="00AB1534"/>
    <w:rsid w:val="00AB1788"/>
    <w:rsid w:val="00AB1828"/>
    <w:rsid w:val="00AB1837"/>
    <w:rsid w:val="00AB187A"/>
    <w:rsid w:val="00AB1893"/>
    <w:rsid w:val="00AB1947"/>
    <w:rsid w:val="00AB1A78"/>
    <w:rsid w:val="00AB1DAF"/>
    <w:rsid w:val="00AB1E57"/>
    <w:rsid w:val="00AB1F11"/>
    <w:rsid w:val="00AB22C9"/>
    <w:rsid w:val="00AB25AE"/>
    <w:rsid w:val="00AB2771"/>
    <w:rsid w:val="00AB2960"/>
    <w:rsid w:val="00AB2A23"/>
    <w:rsid w:val="00AB2A98"/>
    <w:rsid w:val="00AB2BE3"/>
    <w:rsid w:val="00AB2DC8"/>
    <w:rsid w:val="00AB2E21"/>
    <w:rsid w:val="00AB2E89"/>
    <w:rsid w:val="00AB2F5E"/>
    <w:rsid w:val="00AB2F77"/>
    <w:rsid w:val="00AB2FD2"/>
    <w:rsid w:val="00AB2FDB"/>
    <w:rsid w:val="00AB304D"/>
    <w:rsid w:val="00AB30B9"/>
    <w:rsid w:val="00AB3317"/>
    <w:rsid w:val="00AB34CA"/>
    <w:rsid w:val="00AB366A"/>
    <w:rsid w:val="00AB3685"/>
    <w:rsid w:val="00AB38A4"/>
    <w:rsid w:val="00AB3951"/>
    <w:rsid w:val="00AB3A07"/>
    <w:rsid w:val="00AB3A20"/>
    <w:rsid w:val="00AB3A6B"/>
    <w:rsid w:val="00AB3B43"/>
    <w:rsid w:val="00AB3B6A"/>
    <w:rsid w:val="00AB3CE7"/>
    <w:rsid w:val="00AB3F89"/>
    <w:rsid w:val="00AB4026"/>
    <w:rsid w:val="00AB4435"/>
    <w:rsid w:val="00AB4483"/>
    <w:rsid w:val="00AB467F"/>
    <w:rsid w:val="00AB4686"/>
    <w:rsid w:val="00AB480A"/>
    <w:rsid w:val="00AB4820"/>
    <w:rsid w:val="00AB4B86"/>
    <w:rsid w:val="00AB4F92"/>
    <w:rsid w:val="00AB4FED"/>
    <w:rsid w:val="00AB514A"/>
    <w:rsid w:val="00AB5274"/>
    <w:rsid w:val="00AB52AD"/>
    <w:rsid w:val="00AB551F"/>
    <w:rsid w:val="00AB5D03"/>
    <w:rsid w:val="00AB5F11"/>
    <w:rsid w:val="00AB60D5"/>
    <w:rsid w:val="00AB6278"/>
    <w:rsid w:val="00AB62F6"/>
    <w:rsid w:val="00AB6700"/>
    <w:rsid w:val="00AB67BD"/>
    <w:rsid w:val="00AB68DE"/>
    <w:rsid w:val="00AB6B3B"/>
    <w:rsid w:val="00AB6BAD"/>
    <w:rsid w:val="00AB6EEF"/>
    <w:rsid w:val="00AB6F2F"/>
    <w:rsid w:val="00AB6F83"/>
    <w:rsid w:val="00AB6F87"/>
    <w:rsid w:val="00AB7138"/>
    <w:rsid w:val="00AB72CE"/>
    <w:rsid w:val="00AB74B2"/>
    <w:rsid w:val="00AB7512"/>
    <w:rsid w:val="00AB769B"/>
    <w:rsid w:val="00AB77AB"/>
    <w:rsid w:val="00AB79C9"/>
    <w:rsid w:val="00AB7EEA"/>
    <w:rsid w:val="00AB7F25"/>
    <w:rsid w:val="00AB7FCC"/>
    <w:rsid w:val="00AB7FD1"/>
    <w:rsid w:val="00AC00D8"/>
    <w:rsid w:val="00AC011F"/>
    <w:rsid w:val="00AC013B"/>
    <w:rsid w:val="00AC04EC"/>
    <w:rsid w:val="00AC056D"/>
    <w:rsid w:val="00AC0689"/>
    <w:rsid w:val="00AC069F"/>
    <w:rsid w:val="00AC0AB0"/>
    <w:rsid w:val="00AC0AF2"/>
    <w:rsid w:val="00AC0B37"/>
    <w:rsid w:val="00AC0D85"/>
    <w:rsid w:val="00AC0DD6"/>
    <w:rsid w:val="00AC0F96"/>
    <w:rsid w:val="00AC1138"/>
    <w:rsid w:val="00AC1203"/>
    <w:rsid w:val="00AC140E"/>
    <w:rsid w:val="00AC14F0"/>
    <w:rsid w:val="00AC15E2"/>
    <w:rsid w:val="00AC1724"/>
    <w:rsid w:val="00AC18C5"/>
    <w:rsid w:val="00AC1A31"/>
    <w:rsid w:val="00AC1C80"/>
    <w:rsid w:val="00AC1D39"/>
    <w:rsid w:val="00AC1E12"/>
    <w:rsid w:val="00AC1E86"/>
    <w:rsid w:val="00AC2119"/>
    <w:rsid w:val="00AC234F"/>
    <w:rsid w:val="00AC2408"/>
    <w:rsid w:val="00AC2439"/>
    <w:rsid w:val="00AC24D4"/>
    <w:rsid w:val="00AC256A"/>
    <w:rsid w:val="00AC2681"/>
    <w:rsid w:val="00AC2979"/>
    <w:rsid w:val="00AC2A17"/>
    <w:rsid w:val="00AC2B7F"/>
    <w:rsid w:val="00AC2BCC"/>
    <w:rsid w:val="00AC2C2F"/>
    <w:rsid w:val="00AC2D2E"/>
    <w:rsid w:val="00AC2EC8"/>
    <w:rsid w:val="00AC3231"/>
    <w:rsid w:val="00AC359E"/>
    <w:rsid w:val="00AC399E"/>
    <w:rsid w:val="00AC3D80"/>
    <w:rsid w:val="00AC43A2"/>
    <w:rsid w:val="00AC43E9"/>
    <w:rsid w:val="00AC456D"/>
    <w:rsid w:val="00AC460C"/>
    <w:rsid w:val="00AC49B7"/>
    <w:rsid w:val="00AC5012"/>
    <w:rsid w:val="00AC50E3"/>
    <w:rsid w:val="00AC512D"/>
    <w:rsid w:val="00AC514A"/>
    <w:rsid w:val="00AC532E"/>
    <w:rsid w:val="00AC53BA"/>
    <w:rsid w:val="00AC53DE"/>
    <w:rsid w:val="00AC563B"/>
    <w:rsid w:val="00AC568E"/>
    <w:rsid w:val="00AC585E"/>
    <w:rsid w:val="00AC59CF"/>
    <w:rsid w:val="00AC59D9"/>
    <w:rsid w:val="00AC5B04"/>
    <w:rsid w:val="00AC5B8B"/>
    <w:rsid w:val="00AC5C53"/>
    <w:rsid w:val="00AC5CCF"/>
    <w:rsid w:val="00AC5DB0"/>
    <w:rsid w:val="00AC5E83"/>
    <w:rsid w:val="00AC5EBC"/>
    <w:rsid w:val="00AC5F56"/>
    <w:rsid w:val="00AC60EA"/>
    <w:rsid w:val="00AC6162"/>
    <w:rsid w:val="00AC6202"/>
    <w:rsid w:val="00AC6294"/>
    <w:rsid w:val="00AC62A1"/>
    <w:rsid w:val="00AC6339"/>
    <w:rsid w:val="00AC64B5"/>
    <w:rsid w:val="00AC6753"/>
    <w:rsid w:val="00AC68B3"/>
    <w:rsid w:val="00AC6B25"/>
    <w:rsid w:val="00AC6B31"/>
    <w:rsid w:val="00AC6CA0"/>
    <w:rsid w:val="00AC6E3B"/>
    <w:rsid w:val="00AC6F19"/>
    <w:rsid w:val="00AC6FB8"/>
    <w:rsid w:val="00AC7042"/>
    <w:rsid w:val="00AC7048"/>
    <w:rsid w:val="00AC7084"/>
    <w:rsid w:val="00AC71B7"/>
    <w:rsid w:val="00AC7316"/>
    <w:rsid w:val="00AC7407"/>
    <w:rsid w:val="00AC75FE"/>
    <w:rsid w:val="00AC770E"/>
    <w:rsid w:val="00AC776F"/>
    <w:rsid w:val="00AC7B6E"/>
    <w:rsid w:val="00AC7CAC"/>
    <w:rsid w:val="00AC7DF4"/>
    <w:rsid w:val="00AC7E7E"/>
    <w:rsid w:val="00AC7F4A"/>
    <w:rsid w:val="00AD002A"/>
    <w:rsid w:val="00AD0066"/>
    <w:rsid w:val="00AD01D0"/>
    <w:rsid w:val="00AD044F"/>
    <w:rsid w:val="00AD046B"/>
    <w:rsid w:val="00AD04A1"/>
    <w:rsid w:val="00AD09A7"/>
    <w:rsid w:val="00AD0BE9"/>
    <w:rsid w:val="00AD0C17"/>
    <w:rsid w:val="00AD0D52"/>
    <w:rsid w:val="00AD0DF2"/>
    <w:rsid w:val="00AD0EBA"/>
    <w:rsid w:val="00AD11D6"/>
    <w:rsid w:val="00AD1373"/>
    <w:rsid w:val="00AD1392"/>
    <w:rsid w:val="00AD158D"/>
    <w:rsid w:val="00AD1882"/>
    <w:rsid w:val="00AD19A1"/>
    <w:rsid w:val="00AD19E2"/>
    <w:rsid w:val="00AD1C66"/>
    <w:rsid w:val="00AD1E7C"/>
    <w:rsid w:val="00AD2084"/>
    <w:rsid w:val="00AD208F"/>
    <w:rsid w:val="00AD23BE"/>
    <w:rsid w:val="00AD2682"/>
    <w:rsid w:val="00AD27EE"/>
    <w:rsid w:val="00AD2B87"/>
    <w:rsid w:val="00AD2D6A"/>
    <w:rsid w:val="00AD300F"/>
    <w:rsid w:val="00AD30AA"/>
    <w:rsid w:val="00AD323F"/>
    <w:rsid w:val="00AD325D"/>
    <w:rsid w:val="00AD35B1"/>
    <w:rsid w:val="00AD35BC"/>
    <w:rsid w:val="00AD35CD"/>
    <w:rsid w:val="00AD3612"/>
    <w:rsid w:val="00AD36E0"/>
    <w:rsid w:val="00AD3D0E"/>
    <w:rsid w:val="00AD3DC2"/>
    <w:rsid w:val="00AD3E32"/>
    <w:rsid w:val="00AD404F"/>
    <w:rsid w:val="00AD4052"/>
    <w:rsid w:val="00AD405E"/>
    <w:rsid w:val="00AD40B0"/>
    <w:rsid w:val="00AD4139"/>
    <w:rsid w:val="00AD43B3"/>
    <w:rsid w:val="00AD45B6"/>
    <w:rsid w:val="00AD460F"/>
    <w:rsid w:val="00AD4613"/>
    <w:rsid w:val="00AD46A3"/>
    <w:rsid w:val="00AD46BE"/>
    <w:rsid w:val="00AD47D6"/>
    <w:rsid w:val="00AD49D5"/>
    <w:rsid w:val="00AD4AFE"/>
    <w:rsid w:val="00AD4B1A"/>
    <w:rsid w:val="00AD4B31"/>
    <w:rsid w:val="00AD4CE4"/>
    <w:rsid w:val="00AD4E15"/>
    <w:rsid w:val="00AD4EE8"/>
    <w:rsid w:val="00AD4F3B"/>
    <w:rsid w:val="00AD512D"/>
    <w:rsid w:val="00AD51BA"/>
    <w:rsid w:val="00AD51C9"/>
    <w:rsid w:val="00AD5206"/>
    <w:rsid w:val="00AD542F"/>
    <w:rsid w:val="00AD54A0"/>
    <w:rsid w:val="00AD554D"/>
    <w:rsid w:val="00AD5635"/>
    <w:rsid w:val="00AD5662"/>
    <w:rsid w:val="00AD57AA"/>
    <w:rsid w:val="00AD57E8"/>
    <w:rsid w:val="00AD5C1D"/>
    <w:rsid w:val="00AD5F2A"/>
    <w:rsid w:val="00AD5F65"/>
    <w:rsid w:val="00AD6056"/>
    <w:rsid w:val="00AD63CE"/>
    <w:rsid w:val="00AD64CD"/>
    <w:rsid w:val="00AD64D4"/>
    <w:rsid w:val="00AD64F6"/>
    <w:rsid w:val="00AD6623"/>
    <w:rsid w:val="00AD665F"/>
    <w:rsid w:val="00AD6758"/>
    <w:rsid w:val="00AD67FB"/>
    <w:rsid w:val="00AD695A"/>
    <w:rsid w:val="00AD6DA0"/>
    <w:rsid w:val="00AD6DA5"/>
    <w:rsid w:val="00AD6E4B"/>
    <w:rsid w:val="00AD6EE5"/>
    <w:rsid w:val="00AD7081"/>
    <w:rsid w:val="00AD7097"/>
    <w:rsid w:val="00AD747C"/>
    <w:rsid w:val="00AD74BE"/>
    <w:rsid w:val="00AD74C5"/>
    <w:rsid w:val="00AD7656"/>
    <w:rsid w:val="00AD7717"/>
    <w:rsid w:val="00AD7972"/>
    <w:rsid w:val="00AD7B49"/>
    <w:rsid w:val="00AD7E6C"/>
    <w:rsid w:val="00AD7F2F"/>
    <w:rsid w:val="00AD7F87"/>
    <w:rsid w:val="00AD7FFD"/>
    <w:rsid w:val="00AE0023"/>
    <w:rsid w:val="00AE01DD"/>
    <w:rsid w:val="00AE02A0"/>
    <w:rsid w:val="00AE0603"/>
    <w:rsid w:val="00AE073A"/>
    <w:rsid w:val="00AE079F"/>
    <w:rsid w:val="00AE0CD9"/>
    <w:rsid w:val="00AE0D51"/>
    <w:rsid w:val="00AE0D6C"/>
    <w:rsid w:val="00AE0F4B"/>
    <w:rsid w:val="00AE0FAE"/>
    <w:rsid w:val="00AE11DA"/>
    <w:rsid w:val="00AE12A1"/>
    <w:rsid w:val="00AE143A"/>
    <w:rsid w:val="00AE1617"/>
    <w:rsid w:val="00AE16E4"/>
    <w:rsid w:val="00AE1993"/>
    <w:rsid w:val="00AE1BE1"/>
    <w:rsid w:val="00AE1EAB"/>
    <w:rsid w:val="00AE1EE2"/>
    <w:rsid w:val="00AE215F"/>
    <w:rsid w:val="00AE2338"/>
    <w:rsid w:val="00AE23AD"/>
    <w:rsid w:val="00AE23E8"/>
    <w:rsid w:val="00AE2435"/>
    <w:rsid w:val="00AE2591"/>
    <w:rsid w:val="00AE2610"/>
    <w:rsid w:val="00AE2631"/>
    <w:rsid w:val="00AE2681"/>
    <w:rsid w:val="00AE26C0"/>
    <w:rsid w:val="00AE2A68"/>
    <w:rsid w:val="00AE2CD6"/>
    <w:rsid w:val="00AE3281"/>
    <w:rsid w:val="00AE32DD"/>
    <w:rsid w:val="00AE35AE"/>
    <w:rsid w:val="00AE36AC"/>
    <w:rsid w:val="00AE3778"/>
    <w:rsid w:val="00AE3891"/>
    <w:rsid w:val="00AE3A5A"/>
    <w:rsid w:val="00AE3C74"/>
    <w:rsid w:val="00AE3CE5"/>
    <w:rsid w:val="00AE3D8C"/>
    <w:rsid w:val="00AE3F7A"/>
    <w:rsid w:val="00AE3FBA"/>
    <w:rsid w:val="00AE400E"/>
    <w:rsid w:val="00AE4105"/>
    <w:rsid w:val="00AE414C"/>
    <w:rsid w:val="00AE46AC"/>
    <w:rsid w:val="00AE4735"/>
    <w:rsid w:val="00AE48EA"/>
    <w:rsid w:val="00AE493F"/>
    <w:rsid w:val="00AE4AB4"/>
    <w:rsid w:val="00AE4B55"/>
    <w:rsid w:val="00AE4B8D"/>
    <w:rsid w:val="00AE4CFB"/>
    <w:rsid w:val="00AE4D4B"/>
    <w:rsid w:val="00AE4E36"/>
    <w:rsid w:val="00AE4F0C"/>
    <w:rsid w:val="00AE4F32"/>
    <w:rsid w:val="00AE5161"/>
    <w:rsid w:val="00AE5295"/>
    <w:rsid w:val="00AE52BC"/>
    <w:rsid w:val="00AE53F5"/>
    <w:rsid w:val="00AE55F1"/>
    <w:rsid w:val="00AE56CB"/>
    <w:rsid w:val="00AE577D"/>
    <w:rsid w:val="00AE5827"/>
    <w:rsid w:val="00AE585D"/>
    <w:rsid w:val="00AE596A"/>
    <w:rsid w:val="00AE5A5B"/>
    <w:rsid w:val="00AE5EAA"/>
    <w:rsid w:val="00AE5FF1"/>
    <w:rsid w:val="00AE60AE"/>
    <w:rsid w:val="00AE6336"/>
    <w:rsid w:val="00AE638A"/>
    <w:rsid w:val="00AE6422"/>
    <w:rsid w:val="00AE6449"/>
    <w:rsid w:val="00AE67EF"/>
    <w:rsid w:val="00AE6ACB"/>
    <w:rsid w:val="00AE6C2E"/>
    <w:rsid w:val="00AE6CB0"/>
    <w:rsid w:val="00AE6DA2"/>
    <w:rsid w:val="00AE6F15"/>
    <w:rsid w:val="00AE720C"/>
    <w:rsid w:val="00AE7249"/>
    <w:rsid w:val="00AE7262"/>
    <w:rsid w:val="00AE7360"/>
    <w:rsid w:val="00AE7507"/>
    <w:rsid w:val="00AE7683"/>
    <w:rsid w:val="00AE772D"/>
    <w:rsid w:val="00AE778C"/>
    <w:rsid w:val="00AE7793"/>
    <w:rsid w:val="00AE779E"/>
    <w:rsid w:val="00AE7884"/>
    <w:rsid w:val="00AE78F1"/>
    <w:rsid w:val="00AE7957"/>
    <w:rsid w:val="00AE7B56"/>
    <w:rsid w:val="00AE7EB5"/>
    <w:rsid w:val="00AF0223"/>
    <w:rsid w:val="00AF04E2"/>
    <w:rsid w:val="00AF09D9"/>
    <w:rsid w:val="00AF0C2A"/>
    <w:rsid w:val="00AF0D44"/>
    <w:rsid w:val="00AF0D6D"/>
    <w:rsid w:val="00AF0DF9"/>
    <w:rsid w:val="00AF0E28"/>
    <w:rsid w:val="00AF0E71"/>
    <w:rsid w:val="00AF0F0E"/>
    <w:rsid w:val="00AF1202"/>
    <w:rsid w:val="00AF1275"/>
    <w:rsid w:val="00AF13F6"/>
    <w:rsid w:val="00AF14CA"/>
    <w:rsid w:val="00AF150E"/>
    <w:rsid w:val="00AF16CD"/>
    <w:rsid w:val="00AF185F"/>
    <w:rsid w:val="00AF1A62"/>
    <w:rsid w:val="00AF1A88"/>
    <w:rsid w:val="00AF1B82"/>
    <w:rsid w:val="00AF1CFF"/>
    <w:rsid w:val="00AF1DE5"/>
    <w:rsid w:val="00AF1DF5"/>
    <w:rsid w:val="00AF1F79"/>
    <w:rsid w:val="00AF2173"/>
    <w:rsid w:val="00AF2233"/>
    <w:rsid w:val="00AF2318"/>
    <w:rsid w:val="00AF2397"/>
    <w:rsid w:val="00AF241C"/>
    <w:rsid w:val="00AF24ED"/>
    <w:rsid w:val="00AF24F5"/>
    <w:rsid w:val="00AF2527"/>
    <w:rsid w:val="00AF27F9"/>
    <w:rsid w:val="00AF2B82"/>
    <w:rsid w:val="00AF2CC2"/>
    <w:rsid w:val="00AF2FB5"/>
    <w:rsid w:val="00AF314C"/>
    <w:rsid w:val="00AF3470"/>
    <w:rsid w:val="00AF35C8"/>
    <w:rsid w:val="00AF37BF"/>
    <w:rsid w:val="00AF381E"/>
    <w:rsid w:val="00AF382C"/>
    <w:rsid w:val="00AF389E"/>
    <w:rsid w:val="00AF3A23"/>
    <w:rsid w:val="00AF3A47"/>
    <w:rsid w:val="00AF3C39"/>
    <w:rsid w:val="00AF4062"/>
    <w:rsid w:val="00AF40AC"/>
    <w:rsid w:val="00AF42CB"/>
    <w:rsid w:val="00AF44AF"/>
    <w:rsid w:val="00AF44D9"/>
    <w:rsid w:val="00AF44E5"/>
    <w:rsid w:val="00AF4518"/>
    <w:rsid w:val="00AF4661"/>
    <w:rsid w:val="00AF478A"/>
    <w:rsid w:val="00AF4814"/>
    <w:rsid w:val="00AF4854"/>
    <w:rsid w:val="00AF4862"/>
    <w:rsid w:val="00AF48AC"/>
    <w:rsid w:val="00AF49B1"/>
    <w:rsid w:val="00AF4A0C"/>
    <w:rsid w:val="00AF4A6C"/>
    <w:rsid w:val="00AF4BE4"/>
    <w:rsid w:val="00AF4C16"/>
    <w:rsid w:val="00AF4CC8"/>
    <w:rsid w:val="00AF4CDB"/>
    <w:rsid w:val="00AF4DD9"/>
    <w:rsid w:val="00AF4E8C"/>
    <w:rsid w:val="00AF4ECF"/>
    <w:rsid w:val="00AF4F1B"/>
    <w:rsid w:val="00AF5237"/>
    <w:rsid w:val="00AF5467"/>
    <w:rsid w:val="00AF55E4"/>
    <w:rsid w:val="00AF55EA"/>
    <w:rsid w:val="00AF56BF"/>
    <w:rsid w:val="00AF600B"/>
    <w:rsid w:val="00AF6156"/>
    <w:rsid w:val="00AF6158"/>
    <w:rsid w:val="00AF6162"/>
    <w:rsid w:val="00AF61E3"/>
    <w:rsid w:val="00AF6282"/>
    <w:rsid w:val="00AF6334"/>
    <w:rsid w:val="00AF6455"/>
    <w:rsid w:val="00AF6498"/>
    <w:rsid w:val="00AF64CB"/>
    <w:rsid w:val="00AF66E5"/>
    <w:rsid w:val="00AF6ABA"/>
    <w:rsid w:val="00AF6D9E"/>
    <w:rsid w:val="00AF7178"/>
    <w:rsid w:val="00AF71F9"/>
    <w:rsid w:val="00AF7386"/>
    <w:rsid w:val="00AF7467"/>
    <w:rsid w:val="00AF7506"/>
    <w:rsid w:val="00AF7606"/>
    <w:rsid w:val="00AF779A"/>
    <w:rsid w:val="00AF77C1"/>
    <w:rsid w:val="00AF77D8"/>
    <w:rsid w:val="00AF78AD"/>
    <w:rsid w:val="00AF79EF"/>
    <w:rsid w:val="00AF7E92"/>
    <w:rsid w:val="00AF7F03"/>
    <w:rsid w:val="00B000EE"/>
    <w:rsid w:val="00B00100"/>
    <w:rsid w:val="00B00238"/>
    <w:rsid w:val="00B0027E"/>
    <w:rsid w:val="00B0039F"/>
    <w:rsid w:val="00B0042E"/>
    <w:rsid w:val="00B00792"/>
    <w:rsid w:val="00B00811"/>
    <w:rsid w:val="00B00B03"/>
    <w:rsid w:val="00B00DC9"/>
    <w:rsid w:val="00B00E12"/>
    <w:rsid w:val="00B01208"/>
    <w:rsid w:val="00B012E0"/>
    <w:rsid w:val="00B0149C"/>
    <w:rsid w:val="00B0153D"/>
    <w:rsid w:val="00B01643"/>
    <w:rsid w:val="00B0175A"/>
    <w:rsid w:val="00B019D4"/>
    <w:rsid w:val="00B01BBE"/>
    <w:rsid w:val="00B01C4C"/>
    <w:rsid w:val="00B01C50"/>
    <w:rsid w:val="00B01D25"/>
    <w:rsid w:val="00B01DF2"/>
    <w:rsid w:val="00B020D8"/>
    <w:rsid w:val="00B0230D"/>
    <w:rsid w:val="00B02374"/>
    <w:rsid w:val="00B0252E"/>
    <w:rsid w:val="00B025E9"/>
    <w:rsid w:val="00B02624"/>
    <w:rsid w:val="00B02904"/>
    <w:rsid w:val="00B02A2E"/>
    <w:rsid w:val="00B02A44"/>
    <w:rsid w:val="00B02AAD"/>
    <w:rsid w:val="00B02B9E"/>
    <w:rsid w:val="00B02C47"/>
    <w:rsid w:val="00B02C88"/>
    <w:rsid w:val="00B02CFE"/>
    <w:rsid w:val="00B02DCD"/>
    <w:rsid w:val="00B02DD0"/>
    <w:rsid w:val="00B02E0D"/>
    <w:rsid w:val="00B02E1F"/>
    <w:rsid w:val="00B02F7B"/>
    <w:rsid w:val="00B03127"/>
    <w:rsid w:val="00B031E6"/>
    <w:rsid w:val="00B032B6"/>
    <w:rsid w:val="00B03499"/>
    <w:rsid w:val="00B034E1"/>
    <w:rsid w:val="00B035B5"/>
    <w:rsid w:val="00B036D5"/>
    <w:rsid w:val="00B03910"/>
    <w:rsid w:val="00B03F20"/>
    <w:rsid w:val="00B0427D"/>
    <w:rsid w:val="00B043E2"/>
    <w:rsid w:val="00B045D2"/>
    <w:rsid w:val="00B0487D"/>
    <w:rsid w:val="00B048EA"/>
    <w:rsid w:val="00B04BB8"/>
    <w:rsid w:val="00B04D4E"/>
    <w:rsid w:val="00B04D70"/>
    <w:rsid w:val="00B0510E"/>
    <w:rsid w:val="00B05195"/>
    <w:rsid w:val="00B0520B"/>
    <w:rsid w:val="00B05292"/>
    <w:rsid w:val="00B0529B"/>
    <w:rsid w:val="00B05642"/>
    <w:rsid w:val="00B058C8"/>
    <w:rsid w:val="00B05A6C"/>
    <w:rsid w:val="00B05BAC"/>
    <w:rsid w:val="00B05C8C"/>
    <w:rsid w:val="00B05C96"/>
    <w:rsid w:val="00B05CD6"/>
    <w:rsid w:val="00B05D22"/>
    <w:rsid w:val="00B05E21"/>
    <w:rsid w:val="00B05EBD"/>
    <w:rsid w:val="00B05FD4"/>
    <w:rsid w:val="00B06021"/>
    <w:rsid w:val="00B0603B"/>
    <w:rsid w:val="00B06421"/>
    <w:rsid w:val="00B06557"/>
    <w:rsid w:val="00B06752"/>
    <w:rsid w:val="00B06781"/>
    <w:rsid w:val="00B068DF"/>
    <w:rsid w:val="00B069C4"/>
    <w:rsid w:val="00B06A3A"/>
    <w:rsid w:val="00B06A60"/>
    <w:rsid w:val="00B06C21"/>
    <w:rsid w:val="00B06D20"/>
    <w:rsid w:val="00B06D8C"/>
    <w:rsid w:val="00B06DCE"/>
    <w:rsid w:val="00B07147"/>
    <w:rsid w:val="00B07553"/>
    <w:rsid w:val="00B0759A"/>
    <w:rsid w:val="00B0778E"/>
    <w:rsid w:val="00B077F5"/>
    <w:rsid w:val="00B07805"/>
    <w:rsid w:val="00B07859"/>
    <w:rsid w:val="00B07986"/>
    <w:rsid w:val="00B1013E"/>
    <w:rsid w:val="00B10316"/>
    <w:rsid w:val="00B1035B"/>
    <w:rsid w:val="00B103F5"/>
    <w:rsid w:val="00B108C6"/>
    <w:rsid w:val="00B10C6F"/>
    <w:rsid w:val="00B10D16"/>
    <w:rsid w:val="00B10E13"/>
    <w:rsid w:val="00B10E59"/>
    <w:rsid w:val="00B10F0F"/>
    <w:rsid w:val="00B10FEE"/>
    <w:rsid w:val="00B10FFD"/>
    <w:rsid w:val="00B11491"/>
    <w:rsid w:val="00B1150D"/>
    <w:rsid w:val="00B1186C"/>
    <w:rsid w:val="00B11E71"/>
    <w:rsid w:val="00B11EA0"/>
    <w:rsid w:val="00B11EF3"/>
    <w:rsid w:val="00B11F18"/>
    <w:rsid w:val="00B11F61"/>
    <w:rsid w:val="00B1233B"/>
    <w:rsid w:val="00B12465"/>
    <w:rsid w:val="00B12616"/>
    <w:rsid w:val="00B126A0"/>
    <w:rsid w:val="00B1272F"/>
    <w:rsid w:val="00B1277A"/>
    <w:rsid w:val="00B1289E"/>
    <w:rsid w:val="00B12A39"/>
    <w:rsid w:val="00B12A4B"/>
    <w:rsid w:val="00B12BED"/>
    <w:rsid w:val="00B13185"/>
    <w:rsid w:val="00B13300"/>
    <w:rsid w:val="00B13338"/>
    <w:rsid w:val="00B13601"/>
    <w:rsid w:val="00B13878"/>
    <w:rsid w:val="00B13952"/>
    <w:rsid w:val="00B1397A"/>
    <w:rsid w:val="00B13993"/>
    <w:rsid w:val="00B13AA2"/>
    <w:rsid w:val="00B13AF7"/>
    <w:rsid w:val="00B13BA7"/>
    <w:rsid w:val="00B13D2B"/>
    <w:rsid w:val="00B14270"/>
    <w:rsid w:val="00B143EF"/>
    <w:rsid w:val="00B1462E"/>
    <w:rsid w:val="00B14775"/>
    <w:rsid w:val="00B147DD"/>
    <w:rsid w:val="00B1486A"/>
    <w:rsid w:val="00B1487B"/>
    <w:rsid w:val="00B148E5"/>
    <w:rsid w:val="00B149C1"/>
    <w:rsid w:val="00B14ADF"/>
    <w:rsid w:val="00B14B59"/>
    <w:rsid w:val="00B14BF9"/>
    <w:rsid w:val="00B14CC1"/>
    <w:rsid w:val="00B14EC0"/>
    <w:rsid w:val="00B14F61"/>
    <w:rsid w:val="00B15249"/>
    <w:rsid w:val="00B15263"/>
    <w:rsid w:val="00B1542E"/>
    <w:rsid w:val="00B15939"/>
    <w:rsid w:val="00B15B11"/>
    <w:rsid w:val="00B15BF0"/>
    <w:rsid w:val="00B15C79"/>
    <w:rsid w:val="00B15F71"/>
    <w:rsid w:val="00B16046"/>
    <w:rsid w:val="00B1615E"/>
    <w:rsid w:val="00B16321"/>
    <w:rsid w:val="00B163F3"/>
    <w:rsid w:val="00B1644A"/>
    <w:rsid w:val="00B1644B"/>
    <w:rsid w:val="00B167BE"/>
    <w:rsid w:val="00B168B9"/>
    <w:rsid w:val="00B16958"/>
    <w:rsid w:val="00B169FD"/>
    <w:rsid w:val="00B16CFD"/>
    <w:rsid w:val="00B16E45"/>
    <w:rsid w:val="00B16E50"/>
    <w:rsid w:val="00B170A9"/>
    <w:rsid w:val="00B1721E"/>
    <w:rsid w:val="00B17377"/>
    <w:rsid w:val="00B17556"/>
    <w:rsid w:val="00B1786E"/>
    <w:rsid w:val="00B17A98"/>
    <w:rsid w:val="00B17FDB"/>
    <w:rsid w:val="00B20151"/>
    <w:rsid w:val="00B20205"/>
    <w:rsid w:val="00B2027A"/>
    <w:rsid w:val="00B20438"/>
    <w:rsid w:val="00B20496"/>
    <w:rsid w:val="00B20768"/>
    <w:rsid w:val="00B20808"/>
    <w:rsid w:val="00B20823"/>
    <w:rsid w:val="00B209BC"/>
    <w:rsid w:val="00B20A95"/>
    <w:rsid w:val="00B20AA3"/>
    <w:rsid w:val="00B20B23"/>
    <w:rsid w:val="00B20CB0"/>
    <w:rsid w:val="00B20CB9"/>
    <w:rsid w:val="00B20D4F"/>
    <w:rsid w:val="00B20DA7"/>
    <w:rsid w:val="00B20F2E"/>
    <w:rsid w:val="00B21121"/>
    <w:rsid w:val="00B21191"/>
    <w:rsid w:val="00B2134C"/>
    <w:rsid w:val="00B2138A"/>
    <w:rsid w:val="00B215D5"/>
    <w:rsid w:val="00B21698"/>
    <w:rsid w:val="00B21767"/>
    <w:rsid w:val="00B21A07"/>
    <w:rsid w:val="00B21AB0"/>
    <w:rsid w:val="00B21B3B"/>
    <w:rsid w:val="00B21BA4"/>
    <w:rsid w:val="00B21BB1"/>
    <w:rsid w:val="00B21BF2"/>
    <w:rsid w:val="00B21CD2"/>
    <w:rsid w:val="00B21EF5"/>
    <w:rsid w:val="00B21F80"/>
    <w:rsid w:val="00B21F8F"/>
    <w:rsid w:val="00B22083"/>
    <w:rsid w:val="00B220EE"/>
    <w:rsid w:val="00B2213C"/>
    <w:rsid w:val="00B2229A"/>
    <w:rsid w:val="00B223ED"/>
    <w:rsid w:val="00B225D0"/>
    <w:rsid w:val="00B2275A"/>
    <w:rsid w:val="00B22A50"/>
    <w:rsid w:val="00B22B1D"/>
    <w:rsid w:val="00B22C66"/>
    <w:rsid w:val="00B22E89"/>
    <w:rsid w:val="00B22FE8"/>
    <w:rsid w:val="00B23175"/>
    <w:rsid w:val="00B2327A"/>
    <w:rsid w:val="00B23331"/>
    <w:rsid w:val="00B23540"/>
    <w:rsid w:val="00B23547"/>
    <w:rsid w:val="00B235C9"/>
    <w:rsid w:val="00B237F9"/>
    <w:rsid w:val="00B23AF6"/>
    <w:rsid w:val="00B23B5D"/>
    <w:rsid w:val="00B23DD0"/>
    <w:rsid w:val="00B2420D"/>
    <w:rsid w:val="00B245BA"/>
    <w:rsid w:val="00B245E5"/>
    <w:rsid w:val="00B248BF"/>
    <w:rsid w:val="00B24A4D"/>
    <w:rsid w:val="00B24C6D"/>
    <w:rsid w:val="00B24D34"/>
    <w:rsid w:val="00B24FAD"/>
    <w:rsid w:val="00B252E8"/>
    <w:rsid w:val="00B25316"/>
    <w:rsid w:val="00B255CC"/>
    <w:rsid w:val="00B25612"/>
    <w:rsid w:val="00B2561F"/>
    <w:rsid w:val="00B257C5"/>
    <w:rsid w:val="00B259DF"/>
    <w:rsid w:val="00B25A0D"/>
    <w:rsid w:val="00B25A16"/>
    <w:rsid w:val="00B25A44"/>
    <w:rsid w:val="00B25A61"/>
    <w:rsid w:val="00B25B12"/>
    <w:rsid w:val="00B25C4A"/>
    <w:rsid w:val="00B25C9C"/>
    <w:rsid w:val="00B25D2F"/>
    <w:rsid w:val="00B25D68"/>
    <w:rsid w:val="00B263B9"/>
    <w:rsid w:val="00B263E1"/>
    <w:rsid w:val="00B2654D"/>
    <w:rsid w:val="00B26723"/>
    <w:rsid w:val="00B268D3"/>
    <w:rsid w:val="00B268E1"/>
    <w:rsid w:val="00B26922"/>
    <w:rsid w:val="00B26B43"/>
    <w:rsid w:val="00B26D65"/>
    <w:rsid w:val="00B26E89"/>
    <w:rsid w:val="00B26F83"/>
    <w:rsid w:val="00B270E3"/>
    <w:rsid w:val="00B2717D"/>
    <w:rsid w:val="00B2741B"/>
    <w:rsid w:val="00B276B4"/>
    <w:rsid w:val="00B2777B"/>
    <w:rsid w:val="00B2788D"/>
    <w:rsid w:val="00B27941"/>
    <w:rsid w:val="00B279EA"/>
    <w:rsid w:val="00B27A17"/>
    <w:rsid w:val="00B27B03"/>
    <w:rsid w:val="00B27BF0"/>
    <w:rsid w:val="00B27E03"/>
    <w:rsid w:val="00B30120"/>
    <w:rsid w:val="00B30183"/>
    <w:rsid w:val="00B30249"/>
    <w:rsid w:val="00B3034E"/>
    <w:rsid w:val="00B3038C"/>
    <w:rsid w:val="00B303D2"/>
    <w:rsid w:val="00B3045C"/>
    <w:rsid w:val="00B30927"/>
    <w:rsid w:val="00B30D49"/>
    <w:rsid w:val="00B30D73"/>
    <w:rsid w:val="00B31036"/>
    <w:rsid w:val="00B3119F"/>
    <w:rsid w:val="00B31263"/>
    <w:rsid w:val="00B31280"/>
    <w:rsid w:val="00B3167A"/>
    <w:rsid w:val="00B319A5"/>
    <w:rsid w:val="00B31AA9"/>
    <w:rsid w:val="00B31B36"/>
    <w:rsid w:val="00B31F08"/>
    <w:rsid w:val="00B3209B"/>
    <w:rsid w:val="00B3220B"/>
    <w:rsid w:val="00B322F8"/>
    <w:rsid w:val="00B3249E"/>
    <w:rsid w:val="00B3251D"/>
    <w:rsid w:val="00B32537"/>
    <w:rsid w:val="00B3259B"/>
    <w:rsid w:val="00B3268B"/>
    <w:rsid w:val="00B32737"/>
    <w:rsid w:val="00B3279B"/>
    <w:rsid w:val="00B327BA"/>
    <w:rsid w:val="00B32AA9"/>
    <w:rsid w:val="00B32BDE"/>
    <w:rsid w:val="00B32C3D"/>
    <w:rsid w:val="00B32C91"/>
    <w:rsid w:val="00B32E0E"/>
    <w:rsid w:val="00B32E6F"/>
    <w:rsid w:val="00B3309D"/>
    <w:rsid w:val="00B330A4"/>
    <w:rsid w:val="00B331F2"/>
    <w:rsid w:val="00B332E5"/>
    <w:rsid w:val="00B33376"/>
    <w:rsid w:val="00B337AC"/>
    <w:rsid w:val="00B33914"/>
    <w:rsid w:val="00B3394A"/>
    <w:rsid w:val="00B33A6D"/>
    <w:rsid w:val="00B33B95"/>
    <w:rsid w:val="00B33C1A"/>
    <w:rsid w:val="00B33C40"/>
    <w:rsid w:val="00B34383"/>
    <w:rsid w:val="00B34469"/>
    <w:rsid w:val="00B34581"/>
    <w:rsid w:val="00B34B20"/>
    <w:rsid w:val="00B34D97"/>
    <w:rsid w:val="00B34F02"/>
    <w:rsid w:val="00B350EA"/>
    <w:rsid w:val="00B3540B"/>
    <w:rsid w:val="00B3558F"/>
    <w:rsid w:val="00B358A3"/>
    <w:rsid w:val="00B358D0"/>
    <w:rsid w:val="00B35BC0"/>
    <w:rsid w:val="00B35BE4"/>
    <w:rsid w:val="00B35BF1"/>
    <w:rsid w:val="00B35DA6"/>
    <w:rsid w:val="00B35E6C"/>
    <w:rsid w:val="00B3616A"/>
    <w:rsid w:val="00B3629E"/>
    <w:rsid w:val="00B36578"/>
    <w:rsid w:val="00B36685"/>
    <w:rsid w:val="00B3672F"/>
    <w:rsid w:val="00B36758"/>
    <w:rsid w:val="00B367E2"/>
    <w:rsid w:val="00B3694D"/>
    <w:rsid w:val="00B3696B"/>
    <w:rsid w:val="00B36AC7"/>
    <w:rsid w:val="00B36C11"/>
    <w:rsid w:val="00B36EA0"/>
    <w:rsid w:val="00B3707E"/>
    <w:rsid w:val="00B37210"/>
    <w:rsid w:val="00B37585"/>
    <w:rsid w:val="00B375BF"/>
    <w:rsid w:val="00B376C6"/>
    <w:rsid w:val="00B377B4"/>
    <w:rsid w:val="00B3799E"/>
    <w:rsid w:val="00B37A62"/>
    <w:rsid w:val="00B37C20"/>
    <w:rsid w:val="00B37CAB"/>
    <w:rsid w:val="00B40095"/>
    <w:rsid w:val="00B40207"/>
    <w:rsid w:val="00B40235"/>
    <w:rsid w:val="00B40271"/>
    <w:rsid w:val="00B405A1"/>
    <w:rsid w:val="00B405F2"/>
    <w:rsid w:val="00B40755"/>
    <w:rsid w:val="00B40883"/>
    <w:rsid w:val="00B408C5"/>
    <w:rsid w:val="00B40A27"/>
    <w:rsid w:val="00B40B9B"/>
    <w:rsid w:val="00B40C52"/>
    <w:rsid w:val="00B40CA0"/>
    <w:rsid w:val="00B40CE8"/>
    <w:rsid w:val="00B40CF5"/>
    <w:rsid w:val="00B40D8D"/>
    <w:rsid w:val="00B40F43"/>
    <w:rsid w:val="00B41454"/>
    <w:rsid w:val="00B41788"/>
    <w:rsid w:val="00B41828"/>
    <w:rsid w:val="00B42024"/>
    <w:rsid w:val="00B420A7"/>
    <w:rsid w:val="00B421CA"/>
    <w:rsid w:val="00B4220C"/>
    <w:rsid w:val="00B42266"/>
    <w:rsid w:val="00B425EE"/>
    <w:rsid w:val="00B4268E"/>
    <w:rsid w:val="00B426B4"/>
    <w:rsid w:val="00B42789"/>
    <w:rsid w:val="00B4288C"/>
    <w:rsid w:val="00B429AA"/>
    <w:rsid w:val="00B429AB"/>
    <w:rsid w:val="00B42A17"/>
    <w:rsid w:val="00B42D75"/>
    <w:rsid w:val="00B43011"/>
    <w:rsid w:val="00B43671"/>
    <w:rsid w:val="00B4374E"/>
    <w:rsid w:val="00B43873"/>
    <w:rsid w:val="00B439F8"/>
    <w:rsid w:val="00B43A3B"/>
    <w:rsid w:val="00B43A84"/>
    <w:rsid w:val="00B43AB5"/>
    <w:rsid w:val="00B43B5F"/>
    <w:rsid w:val="00B43C0E"/>
    <w:rsid w:val="00B43E16"/>
    <w:rsid w:val="00B43FBB"/>
    <w:rsid w:val="00B441DE"/>
    <w:rsid w:val="00B44284"/>
    <w:rsid w:val="00B444D1"/>
    <w:rsid w:val="00B44598"/>
    <w:rsid w:val="00B445BD"/>
    <w:rsid w:val="00B445D2"/>
    <w:rsid w:val="00B446C2"/>
    <w:rsid w:val="00B44727"/>
    <w:rsid w:val="00B447FD"/>
    <w:rsid w:val="00B44996"/>
    <w:rsid w:val="00B449A3"/>
    <w:rsid w:val="00B44B1D"/>
    <w:rsid w:val="00B44EB5"/>
    <w:rsid w:val="00B44F5A"/>
    <w:rsid w:val="00B44FBE"/>
    <w:rsid w:val="00B45145"/>
    <w:rsid w:val="00B452A3"/>
    <w:rsid w:val="00B4540B"/>
    <w:rsid w:val="00B454EA"/>
    <w:rsid w:val="00B45576"/>
    <w:rsid w:val="00B45758"/>
    <w:rsid w:val="00B45788"/>
    <w:rsid w:val="00B457F6"/>
    <w:rsid w:val="00B45838"/>
    <w:rsid w:val="00B458FA"/>
    <w:rsid w:val="00B45C04"/>
    <w:rsid w:val="00B45C5B"/>
    <w:rsid w:val="00B45C87"/>
    <w:rsid w:val="00B45F6F"/>
    <w:rsid w:val="00B461B8"/>
    <w:rsid w:val="00B46316"/>
    <w:rsid w:val="00B46516"/>
    <w:rsid w:val="00B4656A"/>
    <w:rsid w:val="00B46600"/>
    <w:rsid w:val="00B4675D"/>
    <w:rsid w:val="00B46DAE"/>
    <w:rsid w:val="00B46FCC"/>
    <w:rsid w:val="00B470ED"/>
    <w:rsid w:val="00B47587"/>
    <w:rsid w:val="00B479C3"/>
    <w:rsid w:val="00B47AA9"/>
    <w:rsid w:val="00B47AF7"/>
    <w:rsid w:val="00B47B00"/>
    <w:rsid w:val="00B47DB7"/>
    <w:rsid w:val="00B47DE0"/>
    <w:rsid w:val="00B47EE6"/>
    <w:rsid w:val="00B47F3B"/>
    <w:rsid w:val="00B502A3"/>
    <w:rsid w:val="00B50320"/>
    <w:rsid w:val="00B503C2"/>
    <w:rsid w:val="00B50404"/>
    <w:rsid w:val="00B508FD"/>
    <w:rsid w:val="00B50AFE"/>
    <w:rsid w:val="00B50CEB"/>
    <w:rsid w:val="00B50D95"/>
    <w:rsid w:val="00B50E31"/>
    <w:rsid w:val="00B50E3C"/>
    <w:rsid w:val="00B50E6E"/>
    <w:rsid w:val="00B50E8B"/>
    <w:rsid w:val="00B50E8E"/>
    <w:rsid w:val="00B50EF7"/>
    <w:rsid w:val="00B50FF9"/>
    <w:rsid w:val="00B51014"/>
    <w:rsid w:val="00B514AE"/>
    <w:rsid w:val="00B51764"/>
    <w:rsid w:val="00B519A0"/>
    <w:rsid w:val="00B51B24"/>
    <w:rsid w:val="00B51C82"/>
    <w:rsid w:val="00B51CE2"/>
    <w:rsid w:val="00B51D21"/>
    <w:rsid w:val="00B51E16"/>
    <w:rsid w:val="00B51E2F"/>
    <w:rsid w:val="00B51F8F"/>
    <w:rsid w:val="00B5221A"/>
    <w:rsid w:val="00B526A4"/>
    <w:rsid w:val="00B52702"/>
    <w:rsid w:val="00B52711"/>
    <w:rsid w:val="00B527A5"/>
    <w:rsid w:val="00B52B65"/>
    <w:rsid w:val="00B52C3E"/>
    <w:rsid w:val="00B52E05"/>
    <w:rsid w:val="00B535EB"/>
    <w:rsid w:val="00B53723"/>
    <w:rsid w:val="00B5390D"/>
    <w:rsid w:val="00B53CA5"/>
    <w:rsid w:val="00B53E38"/>
    <w:rsid w:val="00B53F5A"/>
    <w:rsid w:val="00B540B9"/>
    <w:rsid w:val="00B54202"/>
    <w:rsid w:val="00B5429D"/>
    <w:rsid w:val="00B54347"/>
    <w:rsid w:val="00B5443F"/>
    <w:rsid w:val="00B545F2"/>
    <w:rsid w:val="00B547C6"/>
    <w:rsid w:val="00B54842"/>
    <w:rsid w:val="00B54C94"/>
    <w:rsid w:val="00B54D48"/>
    <w:rsid w:val="00B54DAD"/>
    <w:rsid w:val="00B54E9B"/>
    <w:rsid w:val="00B55008"/>
    <w:rsid w:val="00B5539D"/>
    <w:rsid w:val="00B553D7"/>
    <w:rsid w:val="00B5553D"/>
    <w:rsid w:val="00B555CC"/>
    <w:rsid w:val="00B55655"/>
    <w:rsid w:val="00B55BC3"/>
    <w:rsid w:val="00B55CAC"/>
    <w:rsid w:val="00B55CCC"/>
    <w:rsid w:val="00B55CD6"/>
    <w:rsid w:val="00B55EE3"/>
    <w:rsid w:val="00B55F4E"/>
    <w:rsid w:val="00B5603B"/>
    <w:rsid w:val="00B56128"/>
    <w:rsid w:val="00B56195"/>
    <w:rsid w:val="00B562AD"/>
    <w:rsid w:val="00B56387"/>
    <w:rsid w:val="00B5639F"/>
    <w:rsid w:val="00B563D1"/>
    <w:rsid w:val="00B564A2"/>
    <w:rsid w:val="00B5676F"/>
    <w:rsid w:val="00B5688B"/>
    <w:rsid w:val="00B56A19"/>
    <w:rsid w:val="00B56A4A"/>
    <w:rsid w:val="00B56A5E"/>
    <w:rsid w:val="00B56B6F"/>
    <w:rsid w:val="00B56C1A"/>
    <w:rsid w:val="00B56C3A"/>
    <w:rsid w:val="00B56D5B"/>
    <w:rsid w:val="00B56D6A"/>
    <w:rsid w:val="00B57549"/>
    <w:rsid w:val="00B5775B"/>
    <w:rsid w:val="00B577A4"/>
    <w:rsid w:val="00B578DF"/>
    <w:rsid w:val="00B579B0"/>
    <w:rsid w:val="00B579D6"/>
    <w:rsid w:val="00B579DB"/>
    <w:rsid w:val="00B57A2F"/>
    <w:rsid w:val="00B57DFB"/>
    <w:rsid w:val="00B57F41"/>
    <w:rsid w:val="00B57FBB"/>
    <w:rsid w:val="00B57FE7"/>
    <w:rsid w:val="00B60026"/>
    <w:rsid w:val="00B6016F"/>
    <w:rsid w:val="00B601A1"/>
    <w:rsid w:val="00B60479"/>
    <w:rsid w:val="00B60494"/>
    <w:rsid w:val="00B606EF"/>
    <w:rsid w:val="00B6079D"/>
    <w:rsid w:val="00B607F5"/>
    <w:rsid w:val="00B608BB"/>
    <w:rsid w:val="00B608FF"/>
    <w:rsid w:val="00B6094A"/>
    <w:rsid w:val="00B609DB"/>
    <w:rsid w:val="00B60DE8"/>
    <w:rsid w:val="00B61722"/>
    <w:rsid w:val="00B617AB"/>
    <w:rsid w:val="00B61850"/>
    <w:rsid w:val="00B61E2E"/>
    <w:rsid w:val="00B61F9E"/>
    <w:rsid w:val="00B61FF6"/>
    <w:rsid w:val="00B62175"/>
    <w:rsid w:val="00B6243F"/>
    <w:rsid w:val="00B6272F"/>
    <w:rsid w:val="00B6293D"/>
    <w:rsid w:val="00B629B7"/>
    <w:rsid w:val="00B62B37"/>
    <w:rsid w:val="00B62C19"/>
    <w:rsid w:val="00B62C30"/>
    <w:rsid w:val="00B62CF5"/>
    <w:rsid w:val="00B62D2D"/>
    <w:rsid w:val="00B62E84"/>
    <w:rsid w:val="00B62EBA"/>
    <w:rsid w:val="00B62EBF"/>
    <w:rsid w:val="00B631F0"/>
    <w:rsid w:val="00B631F3"/>
    <w:rsid w:val="00B632C6"/>
    <w:rsid w:val="00B633DF"/>
    <w:rsid w:val="00B63430"/>
    <w:rsid w:val="00B63460"/>
    <w:rsid w:val="00B635B3"/>
    <w:rsid w:val="00B63671"/>
    <w:rsid w:val="00B6396E"/>
    <w:rsid w:val="00B63995"/>
    <w:rsid w:val="00B63AC7"/>
    <w:rsid w:val="00B63B8B"/>
    <w:rsid w:val="00B63C85"/>
    <w:rsid w:val="00B63DC6"/>
    <w:rsid w:val="00B63E5E"/>
    <w:rsid w:val="00B64062"/>
    <w:rsid w:val="00B640B9"/>
    <w:rsid w:val="00B647B8"/>
    <w:rsid w:val="00B64AC9"/>
    <w:rsid w:val="00B64B88"/>
    <w:rsid w:val="00B64C59"/>
    <w:rsid w:val="00B64D01"/>
    <w:rsid w:val="00B64FBA"/>
    <w:rsid w:val="00B65178"/>
    <w:rsid w:val="00B6525F"/>
    <w:rsid w:val="00B65332"/>
    <w:rsid w:val="00B653C1"/>
    <w:rsid w:val="00B653D6"/>
    <w:rsid w:val="00B6558F"/>
    <w:rsid w:val="00B65882"/>
    <w:rsid w:val="00B658D6"/>
    <w:rsid w:val="00B659D7"/>
    <w:rsid w:val="00B659E6"/>
    <w:rsid w:val="00B65A2E"/>
    <w:rsid w:val="00B65A2F"/>
    <w:rsid w:val="00B65AE4"/>
    <w:rsid w:val="00B65D0F"/>
    <w:rsid w:val="00B65F1B"/>
    <w:rsid w:val="00B66027"/>
    <w:rsid w:val="00B6612B"/>
    <w:rsid w:val="00B6618E"/>
    <w:rsid w:val="00B6626D"/>
    <w:rsid w:val="00B665F2"/>
    <w:rsid w:val="00B666E5"/>
    <w:rsid w:val="00B6676C"/>
    <w:rsid w:val="00B669B5"/>
    <w:rsid w:val="00B66A0D"/>
    <w:rsid w:val="00B66B27"/>
    <w:rsid w:val="00B66C00"/>
    <w:rsid w:val="00B66C04"/>
    <w:rsid w:val="00B66C37"/>
    <w:rsid w:val="00B66C5E"/>
    <w:rsid w:val="00B67080"/>
    <w:rsid w:val="00B67119"/>
    <w:rsid w:val="00B6714B"/>
    <w:rsid w:val="00B674BE"/>
    <w:rsid w:val="00B676FE"/>
    <w:rsid w:val="00B67ADE"/>
    <w:rsid w:val="00B67B0A"/>
    <w:rsid w:val="00B67FA3"/>
    <w:rsid w:val="00B67FAC"/>
    <w:rsid w:val="00B67FD2"/>
    <w:rsid w:val="00B70297"/>
    <w:rsid w:val="00B70522"/>
    <w:rsid w:val="00B705E8"/>
    <w:rsid w:val="00B70899"/>
    <w:rsid w:val="00B70C06"/>
    <w:rsid w:val="00B70C8C"/>
    <w:rsid w:val="00B70CAC"/>
    <w:rsid w:val="00B70F1B"/>
    <w:rsid w:val="00B70F9F"/>
    <w:rsid w:val="00B7111D"/>
    <w:rsid w:val="00B7122D"/>
    <w:rsid w:val="00B71575"/>
    <w:rsid w:val="00B71636"/>
    <w:rsid w:val="00B71675"/>
    <w:rsid w:val="00B7183A"/>
    <w:rsid w:val="00B719B6"/>
    <w:rsid w:val="00B71AC2"/>
    <w:rsid w:val="00B71B62"/>
    <w:rsid w:val="00B71C2A"/>
    <w:rsid w:val="00B71CE0"/>
    <w:rsid w:val="00B71FAC"/>
    <w:rsid w:val="00B721CA"/>
    <w:rsid w:val="00B7232A"/>
    <w:rsid w:val="00B72348"/>
    <w:rsid w:val="00B72419"/>
    <w:rsid w:val="00B72583"/>
    <w:rsid w:val="00B7286C"/>
    <w:rsid w:val="00B7290F"/>
    <w:rsid w:val="00B72CE4"/>
    <w:rsid w:val="00B72D98"/>
    <w:rsid w:val="00B72F29"/>
    <w:rsid w:val="00B73160"/>
    <w:rsid w:val="00B73194"/>
    <w:rsid w:val="00B732A2"/>
    <w:rsid w:val="00B73327"/>
    <w:rsid w:val="00B7360D"/>
    <w:rsid w:val="00B73646"/>
    <w:rsid w:val="00B73694"/>
    <w:rsid w:val="00B73859"/>
    <w:rsid w:val="00B738FD"/>
    <w:rsid w:val="00B73B42"/>
    <w:rsid w:val="00B73D58"/>
    <w:rsid w:val="00B74238"/>
    <w:rsid w:val="00B74278"/>
    <w:rsid w:val="00B7442E"/>
    <w:rsid w:val="00B74901"/>
    <w:rsid w:val="00B74AC9"/>
    <w:rsid w:val="00B74BBB"/>
    <w:rsid w:val="00B74E2B"/>
    <w:rsid w:val="00B74EA2"/>
    <w:rsid w:val="00B74EC6"/>
    <w:rsid w:val="00B74F65"/>
    <w:rsid w:val="00B75110"/>
    <w:rsid w:val="00B75114"/>
    <w:rsid w:val="00B7519A"/>
    <w:rsid w:val="00B7525F"/>
    <w:rsid w:val="00B75261"/>
    <w:rsid w:val="00B75432"/>
    <w:rsid w:val="00B758DE"/>
    <w:rsid w:val="00B75A21"/>
    <w:rsid w:val="00B75A3F"/>
    <w:rsid w:val="00B75B90"/>
    <w:rsid w:val="00B75BC0"/>
    <w:rsid w:val="00B75BF3"/>
    <w:rsid w:val="00B75F71"/>
    <w:rsid w:val="00B760EE"/>
    <w:rsid w:val="00B7636B"/>
    <w:rsid w:val="00B76492"/>
    <w:rsid w:val="00B7657F"/>
    <w:rsid w:val="00B76696"/>
    <w:rsid w:val="00B766C3"/>
    <w:rsid w:val="00B7694A"/>
    <w:rsid w:val="00B769A2"/>
    <w:rsid w:val="00B76D40"/>
    <w:rsid w:val="00B76DBD"/>
    <w:rsid w:val="00B76F31"/>
    <w:rsid w:val="00B76F36"/>
    <w:rsid w:val="00B770CD"/>
    <w:rsid w:val="00B7724B"/>
    <w:rsid w:val="00B772A2"/>
    <w:rsid w:val="00B77307"/>
    <w:rsid w:val="00B7738B"/>
    <w:rsid w:val="00B7755C"/>
    <w:rsid w:val="00B77578"/>
    <w:rsid w:val="00B77678"/>
    <w:rsid w:val="00B77907"/>
    <w:rsid w:val="00B77937"/>
    <w:rsid w:val="00B7796D"/>
    <w:rsid w:val="00B77A90"/>
    <w:rsid w:val="00B77DA4"/>
    <w:rsid w:val="00B77F11"/>
    <w:rsid w:val="00B77F24"/>
    <w:rsid w:val="00B77F27"/>
    <w:rsid w:val="00B8015C"/>
    <w:rsid w:val="00B80266"/>
    <w:rsid w:val="00B80364"/>
    <w:rsid w:val="00B80488"/>
    <w:rsid w:val="00B80583"/>
    <w:rsid w:val="00B8067C"/>
    <w:rsid w:val="00B806D2"/>
    <w:rsid w:val="00B80A34"/>
    <w:rsid w:val="00B80AA3"/>
    <w:rsid w:val="00B80B83"/>
    <w:rsid w:val="00B80BC0"/>
    <w:rsid w:val="00B80C1C"/>
    <w:rsid w:val="00B8119A"/>
    <w:rsid w:val="00B8120E"/>
    <w:rsid w:val="00B81485"/>
    <w:rsid w:val="00B8166A"/>
    <w:rsid w:val="00B8181E"/>
    <w:rsid w:val="00B818A8"/>
    <w:rsid w:val="00B819CA"/>
    <w:rsid w:val="00B81A2C"/>
    <w:rsid w:val="00B81B53"/>
    <w:rsid w:val="00B81BB1"/>
    <w:rsid w:val="00B82084"/>
    <w:rsid w:val="00B82097"/>
    <w:rsid w:val="00B82171"/>
    <w:rsid w:val="00B82256"/>
    <w:rsid w:val="00B82337"/>
    <w:rsid w:val="00B8248B"/>
    <w:rsid w:val="00B824AF"/>
    <w:rsid w:val="00B8254D"/>
    <w:rsid w:val="00B826D7"/>
    <w:rsid w:val="00B82C9E"/>
    <w:rsid w:val="00B82CB2"/>
    <w:rsid w:val="00B82CFE"/>
    <w:rsid w:val="00B82D57"/>
    <w:rsid w:val="00B82EDE"/>
    <w:rsid w:val="00B82F27"/>
    <w:rsid w:val="00B82FFC"/>
    <w:rsid w:val="00B8314E"/>
    <w:rsid w:val="00B831EC"/>
    <w:rsid w:val="00B83233"/>
    <w:rsid w:val="00B83300"/>
    <w:rsid w:val="00B8333F"/>
    <w:rsid w:val="00B836DE"/>
    <w:rsid w:val="00B8394E"/>
    <w:rsid w:val="00B839CD"/>
    <w:rsid w:val="00B83C03"/>
    <w:rsid w:val="00B83D17"/>
    <w:rsid w:val="00B840A3"/>
    <w:rsid w:val="00B840BD"/>
    <w:rsid w:val="00B84126"/>
    <w:rsid w:val="00B841EE"/>
    <w:rsid w:val="00B84296"/>
    <w:rsid w:val="00B842A3"/>
    <w:rsid w:val="00B84480"/>
    <w:rsid w:val="00B84A31"/>
    <w:rsid w:val="00B84B11"/>
    <w:rsid w:val="00B84B40"/>
    <w:rsid w:val="00B84C0B"/>
    <w:rsid w:val="00B84C50"/>
    <w:rsid w:val="00B84DDD"/>
    <w:rsid w:val="00B84F77"/>
    <w:rsid w:val="00B85012"/>
    <w:rsid w:val="00B8506C"/>
    <w:rsid w:val="00B851D9"/>
    <w:rsid w:val="00B852D9"/>
    <w:rsid w:val="00B8538C"/>
    <w:rsid w:val="00B853AE"/>
    <w:rsid w:val="00B8560C"/>
    <w:rsid w:val="00B8566C"/>
    <w:rsid w:val="00B856A9"/>
    <w:rsid w:val="00B856E0"/>
    <w:rsid w:val="00B85700"/>
    <w:rsid w:val="00B85AC7"/>
    <w:rsid w:val="00B85DDD"/>
    <w:rsid w:val="00B85EA1"/>
    <w:rsid w:val="00B8619B"/>
    <w:rsid w:val="00B862CF"/>
    <w:rsid w:val="00B863A0"/>
    <w:rsid w:val="00B86586"/>
    <w:rsid w:val="00B8692B"/>
    <w:rsid w:val="00B869EC"/>
    <w:rsid w:val="00B86A0D"/>
    <w:rsid w:val="00B86BBD"/>
    <w:rsid w:val="00B86BDB"/>
    <w:rsid w:val="00B86FA6"/>
    <w:rsid w:val="00B87239"/>
    <w:rsid w:val="00B87574"/>
    <w:rsid w:val="00B87806"/>
    <w:rsid w:val="00B8797F"/>
    <w:rsid w:val="00B87A9D"/>
    <w:rsid w:val="00B87AD5"/>
    <w:rsid w:val="00B90249"/>
    <w:rsid w:val="00B90600"/>
    <w:rsid w:val="00B90828"/>
    <w:rsid w:val="00B90907"/>
    <w:rsid w:val="00B90C46"/>
    <w:rsid w:val="00B90D1A"/>
    <w:rsid w:val="00B90E06"/>
    <w:rsid w:val="00B91003"/>
    <w:rsid w:val="00B9105E"/>
    <w:rsid w:val="00B910B6"/>
    <w:rsid w:val="00B9118A"/>
    <w:rsid w:val="00B91228"/>
    <w:rsid w:val="00B91269"/>
    <w:rsid w:val="00B912FE"/>
    <w:rsid w:val="00B913F6"/>
    <w:rsid w:val="00B91985"/>
    <w:rsid w:val="00B91A31"/>
    <w:rsid w:val="00B91D3D"/>
    <w:rsid w:val="00B91D84"/>
    <w:rsid w:val="00B91DAC"/>
    <w:rsid w:val="00B920C4"/>
    <w:rsid w:val="00B9216A"/>
    <w:rsid w:val="00B92267"/>
    <w:rsid w:val="00B9269C"/>
    <w:rsid w:val="00B926A1"/>
    <w:rsid w:val="00B927EF"/>
    <w:rsid w:val="00B928A5"/>
    <w:rsid w:val="00B92B6A"/>
    <w:rsid w:val="00B92C86"/>
    <w:rsid w:val="00B92D88"/>
    <w:rsid w:val="00B92F1D"/>
    <w:rsid w:val="00B93143"/>
    <w:rsid w:val="00B9329D"/>
    <w:rsid w:val="00B9341E"/>
    <w:rsid w:val="00B93433"/>
    <w:rsid w:val="00B9352D"/>
    <w:rsid w:val="00B938F7"/>
    <w:rsid w:val="00B93AEF"/>
    <w:rsid w:val="00B93BC4"/>
    <w:rsid w:val="00B93C0F"/>
    <w:rsid w:val="00B93C1C"/>
    <w:rsid w:val="00B93CCD"/>
    <w:rsid w:val="00B93D9A"/>
    <w:rsid w:val="00B93DBE"/>
    <w:rsid w:val="00B93F88"/>
    <w:rsid w:val="00B94067"/>
    <w:rsid w:val="00B941C9"/>
    <w:rsid w:val="00B9427B"/>
    <w:rsid w:val="00B94695"/>
    <w:rsid w:val="00B94720"/>
    <w:rsid w:val="00B9472E"/>
    <w:rsid w:val="00B948BC"/>
    <w:rsid w:val="00B949FB"/>
    <w:rsid w:val="00B94A5F"/>
    <w:rsid w:val="00B94A74"/>
    <w:rsid w:val="00B94C6E"/>
    <w:rsid w:val="00B94F41"/>
    <w:rsid w:val="00B95291"/>
    <w:rsid w:val="00B952B9"/>
    <w:rsid w:val="00B95371"/>
    <w:rsid w:val="00B9558F"/>
    <w:rsid w:val="00B955E2"/>
    <w:rsid w:val="00B9580E"/>
    <w:rsid w:val="00B9589A"/>
    <w:rsid w:val="00B9590E"/>
    <w:rsid w:val="00B95A64"/>
    <w:rsid w:val="00B95BF4"/>
    <w:rsid w:val="00B95CEC"/>
    <w:rsid w:val="00B95D4A"/>
    <w:rsid w:val="00B95D70"/>
    <w:rsid w:val="00B95D8A"/>
    <w:rsid w:val="00B95E67"/>
    <w:rsid w:val="00B95F78"/>
    <w:rsid w:val="00B96011"/>
    <w:rsid w:val="00B9613F"/>
    <w:rsid w:val="00B96153"/>
    <w:rsid w:val="00B96282"/>
    <w:rsid w:val="00B964D0"/>
    <w:rsid w:val="00B9652E"/>
    <w:rsid w:val="00B968FB"/>
    <w:rsid w:val="00B96B64"/>
    <w:rsid w:val="00B96C24"/>
    <w:rsid w:val="00B96D71"/>
    <w:rsid w:val="00B96E76"/>
    <w:rsid w:val="00B97179"/>
    <w:rsid w:val="00B971F8"/>
    <w:rsid w:val="00B9749B"/>
    <w:rsid w:val="00B97931"/>
    <w:rsid w:val="00B979B5"/>
    <w:rsid w:val="00B97B5C"/>
    <w:rsid w:val="00B97B88"/>
    <w:rsid w:val="00B97C19"/>
    <w:rsid w:val="00B97C4E"/>
    <w:rsid w:val="00B97CE3"/>
    <w:rsid w:val="00B97D2C"/>
    <w:rsid w:val="00B97FB9"/>
    <w:rsid w:val="00BA00E2"/>
    <w:rsid w:val="00BA00FC"/>
    <w:rsid w:val="00BA0182"/>
    <w:rsid w:val="00BA01AB"/>
    <w:rsid w:val="00BA01B0"/>
    <w:rsid w:val="00BA0225"/>
    <w:rsid w:val="00BA02A6"/>
    <w:rsid w:val="00BA02EC"/>
    <w:rsid w:val="00BA04C5"/>
    <w:rsid w:val="00BA07CD"/>
    <w:rsid w:val="00BA0A10"/>
    <w:rsid w:val="00BA0BFF"/>
    <w:rsid w:val="00BA0CB2"/>
    <w:rsid w:val="00BA0CDE"/>
    <w:rsid w:val="00BA0E42"/>
    <w:rsid w:val="00BA0F7A"/>
    <w:rsid w:val="00BA0FA1"/>
    <w:rsid w:val="00BA10F9"/>
    <w:rsid w:val="00BA120C"/>
    <w:rsid w:val="00BA12CD"/>
    <w:rsid w:val="00BA15E5"/>
    <w:rsid w:val="00BA16CE"/>
    <w:rsid w:val="00BA16E0"/>
    <w:rsid w:val="00BA185E"/>
    <w:rsid w:val="00BA199D"/>
    <w:rsid w:val="00BA1A51"/>
    <w:rsid w:val="00BA1A81"/>
    <w:rsid w:val="00BA1B31"/>
    <w:rsid w:val="00BA1B3B"/>
    <w:rsid w:val="00BA1C76"/>
    <w:rsid w:val="00BA1E6C"/>
    <w:rsid w:val="00BA1F4A"/>
    <w:rsid w:val="00BA20F8"/>
    <w:rsid w:val="00BA26B8"/>
    <w:rsid w:val="00BA26FA"/>
    <w:rsid w:val="00BA2787"/>
    <w:rsid w:val="00BA2A51"/>
    <w:rsid w:val="00BA2B2B"/>
    <w:rsid w:val="00BA2C52"/>
    <w:rsid w:val="00BA2CE9"/>
    <w:rsid w:val="00BA2FC7"/>
    <w:rsid w:val="00BA3232"/>
    <w:rsid w:val="00BA3234"/>
    <w:rsid w:val="00BA3306"/>
    <w:rsid w:val="00BA3354"/>
    <w:rsid w:val="00BA3371"/>
    <w:rsid w:val="00BA346F"/>
    <w:rsid w:val="00BA34FD"/>
    <w:rsid w:val="00BA376E"/>
    <w:rsid w:val="00BA37A5"/>
    <w:rsid w:val="00BA39DA"/>
    <w:rsid w:val="00BA39EB"/>
    <w:rsid w:val="00BA3B6C"/>
    <w:rsid w:val="00BA3D70"/>
    <w:rsid w:val="00BA42A4"/>
    <w:rsid w:val="00BA4498"/>
    <w:rsid w:val="00BA4583"/>
    <w:rsid w:val="00BA4836"/>
    <w:rsid w:val="00BA4872"/>
    <w:rsid w:val="00BA4AEF"/>
    <w:rsid w:val="00BA4B78"/>
    <w:rsid w:val="00BA4BB1"/>
    <w:rsid w:val="00BA4E42"/>
    <w:rsid w:val="00BA5082"/>
    <w:rsid w:val="00BA5221"/>
    <w:rsid w:val="00BA5223"/>
    <w:rsid w:val="00BA54FD"/>
    <w:rsid w:val="00BA55CC"/>
    <w:rsid w:val="00BA564C"/>
    <w:rsid w:val="00BA5724"/>
    <w:rsid w:val="00BA575C"/>
    <w:rsid w:val="00BA5784"/>
    <w:rsid w:val="00BA579A"/>
    <w:rsid w:val="00BA588E"/>
    <w:rsid w:val="00BA58AE"/>
    <w:rsid w:val="00BA5955"/>
    <w:rsid w:val="00BA5A5A"/>
    <w:rsid w:val="00BA5B24"/>
    <w:rsid w:val="00BA6148"/>
    <w:rsid w:val="00BA6176"/>
    <w:rsid w:val="00BA61F5"/>
    <w:rsid w:val="00BA6392"/>
    <w:rsid w:val="00BA648A"/>
    <w:rsid w:val="00BA64CC"/>
    <w:rsid w:val="00BA66A6"/>
    <w:rsid w:val="00BA676F"/>
    <w:rsid w:val="00BA6953"/>
    <w:rsid w:val="00BA6BC1"/>
    <w:rsid w:val="00BA6C86"/>
    <w:rsid w:val="00BA6FD7"/>
    <w:rsid w:val="00BA700A"/>
    <w:rsid w:val="00BA72DB"/>
    <w:rsid w:val="00BA73EE"/>
    <w:rsid w:val="00BA7A14"/>
    <w:rsid w:val="00BA7A48"/>
    <w:rsid w:val="00BA7A6A"/>
    <w:rsid w:val="00BA7A7C"/>
    <w:rsid w:val="00BA7D0A"/>
    <w:rsid w:val="00BA7DA3"/>
    <w:rsid w:val="00BA7EAE"/>
    <w:rsid w:val="00BA7FC7"/>
    <w:rsid w:val="00BB0116"/>
    <w:rsid w:val="00BB0333"/>
    <w:rsid w:val="00BB0535"/>
    <w:rsid w:val="00BB0590"/>
    <w:rsid w:val="00BB0688"/>
    <w:rsid w:val="00BB0815"/>
    <w:rsid w:val="00BB0B5F"/>
    <w:rsid w:val="00BB0B73"/>
    <w:rsid w:val="00BB0D82"/>
    <w:rsid w:val="00BB0DE6"/>
    <w:rsid w:val="00BB0DFE"/>
    <w:rsid w:val="00BB0E85"/>
    <w:rsid w:val="00BB0F2D"/>
    <w:rsid w:val="00BB0FC2"/>
    <w:rsid w:val="00BB1001"/>
    <w:rsid w:val="00BB1163"/>
    <w:rsid w:val="00BB11C9"/>
    <w:rsid w:val="00BB11FC"/>
    <w:rsid w:val="00BB1278"/>
    <w:rsid w:val="00BB168D"/>
    <w:rsid w:val="00BB1690"/>
    <w:rsid w:val="00BB1804"/>
    <w:rsid w:val="00BB18B5"/>
    <w:rsid w:val="00BB18C0"/>
    <w:rsid w:val="00BB1B60"/>
    <w:rsid w:val="00BB1BE7"/>
    <w:rsid w:val="00BB1C55"/>
    <w:rsid w:val="00BB1D36"/>
    <w:rsid w:val="00BB1D71"/>
    <w:rsid w:val="00BB1D72"/>
    <w:rsid w:val="00BB1D99"/>
    <w:rsid w:val="00BB1E31"/>
    <w:rsid w:val="00BB2034"/>
    <w:rsid w:val="00BB2069"/>
    <w:rsid w:val="00BB20D3"/>
    <w:rsid w:val="00BB213B"/>
    <w:rsid w:val="00BB220D"/>
    <w:rsid w:val="00BB2329"/>
    <w:rsid w:val="00BB245C"/>
    <w:rsid w:val="00BB2613"/>
    <w:rsid w:val="00BB2705"/>
    <w:rsid w:val="00BB28A1"/>
    <w:rsid w:val="00BB2926"/>
    <w:rsid w:val="00BB2A42"/>
    <w:rsid w:val="00BB2BB5"/>
    <w:rsid w:val="00BB3110"/>
    <w:rsid w:val="00BB326D"/>
    <w:rsid w:val="00BB339B"/>
    <w:rsid w:val="00BB34F8"/>
    <w:rsid w:val="00BB361F"/>
    <w:rsid w:val="00BB3777"/>
    <w:rsid w:val="00BB3834"/>
    <w:rsid w:val="00BB38C7"/>
    <w:rsid w:val="00BB390E"/>
    <w:rsid w:val="00BB3A59"/>
    <w:rsid w:val="00BB3BAE"/>
    <w:rsid w:val="00BB3EF0"/>
    <w:rsid w:val="00BB3F09"/>
    <w:rsid w:val="00BB40BE"/>
    <w:rsid w:val="00BB4220"/>
    <w:rsid w:val="00BB4368"/>
    <w:rsid w:val="00BB436B"/>
    <w:rsid w:val="00BB43A9"/>
    <w:rsid w:val="00BB45B5"/>
    <w:rsid w:val="00BB48D8"/>
    <w:rsid w:val="00BB49DF"/>
    <w:rsid w:val="00BB4B40"/>
    <w:rsid w:val="00BB4C2B"/>
    <w:rsid w:val="00BB5281"/>
    <w:rsid w:val="00BB54A6"/>
    <w:rsid w:val="00BB54B9"/>
    <w:rsid w:val="00BB5846"/>
    <w:rsid w:val="00BB584D"/>
    <w:rsid w:val="00BB5995"/>
    <w:rsid w:val="00BB5F7B"/>
    <w:rsid w:val="00BB5FF9"/>
    <w:rsid w:val="00BB6247"/>
    <w:rsid w:val="00BB630A"/>
    <w:rsid w:val="00BB655A"/>
    <w:rsid w:val="00BB67AE"/>
    <w:rsid w:val="00BB67E2"/>
    <w:rsid w:val="00BB6875"/>
    <w:rsid w:val="00BB6C10"/>
    <w:rsid w:val="00BB6CFE"/>
    <w:rsid w:val="00BB6E1A"/>
    <w:rsid w:val="00BB6F20"/>
    <w:rsid w:val="00BB7000"/>
    <w:rsid w:val="00BB70FB"/>
    <w:rsid w:val="00BB720A"/>
    <w:rsid w:val="00BB7261"/>
    <w:rsid w:val="00BB73CF"/>
    <w:rsid w:val="00BB75D4"/>
    <w:rsid w:val="00BB7754"/>
    <w:rsid w:val="00BB77D9"/>
    <w:rsid w:val="00BB784A"/>
    <w:rsid w:val="00BB786B"/>
    <w:rsid w:val="00BB7D38"/>
    <w:rsid w:val="00BB7DF2"/>
    <w:rsid w:val="00BB7E7B"/>
    <w:rsid w:val="00BC009D"/>
    <w:rsid w:val="00BC01CA"/>
    <w:rsid w:val="00BC01FD"/>
    <w:rsid w:val="00BC03F5"/>
    <w:rsid w:val="00BC0718"/>
    <w:rsid w:val="00BC07D4"/>
    <w:rsid w:val="00BC07D6"/>
    <w:rsid w:val="00BC098A"/>
    <w:rsid w:val="00BC0E0F"/>
    <w:rsid w:val="00BC108E"/>
    <w:rsid w:val="00BC139D"/>
    <w:rsid w:val="00BC16B4"/>
    <w:rsid w:val="00BC16F5"/>
    <w:rsid w:val="00BC19B1"/>
    <w:rsid w:val="00BC1A4D"/>
    <w:rsid w:val="00BC1B6D"/>
    <w:rsid w:val="00BC1BB1"/>
    <w:rsid w:val="00BC1BFF"/>
    <w:rsid w:val="00BC1CAF"/>
    <w:rsid w:val="00BC1E5F"/>
    <w:rsid w:val="00BC1ECD"/>
    <w:rsid w:val="00BC21CF"/>
    <w:rsid w:val="00BC2227"/>
    <w:rsid w:val="00BC22DC"/>
    <w:rsid w:val="00BC23CB"/>
    <w:rsid w:val="00BC2508"/>
    <w:rsid w:val="00BC2518"/>
    <w:rsid w:val="00BC25F8"/>
    <w:rsid w:val="00BC295B"/>
    <w:rsid w:val="00BC2A8D"/>
    <w:rsid w:val="00BC2B20"/>
    <w:rsid w:val="00BC2C12"/>
    <w:rsid w:val="00BC2CCA"/>
    <w:rsid w:val="00BC2D35"/>
    <w:rsid w:val="00BC2DE5"/>
    <w:rsid w:val="00BC2E16"/>
    <w:rsid w:val="00BC2EF3"/>
    <w:rsid w:val="00BC32A5"/>
    <w:rsid w:val="00BC3361"/>
    <w:rsid w:val="00BC33F4"/>
    <w:rsid w:val="00BC3558"/>
    <w:rsid w:val="00BC377E"/>
    <w:rsid w:val="00BC3791"/>
    <w:rsid w:val="00BC37F6"/>
    <w:rsid w:val="00BC3960"/>
    <w:rsid w:val="00BC3B22"/>
    <w:rsid w:val="00BC3B9B"/>
    <w:rsid w:val="00BC3E6A"/>
    <w:rsid w:val="00BC3EDE"/>
    <w:rsid w:val="00BC3FBE"/>
    <w:rsid w:val="00BC4123"/>
    <w:rsid w:val="00BC41BA"/>
    <w:rsid w:val="00BC427E"/>
    <w:rsid w:val="00BC44FB"/>
    <w:rsid w:val="00BC4572"/>
    <w:rsid w:val="00BC47D9"/>
    <w:rsid w:val="00BC47F7"/>
    <w:rsid w:val="00BC4A6C"/>
    <w:rsid w:val="00BC4B66"/>
    <w:rsid w:val="00BC4BCD"/>
    <w:rsid w:val="00BC4D75"/>
    <w:rsid w:val="00BC4F03"/>
    <w:rsid w:val="00BC4FBF"/>
    <w:rsid w:val="00BC4FCC"/>
    <w:rsid w:val="00BC5050"/>
    <w:rsid w:val="00BC521A"/>
    <w:rsid w:val="00BC5330"/>
    <w:rsid w:val="00BC535D"/>
    <w:rsid w:val="00BC5472"/>
    <w:rsid w:val="00BC5560"/>
    <w:rsid w:val="00BC584B"/>
    <w:rsid w:val="00BC5965"/>
    <w:rsid w:val="00BC59A5"/>
    <w:rsid w:val="00BC5A1E"/>
    <w:rsid w:val="00BC5CCA"/>
    <w:rsid w:val="00BC5D83"/>
    <w:rsid w:val="00BC5E13"/>
    <w:rsid w:val="00BC600E"/>
    <w:rsid w:val="00BC60FB"/>
    <w:rsid w:val="00BC66D5"/>
    <w:rsid w:val="00BC66DE"/>
    <w:rsid w:val="00BC6743"/>
    <w:rsid w:val="00BC6765"/>
    <w:rsid w:val="00BC6A90"/>
    <w:rsid w:val="00BC6B15"/>
    <w:rsid w:val="00BC6DA5"/>
    <w:rsid w:val="00BC6EED"/>
    <w:rsid w:val="00BC70F4"/>
    <w:rsid w:val="00BC74C1"/>
    <w:rsid w:val="00BC75C5"/>
    <w:rsid w:val="00BC7635"/>
    <w:rsid w:val="00BC7937"/>
    <w:rsid w:val="00BC7CB4"/>
    <w:rsid w:val="00BD015E"/>
    <w:rsid w:val="00BD031F"/>
    <w:rsid w:val="00BD03EC"/>
    <w:rsid w:val="00BD043E"/>
    <w:rsid w:val="00BD0982"/>
    <w:rsid w:val="00BD09ED"/>
    <w:rsid w:val="00BD0A0D"/>
    <w:rsid w:val="00BD0C21"/>
    <w:rsid w:val="00BD0DA9"/>
    <w:rsid w:val="00BD0F11"/>
    <w:rsid w:val="00BD0F3E"/>
    <w:rsid w:val="00BD0F72"/>
    <w:rsid w:val="00BD116D"/>
    <w:rsid w:val="00BD12C3"/>
    <w:rsid w:val="00BD1394"/>
    <w:rsid w:val="00BD1540"/>
    <w:rsid w:val="00BD15F1"/>
    <w:rsid w:val="00BD18E8"/>
    <w:rsid w:val="00BD1B9B"/>
    <w:rsid w:val="00BD1DBE"/>
    <w:rsid w:val="00BD1F7B"/>
    <w:rsid w:val="00BD21A4"/>
    <w:rsid w:val="00BD233A"/>
    <w:rsid w:val="00BD236C"/>
    <w:rsid w:val="00BD243F"/>
    <w:rsid w:val="00BD2488"/>
    <w:rsid w:val="00BD24ED"/>
    <w:rsid w:val="00BD267A"/>
    <w:rsid w:val="00BD275D"/>
    <w:rsid w:val="00BD27C1"/>
    <w:rsid w:val="00BD29C2"/>
    <w:rsid w:val="00BD2B0F"/>
    <w:rsid w:val="00BD2C17"/>
    <w:rsid w:val="00BD2CF0"/>
    <w:rsid w:val="00BD2E37"/>
    <w:rsid w:val="00BD2E59"/>
    <w:rsid w:val="00BD2E5C"/>
    <w:rsid w:val="00BD3132"/>
    <w:rsid w:val="00BD32D0"/>
    <w:rsid w:val="00BD32F1"/>
    <w:rsid w:val="00BD3526"/>
    <w:rsid w:val="00BD35B4"/>
    <w:rsid w:val="00BD3612"/>
    <w:rsid w:val="00BD366C"/>
    <w:rsid w:val="00BD3A77"/>
    <w:rsid w:val="00BD3C1B"/>
    <w:rsid w:val="00BD3C28"/>
    <w:rsid w:val="00BD3CF4"/>
    <w:rsid w:val="00BD3D54"/>
    <w:rsid w:val="00BD3E5F"/>
    <w:rsid w:val="00BD3F15"/>
    <w:rsid w:val="00BD3F2E"/>
    <w:rsid w:val="00BD400E"/>
    <w:rsid w:val="00BD4311"/>
    <w:rsid w:val="00BD4370"/>
    <w:rsid w:val="00BD448C"/>
    <w:rsid w:val="00BD45F3"/>
    <w:rsid w:val="00BD465B"/>
    <w:rsid w:val="00BD478B"/>
    <w:rsid w:val="00BD47D8"/>
    <w:rsid w:val="00BD482F"/>
    <w:rsid w:val="00BD48A4"/>
    <w:rsid w:val="00BD48EE"/>
    <w:rsid w:val="00BD4B78"/>
    <w:rsid w:val="00BD4CC0"/>
    <w:rsid w:val="00BD4E4A"/>
    <w:rsid w:val="00BD50F9"/>
    <w:rsid w:val="00BD512B"/>
    <w:rsid w:val="00BD51BE"/>
    <w:rsid w:val="00BD52AE"/>
    <w:rsid w:val="00BD5378"/>
    <w:rsid w:val="00BD5680"/>
    <w:rsid w:val="00BD56A3"/>
    <w:rsid w:val="00BD56ED"/>
    <w:rsid w:val="00BD5873"/>
    <w:rsid w:val="00BD590A"/>
    <w:rsid w:val="00BD59D8"/>
    <w:rsid w:val="00BD5AC1"/>
    <w:rsid w:val="00BD5BF9"/>
    <w:rsid w:val="00BD5CB3"/>
    <w:rsid w:val="00BD5CB6"/>
    <w:rsid w:val="00BD5FAD"/>
    <w:rsid w:val="00BD6267"/>
    <w:rsid w:val="00BD62A3"/>
    <w:rsid w:val="00BD6338"/>
    <w:rsid w:val="00BD63EB"/>
    <w:rsid w:val="00BD6513"/>
    <w:rsid w:val="00BD6552"/>
    <w:rsid w:val="00BD6855"/>
    <w:rsid w:val="00BD686D"/>
    <w:rsid w:val="00BD68F9"/>
    <w:rsid w:val="00BD6BB5"/>
    <w:rsid w:val="00BD6BF1"/>
    <w:rsid w:val="00BD6D4A"/>
    <w:rsid w:val="00BD6F2F"/>
    <w:rsid w:val="00BD6F6A"/>
    <w:rsid w:val="00BD7164"/>
    <w:rsid w:val="00BD7239"/>
    <w:rsid w:val="00BD72E5"/>
    <w:rsid w:val="00BD75BD"/>
    <w:rsid w:val="00BD7604"/>
    <w:rsid w:val="00BD775E"/>
    <w:rsid w:val="00BD77DD"/>
    <w:rsid w:val="00BD7809"/>
    <w:rsid w:val="00BD79AD"/>
    <w:rsid w:val="00BD7A75"/>
    <w:rsid w:val="00BD7BFE"/>
    <w:rsid w:val="00BD7C29"/>
    <w:rsid w:val="00BD7CCC"/>
    <w:rsid w:val="00BD7D64"/>
    <w:rsid w:val="00BD7D8D"/>
    <w:rsid w:val="00BD7DDB"/>
    <w:rsid w:val="00BD7DE3"/>
    <w:rsid w:val="00BD7EFC"/>
    <w:rsid w:val="00BE0200"/>
    <w:rsid w:val="00BE03D7"/>
    <w:rsid w:val="00BE07C5"/>
    <w:rsid w:val="00BE08C1"/>
    <w:rsid w:val="00BE0A40"/>
    <w:rsid w:val="00BE0AA8"/>
    <w:rsid w:val="00BE0B07"/>
    <w:rsid w:val="00BE0C32"/>
    <w:rsid w:val="00BE0C67"/>
    <w:rsid w:val="00BE0D24"/>
    <w:rsid w:val="00BE10DE"/>
    <w:rsid w:val="00BE10E7"/>
    <w:rsid w:val="00BE1183"/>
    <w:rsid w:val="00BE1308"/>
    <w:rsid w:val="00BE1A54"/>
    <w:rsid w:val="00BE1CA0"/>
    <w:rsid w:val="00BE1CE7"/>
    <w:rsid w:val="00BE2181"/>
    <w:rsid w:val="00BE21D8"/>
    <w:rsid w:val="00BE2765"/>
    <w:rsid w:val="00BE28A4"/>
    <w:rsid w:val="00BE302C"/>
    <w:rsid w:val="00BE3399"/>
    <w:rsid w:val="00BE33FD"/>
    <w:rsid w:val="00BE34F7"/>
    <w:rsid w:val="00BE353D"/>
    <w:rsid w:val="00BE3714"/>
    <w:rsid w:val="00BE37E9"/>
    <w:rsid w:val="00BE3885"/>
    <w:rsid w:val="00BE3B34"/>
    <w:rsid w:val="00BE3C2E"/>
    <w:rsid w:val="00BE3CA5"/>
    <w:rsid w:val="00BE3CAA"/>
    <w:rsid w:val="00BE3CFD"/>
    <w:rsid w:val="00BE3D38"/>
    <w:rsid w:val="00BE3D49"/>
    <w:rsid w:val="00BE3E00"/>
    <w:rsid w:val="00BE3E5F"/>
    <w:rsid w:val="00BE3F0B"/>
    <w:rsid w:val="00BE40F8"/>
    <w:rsid w:val="00BE416B"/>
    <w:rsid w:val="00BE4322"/>
    <w:rsid w:val="00BE4488"/>
    <w:rsid w:val="00BE44A4"/>
    <w:rsid w:val="00BE4668"/>
    <w:rsid w:val="00BE476F"/>
    <w:rsid w:val="00BE4961"/>
    <w:rsid w:val="00BE4B47"/>
    <w:rsid w:val="00BE4BCB"/>
    <w:rsid w:val="00BE4BF5"/>
    <w:rsid w:val="00BE4D36"/>
    <w:rsid w:val="00BE4D81"/>
    <w:rsid w:val="00BE4D8D"/>
    <w:rsid w:val="00BE4EFD"/>
    <w:rsid w:val="00BE50E1"/>
    <w:rsid w:val="00BE52CA"/>
    <w:rsid w:val="00BE532A"/>
    <w:rsid w:val="00BE5369"/>
    <w:rsid w:val="00BE56B0"/>
    <w:rsid w:val="00BE57BA"/>
    <w:rsid w:val="00BE583A"/>
    <w:rsid w:val="00BE5857"/>
    <w:rsid w:val="00BE58B9"/>
    <w:rsid w:val="00BE597A"/>
    <w:rsid w:val="00BE5B61"/>
    <w:rsid w:val="00BE5DB1"/>
    <w:rsid w:val="00BE60AA"/>
    <w:rsid w:val="00BE62B2"/>
    <w:rsid w:val="00BE6406"/>
    <w:rsid w:val="00BE64F4"/>
    <w:rsid w:val="00BE657C"/>
    <w:rsid w:val="00BE66B3"/>
    <w:rsid w:val="00BE66D0"/>
    <w:rsid w:val="00BE67A4"/>
    <w:rsid w:val="00BE68E1"/>
    <w:rsid w:val="00BE6919"/>
    <w:rsid w:val="00BE6BEE"/>
    <w:rsid w:val="00BE6C38"/>
    <w:rsid w:val="00BE7072"/>
    <w:rsid w:val="00BE7081"/>
    <w:rsid w:val="00BE72BD"/>
    <w:rsid w:val="00BE73BA"/>
    <w:rsid w:val="00BE7428"/>
    <w:rsid w:val="00BE74FC"/>
    <w:rsid w:val="00BE7A6D"/>
    <w:rsid w:val="00BE7AA9"/>
    <w:rsid w:val="00BE7AE9"/>
    <w:rsid w:val="00BE7B35"/>
    <w:rsid w:val="00BE7B65"/>
    <w:rsid w:val="00BE7D08"/>
    <w:rsid w:val="00BE7D1D"/>
    <w:rsid w:val="00BE7D96"/>
    <w:rsid w:val="00BF0158"/>
    <w:rsid w:val="00BF0225"/>
    <w:rsid w:val="00BF026D"/>
    <w:rsid w:val="00BF03DC"/>
    <w:rsid w:val="00BF0588"/>
    <w:rsid w:val="00BF0706"/>
    <w:rsid w:val="00BF0882"/>
    <w:rsid w:val="00BF0965"/>
    <w:rsid w:val="00BF0AB3"/>
    <w:rsid w:val="00BF0B8B"/>
    <w:rsid w:val="00BF0BA4"/>
    <w:rsid w:val="00BF0C75"/>
    <w:rsid w:val="00BF0DF9"/>
    <w:rsid w:val="00BF0FD1"/>
    <w:rsid w:val="00BF1013"/>
    <w:rsid w:val="00BF10DA"/>
    <w:rsid w:val="00BF10ED"/>
    <w:rsid w:val="00BF10F5"/>
    <w:rsid w:val="00BF1187"/>
    <w:rsid w:val="00BF1222"/>
    <w:rsid w:val="00BF1327"/>
    <w:rsid w:val="00BF13C4"/>
    <w:rsid w:val="00BF155D"/>
    <w:rsid w:val="00BF16DF"/>
    <w:rsid w:val="00BF1720"/>
    <w:rsid w:val="00BF17D1"/>
    <w:rsid w:val="00BF19E3"/>
    <w:rsid w:val="00BF1C14"/>
    <w:rsid w:val="00BF1F66"/>
    <w:rsid w:val="00BF2129"/>
    <w:rsid w:val="00BF2176"/>
    <w:rsid w:val="00BF24F1"/>
    <w:rsid w:val="00BF25A6"/>
    <w:rsid w:val="00BF25EE"/>
    <w:rsid w:val="00BF2693"/>
    <w:rsid w:val="00BF289D"/>
    <w:rsid w:val="00BF28E9"/>
    <w:rsid w:val="00BF29BC"/>
    <w:rsid w:val="00BF2AA1"/>
    <w:rsid w:val="00BF2B99"/>
    <w:rsid w:val="00BF2C0C"/>
    <w:rsid w:val="00BF2D48"/>
    <w:rsid w:val="00BF2FF5"/>
    <w:rsid w:val="00BF30BC"/>
    <w:rsid w:val="00BF328F"/>
    <w:rsid w:val="00BF32A3"/>
    <w:rsid w:val="00BF33A9"/>
    <w:rsid w:val="00BF34B3"/>
    <w:rsid w:val="00BF34C7"/>
    <w:rsid w:val="00BF34E3"/>
    <w:rsid w:val="00BF3710"/>
    <w:rsid w:val="00BF389F"/>
    <w:rsid w:val="00BF38E4"/>
    <w:rsid w:val="00BF3A2B"/>
    <w:rsid w:val="00BF3AAF"/>
    <w:rsid w:val="00BF3D84"/>
    <w:rsid w:val="00BF41A5"/>
    <w:rsid w:val="00BF4363"/>
    <w:rsid w:val="00BF4372"/>
    <w:rsid w:val="00BF4430"/>
    <w:rsid w:val="00BF44A9"/>
    <w:rsid w:val="00BF4702"/>
    <w:rsid w:val="00BF47AE"/>
    <w:rsid w:val="00BF47BC"/>
    <w:rsid w:val="00BF47DA"/>
    <w:rsid w:val="00BF5369"/>
    <w:rsid w:val="00BF5482"/>
    <w:rsid w:val="00BF55C7"/>
    <w:rsid w:val="00BF56BF"/>
    <w:rsid w:val="00BF5B11"/>
    <w:rsid w:val="00BF5DF4"/>
    <w:rsid w:val="00BF5E2F"/>
    <w:rsid w:val="00BF60AB"/>
    <w:rsid w:val="00BF62EF"/>
    <w:rsid w:val="00BF6328"/>
    <w:rsid w:val="00BF634D"/>
    <w:rsid w:val="00BF660C"/>
    <w:rsid w:val="00BF6694"/>
    <w:rsid w:val="00BF671A"/>
    <w:rsid w:val="00BF6801"/>
    <w:rsid w:val="00BF6A53"/>
    <w:rsid w:val="00BF6E0E"/>
    <w:rsid w:val="00BF7069"/>
    <w:rsid w:val="00BF716A"/>
    <w:rsid w:val="00BF721B"/>
    <w:rsid w:val="00BF7268"/>
    <w:rsid w:val="00BF74A4"/>
    <w:rsid w:val="00BF7746"/>
    <w:rsid w:val="00BF7833"/>
    <w:rsid w:val="00BF7A17"/>
    <w:rsid w:val="00BF7C4B"/>
    <w:rsid w:val="00BF7C54"/>
    <w:rsid w:val="00BF7CE0"/>
    <w:rsid w:val="00BF7E30"/>
    <w:rsid w:val="00BF7F7F"/>
    <w:rsid w:val="00C001AD"/>
    <w:rsid w:val="00C0023D"/>
    <w:rsid w:val="00C00423"/>
    <w:rsid w:val="00C00504"/>
    <w:rsid w:val="00C006B6"/>
    <w:rsid w:val="00C006F5"/>
    <w:rsid w:val="00C0096B"/>
    <w:rsid w:val="00C00991"/>
    <w:rsid w:val="00C00DF3"/>
    <w:rsid w:val="00C00F9C"/>
    <w:rsid w:val="00C013F1"/>
    <w:rsid w:val="00C01546"/>
    <w:rsid w:val="00C015D5"/>
    <w:rsid w:val="00C016C6"/>
    <w:rsid w:val="00C01A57"/>
    <w:rsid w:val="00C01AD2"/>
    <w:rsid w:val="00C01B7A"/>
    <w:rsid w:val="00C01C91"/>
    <w:rsid w:val="00C01CAB"/>
    <w:rsid w:val="00C01F6E"/>
    <w:rsid w:val="00C01FA8"/>
    <w:rsid w:val="00C020A9"/>
    <w:rsid w:val="00C0218D"/>
    <w:rsid w:val="00C02233"/>
    <w:rsid w:val="00C022B9"/>
    <w:rsid w:val="00C02321"/>
    <w:rsid w:val="00C023A5"/>
    <w:rsid w:val="00C023C6"/>
    <w:rsid w:val="00C02443"/>
    <w:rsid w:val="00C02520"/>
    <w:rsid w:val="00C02522"/>
    <w:rsid w:val="00C02576"/>
    <w:rsid w:val="00C02583"/>
    <w:rsid w:val="00C025B2"/>
    <w:rsid w:val="00C025D7"/>
    <w:rsid w:val="00C025FF"/>
    <w:rsid w:val="00C0269A"/>
    <w:rsid w:val="00C02749"/>
    <w:rsid w:val="00C02AB5"/>
    <w:rsid w:val="00C02B34"/>
    <w:rsid w:val="00C02B83"/>
    <w:rsid w:val="00C02D47"/>
    <w:rsid w:val="00C03132"/>
    <w:rsid w:val="00C031C3"/>
    <w:rsid w:val="00C031F1"/>
    <w:rsid w:val="00C031FA"/>
    <w:rsid w:val="00C032A4"/>
    <w:rsid w:val="00C032F2"/>
    <w:rsid w:val="00C0335F"/>
    <w:rsid w:val="00C033FF"/>
    <w:rsid w:val="00C03463"/>
    <w:rsid w:val="00C035F6"/>
    <w:rsid w:val="00C036C1"/>
    <w:rsid w:val="00C036C5"/>
    <w:rsid w:val="00C03733"/>
    <w:rsid w:val="00C03774"/>
    <w:rsid w:val="00C03BAA"/>
    <w:rsid w:val="00C03BC9"/>
    <w:rsid w:val="00C03CA8"/>
    <w:rsid w:val="00C03D1B"/>
    <w:rsid w:val="00C03EA8"/>
    <w:rsid w:val="00C04003"/>
    <w:rsid w:val="00C0408D"/>
    <w:rsid w:val="00C0409B"/>
    <w:rsid w:val="00C040AF"/>
    <w:rsid w:val="00C0412F"/>
    <w:rsid w:val="00C044CD"/>
    <w:rsid w:val="00C04646"/>
    <w:rsid w:val="00C047AA"/>
    <w:rsid w:val="00C04A1A"/>
    <w:rsid w:val="00C04A29"/>
    <w:rsid w:val="00C04B4C"/>
    <w:rsid w:val="00C04C23"/>
    <w:rsid w:val="00C04CAD"/>
    <w:rsid w:val="00C0524D"/>
    <w:rsid w:val="00C05285"/>
    <w:rsid w:val="00C05359"/>
    <w:rsid w:val="00C053BC"/>
    <w:rsid w:val="00C05463"/>
    <w:rsid w:val="00C056D1"/>
    <w:rsid w:val="00C056D8"/>
    <w:rsid w:val="00C0591D"/>
    <w:rsid w:val="00C05AA1"/>
    <w:rsid w:val="00C05ABE"/>
    <w:rsid w:val="00C05B46"/>
    <w:rsid w:val="00C05BE6"/>
    <w:rsid w:val="00C05EB4"/>
    <w:rsid w:val="00C05EBD"/>
    <w:rsid w:val="00C05FD5"/>
    <w:rsid w:val="00C0629B"/>
    <w:rsid w:val="00C062D9"/>
    <w:rsid w:val="00C06459"/>
    <w:rsid w:val="00C06837"/>
    <w:rsid w:val="00C068BC"/>
    <w:rsid w:val="00C06A71"/>
    <w:rsid w:val="00C06B69"/>
    <w:rsid w:val="00C06D00"/>
    <w:rsid w:val="00C06D95"/>
    <w:rsid w:val="00C06DAD"/>
    <w:rsid w:val="00C06F32"/>
    <w:rsid w:val="00C06F61"/>
    <w:rsid w:val="00C07040"/>
    <w:rsid w:val="00C071C0"/>
    <w:rsid w:val="00C072BF"/>
    <w:rsid w:val="00C072FB"/>
    <w:rsid w:val="00C07417"/>
    <w:rsid w:val="00C07690"/>
    <w:rsid w:val="00C07736"/>
    <w:rsid w:val="00C07815"/>
    <w:rsid w:val="00C07B60"/>
    <w:rsid w:val="00C07BBA"/>
    <w:rsid w:val="00C07C02"/>
    <w:rsid w:val="00C07D82"/>
    <w:rsid w:val="00C100F6"/>
    <w:rsid w:val="00C10103"/>
    <w:rsid w:val="00C10150"/>
    <w:rsid w:val="00C102BE"/>
    <w:rsid w:val="00C10313"/>
    <w:rsid w:val="00C10407"/>
    <w:rsid w:val="00C1048A"/>
    <w:rsid w:val="00C10574"/>
    <w:rsid w:val="00C107B5"/>
    <w:rsid w:val="00C107F4"/>
    <w:rsid w:val="00C10875"/>
    <w:rsid w:val="00C108DA"/>
    <w:rsid w:val="00C10A75"/>
    <w:rsid w:val="00C10AF7"/>
    <w:rsid w:val="00C10B20"/>
    <w:rsid w:val="00C10B79"/>
    <w:rsid w:val="00C10D50"/>
    <w:rsid w:val="00C10EC5"/>
    <w:rsid w:val="00C10F66"/>
    <w:rsid w:val="00C111B8"/>
    <w:rsid w:val="00C115F0"/>
    <w:rsid w:val="00C11638"/>
    <w:rsid w:val="00C11670"/>
    <w:rsid w:val="00C117D2"/>
    <w:rsid w:val="00C11A01"/>
    <w:rsid w:val="00C11B03"/>
    <w:rsid w:val="00C11C7D"/>
    <w:rsid w:val="00C11EB8"/>
    <w:rsid w:val="00C120A2"/>
    <w:rsid w:val="00C1219C"/>
    <w:rsid w:val="00C122D6"/>
    <w:rsid w:val="00C12300"/>
    <w:rsid w:val="00C12381"/>
    <w:rsid w:val="00C12439"/>
    <w:rsid w:val="00C124C4"/>
    <w:rsid w:val="00C1260A"/>
    <w:rsid w:val="00C12A96"/>
    <w:rsid w:val="00C12DA6"/>
    <w:rsid w:val="00C12EF1"/>
    <w:rsid w:val="00C12F13"/>
    <w:rsid w:val="00C13011"/>
    <w:rsid w:val="00C132E8"/>
    <w:rsid w:val="00C13383"/>
    <w:rsid w:val="00C13426"/>
    <w:rsid w:val="00C1350D"/>
    <w:rsid w:val="00C13582"/>
    <w:rsid w:val="00C1358E"/>
    <w:rsid w:val="00C1359F"/>
    <w:rsid w:val="00C1366F"/>
    <w:rsid w:val="00C1371C"/>
    <w:rsid w:val="00C13824"/>
    <w:rsid w:val="00C138CF"/>
    <w:rsid w:val="00C138D9"/>
    <w:rsid w:val="00C13968"/>
    <w:rsid w:val="00C13B9D"/>
    <w:rsid w:val="00C13C2F"/>
    <w:rsid w:val="00C1428C"/>
    <w:rsid w:val="00C14307"/>
    <w:rsid w:val="00C1495B"/>
    <w:rsid w:val="00C149F7"/>
    <w:rsid w:val="00C14B69"/>
    <w:rsid w:val="00C14B9C"/>
    <w:rsid w:val="00C15182"/>
    <w:rsid w:val="00C152DB"/>
    <w:rsid w:val="00C15503"/>
    <w:rsid w:val="00C15735"/>
    <w:rsid w:val="00C15845"/>
    <w:rsid w:val="00C15AFE"/>
    <w:rsid w:val="00C15C76"/>
    <w:rsid w:val="00C15E29"/>
    <w:rsid w:val="00C15E39"/>
    <w:rsid w:val="00C15E43"/>
    <w:rsid w:val="00C15E81"/>
    <w:rsid w:val="00C15EDC"/>
    <w:rsid w:val="00C15F7E"/>
    <w:rsid w:val="00C16315"/>
    <w:rsid w:val="00C16318"/>
    <w:rsid w:val="00C1634F"/>
    <w:rsid w:val="00C163E0"/>
    <w:rsid w:val="00C164A4"/>
    <w:rsid w:val="00C1656A"/>
    <w:rsid w:val="00C16885"/>
    <w:rsid w:val="00C168E6"/>
    <w:rsid w:val="00C1692B"/>
    <w:rsid w:val="00C16973"/>
    <w:rsid w:val="00C16A17"/>
    <w:rsid w:val="00C16ACC"/>
    <w:rsid w:val="00C16CB3"/>
    <w:rsid w:val="00C16CEC"/>
    <w:rsid w:val="00C16F0C"/>
    <w:rsid w:val="00C16F9D"/>
    <w:rsid w:val="00C1702D"/>
    <w:rsid w:val="00C17105"/>
    <w:rsid w:val="00C171C0"/>
    <w:rsid w:val="00C17201"/>
    <w:rsid w:val="00C17218"/>
    <w:rsid w:val="00C17707"/>
    <w:rsid w:val="00C17A3B"/>
    <w:rsid w:val="00C17B04"/>
    <w:rsid w:val="00C200F1"/>
    <w:rsid w:val="00C2031F"/>
    <w:rsid w:val="00C203EB"/>
    <w:rsid w:val="00C2045A"/>
    <w:rsid w:val="00C204A0"/>
    <w:rsid w:val="00C20768"/>
    <w:rsid w:val="00C207FB"/>
    <w:rsid w:val="00C208C3"/>
    <w:rsid w:val="00C20A63"/>
    <w:rsid w:val="00C20AEC"/>
    <w:rsid w:val="00C20CDF"/>
    <w:rsid w:val="00C20DD8"/>
    <w:rsid w:val="00C20E5F"/>
    <w:rsid w:val="00C20E67"/>
    <w:rsid w:val="00C21096"/>
    <w:rsid w:val="00C21116"/>
    <w:rsid w:val="00C21377"/>
    <w:rsid w:val="00C213DE"/>
    <w:rsid w:val="00C214D3"/>
    <w:rsid w:val="00C214F0"/>
    <w:rsid w:val="00C21559"/>
    <w:rsid w:val="00C2162A"/>
    <w:rsid w:val="00C2164D"/>
    <w:rsid w:val="00C217F2"/>
    <w:rsid w:val="00C219F2"/>
    <w:rsid w:val="00C21C34"/>
    <w:rsid w:val="00C21CD5"/>
    <w:rsid w:val="00C21EB9"/>
    <w:rsid w:val="00C220F2"/>
    <w:rsid w:val="00C22183"/>
    <w:rsid w:val="00C221BB"/>
    <w:rsid w:val="00C221BF"/>
    <w:rsid w:val="00C2228B"/>
    <w:rsid w:val="00C222E3"/>
    <w:rsid w:val="00C222F0"/>
    <w:rsid w:val="00C2236C"/>
    <w:rsid w:val="00C22609"/>
    <w:rsid w:val="00C226C7"/>
    <w:rsid w:val="00C22734"/>
    <w:rsid w:val="00C2280D"/>
    <w:rsid w:val="00C228CD"/>
    <w:rsid w:val="00C22A13"/>
    <w:rsid w:val="00C22A88"/>
    <w:rsid w:val="00C22DB9"/>
    <w:rsid w:val="00C22DC7"/>
    <w:rsid w:val="00C230FD"/>
    <w:rsid w:val="00C2311B"/>
    <w:rsid w:val="00C231A8"/>
    <w:rsid w:val="00C2331F"/>
    <w:rsid w:val="00C23380"/>
    <w:rsid w:val="00C233AC"/>
    <w:rsid w:val="00C23AB2"/>
    <w:rsid w:val="00C23DD5"/>
    <w:rsid w:val="00C23FEA"/>
    <w:rsid w:val="00C24147"/>
    <w:rsid w:val="00C2454B"/>
    <w:rsid w:val="00C2467C"/>
    <w:rsid w:val="00C246E4"/>
    <w:rsid w:val="00C2471C"/>
    <w:rsid w:val="00C24A87"/>
    <w:rsid w:val="00C24D46"/>
    <w:rsid w:val="00C24D74"/>
    <w:rsid w:val="00C24DB6"/>
    <w:rsid w:val="00C24F20"/>
    <w:rsid w:val="00C250D1"/>
    <w:rsid w:val="00C251E4"/>
    <w:rsid w:val="00C2537D"/>
    <w:rsid w:val="00C25411"/>
    <w:rsid w:val="00C254F0"/>
    <w:rsid w:val="00C255E9"/>
    <w:rsid w:val="00C25884"/>
    <w:rsid w:val="00C25953"/>
    <w:rsid w:val="00C25A9B"/>
    <w:rsid w:val="00C25ABB"/>
    <w:rsid w:val="00C25D03"/>
    <w:rsid w:val="00C25EA8"/>
    <w:rsid w:val="00C25EAB"/>
    <w:rsid w:val="00C262C1"/>
    <w:rsid w:val="00C262DC"/>
    <w:rsid w:val="00C26734"/>
    <w:rsid w:val="00C268CC"/>
    <w:rsid w:val="00C268CF"/>
    <w:rsid w:val="00C26BA5"/>
    <w:rsid w:val="00C26BAF"/>
    <w:rsid w:val="00C26C12"/>
    <w:rsid w:val="00C26C23"/>
    <w:rsid w:val="00C26C89"/>
    <w:rsid w:val="00C26E17"/>
    <w:rsid w:val="00C26E60"/>
    <w:rsid w:val="00C26EB3"/>
    <w:rsid w:val="00C26F05"/>
    <w:rsid w:val="00C26F08"/>
    <w:rsid w:val="00C27224"/>
    <w:rsid w:val="00C27280"/>
    <w:rsid w:val="00C272B9"/>
    <w:rsid w:val="00C27561"/>
    <w:rsid w:val="00C2762D"/>
    <w:rsid w:val="00C27701"/>
    <w:rsid w:val="00C2786F"/>
    <w:rsid w:val="00C2787B"/>
    <w:rsid w:val="00C27A33"/>
    <w:rsid w:val="00C27ACE"/>
    <w:rsid w:val="00C27EDC"/>
    <w:rsid w:val="00C27EEA"/>
    <w:rsid w:val="00C27F37"/>
    <w:rsid w:val="00C30227"/>
    <w:rsid w:val="00C3037F"/>
    <w:rsid w:val="00C30550"/>
    <w:rsid w:val="00C309E1"/>
    <w:rsid w:val="00C30B80"/>
    <w:rsid w:val="00C30D55"/>
    <w:rsid w:val="00C30DBF"/>
    <w:rsid w:val="00C30E76"/>
    <w:rsid w:val="00C30FF8"/>
    <w:rsid w:val="00C3101F"/>
    <w:rsid w:val="00C311FF"/>
    <w:rsid w:val="00C3148D"/>
    <w:rsid w:val="00C31560"/>
    <w:rsid w:val="00C31628"/>
    <w:rsid w:val="00C31654"/>
    <w:rsid w:val="00C317F3"/>
    <w:rsid w:val="00C31E78"/>
    <w:rsid w:val="00C31F0C"/>
    <w:rsid w:val="00C31F77"/>
    <w:rsid w:val="00C32157"/>
    <w:rsid w:val="00C32187"/>
    <w:rsid w:val="00C32199"/>
    <w:rsid w:val="00C321B5"/>
    <w:rsid w:val="00C321E7"/>
    <w:rsid w:val="00C32223"/>
    <w:rsid w:val="00C3241E"/>
    <w:rsid w:val="00C324AC"/>
    <w:rsid w:val="00C32528"/>
    <w:rsid w:val="00C326A9"/>
    <w:rsid w:val="00C32745"/>
    <w:rsid w:val="00C3284F"/>
    <w:rsid w:val="00C328DA"/>
    <w:rsid w:val="00C3293A"/>
    <w:rsid w:val="00C329AC"/>
    <w:rsid w:val="00C329C2"/>
    <w:rsid w:val="00C329CE"/>
    <w:rsid w:val="00C32B96"/>
    <w:rsid w:val="00C32BD4"/>
    <w:rsid w:val="00C32D79"/>
    <w:rsid w:val="00C32E4F"/>
    <w:rsid w:val="00C334A6"/>
    <w:rsid w:val="00C3350E"/>
    <w:rsid w:val="00C33661"/>
    <w:rsid w:val="00C336FD"/>
    <w:rsid w:val="00C33778"/>
    <w:rsid w:val="00C337DD"/>
    <w:rsid w:val="00C338B7"/>
    <w:rsid w:val="00C339CC"/>
    <w:rsid w:val="00C33B6F"/>
    <w:rsid w:val="00C33DB6"/>
    <w:rsid w:val="00C33E1E"/>
    <w:rsid w:val="00C34127"/>
    <w:rsid w:val="00C341E1"/>
    <w:rsid w:val="00C3429A"/>
    <w:rsid w:val="00C3434F"/>
    <w:rsid w:val="00C343DA"/>
    <w:rsid w:val="00C343DD"/>
    <w:rsid w:val="00C343FF"/>
    <w:rsid w:val="00C344D4"/>
    <w:rsid w:val="00C3455B"/>
    <w:rsid w:val="00C3493B"/>
    <w:rsid w:val="00C349C2"/>
    <w:rsid w:val="00C34B1E"/>
    <w:rsid w:val="00C34CDD"/>
    <w:rsid w:val="00C3500B"/>
    <w:rsid w:val="00C35070"/>
    <w:rsid w:val="00C3517A"/>
    <w:rsid w:val="00C351B1"/>
    <w:rsid w:val="00C35234"/>
    <w:rsid w:val="00C3525D"/>
    <w:rsid w:val="00C35722"/>
    <w:rsid w:val="00C357C6"/>
    <w:rsid w:val="00C3588D"/>
    <w:rsid w:val="00C35958"/>
    <w:rsid w:val="00C359AF"/>
    <w:rsid w:val="00C35B86"/>
    <w:rsid w:val="00C35B89"/>
    <w:rsid w:val="00C35D5E"/>
    <w:rsid w:val="00C35ED1"/>
    <w:rsid w:val="00C35F58"/>
    <w:rsid w:val="00C36017"/>
    <w:rsid w:val="00C3602C"/>
    <w:rsid w:val="00C361D5"/>
    <w:rsid w:val="00C361F4"/>
    <w:rsid w:val="00C364A4"/>
    <w:rsid w:val="00C367C3"/>
    <w:rsid w:val="00C3691A"/>
    <w:rsid w:val="00C36994"/>
    <w:rsid w:val="00C369B1"/>
    <w:rsid w:val="00C36BB4"/>
    <w:rsid w:val="00C36F7D"/>
    <w:rsid w:val="00C370CC"/>
    <w:rsid w:val="00C3710B"/>
    <w:rsid w:val="00C371A3"/>
    <w:rsid w:val="00C376DB"/>
    <w:rsid w:val="00C37B52"/>
    <w:rsid w:val="00C37BF3"/>
    <w:rsid w:val="00C37F5A"/>
    <w:rsid w:val="00C40474"/>
    <w:rsid w:val="00C4048C"/>
    <w:rsid w:val="00C405F0"/>
    <w:rsid w:val="00C406D0"/>
    <w:rsid w:val="00C40834"/>
    <w:rsid w:val="00C40968"/>
    <w:rsid w:val="00C40993"/>
    <w:rsid w:val="00C40A83"/>
    <w:rsid w:val="00C40B3E"/>
    <w:rsid w:val="00C40D88"/>
    <w:rsid w:val="00C40E24"/>
    <w:rsid w:val="00C40F30"/>
    <w:rsid w:val="00C41130"/>
    <w:rsid w:val="00C4146A"/>
    <w:rsid w:val="00C415F2"/>
    <w:rsid w:val="00C4162E"/>
    <w:rsid w:val="00C4163A"/>
    <w:rsid w:val="00C41873"/>
    <w:rsid w:val="00C41B6F"/>
    <w:rsid w:val="00C41B7C"/>
    <w:rsid w:val="00C41C10"/>
    <w:rsid w:val="00C41C1E"/>
    <w:rsid w:val="00C41C87"/>
    <w:rsid w:val="00C41CE8"/>
    <w:rsid w:val="00C41E98"/>
    <w:rsid w:val="00C41EC7"/>
    <w:rsid w:val="00C42025"/>
    <w:rsid w:val="00C42122"/>
    <w:rsid w:val="00C421AB"/>
    <w:rsid w:val="00C423FD"/>
    <w:rsid w:val="00C42422"/>
    <w:rsid w:val="00C42443"/>
    <w:rsid w:val="00C425B5"/>
    <w:rsid w:val="00C42666"/>
    <w:rsid w:val="00C4282A"/>
    <w:rsid w:val="00C42AE8"/>
    <w:rsid w:val="00C42B9A"/>
    <w:rsid w:val="00C42EE5"/>
    <w:rsid w:val="00C431ED"/>
    <w:rsid w:val="00C433B9"/>
    <w:rsid w:val="00C43458"/>
    <w:rsid w:val="00C4346E"/>
    <w:rsid w:val="00C434B9"/>
    <w:rsid w:val="00C434C9"/>
    <w:rsid w:val="00C43570"/>
    <w:rsid w:val="00C436A5"/>
    <w:rsid w:val="00C438CF"/>
    <w:rsid w:val="00C438E4"/>
    <w:rsid w:val="00C43A9E"/>
    <w:rsid w:val="00C43C64"/>
    <w:rsid w:val="00C43D01"/>
    <w:rsid w:val="00C440E9"/>
    <w:rsid w:val="00C4416B"/>
    <w:rsid w:val="00C4425A"/>
    <w:rsid w:val="00C4437F"/>
    <w:rsid w:val="00C44682"/>
    <w:rsid w:val="00C447F0"/>
    <w:rsid w:val="00C4494D"/>
    <w:rsid w:val="00C449C5"/>
    <w:rsid w:val="00C449EB"/>
    <w:rsid w:val="00C44BDD"/>
    <w:rsid w:val="00C44C37"/>
    <w:rsid w:val="00C44E1C"/>
    <w:rsid w:val="00C44E26"/>
    <w:rsid w:val="00C45151"/>
    <w:rsid w:val="00C4566A"/>
    <w:rsid w:val="00C45673"/>
    <w:rsid w:val="00C45EFA"/>
    <w:rsid w:val="00C45F5F"/>
    <w:rsid w:val="00C45FAB"/>
    <w:rsid w:val="00C4624B"/>
    <w:rsid w:val="00C46458"/>
    <w:rsid w:val="00C464CB"/>
    <w:rsid w:val="00C46584"/>
    <w:rsid w:val="00C46663"/>
    <w:rsid w:val="00C4672C"/>
    <w:rsid w:val="00C46746"/>
    <w:rsid w:val="00C4675B"/>
    <w:rsid w:val="00C46796"/>
    <w:rsid w:val="00C468F8"/>
    <w:rsid w:val="00C46AE5"/>
    <w:rsid w:val="00C46B39"/>
    <w:rsid w:val="00C46D56"/>
    <w:rsid w:val="00C46F79"/>
    <w:rsid w:val="00C46FD2"/>
    <w:rsid w:val="00C47005"/>
    <w:rsid w:val="00C47255"/>
    <w:rsid w:val="00C4729E"/>
    <w:rsid w:val="00C4753C"/>
    <w:rsid w:val="00C4764F"/>
    <w:rsid w:val="00C47654"/>
    <w:rsid w:val="00C4766C"/>
    <w:rsid w:val="00C47875"/>
    <w:rsid w:val="00C479B6"/>
    <w:rsid w:val="00C479C4"/>
    <w:rsid w:val="00C47CBE"/>
    <w:rsid w:val="00C47E03"/>
    <w:rsid w:val="00C47E70"/>
    <w:rsid w:val="00C47F2A"/>
    <w:rsid w:val="00C47F4B"/>
    <w:rsid w:val="00C47FFA"/>
    <w:rsid w:val="00C50000"/>
    <w:rsid w:val="00C502F4"/>
    <w:rsid w:val="00C5032B"/>
    <w:rsid w:val="00C5048A"/>
    <w:rsid w:val="00C50606"/>
    <w:rsid w:val="00C50693"/>
    <w:rsid w:val="00C506CC"/>
    <w:rsid w:val="00C50736"/>
    <w:rsid w:val="00C509F9"/>
    <w:rsid w:val="00C50A63"/>
    <w:rsid w:val="00C50A64"/>
    <w:rsid w:val="00C50A7C"/>
    <w:rsid w:val="00C50BDD"/>
    <w:rsid w:val="00C50C0A"/>
    <w:rsid w:val="00C50FC1"/>
    <w:rsid w:val="00C5103F"/>
    <w:rsid w:val="00C5108A"/>
    <w:rsid w:val="00C510AA"/>
    <w:rsid w:val="00C511E3"/>
    <w:rsid w:val="00C512E8"/>
    <w:rsid w:val="00C514A8"/>
    <w:rsid w:val="00C516A2"/>
    <w:rsid w:val="00C5175A"/>
    <w:rsid w:val="00C51830"/>
    <w:rsid w:val="00C51845"/>
    <w:rsid w:val="00C5194B"/>
    <w:rsid w:val="00C51B1C"/>
    <w:rsid w:val="00C51BDD"/>
    <w:rsid w:val="00C51C36"/>
    <w:rsid w:val="00C51E83"/>
    <w:rsid w:val="00C51EB3"/>
    <w:rsid w:val="00C51FE5"/>
    <w:rsid w:val="00C520D1"/>
    <w:rsid w:val="00C52108"/>
    <w:rsid w:val="00C521A4"/>
    <w:rsid w:val="00C521B1"/>
    <w:rsid w:val="00C5220D"/>
    <w:rsid w:val="00C52317"/>
    <w:rsid w:val="00C524DC"/>
    <w:rsid w:val="00C525D6"/>
    <w:rsid w:val="00C527B5"/>
    <w:rsid w:val="00C52972"/>
    <w:rsid w:val="00C52989"/>
    <w:rsid w:val="00C52BE0"/>
    <w:rsid w:val="00C52CEF"/>
    <w:rsid w:val="00C52D2E"/>
    <w:rsid w:val="00C52D8D"/>
    <w:rsid w:val="00C53167"/>
    <w:rsid w:val="00C5323D"/>
    <w:rsid w:val="00C5323E"/>
    <w:rsid w:val="00C5334C"/>
    <w:rsid w:val="00C533D2"/>
    <w:rsid w:val="00C53655"/>
    <w:rsid w:val="00C538A6"/>
    <w:rsid w:val="00C53B14"/>
    <w:rsid w:val="00C53E65"/>
    <w:rsid w:val="00C54072"/>
    <w:rsid w:val="00C54093"/>
    <w:rsid w:val="00C5421C"/>
    <w:rsid w:val="00C543C4"/>
    <w:rsid w:val="00C544B4"/>
    <w:rsid w:val="00C54738"/>
    <w:rsid w:val="00C547C4"/>
    <w:rsid w:val="00C54A2D"/>
    <w:rsid w:val="00C54CC7"/>
    <w:rsid w:val="00C54F0D"/>
    <w:rsid w:val="00C54F41"/>
    <w:rsid w:val="00C550CD"/>
    <w:rsid w:val="00C551F4"/>
    <w:rsid w:val="00C5544F"/>
    <w:rsid w:val="00C55647"/>
    <w:rsid w:val="00C55B6A"/>
    <w:rsid w:val="00C55BEC"/>
    <w:rsid w:val="00C55E91"/>
    <w:rsid w:val="00C56040"/>
    <w:rsid w:val="00C56093"/>
    <w:rsid w:val="00C56317"/>
    <w:rsid w:val="00C5632F"/>
    <w:rsid w:val="00C5653F"/>
    <w:rsid w:val="00C56667"/>
    <w:rsid w:val="00C567AB"/>
    <w:rsid w:val="00C567D2"/>
    <w:rsid w:val="00C5684A"/>
    <w:rsid w:val="00C568D6"/>
    <w:rsid w:val="00C56B59"/>
    <w:rsid w:val="00C56C41"/>
    <w:rsid w:val="00C56C7F"/>
    <w:rsid w:val="00C56E03"/>
    <w:rsid w:val="00C56F2A"/>
    <w:rsid w:val="00C56F88"/>
    <w:rsid w:val="00C5705A"/>
    <w:rsid w:val="00C57286"/>
    <w:rsid w:val="00C572C8"/>
    <w:rsid w:val="00C5734B"/>
    <w:rsid w:val="00C5745F"/>
    <w:rsid w:val="00C5753C"/>
    <w:rsid w:val="00C577B4"/>
    <w:rsid w:val="00C57B14"/>
    <w:rsid w:val="00C57CAD"/>
    <w:rsid w:val="00C57DE8"/>
    <w:rsid w:val="00C57E4D"/>
    <w:rsid w:val="00C57E60"/>
    <w:rsid w:val="00C57F3F"/>
    <w:rsid w:val="00C57F56"/>
    <w:rsid w:val="00C6004E"/>
    <w:rsid w:val="00C600DB"/>
    <w:rsid w:val="00C6013A"/>
    <w:rsid w:val="00C60271"/>
    <w:rsid w:val="00C60297"/>
    <w:rsid w:val="00C6030B"/>
    <w:rsid w:val="00C60391"/>
    <w:rsid w:val="00C60663"/>
    <w:rsid w:val="00C6081A"/>
    <w:rsid w:val="00C6084A"/>
    <w:rsid w:val="00C60A69"/>
    <w:rsid w:val="00C60A6A"/>
    <w:rsid w:val="00C60BDD"/>
    <w:rsid w:val="00C60D47"/>
    <w:rsid w:val="00C60D4B"/>
    <w:rsid w:val="00C60E67"/>
    <w:rsid w:val="00C60EB7"/>
    <w:rsid w:val="00C6114F"/>
    <w:rsid w:val="00C614A0"/>
    <w:rsid w:val="00C61520"/>
    <w:rsid w:val="00C61646"/>
    <w:rsid w:val="00C61B6B"/>
    <w:rsid w:val="00C61C31"/>
    <w:rsid w:val="00C61EC6"/>
    <w:rsid w:val="00C61FDD"/>
    <w:rsid w:val="00C6203D"/>
    <w:rsid w:val="00C62076"/>
    <w:rsid w:val="00C62094"/>
    <w:rsid w:val="00C621E9"/>
    <w:rsid w:val="00C62221"/>
    <w:rsid w:val="00C6223A"/>
    <w:rsid w:val="00C622A3"/>
    <w:rsid w:val="00C622AA"/>
    <w:rsid w:val="00C622E0"/>
    <w:rsid w:val="00C623EF"/>
    <w:rsid w:val="00C62446"/>
    <w:rsid w:val="00C626E2"/>
    <w:rsid w:val="00C627E1"/>
    <w:rsid w:val="00C628C8"/>
    <w:rsid w:val="00C628F8"/>
    <w:rsid w:val="00C62920"/>
    <w:rsid w:val="00C629E6"/>
    <w:rsid w:val="00C629ED"/>
    <w:rsid w:val="00C62A01"/>
    <w:rsid w:val="00C62A14"/>
    <w:rsid w:val="00C62BD5"/>
    <w:rsid w:val="00C62BEB"/>
    <w:rsid w:val="00C62C2F"/>
    <w:rsid w:val="00C62C40"/>
    <w:rsid w:val="00C62CC2"/>
    <w:rsid w:val="00C62E63"/>
    <w:rsid w:val="00C631DC"/>
    <w:rsid w:val="00C63232"/>
    <w:rsid w:val="00C634A6"/>
    <w:rsid w:val="00C634F4"/>
    <w:rsid w:val="00C636F9"/>
    <w:rsid w:val="00C639AA"/>
    <w:rsid w:val="00C639D5"/>
    <w:rsid w:val="00C63D74"/>
    <w:rsid w:val="00C63D94"/>
    <w:rsid w:val="00C63D9C"/>
    <w:rsid w:val="00C63E12"/>
    <w:rsid w:val="00C63F08"/>
    <w:rsid w:val="00C63F0E"/>
    <w:rsid w:val="00C63FB0"/>
    <w:rsid w:val="00C6444E"/>
    <w:rsid w:val="00C64454"/>
    <w:rsid w:val="00C64703"/>
    <w:rsid w:val="00C6484A"/>
    <w:rsid w:val="00C6484E"/>
    <w:rsid w:val="00C648CC"/>
    <w:rsid w:val="00C6499E"/>
    <w:rsid w:val="00C64A9A"/>
    <w:rsid w:val="00C64ADA"/>
    <w:rsid w:val="00C64C73"/>
    <w:rsid w:val="00C64E8F"/>
    <w:rsid w:val="00C651DA"/>
    <w:rsid w:val="00C6520C"/>
    <w:rsid w:val="00C652A0"/>
    <w:rsid w:val="00C652A6"/>
    <w:rsid w:val="00C65478"/>
    <w:rsid w:val="00C656C8"/>
    <w:rsid w:val="00C656E2"/>
    <w:rsid w:val="00C65707"/>
    <w:rsid w:val="00C65744"/>
    <w:rsid w:val="00C65788"/>
    <w:rsid w:val="00C657A8"/>
    <w:rsid w:val="00C6593C"/>
    <w:rsid w:val="00C65A06"/>
    <w:rsid w:val="00C65AF4"/>
    <w:rsid w:val="00C65BDF"/>
    <w:rsid w:val="00C65D87"/>
    <w:rsid w:val="00C65FA4"/>
    <w:rsid w:val="00C6609F"/>
    <w:rsid w:val="00C66183"/>
    <w:rsid w:val="00C66203"/>
    <w:rsid w:val="00C6643D"/>
    <w:rsid w:val="00C66543"/>
    <w:rsid w:val="00C66605"/>
    <w:rsid w:val="00C6673F"/>
    <w:rsid w:val="00C66751"/>
    <w:rsid w:val="00C66823"/>
    <w:rsid w:val="00C6689C"/>
    <w:rsid w:val="00C66C3C"/>
    <w:rsid w:val="00C66C47"/>
    <w:rsid w:val="00C66C5D"/>
    <w:rsid w:val="00C66C70"/>
    <w:rsid w:val="00C66D8D"/>
    <w:rsid w:val="00C66EF3"/>
    <w:rsid w:val="00C6726B"/>
    <w:rsid w:val="00C67275"/>
    <w:rsid w:val="00C6733C"/>
    <w:rsid w:val="00C673F8"/>
    <w:rsid w:val="00C674C3"/>
    <w:rsid w:val="00C6751D"/>
    <w:rsid w:val="00C675E9"/>
    <w:rsid w:val="00C678BA"/>
    <w:rsid w:val="00C67A78"/>
    <w:rsid w:val="00C67ABD"/>
    <w:rsid w:val="00C67D39"/>
    <w:rsid w:val="00C67DDF"/>
    <w:rsid w:val="00C700A9"/>
    <w:rsid w:val="00C702DC"/>
    <w:rsid w:val="00C70390"/>
    <w:rsid w:val="00C7047D"/>
    <w:rsid w:val="00C70585"/>
    <w:rsid w:val="00C70683"/>
    <w:rsid w:val="00C70855"/>
    <w:rsid w:val="00C7097E"/>
    <w:rsid w:val="00C70B8D"/>
    <w:rsid w:val="00C70D63"/>
    <w:rsid w:val="00C70DD0"/>
    <w:rsid w:val="00C70E94"/>
    <w:rsid w:val="00C70EA3"/>
    <w:rsid w:val="00C71001"/>
    <w:rsid w:val="00C71292"/>
    <w:rsid w:val="00C712DA"/>
    <w:rsid w:val="00C71373"/>
    <w:rsid w:val="00C71663"/>
    <w:rsid w:val="00C71837"/>
    <w:rsid w:val="00C718C6"/>
    <w:rsid w:val="00C719D2"/>
    <w:rsid w:val="00C71A5D"/>
    <w:rsid w:val="00C71A9E"/>
    <w:rsid w:val="00C71BF0"/>
    <w:rsid w:val="00C71BF8"/>
    <w:rsid w:val="00C71C47"/>
    <w:rsid w:val="00C71C7C"/>
    <w:rsid w:val="00C71D5B"/>
    <w:rsid w:val="00C71E0A"/>
    <w:rsid w:val="00C721CC"/>
    <w:rsid w:val="00C721F0"/>
    <w:rsid w:val="00C724C9"/>
    <w:rsid w:val="00C7261D"/>
    <w:rsid w:val="00C72748"/>
    <w:rsid w:val="00C727CB"/>
    <w:rsid w:val="00C727EE"/>
    <w:rsid w:val="00C72A97"/>
    <w:rsid w:val="00C72AB1"/>
    <w:rsid w:val="00C72BF2"/>
    <w:rsid w:val="00C72C17"/>
    <w:rsid w:val="00C72D34"/>
    <w:rsid w:val="00C72D8B"/>
    <w:rsid w:val="00C72E22"/>
    <w:rsid w:val="00C72F23"/>
    <w:rsid w:val="00C72F4D"/>
    <w:rsid w:val="00C72FAB"/>
    <w:rsid w:val="00C73189"/>
    <w:rsid w:val="00C73340"/>
    <w:rsid w:val="00C736E7"/>
    <w:rsid w:val="00C7370E"/>
    <w:rsid w:val="00C73820"/>
    <w:rsid w:val="00C739E3"/>
    <w:rsid w:val="00C73A20"/>
    <w:rsid w:val="00C73A5F"/>
    <w:rsid w:val="00C73C39"/>
    <w:rsid w:val="00C73E60"/>
    <w:rsid w:val="00C73F41"/>
    <w:rsid w:val="00C74105"/>
    <w:rsid w:val="00C741CB"/>
    <w:rsid w:val="00C74306"/>
    <w:rsid w:val="00C74426"/>
    <w:rsid w:val="00C74509"/>
    <w:rsid w:val="00C7453B"/>
    <w:rsid w:val="00C745E8"/>
    <w:rsid w:val="00C74613"/>
    <w:rsid w:val="00C74757"/>
    <w:rsid w:val="00C7484A"/>
    <w:rsid w:val="00C748CB"/>
    <w:rsid w:val="00C74B3D"/>
    <w:rsid w:val="00C74E03"/>
    <w:rsid w:val="00C74EFE"/>
    <w:rsid w:val="00C7519E"/>
    <w:rsid w:val="00C7556B"/>
    <w:rsid w:val="00C75664"/>
    <w:rsid w:val="00C756EB"/>
    <w:rsid w:val="00C75722"/>
    <w:rsid w:val="00C75765"/>
    <w:rsid w:val="00C758AA"/>
    <w:rsid w:val="00C75A1B"/>
    <w:rsid w:val="00C75A41"/>
    <w:rsid w:val="00C75ACF"/>
    <w:rsid w:val="00C75B37"/>
    <w:rsid w:val="00C75CB4"/>
    <w:rsid w:val="00C764D8"/>
    <w:rsid w:val="00C76554"/>
    <w:rsid w:val="00C76CBB"/>
    <w:rsid w:val="00C77048"/>
    <w:rsid w:val="00C77167"/>
    <w:rsid w:val="00C772F2"/>
    <w:rsid w:val="00C77323"/>
    <w:rsid w:val="00C77411"/>
    <w:rsid w:val="00C77628"/>
    <w:rsid w:val="00C77641"/>
    <w:rsid w:val="00C77799"/>
    <w:rsid w:val="00C77833"/>
    <w:rsid w:val="00C77B72"/>
    <w:rsid w:val="00C77BF4"/>
    <w:rsid w:val="00C80364"/>
    <w:rsid w:val="00C803DF"/>
    <w:rsid w:val="00C803F0"/>
    <w:rsid w:val="00C805DA"/>
    <w:rsid w:val="00C806C5"/>
    <w:rsid w:val="00C808A1"/>
    <w:rsid w:val="00C80D35"/>
    <w:rsid w:val="00C80DC0"/>
    <w:rsid w:val="00C80E8F"/>
    <w:rsid w:val="00C8107E"/>
    <w:rsid w:val="00C810AA"/>
    <w:rsid w:val="00C81169"/>
    <w:rsid w:val="00C811F5"/>
    <w:rsid w:val="00C812D7"/>
    <w:rsid w:val="00C81506"/>
    <w:rsid w:val="00C81765"/>
    <w:rsid w:val="00C81A12"/>
    <w:rsid w:val="00C81A49"/>
    <w:rsid w:val="00C81AC2"/>
    <w:rsid w:val="00C81B5F"/>
    <w:rsid w:val="00C81BF1"/>
    <w:rsid w:val="00C82010"/>
    <w:rsid w:val="00C82172"/>
    <w:rsid w:val="00C82261"/>
    <w:rsid w:val="00C822A5"/>
    <w:rsid w:val="00C824E4"/>
    <w:rsid w:val="00C82543"/>
    <w:rsid w:val="00C826A4"/>
    <w:rsid w:val="00C8272B"/>
    <w:rsid w:val="00C8276E"/>
    <w:rsid w:val="00C82805"/>
    <w:rsid w:val="00C82851"/>
    <w:rsid w:val="00C8296F"/>
    <w:rsid w:val="00C82A1D"/>
    <w:rsid w:val="00C82FF2"/>
    <w:rsid w:val="00C83372"/>
    <w:rsid w:val="00C8344F"/>
    <w:rsid w:val="00C834F0"/>
    <w:rsid w:val="00C8369D"/>
    <w:rsid w:val="00C83814"/>
    <w:rsid w:val="00C83926"/>
    <w:rsid w:val="00C839C3"/>
    <w:rsid w:val="00C83AF6"/>
    <w:rsid w:val="00C83C0B"/>
    <w:rsid w:val="00C83D8D"/>
    <w:rsid w:val="00C83DEA"/>
    <w:rsid w:val="00C83E70"/>
    <w:rsid w:val="00C83FEF"/>
    <w:rsid w:val="00C8401D"/>
    <w:rsid w:val="00C840FE"/>
    <w:rsid w:val="00C841A9"/>
    <w:rsid w:val="00C8432E"/>
    <w:rsid w:val="00C844AB"/>
    <w:rsid w:val="00C8465B"/>
    <w:rsid w:val="00C846BE"/>
    <w:rsid w:val="00C847D9"/>
    <w:rsid w:val="00C848B0"/>
    <w:rsid w:val="00C849E1"/>
    <w:rsid w:val="00C84A3B"/>
    <w:rsid w:val="00C84AA6"/>
    <w:rsid w:val="00C84BC8"/>
    <w:rsid w:val="00C84BF4"/>
    <w:rsid w:val="00C84C02"/>
    <w:rsid w:val="00C84CBF"/>
    <w:rsid w:val="00C84FE6"/>
    <w:rsid w:val="00C852A1"/>
    <w:rsid w:val="00C8547B"/>
    <w:rsid w:val="00C8564A"/>
    <w:rsid w:val="00C8569D"/>
    <w:rsid w:val="00C859D1"/>
    <w:rsid w:val="00C85CBD"/>
    <w:rsid w:val="00C85D99"/>
    <w:rsid w:val="00C85E00"/>
    <w:rsid w:val="00C85ED8"/>
    <w:rsid w:val="00C86044"/>
    <w:rsid w:val="00C86318"/>
    <w:rsid w:val="00C8633C"/>
    <w:rsid w:val="00C864A0"/>
    <w:rsid w:val="00C864AE"/>
    <w:rsid w:val="00C867E2"/>
    <w:rsid w:val="00C8695E"/>
    <w:rsid w:val="00C8697B"/>
    <w:rsid w:val="00C8697D"/>
    <w:rsid w:val="00C86A74"/>
    <w:rsid w:val="00C86ACF"/>
    <w:rsid w:val="00C86B36"/>
    <w:rsid w:val="00C86C71"/>
    <w:rsid w:val="00C86FC7"/>
    <w:rsid w:val="00C86FFE"/>
    <w:rsid w:val="00C870A7"/>
    <w:rsid w:val="00C87120"/>
    <w:rsid w:val="00C87167"/>
    <w:rsid w:val="00C871D0"/>
    <w:rsid w:val="00C87242"/>
    <w:rsid w:val="00C87439"/>
    <w:rsid w:val="00C874D9"/>
    <w:rsid w:val="00C8764D"/>
    <w:rsid w:val="00C876DA"/>
    <w:rsid w:val="00C876EA"/>
    <w:rsid w:val="00C87796"/>
    <w:rsid w:val="00C87813"/>
    <w:rsid w:val="00C878EE"/>
    <w:rsid w:val="00C878F1"/>
    <w:rsid w:val="00C87AEE"/>
    <w:rsid w:val="00C87BFA"/>
    <w:rsid w:val="00C87DB7"/>
    <w:rsid w:val="00C87DF2"/>
    <w:rsid w:val="00C87E2A"/>
    <w:rsid w:val="00C87F4B"/>
    <w:rsid w:val="00C87F5E"/>
    <w:rsid w:val="00C87FE6"/>
    <w:rsid w:val="00C9004D"/>
    <w:rsid w:val="00C903A9"/>
    <w:rsid w:val="00C9069A"/>
    <w:rsid w:val="00C9070F"/>
    <w:rsid w:val="00C9080A"/>
    <w:rsid w:val="00C90833"/>
    <w:rsid w:val="00C90A8A"/>
    <w:rsid w:val="00C91041"/>
    <w:rsid w:val="00C9125D"/>
    <w:rsid w:val="00C91573"/>
    <w:rsid w:val="00C9157D"/>
    <w:rsid w:val="00C9161F"/>
    <w:rsid w:val="00C91764"/>
    <w:rsid w:val="00C918A6"/>
    <w:rsid w:val="00C918AB"/>
    <w:rsid w:val="00C918C0"/>
    <w:rsid w:val="00C91914"/>
    <w:rsid w:val="00C91B9E"/>
    <w:rsid w:val="00C91C51"/>
    <w:rsid w:val="00C91CFF"/>
    <w:rsid w:val="00C91D91"/>
    <w:rsid w:val="00C91DA1"/>
    <w:rsid w:val="00C9204A"/>
    <w:rsid w:val="00C92099"/>
    <w:rsid w:val="00C920A1"/>
    <w:rsid w:val="00C9220D"/>
    <w:rsid w:val="00C923E5"/>
    <w:rsid w:val="00C92770"/>
    <w:rsid w:val="00C9290D"/>
    <w:rsid w:val="00C92A67"/>
    <w:rsid w:val="00C92AB2"/>
    <w:rsid w:val="00C92E2D"/>
    <w:rsid w:val="00C93046"/>
    <w:rsid w:val="00C93062"/>
    <w:rsid w:val="00C93133"/>
    <w:rsid w:val="00C931DE"/>
    <w:rsid w:val="00C934DC"/>
    <w:rsid w:val="00C93787"/>
    <w:rsid w:val="00C9386A"/>
    <w:rsid w:val="00C93A12"/>
    <w:rsid w:val="00C93B75"/>
    <w:rsid w:val="00C93BD6"/>
    <w:rsid w:val="00C93BE5"/>
    <w:rsid w:val="00C93C6C"/>
    <w:rsid w:val="00C93C89"/>
    <w:rsid w:val="00C93DA9"/>
    <w:rsid w:val="00C93E85"/>
    <w:rsid w:val="00C93F74"/>
    <w:rsid w:val="00C93F76"/>
    <w:rsid w:val="00C93F9C"/>
    <w:rsid w:val="00C941EA"/>
    <w:rsid w:val="00C94220"/>
    <w:rsid w:val="00C94487"/>
    <w:rsid w:val="00C947AB"/>
    <w:rsid w:val="00C9480D"/>
    <w:rsid w:val="00C94B29"/>
    <w:rsid w:val="00C94B8E"/>
    <w:rsid w:val="00C94C81"/>
    <w:rsid w:val="00C94C8B"/>
    <w:rsid w:val="00C94E10"/>
    <w:rsid w:val="00C94E8E"/>
    <w:rsid w:val="00C95436"/>
    <w:rsid w:val="00C954BC"/>
    <w:rsid w:val="00C95602"/>
    <w:rsid w:val="00C957C4"/>
    <w:rsid w:val="00C958B0"/>
    <w:rsid w:val="00C95A39"/>
    <w:rsid w:val="00C95B0D"/>
    <w:rsid w:val="00C95E03"/>
    <w:rsid w:val="00C95ECF"/>
    <w:rsid w:val="00C95FA3"/>
    <w:rsid w:val="00C961F3"/>
    <w:rsid w:val="00C9622B"/>
    <w:rsid w:val="00C963B4"/>
    <w:rsid w:val="00C963DE"/>
    <w:rsid w:val="00C966AD"/>
    <w:rsid w:val="00C96B82"/>
    <w:rsid w:val="00C96C05"/>
    <w:rsid w:val="00C96C87"/>
    <w:rsid w:val="00C96D27"/>
    <w:rsid w:val="00C96DC6"/>
    <w:rsid w:val="00C9728D"/>
    <w:rsid w:val="00C972A1"/>
    <w:rsid w:val="00C972D0"/>
    <w:rsid w:val="00C97604"/>
    <w:rsid w:val="00C9781D"/>
    <w:rsid w:val="00C97932"/>
    <w:rsid w:val="00C97B45"/>
    <w:rsid w:val="00C97C73"/>
    <w:rsid w:val="00C97CE7"/>
    <w:rsid w:val="00C97DB6"/>
    <w:rsid w:val="00C97E88"/>
    <w:rsid w:val="00CA0020"/>
    <w:rsid w:val="00CA006D"/>
    <w:rsid w:val="00CA02A5"/>
    <w:rsid w:val="00CA03C2"/>
    <w:rsid w:val="00CA057B"/>
    <w:rsid w:val="00CA0634"/>
    <w:rsid w:val="00CA06DD"/>
    <w:rsid w:val="00CA06E7"/>
    <w:rsid w:val="00CA071F"/>
    <w:rsid w:val="00CA0A4F"/>
    <w:rsid w:val="00CA0BC7"/>
    <w:rsid w:val="00CA0C26"/>
    <w:rsid w:val="00CA0D3D"/>
    <w:rsid w:val="00CA0D60"/>
    <w:rsid w:val="00CA0D61"/>
    <w:rsid w:val="00CA0F2F"/>
    <w:rsid w:val="00CA1455"/>
    <w:rsid w:val="00CA1671"/>
    <w:rsid w:val="00CA1A41"/>
    <w:rsid w:val="00CA1ADD"/>
    <w:rsid w:val="00CA1CA6"/>
    <w:rsid w:val="00CA20DA"/>
    <w:rsid w:val="00CA220D"/>
    <w:rsid w:val="00CA2415"/>
    <w:rsid w:val="00CA2475"/>
    <w:rsid w:val="00CA2674"/>
    <w:rsid w:val="00CA2703"/>
    <w:rsid w:val="00CA2763"/>
    <w:rsid w:val="00CA2822"/>
    <w:rsid w:val="00CA291F"/>
    <w:rsid w:val="00CA2935"/>
    <w:rsid w:val="00CA2A81"/>
    <w:rsid w:val="00CA2C0C"/>
    <w:rsid w:val="00CA2CFF"/>
    <w:rsid w:val="00CA2D6B"/>
    <w:rsid w:val="00CA2DB6"/>
    <w:rsid w:val="00CA3001"/>
    <w:rsid w:val="00CA3231"/>
    <w:rsid w:val="00CA333B"/>
    <w:rsid w:val="00CA337B"/>
    <w:rsid w:val="00CA33B3"/>
    <w:rsid w:val="00CA349D"/>
    <w:rsid w:val="00CA35DD"/>
    <w:rsid w:val="00CA36B2"/>
    <w:rsid w:val="00CA3888"/>
    <w:rsid w:val="00CA3905"/>
    <w:rsid w:val="00CA3946"/>
    <w:rsid w:val="00CA3998"/>
    <w:rsid w:val="00CA3A72"/>
    <w:rsid w:val="00CA3ACC"/>
    <w:rsid w:val="00CA3AF8"/>
    <w:rsid w:val="00CA3F57"/>
    <w:rsid w:val="00CA40E1"/>
    <w:rsid w:val="00CA4349"/>
    <w:rsid w:val="00CA437D"/>
    <w:rsid w:val="00CA43D1"/>
    <w:rsid w:val="00CA45A0"/>
    <w:rsid w:val="00CA45B2"/>
    <w:rsid w:val="00CA4604"/>
    <w:rsid w:val="00CA4AB5"/>
    <w:rsid w:val="00CA4B57"/>
    <w:rsid w:val="00CA4DAA"/>
    <w:rsid w:val="00CA4EE4"/>
    <w:rsid w:val="00CA554E"/>
    <w:rsid w:val="00CA557C"/>
    <w:rsid w:val="00CA5620"/>
    <w:rsid w:val="00CA5656"/>
    <w:rsid w:val="00CA56B1"/>
    <w:rsid w:val="00CA5712"/>
    <w:rsid w:val="00CA57C4"/>
    <w:rsid w:val="00CA5A3B"/>
    <w:rsid w:val="00CA5A69"/>
    <w:rsid w:val="00CA5AC5"/>
    <w:rsid w:val="00CA5ADA"/>
    <w:rsid w:val="00CA5EBB"/>
    <w:rsid w:val="00CA5F4D"/>
    <w:rsid w:val="00CA6046"/>
    <w:rsid w:val="00CA615C"/>
    <w:rsid w:val="00CA6290"/>
    <w:rsid w:val="00CA63CB"/>
    <w:rsid w:val="00CA671F"/>
    <w:rsid w:val="00CA69AC"/>
    <w:rsid w:val="00CA6A3B"/>
    <w:rsid w:val="00CA6CA0"/>
    <w:rsid w:val="00CA6CB5"/>
    <w:rsid w:val="00CA6D1C"/>
    <w:rsid w:val="00CA7117"/>
    <w:rsid w:val="00CA75A9"/>
    <w:rsid w:val="00CA75B3"/>
    <w:rsid w:val="00CA7833"/>
    <w:rsid w:val="00CA7884"/>
    <w:rsid w:val="00CA78E3"/>
    <w:rsid w:val="00CA79F2"/>
    <w:rsid w:val="00CA7BEF"/>
    <w:rsid w:val="00CA7C0A"/>
    <w:rsid w:val="00CA7C7F"/>
    <w:rsid w:val="00CA7D89"/>
    <w:rsid w:val="00CA7ED7"/>
    <w:rsid w:val="00CB008A"/>
    <w:rsid w:val="00CB015C"/>
    <w:rsid w:val="00CB02E3"/>
    <w:rsid w:val="00CB05A4"/>
    <w:rsid w:val="00CB05C2"/>
    <w:rsid w:val="00CB0634"/>
    <w:rsid w:val="00CB06A1"/>
    <w:rsid w:val="00CB07A8"/>
    <w:rsid w:val="00CB08BC"/>
    <w:rsid w:val="00CB0935"/>
    <w:rsid w:val="00CB0A63"/>
    <w:rsid w:val="00CB0FDC"/>
    <w:rsid w:val="00CB1251"/>
    <w:rsid w:val="00CB145A"/>
    <w:rsid w:val="00CB14AB"/>
    <w:rsid w:val="00CB1648"/>
    <w:rsid w:val="00CB1813"/>
    <w:rsid w:val="00CB2072"/>
    <w:rsid w:val="00CB2255"/>
    <w:rsid w:val="00CB2288"/>
    <w:rsid w:val="00CB228A"/>
    <w:rsid w:val="00CB22F1"/>
    <w:rsid w:val="00CB232A"/>
    <w:rsid w:val="00CB242F"/>
    <w:rsid w:val="00CB244F"/>
    <w:rsid w:val="00CB258D"/>
    <w:rsid w:val="00CB27C3"/>
    <w:rsid w:val="00CB2BC6"/>
    <w:rsid w:val="00CB2C1D"/>
    <w:rsid w:val="00CB2D95"/>
    <w:rsid w:val="00CB2DAA"/>
    <w:rsid w:val="00CB2FB8"/>
    <w:rsid w:val="00CB2FF8"/>
    <w:rsid w:val="00CB306D"/>
    <w:rsid w:val="00CB3340"/>
    <w:rsid w:val="00CB334B"/>
    <w:rsid w:val="00CB34F2"/>
    <w:rsid w:val="00CB357D"/>
    <w:rsid w:val="00CB37AB"/>
    <w:rsid w:val="00CB3868"/>
    <w:rsid w:val="00CB4019"/>
    <w:rsid w:val="00CB409E"/>
    <w:rsid w:val="00CB40A5"/>
    <w:rsid w:val="00CB424B"/>
    <w:rsid w:val="00CB4294"/>
    <w:rsid w:val="00CB431D"/>
    <w:rsid w:val="00CB43C4"/>
    <w:rsid w:val="00CB43E1"/>
    <w:rsid w:val="00CB49C4"/>
    <w:rsid w:val="00CB4D5B"/>
    <w:rsid w:val="00CB5206"/>
    <w:rsid w:val="00CB5389"/>
    <w:rsid w:val="00CB5656"/>
    <w:rsid w:val="00CB56DA"/>
    <w:rsid w:val="00CB5789"/>
    <w:rsid w:val="00CB5BA7"/>
    <w:rsid w:val="00CB5C72"/>
    <w:rsid w:val="00CB5EBE"/>
    <w:rsid w:val="00CB5F95"/>
    <w:rsid w:val="00CB603F"/>
    <w:rsid w:val="00CB6068"/>
    <w:rsid w:val="00CB63BC"/>
    <w:rsid w:val="00CB63C7"/>
    <w:rsid w:val="00CB64D8"/>
    <w:rsid w:val="00CB6524"/>
    <w:rsid w:val="00CB660A"/>
    <w:rsid w:val="00CB688D"/>
    <w:rsid w:val="00CB6937"/>
    <w:rsid w:val="00CB6969"/>
    <w:rsid w:val="00CB6AB2"/>
    <w:rsid w:val="00CB6B19"/>
    <w:rsid w:val="00CB6B4F"/>
    <w:rsid w:val="00CB6BE7"/>
    <w:rsid w:val="00CB6D26"/>
    <w:rsid w:val="00CB6F58"/>
    <w:rsid w:val="00CB70B4"/>
    <w:rsid w:val="00CB71E2"/>
    <w:rsid w:val="00CB72CF"/>
    <w:rsid w:val="00CB7303"/>
    <w:rsid w:val="00CB736F"/>
    <w:rsid w:val="00CB73CC"/>
    <w:rsid w:val="00CB7672"/>
    <w:rsid w:val="00CB7706"/>
    <w:rsid w:val="00CB786C"/>
    <w:rsid w:val="00CB7BCA"/>
    <w:rsid w:val="00CB7BD8"/>
    <w:rsid w:val="00CB7C9C"/>
    <w:rsid w:val="00CB7CB0"/>
    <w:rsid w:val="00CC024B"/>
    <w:rsid w:val="00CC025D"/>
    <w:rsid w:val="00CC0357"/>
    <w:rsid w:val="00CC066C"/>
    <w:rsid w:val="00CC0860"/>
    <w:rsid w:val="00CC087C"/>
    <w:rsid w:val="00CC0A9A"/>
    <w:rsid w:val="00CC0B03"/>
    <w:rsid w:val="00CC0B3B"/>
    <w:rsid w:val="00CC0C9C"/>
    <w:rsid w:val="00CC0D1E"/>
    <w:rsid w:val="00CC0D3F"/>
    <w:rsid w:val="00CC0FA1"/>
    <w:rsid w:val="00CC10E1"/>
    <w:rsid w:val="00CC1316"/>
    <w:rsid w:val="00CC13FC"/>
    <w:rsid w:val="00CC1551"/>
    <w:rsid w:val="00CC165E"/>
    <w:rsid w:val="00CC17C4"/>
    <w:rsid w:val="00CC180A"/>
    <w:rsid w:val="00CC19D3"/>
    <w:rsid w:val="00CC1A71"/>
    <w:rsid w:val="00CC1BCC"/>
    <w:rsid w:val="00CC1DD9"/>
    <w:rsid w:val="00CC1F43"/>
    <w:rsid w:val="00CC1FA8"/>
    <w:rsid w:val="00CC1FCB"/>
    <w:rsid w:val="00CC209C"/>
    <w:rsid w:val="00CC2240"/>
    <w:rsid w:val="00CC23C1"/>
    <w:rsid w:val="00CC2454"/>
    <w:rsid w:val="00CC2538"/>
    <w:rsid w:val="00CC2652"/>
    <w:rsid w:val="00CC2756"/>
    <w:rsid w:val="00CC28F4"/>
    <w:rsid w:val="00CC2AB8"/>
    <w:rsid w:val="00CC2B27"/>
    <w:rsid w:val="00CC2CD2"/>
    <w:rsid w:val="00CC2E35"/>
    <w:rsid w:val="00CC2E3A"/>
    <w:rsid w:val="00CC2E46"/>
    <w:rsid w:val="00CC2E88"/>
    <w:rsid w:val="00CC2EA1"/>
    <w:rsid w:val="00CC2F1D"/>
    <w:rsid w:val="00CC310F"/>
    <w:rsid w:val="00CC316E"/>
    <w:rsid w:val="00CC3267"/>
    <w:rsid w:val="00CC3354"/>
    <w:rsid w:val="00CC3397"/>
    <w:rsid w:val="00CC34EC"/>
    <w:rsid w:val="00CC3543"/>
    <w:rsid w:val="00CC36A7"/>
    <w:rsid w:val="00CC36BE"/>
    <w:rsid w:val="00CC38AC"/>
    <w:rsid w:val="00CC399C"/>
    <w:rsid w:val="00CC3C87"/>
    <w:rsid w:val="00CC3D71"/>
    <w:rsid w:val="00CC3D85"/>
    <w:rsid w:val="00CC3E95"/>
    <w:rsid w:val="00CC4344"/>
    <w:rsid w:val="00CC44D9"/>
    <w:rsid w:val="00CC46A1"/>
    <w:rsid w:val="00CC479D"/>
    <w:rsid w:val="00CC47B5"/>
    <w:rsid w:val="00CC48C2"/>
    <w:rsid w:val="00CC48F2"/>
    <w:rsid w:val="00CC51EB"/>
    <w:rsid w:val="00CC5318"/>
    <w:rsid w:val="00CC5352"/>
    <w:rsid w:val="00CC53C6"/>
    <w:rsid w:val="00CC5552"/>
    <w:rsid w:val="00CC5671"/>
    <w:rsid w:val="00CC56BF"/>
    <w:rsid w:val="00CC585D"/>
    <w:rsid w:val="00CC5870"/>
    <w:rsid w:val="00CC5A5A"/>
    <w:rsid w:val="00CC5BB6"/>
    <w:rsid w:val="00CC5BD0"/>
    <w:rsid w:val="00CC5C2B"/>
    <w:rsid w:val="00CC5D85"/>
    <w:rsid w:val="00CC5DC5"/>
    <w:rsid w:val="00CC60F2"/>
    <w:rsid w:val="00CC6155"/>
    <w:rsid w:val="00CC61F2"/>
    <w:rsid w:val="00CC65BC"/>
    <w:rsid w:val="00CC6639"/>
    <w:rsid w:val="00CC663B"/>
    <w:rsid w:val="00CC6642"/>
    <w:rsid w:val="00CC6649"/>
    <w:rsid w:val="00CC6685"/>
    <w:rsid w:val="00CC670C"/>
    <w:rsid w:val="00CC6762"/>
    <w:rsid w:val="00CC6A0E"/>
    <w:rsid w:val="00CC6AE8"/>
    <w:rsid w:val="00CC6E07"/>
    <w:rsid w:val="00CC7050"/>
    <w:rsid w:val="00CC7461"/>
    <w:rsid w:val="00CC7504"/>
    <w:rsid w:val="00CC7672"/>
    <w:rsid w:val="00CC78E7"/>
    <w:rsid w:val="00CC78E9"/>
    <w:rsid w:val="00CC79A7"/>
    <w:rsid w:val="00CC7AD4"/>
    <w:rsid w:val="00CC7EB3"/>
    <w:rsid w:val="00CC7EFC"/>
    <w:rsid w:val="00CC7FEB"/>
    <w:rsid w:val="00CD018F"/>
    <w:rsid w:val="00CD0213"/>
    <w:rsid w:val="00CD024C"/>
    <w:rsid w:val="00CD0699"/>
    <w:rsid w:val="00CD0746"/>
    <w:rsid w:val="00CD075F"/>
    <w:rsid w:val="00CD097F"/>
    <w:rsid w:val="00CD0CB1"/>
    <w:rsid w:val="00CD0CE5"/>
    <w:rsid w:val="00CD0DF3"/>
    <w:rsid w:val="00CD0F41"/>
    <w:rsid w:val="00CD10D3"/>
    <w:rsid w:val="00CD12E3"/>
    <w:rsid w:val="00CD17F3"/>
    <w:rsid w:val="00CD186B"/>
    <w:rsid w:val="00CD18E7"/>
    <w:rsid w:val="00CD1A19"/>
    <w:rsid w:val="00CD1AAF"/>
    <w:rsid w:val="00CD1B2A"/>
    <w:rsid w:val="00CD1D20"/>
    <w:rsid w:val="00CD1E5B"/>
    <w:rsid w:val="00CD23D7"/>
    <w:rsid w:val="00CD277A"/>
    <w:rsid w:val="00CD2BE7"/>
    <w:rsid w:val="00CD2C70"/>
    <w:rsid w:val="00CD2D01"/>
    <w:rsid w:val="00CD2D3A"/>
    <w:rsid w:val="00CD2DEF"/>
    <w:rsid w:val="00CD2E55"/>
    <w:rsid w:val="00CD2EA8"/>
    <w:rsid w:val="00CD2F20"/>
    <w:rsid w:val="00CD3283"/>
    <w:rsid w:val="00CD328C"/>
    <w:rsid w:val="00CD32C4"/>
    <w:rsid w:val="00CD34C0"/>
    <w:rsid w:val="00CD34F5"/>
    <w:rsid w:val="00CD35C2"/>
    <w:rsid w:val="00CD3646"/>
    <w:rsid w:val="00CD37FB"/>
    <w:rsid w:val="00CD3851"/>
    <w:rsid w:val="00CD3934"/>
    <w:rsid w:val="00CD3939"/>
    <w:rsid w:val="00CD3A32"/>
    <w:rsid w:val="00CD3B11"/>
    <w:rsid w:val="00CD3C52"/>
    <w:rsid w:val="00CD3D9C"/>
    <w:rsid w:val="00CD3EBB"/>
    <w:rsid w:val="00CD4079"/>
    <w:rsid w:val="00CD40B4"/>
    <w:rsid w:val="00CD4176"/>
    <w:rsid w:val="00CD41B7"/>
    <w:rsid w:val="00CD4200"/>
    <w:rsid w:val="00CD420A"/>
    <w:rsid w:val="00CD42C9"/>
    <w:rsid w:val="00CD43C5"/>
    <w:rsid w:val="00CD45E8"/>
    <w:rsid w:val="00CD4653"/>
    <w:rsid w:val="00CD4C92"/>
    <w:rsid w:val="00CD531A"/>
    <w:rsid w:val="00CD5650"/>
    <w:rsid w:val="00CD56B5"/>
    <w:rsid w:val="00CD5859"/>
    <w:rsid w:val="00CD588A"/>
    <w:rsid w:val="00CD5A59"/>
    <w:rsid w:val="00CD5A6C"/>
    <w:rsid w:val="00CD5AED"/>
    <w:rsid w:val="00CD5B51"/>
    <w:rsid w:val="00CD5BEE"/>
    <w:rsid w:val="00CD5C36"/>
    <w:rsid w:val="00CD5D65"/>
    <w:rsid w:val="00CD5F65"/>
    <w:rsid w:val="00CD6274"/>
    <w:rsid w:val="00CD6327"/>
    <w:rsid w:val="00CD6572"/>
    <w:rsid w:val="00CD65DC"/>
    <w:rsid w:val="00CD6667"/>
    <w:rsid w:val="00CD6B1D"/>
    <w:rsid w:val="00CD6B75"/>
    <w:rsid w:val="00CD6BBF"/>
    <w:rsid w:val="00CD6C31"/>
    <w:rsid w:val="00CD6F99"/>
    <w:rsid w:val="00CD7445"/>
    <w:rsid w:val="00CD750D"/>
    <w:rsid w:val="00CD75EE"/>
    <w:rsid w:val="00CD78EA"/>
    <w:rsid w:val="00CD7A48"/>
    <w:rsid w:val="00CD7C71"/>
    <w:rsid w:val="00CD7DA2"/>
    <w:rsid w:val="00CD7E43"/>
    <w:rsid w:val="00CD7EB4"/>
    <w:rsid w:val="00CD7EB7"/>
    <w:rsid w:val="00CD7F5E"/>
    <w:rsid w:val="00CE00A3"/>
    <w:rsid w:val="00CE01D2"/>
    <w:rsid w:val="00CE01F2"/>
    <w:rsid w:val="00CE0277"/>
    <w:rsid w:val="00CE0351"/>
    <w:rsid w:val="00CE03B7"/>
    <w:rsid w:val="00CE041D"/>
    <w:rsid w:val="00CE0422"/>
    <w:rsid w:val="00CE0608"/>
    <w:rsid w:val="00CE0B48"/>
    <w:rsid w:val="00CE0CB1"/>
    <w:rsid w:val="00CE0D68"/>
    <w:rsid w:val="00CE0F6C"/>
    <w:rsid w:val="00CE0FE6"/>
    <w:rsid w:val="00CE1004"/>
    <w:rsid w:val="00CE1189"/>
    <w:rsid w:val="00CE119E"/>
    <w:rsid w:val="00CE148F"/>
    <w:rsid w:val="00CE1604"/>
    <w:rsid w:val="00CE1623"/>
    <w:rsid w:val="00CE16AB"/>
    <w:rsid w:val="00CE16AE"/>
    <w:rsid w:val="00CE1819"/>
    <w:rsid w:val="00CE18DB"/>
    <w:rsid w:val="00CE18E3"/>
    <w:rsid w:val="00CE1D46"/>
    <w:rsid w:val="00CE1E79"/>
    <w:rsid w:val="00CE1EBC"/>
    <w:rsid w:val="00CE20A1"/>
    <w:rsid w:val="00CE2201"/>
    <w:rsid w:val="00CE24D2"/>
    <w:rsid w:val="00CE25FC"/>
    <w:rsid w:val="00CE2670"/>
    <w:rsid w:val="00CE2869"/>
    <w:rsid w:val="00CE2899"/>
    <w:rsid w:val="00CE29E6"/>
    <w:rsid w:val="00CE2AFF"/>
    <w:rsid w:val="00CE2B70"/>
    <w:rsid w:val="00CE2B78"/>
    <w:rsid w:val="00CE2E52"/>
    <w:rsid w:val="00CE2F7E"/>
    <w:rsid w:val="00CE31B4"/>
    <w:rsid w:val="00CE3350"/>
    <w:rsid w:val="00CE34A2"/>
    <w:rsid w:val="00CE34FC"/>
    <w:rsid w:val="00CE353B"/>
    <w:rsid w:val="00CE355C"/>
    <w:rsid w:val="00CE3B08"/>
    <w:rsid w:val="00CE3C44"/>
    <w:rsid w:val="00CE3F0F"/>
    <w:rsid w:val="00CE3F47"/>
    <w:rsid w:val="00CE41BB"/>
    <w:rsid w:val="00CE45F9"/>
    <w:rsid w:val="00CE461D"/>
    <w:rsid w:val="00CE4690"/>
    <w:rsid w:val="00CE46AF"/>
    <w:rsid w:val="00CE47CD"/>
    <w:rsid w:val="00CE4842"/>
    <w:rsid w:val="00CE4885"/>
    <w:rsid w:val="00CE494A"/>
    <w:rsid w:val="00CE49A7"/>
    <w:rsid w:val="00CE4A2D"/>
    <w:rsid w:val="00CE4B7E"/>
    <w:rsid w:val="00CE4CB3"/>
    <w:rsid w:val="00CE4DC5"/>
    <w:rsid w:val="00CE4ED9"/>
    <w:rsid w:val="00CE5669"/>
    <w:rsid w:val="00CE56AE"/>
    <w:rsid w:val="00CE57E9"/>
    <w:rsid w:val="00CE57FA"/>
    <w:rsid w:val="00CE580E"/>
    <w:rsid w:val="00CE5834"/>
    <w:rsid w:val="00CE5844"/>
    <w:rsid w:val="00CE5848"/>
    <w:rsid w:val="00CE5922"/>
    <w:rsid w:val="00CE5E2A"/>
    <w:rsid w:val="00CE5E8A"/>
    <w:rsid w:val="00CE5F27"/>
    <w:rsid w:val="00CE6005"/>
    <w:rsid w:val="00CE6112"/>
    <w:rsid w:val="00CE63D3"/>
    <w:rsid w:val="00CE6487"/>
    <w:rsid w:val="00CE64CE"/>
    <w:rsid w:val="00CE65D3"/>
    <w:rsid w:val="00CE6613"/>
    <w:rsid w:val="00CE668F"/>
    <w:rsid w:val="00CE6727"/>
    <w:rsid w:val="00CE6900"/>
    <w:rsid w:val="00CE69AF"/>
    <w:rsid w:val="00CE6BFE"/>
    <w:rsid w:val="00CE6C37"/>
    <w:rsid w:val="00CE6C72"/>
    <w:rsid w:val="00CE6F24"/>
    <w:rsid w:val="00CE702F"/>
    <w:rsid w:val="00CE7187"/>
    <w:rsid w:val="00CE722E"/>
    <w:rsid w:val="00CE7402"/>
    <w:rsid w:val="00CE74A3"/>
    <w:rsid w:val="00CE7583"/>
    <w:rsid w:val="00CE7689"/>
    <w:rsid w:val="00CE7A3F"/>
    <w:rsid w:val="00CE7AA4"/>
    <w:rsid w:val="00CE7AFA"/>
    <w:rsid w:val="00CE7C99"/>
    <w:rsid w:val="00CE7D7A"/>
    <w:rsid w:val="00CE7E7D"/>
    <w:rsid w:val="00CF0288"/>
    <w:rsid w:val="00CF0435"/>
    <w:rsid w:val="00CF045E"/>
    <w:rsid w:val="00CF059A"/>
    <w:rsid w:val="00CF06D4"/>
    <w:rsid w:val="00CF07E2"/>
    <w:rsid w:val="00CF07F8"/>
    <w:rsid w:val="00CF0935"/>
    <w:rsid w:val="00CF0E68"/>
    <w:rsid w:val="00CF1120"/>
    <w:rsid w:val="00CF1168"/>
    <w:rsid w:val="00CF1393"/>
    <w:rsid w:val="00CF15CD"/>
    <w:rsid w:val="00CF173B"/>
    <w:rsid w:val="00CF1755"/>
    <w:rsid w:val="00CF18FE"/>
    <w:rsid w:val="00CF1A8C"/>
    <w:rsid w:val="00CF1D92"/>
    <w:rsid w:val="00CF1DAA"/>
    <w:rsid w:val="00CF1F35"/>
    <w:rsid w:val="00CF207F"/>
    <w:rsid w:val="00CF2560"/>
    <w:rsid w:val="00CF25A9"/>
    <w:rsid w:val="00CF26B1"/>
    <w:rsid w:val="00CF2739"/>
    <w:rsid w:val="00CF29C1"/>
    <w:rsid w:val="00CF2B76"/>
    <w:rsid w:val="00CF2CA5"/>
    <w:rsid w:val="00CF2CE5"/>
    <w:rsid w:val="00CF2D53"/>
    <w:rsid w:val="00CF2E00"/>
    <w:rsid w:val="00CF2ED6"/>
    <w:rsid w:val="00CF2EFE"/>
    <w:rsid w:val="00CF3033"/>
    <w:rsid w:val="00CF320D"/>
    <w:rsid w:val="00CF364B"/>
    <w:rsid w:val="00CF3995"/>
    <w:rsid w:val="00CF39DF"/>
    <w:rsid w:val="00CF3A56"/>
    <w:rsid w:val="00CF3B72"/>
    <w:rsid w:val="00CF3D3E"/>
    <w:rsid w:val="00CF3D51"/>
    <w:rsid w:val="00CF3DAA"/>
    <w:rsid w:val="00CF3E2D"/>
    <w:rsid w:val="00CF3E3E"/>
    <w:rsid w:val="00CF3FC8"/>
    <w:rsid w:val="00CF4240"/>
    <w:rsid w:val="00CF4354"/>
    <w:rsid w:val="00CF437B"/>
    <w:rsid w:val="00CF445F"/>
    <w:rsid w:val="00CF44F4"/>
    <w:rsid w:val="00CF451E"/>
    <w:rsid w:val="00CF464E"/>
    <w:rsid w:val="00CF46CB"/>
    <w:rsid w:val="00CF4938"/>
    <w:rsid w:val="00CF49A8"/>
    <w:rsid w:val="00CF4B66"/>
    <w:rsid w:val="00CF4BD1"/>
    <w:rsid w:val="00CF4CDA"/>
    <w:rsid w:val="00CF5289"/>
    <w:rsid w:val="00CF550F"/>
    <w:rsid w:val="00CF55C2"/>
    <w:rsid w:val="00CF56DC"/>
    <w:rsid w:val="00CF5A5A"/>
    <w:rsid w:val="00CF5B01"/>
    <w:rsid w:val="00CF5F5B"/>
    <w:rsid w:val="00CF6094"/>
    <w:rsid w:val="00CF618B"/>
    <w:rsid w:val="00CF6206"/>
    <w:rsid w:val="00CF6492"/>
    <w:rsid w:val="00CF649F"/>
    <w:rsid w:val="00CF654A"/>
    <w:rsid w:val="00CF66C1"/>
    <w:rsid w:val="00CF6861"/>
    <w:rsid w:val="00CF6AEE"/>
    <w:rsid w:val="00CF6F10"/>
    <w:rsid w:val="00CF6F1A"/>
    <w:rsid w:val="00CF6F1F"/>
    <w:rsid w:val="00CF71A2"/>
    <w:rsid w:val="00CF72CF"/>
    <w:rsid w:val="00CF734E"/>
    <w:rsid w:val="00CF76C7"/>
    <w:rsid w:val="00CF7728"/>
    <w:rsid w:val="00CF77D5"/>
    <w:rsid w:val="00CF7D13"/>
    <w:rsid w:val="00CF7FCD"/>
    <w:rsid w:val="00D0007C"/>
    <w:rsid w:val="00D001B9"/>
    <w:rsid w:val="00D002F7"/>
    <w:rsid w:val="00D00362"/>
    <w:rsid w:val="00D003FA"/>
    <w:rsid w:val="00D005CC"/>
    <w:rsid w:val="00D01079"/>
    <w:rsid w:val="00D010E0"/>
    <w:rsid w:val="00D01169"/>
    <w:rsid w:val="00D011C2"/>
    <w:rsid w:val="00D014A3"/>
    <w:rsid w:val="00D014D6"/>
    <w:rsid w:val="00D0152A"/>
    <w:rsid w:val="00D0152B"/>
    <w:rsid w:val="00D016E7"/>
    <w:rsid w:val="00D01878"/>
    <w:rsid w:val="00D018A2"/>
    <w:rsid w:val="00D01D95"/>
    <w:rsid w:val="00D01F84"/>
    <w:rsid w:val="00D02045"/>
    <w:rsid w:val="00D02060"/>
    <w:rsid w:val="00D02094"/>
    <w:rsid w:val="00D02240"/>
    <w:rsid w:val="00D022CB"/>
    <w:rsid w:val="00D02318"/>
    <w:rsid w:val="00D023ED"/>
    <w:rsid w:val="00D02402"/>
    <w:rsid w:val="00D024DE"/>
    <w:rsid w:val="00D026F7"/>
    <w:rsid w:val="00D028AB"/>
    <w:rsid w:val="00D028B6"/>
    <w:rsid w:val="00D02E17"/>
    <w:rsid w:val="00D02F9E"/>
    <w:rsid w:val="00D033FD"/>
    <w:rsid w:val="00D034D1"/>
    <w:rsid w:val="00D034DD"/>
    <w:rsid w:val="00D03524"/>
    <w:rsid w:val="00D03544"/>
    <w:rsid w:val="00D03701"/>
    <w:rsid w:val="00D038B1"/>
    <w:rsid w:val="00D039F5"/>
    <w:rsid w:val="00D03A9A"/>
    <w:rsid w:val="00D03BDB"/>
    <w:rsid w:val="00D03CFD"/>
    <w:rsid w:val="00D041A3"/>
    <w:rsid w:val="00D041FC"/>
    <w:rsid w:val="00D042B4"/>
    <w:rsid w:val="00D04346"/>
    <w:rsid w:val="00D04547"/>
    <w:rsid w:val="00D04824"/>
    <w:rsid w:val="00D0494E"/>
    <w:rsid w:val="00D04952"/>
    <w:rsid w:val="00D049D1"/>
    <w:rsid w:val="00D04AC0"/>
    <w:rsid w:val="00D04B0F"/>
    <w:rsid w:val="00D04BE6"/>
    <w:rsid w:val="00D050A7"/>
    <w:rsid w:val="00D05123"/>
    <w:rsid w:val="00D0520C"/>
    <w:rsid w:val="00D052DF"/>
    <w:rsid w:val="00D054A6"/>
    <w:rsid w:val="00D05854"/>
    <w:rsid w:val="00D05B39"/>
    <w:rsid w:val="00D05BB9"/>
    <w:rsid w:val="00D05BC0"/>
    <w:rsid w:val="00D05D46"/>
    <w:rsid w:val="00D05D60"/>
    <w:rsid w:val="00D05F17"/>
    <w:rsid w:val="00D0613A"/>
    <w:rsid w:val="00D0626A"/>
    <w:rsid w:val="00D065DC"/>
    <w:rsid w:val="00D066C7"/>
    <w:rsid w:val="00D06714"/>
    <w:rsid w:val="00D067C7"/>
    <w:rsid w:val="00D0696A"/>
    <w:rsid w:val="00D06991"/>
    <w:rsid w:val="00D06A11"/>
    <w:rsid w:val="00D06A16"/>
    <w:rsid w:val="00D06B05"/>
    <w:rsid w:val="00D06B08"/>
    <w:rsid w:val="00D06BEA"/>
    <w:rsid w:val="00D06D01"/>
    <w:rsid w:val="00D07452"/>
    <w:rsid w:val="00D0751A"/>
    <w:rsid w:val="00D0752D"/>
    <w:rsid w:val="00D0758C"/>
    <w:rsid w:val="00D07706"/>
    <w:rsid w:val="00D077E1"/>
    <w:rsid w:val="00D079B6"/>
    <w:rsid w:val="00D07A9A"/>
    <w:rsid w:val="00D07B74"/>
    <w:rsid w:val="00D07CE5"/>
    <w:rsid w:val="00D07D9C"/>
    <w:rsid w:val="00D101E5"/>
    <w:rsid w:val="00D1025B"/>
    <w:rsid w:val="00D104D8"/>
    <w:rsid w:val="00D1078F"/>
    <w:rsid w:val="00D10830"/>
    <w:rsid w:val="00D1094C"/>
    <w:rsid w:val="00D10974"/>
    <w:rsid w:val="00D10E60"/>
    <w:rsid w:val="00D110E5"/>
    <w:rsid w:val="00D11448"/>
    <w:rsid w:val="00D11B20"/>
    <w:rsid w:val="00D11D2A"/>
    <w:rsid w:val="00D11D7E"/>
    <w:rsid w:val="00D11E37"/>
    <w:rsid w:val="00D11EB2"/>
    <w:rsid w:val="00D11EC5"/>
    <w:rsid w:val="00D11FD7"/>
    <w:rsid w:val="00D11FFA"/>
    <w:rsid w:val="00D12398"/>
    <w:rsid w:val="00D123C0"/>
    <w:rsid w:val="00D123CF"/>
    <w:rsid w:val="00D124B7"/>
    <w:rsid w:val="00D12550"/>
    <w:rsid w:val="00D126EC"/>
    <w:rsid w:val="00D12832"/>
    <w:rsid w:val="00D1289A"/>
    <w:rsid w:val="00D12989"/>
    <w:rsid w:val="00D12C9F"/>
    <w:rsid w:val="00D12CD2"/>
    <w:rsid w:val="00D12EB1"/>
    <w:rsid w:val="00D12EDB"/>
    <w:rsid w:val="00D13248"/>
    <w:rsid w:val="00D13406"/>
    <w:rsid w:val="00D1345D"/>
    <w:rsid w:val="00D136A4"/>
    <w:rsid w:val="00D13766"/>
    <w:rsid w:val="00D13BA5"/>
    <w:rsid w:val="00D13BB1"/>
    <w:rsid w:val="00D13C52"/>
    <w:rsid w:val="00D13D0D"/>
    <w:rsid w:val="00D13D67"/>
    <w:rsid w:val="00D13EA7"/>
    <w:rsid w:val="00D13F80"/>
    <w:rsid w:val="00D14150"/>
    <w:rsid w:val="00D14152"/>
    <w:rsid w:val="00D14190"/>
    <w:rsid w:val="00D1436F"/>
    <w:rsid w:val="00D1445E"/>
    <w:rsid w:val="00D14577"/>
    <w:rsid w:val="00D1468B"/>
    <w:rsid w:val="00D14824"/>
    <w:rsid w:val="00D149A8"/>
    <w:rsid w:val="00D14A4A"/>
    <w:rsid w:val="00D14C53"/>
    <w:rsid w:val="00D14CD7"/>
    <w:rsid w:val="00D14D23"/>
    <w:rsid w:val="00D14DAF"/>
    <w:rsid w:val="00D15052"/>
    <w:rsid w:val="00D151BA"/>
    <w:rsid w:val="00D154B8"/>
    <w:rsid w:val="00D156A1"/>
    <w:rsid w:val="00D15755"/>
    <w:rsid w:val="00D15913"/>
    <w:rsid w:val="00D159A6"/>
    <w:rsid w:val="00D15AE1"/>
    <w:rsid w:val="00D15B9F"/>
    <w:rsid w:val="00D15C06"/>
    <w:rsid w:val="00D15D8B"/>
    <w:rsid w:val="00D15D98"/>
    <w:rsid w:val="00D15F26"/>
    <w:rsid w:val="00D160F4"/>
    <w:rsid w:val="00D16195"/>
    <w:rsid w:val="00D161C5"/>
    <w:rsid w:val="00D161DA"/>
    <w:rsid w:val="00D161DC"/>
    <w:rsid w:val="00D161F2"/>
    <w:rsid w:val="00D16298"/>
    <w:rsid w:val="00D1634B"/>
    <w:rsid w:val="00D16447"/>
    <w:rsid w:val="00D1657D"/>
    <w:rsid w:val="00D16601"/>
    <w:rsid w:val="00D16725"/>
    <w:rsid w:val="00D167CF"/>
    <w:rsid w:val="00D169AA"/>
    <w:rsid w:val="00D16B6B"/>
    <w:rsid w:val="00D16BB5"/>
    <w:rsid w:val="00D16C79"/>
    <w:rsid w:val="00D16DEB"/>
    <w:rsid w:val="00D1715F"/>
    <w:rsid w:val="00D171BF"/>
    <w:rsid w:val="00D172A8"/>
    <w:rsid w:val="00D172E4"/>
    <w:rsid w:val="00D173DB"/>
    <w:rsid w:val="00D17424"/>
    <w:rsid w:val="00D17451"/>
    <w:rsid w:val="00D1751D"/>
    <w:rsid w:val="00D17550"/>
    <w:rsid w:val="00D17588"/>
    <w:rsid w:val="00D175E5"/>
    <w:rsid w:val="00D17690"/>
    <w:rsid w:val="00D176E3"/>
    <w:rsid w:val="00D1791C"/>
    <w:rsid w:val="00D17984"/>
    <w:rsid w:val="00D17AEA"/>
    <w:rsid w:val="00D17E03"/>
    <w:rsid w:val="00D204E6"/>
    <w:rsid w:val="00D205DB"/>
    <w:rsid w:val="00D206FD"/>
    <w:rsid w:val="00D20970"/>
    <w:rsid w:val="00D20AF5"/>
    <w:rsid w:val="00D20C71"/>
    <w:rsid w:val="00D20D89"/>
    <w:rsid w:val="00D20DA8"/>
    <w:rsid w:val="00D20E39"/>
    <w:rsid w:val="00D21108"/>
    <w:rsid w:val="00D211AF"/>
    <w:rsid w:val="00D211C5"/>
    <w:rsid w:val="00D2126E"/>
    <w:rsid w:val="00D212D9"/>
    <w:rsid w:val="00D2136F"/>
    <w:rsid w:val="00D213E2"/>
    <w:rsid w:val="00D216EA"/>
    <w:rsid w:val="00D218BE"/>
    <w:rsid w:val="00D21929"/>
    <w:rsid w:val="00D21AFB"/>
    <w:rsid w:val="00D21CA4"/>
    <w:rsid w:val="00D21D28"/>
    <w:rsid w:val="00D21E01"/>
    <w:rsid w:val="00D21E10"/>
    <w:rsid w:val="00D21F8E"/>
    <w:rsid w:val="00D22145"/>
    <w:rsid w:val="00D2219B"/>
    <w:rsid w:val="00D221FC"/>
    <w:rsid w:val="00D2225D"/>
    <w:rsid w:val="00D22421"/>
    <w:rsid w:val="00D224AA"/>
    <w:rsid w:val="00D224EF"/>
    <w:rsid w:val="00D2263A"/>
    <w:rsid w:val="00D2272E"/>
    <w:rsid w:val="00D227D8"/>
    <w:rsid w:val="00D22884"/>
    <w:rsid w:val="00D229A9"/>
    <w:rsid w:val="00D22A1B"/>
    <w:rsid w:val="00D22D92"/>
    <w:rsid w:val="00D22F94"/>
    <w:rsid w:val="00D230D0"/>
    <w:rsid w:val="00D23186"/>
    <w:rsid w:val="00D23207"/>
    <w:rsid w:val="00D2346F"/>
    <w:rsid w:val="00D234DE"/>
    <w:rsid w:val="00D2351D"/>
    <w:rsid w:val="00D23839"/>
    <w:rsid w:val="00D238D8"/>
    <w:rsid w:val="00D2394C"/>
    <w:rsid w:val="00D23A10"/>
    <w:rsid w:val="00D23ADA"/>
    <w:rsid w:val="00D23B3E"/>
    <w:rsid w:val="00D2404A"/>
    <w:rsid w:val="00D24183"/>
    <w:rsid w:val="00D24265"/>
    <w:rsid w:val="00D242F1"/>
    <w:rsid w:val="00D244C2"/>
    <w:rsid w:val="00D244E1"/>
    <w:rsid w:val="00D24548"/>
    <w:rsid w:val="00D246A5"/>
    <w:rsid w:val="00D246C3"/>
    <w:rsid w:val="00D24840"/>
    <w:rsid w:val="00D24A1F"/>
    <w:rsid w:val="00D24B4E"/>
    <w:rsid w:val="00D24C63"/>
    <w:rsid w:val="00D24D4B"/>
    <w:rsid w:val="00D24D5D"/>
    <w:rsid w:val="00D24DAD"/>
    <w:rsid w:val="00D24F70"/>
    <w:rsid w:val="00D24FF8"/>
    <w:rsid w:val="00D2516E"/>
    <w:rsid w:val="00D25173"/>
    <w:rsid w:val="00D2523B"/>
    <w:rsid w:val="00D25414"/>
    <w:rsid w:val="00D255AC"/>
    <w:rsid w:val="00D256E3"/>
    <w:rsid w:val="00D25756"/>
    <w:rsid w:val="00D25832"/>
    <w:rsid w:val="00D25916"/>
    <w:rsid w:val="00D25CEC"/>
    <w:rsid w:val="00D25D15"/>
    <w:rsid w:val="00D25D36"/>
    <w:rsid w:val="00D25E21"/>
    <w:rsid w:val="00D25ED7"/>
    <w:rsid w:val="00D25F76"/>
    <w:rsid w:val="00D25FBC"/>
    <w:rsid w:val="00D2610A"/>
    <w:rsid w:val="00D26198"/>
    <w:rsid w:val="00D261CA"/>
    <w:rsid w:val="00D2628E"/>
    <w:rsid w:val="00D263B4"/>
    <w:rsid w:val="00D266FE"/>
    <w:rsid w:val="00D267C1"/>
    <w:rsid w:val="00D268E3"/>
    <w:rsid w:val="00D26A0A"/>
    <w:rsid w:val="00D26AB6"/>
    <w:rsid w:val="00D26BF8"/>
    <w:rsid w:val="00D26C1C"/>
    <w:rsid w:val="00D26CB5"/>
    <w:rsid w:val="00D26D97"/>
    <w:rsid w:val="00D26DC2"/>
    <w:rsid w:val="00D26EC5"/>
    <w:rsid w:val="00D26FAD"/>
    <w:rsid w:val="00D2713B"/>
    <w:rsid w:val="00D272CC"/>
    <w:rsid w:val="00D2755A"/>
    <w:rsid w:val="00D27645"/>
    <w:rsid w:val="00D27666"/>
    <w:rsid w:val="00D27771"/>
    <w:rsid w:val="00D277E3"/>
    <w:rsid w:val="00D27A4E"/>
    <w:rsid w:val="00D27AAB"/>
    <w:rsid w:val="00D27C3F"/>
    <w:rsid w:val="00D27D00"/>
    <w:rsid w:val="00D30110"/>
    <w:rsid w:val="00D30265"/>
    <w:rsid w:val="00D303E2"/>
    <w:rsid w:val="00D30859"/>
    <w:rsid w:val="00D30874"/>
    <w:rsid w:val="00D30899"/>
    <w:rsid w:val="00D30A88"/>
    <w:rsid w:val="00D30AA5"/>
    <w:rsid w:val="00D30B84"/>
    <w:rsid w:val="00D30CC3"/>
    <w:rsid w:val="00D30DD4"/>
    <w:rsid w:val="00D30E22"/>
    <w:rsid w:val="00D30ED1"/>
    <w:rsid w:val="00D30F7D"/>
    <w:rsid w:val="00D30FC6"/>
    <w:rsid w:val="00D31163"/>
    <w:rsid w:val="00D311E7"/>
    <w:rsid w:val="00D31419"/>
    <w:rsid w:val="00D314E8"/>
    <w:rsid w:val="00D3167B"/>
    <w:rsid w:val="00D31823"/>
    <w:rsid w:val="00D31892"/>
    <w:rsid w:val="00D318B8"/>
    <w:rsid w:val="00D3191F"/>
    <w:rsid w:val="00D31A8A"/>
    <w:rsid w:val="00D31B26"/>
    <w:rsid w:val="00D31C18"/>
    <w:rsid w:val="00D31F01"/>
    <w:rsid w:val="00D323F3"/>
    <w:rsid w:val="00D324E6"/>
    <w:rsid w:val="00D3291B"/>
    <w:rsid w:val="00D32933"/>
    <w:rsid w:val="00D329E6"/>
    <w:rsid w:val="00D32A5A"/>
    <w:rsid w:val="00D32AAC"/>
    <w:rsid w:val="00D32B46"/>
    <w:rsid w:val="00D32CDB"/>
    <w:rsid w:val="00D32D88"/>
    <w:rsid w:val="00D32F07"/>
    <w:rsid w:val="00D3307D"/>
    <w:rsid w:val="00D330C6"/>
    <w:rsid w:val="00D331B2"/>
    <w:rsid w:val="00D335CB"/>
    <w:rsid w:val="00D336A8"/>
    <w:rsid w:val="00D339E3"/>
    <w:rsid w:val="00D33DEE"/>
    <w:rsid w:val="00D33F6B"/>
    <w:rsid w:val="00D33F6F"/>
    <w:rsid w:val="00D3406A"/>
    <w:rsid w:val="00D340C0"/>
    <w:rsid w:val="00D348F8"/>
    <w:rsid w:val="00D34936"/>
    <w:rsid w:val="00D34A30"/>
    <w:rsid w:val="00D34B39"/>
    <w:rsid w:val="00D34D0A"/>
    <w:rsid w:val="00D34D67"/>
    <w:rsid w:val="00D34E2F"/>
    <w:rsid w:val="00D34E41"/>
    <w:rsid w:val="00D34E9F"/>
    <w:rsid w:val="00D34F89"/>
    <w:rsid w:val="00D351BB"/>
    <w:rsid w:val="00D352F1"/>
    <w:rsid w:val="00D353B9"/>
    <w:rsid w:val="00D35460"/>
    <w:rsid w:val="00D35581"/>
    <w:rsid w:val="00D356C4"/>
    <w:rsid w:val="00D357C4"/>
    <w:rsid w:val="00D35945"/>
    <w:rsid w:val="00D359BD"/>
    <w:rsid w:val="00D35AA5"/>
    <w:rsid w:val="00D35AAF"/>
    <w:rsid w:val="00D35ABB"/>
    <w:rsid w:val="00D35B38"/>
    <w:rsid w:val="00D35B6F"/>
    <w:rsid w:val="00D35C63"/>
    <w:rsid w:val="00D35CAA"/>
    <w:rsid w:val="00D35DB0"/>
    <w:rsid w:val="00D35DF3"/>
    <w:rsid w:val="00D35E2E"/>
    <w:rsid w:val="00D35E8A"/>
    <w:rsid w:val="00D35EF6"/>
    <w:rsid w:val="00D361F5"/>
    <w:rsid w:val="00D36209"/>
    <w:rsid w:val="00D363EB"/>
    <w:rsid w:val="00D365AA"/>
    <w:rsid w:val="00D3681D"/>
    <w:rsid w:val="00D3686A"/>
    <w:rsid w:val="00D3690E"/>
    <w:rsid w:val="00D3696A"/>
    <w:rsid w:val="00D369F6"/>
    <w:rsid w:val="00D36DC9"/>
    <w:rsid w:val="00D36DCB"/>
    <w:rsid w:val="00D3702F"/>
    <w:rsid w:val="00D370A3"/>
    <w:rsid w:val="00D3715B"/>
    <w:rsid w:val="00D37429"/>
    <w:rsid w:val="00D37463"/>
    <w:rsid w:val="00D3749D"/>
    <w:rsid w:val="00D3763B"/>
    <w:rsid w:val="00D3784A"/>
    <w:rsid w:val="00D37972"/>
    <w:rsid w:val="00D379B5"/>
    <w:rsid w:val="00D37A15"/>
    <w:rsid w:val="00D37A72"/>
    <w:rsid w:val="00D37B3F"/>
    <w:rsid w:val="00D37BAD"/>
    <w:rsid w:val="00D37C2C"/>
    <w:rsid w:val="00D37D11"/>
    <w:rsid w:val="00D37D27"/>
    <w:rsid w:val="00D37DFC"/>
    <w:rsid w:val="00D403C0"/>
    <w:rsid w:val="00D403DC"/>
    <w:rsid w:val="00D4052F"/>
    <w:rsid w:val="00D405DB"/>
    <w:rsid w:val="00D4073A"/>
    <w:rsid w:val="00D40786"/>
    <w:rsid w:val="00D40896"/>
    <w:rsid w:val="00D408DA"/>
    <w:rsid w:val="00D40996"/>
    <w:rsid w:val="00D40B14"/>
    <w:rsid w:val="00D40B18"/>
    <w:rsid w:val="00D40C53"/>
    <w:rsid w:val="00D40C90"/>
    <w:rsid w:val="00D40F30"/>
    <w:rsid w:val="00D4130A"/>
    <w:rsid w:val="00D41534"/>
    <w:rsid w:val="00D4155F"/>
    <w:rsid w:val="00D4161A"/>
    <w:rsid w:val="00D4177A"/>
    <w:rsid w:val="00D4187F"/>
    <w:rsid w:val="00D41B28"/>
    <w:rsid w:val="00D41C4D"/>
    <w:rsid w:val="00D41E5C"/>
    <w:rsid w:val="00D41EB0"/>
    <w:rsid w:val="00D41F4F"/>
    <w:rsid w:val="00D42136"/>
    <w:rsid w:val="00D421D1"/>
    <w:rsid w:val="00D4225D"/>
    <w:rsid w:val="00D423B8"/>
    <w:rsid w:val="00D4259B"/>
    <w:rsid w:val="00D425CE"/>
    <w:rsid w:val="00D428A9"/>
    <w:rsid w:val="00D42C43"/>
    <w:rsid w:val="00D42CAF"/>
    <w:rsid w:val="00D42CE3"/>
    <w:rsid w:val="00D42D80"/>
    <w:rsid w:val="00D42E2F"/>
    <w:rsid w:val="00D42E47"/>
    <w:rsid w:val="00D42EF6"/>
    <w:rsid w:val="00D42F4E"/>
    <w:rsid w:val="00D430C5"/>
    <w:rsid w:val="00D430F4"/>
    <w:rsid w:val="00D43188"/>
    <w:rsid w:val="00D431AB"/>
    <w:rsid w:val="00D4371B"/>
    <w:rsid w:val="00D437B5"/>
    <w:rsid w:val="00D437C0"/>
    <w:rsid w:val="00D4380E"/>
    <w:rsid w:val="00D43B69"/>
    <w:rsid w:val="00D43B6E"/>
    <w:rsid w:val="00D43D44"/>
    <w:rsid w:val="00D43E0B"/>
    <w:rsid w:val="00D43EC6"/>
    <w:rsid w:val="00D44161"/>
    <w:rsid w:val="00D444A2"/>
    <w:rsid w:val="00D44650"/>
    <w:rsid w:val="00D44BE6"/>
    <w:rsid w:val="00D44D9C"/>
    <w:rsid w:val="00D44F81"/>
    <w:rsid w:val="00D44F9D"/>
    <w:rsid w:val="00D44FEF"/>
    <w:rsid w:val="00D45086"/>
    <w:rsid w:val="00D451FC"/>
    <w:rsid w:val="00D4522C"/>
    <w:rsid w:val="00D4533D"/>
    <w:rsid w:val="00D454FE"/>
    <w:rsid w:val="00D456D2"/>
    <w:rsid w:val="00D45853"/>
    <w:rsid w:val="00D45899"/>
    <w:rsid w:val="00D45A41"/>
    <w:rsid w:val="00D46141"/>
    <w:rsid w:val="00D46202"/>
    <w:rsid w:val="00D46278"/>
    <w:rsid w:val="00D46287"/>
    <w:rsid w:val="00D464A0"/>
    <w:rsid w:val="00D469D4"/>
    <w:rsid w:val="00D46F34"/>
    <w:rsid w:val="00D4721B"/>
    <w:rsid w:val="00D47332"/>
    <w:rsid w:val="00D47412"/>
    <w:rsid w:val="00D474B2"/>
    <w:rsid w:val="00D47655"/>
    <w:rsid w:val="00D477CA"/>
    <w:rsid w:val="00D477D0"/>
    <w:rsid w:val="00D47909"/>
    <w:rsid w:val="00D47A50"/>
    <w:rsid w:val="00D47B2F"/>
    <w:rsid w:val="00D47CDE"/>
    <w:rsid w:val="00D47DE5"/>
    <w:rsid w:val="00D47DFD"/>
    <w:rsid w:val="00D47E34"/>
    <w:rsid w:val="00D47EA8"/>
    <w:rsid w:val="00D503A9"/>
    <w:rsid w:val="00D50431"/>
    <w:rsid w:val="00D5057A"/>
    <w:rsid w:val="00D5081A"/>
    <w:rsid w:val="00D508DC"/>
    <w:rsid w:val="00D50A42"/>
    <w:rsid w:val="00D50AE7"/>
    <w:rsid w:val="00D50B83"/>
    <w:rsid w:val="00D50B92"/>
    <w:rsid w:val="00D50CD5"/>
    <w:rsid w:val="00D50F47"/>
    <w:rsid w:val="00D5126C"/>
    <w:rsid w:val="00D51418"/>
    <w:rsid w:val="00D5141C"/>
    <w:rsid w:val="00D514CA"/>
    <w:rsid w:val="00D51757"/>
    <w:rsid w:val="00D518BE"/>
    <w:rsid w:val="00D518D4"/>
    <w:rsid w:val="00D51BDA"/>
    <w:rsid w:val="00D51D88"/>
    <w:rsid w:val="00D522C4"/>
    <w:rsid w:val="00D5238F"/>
    <w:rsid w:val="00D52452"/>
    <w:rsid w:val="00D5257A"/>
    <w:rsid w:val="00D52739"/>
    <w:rsid w:val="00D5281F"/>
    <w:rsid w:val="00D528A8"/>
    <w:rsid w:val="00D52F1E"/>
    <w:rsid w:val="00D53054"/>
    <w:rsid w:val="00D5318D"/>
    <w:rsid w:val="00D53238"/>
    <w:rsid w:val="00D532C5"/>
    <w:rsid w:val="00D534B1"/>
    <w:rsid w:val="00D53520"/>
    <w:rsid w:val="00D53538"/>
    <w:rsid w:val="00D5368F"/>
    <w:rsid w:val="00D53764"/>
    <w:rsid w:val="00D539E2"/>
    <w:rsid w:val="00D53AD0"/>
    <w:rsid w:val="00D53DB6"/>
    <w:rsid w:val="00D53E02"/>
    <w:rsid w:val="00D53E36"/>
    <w:rsid w:val="00D53F67"/>
    <w:rsid w:val="00D53F99"/>
    <w:rsid w:val="00D53FE6"/>
    <w:rsid w:val="00D54062"/>
    <w:rsid w:val="00D5428F"/>
    <w:rsid w:val="00D543B5"/>
    <w:rsid w:val="00D5442B"/>
    <w:rsid w:val="00D5449C"/>
    <w:rsid w:val="00D54567"/>
    <w:rsid w:val="00D545DA"/>
    <w:rsid w:val="00D5494E"/>
    <w:rsid w:val="00D54A74"/>
    <w:rsid w:val="00D54B7E"/>
    <w:rsid w:val="00D54E46"/>
    <w:rsid w:val="00D551E0"/>
    <w:rsid w:val="00D5532C"/>
    <w:rsid w:val="00D55487"/>
    <w:rsid w:val="00D556B4"/>
    <w:rsid w:val="00D5573F"/>
    <w:rsid w:val="00D55750"/>
    <w:rsid w:val="00D55B5C"/>
    <w:rsid w:val="00D55C3B"/>
    <w:rsid w:val="00D55C44"/>
    <w:rsid w:val="00D55D82"/>
    <w:rsid w:val="00D55DFA"/>
    <w:rsid w:val="00D55E0F"/>
    <w:rsid w:val="00D55EDD"/>
    <w:rsid w:val="00D55F20"/>
    <w:rsid w:val="00D56020"/>
    <w:rsid w:val="00D5635D"/>
    <w:rsid w:val="00D56378"/>
    <w:rsid w:val="00D5663C"/>
    <w:rsid w:val="00D569E8"/>
    <w:rsid w:val="00D56A6E"/>
    <w:rsid w:val="00D56B7C"/>
    <w:rsid w:val="00D56F6B"/>
    <w:rsid w:val="00D57030"/>
    <w:rsid w:val="00D57173"/>
    <w:rsid w:val="00D571F1"/>
    <w:rsid w:val="00D57405"/>
    <w:rsid w:val="00D5769C"/>
    <w:rsid w:val="00D579FE"/>
    <w:rsid w:val="00D57A64"/>
    <w:rsid w:val="00D57F12"/>
    <w:rsid w:val="00D600B3"/>
    <w:rsid w:val="00D6016B"/>
    <w:rsid w:val="00D60298"/>
    <w:rsid w:val="00D60308"/>
    <w:rsid w:val="00D60422"/>
    <w:rsid w:val="00D6060D"/>
    <w:rsid w:val="00D606B5"/>
    <w:rsid w:val="00D60929"/>
    <w:rsid w:val="00D60BB4"/>
    <w:rsid w:val="00D60D95"/>
    <w:rsid w:val="00D60DD4"/>
    <w:rsid w:val="00D60E4F"/>
    <w:rsid w:val="00D60F73"/>
    <w:rsid w:val="00D60F86"/>
    <w:rsid w:val="00D60FA1"/>
    <w:rsid w:val="00D6106E"/>
    <w:rsid w:val="00D61079"/>
    <w:rsid w:val="00D61181"/>
    <w:rsid w:val="00D611E5"/>
    <w:rsid w:val="00D612BF"/>
    <w:rsid w:val="00D6147A"/>
    <w:rsid w:val="00D6162B"/>
    <w:rsid w:val="00D61757"/>
    <w:rsid w:val="00D61870"/>
    <w:rsid w:val="00D61952"/>
    <w:rsid w:val="00D619EF"/>
    <w:rsid w:val="00D61CC9"/>
    <w:rsid w:val="00D61E9E"/>
    <w:rsid w:val="00D61F15"/>
    <w:rsid w:val="00D620EA"/>
    <w:rsid w:val="00D621BD"/>
    <w:rsid w:val="00D6237E"/>
    <w:rsid w:val="00D6263F"/>
    <w:rsid w:val="00D627DA"/>
    <w:rsid w:val="00D628DA"/>
    <w:rsid w:val="00D62A65"/>
    <w:rsid w:val="00D62CED"/>
    <w:rsid w:val="00D62D78"/>
    <w:rsid w:val="00D62E77"/>
    <w:rsid w:val="00D62F1C"/>
    <w:rsid w:val="00D62F41"/>
    <w:rsid w:val="00D6304C"/>
    <w:rsid w:val="00D6325A"/>
    <w:rsid w:val="00D632CF"/>
    <w:rsid w:val="00D6330B"/>
    <w:rsid w:val="00D633D9"/>
    <w:rsid w:val="00D635BE"/>
    <w:rsid w:val="00D638DE"/>
    <w:rsid w:val="00D6392D"/>
    <w:rsid w:val="00D63C33"/>
    <w:rsid w:val="00D63C48"/>
    <w:rsid w:val="00D63C56"/>
    <w:rsid w:val="00D63D7E"/>
    <w:rsid w:val="00D63E9B"/>
    <w:rsid w:val="00D63F3C"/>
    <w:rsid w:val="00D640D4"/>
    <w:rsid w:val="00D64201"/>
    <w:rsid w:val="00D64289"/>
    <w:rsid w:val="00D6439D"/>
    <w:rsid w:val="00D643AD"/>
    <w:rsid w:val="00D64444"/>
    <w:rsid w:val="00D64489"/>
    <w:rsid w:val="00D64593"/>
    <w:rsid w:val="00D6463C"/>
    <w:rsid w:val="00D6486F"/>
    <w:rsid w:val="00D648FB"/>
    <w:rsid w:val="00D6495E"/>
    <w:rsid w:val="00D64CE4"/>
    <w:rsid w:val="00D64D13"/>
    <w:rsid w:val="00D64D44"/>
    <w:rsid w:val="00D64E46"/>
    <w:rsid w:val="00D64EAF"/>
    <w:rsid w:val="00D64EB4"/>
    <w:rsid w:val="00D64FC7"/>
    <w:rsid w:val="00D6508A"/>
    <w:rsid w:val="00D65178"/>
    <w:rsid w:val="00D6538D"/>
    <w:rsid w:val="00D6544B"/>
    <w:rsid w:val="00D654F0"/>
    <w:rsid w:val="00D655C8"/>
    <w:rsid w:val="00D656D9"/>
    <w:rsid w:val="00D65945"/>
    <w:rsid w:val="00D6597A"/>
    <w:rsid w:val="00D65982"/>
    <w:rsid w:val="00D65BE7"/>
    <w:rsid w:val="00D65DAB"/>
    <w:rsid w:val="00D6607D"/>
    <w:rsid w:val="00D66232"/>
    <w:rsid w:val="00D6667B"/>
    <w:rsid w:val="00D666DA"/>
    <w:rsid w:val="00D66790"/>
    <w:rsid w:val="00D667C2"/>
    <w:rsid w:val="00D66ADC"/>
    <w:rsid w:val="00D66AE6"/>
    <w:rsid w:val="00D66CF9"/>
    <w:rsid w:val="00D66D36"/>
    <w:rsid w:val="00D66F1C"/>
    <w:rsid w:val="00D6732E"/>
    <w:rsid w:val="00D6735A"/>
    <w:rsid w:val="00D674A0"/>
    <w:rsid w:val="00D67C42"/>
    <w:rsid w:val="00D67F17"/>
    <w:rsid w:val="00D67FAD"/>
    <w:rsid w:val="00D67FB8"/>
    <w:rsid w:val="00D67FBB"/>
    <w:rsid w:val="00D70342"/>
    <w:rsid w:val="00D70497"/>
    <w:rsid w:val="00D7052A"/>
    <w:rsid w:val="00D7064E"/>
    <w:rsid w:val="00D70684"/>
    <w:rsid w:val="00D70710"/>
    <w:rsid w:val="00D707D5"/>
    <w:rsid w:val="00D7081D"/>
    <w:rsid w:val="00D70847"/>
    <w:rsid w:val="00D70A3F"/>
    <w:rsid w:val="00D70B13"/>
    <w:rsid w:val="00D70C7C"/>
    <w:rsid w:val="00D70D20"/>
    <w:rsid w:val="00D70DD2"/>
    <w:rsid w:val="00D70E08"/>
    <w:rsid w:val="00D7116A"/>
    <w:rsid w:val="00D71194"/>
    <w:rsid w:val="00D712AA"/>
    <w:rsid w:val="00D712F3"/>
    <w:rsid w:val="00D71335"/>
    <w:rsid w:val="00D71400"/>
    <w:rsid w:val="00D7174E"/>
    <w:rsid w:val="00D71888"/>
    <w:rsid w:val="00D71A00"/>
    <w:rsid w:val="00D71D77"/>
    <w:rsid w:val="00D71E6A"/>
    <w:rsid w:val="00D72014"/>
    <w:rsid w:val="00D720C1"/>
    <w:rsid w:val="00D7220A"/>
    <w:rsid w:val="00D72494"/>
    <w:rsid w:val="00D72500"/>
    <w:rsid w:val="00D72526"/>
    <w:rsid w:val="00D7262E"/>
    <w:rsid w:val="00D72716"/>
    <w:rsid w:val="00D72752"/>
    <w:rsid w:val="00D72778"/>
    <w:rsid w:val="00D727ED"/>
    <w:rsid w:val="00D7280D"/>
    <w:rsid w:val="00D7287E"/>
    <w:rsid w:val="00D728D7"/>
    <w:rsid w:val="00D7296B"/>
    <w:rsid w:val="00D72AD2"/>
    <w:rsid w:val="00D72BB9"/>
    <w:rsid w:val="00D72CDD"/>
    <w:rsid w:val="00D72F30"/>
    <w:rsid w:val="00D72F75"/>
    <w:rsid w:val="00D72FE4"/>
    <w:rsid w:val="00D7300E"/>
    <w:rsid w:val="00D73042"/>
    <w:rsid w:val="00D7376E"/>
    <w:rsid w:val="00D737C5"/>
    <w:rsid w:val="00D738FB"/>
    <w:rsid w:val="00D73C83"/>
    <w:rsid w:val="00D73CC6"/>
    <w:rsid w:val="00D73EC0"/>
    <w:rsid w:val="00D73F3E"/>
    <w:rsid w:val="00D73F4F"/>
    <w:rsid w:val="00D740BC"/>
    <w:rsid w:val="00D74106"/>
    <w:rsid w:val="00D74402"/>
    <w:rsid w:val="00D745C3"/>
    <w:rsid w:val="00D74780"/>
    <w:rsid w:val="00D747C4"/>
    <w:rsid w:val="00D74825"/>
    <w:rsid w:val="00D74992"/>
    <w:rsid w:val="00D74A49"/>
    <w:rsid w:val="00D74B58"/>
    <w:rsid w:val="00D74BC8"/>
    <w:rsid w:val="00D74D93"/>
    <w:rsid w:val="00D74F1E"/>
    <w:rsid w:val="00D750DD"/>
    <w:rsid w:val="00D7538E"/>
    <w:rsid w:val="00D75470"/>
    <w:rsid w:val="00D7555E"/>
    <w:rsid w:val="00D7561E"/>
    <w:rsid w:val="00D75686"/>
    <w:rsid w:val="00D75A17"/>
    <w:rsid w:val="00D75BD1"/>
    <w:rsid w:val="00D75D6E"/>
    <w:rsid w:val="00D75ED3"/>
    <w:rsid w:val="00D75F3E"/>
    <w:rsid w:val="00D76010"/>
    <w:rsid w:val="00D7603E"/>
    <w:rsid w:val="00D76051"/>
    <w:rsid w:val="00D7615C"/>
    <w:rsid w:val="00D761A4"/>
    <w:rsid w:val="00D7644C"/>
    <w:rsid w:val="00D76505"/>
    <w:rsid w:val="00D765BE"/>
    <w:rsid w:val="00D766C1"/>
    <w:rsid w:val="00D766D0"/>
    <w:rsid w:val="00D766D6"/>
    <w:rsid w:val="00D7694A"/>
    <w:rsid w:val="00D76964"/>
    <w:rsid w:val="00D76B9B"/>
    <w:rsid w:val="00D76C18"/>
    <w:rsid w:val="00D76C7F"/>
    <w:rsid w:val="00D76CB4"/>
    <w:rsid w:val="00D76E00"/>
    <w:rsid w:val="00D772B7"/>
    <w:rsid w:val="00D7733D"/>
    <w:rsid w:val="00D77410"/>
    <w:rsid w:val="00D7742A"/>
    <w:rsid w:val="00D775EA"/>
    <w:rsid w:val="00D777FC"/>
    <w:rsid w:val="00D77992"/>
    <w:rsid w:val="00D7799B"/>
    <w:rsid w:val="00D77B52"/>
    <w:rsid w:val="00D77B7D"/>
    <w:rsid w:val="00D77B88"/>
    <w:rsid w:val="00D77B8F"/>
    <w:rsid w:val="00D77C61"/>
    <w:rsid w:val="00D77E2A"/>
    <w:rsid w:val="00D77E2B"/>
    <w:rsid w:val="00D77E3F"/>
    <w:rsid w:val="00D77E6D"/>
    <w:rsid w:val="00D77E7D"/>
    <w:rsid w:val="00D800A0"/>
    <w:rsid w:val="00D80128"/>
    <w:rsid w:val="00D802FD"/>
    <w:rsid w:val="00D80380"/>
    <w:rsid w:val="00D8040E"/>
    <w:rsid w:val="00D8057A"/>
    <w:rsid w:val="00D80592"/>
    <w:rsid w:val="00D80797"/>
    <w:rsid w:val="00D807D1"/>
    <w:rsid w:val="00D80854"/>
    <w:rsid w:val="00D80921"/>
    <w:rsid w:val="00D80991"/>
    <w:rsid w:val="00D80AE1"/>
    <w:rsid w:val="00D80C5D"/>
    <w:rsid w:val="00D80CFB"/>
    <w:rsid w:val="00D80D75"/>
    <w:rsid w:val="00D81057"/>
    <w:rsid w:val="00D81106"/>
    <w:rsid w:val="00D811B4"/>
    <w:rsid w:val="00D811C4"/>
    <w:rsid w:val="00D81353"/>
    <w:rsid w:val="00D81390"/>
    <w:rsid w:val="00D813D5"/>
    <w:rsid w:val="00D813EB"/>
    <w:rsid w:val="00D81434"/>
    <w:rsid w:val="00D8168B"/>
    <w:rsid w:val="00D81706"/>
    <w:rsid w:val="00D818F3"/>
    <w:rsid w:val="00D819A5"/>
    <w:rsid w:val="00D819A9"/>
    <w:rsid w:val="00D819DF"/>
    <w:rsid w:val="00D81B67"/>
    <w:rsid w:val="00D8216D"/>
    <w:rsid w:val="00D82403"/>
    <w:rsid w:val="00D8248E"/>
    <w:rsid w:val="00D82942"/>
    <w:rsid w:val="00D82A48"/>
    <w:rsid w:val="00D82A70"/>
    <w:rsid w:val="00D82BE8"/>
    <w:rsid w:val="00D82BEB"/>
    <w:rsid w:val="00D82C28"/>
    <w:rsid w:val="00D82D12"/>
    <w:rsid w:val="00D82EE6"/>
    <w:rsid w:val="00D8319B"/>
    <w:rsid w:val="00D832B2"/>
    <w:rsid w:val="00D834D7"/>
    <w:rsid w:val="00D83633"/>
    <w:rsid w:val="00D8366C"/>
    <w:rsid w:val="00D8387F"/>
    <w:rsid w:val="00D83902"/>
    <w:rsid w:val="00D839FB"/>
    <w:rsid w:val="00D83A62"/>
    <w:rsid w:val="00D83C18"/>
    <w:rsid w:val="00D83CE3"/>
    <w:rsid w:val="00D83CF9"/>
    <w:rsid w:val="00D83CFA"/>
    <w:rsid w:val="00D83E3C"/>
    <w:rsid w:val="00D83F4D"/>
    <w:rsid w:val="00D83FCA"/>
    <w:rsid w:val="00D84140"/>
    <w:rsid w:val="00D843F6"/>
    <w:rsid w:val="00D8441F"/>
    <w:rsid w:val="00D844B2"/>
    <w:rsid w:val="00D844E4"/>
    <w:rsid w:val="00D84509"/>
    <w:rsid w:val="00D84797"/>
    <w:rsid w:val="00D8487B"/>
    <w:rsid w:val="00D84982"/>
    <w:rsid w:val="00D84B6C"/>
    <w:rsid w:val="00D84E39"/>
    <w:rsid w:val="00D84E54"/>
    <w:rsid w:val="00D84EFC"/>
    <w:rsid w:val="00D84FB7"/>
    <w:rsid w:val="00D84FF2"/>
    <w:rsid w:val="00D85047"/>
    <w:rsid w:val="00D85140"/>
    <w:rsid w:val="00D853B4"/>
    <w:rsid w:val="00D856F5"/>
    <w:rsid w:val="00D85820"/>
    <w:rsid w:val="00D858F9"/>
    <w:rsid w:val="00D85B08"/>
    <w:rsid w:val="00D85D0C"/>
    <w:rsid w:val="00D8603F"/>
    <w:rsid w:val="00D86044"/>
    <w:rsid w:val="00D8612A"/>
    <w:rsid w:val="00D86157"/>
    <w:rsid w:val="00D864EA"/>
    <w:rsid w:val="00D865D1"/>
    <w:rsid w:val="00D8670D"/>
    <w:rsid w:val="00D86D39"/>
    <w:rsid w:val="00D86D90"/>
    <w:rsid w:val="00D87239"/>
    <w:rsid w:val="00D8730E"/>
    <w:rsid w:val="00D8741D"/>
    <w:rsid w:val="00D874DC"/>
    <w:rsid w:val="00D87661"/>
    <w:rsid w:val="00D8768C"/>
    <w:rsid w:val="00D876C5"/>
    <w:rsid w:val="00D87742"/>
    <w:rsid w:val="00D8782D"/>
    <w:rsid w:val="00D8782E"/>
    <w:rsid w:val="00D87A55"/>
    <w:rsid w:val="00D87F69"/>
    <w:rsid w:val="00D9003B"/>
    <w:rsid w:val="00D9010B"/>
    <w:rsid w:val="00D90160"/>
    <w:rsid w:val="00D9035C"/>
    <w:rsid w:val="00D904C3"/>
    <w:rsid w:val="00D90532"/>
    <w:rsid w:val="00D9078F"/>
    <w:rsid w:val="00D908B0"/>
    <w:rsid w:val="00D909BB"/>
    <w:rsid w:val="00D909CF"/>
    <w:rsid w:val="00D90D1F"/>
    <w:rsid w:val="00D90E19"/>
    <w:rsid w:val="00D90E26"/>
    <w:rsid w:val="00D90E3A"/>
    <w:rsid w:val="00D90E99"/>
    <w:rsid w:val="00D90EEC"/>
    <w:rsid w:val="00D9106C"/>
    <w:rsid w:val="00D91241"/>
    <w:rsid w:val="00D912A8"/>
    <w:rsid w:val="00D9175D"/>
    <w:rsid w:val="00D91848"/>
    <w:rsid w:val="00D91BB1"/>
    <w:rsid w:val="00D91C03"/>
    <w:rsid w:val="00D91C77"/>
    <w:rsid w:val="00D91CDF"/>
    <w:rsid w:val="00D91CF6"/>
    <w:rsid w:val="00D920BA"/>
    <w:rsid w:val="00D921DA"/>
    <w:rsid w:val="00D923D0"/>
    <w:rsid w:val="00D9270C"/>
    <w:rsid w:val="00D9288E"/>
    <w:rsid w:val="00D9295C"/>
    <w:rsid w:val="00D92A2D"/>
    <w:rsid w:val="00D92A45"/>
    <w:rsid w:val="00D92C6C"/>
    <w:rsid w:val="00D92CD2"/>
    <w:rsid w:val="00D92D0C"/>
    <w:rsid w:val="00D932DA"/>
    <w:rsid w:val="00D9330A"/>
    <w:rsid w:val="00D934E4"/>
    <w:rsid w:val="00D93702"/>
    <w:rsid w:val="00D93774"/>
    <w:rsid w:val="00D93937"/>
    <w:rsid w:val="00D93A9F"/>
    <w:rsid w:val="00D93AED"/>
    <w:rsid w:val="00D93D75"/>
    <w:rsid w:val="00D93E10"/>
    <w:rsid w:val="00D93EDD"/>
    <w:rsid w:val="00D94130"/>
    <w:rsid w:val="00D942A7"/>
    <w:rsid w:val="00D943BF"/>
    <w:rsid w:val="00D94443"/>
    <w:rsid w:val="00D944CD"/>
    <w:rsid w:val="00D9450F"/>
    <w:rsid w:val="00D945E2"/>
    <w:rsid w:val="00D945EA"/>
    <w:rsid w:val="00D9496A"/>
    <w:rsid w:val="00D94ABA"/>
    <w:rsid w:val="00D94B00"/>
    <w:rsid w:val="00D94BA3"/>
    <w:rsid w:val="00D94C87"/>
    <w:rsid w:val="00D94D13"/>
    <w:rsid w:val="00D94F80"/>
    <w:rsid w:val="00D951F2"/>
    <w:rsid w:val="00D95394"/>
    <w:rsid w:val="00D955CB"/>
    <w:rsid w:val="00D9589B"/>
    <w:rsid w:val="00D959ED"/>
    <w:rsid w:val="00D95E54"/>
    <w:rsid w:val="00D95F85"/>
    <w:rsid w:val="00D95FCD"/>
    <w:rsid w:val="00D961CE"/>
    <w:rsid w:val="00D96281"/>
    <w:rsid w:val="00D96603"/>
    <w:rsid w:val="00D96B5D"/>
    <w:rsid w:val="00D96C0A"/>
    <w:rsid w:val="00D96D7E"/>
    <w:rsid w:val="00D970E7"/>
    <w:rsid w:val="00D970E8"/>
    <w:rsid w:val="00D972FB"/>
    <w:rsid w:val="00D97419"/>
    <w:rsid w:val="00D97543"/>
    <w:rsid w:val="00D97638"/>
    <w:rsid w:val="00D9787F"/>
    <w:rsid w:val="00D97980"/>
    <w:rsid w:val="00D97B3A"/>
    <w:rsid w:val="00D97BB1"/>
    <w:rsid w:val="00D97BF0"/>
    <w:rsid w:val="00D97DE3"/>
    <w:rsid w:val="00D97E07"/>
    <w:rsid w:val="00D97F14"/>
    <w:rsid w:val="00DA01E5"/>
    <w:rsid w:val="00DA02E9"/>
    <w:rsid w:val="00DA0312"/>
    <w:rsid w:val="00DA032B"/>
    <w:rsid w:val="00DA0456"/>
    <w:rsid w:val="00DA0522"/>
    <w:rsid w:val="00DA05A4"/>
    <w:rsid w:val="00DA0731"/>
    <w:rsid w:val="00DA07DE"/>
    <w:rsid w:val="00DA089D"/>
    <w:rsid w:val="00DA08E8"/>
    <w:rsid w:val="00DA09DE"/>
    <w:rsid w:val="00DA09F2"/>
    <w:rsid w:val="00DA0A47"/>
    <w:rsid w:val="00DA0C19"/>
    <w:rsid w:val="00DA0CCB"/>
    <w:rsid w:val="00DA0DBE"/>
    <w:rsid w:val="00DA0E5C"/>
    <w:rsid w:val="00DA0E80"/>
    <w:rsid w:val="00DA0FAD"/>
    <w:rsid w:val="00DA0FDC"/>
    <w:rsid w:val="00DA1030"/>
    <w:rsid w:val="00DA14CF"/>
    <w:rsid w:val="00DA1512"/>
    <w:rsid w:val="00DA151B"/>
    <w:rsid w:val="00DA1524"/>
    <w:rsid w:val="00DA16C5"/>
    <w:rsid w:val="00DA1908"/>
    <w:rsid w:val="00DA192B"/>
    <w:rsid w:val="00DA196D"/>
    <w:rsid w:val="00DA1A4B"/>
    <w:rsid w:val="00DA1CFD"/>
    <w:rsid w:val="00DA1D1E"/>
    <w:rsid w:val="00DA1D57"/>
    <w:rsid w:val="00DA1DE8"/>
    <w:rsid w:val="00DA1F24"/>
    <w:rsid w:val="00DA1F2F"/>
    <w:rsid w:val="00DA1F3F"/>
    <w:rsid w:val="00DA216E"/>
    <w:rsid w:val="00DA2173"/>
    <w:rsid w:val="00DA22FC"/>
    <w:rsid w:val="00DA238A"/>
    <w:rsid w:val="00DA24BC"/>
    <w:rsid w:val="00DA2701"/>
    <w:rsid w:val="00DA2727"/>
    <w:rsid w:val="00DA2764"/>
    <w:rsid w:val="00DA27F0"/>
    <w:rsid w:val="00DA29AE"/>
    <w:rsid w:val="00DA2A3E"/>
    <w:rsid w:val="00DA2BAE"/>
    <w:rsid w:val="00DA2DC5"/>
    <w:rsid w:val="00DA2DE0"/>
    <w:rsid w:val="00DA2E7D"/>
    <w:rsid w:val="00DA2F7B"/>
    <w:rsid w:val="00DA2F9C"/>
    <w:rsid w:val="00DA2FF2"/>
    <w:rsid w:val="00DA2FFD"/>
    <w:rsid w:val="00DA3168"/>
    <w:rsid w:val="00DA328B"/>
    <w:rsid w:val="00DA349F"/>
    <w:rsid w:val="00DA3641"/>
    <w:rsid w:val="00DA3650"/>
    <w:rsid w:val="00DA3C72"/>
    <w:rsid w:val="00DA3C7C"/>
    <w:rsid w:val="00DA3C8F"/>
    <w:rsid w:val="00DA416E"/>
    <w:rsid w:val="00DA431E"/>
    <w:rsid w:val="00DA43F4"/>
    <w:rsid w:val="00DA4555"/>
    <w:rsid w:val="00DA477E"/>
    <w:rsid w:val="00DA4940"/>
    <w:rsid w:val="00DA495B"/>
    <w:rsid w:val="00DA4F47"/>
    <w:rsid w:val="00DA504C"/>
    <w:rsid w:val="00DA50DD"/>
    <w:rsid w:val="00DA516F"/>
    <w:rsid w:val="00DA5187"/>
    <w:rsid w:val="00DA5222"/>
    <w:rsid w:val="00DA5240"/>
    <w:rsid w:val="00DA53CE"/>
    <w:rsid w:val="00DA5520"/>
    <w:rsid w:val="00DA55BB"/>
    <w:rsid w:val="00DA595C"/>
    <w:rsid w:val="00DA59E8"/>
    <w:rsid w:val="00DA5AC7"/>
    <w:rsid w:val="00DA5DAD"/>
    <w:rsid w:val="00DA5F72"/>
    <w:rsid w:val="00DA5FA1"/>
    <w:rsid w:val="00DA6119"/>
    <w:rsid w:val="00DA6147"/>
    <w:rsid w:val="00DA62E7"/>
    <w:rsid w:val="00DA65ED"/>
    <w:rsid w:val="00DA6670"/>
    <w:rsid w:val="00DA6680"/>
    <w:rsid w:val="00DA6719"/>
    <w:rsid w:val="00DA695E"/>
    <w:rsid w:val="00DA69FA"/>
    <w:rsid w:val="00DA6A66"/>
    <w:rsid w:val="00DA6E35"/>
    <w:rsid w:val="00DA7072"/>
    <w:rsid w:val="00DA708D"/>
    <w:rsid w:val="00DA711E"/>
    <w:rsid w:val="00DA73EE"/>
    <w:rsid w:val="00DA74BA"/>
    <w:rsid w:val="00DA7560"/>
    <w:rsid w:val="00DA7625"/>
    <w:rsid w:val="00DA793D"/>
    <w:rsid w:val="00DA7975"/>
    <w:rsid w:val="00DA7A59"/>
    <w:rsid w:val="00DA7E19"/>
    <w:rsid w:val="00DA7E69"/>
    <w:rsid w:val="00DA7E87"/>
    <w:rsid w:val="00DA7EA1"/>
    <w:rsid w:val="00DB0472"/>
    <w:rsid w:val="00DB0B1B"/>
    <w:rsid w:val="00DB0BEB"/>
    <w:rsid w:val="00DB0C00"/>
    <w:rsid w:val="00DB0C3A"/>
    <w:rsid w:val="00DB0C5D"/>
    <w:rsid w:val="00DB0F6E"/>
    <w:rsid w:val="00DB19E5"/>
    <w:rsid w:val="00DB1BA0"/>
    <w:rsid w:val="00DB1C55"/>
    <w:rsid w:val="00DB1E7B"/>
    <w:rsid w:val="00DB1EB3"/>
    <w:rsid w:val="00DB1EEB"/>
    <w:rsid w:val="00DB1F69"/>
    <w:rsid w:val="00DB2289"/>
    <w:rsid w:val="00DB2488"/>
    <w:rsid w:val="00DB2592"/>
    <w:rsid w:val="00DB2659"/>
    <w:rsid w:val="00DB26EC"/>
    <w:rsid w:val="00DB275E"/>
    <w:rsid w:val="00DB278F"/>
    <w:rsid w:val="00DB2A67"/>
    <w:rsid w:val="00DB2C1A"/>
    <w:rsid w:val="00DB2E0D"/>
    <w:rsid w:val="00DB2F86"/>
    <w:rsid w:val="00DB30E5"/>
    <w:rsid w:val="00DB3621"/>
    <w:rsid w:val="00DB36F4"/>
    <w:rsid w:val="00DB382A"/>
    <w:rsid w:val="00DB3921"/>
    <w:rsid w:val="00DB397D"/>
    <w:rsid w:val="00DB39D3"/>
    <w:rsid w:val="00DB3CDE"/>
    <w:rsid w:val="00DB3D4A"/>
    <w:rsid w:val="00DB3D80"/>
    <w:rsid w:val="00DB3DC1"/>
    <w:rsid w:val="00DB3E60"/>
    <w:rsid w:val="00DB40BE"/>
    <w:rsid w:val="00DB4157"/>
    <w:rsid w:val="00DB43FB"/>
    <w:rsid w:val="00DB4A9B"/>
    <w:rsid w:val="00DB4F09"/>
    <w:rsid w:val="00DB51DE"/>
    <w:rsid w:val="00DB52B5"/>
    <w:rsid w:val="00DB52DA"/>
    <w:rsid w:val="00DB53B0"/>
    <w:rsid w:val="00DB5713"/>
    <w:rsid w:val="00DB58A6"/>
    <w:rsid w:val="00DB590A"/>
    <w:rsid w:val="00DB59F8"/>
    <w:rsid w:val="00DB5A77"/>
    <w:rsid w:val="00DB5A7B"/>
    <w:rsid w:val="00DB5B5D"/>
    <w:rsid w:val="00DB5BB4"/>
    <w:rsid w:val="00DB5D89"/>
    <w:rsid w:val="00DB5E60"/>
    <w:rsid w:val="00DB5F33"/>
    <w:rsid w:val="00DB5F5B"/>
    <w:rsid w:val="00DB5F63"/>
    <w:rsid w:val="00DB638B"/>
    <w:rsid w:val="00DB64BA"/>
    <w:rsid w:val="00DB650D"/>
    <w:rsid w:val="00DB6741"/>
    <w:rsid w:val="00DB67FC"/>
    <w:rsid w:val="00DB68EE"/>
    <w:rsid w:val="00DB69A4"/>
    <w:rsid w:val="00DB69D3"/>
    <w:rsid w:val="00DB6B6B"/>
    <w:rsid w:val="00DB6CB4"/>
    <w:rsid w:val="00DB6D04"/>
    <w:rsid w:val="00DB6DD3"/>
    <w:rsid w:val="00DB6E56"/>
    <w:rsid w:val="00DB6F7B"/>
    <w:rsid w:val="00DB7024"/>
    <w:rsid w:val="00DB716B"/>
    <w:rsid w:val="00DB7432"/>
    <w:rsid w:val="00DB7493"/>
    <w:rsid w:val="00DB770C"/>
    <w:rsid w:val="00DB77DF"/>
    <w:rsid w:val="00DB79FE"/>
    <w:rsid w:val="00DB7BD0"/>
    <w:rsid w:val="00DB7C2D"/>
    <w:rsid w:val="00DB7EA9"/>
    <w:rsid w:val="00DB7F14"/>
    <w:rsid w:val="00DB7F65"/>
    <w:rsid w:val="00DC01C9"/>
    <w:rsid w:val="00DC01E8"/>
    <w:rsid w:val="00DC01F5"/>
    <w:rsid w:val="00DC032E"/>
    <w:rsid w:val="00DC037D"/>
    <w:rsid w:val="00DC0383"/>
    <w:rsid w:val="00DC039C"/>
    <w:rsid w:val="00DC05DF"/>
    <w:rsid w:val="00DC064F"/>
    <w:rsid w:val="00DC0669"/>
    <w:rsid w:val="00DC07F9"/>
    <w:rsid w:val="00DC08D1"/>
    <w:rsid w:val="00DC09BB"/>
    <w:rsid w:val="00DC0B95"/>
    <w:rsid w:val="00DC0BFD"/>
    <w:rsid w:val="00DC0D48"/>
    <w:rsid w:val="00DC0DFC"/>
    <w:rsid w:val="00DC0EFE"/>
    <w:rsid w:val="00DC1063"/>
    <w:rsid w:val="00DC14B6"/>
    <w:rsid w:val="00DC1743"/>
    <w:rsid w:val="00DC1929"/>
    <w:rsid w:val="00DC1A3F"/>
    <w:rsid w:val="00DC1B9D"/>
    <w:rsid w:val="00DC1C4B"/>
    <w:rsid w:val="00DC1F6E"/>
    <w:rsid w:val="00DC200C"/>
    <w:rsid w:val="00DC2420"/>
    <w:rsid w:val="00DC26F9"/>
    <w:rsid w:val="00DC273B"/>
    <w:rsid w:val="00DC2CC6"/>
    <w:rsid w:val="00DC2E28"/>
    <w:rsid w:val="00DC2F49"/>
    <w:rsid w:val="00DC306D"/>
    <w:rsid w:val="00DC3128"/>
    <w:rsid w:val="00DC3636"/>
    <w:rsid w:val="00DC3851"/>
    <w:rsid w:val="00DC3A66"/>
    <w:rsid w:val="00DC3A73"/>
    <w:rsid w:val="00DC3A86"/>
    <w:rsid w:val="00DC3C52"/>
    <w:rsid w:val="00DC3C75"/>
    <w:rsid w:val="00DC3FFD"/>
    <w:rsid w:val="00DC4251"/>
    <w:rsid w:val="00DC42B7"/>
    <w:rsid w:val="00DC4318"/>
    <w:rsid w:val="00DC476A"/>
    <w:rsid w:val="00DC4A01"/>
    <w:rsid w:val="00DC4CC9"/>
    <w:rsid w:val="00DC4DF5"/>
    <w:rsid w:val="00DC4E3C"/>
    <w:rsid w:val="00DC4E5D"/>
    <w:rsid w:val="00DC4F16"/>
    <w:rsid w:val="00DC50E0"/>
    <w:rsid w:val="00DC5237"/>
    <w:rsid w:val="00DC5352"/>
    <w:rsid w:val="00DC57BB"/>
    <w:rsid w:val="00DC5809"/>
    <w:rsid w:val="00DC5952"/>
    <w:rsid w:val="00DC62C1"/>
    <w:rsid w:val="00DC62C9"/>
    <w:rsid w:val="00DC6574"/>
    <w:rsid w:val="00DC65FB"/>
    <w:rsid w:val="00DC6743"/>
    <w:rsid w:val="00DC6813"/>
    <w:rsid w:val="00DC68C2"/>
    <w:rsid w:val="00DC6913"/>
    <w:rsid w:val="00DC69C3"/>
    <w:rsid w:val="00DC6A6F"/>
    <w:rsid w:val="00DC6C34"/>
    <w:rsid w:val="00DC6E36"/>
    <w:rsid w:val="00DC6F32"/>
    <w:rsid w:val="00DC706D"/>
    <w:rsid w:val="00DC7104"/>
    <w:rsid w:val="00DC715A"/>
    <w:rsid w:val="00DC71F5"/>
    <w:rsid w:val="00DC7539"/>
    <w:rsid w:val="00DC76A7"/>
    <w:rsid w:val="00DC76BF"/>
    <w:rsid w:val="00DC7746"/>
    <w:rsid w:val="00DC77C3"/>
    <w:rsid w:val="00DC78DD"/>
    <w:rsid w:val="00DC790E"/>
    <w:rsid w:val="00DC7938"/>
    <w:rsid w:val="00DC7F5E"/>
    <w:rsid w:val="00DD0032"/>
    <w:rsid w:val="00DD01C5"/>
    <w:rsid w:val="00DD01D9"/>
    <w:rsid w:val="00DD06FD"/>
    <w:rsid w:val="00DD08E6"/>
    <w:rsid w:val="00DD0911"/>
    <w:rsid w:val="00DD0AA8"/>
    <w:rsid w:val="00DD0AC3"/>
    <w:rsid w:val="00DD118C"/>
    <w:rsid w:val="00DD11E4"/>
    <w:rsid w:val="00DD127E"/>
    <w:rsid w:val="00DD13BF"/>
    <w:rsid w:val="00DD15BE"/>
    <w:rsid w:val="00DD1858"/>
    <w:rsid w:val="00DD1D78"/>
    <w:rsid w:val="00DD2057"/>
    <w:rsid w:val="00DD20F5"/>
    <w:rsid w:val="00DD21A1"/>
    <w:rsid w:val="00DD2360"/>
    <w:rsid w:val="00DD2365"/>
    <w:rsid w:val="00DD2382"/>
    <w:rsid w:val="00DD2409"/>
    <w:rsid w:val="00DD246C"/>
    <w:rsid w:val="00DD24B9"/>
    <w:rsid w:val="00DD2549"/>
    <w:rsid w:val="00DD2707"/>
    <w:rsid w:val="00DD28DB"/>
    <w:rsid w:val="00DD2B16"/>
    <w:rsid w:val="00DD2CD1"/>
    <w:rsid w:val="00DD2D2C"/>
    <w:rsid w:val="00DD2E45"/>
    <w:rsid w:val="00DD3049"/>
    <w:rsid w:val="00DD30CC"/>
    <w:rsid w:val="00DD3384"/>
    <w:rsid w:val="00DD3398"/>
    <w:rsid w:val="00DD3421"/>
    <w:rsid w:val="00DD342F"/>
    <w:rsid w:val="00DD3579"/>
    <w:rsid w:val="00DD35B8"/>
    <w:rsid w:val="00DD35EA"/>
    <w:rsid w:val="00DD36D1"/>
    <w:rsid w:val="00DD371E"/>
    <w:rsid w:val="00DD373C"/>
    <w:rsid w:val="00DD37B1"/>
    <w:rsid w:val="00DD381D"/>
    <w:rsid w:val="00DD38A9"/>
    <w:rsid w:val="00DD3A96"/>
    <w:rsid w:val="00DD3B03"/>
    <w:rsid w:val="00DD3C49"/>
    <w:rsid w:val="00DD3D6F"/>
    <w:rsid w:val="00DD3F03"/>
    <w:rsid w:val="00DD3F5E"/>
    <w:rsid w:val="00DD3FBB"/>
    <w:rsid w:val="00DD4064"/>
    <w:rsid w:val="00DD40D5"/>
    <w:rsid w:val="00DD4156"/>
    <w:rsid w:val="00DD416E"/>
    <w:rsid w:val="00DD4175"/>
    <w:rsid w:val="00DD436D"/>
    <w:rsid w:val="00DD4404"/>
    <w:rsid w:val="00DD459E"/>
    <w:rsid w:val="00DD4741"/>
    <w:rsid w:val="00DD4AB8"/>
    <w:rsid w:val="00DD4C5A"/>
    <w:rsid w:val="00DD4CEE"/>
    <w:rsid w:val="00DD4FA1"/>
    <w:rsid w:val="00DD4FC9"/>
    <w:rsid w:val="00DD5152"/>
    <w:rsid w:val="00DD5165"/>
    <w:rsid w:val="00DD5177"/>
    <w:rsid w:val="00DD5221"/>
    <w:rsid w:val="00DD5714"/>
    <w:rsid w:val="00DD5799"/>
    <w:rsid w:val="00DD58A0"/>
    <w:rsid w:val="00DD597F"/>
    <w:rsid w:val="00DD5B27"/>
    <w:rsid w:val="00DD5BD8"/>
    <w:rsid w:val="00DD5D31"/>
    <w:rsid w:val="00DD5EB0"/>
    <w:rsid w:val="00DD607F"/>
    <w:rsid w:val="00DD624A"/>
    <w:rsid w:val="00DD65F4"/>
    <w:rsid w:val="00DD671B"/>
    <w:rsid w:val="00DD6759"/>
    <w:rsid w:val="00DD6851"/>
    <w:rsid w:val="00DD6BA2"/>
    <w:rsid w:val="00DD6CF4"/>
    <w:rsid w:val="00DD6EDC"/>
    <w:rsid w:val="00DD6EED"/>
    <w:rsid w:val="00DD71D0"/>
    <w:rsid w:val="00DD721F"/>
    <w:rsid w:val="00DD74DD"/>
    <w:rsid w:val="00DD7502"/>
    <w:rsid w:val="00DD7520"/>
    <w:rsid w:val="00DD7542"/>
    <w:rsid w:val="00DD7764"/>
    <w:rsid w:val="00DD7812"/>
    <w:rsid w:val="00DD7885"/>
    <w:rsid w:val="00DD79EA"/>
    <w:rsid w:val="00DD7AA7"/>
    <w:rsid w:val="00DD7BCA"/>
    <w:rsid w:val="00DD7DC0"/>
    <w:rsid w:val="00DD7EBE"/>
    <w:rsid w:val="00DE00AA"/>
    <w:rsid w:val="00DE01D2"/>
    <w:rsid w:val="00DE01F0"/>
    <w:rsid w:val="00DE04C5"/>
    <w:rsid w:val="00DE05F2"/>
    <w:rsid w:val="00DE0686"/>
    <w:rsid w:val="00DE083B"/>
    <w:rsid w:val="00DE091F"/>
    <w:rsid w:val="00DE0973"/>
    <w:rsid w:val="00DE09C6"/>
    <w:rsid w:val="00DE0AC8"/>
    <w:rsid w:val="00DE0B1C"/>
    <w:rsid w:val="00DE0B1D"/>
    <w:rsid w:val="00DE0B58"/>
    <w:rsid w:val="00DE0BAB"/>
    <w:rsid w:val="00DE0D36"/>
    <w:rsid w:val="00DE0D8C"/>
    <w:rsid w:val="00DE0E60"/>
    <w:rsid w:val="00DE10CA"/>
    <w:rsid w:val="00DE115C"/>
    <w:rsid w:val="00DE1328"/>
    <w:rsid w:val="00DE13A4"/>
    <w:rsid w:val="00DE1402"/>
    <w:rsid w:val="00DE164F"/>
    <w:rsid w:val="00DE1728"/>
    <w:rsid w:val="00DE18E2"/>
    <w:rsid w:val="00DE1904"/>
    <w:rsid w:val="00DE1B81"/>
    <w:rsid w:val="00DE1BA4"/>
    <w:rsid w:val="00DE1BB3"/>
    <w:rsid w:val="00DE1F19"/>
    <w:rsid w:val="00DE1F52"/>
    <w:rsid w:val="00DE1F7F"/>
    <w:rsid w:val="00DE21A4"/>
    <w:rsid w:val="00DE21F8"/>
    <w:rsid w:val="00DE2355"/>
    <w:rsid w:val="00DE2360"/>
    <w:rsid w:val="00DE23C6"/>
    <w:rsid w:val="00DE2435"/>
    <w:rsid w:val="00DE2442"/>
    <w:rsid w:val="00DE244D"/>
    <w:rsid w:val="00DE26AB"/>
    <w:rsid w:val="00DE27D2"/>
    <w:rsid w:val="00DE29E9"/>
    <w:rsid w:val="00DE2B8B"/>
    <w:rsid w:val="00DE2F35"/>
    <w:rsid w:val="00DE30E2"/>
    <w:rsid w:val="00DE3158"/>
    <w:rsid w:val="00DE3269"/>
    <w:rsid w:val="00DE330E"/>
    <w:rsid w:val="00DE33BF"/>
    <w:rsid w:val="00DE3626"/>
    <w:rsid w:val="00DE365F"/>
    <w:rsid w:val="00DE3723"/>
    <w:rsid w:val="00DE37A5"/>
    <w:rsid w:val="00DE37D1"/>
    <w:rsid w:val="00DE381F"/>
    <w:rsid w:val="00DE3979"/>
    <w:rsid w:val="00DE3A14"/>
    <w:rsid w:val="00DE3A71"/>
    <w:rsid w:val="00DE3A9A"/>
    <w:rsid w:val="00DE3BB3"/>
    <w:rsid w:val="00DE3F8C"/>
    <w:rsid w:val="00DE3FC9"/>
    <w:rsid w:val="00DE3FD5"/>
    <w:rsid w:val="00DE41EF"/>
    <w:rsid w:val="00DE4205"/>
    <w:rsid w:val="00DE423F"/>
    <w:rsid w:val="00DE439C"/>
    <w:rsid w:val="00DE4710"/>
    <w:rsid w:val="00DE4872"/>
    <w:rsid w:val="00DE4AE4"/>
    <w:rsid w:val="00DE4C20"/>
    <w:rsid w:val="00DE4C63"/>
    <w:rsid w:val="00DE4FD3"/>
    <w:rsid w:val="00DE5140"/>
    <w:rsid w:val="00DE5277"/>
    <w:rsid w:val="00DE52C6"/>
    <w:rsid w:val="00DE53DA"/>
    <w:rsid w:val="00DE54F5"/>
    <w:rsid w:val="00DE560C"/>
    <w:rsid w:val="00DE5769"/>
    <w:rsid w:val="00DE5798"/>
    <w:rsid w:val="00DE59E8"/>
    <w:rsid w:val="00DE5B62"/>
    <w:rsid w:val="00DE5BBF"/>
    <w:rsid w:val="00DE5C0B"/>
    <w:rsid w:val="00DE5F55"/>
    <w:rsid w:val="00DE6029"/>
    <w:rsid w:val="00DE61A9"/>
    <w:rsid w:val="00DE62EF"/>
    <w:rsid w:val="00DE639C"/>
    <w:rsid w:val="00DE63F6"/>
    <w:rsid w:val="00DE6421"/>
    <w:rsid w:val="00DE649E"/>
    <w:rsid w:val="00DE64DB"/>
    <w:rsid w:val="00DE6524"/>
    <w:rsid w:val="00DE670C"/>
    <w:rsid w:val="00DE679F"/>
    <w:rsid w:val="00DE6840"/>
    <w:rsid w:val="00DE6B02"/>
    <w:rsid w:val="00DE6CED"/>
    <w:rsid w:val="00DE6F16"/>
    <w:rsid w:val="00DE706B"/>
    <w:rsid w:val="00DE7225"/>
    <w:rsid w:val="00DE743D"/>
    <w:rsid w:val="00DE74A7"/>
    <w:rsid w:val="00DE7501"/>
    <w:rsid w:val="00DE752F"/>
    <w:rsid w:val="00DE758A"/>
    <w:rsid w:val="00DE782A"/>
    <w:rsid w:val="00DE7993"/>
    <w:rsid w:val="00DE7A34"/>
    <w:rsid w:val="00DE7CD7"/>
    <w:rsid w:val="00DE7D2D"/>
    <w:rsid w:val="00DE7DE2"/>
    <w:rsid w:val="00DE7EE6"/>
    <w:rsid w:val="00DE7F1B"/>
    <w:rsid w:val="00DF020F"/>
    <w:rsid w:val="00DF0647"/>
    <w:rsid w:val="00DF0689"/>
    <w:rsid w:val="00DF07FC"/>
    <w:rsid w:val="00DF0967"/>
    <w:rsid w:val="00DF0A9D"/>
    <w:rsid w:val="00DF0DDA"/>
    <w:rsid w:val="00DF0EC3"/>
    <w:rsid w:val="00DF0F10"/>
    <w:rsid w:val="00DF0F1B"/>
    <w:rsid w:val="00DF14C6"/>
    <w:rsid w:val="00DF16A5"/>
    <w:rsid w:val="00DF16C0"/>
    <w:rsid w:val="00DF174B"/>
    <w:rsid w:val="00DF17FA"/>
    <w:rsid w:val="00DF1966"/>
    <w:rsid w:val="00DF1A90"/>
    <w:rsid w:val="00DF1AA6"/>
    <w:rsid w:val="00DF1E87"/>
    <w:rsid w:val="00DF1F99"/>
    <w:rsid w:val="00DF1FD6"/>
    <w:rsid w:val="00DF1FD7"/>
    <w:rsid w:val="00DF21A4"/>
    <w:rsid w:val="00DF21AC"/>
    <w:rsid w:val="00DF258A"/>
    <w:rsid w:val="00DF27BF"/>
    <w:rsid w:val="00DF29AD"/>
    <w:rsid w:val="00DF2D1A"/>
    <w:rsid w:val="00DF2D46"/>
    <w:rsid w:val="00DF2D92"/>
    <w:rsid w:val="00DF2EC1"/>
    <w:rsid w:val="00DF2FCF"/>
    <w:rsid w:val="00DF31EE"/>
    <w:rsid w:val="00DF32DC"/>
    <w:rsid w:val="00DF341D"/>
    <w:rsid w:val="00DF3470"/>
    <w:rsid w:val="00DF37C1"/>
    <w:rsid w:val="00DF38C1"/>
    <w:rsid w:val="00DF38C4"/>
    <w:rsid w:val="00DF3A0A"/>
    <w:rsid w:val="00DF3A42"/>
    <w:rsid w:val="00DF3A4D"/>
    <w:rsid w:val="00DF3A57"/>
    <w:rsid w:val="00DF3B71"/>
    <w:rsid w:val="00DF3DFB"/>
    <w:rsid w:val="00DF3E32"/>
    <w:rsid w:val="00DF3E8B"/>
    <w:rsid w:val="00DF3EF7"/>
    <w:rsid w:val="00DF3FF4"/>
    <w:rsid w:val="00DF40AD"/>
    <w:rsid w:val="00DF40C0"/>
    <w:rsid w:val="00DF42C1"/>
    <w:rsid w:val="00DF4333"/>
    <w:rsid w:val="00DF437D"/>
    <w:rsid w:val="00DF4487"/>
    <w:rsid w:val="00DF46F0"/>
    <w:rsid w:val="00DF47B0"/>
    <w:rsid w:val="00DF4847"/>
    <w:rsid w:val="00DF49F0"/>
    <w:rsid w:val="00DF4D03"/>
    <w:rsid w:val="00DF4EF7"/>
    <w:rsid w:val="00DF5020"/>
    <w:rsid w:val="00DF50E6"/>
    <w:rsid w:val="00DF5255"/>
    <w:rsid w:val="00DF52C9"/>
    <w:rsid w:val="00DF5385"/>
    <w:rsid w:val="00DF548B"/>
    <w:rsid w:val="00DF56DB"/>
    <w:rsid w:val="00DF5B8F"/>
    <w:rsid w:val="00DF5D71"/>
    <w:rsid w:val="00DF5E67"/>
    <w:rsid w:val="00DF5F9B"/>
    <w:rsid w:val="00DF6933"/>
    <w:rsid w:val="00DF6A69"/>
    <w:rsid w:val="00DF6A92"/>
    <w:rsid w:val="00DF6AF3"/>
    <w:rsid w:val="00DF6B9B"/>
    <w:rsid w:val="00DF6F6B"/>
    <w:rsid w:val="00DF70B9"/>
    <w:rsid w:val="00DF70CC"/>
    <w:rsid w:val="00DF7110"/>
    <w:rsid w:val="00DF712D"/>
    <w:rsid w:val="00DF731F"/>
    <w:rsid w:val="00DF7325"/>
    <w:rsid w:val="00DF7361"/>
    <w:rsid w:val="00DF743C"/>
    <w:rsid w:val="00DF744F"/>
    <w:rsid w:val="00DF7523"/>
    <w:rsid w:val="00DF7637"/>
    <w:rsid w:val="00DF7A83"/>
    <w:rsid w:val="00DF7BB1"/>
    <w:rsid w:val="00DF7CF6"/>
    <w:rsid w:val="00DF7D50"/>
    <w:rsid w:val="00DF7FB7"/>
    <w:rsid w:val="00E0001E"/>
    <w:rsid w:val="00E00064"/>
    <w:rsid w:val="00E0017C"/>
    <w:rsid w:val="00E00301"/>
    <w:rsid w:val="00E00392"/>
    <w:rsid w:val="00E00470"/>
    <w:rsid w:val="00E0052E"/>
    <w:rsid w:val="00E0083B"/>
    <w:rsid w:val="00E00852"/>
    <w:rsid w:val="00E00BEF"/>
    <w:rsid w:val="00E00D0A"/>
    <w:rsid w:val="00E00DDE"/>
    <w:rsid w:val="00E00E0A"/>
    <w:rsid w:val="00E00F07"/>
    <w:rsid w:val="00E00F0B"/>
    <w:rsid w:val="00E00F0D"/>
    <w:rsid w:val="00E012B0"/>
    <w:rsid w:val="00E013A8"/>
    <w:rsid w:val="00E0144E"/>
    <w:rsid w:val="00E01465"/>
    <w:rsid w:val="00E014EA"/>
    <w:rsid w:val="00E0151A"/>
    <w:rsid w:val="00E017CF"/>
    <w:rsid w:val="00E01B4B"/>
    <w:rsid w:val="00E01D22"/>
    <w:rsid w:val="00E01F0E"/>
    <w:rsid w:val="00E021B6"/>
    <w:rsid w:val="00E02371"/>
    <w:rsid w:val="00E02393"/>
    <w:rsid w:val="00E02394"/>
    <w:rsid w:val="00E02413"/>
    <w:rsid w:val="00E02533"/>
    <w:rsid w:val="00E02668"/>
    <w:rsid w:val="00E02797"/>
    <w:rsid w:val="00E02C7F"/>
    <w:rsid w:val="00E02CCD"/>
    <w:rsid w:val="00E02D4A"/>
    <w:rsid w:val="00E03258"/>
    <w:rsid w:val="00E0374D"/>
    <w:rsid w:val="00E0375B"/>
    <w:rsid w:val="00E0375D"/>
    <w:rsid w:val="00E03840"/>
    <w:rsid w:val="00E039AF"/>
    <w:rsid w:val="00E03A64"/>
    <w:rsid w:val="00E03C4D"/>
    <w:rsid w:val="00E03DD3"/>
    <w:rsid w:val="00E03F0D"/>
    <w:rsid w:val="00E040A0"/>
    <w:rsid w:val="00E04107"/>
    <w:rsid w:val="00E041E4"/>
    <w:rsid w:val="00E04205"/>
    <w:rsid w:val="00E04405"/>
    <w:rsid w:val="00E0458E"/>
    <w:rsid w:val="00E045E6"/>
    <w:rsid w:val="00E04664"/>
    <w:rsid w:val="00E04670"/>
    <w:rsid w:val="00E04698"/>
    <w:rsid w:val="00E0469F"/>
    <w:rsid w:val="00E046EE"/>
    <w:rsid w:val="00E04721"/>
    <w:rsid w:val="00E04971"/>
    <w:rsid w:val="00E04CA0"/>
    <w:rsid w:val="00E05386"/>
    <w:rsid w:val="00E053B8"/>
    <w:rsid w:val="00E05536"/>
    <w:rsid w:val="00E0580F"/>
    <w:rsid w:val="00E05BCD"/>
    <w:rsid w:val="00E05C4F"/>
    <w:rsid w:val="00E05D38"/>
    <w:rsid w:val="00E05E2D"/>
    <w:rsid w:val="00E05E7F"/>
    <w:rsid w:val="00E05EC8"/>
    <w:rsid w:val="00E05EDF"/>
    <w:rsid w:val="00E05FBC"/>
    <w:rsid w:val="00E05FF8"/>
    <w:rsid w:val="00E060D8"/>
    <w:rsid w:val="00E0612F"/>
    <w:rsid w:val="00E0619A"/>
    <w:rsid w:val="00E061E3"/>
    <w:rsid w:val="00E062D7"/>
    <w:rsid w:val="00E0647B"/>
    <w:rsid w:val="00E064E6"/>
    <w:rsid w:val="00E06681"/>
    <w:rsid w:val="00E066A0"/>
    <w:rsid w:val="00E067A4"/>
    <w:rsid w:val="00E06A3F"/>
    <w:rsid w:val="00E06BD0"/>
    <w:rsid w:val="00E06D02"/>
    <w:rsid w:val="00E06D87"/>
    <w:rsid w:val="00E06F51"/>
    <w:rsid w:val="00E07018"/>
    <w:rsid w:val="00E07199"/>
    <w:rsid w:val="00E071DA"/>
    <w:rsid w:val="00E0727C"/>
    <w:rsid w:val="00E07291"/>
    <w:rsid w:val="00E074A0"/>
    <w:rsid w:val="00E076F9"/>
    <w:rsid w:val="00E07757"/>
    <w:rsid w:val="00E0776F"/>
    <w:rsid w:val="00E0787C"/>
    <w:rsid w:val="00E078F5"/>
    <w:rsid w:val="00E07A5A"/>
    <w:rsid w:val="00E07D8A"/>
    <w:rsid w:val="00E07DC0"/>
    <w:rsid w:val="00E07DF0"/>
    <w:rsid w:val="00E07F9A"/>
    <w:rsid w:val="00E10028"/>
    <w:rsid w:val="00E101E2"/>
    <w:rsid w:val="00E10251"/>
    <w:rsid w:val="00E10256"/>
    <w:rsid w:val="00E10447"/>
    <w:rsid w:val="00E1046F"/>
    <w:rsid w:val="00E104E8"/>
    <w:rsid w:val="00E105FE"/>
    <w:rsid w:val="00E10890"/>
    <w:rsid w:val="00E10946"/>
    <w:rsid w:val="00E10A1D"/>
    <w:rsid w:val="00E10B7D"/>
    <w:rsid w:val="00E111E2"/>
    <w:rsid w:val="00E1123B"/>
    <w:rsid w:val="00E114FF"/>
    <w:rsid w:val="00E11630"/>
    <w:rsid w:val="00E11728"/>
    <w:rsid w:val="00E11787"/>
    <w:rsid w:val="00E11A6A"/>
    <w:rsid w:val="00E11B81"/>
    <w:rsid w:val="00E11C13"/>
    <w:rsid w:val="00E11C97"/>
    <w:rsid w:val="00E11D20"/>
    <w:rsid w:val="00E11FDC"/>
    <w:rsid w:val="00E1211E"/>
    <w:rsid w:val="00E12126"/>
    <w:rsid w:val="00E12194"/>
    <w:rsid w:val="00E125D6"/>
    <w:rsid w:val="00E1269D"/>
    <w:rsid w:val="00E1275D"/>
    <w:rsid w:val="00E12835"/>
    <w:rsid w:val="00E12A77"/>
    <w:rsid w:val="00E130F5"/>
    <w:rsid w:val="00E132BB"/>
    <w:rsid w:val="00E136B2"/>
    <w:rsid w:val="00E137E8"/>
    <w:rsid w:val="00E13C0E"/>
    <w:rsid w:val="00E13F0A"/>
    <w:rsid w:val="00E13FEF"/>
    <w:rsid w:val="00E140DC"/>
    <w:rsid w:val="00E1412B"/>
    <w:rsid w:val="00E142CB"/>
    <w:rsid w:val="00E14317"/>
    <w:rsid w:val="00E1449C"/>
    <w:rsid w:val="00E147EC"/>
    <w:rsid w:val="00E147EE"/>
    <w:rsid w:val="00E149A7"/>
    <w:rsid w:val="00E14A19"/>
    <w:rsid w:val="00E14AB5"/>
    <w:rsid w:val="00E14C63"/>
    <w:rsid w:val="00E14DE0"/>
    <w:rsid w:val="00E15023"/>
    <w:rsid w:val="00E15148"/>
    <w:rsid w:val="00E1552F"/>
    <w:rsid w:val="00E1562D"/>
    <w:rsid w:val="00E15920"/>
    <w:rsid w:val="00E15A59"/>
    <w:rsid w:val="00E15BD3"/>
    <w:rsid w:val="00E161B9"/>
    <w:rsid w:val="00E1645E"/>
    <w:rsid w:val="00E165BB"/>
    <w:rsid w:val="00E1673D"/>
    <w:rsid w:val="00E168F9"/>
    <w:rsid w:val="00E169FD"/>
    <w:rsid w:val="00E16A43"/>
    <w:rsid w:val="00E16BE1"/>
    <w:rsid w:val="00E16C4D"/>
    <w:rsid w:val="00E17273"/>
    <w:rsid w:val="00E172DA"/>
    <w:rsid w:val="00E1731C"/>
    <w:rsid w:val="00E175F1"/>
    <w:rsid w:val="00E1768B"/>
    <w:rsid w:val="00E177ED"/>
    <w:rsid w:val="00E17847"/>
    <w:rsid w:val="00E178E5"/>
    <w:rsid w:val="00E179AF"/>
    <w:rsid w:val="00E17A89"/>
    <w:rsid w:val="00E17A95"/>
    <w:rsid w:val="00E17B34"/>
    <w:rsid w:val="00E17B7E"/>
    <w:rsid w:val="00E17B9B"/>
    <w:rsid w:val="00E17D7B"/>
    <w:rsid w:val="00E17DF5"/>
    <w:rsid w:val="00E20032"/>
    <w:rsid w:val="00E20120"/>
    <w:rsid w:val="00E20257"/>
    <w:rsid w:val="00E204E5"/>
    <w:rsid w:val="00E206D0"/>
    <w:rsid w:val="00E20705"/>
    <w:rsid w:val="00E208A5"/>
    <w:rsid w:val="00E208BB"/>
    <w:rsid w:val="00E20936"/>
    <w:rsid w:val="00E20AA1"/>
    <w:rsid w:val="00E20C0E"/>
    <w:rsid w:val="00E20CD5"/>
    <w:rsid w:val="00E20EE4"/>
    <w:rsid w:val="00E20FBC"/>
    <w:rsid w:val="00E2100A"/>
    <w:rsid w:val="00E210CA"/>
    <w:rsid w:val="00E2134F"/>
    <w:rsid w:val="00E213A7"/>
    <w:rsid w:val="00E214BB"/>
    <w:rsid w:val="00E2155D"/>
    <w:rsid w:val="00E21613"/>
    <w:rsid w:val="00E2177F"/>
    <w:rsid w:val="00E218AF"/>
    <w:rsid w:val="00E21A11"/>
    <w:rsid w:val="00E21A7C"/>
    <w:rsid w:val="00E21B76"/>
    <w:rsid w:val="00E21C1B"/>
    <w:rsid w:val="00E21CC4"/>
    <w:rsid w:val="00E21F2E"/>
    <w:rsid w:val="00E22082"/>
    <w:rsid w:val="00E22105"/>
    <w:rsid w:val="00E22223"/>
    <w:rsid w:val="00E22276"/>
    <w:rsid w:val="00E225F5"/>
    <w:rsid w:val="00E22635"/>
    <w:rsid w:val="00E2267B"/>
    <w:rsid w:val="00E226E8"/>
    <w:rsid w:val="00E227EA"/>
    <w:rsid w:val="00E2296F"/>
    <w:rsid w:val="00E22C79"/>
    <w:rsid w:val="00E22D4E"/>
    <w:rsid w:val="00E22D9D"/>
    <w:rsid w:val="00E22E91"/>
    <w:rsid w:val="00E22F57"/>
    <w:rsid w:val="00E23093"/>
    <w:rsid w:val="00E230D8"/>
    <w:rsid w:val="00E2314D"/>
    <w:rsid w:val="00E23239"/>
    <w:rsid w:val="00E23308"/>
    <w:rsid w:val="00E23426"/>
    <w:rsid w:val="00E23660"/>
    <w:rsid w:val="00E236E3"/>
    <w:rsid w:val="00E23734"/>
    <w:rsid w:val="00E23789"/>
    <w:rsid w:val="00E23958"/>
    <w:rsid w:val="00E23994"/>
    <w:rsid w:val="00E23B41"/>
    <w:rsid w:val="00E24062"/>
    <w:rsid w:val="00E24194"/>
    <w:rsid w:val="00E243AE"/>
    <w:rsid w:val="00E245E6"/>
    <w:rsid w:val="00E24661"/>
    <w:rsid w:val="00E24759"/>
    <w:rsid w:val="00E24788"/>
    <w:rsid w:val="00E249A1"/>
    <w:rsid w:val="00E249C9"/>
    <w:rsid w:val="00E249CC"/>
    <w:rsid w:val="00E249F3"/>
    <w:rsid w:val="00E24B9C"/>
    <w:rsid w:val="00E24BB3"/>
    <w:rsid w:val="00E24BF4"/>
    <w:rsid w:val="00E24D99"/>
    <w:rsid w:val="00E251D7"/>
    <w:rsid w:val="00E255D3"/>
    <w:rsid w:val="00E256FF"/>
    <w:rsid w:val="00E25951"/>
    <w:rsid w:val="00E25B25"/>
    <w:rsid w:val="00E25C31"/>
    <w:rsid w:val="00E25EE4"/>
    <w:rsid w:val="00E25FBC"/>
    <w:rsid w:val="00E26073"/>
    <w:rsid w:val="00E26166"/>
    <w:rsid w:val="00E2623B"/>
    <w:rsid w:val="00E264A6"/>
    <w:rsid w:val="00E26FAA"/>
    <w:rsid w:val="00E2700B"/>
    <w:rsid w:val="00E2703D"/>
    <w:rsid w:val="00E27137"/>
    <w:rsid w:val="00E2718E"/>
    <w:rsid w:val="00E272A6"/>
    <w:rsid w:val="00E27393"/>
    <w:rsid w:val="00E274DD"/>
    <w:rsid w:val="00E27570"/>
    <w:rsid w:val="00E275FF"/>
    <w:rsid w:val="00E2761D"/>
    <w:rsid w:val="00E27652"/>
    <w:rsid w:val="00E27919"/>
    <w:rsid w:val="00E279ED"/>
    <w:rsid w:val="00E27BEF"/>
    <w:rsid w:val="00E27C0E"/>
    <w:rsid w:val="00E27C6B"/>
    <w:rsid w:val="00E27CC4"/>
    <w:rsid w:val="00E27D25"/>
    <w:rsid w:val="00E27D38"/>
    <w:rsid w:val="00E30170"/>
    <w:rsid w:val="00E301A2"/>
    <w:rsid w:val="00E3036F"/>
    <w:rsid w:val="00E30459"/>
    <w:rsid w:val="00E304A5"/>
    <w:rsid w:val="00E305DA"/>
    <w:rsid w:val="00E306B0"/>
    <w:rsid w:val="00E30B67"/>
    <w:rsid w:val="00E30C81"/>
    <w:rsid w:val="00E30DDA"/>
    <w:rsid w:val="00E30DDB"/>
    <w:rsid w:val="00E311DF"/>
    <w:rsid w:val="00E31282"/>
    <w:rsid w:val="00E31326"/>
    <w:rsid w:val="00E313EB"/>
    <w:rsid w:val="00E3158A"/>
    <w:rsid w:val="00E315D5"/>
    <w:rsid w:val="00E31A1E"/>
    <w:rsid w:val="00E31A86"/>
    <w:rsid w:val="00E31AB1"/>
    <w:rsid w:val="00E31B55"/>
    <w:rsid w:val="00E31B9C"/>
    <w:rsid w:val="00E31BE2"/>
    <w:rsid w:val="00E31C73"/>
    <w:rsid w:val="00E31CAE"/>
    <w:rsid w:val="00E31DB8"/>
    <w:rsid w:val="00E31E12"/>
    <w:rsid w:val="00E31FE9"/>
    <w:rsid w:val="00E3207E"/>
    <w:rsid w:val="00E32184"/>
    <w:rsid w:val="00E322A1"/>
    <w:rsid w:val="00E32322"/>
    <w:rsid w:val="00E323FB"/>
    <w:rsid w:val="00E32406"/>
    <w:rsid w:val="00E3243A"/>
    <w:rsid w:val="00E32606"/>
    <w:rsid w:val="00E32640"/>
    <w:rsid w:val="00E3264A"/>
    <w:rsid w:val="00E32651"/>
    <w:rsid w:val="00E32694"/>
    <w:rsid w:val="00E327E0"/>
    <w:rsid w:val="00E328B7"/>
    <w:rsid w:val="00E329F7"/>
    <w:rsid w:val="00E32BCA"/>
    <w:rsid w:val="00E32C18"/>
    <w:rsid w:val="00E32EA3"/>
    <w:rsid w:val="00E32F23"/>
    <w:rsid w:val="00E32F34"/>
    <w:rsid w:val="00E33392"/>
    <w:rsid w:val="00E33694"/>
    <w:rsid w:val="00E337B4"/>
    <w:rsid w:val="00E338B1"/>
    <w:rsid w:val="00E338FF"/>
    <w:rsid w:val="00E3393B"/>
    <w:rsid w:val="00E33944"/>
    <w:rsid w:val="00E33BF3"/>
    <w:rsid w:val="00E33C58"/>
    <w:rsid w:val="00E33D15"/>
    <w:rsid w:val="00E33F34"/>
    <w:rsid w:val="00E34219"/>
    <w:rsid w:val="00E3421A"/>
    <w:rsid w:val="00E34229"/>
    <w:rsid w:val="00E343A3"/>
    <w:rsid w:val="00E343C9"/>
    <w:rsid w:val="00E3441B"/>
    <w:rsid w:val="00E34484"/>
    <w:rsid w:val="00E34503"/>
    <w:rsid w:val="00E34538"/>
    <w:rsid w:val="00E34715"/>
    <w:rsid w:val="00E34727"/>
    <w:rsid w:val="00E34927"/>
    <w:rsid w:val="00E34983"/>
    <w:rsid w:val="00E34A17"/>
    <w:rsid w:val="00E34B64"/>
    <w:rsid w:val="00E34EAB"/>
    <w:rsid w:val="00E35127"/>
    <w:rsid w:val="00E35210"/>
    <w:rsid w:val="00E354C2"/>
    <w:rsid w:val="00E355D7"/>
    <w:rsid w:val="00E35676"/>
    <w:rsid w:val="00E358D2"/>
    <w:rsid w:val="00E358F6"/>
    <w:rsid w:val="00E35A7E"/>
    <w:rsid w:val="00E35B26"/>
    <w:rsid w:val="00E35B4D"/>
    <w:rsid w:val="00E35DDE"/>
    <w:rsid w:val="00E35DE5"/>
    <w:rsid w:val="00E3611B"/>
    <w:rsid w:val="00E361A5"/>
    <w:rsid w:val="00E36373"/>
    <w:rsid w:val="00E365B1"/>
    <w:rsid w:val="00E36603"/>
    <w:rsid w:val="00E36858"/>
    <w:rsid w:val="00E36893"/>
    <w:rsid w:val="00E36B1D"/>
    <w:rsid w:val="00E36B1F"/>
    <w:rsid w:val="00E36D17"/>
    <w:rsid w:val="00E36F13"/>
    <w:rsid w:val="00E37104"/>
    <w:rsid w:val="00E3725D"/>
    <w:rsid w:val="00E37424"/>
    <w:rsid w:val="00E375AA"/>
    <w:rsid w:val="00E3767E"/>
    <w:rsid w:val="00E376E9"/>
    <w:rsid w:val="00E3771B"/>
    <w:rsid w:val="00E37B15"/>
    <w:rsid w:val="00E37BC9"/>
    <w:rsid w:val="00E40037"/>
    <w:rsid w:val="00E40038"/>
    <w:rsid w:val="00E40301"/>
    <w:rsid w:val="00E40435"/>
    <w:rsid w:val="00E404A7"/>
    <w:rsid w:val="00E40541"/>
    <w:rsid w:val="00E4070F"/>
    <w:rsid w:val="00E40731"/>
    <w:rsid w:val="00E407B6"/>
    <w:rsid w:val="00E40873"/>
    <w:rsid w:val="00E40B03"/>
    <w:rsid w:val="00E40B3F"/>
    <w:rsid w:val="00E40BE0"/>
    <w:rsid w:val="00E40E07"/>
    <w:rsid w:val="00E40E75"/>
    <w:rsid w:val="00E40E80"/>
    <w:rsid w:val="00E40F00"/>
    <w:rsid w:val="00E41088"/>
    <w:rsid w:val="00E410C9"/>
    <w:rsid w:val="00E41104"/>
    <w:rsid w:val="00E41234"/>
    <w:rsid w:val="00E4127C"/>
    <w:rsid w:val="00E412C4"/>
    <w:rsid w:val="00E414F8"/>
    <w:rsid w:val="00E4152D"/>
    <w:rsid w:val="00E41550"/>
    <w:rsid w:val="00E41626"/>
    <w:rsid w:val="00E41816"/>
    <w:rsid w:val="00E418B8"/>
    <w:rsid w:val="00E418D2"/>
    <w:rsid w:val="00E419ED"/>
    <w:rsid w:val="00E420CE"/>
    <w:rsid w:val="00E42159"/>
    <w:rsid w:val="00E4218C"/>
    <w:rsid w:val="00E422EB"/>
    <w:rsid w:val="00E4239E"/>
    <w:rsid w:val="00E42526"/>
    <w:rsid w:val="00E4280D"/>
    <w:rsid w:val="00E428A5"/>
    <w:rsid w:val="00E42AD0"/>
    <w:rsid w:val="00E42AF6"/>
    <w:rsid w:val="00E42B76"/>
    <w:rsid w:val="00E42F49"/>
    <w:rsid w:val="00E431A7"/>
    <w:rsid w:val="00E432CC"/>
    <w:rsid w:val="00E43595"/>
    <w:rsid w:val="00E437F0"/>
    <w:rsid w:val="00E4393C"/>
    <w:rsid w:val="00E43988"/>
    <w:rsid w:val="00E43AF5"/>
    <w:rsid w:val="00E43BA1"/>
    <w:rsid w:val="00E43C9F"/>
    <w:rsid w:val="00E43F51"/>
    <w:rsid w:val="00E44110"/>
    <w:rsid w:val="00E44202"/>
    <w:rsid w:val="00E442DE"/>
    <w:rsid w:val="00E44300"/>
    <w:rsid w:val="00E44322"/>
    <w:rsid w:val="00E444C8"/>
    <w:rsid w:val="00E444CB"/>
    <w:rsid w:val="00E444E3"/>
    <w:rsid w:val="00E44578"/>
    <w:rsid w:val="00E447C3"/>
    <w:rsid w:val="00E44B5D"/>
    <w:rsid w:val="00E44B83"/>
    <w:rsid w:val="00E44C0B"/>
    <w:rsid w:val="00E44CB6"/>
    <w:rsid w:val="00E44DD4"/>
    <w:rsid w:val="00E44E18"/>
    <w:rsid w:val="00E44FD7"/>
    <w:rsid w:val="00E4500B"/>
    <w:rsid w:val="00E45180"/>
    <w:rsid w:val="00E451BA"/>
    <w:rsid w:val="00E45305"/>
    <w:rsid w:val="00E45349"/>
    <w:rsid w:val="00E454E9"/>
    <w:rsid w:val="00E45593"/>
    <w:rsid w:val="00E45688"/>
    <w:rsid w:val="00E4585B"/>
    <w:rsid w:val="00E458C7"/>
    <w:rsid w:val="00E45B88"/>
    <w:rsid w:val="00E45E0C"/>
    <w:rsid w:val="00E45E14"/>
    <w:rsid w:val="00E45E7E"/>
    <w:rsid w:val="00E45ECC"/>
    <w:rsid w:val="00E45EDD"/>
    <w:rsid w:val="00E45FF9"/>
    <w:rsid w:val="00E46125"/>
    <w:rsid w:val="00E462BB"/>
    <w:rsid w:val="00E46526"/>
    <w:rsid w:val="00E46533"/>
    <w:rsid w:val="00E467C2"/>
    <w:rsid w:val="00E46AC9"/>
    <w:rsid w:val="00E46BD3"/>
    <w:rsid w:val="00E46C19"/>
    <w:rsid w:val="00E46DCF"/>
    <w:rsid w:val="00E46E65"/>
    <w:rsid w:val="00E46EE9"/>
    <w:rsid w:val="00E470A6"/>
    <w:rsid w:val="00E47338"/>
    <w:rsid w:val="00E47368"/>
    <w:rsid w:val="00E475A3"/>
    <w:rsid w:val="00E47662"/>
    <w:rsid w:val="00E477A6"/>
    <w:rsid w:val="00E477C4"/>
    <w:rsid w:val="00E47852"/>
    <w:rsid w:val="00E478C0"/>
    <w:rsid w:val="00E47993"/>
    <w:rsid w:val="00E47D3A"/>
    <w:rsid w:val="00E47EFA"/>
    <w:rsid w:val="00E47FB6"/>
    <w:rsid w:val="00E5011B"/>
    <w:rsid w:val="00E50234"/>
    <w:rsid w:val="00E50345"/>
    <w:rsid w:val="00E50858"/>
    <w:rsid w:val="00E50B01"/>
    <w:rsid w:val="00E50B7A"/>
    <w:rsid w:val="00E50EE6"/>
    <w:rsid w:val="00E51083"/>
    <w:rsid w:val="00E510CA"/>
    <w:rsid w:val="00E51156"/>
    <w:rsid w:val="00E511A3"/>
    <w:rsid w:val="00E5128F"/>
    <w:rsid w:val="00E512D9"/>
    <w:rsid w:val="00E513F8"/>
    <w:rsid w:val="00E5148F"/>
    <w:rsid w:val="00E516C5"/>
    <w:rsid w:val="00E5182E"/>
    <w:rsid w:val="00E51989"/>
    <w:rsid w:val="00E51A32"/>
    <w:rsid w:val="00E51B7E"/>
    <w:rsid w:val="00E51B8A"/>
    <w:rsid w:val="00E51E9C"/>
    <w:rsid w:val="00E51EDA"/>
    <w:rsid w:val="00E51F24"/>
    <w:rsid w:val="00E524E5"/>
    <w:rsid w:val="00E52605"/>
    <w:rsid w:val="00E527AD"/>
    <w:rsid w:val="00E527D9"/>
    <w:rsid w:val="00E52BE6"/>
    <w:rsid w:val="00E52CC9"/>
    <w:rsid w:val="00E52DAB"/>
    <w:rsid w:val="00E52F15"/>
    <w:rsid w:val="00E52FB3"/>
    <w:rsid w:val="00E53407"/>
    <w:rsid w:val="00E534BE"/>
    <w:rsid w:val="00E5388E"/>
    <w:rsid w:val="00E538F1"/>
    <w:rsid w:val="00E53AB3"/>
    <w:rsid w:val="00E53C51"/>
    <w:rsid w:val="00E53C72"/>
    <w:rsid w:val="00E53DB6"/>
    <w:rsid w:val="00E53E47"/>
    <w:rsid w:val="00E53E7F"/>
    <w:rsid w:val="00E53F79"/>
    <w:rsid w:val="00E54053"/>
    <w:rsid w:val="00E541A4"/>
    <w:rsid w:val="00E541FA"/>
    <w:rsid w:val="00E5425B"/>
    <w:rsid w:val="00E54294"/>
    <w:rsid w:val="00E54799"/>
    <w:rsid w:val="00E54988"/>
    <w:rsid w:val="00E54AC3"/>
    <w:rsid w:val="00E54ACA"/>
    <w:rsid w:val="00E54BD2"/>
    <w:rsid w:val="00E54E66"/>
    <w:rsid w:val="00E54EBB"/>
    <w:rsid w:val="00E54ECF"/>
    <w:rsid w:val="00E54FB3"/>
    <w:rsid w:val="00E54FB7"/>
    <w:rsid w:val="00E55082"/>
    <w:rsid w:val="00E55188"/>
    <w:rsid w:val="00E552D3"/>
    <w:rsid w:val="00E552E2"/>
    <w:rsid w:val="00E5540A"/>
    <w:rsid w:val="00E555FE"/>
    <w:rsid w:val="00E556BD"/>
    <w:rsid w:val="00E5588F"/>
    <w:rsid w:val="00E55904"/>
    <w:rsid w:val="00E55A15"/>
    <w:rsid w:val="00E55DF3"/>
    <w:rsid w:val="00E55E44"/>
    <w:rsid w:val="00E55E72"/>
    <w:rsid w:val="00E561F8"/>
    <w:rsid w:val="00E56200"/>
    <w:rsid w:val="00E5642B"/>
    <w:rsid w:val="00E56510"/>
    <w:rsid w:val="00E568BF"/>
    <w:rsid w:val="00E569BD"/>
    <w:rsid w:val="00E56AF1"/>
    <w:rsid w:val="00E56EF7"/>
    <w:rsid w:val="00E57521"/>
    <w:rsid w:val="00E575DD"/>
    <w:rsid w:val="00E5779B"/>
    <w:rsid w:val="00E5791D"/>
    <w:rsid w:val="00E57964"/>
    <w:rsid w:val="00E57BA1"/>
    <w:rsid w:val="00E57D48"/>
    <w:rsid w:val="00E57DD7"/>
    <w:rsid w:val="00E57DE9"/>
    <w:rsid w:val="00E57E70"/>
    <w:rsid w:val="00E57F8F"/>
    <w:rsid w:val="00E60005"/>
    <w:rsid w:val="00E60189"/>
    <w:rsid w:val="00E601F3"/>
    <w:rsid w:val="00E602C1"/>
    <w:rsid w:val="00E6034E"/>
    <w:rsid w:val="00E604D0"/>
    <w:rsid w:val="00E60616"/>
    <w:rsid w:val="00E606D4"/>
    <w:rsid w:val="00E609EE"/>
    <w:rsid w:val="00E60A2F"/>
    <w:rsid w:val="00E60BE4"/>
    <w:rsid w:val="00E60C22"/>
    <w:rsid w:val="00E60E95"/>
    <w:rsid w:val="00E60F35"/>
    <w:rsid w:val="00E60FBA"/>
    <w:rsid w:val="00E60FEE"/>
    <w:rsid w:val="00E61489"/>
    <w:rsid w:val="00E6157A"/>
    <w:rsid w:val="00E615A8"/>
    <w:rsid w:val="00E61755"/>
    <w:rsid w:val="00E617A4"/>
    <w:rsid w:val="00E61826"/>
    <w:rsid w:val="00E61B20"/>
    <w:rsid w:val="00E61BA6"/>
    <w:rsid w:val="00E61C4E"/>
    <w:rsid w:val="00E61E16"/>
    <w:rsid w:val="00E61F5E"/>
    <w:rsid w:val="00E61FFF"/>
    <w:rsid w:val="00E62032"/>
    <w:rsid w:val="00E622F1"/>
    <w:rsid w:val="00E623B0"/>
    <w:rsid w:val="00E625DA"/>
    <w:rsid w:val="00E627E3"/>
    <w:rsid w:val="00E628DC"/>
    <w:rsid w:val="00E629F8"/>
    <w:rsid w:val="00E62BE3"/>
    <w:rsid w:val="00E62CB9"/>
    <w:rsid w:val="00E63313"/>
    <w:rsid w:val="00E6346D"/>
    <w:rsid w:val="00E635A6"/>
    <w:rsid w:val="00E635B3"/>
    <w:rsid w:val="00E6385D"/>
    <w:rsid w:val="00E63A85"/>
    <w:rsid w:val="00E63E74"/>
    <w:rsid w:val="00E63EC1"/>
    <w:rsid w:val="00E64002"/>
    <w:rsid w:val="00E640BA"/>
    <w:rsid w:val="00E6412D"/>
    <w:rsid w:val="00E64A83"/>
    <w:rsid w:val="00E64BB0"/>
    <w:rsid w:val="00E64DB7"/>
    <w:rsid w:val="00E65110"/>
    <w:rsid w:val="00E651F7"/>
    <w:rsid w:val="00E6540C"/>
    <w:rsid w:val="00E65545"/>
    <w:rsid w:val="00E65875"/>
    <w:rsid w:val="00E6588B"/>
    <w:rsid w:val="00E65A56"/>
    <w:rsid w:val="00E65AA4"/>
    <w:rsid w:val="00E65BBC"/>
    <w:rsid w:val="00E65BEA"/>
    <w:rsid w:val="00E65C0D"/>
    <w:rsid w:val="00E65FF4"/>
    <w:rsid w:val="00E66011"/>
    <w:rsid w:val="00E6619F"/>
    <w:rsid w:val="00E6636C"/>
    <w:rsid w:val="00E663BA"/>
    <w:rsid w:val="00E66451"/>
    <w:rsid w:val="00E66614"/>
    <w:rsid w:val="00E66650"/>
    <w:rsid w:val="00E666B5"/>
    <w:rsid w:val="00E666BA"/>
    <w:rsid w:val="00E66729"/>
    <w:rsid w:val="00E66731"/>
    <w:rsid w:val="00E667E0"/>
    <w:rsid w:val="00E668CB"/>
    <w:rsid w:val="00E66924"/>
    <w:rsid w:val="00E66C5A"/>
    <w:rsid w:val="00E66CFB"/>
    <w:rsid w:val="00E66D6E"/>
    <w:rsid w:val="00E66D85"/>
    <w:rsid w:val="00E66DC1"/>
    <w:rsid w:val="00E670E7"/>
    <w:rsid w:val="00E67318"/>
    <w:rsid w:val="00E6734C"/>
    <w:rsid w:val="00E67379"/>
    <w:rsid w:val="00E67530"/>
    <w:rsid w:val="00E67666"/>
    <w:rsid w:val="00E677E3"/>
    <w:rsid w:val="00E678E2"/>
    <w:rsid w:val="00E67B23"/>
    <w:rsid w:val="00E67C79"/>
    <w:rsid w:val="00E700E8"/>
    <w:rsid w:val="00E702A8"/>
    <w:rsid w:val="00E704E7"/>
    <w:rsid w:val="00E7061E"/>
    <w:rsid w:val="00E70AE4"/>
    <w:rsid w:val="00E70CC7"/>
    <w:rsid w:val="00E70ECF"/>
    <w:rsid w:val="00E7105E"/>
    <w:rsid w:val="00E715BA"/>
    <w:rsid w:val="00E7176C"/>
    <w:rsid w:val="00E718C5"/>
    <w:rsid w:val="00E71985"/>
    <w:rsid w:val="00E71CD2"/>
    <w:rsid w:val="00E71CEB"/>
    <w:rsid w:val="00E71EB2"/>
    <w:rsid w:val="00E71F58"/>
    <w:rsid w:val="00E72112"/>
    <w:rsid w:val="00E721AF"/>
    <w:rsid w:val="00E7224B"/>
    <w:rsid w:val="00E7228D"/>
    <w:rsid w:val="00E72341"/>
    <w:rsid w:val="00E7235B"/>
    <w:rsid w:val="00E7259F"/>
    <w:rsid w:val="00E726A1"/>
    <w:rsid w:val="00E72821"/>
    <w:rsid w:val="00E72AF5"/>
    <w:rsid w:val="00E72BE4"/>
    <w:rsid w:val="00E731AB"/>
    <w:rsid w:val="00E7337C"/>
    <w:rsid w:val="00E733B4"/>
    <w:rsid w:val="00E733F5"/>
    <w:rsid w:val="00E734AC"/>
    <w:rsid w:val="00E7398B"/>
    <w:rsid w:val="00E739C1"/>
    <w:rsid w:val="00E73A32"/>
    <w:rsid w:val="00E73B33"/>
    <w:rsid w:val="00E73B62"/>
    <w:rsid w:val="00E73E29"/>
    <w:rsid w:val="00E73E40"/>
    <w:rsid w:val="00E74154"/>
    <w:rsid w:val="00E74194"/>
    <w:rsid w:val="00E74674"/>
    <w:rsid w:val="00E74953"/>
    <w:rsid w:val="00E74966"/>
    <w:rsid w:val="00E74ADE"/>
    <w:rsid w:val="00E74D35"/>
    <w:rsid w:val="00E7502E"/>
    <w:rsid w:val="00E750A6"/>
    <w:rsid w:val="00E7532D"/>
    <w:rsid w:val="00E755FF"/>
    <w:rsid w:val="00E75630"/>
    <w:rsid w:val="00E75716"/>
    <w:rsid w:val="00E75781"/>
    <w:rsid w:val="00E75F34"/>
    <w:rsid w:val="00E7604D"/>
    <w:rsid w:val="00E7636A"/>
    <w:rsid w:val="00E76371"/>
    <w:rsid w:val="00E76499"/>
    <w:rsid w:val="00E769B4"/>
    <w:rsid w:val="00E76A74"/>
    <w:rsid w:val="00E76BC8"/>
    <w:rsid w:val="00E76C90"/>
    <w:rsid w:val="00E76EB5"/>
    <w:rsid w:val="00E77115"/>
    <w:rsid w:val="00E77200"/>
    <w:rsid w:val="00E774B0"/>
    <w:rsid w:val="00E77559"/>
    <w:rsid w:val="00E7765B"/>
    <w:rsid w:val="00E77A9E"/>
    <w:rsid w:val="00E77B90"/>
    <w:rsid w:val="00E77C99"/>
    <w:rsid w:val="00E80035"/>
    <w:rsid w:val="00E8003F"/>
    <w:rsid w:val="00E80420"/>
    <w:rsid w:val="00E805D4"/>
    <w:rsid w:val="00E8067A"/>
    <w:rsid w:val="00E80910"/>
    <w:rsid w:val="00E80942"/>
    <w:rsid w:val="00E80AA8"/>
    <w:rsid w:val="00E80AAE"/>
    <w:rsid w:val="00E80BB7"/>
    <w:rsid w:val="00E80E83"/>
    <w:rsid w:val="00E80EF1"/>
    <w:rsid w:val="00E8111A"/>
    <w:rsid w:val="00E81121"/>
    <w:rsid w:val="00E81379"/>
    <w:rsid w:val="00E814D8"/>
    <w:rsid w:val="00E81566"/>
    <w:rsid w:val="00E816FC"/>
    <w:rsid w:val="00E81781"/>
    <w:rsid w:val="00E81789"/>
    <w:rsid w:val="00E8180F"/>
    <w:rsid w:val="00E8196A"/>
    <w:rsid w:val="00E81AC6"/>
    <w:rsid w:val="00E81D25"/>
    <w:rsid w:val="00E81E7F"/>
    <w:rsid w:val="00E82000"/>
    <w:rsid w:val="00E8206B"/>
    <w:rsid w:val="00E820FD"/>
    <w:rsid w:val="00E82107"/>
    <w:rsid w:val="00E821FA"/>
    <w:rsid w:val="00E8226B"/>
    <w:rsid w:val="00E822BF"/>
    <w:rsid w:val="00E82629"/>
    <w:rsid w:val="00E8269B"/>
    <w:rsid w:val="00E82848"/>
    <w:rsid w:val="00E828F6"/>
    <w:rsid w:val="00E829FF"/>
    <w:rsid w:val="00E82A3C"/>
    <w:rsid w:val="00E82F05"/>
    <w:rsid w:val="00E8304E"/>
    <w:rsid w:val="00E83272"/>
    <w:rsid w:val="00E8330A"/>
    <w:rsid w:val="00E833E6"/>
    <w:rsid w:val="00E83660"/>
    <w:rsid w:val="00E837BF"/>
    <w:rsid w:val="00E838E0"/>
    <w:rsid w:val="00E8395A"/>
    <w:rsid w:val="00E83C7E"/>
    <w:rsid w:val="00E83D66"/>
    <w:rsid w:val="00E83FC4"/>
    <w:rsid w:val="00E840E8"/>
    <w:rsid w:val="00E84270"/>
    <w:rsid w:val="00E842A4"/>
    <w:rsid w:val="00E84330"/>
    <w:rsid w:val="00E84672"/>
    <w:rsid w:val="00E84677"/>
    <w:rsid w:val="00E84BD9"/>
    <w:rsid w:val="00E84D96"/>
    <w:rsid w:val="00E84E1F"/>
    <w:rsid w:val="00E84E8F"/>
    <w:rsid w:val="00E851A3"/>
    <w:rsid w:val="00E851B0"/>
    <w:rsid w:val="00E851B5"/>
    <w:rsid w:val="00E85203"/>
    <w:rsid w:val="00E8534D"/>
    <w:rsid w:val="00E853D5"/>
    <w:rsid w:val="00E855A7"/>
    <w:rsid w:val="00E85800"/>
    <w:rsid w:val="00E85860"/>
    <w:rsid w:val="00E85932"/>
    <w:rsid w:val="00E859FD"/>
    <w:rsid w:val="00E85EE1"/>
    <w:rsid w:val="00E85EF3"/>
    <w:rsid w:val="00E85F23"/>
    <w:rsid w:val="00E85F88"/>
    <w:rsid w:val="00E8633B"/>
    <w:rsid w:val="00E8652B"/>
    <w:rsid w:val="00E86661"/>
    <w:rsid w:val="00E867A7"/>
    <w:rsid w:val="00E86CAB"/>
    <w:rsid w:val="00E86F4C"/>
    <w:rsid w:val="00E8717B"/>
    <w:rsid w:val="00E87218"/>
    <w:rsid w:val="00E872DB"/>
    <w:rsid w:val="00E872DE"/>
    <w:rsid w:val="00E872E0"/>
    <w:rsid w:val="00E87369"/>
    <w:rsid w:val="00E87691"/>
    <w:rsid w:val="00E8790C"/>
    <w:rsid w:val="00E87948"/>
    <w:rsid w:val="00E87B98"/>
    <w:rsid w:val="00E87BA0"/>
    <w:rsid w:val="00E87F83"/>
    <w:rsid w:val="00E90486"/>
    <w:rsid w:val="00E905F2"/>
    <w:rsid w:val="00E90679"/>
    <w:rsid w:val="00E90781"/>
    <w:rsid w:val="00E907EB"/>
    <w:rsid w:val="00E90B32"/>
    <w:rsid w:val="00E90C82"/>
    <w:rsid w:val="00E90D02"/>
    <w:rsid w:val="00E90DFA"/>
    <w:rsid w:val="00E90F85"/>
    <w:rsid w:val="00E910C6"/>
    <w:rsid w:val="00E91179"/>
    <w:rsid w:val="00E912C8"/>
    <w:rsid w:val="00E9148E"/>
    <w:rsid w:val="00E914FA"/>
    <w:rsid w:val="00E91592"/>
    <w:rsid w:val="00E916D0"/>
    <w:rsid w:val="00E9170F"/>
    <w:rsid w:val="00E917C0"/>
    <w:rsid w:val="00E917F1"/>
    <w:rsid w:val="00E91AF0"/>
    <w:rsid w:val="00E91F15"/>
    <w:rsid w:val="00E92107"/>
    <w:rsid w:val="00E92500"/>
    <w:rsid w:val="00E9285A"/>
    <w:rsid w:val="00E92931"/>
    <w:rsid w:val="00E929F2"/>
    <w:rsid w:val="00E92A75"/>
    <w:rsid w:val="00E92A94"/>
    <w:rsid w:val="00E92B30"/>
    <w:rsid w:val="00E92E22"/>
    <w:rsid w:val="00E93072"/>
    <w:rsid w:val="00E930FA"/>
    <w:rsid w:val="00E93180"/>
    <w:rsid w:val="00E93202"/>
    <w:rsid w:val="00E933AA"/>
    <w:rsid w:val="00E93504"/>
    <w:rsid w:val="00E93674"/>
    <w:rsid w:val="00E9393A"/>
    <w:rsid w:val="00E93D81"/>
    <w:rsid w:val="00E93F6A"/>
    <w:rsid w:val="00E94122"/>
    <w:rsid w:val="00E9412C"/>
    <w:rsid w:val="00E94137"/>
    <w:rsid w:val="00E9413F"/>
    <w:rsid w:val="00E9415A"/>
    <w:rsid w:val="00E941FC"/>
    <w:rsid w:val="00E94609"/>
    <w:rsid w:val="00E94A4C"/>
    <w:rsid w:val="00E94C8F"/>
    <w:rsid w:val="00E94D07"/>
    <w:rsid w:val="00E94DC1"/>
    <w:rsid w:val="00E94E6D"/>
    <w:rsid w:val="00E94EEA"/>
    <w:rsid w:val="00E94F3D"/>
    <w:rsid w:val="00E94FBE"/>
    <w:rsid w:val="00E94FE0"/>
    <w:rsid w:val="00E95040"/>
    <w:rsid w:val="00E951C4"/>
    <w:rsid w:val="00E9536F"/>
    <w:rsid w:val="00E95569"/>
    <w:rsid w:val="00E955AC"/>
    <w:rsid w:val="00E958CB"/>
    <w:rsid w:val="00E95B79"/>
    <w:rsid w:val="00E95CD9"/>
    <w:rsid w:val="00E9609D"/>
    <w:rsid w:val="00E96115"/>
    <w:rsid w:val="00E96421"/>
    <w:rsid w:val="00E96A1F"/>
    <w:rsid w:val="00E96A3F"/>
    <w:rsid w:val="00E96AB4"/>
    <w:rsid w:val="00E96AEC"/>
    <w:rsid w:val="00E96B96"/>
    <w:rsid w:val="00E96F3D"/>
    <w:rsid w:val="00E970D9"/>
    <w:rsid w:val="00E971F4"/>
    <w:rsid w:val="00E9729F"/>
    <w:rsid w:val="00E9740C"/>
    <w:rsid w:val="00E974B5"/>
    <w:rsid w:val="00E976D5"/>
    <w:rsid w:val="00E976DF"/>
    <w:rsid w:val="00E97720"/>
    <w:rsid w:val="00E977AE"/>
    <w:rsid w:val="00E9789C"/>
    <w:rsid w:val="00E97DD7"/>
    <w:rsid w:val="00E97EC5"/>
    <w:rsid w:val="00EA028E"/>
    <w:rsid w:val="00EA0297"/>
    <w:rsid w:val="00EA0325"/>
    <w:rsid w:val="00EA048F"/>
    <w:rsid w:val="00EA0834"/>
    <w:rsid w:val="00EA0945"/>
    <w:rsid w:val="00EA09B0"/>
    <w:rsid w:val="00EA0AAA"/>
    <w:rsid w:val="00EA0B96"/>
    <w:rsid w:val="00EA0C47"/>
    <w:rsid w:val="00EA0D94"/>
    <w:rsid w:val="00EA0DB3"/>
    <w:rsid w:val="00EA0DDC"/>
    <w:rsid w:val="00EA0F22"/>
    <w:rsid w:val="00EA0F89"/>
    <w:rsid w:val="00EA103A"/>
    <w:rsid w:val="00EA11B8"/>
    <w:rsid w:val="00EA1278"/>
    <w:rsid w:val="00EA1291"/>
    <w:rsid w:val="00EA1417"/>
    <w:rsid w:val="00EA1505"/>
    <w:rsid w:val="00EA1571"/>
    <w:rsid w:val="00EA15F5"/>
    <w:rsid w:val="00EA1606"/>
    <w:rsid w:val="00EA170D"/>
    <w:rsid w:val="00EA1894"/>
    <w:rsid w:val="00EA18E0"/>
    <w:rsid w:val="00EA19F2"/>
    <w:rsid w:val="00EA1A0A"/>
    <w:rsid w:val="00EA1A1B"/>
    <w:rsid w:val="00EA1A76"/>
    <w:rsid w:val="00EA1A91"/>
    <w:rsid w:val="00EA1B0F"/>
    <w:rsid w:val="00EA1B29"/>
    <w:rsid w:val="00EA1C3F"/>
    <w:rsid w:val="00EA1FAB"/>
    <w:rsid w:val="00EA2016"/>
    <w:rsid w:val="00EA23C7"/>
    <w:rsid w:val="00EA24DF"/>
    <w:rsid w:val="00EA2535"/>
    <w:rsid w:val="00EA25B1"/>
    <w:rsid w:val="00EA2860"/>
    <w:rsid w:val="00EA2B07"/>
    <w:rsid w:val="00EA2C7B"/>
    <w:rsid w:val="00EA2CE8"/>
    <w:rsid w:val="00EA2E7B"/>
    <w:rsid w:val="00EA2F71"/>
    <w:rsid w:val="00EA2FB7"/>
    <w:rsid w:val="00EA3096"/>
    <w:rsid w:val="00EA3143"/>
    <w:rsid w:val="00EA31B8"/>
    <w:rsid w:val="00EA3400"/>
    <w:rsid w:val="00EA344A"/>
    <w:rsid w:val="00EA36A1"/>
    <w:rsid w:val="00EA3722"/>
    <w:rsid w:val="00EA3751"/>
    <w:rsid w:val="00EA3812"/>
    <w:rsid w:val="00EA3A4C"/>
    <w:rsid w:val="00EA3D06"/>
    <w:rsid w:val="00EA3F1C"/>
    <w:rsid w:val="00EA3FCF"/>
    <w:rsid w:val="00EA45C9"/>
    <w:rsid w:val="00EA46E6"/>
    <w:rsid w:val="00EA47FB"/>
    <w:rsid w:val="00EA4969"/>
    <w:rsid w:val="00EA4AF4"/>
    <w:rsid w:val="00EA4CAB"/>
    <w:rsid w:val="00EA4D63"/>
    <w:rsid w:val="00EA4EBB"/>
    <w:rsid w:val="00EA5058"/>
    <w:rsid w:val="00EA50B9"/>
    <w:rsid w:val="00EA552A"/>
    <w:rsid w:val="00EA5552"/>
    <w:rsid w:val="00EA569B"/>
    <w:rsid w:val="00EA5822"/>
    <w:rsid w:val="00EA59BD"/>
    <w:rsid w:val="00EA5A52"/>
    <w:rsid w:val="00EA5A8A"/>
    <w:rsid w:val="00EA5ADA"/>
    <w:rsid w:val="00EA5B6D"/>
    <w:rsid w:val="00EA5BC0"/>
    <w:rsid w:val="00EA5BFD"/>
    <w:rsid w:val="00EA5FAB"/>
    <w:rsid w:val="00EA60EE"/>
    <w:rsid w:val="00EA6348"/>
    <w:rsid w:val="00EA639B"/>
    <w:rsid w:val="00EA655D"/>
    <w:rsid w:val="00EA66CF"/>
    <w:rsid w:val="00EA66E6"/>
    <w:rsid w:val="00EA6736"/>
    <w:rsid w:val="00EA676B"/>
    <w:rsid w:val="00EA680C"/>
    <w:rsid w:val="00EA6A12"/>
    <w:rsid w:val="00EA6BC2"/>
    <w:rsid w:val="00EA6C64"/>
    <w:rsid w:val="00EA6D02"/>
    <w:rsid w:val="00EA6E10"/>
    <w:rsid w:val="00EA701D"/>
    <w:rsid w:val="00EA702D"/>
    <w:rsid w:val="00EA709B"/>
    <w:rsid w:val="00EA715F"/>
    <w:rsid w:val="00EA720A"/>
    <w:rsid w:val="00EA7295"/>
    <w:rsid w:val="00EA7C66"/>
    <w:rsid w:val="00EA7D3A"/>
    <w:rsid w:val="00EA7F3B"/>
    <w:rsid w:val="00EB0080"/>
    <w:rsid w:val="00EB00D4"/>
    <w:rsid w:val="00EB05A4"/>
    <w:rsid w:val="00EB0662"/>
    <w:rsid w:val="00EB06E2"/>
    <w:rsid w:val="00EB076C"/>
    <w:rsid w:val="00EB095D"/>
    <w:rsid w:val="00EB0A39"/>
    <w:rsid w:val="00EB0AE4"/>
    <w:rsid w:val="00EB0B5C"/>
    <w:rsid w:val="00EB0DC2"/>
    <w:rsid w:val="00EB0FFA"/>
    <w:rsid w:val="00EB12B7"/>
    <w:rsid w:val="00EB13BA"/>
    <w:rsid w:val="00EB13E7"/>
    <w:rsid w:val="00EB14A7"/>
    <w:rsid w:val="00EB14A8"/>
    <w:rsid w:val="00EB1615"/>
    <w:rsid w:val="00EB19A5"/>
    <w:rsid w:val="00EB19A7"/>
    <w:rsid w:val="00EB1AD3"/>
    <w:rsid w:val="00EB1F06"/>
    <w:rsid w:val="00EB22A4"/>
    <w:rsid w:val="00EB2335"/>
    <w:rsid w:val="00EB237D"/>
    <w:rsid w:val="00EB2791"/>
    <w:rsid w:val="00EB284B"/>
    <w:rsid w:val="00EB295A"/>
    <w:rsid w:val="00EB2A8F"/>
    <w:rsid w:val="00EB2DFC"/>
    <w:rsid w:val="00EB2ED8"/>
    <w:rsid w:val="00EB2F27"/>
    <w:rsid w:val="00EB3035"/>
    <w:rsid w:val="00EB3267"/>
    <w:rsid w:val="00EB327B"/>
    <w:rsid w:val="00EB3554"/>
    <w:rsid w:val="00EB3583"/>
    <w:rsid w:val="00EB35EC"/>
    <w:rsid w:val="00EB360C"/>
    <w:rsid w:val="00EB36E6"/>
    <w:rsid w:val="00EB36F3"/>
    <w:rsid w:val="00EB388B"/>
    <w:rsid w:val="00EB396B"/>
    <w:rsid w:val="00EB3A13"/>
    <w:rsid w:val="00EB3A8D"/>
    <w:rsid w:val="00EB3AF1"/>
    <w:rsid w:val="00EB3D37"/>
    <w:rsid w:val="00EB3E1D"/>
    <w:rsid w:val="00EB414D"/>
    <w:rsid w:val="00EB41F7"/>
    <w:rsid w:val="00EB426B"/>
    <w:rsid w:val="00EB4641"/>
    <w:rsid w:val="00EB4737"/>
    <w:rsid w:val="00EB475F"/>
    <w:rsid w:val="00EB47B0"/>
    <w:rsid w:val="00EB4933"/>
    <w:rsid w:val="00EB4C4E"/>
    <w:rsid w:val="00EB4C89"/>
    <w:rsid w:val="00EB4C8E"/>
    <w:rsid w:val="00EB4CF3"/>
    <w:rsid w:val="00EB4D26"/>
    <w:rsid w:val="00EB4D4C"/>
    <w:rsid w:val="00EB4E02"/>
    <w:rsid w:val="00EB4ED5"/>
    <w:rsid w:val="00EB4F9F"/>
    <w:rsid w:val="00EB5210"/>
    <w:rsid w:val="00EB5242"/>
    <w:rsid w:val="00EB53FE"/>
    <w:rsid w:val="00EB540D"/>
    <w:rsid w:val="00EB5426"/>
    <w:rsid w:val="00EB5569"/>
    <w:rsid w:val="00EB55DF"/>
    <w:rsid w:val="00EB5888"/>
    <w:rsid w:val="00EB58BB"/>
    <w:rsid w:val="00EB5966"/>
    <w:rsid w:val="00EB5C4B"/>
    <w:rsid w:val="00EB5D63"/>
    <w:rsid w:val="00EB5DB4"/>
    <w:rsid w:val="00EB5E1E"/>
    <w:rsid w:val="00EB5E6D"/>
    <w:rsid w:val="00EB5ED5"/>
    <w:rsid w:val="00EB613B"/>
    <w:rsid w:val="00EB61E1"/>
    <w:rsid w:val="00EB638B"/>
    <w:rsid w:val="00EB63B6"/>
    <w:rsid w:val="00EB6441"/>
    <w:rsid w:val="00EB6477"/>
    <w:rsid w:val="00EB6957"/>
    <w:rsid w:val="00EB6A77"/>
    <w:rsid w:val="00EB6B31"/>
    <w:rsid w:val="00EB6BB6"/>
    <w:rsid w:val="00EB6BDE"/>
    <w:rsid w:val="00EB6D70"/>
    <w:rsid w:val="00EB6EF8"/>
    <w:rsid w:val="00EB6F6C"/>
    <w:rsid w:val="00EB71E6"/>
    <w:rsid w:val="00EB7301"/>
    <w:rsid w:val="00EB7357"/>
    <w:rsid w:val="00EB737F"/>
    <w:rsid w:val="00EB742B"/>
    <w:rsid w:val="00EB7451"/>
    <w:rsid w:val="00EB7463"/>
    <w:rsid w:val="00EB74C0"/>
    <w:rsid w:val="00EB7553"/>
    <w:rsid w:val="00EB75E5"/>
    <w:rsid w:val="00EB763B"/>
    <w:rsid w:val="00EB76ED"/>
    <w:rsid w:val="00EB7967"/>
    <w:rsid w:val="00EB7BEE"/>
    <w:rsid w:val="00EC01D6"/>
    <w:rsid w:val="00EC043F"/>
    <w:rsid w:val="00EC045D"/>
    <w:rsid w:val="00EC04B4"/>
    <w:rsid w:val="00EC074C"/>
    <w:rsid w:val="00EC07B8"/>
    <w:rsid w:val="00EC0859"/>
    <w:rsid w:val="00EC08E0"/>
    <w:rsid w:val="00EC099E"/>
    <w:rsid w:val="00EC0BCA"/>
    <w:rsid w:val="00EC0F06"/>
    <w:rsid w:val="00EC0FBB"/>
    <w:rsid w:val="00EC10CE"/>
    <w:rsid w:val="00EC1208"/>
    <w:rsid w:val="00EC1297"/>
    <w:rsid w:val="00EC13B8"/>
    <w:rsid w:val="00EC1435"/>
    <w:rsid w:val="00EC1501"/>
    <w:rsid w:val="00EC153F"/>
    <w:rsid w:val="00EC1615"/>
    <w:rsid w:val="00EC16F1"/>
    <w:rsid w:val="00EC1770"/>
    <w:rsid w:val="00EC1976"/>
    <w:rsid w:val="00EC1AB4"/>
    <w:rsid w:val="00EC1CAF"/>
    <w:rsid w:val="00EC1EB1"/>
    <w:rsid w:val="00EC1EDB"/>
    <w:rsid w:val="00EC1EFA"/>
    <w:rsid w:val="00EC22FA"/>
    <w:rsid w:val="00EC26ED"/>
    <w:rsid w:val="00EC270C"/>
    <w:rsid w:val="00EC2805"/>
    <w:rsid w:val="00EC2FDD"/>
    <w:rsid w:val="00EC300D"/>
    <w:rsid w:val="00EC3058"/>
    <w:rsid w:val="00EC3242"/>
    <w:rsid w:val="00EC32A5"/>
    <w:rsid w:val="00EC32A6"/>
    <w:rsid w:val="00EC3456"/>
    <w:rsid w:val="00EC34DF"/>
    <w:rsid w:val="00EC37AB"/>
    <w:rsid w:val="00EC38B9"/>
    <w:rsid w:val="00EC3927"/>
    <w:rsid w:val="00EC3B7D"/>
    <w:rsid w:val="00EC3BBD"/>
    <w:rsid w:val="00EC3BDC"/>
    <w:rsid w:val="00EC3C56"/>
    <w:rsid w:val="00EC3FEA"/>
    <w:rsid w:val="00EC412C"/>
    <w:rsid w:val="00EC447A"/>
    <w:rsid w:val="00EC4758"/>
    <w:rsid w:val="00EC4761"/>
    <w:rsid w:val="00EC4839"/>
    <w:rsid w:val="00EC4F7F"/>
    <w:rsid w:val="00EC50E4"/>
    <w:rsid w:val="00EC514B"/>
    <w:rsid w:val="00EC5463"/>
    <w:rsid w:val="00EC55BB"/>
    <w:rsid w:val="00EC56DC"/>
    <w:rsid w:val="00EC5752"/>
    <w:rsid w:val="00EC575D"/>
    <w:rsid w:val="00EC57D3"/>
    <w:rsid w:val="00EC57FE"/>
    <w:rsid w:val="00EC59F2"/>
    <w:rsid w:val="00EC5DF8"/>
    <w:rsid w:val="00EC5E11"/>
    <w:rsid w:val="00EC5EB6"/>
    <w:rsid w:val="00EC5F2A"/>
    <w:rsid w:val="00EC6493"/>
    <w:rsid w:val="00EC64BE"/>
    <w:rsid w:val="00EC659A"/>
    <w:rsid w:val="00EC6741"/>
    <w:rsid w:val="00EC6E9F"/>
    <w:rsid w:val="00EC6F71"/>
    <w:rsid w:val="00EC713B"/>
    <w:rsid w:val="00EC7373"/>
    <w:rsid w:val="00EC7527"/>
    <w:rsid w:val="00EC757D"/>
    <w:rsid w:val="00EC75B5"/>
    <w:rsid w:val="00EC76EE"/>
    <w:rsid w:val="00EC7748"/>
    <w:rsid w:val="00EC78BD"/>
    <w:rsid w:val="00EC78EC"/>
    <w:rsid w:val="00EC7958"/>
    <w:rsid w:val="00EC7B4E"/>
    <w:rsid w:val="00EC7C6B"/>
    <w:rsid w:val="00EC7CE2"/>
    <w:rsid w:val="00EC7D4C"/>
    <w:rsid w:val="00EC7D4D"/>
    <w:rsid w:val="00EC7D91"/>
    <w:rsid w:val="00EC7E59"/>
    <w:rsid w:val="00EC7E7E"/>
    <w:rsid w:val="00EC7F14"/>
    <w:rsid w:val="00EC7FAE"/>
    <w:rsid w:val="00ED007E"/>
    <w:rsid w:val="00ED00B5"/>
    <w:rsid w:val="00ED016C"/>
    <w:rsid w:val="00ED01A7"/>
    <w:rsid w:val="00ED0290"/>
    <w:rsid w:val="00ED03B4"/>
    <w:rsid w:val="00ED03DD"/>
    <w:rsid w:val="00ED0537"/>
    <w:rsid w:val="00ED079D"/>
    <w:rsid w:val="00ED08B7"/>
    <w:rsid w:val="00ED0B20"/>
    <w:rsid w:val="00ED0C0F"/>
    <w:rsid w:val="00ED0C84"/>
    <w:rsid w:val="00ED0DAB"/>
    <w:rsid w:val="00ED0E7F"/>
    <w:rsid w:val="00ED0EF9"/>
    <w:rsid w:val="00ED0F39"/>
    <w:rsid w:val="00ED0F78"/>
    <w:rsid w:val="00ED111C"/>
    <w:rsid w:val="00ED129E"/>
    <w:rsid w:val="00ED134B"/>
    <w:rsid w:val="00ED1362"/>
    <w:rsid w:val="00ED13F4"/>
    <w:rsid w:val="00ED15BF"/>
    <w:rsid w:val="00ED160E"/>
    <w:rsid w:val="00ED161B"/>
    <w:rsid w:val="00ED19C0"/>
    <w:rsid w:val="00ED1CDD"/>
    <w:rsid w:val="00ED1ED4"/>
    <w:rsid w:val="00ED1F65"/>
    <w:rsid w:val="00ED2295"/>
    <w:rsid w:val="00ED24C1"/>
    <w:rsid w:val="00ED24EA"/>
    <w:rsid w:val="00ED2536"/>
    <w:rsid w:val="00ED29A2"/>
    <w:rsid w:val="00ED29C8"/>
    <w:rsid w:val="00ED2BCE"/>
    <w:rsid w:val="00ED2BE6"/>
    <w:rsid w:val="00ED2CD1"/>
    <w:rsid w:val="00ED2DC5"/>
    <w:rsid w:val="00ED2F4A"/>
    <w:rsid w:val="00ED31B5"/>
    <w:rsid w:val="00ED3215"/>
    <w:rsid w:val="00ED3273"/>
    <w:rsid w:val="00ED33A0"/>
    <w:rsid w:val="00ED340B"/>
    <w:rsid w:val="00ED3496"/>
    <w:rsid w:val="00ED3541"/>
    <w:rsid w:val="00ED361C"/>
    <w:rsid w:val="00ED36F2"/>
    <w:rsid w:val="00ED3769"/>
    <w:rsid w:val="00ED377B"/>
    <w:rsid w:val="00ED394A"/>
    <w:rsid w:val="00ED3A28"/>
    <w:rsid w:val="00ED3A79"/>
    <w:rsid w:val="00ED3AE5"/>
    <w:rsid w:val="00ED3BC1"/>
    <w:rsid w:val="00ED3D54"/>
    <w:rsid w:val="00ED4232"/>
    <w:rsid w:val="00ED4323"/>
    <w:rsid w:val="00ED440E"/>
    <w:rsid w:val="00ED4625"/>
    <w:rsid w:val="00ED4640"/>
    <w:rsid w:val="00ED4827"/>
    <w:rsid w:val="00ED4A6F"/>
    <w:rsid w:val="00ED4B23"/>
    <w:rsid w:val="00ED4CE7"/>
    <w:rsid w:val="00ED4D58"/>
    <w:rsid w:val="00ED4D64"/>
    <w:rsid w:val="00ED4DC8"/>
    <w:rsid w:val="00ED5019"/>
    <w:rsid w:val="00ED5042"/>
    <w:rsid w:val="00ED50F3"/>
    <w:rsid w:val="00ED5116"/>
    <w:rsid w:val="00ED51C6"/>
    <w:rsid w:val="00ED529F"/>
    <w:rsid w:val="00ED5329"/>
    <w:rsid w:val="00ED5411"/>
    <w:rsid w:val="00ED56EC"/>
    <w:rsid w:val="00ED5AD9"/>
    <w:rsid w:val="00ED5BB3"/>
    <w:rsid w:val="00ED5EF4"/>
    <w:rsid w:val="00ED5FD5"/>
    <w:rsid w:val="00ED6179"/>
    <w:rsid w:val="00ED6281"/>
    <w:rsid w:val="00ED630B"/>
    <w:rsid w:val="00ED631B"/>
    <w:rsid w:val="00ED63E8"/>
    <w:rsid w:val="00ED6549"/>
    <w:rsid w:val="00ED66D5"/>
    <w:rsid w:val="00ED6820"/>
    <w:rsid w:val="00ED69FE"/>
    <w:rsid w:val="00ED6B58"/>
    <w:rsid w:val="00ED6CAC"/>
    <w:rsid w:val="00ED6FC9"/>
    <w:rsid w:val="00ED7152"/>
    <w:rsid w:val="00ED7253"/>
    <w:rsid w:val="00ED73F9"/>
    <w:rsid w:val="00ED7509"/>
    <w:rsid w:val="00ED7574"/>
    <w:rsid w:val="00ED762E"/>
    <w:rsid w:val="00ED779C"/>
    <w:rsid w:val="00ED7997"/>
    <w:rsid w:val="00ED79C1"/>
    <w:rsid w:val="00ED7A19"/>
    <w:rsid w:val="00ED7A65"/>
    <w:rsid w:val="00ED7B2E"/>
    <w:rsid w:val="00ED7D90"/>
    <w:rsid w:val="00ED7DCC"/>
    <w:rsid w:val="00ED7FB1"/>
    <w:rsid w:val="00EE0000"/>
    <w:rsid w:val="00EE00A5"/>
    <w:rsid w:val="00EE0192"/>
    <w:rsid w:val="00EE0358"/>
    <w:rsid w:val="00EE051B"/>
    <w:rsid w:val="00EE05B5"/>
    <w:rsid w:val="00EE0847"/>
    <w:rsid w:val="00EE08BD"/>
    <w:rsid w:val="00EE092A"/>
    <w:rsid w:val="00EE0A5D"/>
    <w:rsid w:val="00EE1228"/>
    <w:rsid w:val="00EE1231"/>
    <w:rsid w:val="00EE15B7"/>
    <w:rsid w:val="00EE162D"/>
    <w:rsid w:val="00EE1823"/>
    <w:rsid w:val="00EE185B"/>
    <w:rsid w:val="00EE1B24"/>
    <w:rsid w:val="00EE1BEE"/>
    <w:rsid w:val="00EE1C0A"/>
    <w:rsid w:val="00EE1D0E"/>
    <w:rsid w:val="00EE2144"/>
    <w:rsid w:val="00EE2296"/>
    <w:rsid w:val="00EE22B4"/>
    <w:rsid w:val="00EE2469"/>
    <w:rsid w:val="00EE2606"/>
    <w:rsid w:val="00EE2852"/>
    <w:rsid w:val="00EE2B64"/>
    <w:rsid w:val="00EE2BC7"/>
    <w:rsid w:val="00EE2D2C"/>
    <w:rsid w:val="00EE2EB2"/>
    <w:rsid w:val="00EE2F65"/>
    <w:rsid w:val="00EE2F6A"/>
    <w:rsid w:val="00EE31E1"/>
    <w:rsid w:val="00EE3279"/>
    <w:rsid w:val="00EE32A3"/>
    <w:rsid w:val="00EE33B6"/>
    <w:rsid w:val="00EE3511"/>
    <w:rsid w:val="00EE36A2"/>
    <w:rsid w:val="00EE3717"/>
    <w:rsid w:val="00EE3727"/>
    <w:rsid w:val="00EE37BA"/>
    <w:rsid w:val="00EE383D"/>
    <w:rsid w:val="00EE3A61"/>
    <w:rsid w:val="00EE3A6E"/>
    <w:rsid w:val="00EE3BE0"/>
    <w:rsid w:val="00EE3FC3"/>
    <w:rsid w:val="00EE4147"/>
    <w:rsid w:val="00EE4230"/>
    <w:rsid w:val="00EE4438"/>
    <w:rsid w:val="00EE4749"/>
    <w:rsid w:val="00EE474D"/>
    <w:rsid w:val="00EE4A4D"/>
    <w:rsid w:val="00EE4BD8"/>
    <w:rsid w:val="00EE4C45"/>
    <w:rsid w:val="00EE4EBE"/>
    <w:rsid w:val="00EE500A"/>
    <w:rsid w:val="00EE5014"/>
    <w:rsid w:val="00EE51AF"/>
    <w:rsid w:val="00EE52CE"/>
    <w:rsid w:val="00EE52FD"/>
    <w:rsid w:val="00EE5479"/>
    <w:rsid w:val="00EE54F7"/>
    <w:rsid w:val="00EE55F1"/>
    <w:rsid w:val="00EE56B9"/>
    <w:rsid w:val="00EE57D2"/>
    <w:rsid w:val="00EE57E0"/>
    <w:rsid w:val="00EE5837"/>
    <w:rsid w:val="00EE5B4B"/>
    <w:rsid w:val="00EE5CB2"/>
    <w:rsid w:val="00EE5D8C"/>
    <w:rsid w:val="00EE5DC5"/>
    <w:rsid w:val="00EE5DC9"/>
    <w:rsid w:val="00EE5DCE"/>
    <w:rsid w:val="00EE6072"/>
    <w:rsid w:val="00EE60CE"/>
    <w:rsid w:val="00EE6228"/>
    <w:rsid w:val="00EE6446"/>
    <w:rsid w:val="00EE648F"/>
    <w:rsid w:val="00EE64A0"/>
    <w:rsid w:val="00EE65F2"/>
    <w:rsid w:val="00EE6924"/>
    <w:rsid w:val="00EE6B5D"/>
    <w:rsid w:val="00EE6C66"/>
    <w:rsid w:val="00EE6ED6"/>
    <w:rsid w:val="00EE6F0A"/>
    <w:rsid w:val="00EE6F56"/>
    <w:rsid w:val="00EE7208"/>
    <w:rsid w:val="00EE73CA"/>
    <w:rsid w:val="00EE746A"/>
    <w:rsid w:val="00EE7653"/>
    <w:rsid w:val="00EE770B"/>
    <w:rsid w:val="00EE7953"/>
    <w:rsid w:val="00EE7A06"/>
    <w:rsid w:val="00EE7E7E"/>
    <w:rsid w:val="00EE7F2B"/>
    <w:rsid w:val="00EE7F2F"/>
    <w:rsid w:val="00EE7FAA"/>
    <w:rsid w:val="00EF00E8"/>
    <w:rsid w:val="00EF0223"/>
    <w:rsid w:val="00EF029A"/>
    <w:rsid w:val="00EF039A"/>
    <w:rsid w:val="00EF04E6"/>
    <w:rsid w:val="00EF05CA"/>
    <w:rsid w:val="00EF064E"/>
    <w:rsid w:val="00EF0870"/>
    <w:rsid w:val="00EF0882"/>
    <w:rsid w:val="00EF08DC"/>
    <w:rsid w:val="00EF096D"/>
    <w:rsid w:val="00EF09A2"/>
    <w:rsid w:val="00EF0CED"/>
    <w:rsid w:val="00EF0E23"/>
    <w:rsid w:val="00EF0EFD"/>
    <w:rsid w:val="00EF10EC"/>
    <w:rsid w:val="00EF11CE"/>
    <w:rsid w:val="00EF1230"/>
    <w:rsid w:val="00EF142C"/>
    <w:rsid w:val="00EF14B7"/>
    <w:rsid w:val="00EF155D"/>
    <w:rsid w:val="00EF176F"/>
    <w:rsid w:val="00EF1891"/>
    <w:rsid w:val="00EF1B4D"/>
    <w:rsid w:val="00EF1E12"/>
    <w:rsid w:val="00EF1E6A"/>
    <w:rsid w:val="00EF1E76"/>
    <w:rsid w:val="00EF1F51"/>
    <w:rsid w:val="00EF23E8"/>
    <w:rsid w:val="00EF2495"/>
    <w:rsid w:val="00EF2544"/>
    <w:rsid w:val="00EF25C7"/>
    <w:rsid w:val="00EF2675"/>
    <w:rsid w:val="00EF273B"/>
    <w:rsid w:val="00EF27FE"/>
    <w:rsid w:val="00EF295E"/>
    <w:rsid w:val="00EF2A7B"/>
    <w:rsid w:val="00EF2C5A"/>
    <w:rsid w:val="00EF2C64"/>
    <w:rsid w:val="00EF2CBD"/>
    <w:rsid w:val="00EF2D66"/>
    <w:rsid w:val="00EF2D6D"/>
    <w:rsid w:val="00EF2D91"/>
    <w:rsid w:val="00EF2DD6"/>
    <w:rsid w:val="00EF2E40"/>
    <w:rsid w:val="00EF301F"/>
    <w:rsid w:val="00EF3278"/>
    <w:rsid w:val="00EF356C"/>
    <w:rsid w:val="00EF3618"/>
    <w:rsid w:val="00EF3782"/>
    <w:rsid w:val="00EF3A8B"/>
    <w:rsid w:val="00EF3B46"/>
    <w:rsid w:val="00EF3BC1"/>
    <w:rsid w:val="00EF3CAD"/>
    <w:rsid w:val="00EF3CF0"/>
    <w:rsid w:val="00EF3E33"/>
    <w:rsid w:val="00EF3E87"/>
    <w:rsid w:val="00EF3E8B"/>
    <w:rsid w:val="00EF3EA1"/>
    <w:rsid w:val="00EF40B3"/>
    <w:rsid w:val="00EF4178"/>
    <w:rsid w:val="00EF41E5"/>
    <w:rsid w:val="00EF4388"/>
    <w:rsid w:val="00EF44A8"/>
    <w:rsid w:val="00EF45FB"/>
    <w:rsid w:val="00EF48BE"/>
    <w:rsid w:val="00EF4B50"/>
    <w:rsid w:val="00EF4D46"/>
    <w:rsid w:val="00EF4D5A"/>
    <w:rsid w:val="00EF4E4C"/>
    <w:rsid w:val="00EF4F75"/>
    <w:rsid w:val="00EF505A"/>
    <w:rsid w:val="00EF5178"/>
    <w:rsid w:val="00EF529B"/>
    <w:rsid w:val="00EF5392"/>
    <w:rsid w:val="00EF53A6"/>
    <w:rsid w:val="00EF542D"/>
    <w:rsid w:val="00EF5450"/>
    <w:rsid w:val="00EF56B9"/>
    <w:rsid w:val="00EF5A67"/>
    <w:rsid w:val="00EF5B45"/>
    <w:rsid w:val="00EF5C3C"/>
    <w:rsid w:val="00EF5E49"/>
    <w:rsid w:val="00EF5E78"/>
    <w:rsid w:val="00EF5E87"/>
    <w:rsid w:val="00EF5EFD"/>
    <w:rsid w:val="00EF5F92"/>
    <w:rsid w:val="00EF5FE3"/>
    <w:rsid w:val="00EF62E0"/>
    <w:rsid w:val="00EF6362"/>
    <w:rsid w:val="00EF6378"/>
    <w:rsid w:val="00EF64A8"/>
    <w:rsid w:val="00EF64C9"/>
    <w:rsid w:val="00EF6557"/>
    <w:rsid w:val="00EF659E"/>
    <w:rsid w:val="00EF6B16"/>
    <w:rsid w:val="00EF6B18"/>
    <w:rsid w:val="00EF6B80"/>
    <w:rsid w:val="00EF6BC5"/>
    <w:rsid w:val="00EF6C34"/>
    <w:rsid w:val="00EF6DB7"/>
    <w:rsid w:val="00EF6E64"/>
    <w:rsid w:val="00EF7065"/>
    <w:rsid w:val="00EF70A5"/>
    <w:rsid w:val="00EF7305"/>
    <w:rsid w:val="00EF7411"/>
    <w:rsid w:val="00EF7478"/>
    <w:rsid w:val="00EF7587"/>
    <w:rsid w:val="00EF75EC"/>
    <w:rsid w:val="00EF7609"/>
    <w:rsid w:val="00EF7B00"/>
    <w:rsid w:val="00EF7B79"/>
    <w:rsid w:val="00EF7BB3"/>
    <w:rsid w:val="00EF7BF5"/>
    <w:rsid w:val="00EF7C2E"/>
    <w:rsid w:val="00EF7CA1"/>
    <w:rsid w:val="00EF7D06"/>
    <w:rsid w:val="00EF7DB8"/>
    <w:rsid w:val="00EF7E6C"/>
    <w:rsid w:val="00EF7F91"/>
    <w:rsid w:val="00F001AD"/>
    <w:rsid w:val="00F0020D"/>
    <w:rsid w:val="00F00312"/>
    <w:rsid w:val="00F00440"/>
    <w:rsid w:val="00F00678"/>
    <w:rsid w:val="00F00709"/>
    <w:rsid w:val="00F00769"/>
    <w:rsid w:val="00F0093E"/>
    <w:rsid w:val="00F00B6C"/>
    <w:rsid w:val="00F00D8D"/>
    <w:rsid w:val="00F00E32"/>
    <w:rsid w:val="00F01027"/>
    <w:rsid w:val="00F01083"/>
    <w:rsid w:val="00F010D7"/>
    <w:rsid w:val="00F01250"/>
    <w:rsid w:val="00F01481"/>
    <w:rsid w:val="00F014D1"/>
    <w:rsid w:val="00F0152D"/>
    <w:rsid w:val="00F015E6"/>
    <w:rsid w:val="00F01723"/>
    <w:rsid w:val="00F017CC"/>
    <w:rsid w:val="00F019D2"/>
    <w:rsid w:val="00F01B5A"/>
    <w:rsid w:val="00F01C1D"/>
    <w:rsid w:val="00F0219E"/>
    <w:rsid w:val="00F02349"/>
    <w:rsid w:val="00F0246C"/>
    <w:rsid w:val="00F02476"/>
    <w:rsid w:val="00F0251E"/>
    <w:rsid w:val="00F02593"/>
    <w:rsid w:val="00F02821"/>
    <w:rsid w:val="00F0289C"/>
    <w:rsid w:val="00F028D9"/>
    <w:rsid w:val="00F02954"/>
    <w:rsid w:val="00F02B86"/>
    <w:rsid w:val="00F02E8F"/>
    <w:rsid w:val="00F03042"/>
    <w:rsid w:val="00F030E8"/>
    <w:rsid w:val="00F03153"/>
    <w:rsid w:val="00F03608"/>
    <w:rsid w:val="00F03AF6"/>
    <w:rsid w:val="00F03BEB"/>
    <w:rsid w:val="00F03EAB"/>
    <w:rsid w:val="00F03F7D"/>
    <w:rsid w:val="00F04095"/>
    <w:rsid w:val="00F0410A"/>
    <w:rsid w:val="00F04133"/>
    <w:rsid w:val="00F0424C"/>
    <w:rsid w:val="00F042B6"/>
    <w:rsid w:val="00F04310"/>
    <w:rsid w:val="00F04335"/>
    <w:rsid w:val="00F0446F"/>
    <w:rsid w:val="00F04682"/>
    <w:rsid w:val="00F04795"/>
    <w:rsid w:val="00F047EE"/>
    <w:rsid w:val="00F04824"/>
    <w:rsid w:val="00F04941"/>
    <w:rsid w:val="00F04967"/>
    <w:rsid w:val="00F049EC"/>
    <w:rsid w:val="00F04ACA"/>
    <w:rsid w:val="00F04EE0"/>
    <w:rsid w:val="00F04F1F"/>
    <w:rsid w:val="00F05018"/>
    <w:rsid w:val="00F051A7"/>
    <w:rsid w:val="00F052DF"/>
    <w:rsid w:val="00F0542E"/>
    <w:rsid w:val="00F05745"/>
    <w:rsid w:val="00F05A22"/>
    <w:rsid w:val="00F05BF3"/>
    <w:rsid w:val="00F05D4B"/>
    <w:rsid w:val="00F06173"/>
    <w:rsid w:val="00F062CF"/>
    <w:rsid w:val="00F063DA"/>
    <w:rsid w:val="00F0645B"/>
    <w:rsid w:val="00F06595"/>
    <w:rsid w:val="00F066D3"/>
    <w:rsid w:val="00F06800"/>
    <w:rsid w:val="00F06852"/>
    <w:rsid w:val="00F068A3"/>
    <w:rsid w:val="00F06D04"/>
    <w:rsid w:val="00F06E03"/>
    <w:rsid w:val="00F06EE0"/>
    <w:rsid w:val="00F07241"/>
    <w:rsid w:val="00F072F5"/>
    <w:rsid w:val="00F07376"/>
    <w:rsid w:val="00F075D9"/>
    <w:rsid w:val="00F07616"/>
    <w:rsid w:val="00F076F6"/>
    <w:rsid w:val="00F07C3C"/>
    <w:rsid w:val="00F07E3B"/>
    <w:rsid w:val="00F100C2"/>
    <w:rsid w:val="00F10190"/>
    <w:rsid w:val="00F101A5"/>
    <w:rsid w:val="00F103AE"/>
    <w:rsid w:val="00F103C3"/>
    <w:rsid w:val="00F104C5"/>
    <w:rsid w:val="00F1065F"/>
    <w:rsid w:val="00F10889"/>
    <w:rsid w:val="00F1093C"/>
    <w:rsid w:val="00F10992"/>
    <w:rsid w:val="00F10C60"/>
    <w:rsid w:val="00F10EAA"/>
    <w:rsid w:val="00F11092"/>
    <w:rsid w:val="00F110B9"/>
    <w:rsid w:val="00F1131A"/>
    <w:rsid w:val="00F11574"/>
    <w:rsid w:val="00F11625"/>
    <w:rsid w:val="00F1179A"/>
    <w:rsid w:val="00F11F73"/>
    <w:rsid w:val="00F12070"/>
    <w:rsid w:val="00F121C5"/>
    <w:rsid w:val="00F12233"/>
    <w:rsid w:val="00F12391"/>
    <w:rsid w:val="00F123D8"/>
    <w:rsid w:val="00F1245A"/>
    <w:rsid w:val="00F126D0"/>
    <w:rsid w:val="00F127CD"/>
    <w:rsid w:val="00F1288C"/>
    <w:rsid w:val="00F128B3"/>
    <w:rsid w:val="00F12983"/>
    <w:rsid w:val="00F129F0"/>
    <w:rsid w:val="00F12D05"/>
    <w:rsid w:val="00F12D5D"/>
    <w:rsid w:val="00F12D88"/>
    <w:rsid w:val="00F12EA2"/>
    <w:rsid w:val="00F12ED0"/>
    <w:rsid w:val="00F131E2"/>
    <w:rsid w:val="00F132F6"/>
    <w:rsid w:val="00F13474"/>
    <w:rsid w:val="00F134B4"/>
    <w:rsid w:val="00F135E4"/>
    <w:rsid w:val="00F13674"/>
    <w:rsid w:val="00F136B0"/>
    <w:rsid w:val="00F136EB"/>
    <w:rsid w:val="00F13789"/>
    <w:rsid w:val="00F13831"/>
    <w:rsid w:val="00F1391A"/>
    <w:rsid w:val="00F1399F"/>
    <w:rsid w:val="00F139D7"/>
    <w:rsid w:val="00F13B89"/>
    <w:rsid w:val="00F13CFE"/>
    <w:rsid w:val="00F13D54"/>
    <w:rsid w:val="00F13EDA"/>
    <w:rsid w:val="00F1427C"/>
    <w:rsid w:val="00F14376"/>
    <w:rsid w:val="00F145A6"/>
    <w:rsid w:val="00F14A4E"/>
    <w:rsid w:val="00F14BA4"/>
    <w:rsid w:val="00F14CB1"/>
    <w:rsid w:val="00F14D25"/>
    <w:rsid w:val="00F14FE0"/>
    <w:rsid w:val="00F1500C"/>
    <w:rsid w:val="00F153AE"/>
    <w:rsid w:val="00F1546C"/>
    <w:rsid w:val="00F154D1"/>
    <w:rsid w:val="00F15530"/>
    <w:rsid w:val="00F156A0"/>
    <w:rsid w:val="00F156BF"/>
    <w:rsid w:val="00F156F1"/>
    <w:rsid w:val="00F158D3"/>
    <w:rsid w:val="00F15A0F"/>
    <w:rsid w:val="00F15A89"/>
    <w:rsid w:val="00F15C67"/>
    <w:rsid w:val="00F15D94"/>
    <w:rsid w:val="00F15FC2"/>
    <w:rsid w:val="00F1614E"/>
    <w:rsid w:val="00F161B2"/>
    <w:rsid w:val="00F16248"/>
    <w:rsid w:val="00F162BF"/>
    <w:rsid w:val="00F163A5"/>
    <w:rsid w:val="00F166EC"/>
    <w:rsid w:val="00F167FC"/>
    <w:rsid w:val="00F16853"/>
    <w:rsid w:val="00F1687B"/>
    <w:rsid w:val="00F168AB"/>
    <w:rsid w:val="00F169A2"/>
    <w:rsid w:val="00F16A3F"/>
    <w:rsid w:val="00F16BE2"/>
    <w:rsid w:val="00F16E3F"/>
    <w:rsid w:val="00F17245"/>
    <w:rsid w:val="00F17397"/>
    <w:rsid w:val="00F17440"/>
    <w:rsid w:val="00F17493"/>
    <w:rsid w:val="00F1752F"/>
    <w:rsid w:val="00F17560"/>
    <w:rsid w:val="00F1759B"/>
    <w:rsid w:val="00F177E8"/>
    <w:rsid w:val="00F1789A"/>
    <w:rsid w:val="00F17A3F"/>
    <w:rsid w:val="00F17A71"/>
    <w:rsid w:val="00F17AAC"/>
    <w:rsid w:val="00F17D29"/>
    <w:rsid w:val="00F17E1F"/>
    <w:rsid w:val="00F17FE5"/>
    <w:rsid w:val="00F17FFA"/>
    <w:rsid w:val="00F2008A"/>
    <w:rsid w:val="00F200B5"/>
    <w:rsid w:val="00F201DC"/>
    <w:rsid w:val="00F20336"/>
    <w:rsid w:val="00F204BA"/>
    <w:rsid w:val="00F206EB"/>
    <w:rsid w:val="00F20774"/>
    <w:rsid w:val="00F20A4B"/>
    <w:rsid w:val="00F20B96"/>
    <w:rsid w:val="00F20D02"/>
    <w:rsid w:val="00F20D04"/>
    <w:rsid w:val="00F20F9E"/>
    <w:rsid w:val="00F212A4"/>
    <w:rsid w:val="00F2174E"/>
    <w:rsid w:val="00F218C9"/>
    <w:rsid w:val="00F2203F"/>
    <w:rsid w:val="00F22106"/>
    <w:rsid w:val="00F221B4"/>
    <w:rsid w:val="00F222B1"/>
    <w:rsid w:val="00F222C5"/>
    <w:rsid w:val="00F222F2"/>
    <w:rsid w:val="00F224EF"/>
    <w:rsid w:val="00F2250D"/>
    <w:rsid w:val="00F226A1"/>
    <w:rsid w:val="00F227DD"/>
    <w:rsid w:val="00F2281D"/>
    <w:rsid w:val="00F228DE"/>
    <w:rsid w:val="00F22A74"/>
    <w:rsid w:val="00F22ACD"/>
    <w:rsid w:val="00F22BB8"/>
    <w:rsid w:val="00F22C87"/>
    <w:rsid w:val="00F22D76"/>
    <w:rsid w:val="00F22EF4"/>
    <w:rsid w:val="00F23004"/>
    <w:rsid w:val="00F23194"/>
    <w:rsid w:val="00F23268"/>
    <w:rsid w:val="00F23280"/>
    <w:rsid w:val="00F23341"/>
    <w:rsid w:val="00F23486"/>
    <w:rsid w:val="00F2349F"/>
    <w:rsid w:val="00F2357C"/>
    <w:rsid w:val="00F235C9"/>
    <w:rsid w:val="00F235E7"/>
    <w:rsid w:val="00F236BA"/>
    <w:rsid w:val="00F2372B"/>
    <w:rsid w:val="00F23814"/>
    <w:rsid w:val="00F23866"/>
    <w:rsid w:val="00F238DE"/>
    <w:rsid w:val="00F23A0A"/>
    <w:rsid w:val="00F23A62"/>
    <w:rsid w:val="00F23A9D"/>
    <w:rsid w:val="00F23B5F"/>
    <w:rsid w:val="00F23EC0"/>
    <w:rsid w:val="00F24128"/>
    <w:rsid w:val="00F24310"/>
    <w:rsid w:val="00F2444D"/>
    <w:rsid w:val="00F24583"/>
    <w:rsid w:val="00F245AC"/>
    <w:rsid w:val="00F245BB"/>
    <w:rsid w:val="00F24612"/>
    <w:rsid w:val="00F247B0"/>
    <w:rsid w:val="00F247BD"/>
    <w:rsid w:val="00F24852"/>
    <w:rsid w:val="00F2487D"/>
    <w:rsid w:val="00F24A78"/>
    <w:rsid w:val="00F24E41"/>
    <w:rsid w:val="00F24EED"/>
    <w:rsid w:val="00F25113"/>
    <w:rsid w:val="00F2517C"/>
    <w:rsid w:val="00F2538E"/>
    <w:rsid w:val="00F253DF"/>
    <w:rsid w:val="00F25589"/>
    <w:rsid w:val="00F25762"/>
    <w:rsid w:val="00F25940"/>
    <w:rsid w:val="00F25B25"/>
    <w:rsid w:val="00F25EB3"/>
    <w:rsid w:val="00F25EEA"/>
    <w:rsid w:val="00F2600C"/>
    <w:rsid w:val="00F26024"/>
    <w:rsid w:val="00F26380"/>
    <w:rsid w:val="00F2652F"/>
    <w:rsid w:val="00F26579"/>
    <w:rsid w:val="00F2660F"/>
    <w:rsid w:val="00F2666B"/>
    <w:rsid w:val="00F2668C"/>
    <w:rsid w:val="00F266A4"/>
    <w:rsid w:val="00F26803"/>
    <w:rsid w:val="00F26820"/>
    <w:rsid w:val="00F26A8C"/>
    <w:rsid w:val="00F26B1D"/>
    <w:rsid w:val="00F26B4B"/>
    <w:rsid w:val="00F26CB5"/>
    <w:rsid w:val="00F26D8C"/>
    <w:rsid w:val="00F26DFE"/>
    <w:rsid w:val="00F26E19"/>
    <w:rsid w:val="00F26F57"/>
    <w:rsid w:val="00F2706C"/>
    <w:rsid w:val="00F270BA"/>
    <w:rsid w:val="00F27195"/>
    <w:rsid w:val="00F275EF"/>
    <w:rsid w:val="00F27620"/>
    <w:rsid w:val="00F276FD"/>
    <w:rsid w:val="00F27827"/>
    <w:rsid w:val="00F27895"/>
    <w:rsid w:val="00F27BC7"/>
    <w:rsid w:val="00F27BE2"/>
    <w:rsid w:val="00F27C38"/>
    <w:rsid w:val="00F27D54"/>
    <w:rsid w:val="00F27FB0"/>
    <w:rsid w:val="00F3000A"/>
    <w:rsid w:val="00F30020"/>
    <w:rsid w:val="00F300DB"/>
    <w:rsid w:val="00F30232"/>
    <w:rsid w:val="00F30372"/>
    <w:rsid w:val="00F3049D"/>
    <w:rsid w:val="00F30817"/>
    <w:rsid w:val="00F3085D"/>
    <w:rsid w:val="00F3094A"/>
    <w:rsid w:val="00F3094E"/>
    <w:rsid w:val="00F309DD"/>
    <w:rsid w:val="00F30BE5"/>
    <w:rsid w:val="00F30C93"/>
    <w:rsid w:val="00F30D08"/>
    <w:rsid w:val="00F30D31"/>
    <w:rsid w:val="00F30F76"/>
    <w:rsid w:val="00F31201"/>
    <w:rsid w:val="00F31336"/>
    <w:rsid w:val="00F313AA"/>
    <w:rsid w:val="00F313EF"/>
    <w:rsid w:val="00F31467"/>
    <w:rsid w:val="00F314DF"/>
    <w:rsid w:val="00F315D0"/>
    <w:rsid w:val="00F316E8"/>
    <w:rsid w:val="00F318E7"/>
    <w:rsid w:val="00F318EB"/>
    <w:rsid w:val="00F31919"/>
    <w:rsid w:val="00F3196D"/>
    <w:rsid w:val="00F31F0A"/>
    <w:rsid w:val="00F31F19"/>
    <w:rsid w:val="00F31FA7"/>
    <w:rsid w:val="00F31FEB"/>
    <w:rsid w:val="00F3228C"/>
    <w:rsid w:val="00F322A1"/>
    <w:rsid w:val="00F323DC"/>
    <w:rsid w:val="00F32441"/>
    <w:rsid w:val="00F324CB"/>
    <w:rsid w:val="00F3298E"/>
    <w:rsid w:val="00F32B5B"/>
    <w:rsid w:val="00F32C2F"/>
    <w:rsid w:val="00F32CB7"/>
    <w:rsid w:val="00F32D63"/>
    <w:rsid w:val="00F32F1B"/>
    <w:rsid w:val="00F32FC0"/>
    <w:rsid w:val="00F336ED"/>
    <w:rsid w:val="00F337C1"/>
    <w:rsid w:val="00F33867"/>
    <w:rsid w:val="00F33C3D"/>
    <w:rsid w:val="00F33CF3"/>
    <w:rsid w:val="00F33DA5"/>
    <w:rsid w:val="00F341A4"/>
    <w:rsid w:val="00F3462F"/>
    <w:rsid w:val="00F34799"/>
    <w:rsid w:val="00F34BB9"/>
    <w:rsid w:val="00F34CAD"/>
    <w:rsid w:val="00F34CC1"/>
    <w:rsid w:val="00F34D36"/>
    <w:rsid w:val="00F34DF3"/>
    <w:rsid w:val="00F34E6E"/>
    <w:rsid w:val="00F34F50"/>
    <w:rsid w:val="00F35001"/>
    <w:rsid w:val="00F353A4"/>
    <w:rsid w:val="00F35496"/>
    <w:rsid w:val="00F35722"/>
    <w:rsid w:val="00F357D0"/>
    <w:rsid w:val="00F35878"/>
    <w:rsid w:val="00F359F1"/>
    <w:rsid w:val="00F35A6F"/>
    <w:rsid w:val="00F35B2D"/>
    <w:rsid w:val="00F35D3C"/>
    <w:rsid w:val="00F35D53"/>
    <w:rsid w:val="00F35E5B"/>
    <w:rsid w:val="00F35F24"/>
    <w:rsid w:val="00F35FC3"/>
    <w:rsid w:val="00F362C7"/>
    <w:rsid w:val="00F36331"/>
    <w:rsid w:val="00F36433"/>
    <w:rsid w:val="00F36455"/>
    <w:rsid w:val="00F36495"/>
    <w:rsid w:val="00F3663A"/>
    <w:rsid w:val="00F366EA"/>
    <w:rsid w:val="00F367C7"/>
    <w:rsid w:val="00F367CF"/>
    <w:rsid w:val="00F36A4C"/>
    <w:rsid w:val="00F36A92"/>
    <w:rsid w:val="00F36B1D"/>
    <w:rsid w:val="00F36BE7"/>
    <w:rsid w:val="00F36E08"/>
    <w:rsid w:val="00F36F1B"/>
    <w:rsid w:val="00F36F8E"/>
    <w:rsid w:val="00F37104"/>
    <w:rsid w:val="00F3741C"/>
    <w:rsid w:val="00F3770F"/>
    <w:rsid w:val="00F3783A"/>
    <w:rsid w:val="00F37840"/>
    <w:rsid w:val="00F37864"/>
    <w:rsid w:val="00F37935"/>
    <w:rsid w:val="00F3794A"/>
    <w:rsid w:val="00F379EF"/>
    <w:rsid w:val="00F37A01"/>
    <w:rsid w:val="00F37A39"/>
    <w:rsid w:val="00F37A95"/>
    <w:rsid w:val="00F37C1B"/>
    <w:rsid w:val="00F37C52"/>
    <w:rsid w:val="00F37DBF"/>
    <w:rsid w:val="00F37F7D"/>
    <w:rsid w:val="00F37FA1"/>
    <w:rsid w:val="00F37FB5"/>
    <w:rsid w:val="00F400FB"/>
    <w:rsid w:val="00F40301"/>
    <w:rsid w:val="00F405DC"/>
    <w:rsid w:val="00F4064B"/>
    <w:rsid w:val="00F408F0"/>
    <w:rsid w:val="00F4098C"/>
    <w:rsid w:val="00F409CC"/>
    <w:rsid w:val="00F40A39"/>
    <w:rsid w:val="00F40AC8"/>
    <w:rsid w:val="00F40B35"/>
    <w:rsid w:val="00F40C2B"/>
    <w:rsid w:val="00F40CE7"/>
    <w:rsid w:val="00F40FFE"/>
    <w:rsid w:val="00F41216"/>
    <w:rsid w:val="00F4131D"/>
    <w:rsid w:val="00F4138C"/>
    <w:rsid w:val="00F4151F"/>
    <w:rsid w:val="00F415E1"/>
    <w:rsid w:val="00F417DF"/>
    <w:rsid w:val="00F418EE"/>
    <w:rsid w:val="00F41B20"/>
    <w:rsid w:val="00F41E08"/>
    <w:rsid w:val="00F41F92"/>
    <w:rsid w:val="00F42095"/>
    <w:rsid w:val="00F4209E"/>
    <w:rsid w:val="00F42233"/>
    <w:rsid w:val="00F422D3"/>
    <w:rsid w:val="00F422F0"/>
    <w:rsid w:val="00F4237B"/>
    <w:rsid w:val="00F42453"/>
    <w:rsid w:val="00F42538"/>
    <w:rsid w:val="00F42576"/>
    <w:rsid w:val="00F42BA6"/>
    <w:rsid w:val="00F42CD8"/>
    <w:rsid w:val="00F42DF1"/>
    <w:rsid w:val="00F42E1F"/>
    <w:rsid w:val="00F42E42"/>
    <w:rsid w:val="00F42FBB"/>
    <w:rsid w:val="00F43052"/>
    <w:rsid w:val="00F430E3"/>
    <w:rsid w:val="00F432FC"/>
    <w:rsid w:val="00F4341B"/>
    <w:rsid w:val="00F43422"/>
    <w:rsid w:val="00F434DA"/>
    <w:rsid w:val="00F43AB7"/>
    <w:rsid w:val="00F43B39"/>
    <w:rsid w:val="00F43C58"/>
    <w:rsid w:val="00F43FA7"/>
    <w:rsid w:val="00F44024"/>
    <w:rsid w:val="00F4409C"/>
    <w:rsid w:val="00F44208"/>
    <w:rsid w:val="00F4445A"/>
    <w:rsid w:val="00F44496"/>
    <w:rsid w:val="00F4449C"/>
    <w:rsid w:val="00F444C2"/>
    <w:rsid w:val="00F44609"/>
    <w:rsid w:val="00F44630"/>
    <w:rsid w:val="00F446DC"/>
    <w:rsid w:val="00F44750"/>
    <w:rsid w:val="00F4485A"/>
    <w:rsid w:val="00F44A73"/>
    <w:rsid w:val="00F44BA9"/>
    <w:rsid w:val="00F44BB5"/>
    <w:rsid w:val="00F44C01"/>
    <w:rsid w:val="00F44DA3"/>
    <w:rsid w:val="00F44DE0"/>
    <w:rsid w:val="00F44E89"/>
    <w:rsid w:val="00F45359"/>
    <w:rsid w:val="00F4568F"/>
    <w:rsid w:val="00F45748"/>
    <w:rsid w:val="00F4577D"/>
    <w:rsid w:val="00F4580C"/>
    <w:rsid w:val="00F45827"/>
    <w:rsid w:val="00F45959"/>
    <w:rsid w:val="00F45DB3"/>
    <w:rsid w:val="00F45F66"/>
    <w:rsid w:val="00F4600A"/>
    <w:rsid w:val="00F46127"/>
    <w:rsid w:val="00F466D0"/>
    <w:rsid w:val="00F467DD"/>
    <w:rsid w:val="00F467F2"/>
    <w:rsid w:val="00F4691D"/>
    <w:rsid w:val="00F4699F"/>
    <w:rsid w:val="00F46FCD"/>
    <w:rsid w:val="00F4716C"/>
    <w:rsid w:val="00F47405"/>
    <w:rsid w:val="00F47410"/>
    <w:rsid w:val="00F47481"/>
    <w:rsid w:val="00F474E7"/>
    <w:rsid w:val="00F47767"/>
    <w:rsid w:val="00F478C0"/>
    <w:rsid w:val="00F47940"/>
    <w:rsid w:val="00F47AB1"/>
    <w:rsid w:val="00F47D87"/>
    <w:rsid w:val="00F47E37"/>
    <w:rsid w:val="00F47E54"/>
    <w:rsid w:val="00F47E77"/>
    <w:rsid w:val="00F50015"/>
    <w:rsid w:val="00F50129"/>
    <w:rsid w:val="00F5034E"/>
    <w:rsid w:val="00F50654"/>
    <w:rsid w:val="00F50658"/>
    <w:rsid w:val="00F506C9"/>
    <w:rsid w:val="00F50B7A"/>
    <w:rsid w:val="00F50CD1"/>
    <w:rsid w:val="00F50D47"/>
    <w:rsid w:val="00F50F10"/>
    <w:rsid w:val="00F51126"/>
    <w:rsid w:val="00F512F7"/>
    <w:rsid w:val="00F5131C"/>
    <w:rsid w:val="00F51599"/>
    <w:rsid w:val="00F5177C"/>
    <w:rsid w:val="00F518DA"/>
    <w:rsid w:val="00F518DE"/>
    <w:rsid w:val="00F5195F"/>
    <w:rsid w:val="00F519BC"/>
    <w:rsid w:val="00F51C45"/>
    <w:rsid w:val="00F51C69"/>
    <w:rsid w:val="00F51F5B"/>
    <w:rsid w:val="00F51F6D"/>
    <w:rsid w:val="00F51FAF"/>
    <w:rsid w:val="00F520AA"/>
    <w:rsid w:val="00F52202"/>
    <w:rsid w:val="00F52342"/>
    <w:rsid w:val="00F52521"/>
    <w:rsid w:val="00F52663"/>
    <w:rsid w:val="00F52701"/>
    <w:rsid w:val="00F52862"/>
    <w:rsid w:val="00F52B0A"/>
    <w:rsid w:val="00F52B8E"/>
    <w:rsid w:val="00F52C46"/>
    <w:rsid w:val="00F52D6F"/>
    <w:rsid w:val="00F52E2D"/>
    <w:rsid w:val="00F52FAD"/>
    <w:rsid w:val="00F53018"/>
    <w:rsid w:val="00F53069"/>
    <w:rsid w:val="00F530BE"/>
    <w:rsid w:val="00F53392"/>
    <w:rsid w:val="00F534B1"/>
    <w:rsid w:val="00F534E6"/>
    <w:rsid w:val="00F535BC"/>
    <w:rsid w:val="00F537CE"/>
    <w:rsid w:val="00F53854"/>
    <w:rsid w:val="00F539C2"/>
    <w:rsid w:val="00F53C50"/>
    <w:rsid w:val="00F53C95"/>
    <w:rsid w:val="00F53D0E"/>
    <w:rsid w:val="00F54150"/>
    <w:rsid w:val="00F54210"/>
    <w:rsid w:val="00F54486"/>
    <w:rsid w:val="00F546D2"/>
    <w:rsid w:val="00F54ACC"/>
    <w:rsid w:val="00F54AD2"/>
    <w:rsid w:val="00F54C17"/>
    <w:rsid w:val="00F54CBC"/>
    <w:rsid w:val="00F54CEF"/>
    <w:rsid w:val="00F54D6C"/>
    <w:rsid w:val="00F54D8A"/>
    <w:rsid w:val="00F54EB8"/>
    <w:rsid w:val="00F55164"/>
    <w:rsid w:val="00F5516B"/>
    <w:rsid w:val="00F55278"/>
    <w:rsid w:val="00F5533B"/>
    <w:rsid w:val="00F553B4"/>
    <w:rsid w:val="00F553B8"/>
    <w:rsid w:val="00F55406"/>
    <w:rsid w:val="00F554D6"/>
    <w:rsid w:val="00F554DC"/>
    <w:rsid w:val="00F55573"/>
    <w:rsid w:val="00F555B8"/>
    <w:rsid w:val="00F555EA"/>
    <w:rsid w:val="00F5576D"/>
    <w:rsid w:val="00F557B9"/>
    <w:rsid w:val="00F558B4"/>
    <w:rsid w:val="00F55BA9"/>
    <w:rsid w:val="00F55D50"/>
    <w:rsid w:val="00F55E36"/>
    <w:rsid w:val="00F55EF7"/>
    <w:rsid w:val="00F55F79"/>
    <w:rsid w:val="00F55F8D"/>
    <w:rsid w:val="00F5604B"/>
    <w:rsid w:val="00F56115"/>
    <w:rsid w:val="00F56314"/>
    <w:rsid w:val="00F5652C"/>
    <w:rsid w:val="00F568C7"/>
    <w:rsid w:val="00F56AA2"/>
    <w:rsid w:val="00F56AC4"/>
    <w:rsid w:val="00F56B56"/>
    <w:rsid w:val="00F56C36"/>
    <w:rsid w:val="00F56D64"/>
    <w:rsid w:val="00F56E2F"/>
    <w:rsid w:val="00F56F90"/>
    <w:rsid w:val="00F5720E"/>
    <w:rsid w:val="00F57224"/>
    <w:rsid w:val="00F5722F"/>
    <w:rsid w:val="00F573E1"/>
    <w:rsid w:val="00F573E3"/>
    <w:rsid w:val="00F574C2"/>
    <w:rsid w:val="00F57740"/>
    <w:rsid w:val="00F57742"/>
    <w:rsid w:val="00F5797E"/>
    <w:rsid w:val="00F57B26"/>
    <w:rsid w:val="00F57BCA"/>
    <w:rsid w:val="00F60543"/>
    <w:rsid w:val="00F605C7"/>
    <w:rsid w:val="00F60628"/>
    <w:rsid w:val="00F606C7"/>
    <w:rsid w:val="00F60955"/>
    <w:rsid w:val="00F60B9D"/>
    <w:rsid w:val="00F60DED"/>
    <w:rsid w:val="00F60FC4"/>
    <w:rsid w:val="00F611A8"/>
    <w:rsid w:val="00F611ED"/>
    <w:rsid w:val="00F611F0"/>
    <w:rsid w:val="00F61273"/>
    <w:rsid w:val="00F6132C"/>
    <w:rsid w:val="00F6165C"/>
    <w:rsid w:val="00F61687"/>
    <w:rsid w:val="00F616F3"/>
    <w:rsid w:val="00F6177B"/>
    <w:rsid w:val="00F617E0"/>
    <w:rsid w:val="00F6187C"/>
    <w:rsid w:val="00F619A7"/>
    <w:rsid w:val="00F61BAC"/>
    <w:rsid w:val="00F61CAE"/>
    <w:rsid w:val="00F61E15"/>
    <w:rsid w:val="00F61E38"/>
    <w:rsid w:val="00F61E3A"/>
    <w:rsid w:val="00F61E99"/>
    <w:rsid w:val="00F61ECE"/>
    <w:rsid w:val="00F61F1E"/>
    <w:rsid w:val="00F621E8"/>
    <w:rsid w:val="00F6222E"/>
    <w:rsid w:val="00F62317"/>
    <w:rsid w:val="00F625F2"/>
    <w:rsid w:val="00F626D5"/>
    <w:rsid w:val="00F6273B"/>
    <w:rsid w:val="00F6281D"/>
    <w:rsid w:val="00F62954"/>
    <w:rsid w:val="00F62BBE"/>
    <w:rsid w:val="00F62F07"/>
    <w:rsid w:val="00F62FE7"/>
    <w:rsid w:val="00F630C2"/>
    <w:rsid w:val="00F630C9"/>
    <w:rsid w:val="00F6314D"/>
    <w:rsid w:val="00F63179"/>
    <w:rsid w:val="00F63575"/>
    <w:rsid w:val="00F6360F"/>
    <w:rsid w:val="00F6374A"/>
    <w:rsid w:val="00F63791"/>
    <w:rsid w:val="00F6399E"/>
    <w:rsid w:val="00F63C8F"/>
    <w:rsid w:val="00F63DAB"/>
    <w:rsid w:val="00F63DDA"/>
    <w:rsid w:val="00F63E15"/>
    <w:rsid w:val="00F641CD"/>
    <w:rsid w:val="00F64203"/>
    <w:rsid w:val="00F644C6"/>
    <w:rsid w:val="00F64665"/>
    <w:rsid w:val="00F6470B"/>
    <w:rsid w:val="00F649B5"/>
    <w:rsid w:val="00F64A90"/>
    <w:rsid w:val="00F64B3C"/>
    <w:rsid w:val="00F64B59"/>
    <w:rsid w:val="00F6501D"/>
    <w:rsid w:val="00F65126"/>
    <w:rsid w:val="00F65516"/>
    <w:rsid w:val="00F65544"/>
    <w:rsid w:val="00F65BFA"/>
    <w:rsid w:val="00F65C31"/>
    <w:rsid w:val="00F65EBA"/>
    <w:rsid w:val="00F65FF1"/>
    <w:rsid w:val="00F66127"/>
    <w:rsid w:val="00F662D3"/>
    <w:rsid w:val="00F663EF"/>
    <w:rsid w:val="00F663F9"/>
    <w:rsid w:val="00F66507"/>
    <w:rsid w:val="00F6658C"/>
    <w:rsid w:val="00F66591"/>
    <w:rsid w:val="00F665FE"/>
    <w:rsid w:val="00F66604"/>
    <w:rsid w:val="00F6682B"/>
    <w:rsid w:val="00F6688B"/>
    <w:rsid w:val="00F66E04"/>
    <w:rsid w:val="00F66E46"/>
    <w:rsid w:val="00F66F65"/>
    <w:rsid w:val="00F66FE0"/>
    <w:rsid w:val="00F67120"/>
    <w:rsid w:val="00F671F4"/>
    <w:rsid w:val="00F673EC"/>
    <w:rsid w:val="00F6741A"/>
    <w:rsid w:val="00F674FC"/>
    <w:rsid w:val="00F676DA"/>
    <w:rsid w:val="00F678EC"/>
    <w:rsid w:val="00F67FE1"/>
    <w:rsid w:val="00F7006A"/>
    <w:rsid w:val="00F700AB"/>
    <w:rsid w:val="00F7010D"/>
    <w:rsid w:val="00F70160"/>
    <w:rsid w:val="00F70237"/>
    <w:rsid w:val="00F704D2"/>
    <w:rsid w:val="00F705F5"/>
    <w:rsid w:val="00F70682"/>
    <w:rsid w:val="00F70888"/>
    <w:rsid w:val="00F708A1"/>
    <w:rsid w:val="00F70AC1"/>
    <w:rsid w:val="00F70ADE"/>
    <w:rsid w:val="00F70C18"/>
    <w:rsid w:val="00F70E55"/>
    <w:rsid w:val="00F70EF3"/>
    <w:rsid w:val="00F711EB"/>
    <w:rsid w:val="00F711FE"/>
    <w:rsid w:val="00F71220"/>
    <w:rsid w:val="00F713F0"/>
    <w:rsid w:val="00F71C11"/>
    <w:rsid w:val="00F71D2A"/>
    <w:rsid w:val="00F71EA4"/>
    <w:rsid w:val="00F71EFA"/>
    <w:rsid w:val="00F71F2F"/>
    <w:rsid w:val="00F7213A"/>
    <w:rsid w:val="00F72284"/>
    <w:rsid w:val="00F72285"/>
    <w:rsid w:val="00F72450"/>
    <w:rsid w:val="00F724BD"/>
    <w:rsid w:val="00F72558"/>
    <w:rsid w:val="00F725F5"/>
    <w:rsid w:val="00F72701"/>
    <w:rsid w:val="00F72808"/>
    <w:rsid w:val="00F72912"/>
    <w:rsid w:val="00F72B42"/>
    <w:rsid w:val="00F72BB2"/>
    <w:rsid w:val="00F72BF2"/>
    <w:rsid w:val="00F72C3D"/>
    <w:rsid w:val="00F72E16"/>
    <w:rsid w:val="00F72E44"/>
    <w:rsid w:val="00F72E92"/>
    <w:rsid w:val="00F72EA8"/>
    <w:rsid w:val="00F72EC8"/>
    <w:rsid w:val="00F72F7B"/>
    <w:rsid w:val="00F73018"/>
    <w:rsid w:val="00F730C9"/>
    <w:rsid w:val="00F73103"/>
    <w:rsid w:val="00F7333F"/>
    <w:rsid w:val="00F733F3"/>
    <w:rsid w:val="00F738EA"/>
    <w:rsid w:val="00F73A39"/>
    <w:rsid w:val="00F73A56"/>
    <w:rsid w:val="00F73B46"/>
    <w:rsid w:val="00F73BE1"/>
    <w:rsid w:val="00F73CBB"/>
    <w:rsid w:val="00F73D05"/>
    <w:rsid w:val="00F73D47"/>
    <w:rsid w:val="00F73D84"/>
    <w:rsid w:val="00F73E47"/>
    <w:rsid w:val="00F73FE3"/>
    <w:rsid w:val="00F741EE"/>
    <w:rsid w:val="00F746F1"/>
    <w:rsid w:val="00F748DA"/>
    <w:rsid w:val="00F749CF"/>
    <w:rsid w:val="00F74E50"/>
    <w:rsid w:val="00F75386"/>
    <w:rsid w:val="00F753A7"/>
    <w:rsid w:val="00F7540F"/>
    <w:rsid w:val="00F7553A"/>
    <w:rsid w:val="00F758FF"/>
    <w:rsid w:val="00F75ABF"/>
    <w:rsid w:val="00F75D3A"/>
    <w:rsid w:val="00F75D90"/>
    <w:rsid w:val="00F75F5B"/>
    <w:rsid w:val="00F76044"/>
    <w:rsid w:val="00F760F7"/>
    <w:rsid w:val="00F761B5"/>
    <w:rsid w:val="00F761DD"/>
    <w:rsid w:val="00F762B4"/>
    <w:rsid w:val="00F76336"/>
    <w:rsid w:val="00F764CA"/>
    <w:rsid w:val="00F76AF1"/>
    <w:rsid w:val="00F76FC1"/>
    <w:rsid w:val="00F76FF3"/>
    <w:rsid w:val="00F7703D"/>
    <w:rsid w:val="00F77141"/>
    <w:rsid w:val="00F77185"/>
    <w:rsid w:val="00F771F7"/>
    <w:rsid w:val="00F77215"/>
    <w:rsid w:val="00F77229"/>
    <w:rsid w:val="00F772A0"/>
    <w:rsid w:val="00F772CC"/>
    <w:rsid w:val="00F77325"/>
    <w:rsid w:val="00F7732B"/>
    <w:rsid w:val="00F7747A"/>
    <w:rsid w:val="00F774B1"/>
    <w:rsid w:val="00F7751F"/>
    <w:rsid w:val="00F77693"/>
    <w:rsid w:val="00F7789E"/>
    <w:rsid w:val="00F778D2"/>
    <w:rsid w:val="00F77984"/>
    <w:rsid w:val="00F77D6C"/>
    <w:rsid w:val="00F77DDB"/>
    <w:rsid w:val="00F77E1E"/>
    <w:rsid w:val="00F77F2B"/>
    <w:rsid w:val="00F800D0"/>
    <w:rsid w:val="00F80139"/>
    <w:rsid w:val="00F803D1"/>
    <w:rsid w:val="00F80433"/>
    <w:rsid w:val="00F8056D"/>
    <w:rsid w:val="00F805B1"/>
    <w:rsid w:val="00F805BB"/>
    <w:rsid w:val="00F80676"/>
    <w:rsid w:val="00F8069D"/>
    <w:rsid w:val="00F80736"/>
    <w:rsid w:val="00F809D0"/>
    <w:rsid w:val="00F80A7F"/>
    <w:rsid w:val="00F80B1A"/>
    <w:rsid w:val="00F80BBD"/>
    <w:rsid w:val="00F81104"/>
    <w:rsid w:val="00F8155F"/>
    <w:rsid w:val="00F81591"/>
    <w:rsid w:val="00F816D8"/>
    <w:rsid w:val="00F8184D"/>
    <w:rsid w:val="00F81921"/>
    <w:rsid w:val="00F81BB6"/>
    <w:rsid w:val="00F81BD6"/>
    <w:rsid w:val="00F81C1C"/>
    <w:rsid w:val="00F81DF2"/>
    <w:rsid w:val="00F81EDA"/>
    <w:rsid w:val="00F81F08"/>
    <w:rsid w:val="00F82143"/>
    <w:rsid w:val="00F825AB"/>
    <w:rsid w:val="00F825B5"/>
    <w:rsid w:val="00F825C9"/>
    <w:rsid w:val="00F826DF"/>
    <w:rsid w:val="00F82806"/>
    <w:rsid w:val="00F82A8B"/>
    <w:rsid w:val="00F82B7F"/>
    <w:rsid w:val="00F82C4A"/>
    <w:rsid w:val="00F82D66"/>
    <w:rsid w:val="00F82EA5"/>
    <w:rsid w:val="00F82EED"/>
    <w:rsid w:val="00F82F5D"/>
    <w:rsid w:val="00F8318C"/>
    <w:rsid w:val="00F833B3"/>
    <w:rsid w:val="00F833D1"/>
    <w:rsid w:val="00F8347C"/>
    <w:rsid w:val="00F834CF"/>
    <w:rsid w:val="00F8359F"/>
    <w:rsid w:val="00F835C4"/>
    <w:rsid w:val="00F837D8"/>
    <w:rsid w:val="00F8388F"/>
    <w:rsid w:val="00F83CC3"/>
    <w:rsid w:val="00F83D53"/>
    <w:rsid w:val="00F83E14"/>
    <w:rsid w:val="00F83E2A"/>
    <w:rsid w:val="00F83EDF"/>
    <w:rsid w:val="00F84093"/>
    <w:rsid w:val="00F8418F"/>
    <w:rsid w:val="00F841CA"/>
    <w:rsid w:val="00F84356"/>
    <w:rsid w:val="00F843ED"/>
    <w:rsid w:val="00F843F8"/>
    <w:rsid w:val="00F84515"/>
    <w:rsid w:val="00F8455E"/>
    <w:rsid w:val="00F845ED"/>
    <w:rsid w:val="00F8470C"/>
    <w:rsid w:val="00F84712"/>
    <w:rsid w:val="00F8476F"/>
    <w:rsid w:val="00F8488D"/>
    <w:rsid w:val="00F84B66"/>
    <w:rsid w:val="00F84BA9"/>
    <w:rsid w:val="00F850F6"/>
    <w:rsid w:val="00F852A9"/>
    <w:rsid w:val="00F852CE"/>
    <w:rsid w:val="00F852DE"/>
    <w:rsid w:val="00F85431"/>
    <w:rsid w:val="00F854F1"/>
    <w:rsid w:val="00F856FE"/>
    <w:rsid w:val="00F85893"/>
    <w:rsid w:val="00F85B8F"/>
    <w:rsid w:val="00F85E6C"/>
    <w:rsid w:val="00F85E99"/>
    <w:rsid w:val="00F85EE3"/>
    <w:rsid w:val="00F860D0"/>
    <w:rsid w:val="00F862D5"/>
    <w:rsid w:val="00F86821"/>
    <w:rsid w:val="00F86A41"/>
    <w:rsid w:val="00F86D98"/>
    <w:rsid w:val="00F86E31"/>
    <w:rsid w:val="00F86F6C"/>
    <w:rsid w:val="00F86F6D"/>
    <w:rsid w:val="00F86F7F"/>
    <w:rsid w:val="00F8713D"/>
    <w:rsid w:val="00F872B8"/>
    <w:rsid w:val="00F8734A"/>
    <w:rsid w:val="00F875C1"/>
    <w:rsid w:val="00F87758"/>
    <w:rsid w:val="00F87B55"/>
    <w:rsid w:val="00F87C31"/>
    <w:rsid w:val="00F87EAE"/>
    <w:rsid w:val="00F87FAD"/>
    <w:rsid w:val="00F90071"/>
    <w:rsid w:val="00F90090"/>
    <w:rsid w:val="00F9025D"/>
    <w:rsid w:val="00F90285"/>
    <w:rsid w:val="00F902B7"/>
    <w:rsid w:val="00F902ED"/>
    <w:rsid w:val="00F905BC"/>
    <w:rsid w:val="00F90620"/>
    <w:rsid w:val="00F9085B"/>
    <w:rsid w:val="00F90A31"/>
    <w:rsid w:val="00F90A35"/>
    <w:rsid w:val="00F90B3E"/>
    <w:rsid w:val="00F910EF"/>
    <w:rsid w:val="00F910FF"/>
    <w:rsid w:val="00F91136"/>
    <w:rsid w:val="00F9114E"/>
    <w:rsid w:val="00F91324"/>
    <w:rsid w:val="00F918CA"/>
    <w:rsid w:val="00F91B1C"/>
    <w:rsid w:val="00F91C47"/>
    <w:rsid w:val="00F91D05"/>
    <w:rsid w:val="00F91EC6"/>
    <w:rsid w:val="00F91F56"/>
    <w:rsid w:val="00F91FB6"/>
    <w:rsid w:val="00F9212E"/>
    <w:rsid w:val="00F922E3"/>
    <w:rsid w:val="00F92513"/>
    <w:rsid w:val="00F9253E"/>
    <w:rsid w:val="00F9261C"/>
    <w:rsid w:val="00F927FF"/>
    <w:rsid w:val="00F9290E"/>
    <w:rsid w:val="00F929A3"/>
    <w:rsid w:val="00F92B25"/>
    <w:rsid w:val="00F92BAB"/>
    <w:rsid w:val="00F92F92"/>
    <w:rsid w:val="00F9302F"/>
    <w:rsid w:val="00F93323"/>
    <w:rsid w:val="00F9343E"/>
    <w:rsid w:val="00F934B1"/>
    <w:rsid w:val="00F9350F"/>
    <w:rsid w:val="00F93539"/>
    <w:rsid w:val="00F935BB"/>
    <w:rsid w:val="00F9362A"/>
    <w:rsid w:val="00F93697"/>
    <w:rsid w:val="00F93733"/>
    <w:rsid w:val="00F9390F"/>
    <w:rsid w:val="00F93973"/>
    <w:rsid w:val="00F93CD2"/>
    <w:rsid w:val="00F93E0A"/>
    <w:rsid w:val="00F93FC9"/>
    <w:rsid w:val="00F94271"/>
    <w:rsid w:val="00F9445F"/>
    <w:rsid w:val="00F945FE"/>
    <w:rsid w:val="00F94707"/>
    <w:rsid w:val="00F94855"/>
    <w:rsid w:val="00F94961"/>
    <w:rsid w:val="00F94A26"/>
    <w:rsid w:val="00F94D69"/>
    <w:rsid w:val="00F94FDB"/>
    <w:rsid w:val="00F95083"/>
    <w:rsid w:val="00F9513A"/>
    <w:rsid w:val="00F952D8"/>
    <w:rsid w:val="00F953F1"/>
    <w:rsid w:val="00F95426"/>
    <w:rsid w:val="00F95431"/>
    <w:rsid w:val="00F95437"/>
    <w:rsid w:val="00F955EB"/>
    <w:rsid w:val="00F9573E"/>
    <w:rsid w:val="00F95839"/>
    <w:rsid w:val="00F958B0"/>
    <w:rsid w:val="00F958B3"/>
    <w:rsid w:val="00F959BB"/>
    <w:rsid w:val="00F959BC"/>
    <w:rsid w:val="00F95F0A"/>
    <w:rsid w:val="00F95FA7"/>
    <w:rsid w:val="00F96133"/>
    <w:rsid w:val="00F961F6"/>
    <w:rsid w:val="00F9641D"/>
    <w:rsid w:val="00F96463"/>
    <w:rsid w:val="00F966FE"/>
    <w:rsid w:val="00F96797"/>
    <w:rsid w:val="00F9679E"/>
    <w:rsid w:val="00F96868"/>
    <w:rsid w:val="00F96A95"/>
    <w:rsid w:val="00F96D8E"/>
    <w:rsid w:val="00F96E21"/>
    <w:rsid w:val="00F96F06"/>
    <w:rsid w:val="00F96FF3"/>
    <w:rsid w:val="00F9703C"/>
    <w:rsid w:val="00F97143"/>
    <w:rsid w:val="00F9729E"/>
    <w:rsid w:val="00F9749B"/>
    <w:rsid w:val="00F9786F"/>
    <w:rsid w:val="00F97930"/>
    <w:rsid w:val="00F97A56"/>
    <w:rsid w:val="00F97B00"/>
    <w:rsid w:val="00F97B2E"/>
    <w:rsid w:val="00F97B78"/>
    <w:rsid w:val="00F97C59"/>
    <w:rsid w:val="00FA0090"/>
    <w:rsid w:val="00FA0329"/>
    <w:rsid w:val="00FA036E"/>
    <w:rsid w:val="00FA03A5"/>
    <w:rsid w:val="00FA03E6"/>
    <w:rsid w:val="00FA05BC"/>
    <w:rsid w:val="00FA05C5"/>
    <w:rsid w:val="00FA096A"/>
    <w:rsid w:val="00FA0991"/>
    <w:rsid w:val="00FA09BA"/>
    <w:rsid w:val="00FA09F8"/>
    <w:rsid w:val="00FA0A9E"/>
    <w:rsid w:val="00FA0B52"/>
    <w:rsid w:val="00FA0C08"/>
    <w:rsid w:val="00FA0C19"/>
    <w:rsid w:val="00FA0C1F"/>
    <w:rsid w:val="00FA0D6F"/>
    <w:rsid w:val="00FA0DB5"/>
    <w:rsid w:val="00FA1049"/>
    <w:rsid w:val="00FA1238"/>
    <w:rsid w:val="00FA145C"/>
    <w:rsid w:val="00FA14A7"/>
    <w:rsid w:val="00FA15AC"/>
    <w:rsid w:val="00FA15BF"/>
    <w:rsid w:val="00FA169A"/>
    <w:rsid w:val="00FA1757"/>
    <w:rsid w:val="00FA1851"/>
    <w:rsid w:val="00FA18A8"/>
    <w:rsid w:val="00FA1943"/>
    <w:rsid w:val="00FA1A42"/>
    <w:rsid w:val="00FA1A77"/>
    <w:rsid w:val="00FA1AF9"/>
    <w:rsid w:val="00FA1E4E"/>
    <w:rsid w:val="00FA2283"/>
    <w:rsid w:val="00FA2330"/>
    <w:rsid w:val="00FA249F"/>
    <w:rsid w:val="00FA24D2"/>
    <w:rsid w:val="00FA2639"/>
    <w:rsid w:val="00FA280A"/>
    <w:rsid w:val="00FA2A98"/>
    <w:rsid w:val="00FA2AC2"/>
    <w:rsid w:val="00FA2BF8"/>
    <w:rsid w:val="00FA2E5D"/>
    <w:rsid w:val="00FA2EBA"/>
    <w:rsid w:val="00FA3009"/>
    <w:rsid w:val="00FA3588"/>
    <w:rsid w:val="00FA360E"/>
    <w:rsid w:val="00FA3738"/>
    <w:rsid w:val="00FA39F2"/>
    <w:rsid w:val="00FA3B43"/>
    <w:rsid w:val="00FA3F66"/>
    <w:rsid w:val="00FA45FA"/>
    <w:rsid w:val="00FA493B"/>
    <w:rsid w:val="00FA49AC"/>
    <w:rsid w:val="00FA4C2A"/>
    <w:rsid w:val="00FA4D36"/>
    <w:rsid w:val="00FA510C"/>
    <w:rsid w:val="00FA514B"/>
    <w:rsid w:val="00FA5258"/>
    <w:rsid w:val="00FA52CD"/>
    <w:rsid w:val="00FA5504"/>
    <w:rsid w:val="00FA56E0"/>
    <w:rsid w:val="00FA59C2"/>
    <w:rsid w:val="00FA59CA"/>
    <w:rsid w:val="00FA59F6"/>
    <w:rsid w:val="00FA5C89"/>
    <w:rsid w:val="00FA5EA0"/>
    <w:rsid w:val="00FA5EEB"/>
    <w:rsid w:val="00FA60E0"/>
    <w:rsid w:val="00FA6208"/>
    <w:rsid w:val="00FA6279"/>
    <w:rsid w:val="00FA6356"/>
    <w:rsid w:val="00FA638F"/>
    <w:rsid w:val="00FA67F1"/>
    <w:rsid w:val="00FA6882"/>
    <w:rsid w:val="00FA69BF"/>
    <w:rsid w:val="00FA6A51"/>
    <w:rsid w:val="00FA6B7E"/>
    <w:rsid w:val="00FA6BE5"/>
    <w:rsid w:val="00FA6F65"/>
    <w:rsid w:val="00FA705E"/>
    <w:rsid w:val="00FA708A"/>
    <w:rsid w:val="00FA7101"/>
    <w:rsid w:val="00FA7117"/>
    <w:rsid w:val="00FA7338"/>
    <w:rsid w:val="00FA751D"/>
    <w:rsid w:val="00FA7560"/>
    <w:rsid w:val="00FA759B"/>
    <w:rsid w:val="00FA7622"/>
    <w:rsid w:val="00FA7779"/>
    <w:rsid w:val="00FA799C"/>
    <w:rsid w:val="00FA7A34"/>
    <w:rsid w:val="00FA7C67"/>
    <w:rsid w:val="00FA7F1C"/>
    <w:rsid w:val="00FA7F9C"/>
    <w:rsid w:val="00FB04E3"/>
    <w:rsid w:val="00FB0613"/>
    <w:rsid w:val="00FB09CC"/>
    <w:rsid w:val="00FB0A76"/>
    <w:rsid w:val="00FB0B4C"/>
    <w:rsid w:val="00FB0C10"/>
    <w:rsid w:val="00FB101C"/>
    <w:rsid w:val="00FB13B4"/>
    <w:rsid w:val="00FB1462"/>
    <w:rsid w:val="00FB153C"/>
    <w:rsid w:val="00FB154B"/>
    <w:rsid w:val="00FB1975"/>
    <w:rsid w:val="00FB1D46"/>
    <w:rsid w:val="00FB1DF4"/>
    <w:rsid w:val="00FB1EA1"/>
    <w:rsid w:val="00FB256F"/>
    <w:rsid w:val="00FB259C"/>
    <w:rsid w:val="00FB2725"/>
    <w:rsid w:val="00FB282B"/>
    <w:rsid w:val="00FB28E1"/>
    <w:rsid w:val="00FB296D"/>
    <w:rsid w:val="00FB2986"/>
    <w:rsid w:val="00FB29A1"/>
    <w:rsid w:val="00FB3048"/>
    <w:rsid w:val="00FB30B4"/>
    <w:rsid w:val="00FB3236"/>
    <w:rsid w:val="00FB3341"/>
    <w:rsid w:val="00FB381E"/>
    <w:rsid w:val="00FB39D0"/>
    <w:rsid w:val="00FB39DF"/>
    <w:rsid w:val="00FB39F7"/>
    <w:rsid w:val="00FB3CE3"/>
    <w:rsid w:val="00FB3EB5"/>
    <w:rsid w:val="00FB3F8A"/>
    <w:rsid w:val="00FB415C"/>
    <w:rsid w:val="00FB4440"/>
    <w:rsid w:val="00FB4688"/>
    <w:rsid w:val="00FB46A9"/>
    <w:rsid w:val="00FB4777"/>
    <w:rsid w:val="00FB477E"/>
    <w:rsid w:val="00FB4872"/>
    <w:rsid w:val="00FB48A6"/>
    <w:rsid w:val="00FB495B"/>
    <w:rsid w:val="00FB4A9D"/>
    <w:rsid w:val="00FB4C4E"/>
    <w:rsid w:val="00FB4C83"/>
    <w:rsid w:val="00FB4EFC"/>
    <w:rsid w:val="00FB504E"/>
    <w:rsid w:val="00FB5099"/>
    <w:rsid w:val="00FB5163"/>
    <w:rsid w:val="00FB51FB"/>
    <w:rsid w:val="00FB5311"/>
    <w:rsid w:val="00FB53C0"/>
    <w:rsid w:val="00FB553C"/>
    <w:rsid w:val="00FB56BC"/>
    <w:rsid w:val="00FB5750"/>
    <w:rsid w:val="00FB57DB"/>
    <w:rsid w:val="00FB5C01"/>
    <w:rsid w:val="00FB5DE7"/>
    <w:rsid w:val="00FB5F63"/>
    <w:rsid w:val="00FB603F"/>
    <w:rsid w:val="00FB6054"/>
    <w:rsid w:val="00FB64CA"/>
    <w:rsid w:val="00FB65D0"/>
    <w:rsid w:val="00FB661F"/>
    <w:rsid w:val="00FB6669"/>
    <w:rsid w:val="00FB66B5"/>
    <w:rsid w:val="00FB6873"/>
    <w:rsid w:val="00FB6983"/>
    <w:rsid w:val="00FB6993"/>
    <w:rsid w:val="00FB6A68"/>
    <w:rsid w:val="00FB6B4B"/>
    <w:rsid w:val="00FB6B55"/>
    <w:rsid w:val="00FB6B5D"/>
    <w:rsid w:val="00FB6C63"/>
    <w:rsid w:val="00FB7051"/>
    <w:rsid w:val="00FB723E"/>
    <w:rsid w:val="00FB7266"/>
    <w:rsid w:val="00FB7288"/>
    <w:rsid w:val="00FB73B3"/>
    <w:rsid w:val="00FB73CE"/>
    <w:rsid w:val="00FB740B"/>
    <w:rsid w:val="00FB7864"/>
    <w:rsid w:val="00FB78D2"/>
    <w:rsid w:val="00FB7C10"/>
    <w:rsid w:val="00FB7F7F"/>
    <w:rsid w:val="00FC00A9"/>
    <w:rsid w:val="00FC033F"/>
    <w:rsid w:val="00FC0618"/>
    <w:rsid w:val="00FC06E3"/>
    <w:rsid w:val="00FC06F1"/>
    <w:rsid w:val="00FC0775"/>
    <w:rsid w:val="00FC0BCD"/>
    <w:rsid w:val="00FC0C70"/>
    <w:rsid w:val="00FC1290"/>
    <w:rsid w:val="00FC1372"/>
    <w:rsid w:val="00FC14F8"/>
    <w:rsid w:val="00FC15E1"/>
    <w:rsid w:val="00FC1789"/>
    <w:rsid w:val="00FC1823"/>
    <w:rsid w:val="00FC1A6A"/>
    <w:rsid w:val="00FC1B82"/>
    <w:rsid w:val="00FC1BCE"/>
    <w:rsid w:val="00FC1CD9"/>
    <w:rsid w:val="00FC2134"/>
    <w:rsid w:val="00FC2178"/>
    <w:rsid w:val="00FC2259"/>
    <w:rsid w:val="00FC227C"/>
    <w:rsid w:val="00FC22AB"/>
    <w:rsid w:val="00FC26FE"/>
    <w:rsid w:val="00FC272E"/>
    <w:rsid w:val="00FC2877"/>
    <w:rsid w:val="00FC28C0"/>
    <w:rsid w:val="00FC294A"/>
    <w:rsid w:val="00FC2953"/>
    <w:rsid w:val="00FC2962"/>
    <w:rsid w:val="00FC2A5A"/>
    <w:rsid w:val="00FC2B5C"/>
    <w:rsid w:val="00FC2C60"/>
    <w:rsid w:val="00FC2C75"/>
    <w:rsid w:val="00FC2EBD"/>
    <w:rsid w:val="00FC2F86"/>
    <w:rsid w:val="00FC30F3"/>
    <w:rsid w:val="00FC3161"/>
    <w:rsid w:val="00FC329C"/>
    <w:rsid w:val="00FC32A9"/>
    <w:rsid w:val="00FC36A2"/>
    <w:rsid w:val="00FC36C2"/>
    <w:rsid w:val="00FC3A1D"/>
    <w:rsid w:val="00FC3D1B"/>
    <w:rsid w:val="00FC3F2E"/>
    <w:rsid w:val="00FC4348"/>
    <w:rsid w:val="00FC4359"/>
    <w:rsid w:val="00FC44C4"/>
    <w:rsid w:val="00FC4525"/>
    <w:rsid w:val="00FC45DA"/>
    <w:rsid w:val="00FC4868"/>
    <w:rsid w:val="00FC4AAF"/>
    <w:rsid w:val="00FC4C74"/>
    <w:rsid w:val="00FC4DBB"/>
    <w:rsid w:val="00FC4DBD"/>
    <w:rsid w:val="00FC4F88"/>
    <w:rsid w:val="00FC506D"/>
    <w:rsid w:val="00FC5188"/>
    <w:rsid w:val="00FC53EF"/>
    <w:rsid w:val="00FC5403"/>
    <w:rsid w:val="00FC5783"/>
    <w:rsid w:val="00FC5928"/>
    <w:rsid w:val="00FC594B"/>
    <w:rsid w:val="00FC5A1A"/>
    <w:rsid w:val="00FC5A23"/>
    <w:rsid w:val="00FC5BD8"/>
    <w:rsid w:val="00FC5C28"/>
    <w:rsid w:val="00FC5C3D"/>
    <w:rsid w:val="00FC5C9E"/>
    <w:rsid w:val="00FC5DBD"/>
    <w:rsid w:val="00FC5EE9"/>
    <w:rsid w:val="00FC5F2E"/>
    <w:rsid w:val="00FC6102"/>
    <w:rsid w:val="00FC6461"/>
    <w:rsid w:val="00FC64CE"/>
    <w:rsid w:val="00FC66C0"/>
    <w:rsid w:val="00FC6777"/>
    <w:rsid w:val="00FC6AED"/>
    <w:rsid w:val="00FC6F87"/>
    <w:rsid w:val="00FC700F"/>
    <w:rsid w:val="00FC73EB"/>
    <w:rsid w:val="00FC798B"/>
    <w:rsid w:val="00FC7AB4"/>
    <w:rsid w:val="00FC7ADB"/>
    <w:rsid w:val="00FC7B45"/>
    <w:rsid w:val="00FC7CA6"/>
    <w:rsid w:val="00FC7CA8"/>
    <w:rsid w:val="00FC7CAF"/>
    <w:rsid w:val="00FC7DDB"/>
    <w:rsid w:val="00FC7E96"/>
    <w:rsid w:val="00FC7EF4"/>
    <w:rsid w:val="00FD0266"/>
    <w:rsid w:val="00FD0366"/>
    <w:rsid w:val="00FD043C"/>
    <w:rsid w:val="00FD0713"/>
    <w:rsid w:val="00FD07C6"/>
    <w:rsid w:val="00FD0B2D"/>
    <w:rsid w:val="00FD0B65"/>
    <w:rsid w:val="00FD0C9C"/>
    <w:rsid w:val="00FD0DA5"/>
    <w:rsid w:val="00FD0E6F"/>
    <w:rsid w:val="00FD1088"/>
    <w:rsid w:val="00FD1183"/>
    <w:rsid w:val="00FD154C"/>
    <w:rsid w:val="00FD1662"/>
    <w:rsid w:val="00FD177E"/>
    <w:rsid w:val="00FD17D2"/>
    <w:rsid w:val="00FD180A"/>
    <w:rsid w:val="00FD1999"/>
    <w:rsid w:val="00FD1A92"/>
    <w:rsid w:val="00FD1D72"/>
    <w:rsid w:val="00FD1E6A"/>
    <w:rsid w:val="00FD21D8"/>
    <w:rsid w:val="00FD22B1"/>
    <w:rsid w:val="00FD22FF"/>
    <w:rsid w:val="00FD234E"/>
    <w:rsid w:val="00FD2394"/>
    <w:rsid w:val="00FD264A"/>
    <w:rsid w:val="00FD2677"/>
    <w:rsid w:val="00FD27AC"/>
    <w:rsid w:val="00FD29FF"/>
    <w:rsid w:val="00FD2B43"/>
    <w:rsid w:val="00FD2E62"/>
    <w:rsid w:val="00FD2E63"/>
    <w:rsid w:val="00FD2FD4"/>
    <w:rsid w:val="00FD30BA"/>
    <w:rsid w:val="00FD3107"/>
    <w:rsid w:val="00FD3211"/>
    <w:rsid w:val="00FD3471"/>
    <w:rsid w:val="00FD379F"/>
    <w:rsid w:val="00FD38A3"/>
    <w:rsid w:val="00FD3A92"/>
    <w:rsid w:val="00FD3B79"/>
    <w:rsid w:val="00FD3BCA"/>
    <w:rsid w:val="00FD3FFD"/>
    <w:rsid w:val="00FD41C3"/>
    <w:rsid w:val="00FD4211"/>
    <w:rsid w:val="00FD468C"/>
    <w:rsid w:val="00FD4797"/>
    <w:rsid w:val="00FD4979"/>
    <w:rsid w:val="00FD4C6C"/>
    <w:rsid w:val="00FD4C7D"/>
    <w:rsid w:val="00FD4D9D"/>
    <w:rsid w:val="00FD4E0A"/>
    <w:rsid w:val="00FD501F"/>
    <w:rsid w:val="00FD51AB"/>
    <w:rsid w:val="00FD55DB"/>
    <w:rsid w:val="00FD5726"/>
    <w:rsid w:val="00FD5900"/>
    <w:rsid w:val="00FD59B6"/>
    <w:rsid w:val="00FD5A3E"/>
    <w:rsid w:val="00FD5B0D"/>
    <w:rsid w:val="00FD5B2C"/>
    <w:rsid w:val="00FD5D42"/>
    <w:rsid w:val="00FD5F42"/>
    <w:rsid w:val="00FD5FAA"/>
    <w:rsid w:val="00FD6128"/>
    <w:rsid w:val="00FD629A"/>
    <w:rsid w:val="00FD6457"/>
    <w:rsid w:val="00FD6478"/>
    <w:rsid w:val="00FD6529"/>
    <w:rsid w:val="00FD6776"/>
    <w:rsid w:val="00FD69B6"/>
    <w:rsid w:val="00FD6A58"/>
    <w:rsid w:val="00FD6CA2"/>
    <w:rsid w:val="00FD6D8E"/>
    <w:rsid w:val="00FD719C"/>
    <w:rsid w:val="00FD71B6"/>
    <w:rsid w:val="00FD71C1"/>
    <w:rsid w:val="00FD767F"/>
    <w:rsid w:val="00FD76E5"/>
    <w:rsid w:val="00FD7841"/>
    <w:rsid w:val="00FD78F7"/>
    <w:rsid w:val="00FD7E20"/>
    <w:rsid w:val="00FD7F40"/>
    <w:rsid w:val="00FE00C8"/>
    <w:rsid w:val="00FE0376"/>
    <w:rsid w:val="00FE03A9"/>
    <w:rsid w:val="00FE0528"/>
    <w:rsid w:val="00FE05BE"/>
    <w:rsid w:val="00FE060C"/>
    <w:rsid w:val="00FE0658"/>
    <w:rsid w:val="00FE06FB"/>
    <w:rsid w:val="00FE0B7F"/>
    <w:rsid w:val="00FE0F05"/>
    <w:rsid w:val="00FE104B"/>
    <w:rsid w:val="00FE1102"/>
    <w:rsid w:val="00FE1105"/>
    <w:rsid w:val="00FE1372"/>
    <w:rsid w:val="00FE1440"/>
    <w:rsid w:val="00FE14E5"/>
    <w:rsid w:val="00FE1A80"/>
    <w:rsid w:val="00FE1AFB"/>
    <w:rsid w:val="00FE1B08"/>
    <w:rsid w:val="00FE1F8C"/>
    <w:rsid w:val="00FE228D"/>
    <w:rsid w:val="00FE2354"/>
    <w:rsid w:val="00FE23C4"/>
    <w:rsid w:val="00FE2431"/>
    <w:rsid w:val="00FE2A44"/>
    <w:rsid w:val="00FE2B56"/>
    <w:rsid w:val="00FE2D9A"/>
    <w:rsid w:val="00FE2DCA"/>
    <w:rsid w:val="00FE2E95"/>
    <w:rsid w:val="00FE2E9A"/>
    <w:rsid w:val="00FE312B"/>
    <w:rsid w:val="00FE3585"/>
    <w:rsid w:val="00FE35CF"/>
    <w:rsid w:val="00FE3605"/>
    <w:rsid w:val="00FE36A9"/>
    <w:rsid w:val="00FE38F5"/>
    <w:rsid w:val="00FE3B37"/>
    <w:rsid w:val="00FE3E82"/>
    <w:rsid w:val="00FE3F5C"/>
    <w:rsid w:val="00FE3FA4"/>
    <w:rsid w:val="00FE40CD"/>
    <w:rsid w:val="00FE419E"/>
    <w:rsid w:val="00FE41B6"/>
    <w:rsid w:val="00FE42BE"/>
    <w:rsid w:val="00FE4337"/>
    <w:rsid w:val="00FE44EC"/>
    <w:rsid w:val="00FE4776"/>
    <w:rsid w:val="00FE47AC"/>
    <w:rsid w:val="00FE47B2"/>
    <w:rsid w:val="00FE495E"/>
    <w:rsid w:val="00FE4AEE"/>
    <w:rsid w:val="00FE4C46"/>
    <w:rsid w:val="00FE4C58"/>
    <w:rsid w:val="00FE4CCB"/>
    <w:rsid w:val="00FE502A"/>
    <w:rsid w:val="00FE51B6"/>
    <w:rsid w:val="00FE52E0"/>
    <w:rsid w:val="00FE5AB5"/>
    <w:rsid w:val="00FE5AEC"/>
    <w:rsid w:val="00FE5D4A"/>
    <w:rsid w:val="00FE5D4F"/>
    <w:rsid w:val="00FE6194"/>
    <w:rsid w:val="00FE6455"/>
    <w:rsid w:val="00FE64BE"/>
    <w:rsid w:val="00FE64D6"/>
    <w:rsid w:val="00FE659A"/>
    <w:rsid w:val="00FE6746"/>
    <w:rsid w:val="00FE6783"/>
    <w:rsid w:val="00FE679A"/>
    <w:rsid w:val="00FE6815"/>
    <w:rsid w:val="00FE6838"/>
    <w:rsid w:val="00FE68B0"/>
    <w:rsid w:val="00FE69DC"/>
    <w:rsid w:val="00FE6AC7"/>
    <w:rsid w:val="00FE6E19"/>
    <w:rsid w:val="00FE6E4F"/>
    <w:rsid w:val="00FE7090"/>
    <w:rsid w:val="00FE72F0"/>
    <w:rsid w:val="00FE7399"/>
    <w:rsid w:val="00FE74FB"/>
    <w:rsid w:val="00FE7817"/>
    <w:rsid w:val="00FE784E"/>
    <w:rsid w:val="00FE787C"/>
    <w:rsid w:val="00FE7A67"/>
    <w:rsid w:val="00FE7AA3"/>
    <w:rsid w:val="00FE7C3E"/>
    <w:rsid w:val="00FE7C50"/>
    <w:rsid w:val="00FE7CD5"/>
    <w:rsid w:val="00FE7DCE"/>
    <w:rsid w:val="00FE7EE9"/>
    <w:rsid w:val="00FF00C4"/>
    <w:rsid w:val="00FF01A3"/>
    <w:rsid w:val="00FF03A0"/>
    <w:rsid w:val="00FF05C3"/>
    <w:rsid w:val="00FF062A"/>
    <w:rsid w:val="00FF0688"/>
    <w:rsid w:val="00FF0711"/>
    <w:rsid w:val="00FF074C"/>
    <w:rsid w:val="00FF08F0"/>
    <w:rsid w:val="00FF08F7"/>
    <w:rsid w:val="00FF0A53"/>
    <w:rsid w:val="00FF0AAC"/>
    <w:rsid w:val="00FF0B31"/>
    <w:rsid w:val="00FF0C8F"/>
    <w:rsid w:val="00FF0D39"/>
    <w:rsid w:val="00FF1068"/>
    <w:rsid w:val="00FF10D7"/>
    <w:rsid w:val="00FF12AE"/>
    <w:rsid w:val="00FF12CE"/>
    <w:rsid w:val="00FF133D"/>
    <w:rsid w:val="00FF1648"/>
    <w:rsid w:val="00FF176A"/>
    <w:rsid w:val="00FF1A78"/>
    <w:rsid w:val="00FF1AD4"/>
    <w:rsid w:val="00FF1BA5"/>
    <w:rsid w:val="00FF1C56"/>
    <w:rsid w:val="00FF1EC5"/>
    <w:rsid w:val="00FF2231"/>
    <w:rsid w:val="00FF2293"/>
    <w:rsid w:val="00FF23DD"/>
    <w:rsid w:val="00FF2550"/>
    <w:rsid w:val="00FF2559"/>
    <w:rsid w:val="00FF2A66"/>
    <w:rsid w:val="00FF2B79"/>
    <w:rsid w:val="00FF2CCB"/>
    <w:rsid w:val="00FF2CCC"/>
    <w:rsid w:val="00FF2D0D"/>
    <w:rsid w:val="00FF2D71"/>
    <w:rsid w:val="00FF300A"/>
    <w:rsid w:val="00FF31C9"/>
    <w:rsid w:val="00FF321A"/>
    <w:rsid w:val="00FF3265"/>
    <w:rsid w:val="00FF351C"/>
    <w:rsid w:val="00FF3592"/>
    <w:rsid w:val="00FF371B"/>
    <w:rsid w:val="00FF3872"/>
    <w:rsid w:val="00FF3955"/>
    <w:rsid w:val="00FF3C2E"/>
    <w:rsid w:val="00FF3C58"/>
    <w:rsid w:val="00FF3D13"/>
    <w:rsid w:val="00FF404B"/>
    <w:rsid w:val="00FF41CD"/>
    <w:rsid w:val="00FF421F"/>
    <w:rsid w:val="00FF422F"/>
    <w:rsid w:val="00FF425A"/>
    <w:rsid w:val="00FF44C7"/>
    <w:rsid w:val="00FF47CF"/>
    <w:rsid w:val="00FF4833"/>
    <w:rsid w:val="00FF488E"/>
    <w:rsid w:val="00FF4894"/>
    <w:rsid w:val="00FF4BBF"/>
    <w:rsid w:val="00FF4C65"/>
    <w:rsid w:val="00FF4EF6"/>
    <w:rsid w:val="00FF5299"/>
    <w:rsid w:val="00FF5513"/>
    <w:rsid w:val="00FF5559"/>
    <w:rsid w:val="00FF5679"/>
    <w:rsid w:val="00FF56CA"/>
    <w:rsid w:val="00FF585A"/>
    <w:rsid w:val="00FF590F"/>
    <w:rsid w:val="00FF5B35"/>
    <w:rsid w:val="00FF5B6F"/>
    <w:rsid w:val="00FF5BE1"/>
    <w:rsid w:val="00FF610D"/>
    <w:rsid w:val="00FF6389"/>
    <w:rsid w:val="00FF64FE"/>
    <w:rsid w:val="00FF6618"/>
    <w:rsid w:val="00FF6980"/>
    <w:rsid w:val="00FF6A3E"/>
    <w:rsid w:val="00FF6C02"/>
    <w:rsid w:val="00FF6E19"/>
    <w:rsid w:val="00FF6F8B"/>
    <w:rsid w:val="00FF7312"/>
    <w:rsid w:val="00FF7336"/>
    <w:rsid w:val="00FF76A0"/>
    <w:rsid w:val="00FF7D0C"/>
    <w:rsid w:val="00FF7D4A"/>
    <w:rsid w:val="012089B0"/>
    <w:rsid w:val="01F64456"/>
    <w:rsid w:val="022E57C7"/>
    <w:rsid w:val="035B6907"/>
    <w:rsid w:val="0406ABED"/>
    <w:rsid w:val="042C2482"/>
    <w:rsid w:val="0505ED15"/>
    <w:rsid w:val="069E1729"/>
    <w:rsid w:val="08881F12"/>
    <w:rsid w:val="088E33C4"/>
    <w:rsid w:val="09A508FD"/>
    <w:rsid w:val="09F3B049"/>
    <w:rsid w:val="0A3A746F"/>
    <w:rsid w:val="0B6344B7"/>
    <w:rsid w:val="0C541E5E"/>
    <w:rsid w:val="0D77438B"/>
    <w:rsid w:val="0E13B91A"/>
    <w:rsid w:val="0F1158F5"/>
    <w:rsid w:val="107A0B3A"/>
    <w:rsid w:val="12A859B5"/>
    <w:rsid w:val="12C08AB5"/>
    <w:rsid w:val="12ECEAB0"/>
    <w:rsid w:val="12F8406C"/>
    <w:rsid w:val="1364716B"/>
    <w:rsid w:val="16A8952A"/>
    <w:rsid w:val="176D3BBB"/>
    <w:rsid w:val="17B45999"/>
    <w:rsid w:val="18988876"/>
    <w:rsid w:val="1952628C"/>
    <w:rsid w:val="19D9D338"/>
    <w:rsid w:val="1A010781"/>
    <w:rsid w:val="1A1D25AB"/>
    <w:rsid w:val="1B598B32"/>
    <w:rsid w:val="1CA2EE0E"/>
    <w:rsid w:val="1D7F6DAC"/>
    <w:rsid w:val="1EBB4833"/>
    <w:rsid w:val="1F01928D"/>
    <w:rsid w:val="1F0D7ADC"/>
    <w:rsid w:val="20222537"/>
    <w:rsid w:val="2148AB19"/>
    <w:rsid w:val="21582263"/>
    <w:rsid w:val="21A090E5"/>
    <w:rsid w:val="225CC6D3"/>
    <w:rsid w:val="22D49DCF"/>
    <w:rsid w:val="26035067"/>
    <w:rsid w:val="279F00A0"/>
    <w:rsid w:val="284CF604"/>
    <w:rsid w:val="29F3E9E4"/>
    <w:rsid w:val="2A6B9EE4"/>
    <w:rsid w:val="2AC83B7C"/>
    <w:rsid w:val="2C19BAA3"/>
    <w:rsid w:val="2E7F85ED"/>
    <w:rsid w:val="2EE2AC1F"/>
    <w:rsid w:val="301621F8"/>
    <w:rsid w:val="30974ABC"/>
    <w:rsid w:val="30F90861"/>
    <w:rsid w:val="310F1827"/>
    <w:rsid w:val="31DFFA96"/>
    <w:rsid w:val="35066866"/>
    <w:rsid w:val="358699C2"/>
    <w:rsid w:val="370E2797"/>
    <w:rsid w:val="371FDE85"/>
    <w:rsid w:val="38D703B6"/>
    <w:rsid w:val="3956669A"/>
    <w:rsid w:val="396C7044"/>
    <w:rsid w:val="39786FD8"/>
    <w:rsid w:val="3A17A56F"/>
    <w:rsid w:val="3B33C96E"/>
    <w:rsid w:val="3B73484D"/>
    <w:rsid w:val="3C211511"/>
    <w:rsid w:val="3CA1CE14"/>
    <w:rsid w:val="3E25AB83"/>
    <w:rsid w:val="3F2EB21A"/>
    <w:rsid w:val="3F5A07D7"/>
    <w:rsid w:val="3FCDF3CD"/>
    <w:rsid w:val="3FE276AF"/>
    <w:rsid w:val="3FF33AE5"/>
    <w:rsid w:val="42265EB4"/>
    <w:rsid w:val="439CCC92"/>
    <w:rsid w:val="4663B0BF"/>
    <w:rsid w:val="46FB4777"/>
    <w:rsid w:val="47A17F51"/>
    <w:rsid w:val="48574DA9"/>
    <w:rsid w:val="48DB8E63"/>
    <w:rsid w:val="49CB03FF"/>
    <w:rsid w:val="49CDA875"/>
    <w:rsid w:val="4A115753"/>
    <w:rsid w:val="4B148159"/>
    <w:rsid w:val="4B4F2BFF"/>
    <w:rsid w:val="4CC6BDAF"/>
    <w:rsid w:val="4EF4D13E"/>
    <w:rsid w:val="50CB8AE8"/>
    <w:rsid w:val="5225021C"/>
    <w:rsid w:val="523ABB1D"/>
    <w:rsid w:val="5257EE5E"/>
    <w:rsid w:val="5301F02C"/>
    <w:rsid w:val="546292EB"/>
    <w:rsid w:val="54734D7F"/>
    <w:rsid w:val="54B7DFF0"/>
    <w:rsid w:val="54E04EAD"/>
    <w:rsid w:val="5598249B"/>
    <w:rsid w:val="5643EAC6"/>
    <w:rsid w:val="56CF0618"/>
    <w:rsid w:val="5721F5A7"/>
    <w:rsid w:val="5833F195"/>
    <w:rsid w:val="5954A72F"/>
    <w:rsid w:val="595B068F"/>
    <w:rsid w:val="5BC764AB"/>
    <w:rsid w:val="5CE7786D"/>
    <w:rsid w:val="5D156582"/>
    <w:rsid w:val="5D673D82"/>
    <w:rsid w:val="60111C4F"/>
    <w:rsid w:val="604F7477"/>
    <w:rsid w:val="62FDBA9A"/>
    <w:rsid w:val="635453CD"/>
    <w:rsid w:val="659761E7"/>
    <w:rsid w:val="66065032"/>
    <w:rsid w:val="665F47A7"/>
    <w:rsid w:val="6723AA17"/>
    <w:rsid w:val="67C4181F"/>
    <w:rsid w:val="68D7C0C9"/>
    <w:rsid w:val="6A80D7A7"/>
    <w:rsid w:val="6CB79292"/>
    <w:rsid w:val="6D707485"/>
    <w:rsid w:val="6E198A85"/>
    <w:rsid w:val="6EA68A41"/>
    <w:rsid w:val="6EEE99EA"/>
    <w:rsid w:val="6F2184E2"/>
    <w:rsid w:val="6F23EFEE"/>
    <w:rsid w:val="6F445E14"/>
    <w:rsid w:val="7004A9A9"/>
    <w:rsid w:val="70868E74"/>
    <w:rsid w:val="7132EF84"/>
    <w:rsid w:val="71BF4446"/>
    <w:rsid w:val="73BB7D74"/>
    <w:rsid w:val="745A0042"/>
    <w:rsid w:val="758A0614"/>
    <w:rsid w:val="75BD2F6C"/>
    <w:rsid w:val="77500962"/>
    <w:rsid w:val="793168A3"/>
    <w:rsid w:val="7936382B"/>
    <w:rsid w:val="795FED01"/>
    <w:rsid w:val="7A45F383"/>
    <w:rsid w:val="7B8444E3"/>
    <w:rsid w:val="7BFD4D9A"/>
    <w:rsid w:val="7C571D42"/>
    <w:rsid w:val="7C72244D"/>
    <w:rsid w:val="7CEDA98D"/>
    <w:rsid w:val="7D560465"/>
    <w:rsid w:val="7F34EE3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80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A2E"/>
    <w:pPr>
      <w:spacing w:before="120" w:after="160"/>
      <w:jc w:val="both"/>
    </w:pPr>
    <w:rPr>
      <w:sz w:val="24"/>
    </w:rPr>
  </w:style>
  <w:style w:type="paragraph" w:styleId="Heading1">
    <w:name w:val="heading 1"/>
    <w:next w:val="MSACESParagraph"/>
    <w:link w:val="Heading1Char"/>
    <w:uiPriority w:val="2"/>
    <w:qFormat/>
    <w:rsid w:val="005C2085"/>
    <w:pPr>
      <w:keepNext/>
      <w:keepLines/>
      <w:numPr>
        <w:numId w:val="1"/>
      </w:numPr>
      <w:spacing w:before="400" w:after="120" w:line="259" w:lineRule="auto"/>
      <w:outlineLvl w:val="0"/>
    </w:pPr>
    <w:rPr>
      <w:rFonts w:ascii="Calibri" w:eastAsiaTheme="majorEastAsia" w:hAnsi="Calibri" w:cstheme="majorBidi"/>
      <w:b/>
      <w:sz w:val="32"/>
      <w:szCs w:val="28"/>
    </w:rPr>
  </w:style>
  <w:style w:type="paragraph" w:styleId="Heading2">
    <w:name w:val="heading 2"/>
    <w:basedOn w:val="Normal"/>
    <w:next w:val="Normal"/>
    <w:link w:val="Heading2Char"/>
    <w:uiPriority w:val="3"/>
    <w:qFormat/>
    <w:rsid w:val="004A5746"/>
    <w:pPr>
      <w:keepNext/>
      <w:keepLines/>
      <w:numPr>
        <w:ilvl w:val="3"/>
        <w:numId w:val="1"/>
      </w:numPr>
      <w:suppressAutoHyphens w:val="0"/>
      <w:spacing w:before="360" w:after="120"/>
      <w:jc w:val="left"/>
      <w:outlineLvl w:val="1"/>
    </w:pPr>
    <w:rPr>
      <w:rFonts w:ascii="Arial" w:eastAsiaTheme="majorEastAsia" w:hAnsi="Arial" w:cstheme="majorBidi"/>
      <w:b/>
      <w:i/>
      <w:sz w:val="28"/>
      <w:szCs w:val="28"/>
    </w:rPr>
  </w:style>
  <w:style w:type="paragraph" w:styleId="Heading3">
    <w:name w:val="heading 3"/>
    <w:basedOn w:val="Normal"/>
    <w:next w:val="Normal"/>
    <w:link w:val="Heading3Char"/>
    <w:uiPriority w:val="3"/>
    <w:qFormat/>
    <w:rsid w:val="00186307"/>
    <w:pPr>
      <w:keepNext/>
      <w:keepLines/>
      <w:numPr>
        <w:ilvl w:val="5"/>
        <w:numId w:val="1"/>
      </w:numPr>
      <w:suppressAutoHyphens w:val="0"/>
      <w:spacing w:after="120"/>
      <w:outlineLvl w:val="2"/>
    </w:pPr>
    <w:rPr>
      <w:rFonts w:eastAsiaTheme="majorEastAsia" w:cstheme="majorBidi"/>
      <w:b/>
      <w:sz w:val="28"/>
      <w:szCs w:val="28"/>
    </w:rPr>
  </w:style>
  <w:style w:type="paragraph" w:styleId="Heading4">
    <w:name w:val="heading 4"/>
    <w:basedOn w:val="Heading1"/>
    <w:next w:val="Normal"/>
    <w:link w:val="Heading4Char"/>
    <w:autoRedefine/>
    <w:uiPriority w:val="3"/>
    <w:qFormat/>
    <w:rsid w:val="003D5832"/>
    <w:pPr>
      <w:numPr>
        <w:ilvl w:val="6"/>
      </w:numPr>
      <w:suppressAutoHyphens w:val="0"/>
      <w:spacing w:before="240" w:after="0"/>
      <w:outlineLvl w:val="3"/>
    </w:pPr>
    <w:rPr>
      <w:rFonts w:asciiTheme="minorHAnsi" w:hAnsiTheme="minorHAnsi"/>
      <w:bCs/>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rPr>
      <w:b w:val="0"/>
      <w:i w:val="0"/>
      <w:snapToGrid w:val="0"/>
    </w:rPr>
  </w:style>
  <w:style w:type="paragraph" w:styleId="Heading6">
    <w:name w:val="heading 6"/>
    <w:aliases w:val="Heading 3 - Body"/>
    <w:basedOn w:val="Heading3"/>
    <w:next w:val="Normal"/>
    <w:link w:val="Heading6Char"/>
    <w:uiPriority w:val="12"/>
    <w:semiHidden/>
    <w:rsid w:val="00624315"/>
    <w:pPr>
      <w:numPr>
        <w:numId w:val="0"/>
      </w:numPr>
      <w:outlineLvl w:val="5"/>
    </w:pPr>
    <w:rPr>
      <w:b w:val="0"/>
      <w:sz w:val="24"/>
    </w:rPr>
  </w:style>
  <w:style w:type="paragraph" w:styleId="Heading7">
    <w:name w:val="heading 7"/>
    <w:basedOn w:val="Heading1"/>
    <w:next w:val="Normal"/>
    <w:link w:val="Heading7Char"/>
    <w:uiPriority w:val="12"/>
    <w:semiHidden/>
    <w:rsid w:val="00472D4D"/>
    <w:pPr>
      <w:numPr>
        <w:numId w:val="0"/>
      </w:numPr>
      <w:suppressAutoHyphens w:val="0"/>
      <w:spacing w:before="120"/>
      <w:ind w:left="1296" w:hanging="1296"/>
      <w:outlineLvl w:val="6"/>
    </w:pPr>
    <w:rPr>
      <w:rFonts w:asciiTheme="minorHAnsi" w:hAnsiTheme="minorHAnsi"/>
      <w:b w:val="0"/>
      <w:i/>
      <w:sz w:val="24"/>
      <w:szCs w:val="24"/>
    </w:rPr>
  </w:style>
  <w:style w:type="paragraph" w:styleId="Heading8">
    <w:name w:val="heading 8"/>
    <w:basedOn w:val="Normal"/>
    <w:next w:val="Normal"/>
    <w:link w:val="Heading8Char"/>
    <w:uiPriority w:val="7"/>
    <w:semiHidden/>
    <w:qFormat/>
    <w:rsid w:val="002B5D74"/>
    <w:pPr>
      <w:keepNext/>
      <w:keepLines/>
      <w:numPr>
        <w:ilvl w:val="7"/>
        <w:numId w:val="1"/>
      </w:numPr>
      <w:suppressAutoHyphens w:val="0"/>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numId w:val="0"/>
      </w:numPr>
      <w:suppressAutoHyphens w:val="0"/>
      <w:ind w:left="432" w:hanging="432"/>
      <w:outlineLvl w:val="8"/>
    </w:pPr>
    <w:rPr>
      <w:rFonts w:asciiTheme="minorHAnsi" w:hAnsiTheme="minorHAnsi"/>
      <w:b w:val="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qFormat/>
    <w:rsid w:val="00394C83"/>
    <w:rPr>
      <w:rFonts w:ascii="Calibri" w:eastAsiaTheme="majorEastAsia" w:hAnsi="Calibri" w:cstheme="majorBidi"/>
      <w:b/>
      <w:sz w:val="32"/>
      <w:szCs w:val="28"/>
    </w:rPr>
  </w:style>
  <w:style w:type="character" w:customStyle="1" w:styleId="Heading2Char">
    <w:name w:val="Heading 2 Char"/>
    <w:basedOn w:val="DefaultParagraphFont"/>
    <w:link w:val="Heading2"/>
    <w:uiPriority w:val="3"/>
    <w:qFormat/>
    <w:rsid w:val="00245AD1"/>
    <w:rPr>
      <w:rFonts w:ascii="Arial" w:eastAsiaTheme="majorEastAsia" w:hAnsi="Arial" w:cstheme="majorBidi"/>
      <w:b/>
      <w:i/>
      <w:sz w:val="28"/>
      <w:szCs w:val="28"/>
    </w:rPr>
  </w:style>
  <w:style w:type="character" w:customStyle="1" w:styleId="Heading3Char">
    <w:name w:val="Heading 3 Char"/>
    <w:basedOn w:val="DefaultParagraphFont"/>
    <w:link w:val="Heading3"/>
    <w:uiPriority w:val="3"/>
    <w:qFormat/>
    <w:rsid w:val="00245AD1"/>
    <w:rPr>
      <w:rFonts w:eastAsiaTheme="majorEastAsia" w:cstheme="majorBidi"/>
      <w:b/>
      <w:sz w:val="28"/>
      <w:szCs w:val="28"/>
    </w:rPr>
  </w:style>
  <w:style w:type="character" w:customStyle="1" w:styleId="Heading4Char">
    <w:name w:val="Heading 4 Char"/>
    <w:basedOn w:val="DefaultParagraphFont"/>
    <w:link w:val="Heading4"/>
    <w:uiPriority w:val="3"/>
    <w:qFormat/>
    <w:rsid w:val="00245AD1"/>
    <w:rPr>
      <w:rFonts w:eastAsiaTheme="majorEastAsia" w:cstheme="majorBidi"/>
      <w:b/>
      <w:bCs/>
      <w:color w:val="000000" w:themeColor="text1"/>
      <w:sz w:val="24"/>
      <w:szCs w:val="28"/>
    </w:rPr>
  </w:style>
  <w:style w:type="character" w:customStyle="1" w:styleId="Heading5Char">
    <w:name w:val="Heading 5 Char"/>
    <w:aliases w:val="Heading 2 - Body Char"/>
    <w:basedOn w:val="DefaultParagraphFont"/>
    <w:link w:val="Heading5"/>
    <w:uiPriority w:val="10"/>
    <w:semiHidden/>
    <w:qFormat/>
    <w:rsid w:val="00481549"/>
    <w:rPr>
      <w:rFonts w:ascii="Arial" w:eastAsiaTheme="majorEastAsia" w:hAnsi="Arial" w:cstheme="majorBidi"/>
      <w:snapToGrid w:val="0"/>
      <w:sz w:val="28"/>
      <w:szCs w:val="28"/>
    </w:rPr>
  </w:style>
  <w:style w:type="character" w:customStyle="1" w:styleId="Heading6Char">
    <w:name w:val="Heading 6 Char"/>
    <w:aliases w:val="Heading 3 - Body Char"/>
    <w:basedOn w:val="DefaultParagraphFont"/>
    <w:link w:val="Heading6"/>
    <w:uiPriority w:val="12"/>
    <w:semiHidden/>
    <w:qFormat/>
    <w:rsid w:val="00481549"/>
    <w:rPr>
      <w:rFonts w:eastAsiaTheme="majorEastAsia" w:cstheme="majorBidi"/>
      <w:sz w:val="24"/>
      <w:szCs w:val="28"/>
    </w:rPr>
  </w:style>
  <w:style w:type="character" w:customStyle="1" w:styleId="Heading7Char">
    <w:name w:val="Heading 7 Char"/>
    <w:basedOn w:val="DefaultParagraphFont"/>
    <w:link w:val="Heading7"/>
    <w:uiPriority w:val="12"/>
    <w:semiHidden/>
    <w:qFormat/>
    <w:rsid w:val="00481549"/>
    <w:rPr>
      <w:rFonts w:eastAsiaTheme="majorEastAsia" w:cstheme="majorBidi"/>
      <w:i/>
      <w:sz w:val="24"/>
      <w:szCs w:val="24"/>
    </w:rPr>
  </w:style>
  <w:style w:type="character" w:customStyle="1" w:styleId="Heading8Char">
    <w:name w:val="Heading 8 Char"/>
    <w:basedOn w:val="DefaultParagraphFont"/>
    <w:link w:val="Heading8"/>
    <w:uiPriority w:val="7"/>
    <w:semiHidden/>
    <w:qFormat/>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qFormat/>
    <w:rsid w:val="00645AB3"/>
    <w:rPr>
      <w:rFonts w:eastAsiaTheme="majorEastAsia" w:cstheme="majorBidi"/>
      <w:sz w:val="36"/>
      <w:szCs w:val="28"/>
    </w:rPr>
  </w:style>
  <w:style w:type="character" w:customStyle="1" w:styleId="BalloonTextChar">
    <w:name w:val="Balloon Text Char"/>
    <w:basedOn w:val="DefaultParagraphFont"/>
    <w:link w:val="BalloonText"/>
    <w:uiPriority w:val="9"/>
    <w:semiHidden/>
    <w:qFormat/>
    <w:rsid w:val="00F0542E"/>
    <w:rPr>
      <w:rFonts w:ascii="Segoe UI" w:hAnsi="Segoe UI" w:cs="Segoe UI"/>
      <w:sz w:val="18"/>
      <w:szCs w:val="18"/>
    </w:rPr>
  </w:style>
  <w:style w:type="character" w:styleId="Hyperlink">
    <w:name w:val="Hyperlink"/>
    <w:basedOn w:val="DefaultParagraphFont"/>
    <w:uiPriority w:val="99"/>
    <w:semiHidden/>
    <w:rsid w:val="00BA3306"/>
    <w:rPr>
      <w:color w:val="00B0F0"/>
      <w:u w:val="single"/>
    </w:rPr>
  </w:style>
  <w:style w:type="character" w:customStyle="1" w:styleId="FootnoteTextChar">
    <w:name w:val="Footnote Text Char"/>
    <w:basedOn w:val="DefaultParagraphFont"/>
    <w:link w:val="FootnoteText"/>
    <w:uiPriority w:val="99"/>
    <w:semiHidden/>
    <w:qFormat/>
    <w:rsid w:val="00481549"/>
    <w:rPr>
      <w:sz w:val="18"/>
      <w:szCs w:val="20"/>
    </w:rPr>
  </w:style>
  <w:style w:type="character" w:customStyle="1" w:styleId="FootnoteCharacters">
    <w:name w:val="Footnote Characters"/>
    <w:basedOn w:val="DefaultParagraphFont"/>
    <w:uiPriority w:val="99"/>
    <w:semiHidden/>
    <w:qFormat/>
    <w:rsid w:val="00BA3306"/>
    <w:rPr>
      <w:vertAlign w:val="superscript"/>
    </w:rPr>
  </w:style>
  <w:style w:type="character" w:styleId="FootnoteReference">
    <w:name w:val="footnote reference"/>
    <w:basedOn w:val="DefaultParagraphFont"/>
    <w:uiPriority w:val="99"/>
    <w:semiHidden/>
    <w:rsid w:val="00BA3306"/>
    <w:rPr>
      <w:vertAlign w:val="superscript"/>
    </w:rPr>
  </w:style>
  <w:style w:type="character" w:customStyle="1" w:styleId="CommentSubjectChar">
    <w:name w:val="Comment Subject Char"/>
    <w:basedOn w:val="DefaultParagraphFont"/>
    <w:link w:val="CommentSubject"/>
    <w:uiPriority w:val="99"/>
    <w:semiHidden/>
    <w:qFormat/>
    <w:rsid w:val="004E6CFF"/>
    <w:rPr>
      <w:b/>
      <w:bCs/>
      <w:sz w:val="20"/>
      <w:szCs w:val="20"/>
    </w:rPr>
  </w:style>
  <w:style w:type="character" w:customStyle="1" w:styleId="InstructionalTextChar">
    <w:name w:val="Instructional Text Char"/>
    <w:basedOn w:val="DefaultParagraphFont"/>
    <w:link w:val="InstructionalText"/>
    <w:uiPriority w:val="3"/>
    <w:qFormat/>
    <w:rsid w:val="00DD373C"/>
    <w:rPr>
      <w:rFonts w:cstheme="minorHAnsi"/>
      <w:color w:val="3366FF"/>
      <w:sz w:val="24"/>
    </w:rPr>
  </w:style>
  <w:style w:type="character" w:customStyle="1" w:styleId="CaptionChar">
    <w:name w:val="Caption Char"/>
    <w:aliases w:val="Table and Figure Char,Table Caption 1 Char,Figure caption Char,Figure caption1 Char Char Char,Figure Source Char,Caption Char1 Char Char,Caption Char Char Char Char,Caption Char1 Char1,Caption Table... Char,Caption Char1 + 8 pt Char,12 Char"/>
    <w:link w:val="Caption"/>
    <w:uiPriority w:val="35"/>
    <w:qFormat/>
    <w:rsid w:val="00AB52AD"/>
    <w:rPr>
      <w:rFonts w:ascii="Arial Narrow" w:eastAsiaTheme="majorEastAsia" w:hAnsi="Arial Narrow" w:cstheme="majorBidi"/>
      <w:b/>
      <w:bCs/>
      <w:iCs/>
      <w:sz w:val="20"/>
      <w:szCs w:val="18"/>
      <w:lang w:eastAsia="en-AU"/>
    </w:rPr>
  </w:style>
  <w:style w:type="character" w:customStyle="1" w:styleId="TableFooterChar">
    <w:name w:val="Table Footer Char"/>
    <w:link w:val="TableFooter"/>
    <w:qFormat/>
    <w:rsid w:val="00EA0D94"/>
    <w:rPr>
      <w:rFonts w:ascii="Arial Narrow" w:eastAsia="Times New Roman" w:hAnsi="Arial Narrow" w:cs="Arial"/>
      <w:sz w:val="18"/>
      <w:szCs w:val="20"/>
    </w:rPr>
  </w:style>
  <w:style w:type="character" w:customStyle="1" w:styleId="HeaderChar">
    <w:name w:val="Header Char"/>
    <w:aliases w:val="Page Header Char,Header title Char,he=header Char,cntr/bld Char"/>
    <w:basedOn w:val="DefaultParagraphFont"/>
    <w:link w:val="Header"/>
    <w:uiPriority w:val="99"/>
    <w:qFormat/>
    <w:rsid w:val="00481549"/>
    <w:rPr>
      <w:sz w:val="24"/>
    </w:rPr>
  </w:style>
  <w:style w:type="character" w:customStyle="1" w:styleId="FooterChar">
    <w:name w:val="Footer Char"/>
    <w:basedOn w:val="DefaultParagraphFont"/>
    <w:link w:val="Footer"/>
    <w:uiPriority w:val="99"/>
    <w:qFormat/>
    <w:rsid w:val="00481549"/>
    <w:rPr>
      <w:sz w:val="24"/>
    </w:rPr>
  </w:style>
  <w:style w:type="character" w:customStyle="1" w:styleId="ListParagraphChar">
    <w:name w:val="List Paragraph Char"/>
    <w:aliases w:val="PBAC ES numbered Paragraph Char,Body Text Bullet Points Char,Numbered para Char,BulletPoints Char,List Paragraph1 Char,Bullet point Char,List Paragraph11 Char,Recommendation Char,Section heading Char,Footnote Char,Figure_name Char"/>
    <w:basedOn w:val="DefaultParagraphFont"/>
    <w:link w:val="ListParagraph"/>
    <w:uiPriority w:val="34"/>
    <w:qFormat/>
    <w:locked/>
    <w:rsid w:val="00F12ED0"/>
    <w:rPr>
      <w:sz w:val="24"/>
      <w:lang w:eastAsia="en-AU"/>
    </w:rPr>
  </w:style>
  <w:style w:type="character" w:styleId="FollowedHyperlink">
    <w:name w:val="FollowedHyperlink"/>
    <w:basedOn w:val="DefaultParagraphFont"/>
    <w:uiPriority w:val="99"/>
    <w:semiHidden/>
    <w:rsid w:val="00177893"/>
    <w:rPr>
      <w:color w:val="954F72" w:themeColor="followedHyperlink"/>
      <w:u w:val="single"/>
    </w:rPr>
  </w:style>
  <w:style w:type="character" w:customStyle="1" w:styleId="Heading1subheadingChar">
    <w:name w:val="Heading 1 subheading Char"/>
    <w:basedOn w:val="Heading1Char"/>
    <w:link w:val="Heading1subheading"/>
    <w:uiPriority w:val="3"/>
    <w:qFormat/>
    <w:rsid w:val="00245AD1"/>
    <w:rPr>
      <w:rFonts w:ascii="Calibri" w:eastAsiaTheme="majorEastAsia" w:hAnsi="Calibri" w:cstheme="majorBidi"/>
      <w:b w:val="0"/>
      <w:caps/>
      <w:sz w:val="32"/>
      <w:szCs w:val="28"/>
    </w:rPr>
  </w:style>
  <w:style w:type="character" w:customStyle="1" w:styleId="Heading2SECTION2Char">
    <w:name w:val="Heading 2 SECTION 2 Char"/>
    <w:basedOn w:val="Heading2Char"/>
    <w:link w:val="Heading2SECTION2"/>
    <w:uiPriority w:val="3"/>
    <w:qFormat/>
    <w:rsid w:val="00394C83"/>
    <w:rPr>
      <w:rFonts w:ascii="Arial" w:eastAsiaTheme="majorEastAsia" w:hAnsi="Arial" w:cstheme="majorBidi"/>
      <w:b w:val="0"/>
      <w:i w:val="0"/>
      <w:snapToGrid w:val="0"/>
      <w:sz w:val="28"/>
      <w:szCs w:val="28"/>
    </w:rPr>
  </w:style>
  <w:style w:type="character" w:customStyle="1" w:styleId="CommentChar">
    <w:name w:val="Comment Char"/>
    <w:basedOn w:val="DefaultParagraphFont"/>
    <w:link w:val="Comment"/>
    <w:uiPriority w:val="4"/>
    <w:semiHidden/>
    <w:qFormat/>
    <w:rsid w:val="00481549"/>
    <w:rPr>
      <w:rFonts w:ascii="Calibri" w:eastAsia="Times New Roman" w:hAnsi="Calibri" w:cs="Tahoma"/>
      <w:i/>
      <w:color w:val="C00000"/>
      <w:lang w:eastAsia="en-AU"/>
    </w:rPr>
  </w:style>
  <w:style w:type="character" w:customStyle="1" w:styleId="TableTextChar">
    <w:name w:val="Table Text Char"/>
    <w:link w:val="TableText"/>
    <w:qFormat/>
    <w:rsid w:val="007D3BFB"/>
    <w:rPr>
      <w:rFonts w:ascii="Arial Narrow" w:hAnsi="Arial Narrow"/>
      <w:sz w:val="20"/>
    </w:rPr>
  </w:style>
  <w:style w:type="character" w:customStyle="1" w:styleId="PBACESHeading3Char">
    <w:name w:val="PBAC ES Heading 3 Char"/>
    <w:basedOn w:val="DefaultParagraphFont"/>
    <w:link w:val="PBACESHeading3"/>
    <w:uiPriority w:val="1"/>
    <w:qFormat/>
    <w:rsid w:val="00A21E43"/>
    <w:rPr>
      <w:rFonts w:asciiTheme="majorHAnsi" w:eastAsiaTheme="majorEastAsia" w:hAnsiTheme="majorHAnsi" w:cstheme="majorBidi"/>
      <w:b/>
      <w:sz w:val="24"/>
      <w:szCs w:val="28"/>
    </w:rPr>
  </w:style>
  <w:style w:type="character" w:customStyle="1" w:styleId="PBACESHeading2Char">
    <w:name w:val="PBAC ES Heading 2 Char"/>
    <w:basedOn w:val="Heading2Char"/>
    <w:link w:val="PBACESHeading2"/>
    <w:uiPriority w:val="1"/>
    <w:qFormat/>
    <w:rsid w:val="00133B1C"/>
    <w:rPr>
      <w:rFonts w:ascii="Arial" w:eastAsiaTheme="majorEastAsia" w:hAnsi="Arial" w:cstheme="majorBidi"/>
      <w:b/>
      <w:i/>
      <w:sz w:val="28"/>
      <w:szCs w:val="28"/>
    </w:rPr>
  </w:style>
  <w:style w:type="character" w:styleId="HTMLCite">
    <w:name w:val="HTML Cite"/>
    <w:basedOn w:val="DefaultParagraphFont"/>
    <w:uiPriority w:val="99"/>
    <w:semiHidden/>
    <w:rsid w:val="00D61F15"/>
    <w:rPr>
      <w:i/>
      <w:iCs/>
    </w:rPr>
  </w:style>
  <w:style w:type="character" w:customStyle="1" w:styleId="Heading2ClinicalChar">
    <w:name w:val="Heading 2 Clinical Char"/>
    <w:basedOn w:val="Heading4Char"/>
    <w:link w:val="Heading2Clinical"/>
    <w:uiPriority w:val="1"/>
    <w:semiHidden/>
    <w:qFormat/>
    <w:rsid w:val="00394C83"/>
    <w:rPr>
      <w:rFonts w:eastAsiaTheme="majorEastAsia" w:cstheme="majorBidi"/>
      <w:b/>
      <w:bCs/>
      <w:i/>
      <w:color w:val="000000" w:themeColor="text1"/>
      <w:sz w:val="28"/>
      <w:szCs w:val="28"/>
    </w:rPr>
  </w:style>
  <w:style w:type="character" w:customStyle="1" w:styleId="PBACESHeading1Char">
    <w:name w:val="PBAC ES Heading 1 Char"/>
    <w:basedOn w:val="Heading1Char"/>
    <w:link w:val="PBACESHeading1"/>
    <w:uiPriority w:val="1"/>
    <w:qFormat/>
    <w:rsid w:val="00245AD1"/>
    <w:rPr>
      <w:rFonts w:ascii="Calibri" w:eastAsia="Times New Roman" w:hAnsi="Calibri" w:cs="Arial"/>
      <w:b w:val="0"/>
      <w:sz w:val="32"/>
      <w:szCs w:val="32"/>
    </w:rPr>
  </w:style>
  <w:style w:type="character" w:customStyle="1" w:styleId="MSACHeading1Char">
    <w:name w:val="MSAC Heading 1 Char"/>
    <w:basedOn w:val="DefaultParagraphFont"/>
    <w:link w:val="MSACHeading1"/>
    <w:uiPriority w:val="1"/>
    <w:qFormat/>
    <w:rsid w:val="00245AD1"/>
    <w:rPr>
      <w:rFonts w:ascii="Arial" w:eastAsiaTheme="majorEastAsia" w:hAnsi="Arial" w:cstheme="majorBidi"/>
      <w:b/>
      <w:bCs/>
      <w:sz w:val="24"/>
      <w:szCs w:val="28"/>
    </w:rPr>
  </w:style>
  <w:style w:type="character" w:customStyle="1" w:styleId="TableNumberChar">
    <w:name w:val="Table Number Char"/>
    <w:basedOn w:val="TableTextChar"/>
    <w:link w:val="TableNumber"/>
    <w:qFormat/>
    <w:rsid w:val="007A0C94"/>
    <w:rPr>
      <w:rFonts w:ascii="Arial Narrow" w:hAnsi="Arial Narrow"/>
      <w:sz w:val="20"/>
    </w:rPr>
  </w:style>
  <w:style w:type="character" w:customStyle="1" w:styleId="MSACESParagraphChar">
    <w:name w:val="MSAC ES Paragraph Char"/>
    <w:basedOn w:val="DefaultParagraphFont"/>
    <w:link w:val="MSACESParagraph"/>
    <w:uiPriority w:val="1"/>
    <w:qFormat/>
    <w:rsid w:val="00EE0847"/>
    <w:rPr>
      <w:rFonts w:ascii="Calibri" w:eastAsia="Calibri" w:hAnsi="Calibri" w:cstheme="minorHAnsi"/>
      <w:sz w:val="24"/>
    </w:rPr>
  </w:style>
  <w:style w:type="character" w:customStyle="1" w:styleId="MainBodyBulletPointChar">
    <w:name w:val="MainBody Bullet Point Char"/>
    <w:basedOn w:val="DefaultParagraphFont"/>
    <w:link w:val="MainBodyBulletPoint"/>
    <w:uiPriority w:val="1"/>
    <w:qFormat/>
    <w:rsid w:val="00852A19"/>
    <w:rPr>
      <w:rFonts w:ascii="Calibri" w:hAnsi="Calibri" w:cstheme="minorHAnsi"/>
      <w:sz w:val="24"/>
    </w:rPr>
  </w:style>
  <w:style w:type="character" w:styleId="Emphasis">
    <w:name w:val="Emphasis"/>
    <w:basedOn w:val="DefaultParagraphFont"/>
    <w:uiPriority w:val="20"/>
    <w:semiHidden/>
    <w:rsid w:val="003D1FB3"/>
    <w:rPr>
      <w:i/>
      <w:iCs/>
    </w:rPr>
  </w:style>
  <w:style w:type="character" w:customStyle="1" w:styleId="TableRowHeaderChar">
    <w:name w:val="Table Row Header Char"/>
    <w:basedOn w:val="TableTextChar"/>
    <w:link w:val="TableRowHeader"/>
    <w:qFormat/>
    <w:rsid w:val="0015150F"/>
    <w:rPr>
      <w:rFonts w:ascii="Arial Narrow" w:hAnsi="Arial Narrow"/>
      <w:b/>
      <w:sz w:val="20"/>
    </w:rPr>
  </w:style>
  <w:style w:type="character" w:customStyle="1" w:styleId="3-BodyTextChar">
    <w:name w:val="3-Body Text Char"/>
    <w:basedOn w:val="ListParagraphChar"/>
    <w:link w:val="3-BodyText"/>
    <w:qFormat/>
    <w:rsid w:val="00C62BEB"/>
    <w:rPr>
      <w:sz w:val="24"/>
      <w:lang w:eastAsia="en-AU"/>
    </w:rPr>
  </w:style>
  <w:style w:type="character" w:customStyle="1" w:styleId="BodyTextChar">
    <w:name w:val="Body Text Char"/>
    <w:basedOn w:val="DefaultParagraphFont"/>
    <w:link w:val="BodyText"/>
    <w:uiPriority w:val="4"/>
    <w:semiHidden/>
    <w:qFormat/>
    <w:rsid w:val="009E2636"/>
    <w:rPr>
      <w:sz w:val="24"/>
    </w:rPr>
  </w:style>
  <w:style w:type="character" w:customStyle="1" w:styleId="4-SubsectionHeadingChar">
    <w:name w:val="4-Subsection Heading Char"/>
    <w:basedOn w:val="Heading2Char"/>
    <w:link w:val="4-SubsectionHeading"/>
    <w:qFormat/>
    <w:rsid w:val="00C15EDC"/>
    <w:rPr>
      <w:rFonts w:ascii="Arial" w:eastAsiaTheme="majorEastAsia" w:hAnsi="Arial" w:cstheme="majorBidi"/>
      <w:b/>
      <w:i/>
      <w:snapToGrid w:val="0"/>
      <w:spacing w:val="5"/>
      <w:kern w:val="2"/>
      <w:sz w:val="28"/>
      <w:szCs w:val="36"/>
      <w:lang w:eastAsia="en-AU"/>
    </w:rPr>
  </w:style>
  <w:style w:type="character" w:styleId="UnresolvedMention">
    <w:name w:val="Unresolved Mention"/>
    <w:basedOn w:val="DefaultParagraphFont"/>
    <w:uiPriority w:val="99"/>
    <w:semiHidden/>
    <w:unhideWhenUsed/>
    <w:rsid w:val="007C5313"/>
    <w:rPr>
      <w:color w:val="605E5C"/>
      <w:shd w:val="clear" w:color="auto" w:fill="E1DFDD"/>
    </w:rPr>
  </w:style>
  <w:style w:type="character" w:customStyle="1" w:styleId="1-MainHeadingChar">
    <w:name w:val="1-Main Heading Char"/>
    <w:basedOn w:val="DefaultParagraphFont"/>
    <w:link w:val="1-MainHeading"/>
    <w:qFormat/>
    <w:rsid w:val="006557E6"/>
    <w:rPr>
      <w:rFonts w:ascii="Calibri" w:eastAsiaTheme="majorEastAsia" w:hAnsi="Calibri" w:cstheme="majorBidi"/>
      <w:b/>
      <w:spacing w:val="5"/>
      <w:kern w:val="2"/>
      <w:sz w:val="36"/>
      <w:szCs w:val="36"/>
      <w:lang w:eastAsia="en-AU"/>
    </w:rPr>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aliases w:val="Table Title"/>
    <w:basedOn w:val="DefaultParagraphFont"/>
    <w:uiPriority w:val="99"/>
    <w:unhideWhenUsed/>
    <w:qFormat/>
    <w:rPr>
      <w:sz w:val="16"/>
      <w:szCs w:val="16"/>
    </w:rPr>
  </w:style>
  <w:style w:type="character" w:styleId="PlaceholderText">
    <w:name w:val="Placeholder Text"/>
    <w:basedOn w:val="DefaultParagraphFont"/>
    <w:uiPriority w:val="99"/>
    <w:semiHidden/>
    <w:rsid w:val="00150CD4"/>
    <w:rPr>
      <w:color w:val="666666"/>
    </w:rPr>
  </w:style>
  <w:style w:type="character" w:styleId="Mention">
    <w:name w:val="Mention"/>
    <w:basedOn w:val="DefaultParagraphFont"/>
    <w:uiPriority w:val="99"/>
    <w:unhideWhenUsed/>
    <w:rsid w:val="00697915"/>
    <w:rPr>
      <w:color w:val="2B579A"/>
      <w:shd w:val="clear" w:color="auto" w:fill="E1DFDD"/>
    </w:rPr>
  </w:style>
  <w:style w:type="character" w:styleId="LineNumber">
    <w:name w:val="line numbe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4"/>
    <w:semiHidden/>
    <w:unhideWhenUsed/>
    <w:rsid w:val="009E2636"/>
    <w:pPr>
      <w:spacing w:after="120"/>
    </w:pPr>
  </w:style>
  <w:style w:type="paragraph" w:styleId="List">
    <w:name w:val="List"/>
    <w:basedOn w:val="BodyText"/>
    <w:rPr>
      <w:rFonts w:cs="Lucida Sans"/>
    </w:rPr>
  </w:style>
  <w:style w:type="paragraph" w:styleId="Caption">
    <w:name w:val="caption"/>
    <w:aliases w:val="Table and Figure,Table Caption 1,Figure caption,Figure caption1 Char Char,Figure Source,Caption Char1 Char,Caption Char Char Char,Caption Char1,Caption Table...,Caption Char1 + 8 pt,Not B....,Caption Table,...,Caption 3,figure,Caption-FUSA,12"/>
    <w:basedOn w:val="Normal"/>
    <w:next w:val="Normal"/>
    <w:link w:val="CaptionChar"/>
    <w:uiPriority w:val="35"/>
    <w:qFormat/>
    <w:rsid w:val="009E3169"/>
    <w:pPr>
      <w:keepNext/>
      <w:tabs>
        <w:tab w:val="left" w:pos="1418"/>
      </w:tabs>
      <w:spacing w:before="240" w:after="0"/>
      <w:ind w:left="1418" w:hanging="1418"/>
      <w:contextualSpacing/>
      <w:jc w:val="left"/>
    </w:pPr>
    <w:rPr>
      <w:rFonts w:ascii="Arial Narrow" w:eastAsiaTheme="majorEastAsia" w:hAnsi="Arial Narrow" w:cstheme="majorBidi"/>
      <w:b/>
      <w:bCs/>
      <w:iCs/>
      <w:sz w:val="20"/>
      <w:szCs w:val="18"/>
      <w:lang w:eastAsia="en-AU"/>
    </w:rPr>
  </w:style>
  <w:style w:type="paragraph" w:customStyle="1" w:styleId="Index">
    <w:name w:val="Index"/>
    <w:basedOn w:val="Normal"/>
    <w:qFormat/>
    <w:pPr>
      <w:suppressLineNumbers/>
    </w:pPr>
    <w:rPr>
      <w:rFonts w:cs="Lucida Sans"/>
    </w:rPr>
  </w:style>
  <w:style w:type="paragraph" w:styleId="ListParagraph">
    <w:name w:val="List Paragraph"/>
    <w:aliases w:val="PBAC ES numbered Paragraph,Body Text Bullet Points,Numbered para,BulletPoints,List Paragraph1,Bullet point,List Paragraph11,Recommendation,Section heading,Footnote,PBAC ES Paragraph,Figure_name,Numbered Indented Text,Bullet- First level,l"/>
    <w:basedOn w:val="Normal"/>
    <w:link w:val="ListParagraphChar"/>
    <w:uiPriority w:val="34"/>
    <w:qFormat/>
    <w:rsid w:val="00C00F9C"/>
    <w:pPr>
      <w:spacing w:before="60" w:after="60"/>
      <w:ind w:left="720" w:hanging="720"/>
    </w:pPr>
    <w:rPr>
      <w:lang w:eastAsia="en-AU"/>
    </w:rPr>
  </w:style>
  <w:style w:type="paragraph" w:styleId="BalloonText">
    <w:name w:val="Balloon Text"/>
    <w:basedOn w:val="Normal"/>
    <w:link w:val="BalloonTextChar"/>
    <w:uiPriority w:val="9"/>
    <w:semiHidden/>
    <w:unhideWhenUsed/>
    <w:rsid w:val="00F0542E"/>
    <w:pPr>
      <w:suppressAutoHyphens w:val="0"/>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rPr>
      <w:color w:val="3366FF"/>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paragraph" w:styleId="FootnoteText">
    <w:name w:val="footnote text"/>
    <w:basedOn w:val="Normal"/>
    <w:link w:val="FootnoteTextChar"/>
    <w:uiPriority w:val="99"/>
    <w:semiHidden/>
    <w:rsid w:val="00BA3306"/>
    <w:pPr>
      <w:spacing w:before="0" w:after="0"/>
    </w:pPr>
    <w:rPr>
      <w:sz w:val="18"/>
      <w:szCs w:val="20"/>
    </w:rPr>
  </w:style>
  <w:style w:type="paragraph" w:styleId="CommentSubject">
    <w:name w:val="annotation subject"/>
    <w:basedOn w:val="Normal"/>
    <w:link w:val="CommentSubjectChar"/>
    <w:uiPriority w:val="99"/>
    <w:semiHidden/>
    <w:rsid w:val="004E6CFF"/>
    <w:pPr>
      <w:suppressAutoHyphens w:val="0"/>
    </w:pPr>
    <w:rPr>
      <w:b/>
      <w:bCs/>
      <w:sz w:val="20"/>
      <w:szCs w:val="20"/>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z w:val="18"/>
      <w:szCs w:val="20"/>
    </w:rPr>
  </w:style>
  <w:style w:type="paragraph" w:customStyle="1" w:styleId="HeaderandFooter">
    <w:name w:val="Header and Footer"/>
    <w:basedOn w:val="Normal"/>
    <w:qFormat/>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paragraph" w:styleId="Footer">
    <w:name w:val="footer"/>
    <w:basedOn w:val="Normal"/>
    <w:link w:val="FooterChar"/>
    <w:uiPriority w:val="99"/>
    <w:rsid w:val="00C317F3"/>
    <w:pPr>
      <w:tabs>
        <w:tab w:val="center" w:pos="4513"/>
        <w:tab w:val="right" w:pos="9026"/>
      </w:tabs>
      <w:spacing w:before="0" w:after="0"/>
    </w:p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z w:val="20"/>
      <w:szCs w:val="20"/>
    </w:rPr>
  </w:style>
  <w:style w:type="paragraph" w:styleId="NoSpacing">
    <w:name w:val="No Spacing"/>
    <w:uiPriority w:val="1"/>
    <w:qFormat/>
    <w:rsid w:val="00C317F3"/>
    <w:pPr>
      <w:widowControl w:val="0"/>
      <w:jc w:val="both"/>
    </w:pPr>
    <w:rPr>
      <w:rFonts w:ascii="Arial" w:eastAsia="Times New Roman" w:hAnsi="Arial"/>
      <w:szCs w:val="20"/>
    </w:rPr>
  </w:style>
  <w:style w:type="paragraph" w:styleId="NormalWeb">
    <w:name w:val="Normal (Web)"/>
    <w:basedOn w:val="Normal"/>
    <w:uiPriority w:val="99"/>
    <w:semiHidden/>
    <w:rsid w:val="00C317F3"/>
    <w:pPr>
      <w:suppressAutoHyphens w:val="0"/>
      <w:spacing w:before="100" w:after="100"/>
    </w:pPr>
    <w:rPr>
      <w:rFonts w:ascii="Times New Roman" w:eastAsia="Times New Roman" w:hAnsi="Times New Roman" w:cs="Times New Roman"/>
      <w:szCs w:val="20"/>
      <w:lang w:val="en-GB"/>
    </w:rPr>
  </w:style>
  <w:style w:type="paragraph" w:styleId="IndexHeading">
    <w:name w:val="index heading"/>
    <w:basedOn w:val="Heading"/>
  </w:style>
  <w:style w:type="paragraph" w:styleId="TOCHeading">
    <w:name w:val="TOC Heading"/>
    <w:basedOn w:val="Heading1"/>
    <w:next w:val="Normal"/>
    <w:uiPriority w:val="42"/>
    <w:semiHidden/>
    <w:rsid w:val="00C317F3"/>
    <w:pPr>
      <w:numPr>
        <w:numId w:val="0"/>
      </w:numPr>
      <w:suppressAutoHyphens w:val="0"/>
      <w:spacing w:before="480" w:after="0" w:line="276" w:lineRule="auto"/>
      <w:ind w:left="432" w:hanging="432"/>
      <w:outlineLvl w:val="9"/>
    </w:pPr>
    <w:rPr>
      <w:rFonts w:asciiTheme="majorHAnsi" w:hAnsiTheme="majorHAnsi"/>
      <w:b w:val="0"/>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z w:val="20"/>
      <w:szCs w:val="20"/>
    </w:rPr>
  </w:style>
  <w:style w:type="paragraph" w:styleId="Revision">
    <w:name w:val="Revision"/>
    <w:hidden/>
    <w:uiPriority w:val="99"/>
    <w:semiHidden/>
    <w:rsid w:val="00C317F3"/>
    <w:rPr>
      <w:rFonts w:ascii="Arial" w:eastAsia="Times New Roman" w:hAnsi="Arial"/>
      <w:szCs w:val="20"/>
    </w:rPr>
  </w:style>
  <w:style w:type="paragraph" w:customStyle="1" w:styleId="PBACESHeading1">
    <w:name w:val="PBAC ES Heading 1"/>
    <w:basedOn w:val="Heading1"/>
    <w:next w:val="ListParagraph"/>
    <w:link w:val="PBACESHeading1Char"/>
    <w:uiPriority w:val="1"/>
    <w:qFormat/>
    <w:rsid w:val="009B3C30"/>
    <w:pPr>
      <w:numPr>
        <w:numId w:val="10"/>
      </w:numPr>
      <w:tabs>
        <w:tab w:val="left" w:pos="1077"/>
      </w:tabs>
      <w:suppressAutoHyphens w:val="0"/>
      <w:spacing w:before="240" w:line="240" w:lineRule="auto"/>
    </w:pPr>
    <w:rPr>
      <w:rFonts w:asciiTheme="minorHAnsi" w:eastAsia="Times New Roman" w:hAnsiTheme="minorHAnsi" w:cs="Arial"/>
      <w:b w:val="0"/>
      <w:szCs w:val="32"/>
    </w:rPr>
  </w:style>
  <w:style w:type="paragraph" w:customStyle="1" w:styleId="Heading1subheading">
    <w:name w:val="Heading 1 subheading"/>
    <w:basedOn w:val="Heading1"/>
    <w:next w:val="Normal"/>
    <w:link w:val="Heading1subheadingChar"/>
    <w:uiPriority w:val="3"/>
    <w:qFormat/>
    <w:rsid w:val="00225FCB"/>
    <w:pPr>
      <w:numPr>
        <w:numId w:val="0"/>
      </w:numPr>
      <w:suppressAutoHyphens w:val="0"/>
      <w:ind w:left="432" w:hanging="432"/>
    </w:pPr>
    <w:rPr>
      <w:rFonts w:asciiTheme="minorHAnsi" w:hAnsiTheme="minorHAnsi"/>
      <w:b w:val="0"/>
      <w:caps/>
    </w:rPr>
  </w:style>
  <w:style w:type="paragraph" w:customStyle="1" w:styleId="Heading2SECTION2">
    <w:name w:val="Heading 2 SECTION 2"/>
    <w:basedOn w:val="Heading2"/>
    <w:next w:val="Normal"/>
    <w:link w:val="Heading2SECTION2Char"/>
    <w:uiPriority w:val="3"/>
    <w:qFormat/>
    <w:rsid w:val="00C934DC"/>
    <w:pPr>
      <w:numPr>
        <w:numId w:val="0"/>
      </w:numPr>
      <w:tabs>
        <w:tab w:val="left" w:pos="1134"/>
      </w:tabs>
      <w:ind w:left="864" w:hanging="864"/>
    </w:pPr>
    <w:rPr>
      <w:b w:val="0"/>
      <w:i w:val="0"/>
      <w:snapToGrid w:val="0"/>
    </w:rPr>
  </w:style>
  <w:style w:type="paragraph" w:customStyle="1" w:styleId="Comment">
    <w:name w:val="Comment"/>
    <w:basedOn w:val="Normal"/>
    <w:link w:val="CommentChar"/>
    <w:uiPriority w:val="4"/>
    <w:semiHidden/>
    <w:rsid w:val="0048761C"/>
    <w:pPr>
      <w:tabs>
        <w:tab w:val="left" w:pos="720"/>
      </w:tabs>
      <w:suppressAutoHyphens w:val="0"/>
      <w:spacing w:before="0" w:after="240" w:line="312" w:lineRule="auto"/>
    </w:pPr>
    <w:rPr>
      <w:rFonts w:ascii="Calibri" w:eastAsia="Times New Roman" w:hAnsi="Calibri" w:cs="Tahoma"/>
      <w:i/>
      <w:color w:val="C00000"/>
      <w:sz w:val="22"/>
      <w:lang w:eastAsia="en-AU"/>
    </w:rPr>
  </w:style>
  <w:style w:type="paragraph" w:customStyle="1" w:styleId="CommentTabletext">
    <w:name w:val="Comment Table text"/>
    <w:basedOn w:val="Normal"/>
    <w:uiPriority w:val="4"/>
    <w:semiHidden/>
    <w:rsid w:val="00900174"/>
    <w:pPr>
      <w:tabs>
        <w:tab w:val="left" w:pos="720"/>
      </w:tabs>
      <w:suppressAutoHyphens w:val="0"/>
      <w:spacing w:before="40" w:after="40"/>
      <w:ind w:left="720"/>
    </w:pPr>
    <w:rPr>
      <w:rFonts w:ascii="Arial Narrow" w:eastAsia="Times New Roman" w:hAnsi="Arial Narrow" w:cs="Tahoma"/>
      <w:i/>
      <w:sz w:val="20"/>
      <w:szCs w:val="20"/>
      <w:lang w:eastAsia="en-AU"/>
    </w:rPr>
  </w:style>
  <w:style w:type="paragraph" w:customStyle="1" w:styleId="PBACESHeading3">
    <w:name w:val="PBAC ES Heading 3"/>
    <w:basedOn w:val="Normal"/>
    <w:link w:val="PBACESHeading3Char"/>
    <w:uiPriority w:val="1"/>
    <w:qFormat/>
    <w:rsid w:val="00A21E43"/>
    <w:pPr>
      <w:keepNext/>
      <w:keepLines/>
      <w:spacing w:before="360" w:after="120"/>
      <w:ind w:left="1080" w:hanging="1080"/>
      <w:jc w:val="left"/>
      <w:outlineLvl w:val="1"/>
    </w:pPr>
    <w:rPr>
      <w:rFonts w:asciiTheme="majorHAnsi" w:eastAsiaTheme="majorEastAsia" w:hAnsiTheme="majorHAnsi" w:cstheme="majorBidi"/>
      <w:b/>
      <w:szCs w:val="28"/>
    </w:rPr>
  </w:style>
  <w:style w:type="paragraph" w:customStyle="1" w:styleId="Level1">
    <w:name w:val="Level 1"/>
    <w:basedOn w:val="Normal"/>
    <w:uiPriority w:val="3"/>
    <w:semiHidden/>
    <w:rsid w:val="001059D6"/>
    <w:pPr>
      <w:suppressAutoHyphens w:val="0"/>
    </w:pPr>
  </w:style>
  <w:style w:type="paragraph" w:customStyle="1" w:styleId="PBACESHeading2">
    <w:name w:val="PBAC ES Heading 2"/>
    <w:basedOn w:val="Heading2"/>
    <w:link w:val="PBACESHeading2Char"/>
    <w:uiPriority w:val="1"/>
    <w:qFormat/>
    <w:rsid w:val="007109D8"/>
    <w:pPr>
      <w:numPr>
        <w:ilvl w:val="0"/>
        <w:numId w:val="0"/>
      </w:numPr>
      <w:tabs>
        <w:tab w:val="num" w:pos="0"/>
      </w:tabs>
      <w:ind w:left="864" w:hanging="864"/>
    </w:p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paragraph" w:customStyle="1" w:styleId="Heading2Clinical">
    <w:name w:val="Heading 2 Clinical"/>
    <w:basedOn w:val="Heading3"/>
    <w:next w:val="Normal"/>
    <w:link w:val="Heading2ClinicalChar"/>
    <w:uiPriority w:val="1"/>
    <w:semiHidden/>
    <w:rsid w:val="000B35EA"/>
    <w:pPr>
      <w:numPr>
        <w:numId w:val="0"/>
      </w:numPr>
      <w:tabs>
        <w:tab w:val="left" w:pos="1418"/>
      </w:tabs>
    </w:pPr>
    <w:rPr>
      <w:b w:val="0"/>
      <w:i/>
    </w:rPr>
  </w:style>
  <w:style w:type="paragraph" w:customStyle="1" w:styleId="MSACHeading1">
    <w:name w:val="MSAC Heading 1"/>
    <w:basedOn w:val="Heading1"/>
    <w:next w:val="MSACESParagraph"/>
    <w:link w:val="MSACHeading1Char"/>
    <w:uiPriority w:val="1"/>
    <w:qFormat/>
    <w:rsid w:val="00A503CF"/>
    <w:pPr>
      <w:numPr>
        <w:numId w:val="14"/>
      </w:numPr>
      <w:suppressAutoHyphens w:val="0"/>
      <w:spacing w:before="160" w:after="240"/>
    </w:pPr>
    <w:rPr>
      <w:rFonts w:ascii="Arial" w:hAnsi="Arial"/>
      <w:bCs/>
      <w:sz w:val="24"/>
    </w:rPr>
  </w:style>
  <w:style w:type="paragraph" w:customStyle="1" w:styleId="MSACESParagraph">
    <w:name w:val="MSAC ES Paragraph"/>
    <w:link w:val="MSACESParagraphChar"/>
    <w:uiPriority w:val="1"/>
    <w:rsid w:val="00EE0847"/>
    <w:pPr>
      <w:spacing w:after="240"/>
      <w:jc w:val="both"/>
    </w:pPr>
    <w:rPr>
      <w:rFonts w:ascii="Calibri" w:eastAsia="Calibri" w:hAnsi="Calibri" w:cstheme="minorHAnsi"/>
      <w:sz w:val="24"/>
    </w:rPr>
  </w:style>
  <w:style w:type="paragraph" w:customStyle="1" w:styleId="ESHeading1">
    <w:name w:val="ES Heading 1"/>
    <w:basedOn w:val="Heading1"/>
    <w:next w:val="Heading1"/>
    <w:uiPriority w:val="8"/>
    <w:semiHidden/>
    <w:rsid w:val="00703418"/>
    <w:pPr>
      <w:numPr>
        <w:numId w:val="0"/>
      </w:numPr>
      <w:suppressAutoHyphens w:val="0"/>
      <w:spacing w:before="240" w:line="240" w:lineRule="auto"/>
      <w:ind w:left="720" w:hanging="720"/>
    </w:pPr>
    <w:rPr>
      <w:rFonts w:asciiTheme="minorHAnsi" w:eastAsia="Times New Roman" w:hAnsiTheme="minorHAnsi" w:cs="Arial"/>
      <w:b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b w:val="0"/>
      <w:i w:val="0"/>
      <w:snapToGrid w:val="0"/>
    </w:rPr>
  </w:style>
  <w:style w:type="paragraph" w:customStyle="1" w:styleId="ESHeadingCAPS">
    <w:name w:val="ES Heading CAPS"/>
    <w:basedOn w:val="ESHeading2"/>
    <w:uiPriority w:val="8"/>
    <w:semiHidden/>
    <w:rsid w:val="00703418"/>
    <w:rPr>
      <w:smallCaps/>
      <w:snapToGrid/>
      <w:sz w:val="32"/>
    </w:rPr>
  </w:style>
  <w:style w:type="paragraph" w:customStyle="1" w:styleId="ESHeading3">
    <w:name w:val="ES Heading 3"/>
    <w:basedOn w:val="ESHeading2"/>
    <w:uiPriority w:val="8"/>
    <w:semiHidden/>
    <w:rsid w:val="00703418"/>
    <w:pPr>
      <w:ind w:left="1080" w:hanging="1080"/>
    </w:pPr>
    <w:rPr>
      <w:snapToGrid/>
      <w:sz w:val="24"/>
    </w:rPr>
  </w:style>
  <w:style w:type="paragraph" w:customStyle="1" w:styleId="MainBodyBulletPoint">
    <w:name w:val="MainBody Bullet Point"/>
    <w:basedOn w:val="Normal"/>
    <w:link w:val="MainBodyBulletPointChar"/>
    <w:uiPriority w:val="1"/>
    <w:qFormat/>
    <w:rsid w:val="00852A19"/>
    <w:pPr>
      <w:numPr>
        <w:numId w:val="3"/>
      </w:numPr>
      <w:suppressAutoHyphens w:val="0"/>
      <w:spacing w:before="0" w:after="120"/>
      <w:ind w:left="1134"/>
      <w:jc w:val="left"/>
    </w:pPr>
    <w:rPr>
      <w:rFonts w:ascii="Calibri" w:hAnsi="Calibri" w:cstheme="minorHAnsi"/>
    </w:rPr>
  </w:style>
  <w:style w:type="paragraph" w:customStyle="1" w:styleId="In-tableHeading">
    <w:name w:val="In-table Heading"/>
    <w:qFormat/>
    <w:rsid w:val="000239BE"/>
    <w:pPr>
      <w:keepNext/>
    </w:pPr>
    <w:rPr>
      <w:rFonts w:ascii="Arial Narrow" w:eastAsiaTheme="majorEastAsia" w:hAnsi="Arial Narrow" w:cs="Times New Roman"/>
      <w:b/>
      <w:sz w:val="20"/>
      <w:szCs w:val="24"/>
      <w:lang w:val="en-US" w:eastAsia="en-AU"/>
    </w:rPr>
  </w:style>
  <w:style w:type="paragraph" w:customStyle="1" w:styleId="2-SectionHeading">
    <w:name w:val="2-Section Heading"/>
    <w:next w:val="3-BodyText"/>
    <w:qFormat/>
    <w:rsid w:val="00D611E5"/>
    <w:pPr>
      <w:keepNext/>
      <w:spacing w:before="240" w:after="120"/>
      <w:ind w:left="720" w:hanging="720"/>
      <w:outlineLvl w:val="0"/>
    </w:pPr>
    <w:rPr>
      <w:rFonts w:eastAsia="Times New Roman"/>
      <w:b/>
      <w:sz w:val="32"/>
      <w:szCs w:val="32"/>
      <w:lang w:eastAsia="en-AU"/>
    </w:rPr>
  </w:style>
  <w:style w:type="paragraph" w:customStyle="1" w:styleId="3-BodyText">
    <w:name w:val="3-Body Text"/>
    <w:link w:val="3-BodyTextChar"/>
    <w:qFormat/>
    <w:rsid w:val="00D611E5"/>
    <w:pPr>
      <w:numPr>
        <w:ilvl w:val="1"/>
        <w:numId w:val="2"/>
      </w:numPr>
      <w:spacing w:before="60" w:after="60"/>
      <w:jc w:val="both"/>
    </w:pPr>
    <w:rPr>
      <w:sz w:val="24"/>
      <w:lang w:eastAsia="en-AU"/>
    </w:rPr>
  </w:style>
  <w:style w:type="paragraph" w:customStyle="1" w:styleId="4-SubsectionHeading">
    <w:name w:val="4-Subsection Heading"/>
    <w:basedOn w:val="Heading2"/>
    <w:next w:val="3-BodyText"/>
    <w:link w:val="4-SubsectionHeadingChar"/>
    <w:qFormat/>
    <w:rsid w:val="00C13426"/>
    <w:pPr>
      <w:keepLines w:val="0"/>
      <w:numPr>
        <w:ilvl w:val="0"/>
        <w:numId w:val="0"/>
      </w:numPr>
      <w:spacing w:before="120"/>
      <w:jc w:val="both"/>
    </w:pPr>
    <w:rPr>
      <w:snapToGrid w:val="0"/>
      <w:spacing w:val="5"/>
      <w:kern w:val="2"/>
      <w:szCs w:val="36"/>
      <w:lang w:eastAsia="en-AU"/>
    </w:rPr>
  </w:style>
  <w:style w:type="paragraph" w:customStyle="1" w:styleId="1-MainHeading">
    <w:name w:val="1-Main Heading"/>
    <w:next w:val="Normal"/>
    <w:link w:val="1-MainHeadingChar"/>
    <w:qFormat/>
    <w:rsid w:val="00D611E5"/>
    <w:pPr>
      <w:keepNext/>
      <w:spacing w:before="120" w:after="160"/>
      <w:ind w:left="720" w:hanging="720"/>
      <w:outlineLvl w:val="0"/>
    </w:pPr>
    <w:rPr>
      <w:rFonts w:ascii="Calibri" w:eastAsiaTheme="majorEastAsia" w:hAnsi="Calibri" w:cstheme="majorBidi"/>
      <w:b/>
      <w:spacing w:val="5"/>
      <w:kern w:val="2"/>
      <w:sz w:val="36"/>
      <w:szCs w:val="36"/>
      <w:lang w:eastAsia="en-AU"/>
    </w:rPr>
  </w:style>
  <w:style w:type="paragraph" w:styleId="ListBullet">
    <w:name w:val="List Bullet"/>
    <w:basedOn w:val="Normal"/>
    <w:uiPriority w:val="99"/>
    <w:semiHidden/>
    <w:rsid w:val="002E18C1"/>
    <w:pPr>
      <w:numPr>
        <w:numId w:val="4"/>
      </w:numPr>
      <w:contextualSpacing/>
    </w:pPr>
  </w:style>
  <w:style w:type="paragraph" w:styleId="CommentText">
    <w:name w:val="annotation text"/>
    <w:basedOn w:val="Normal"/>
    <w:link w:val="CommentTextChar"/>
    <w:uiPriority w:val="99"/>
    <w:unhideWhenUsed/>
    <w:rPr>
      <w:sz w:val="20"/>
      <w:szCs w:val="20"/>
    </w:rPr>
  </w:style>
  <w:style w:type="paragraph" w:customStyle="1" w:styleId="Bulletpoints">
    <w:name w:val="Bullet points"/>
    <w:basedOn w:val="Normal"/>
    <w:rsid w:val="00F97B2E"/>
    <w:pPr>
      <w:suppressAutoHyphens w:val="0"/>
      <w:spacing w:before="0" w:after="120"/>
      <w:ind w:left="720"/>
      <w:contextualSpacing/>
    </w:pPr>
    <w:rPr>
      <w:rFonts w:ascii="Calibri" w:eastAsia="Times New Roman" w:hAnsi="Calibri" w:cs="Arial"/>
      <w:szCs w:val="24"/>
      <w:lang w:eastAsia="en-AU"/>
    </w:rPr>
  </w:style>
  <w:style w:type="paragraph" w:customStyle="1" w:styleId="PBACESHeadingCAPS">
    <w:name w:val="PBAC ES Heading CAPS"/>
    <w:basedOn w:val="PBACESHeading2"/>
    <w:uiPriority w:val="1"/>
    <w:qFormat/>
    <w:rsid w:val="0026322F"/>
    <w:pPr>
      <w:tabs>
        <w:tab w:val="clear" w:pos="0"/>
        <w:tab w:val="left" w:pos="360"/>
      </w:tabs>
      <w:ind w:left="0" w:firstLine="0"/>
    </w:pPr>
    <w:rPr>
      <w:rFonts w:asciiTheme="majorHAnsi" w:hAnsiTheme="majorHAnsi"/>
      <w:b w:val="0"/>
      <w:i w:val="0"/>
      <w:smallCaps/>
      <w:snapToGrid w:val="0"/>
      <w:sz w:val="32"/>
    </w:rPr>
  </w:style>
  <w:style w:type="paragraph" w:customStyle="1" w:styleId="MSACESHeading2">
    <w:name w:val="MSAC ES Heading 2"/>
    <w:basedOn w:val="Heading2"/>
    <w:next w:val="Normal"/>
    <w:uiPriority w:val="1"/>
    <w:rsid w:val="0026322F"/>
    <w:pPr>
      <w:numPr>
        <w:ilvl w:val="0"/>
        <w:numId w:val="0"/>
      </w:numPr>
      <w:tabs>
        <w:tab w:val="left" w:pos="360"/>
      </w:tabs>
    </w:pPr>
    <w:rPr>
      <w:rFonts w:ascii="Cambria" w:hAnsi="Cambria"/>
      <w:b w:val="0"/>
      <w:i w:val="0"/>
      <w:snapToGrid w:val="0"/>
      <w:sz w:val="24"/>
    </w:rPr>
  </w:style>
  <w:style w:type="paragraph" w:customStyle="1" w:styleId="FrameContents">
    <w:name w:val="Frame Contents"/>
    <w:basedOn w:val="Normal"/>
    <w:qFormat/>
  </w:style>
  <w:style w:type="numbering" w:customStyle="1" w:styleId="Headings">
    <w:name w:val="Headings"/>
    <w:uiPriority w:val="99"/>
    <w:qFormat/>
    <w:rsid w:val="00C317F3"/>
    <w:pPr>
      <w:numPr>
        <w:numId w:val="11"/>
      </w:numPr>
    </w:pPr>
  </w:style>
  <w:style w:type="numbering" w:customStyle="1" w:styleId="MSACESBulletpoints">
    <w:name w:val="MSAC ES Bullet points"/>
    <w:uiPriority w:val="99"/>
    <w:qFormat/>
    <w:rsid w:val="00FA1A77"/>
  </w:style>
  <w:style w:type="numbering" w:customStyle="1" w:styleId="Style1">
    <w:name w:val="Style1"/>
    <w:uiPriority w:val="99"/>
    <w:qFormat/>
    <w:rsid w:val="009A580E"/>
    <w:pPr>
      <w:numPr>
        <w:numId w:val="12"/>
      </w:numPr>
    </w:pPr>
  </w:style>
  <w:style w:type="numbering" w:customStyle="1" w:styleId="Style2">
    <w:name w:val="Style2"/>
    <w:uiPriority w:val="99"/>
    <w:qFormat/>
    <w:rsid w:val="002A391F"/>
    <w:pPr>
      <w:numPr>
        <w:numId w:val="13"/>
      </w:numPr>
    </w:pPr>
  </w:style>
  <w:style w:type="numbering" w:customStyle="1" w:styleId="Style3">
    <w:name w:val="Style3"/>
    <w:uiPriority w:val="99"/>
    <w:qFormat/>
    <w:rsid w:val="0076446C"/>
  </w:style>
  <w:style w:type="table" w:styleId="TableGrid">
    <w:name w:val="Table Grid"/>
    <w:aliases w:val="Summary box,Table Gridbeth,CMA Table Template,ASD Table,MSD Table Grid,RTI AMCP Table,new style,PBAC table,Table Grid nm,HTAtableplain,HealthConsult,Dossier table,Section 3- footnotes,Summary Table"/>
    <w:basedOn w:val="TableNormal"/>
    <w:uiPriority w:val="59"/>
    <w:rsid w:val="004033BF"/>
    <w:rPr>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rPr>
      <w:tblPr/>
      <w:tcPr>
        <w:shd w:val="clear" w:color="auto" w:fill="F2F2F2" w:themeFill="background1" w:themeFillShade="F2"/>
      </w:tcPr>
    </w:tblStylePr>
  </w:style>
  <w:style w:type="table" w:customStyle="1" w:styleId="PBACTableStyle">
    <w:name w:val="PBAC Table Style"/>
    <w:basedOn w:val="TableGrid1"/>
    <w:uiPriority w:val="99"/>
    <w:rsid w:val="004A5746"/>
    <w:pPr>
      <w:jc w:val="center"/>
    </w:pPr>
    <w:rPr>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pPr>
        <w:wordWrap/>
        <w:spacing w:beforeLines="0" w:before="0" w:afterLines="0" w:after="0" w:line="240" w:lineRule="auto"/>
        <w:ind w:rightChars="0" w:right="57"/>
        <w:jc w:val="center"/>
      </w:pPr>
      <w:rPr>
        <w:b/>
        <w:sz w:val="20"/>
      </w:rPr>
    </w:tblStylePr>
    <w:tblStylePr w:type="lastRow">
      <w:rPr>
        <w:i/>
      </w:rPr>
      <w:tblPr/>
      <w:tcPr>
        <w:tcBorders>
          <w:tl2br w:val="none" w:sz="0" w:space="0" w:color="auto"/>
          <w:tr2bl w:val="none" w:sz="0" w:space="0" w:color="auto"/>
        </w:tcBorders>
      </w:tcPr>
    </w:tblStylePr>
    <w:tblStylePr w:type="firstCol">
      <w:pPr>
        <w:wordWrap/>
        <w:spacing w:beforeLines="0" w:before="0" w:afterLines="0" w:after="0" w:line="240" w:lineRule="auto"/>
        <w:ind w:rightChars="0" w:right="0"/>
        <w:jc w:val="left"/>
      </w:pPr>
      <w:rPr>
        <w:sz w:val="20"/>
      </w:rPr>
    </w:tblStylePr>
    <w:tblStylePr w:type="lastCol">
      <w:pPr>
        <w:wordWrap/>
        <w:spacing w:beforeLines="0" w:before="0" w:afterLines="0" w:after="0" w:line="240" w:lineRule="auto"/>
        <w:ind w:rightChars="0" w:right="0"/>
      </w:pPr>
      <w:rPr>
        <w:i/>
        <w:sz w:val="20"/>
      </w:rPr>
      <w:tblPr/>
      <w:tcPr>
        <w:tcBorders>
          <w:tl2br w:val="none" w:sz="0" w:space="0" w:color="auto"/>
          <w:tr2bl w:val="none" w:sz="0" w:space="0" w:color="auto"/>
        </w:tcBorders>
      </w:tcPr>
    </w:tblStylePr>
  </w:style>
  <w:style w:type="table" w:styleId="ListTable1Light">
    <w:name w:val="List Table 1 Light"/>
    <w:basedOn w:val="TableNormal"/>
    <w:uiPriority w:val="46"/>
    <w:rsid w:val="00062018"/>
    <w:tblPr>
      <w:tblStyleRowBandSize w:val="1"/>
      <w:tblStyleColBandSize w:val="1"/>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Accent6">
    <w:name w:val="List Table 7 Colorful Accent 6"/>
    <w:basedOn w:val="TableNormal"/>
    <w:uiPriority w:val="52"/>
    <w:rsid w:val="00062018"/>
    <w:rPr>
      <w:color w:val="538135" w:themeColor="accent6"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1">
    <w:name w:val="Table Grid 1"/>
    <w:basedOn w:val="TableNormal"/>
    <w:uiPriority w:val="99"/>
    <w:semiHidden/>
    <w:unhideWhenUsed/>
    <w:rsid w:val="00264773"/>
    <w:pPr>
      <w:spacing w:before="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ListTable1Light1">
    <w:name w:val="List Table 1 Light1"/>
    <w:basedOn w:val="TableNormal"/>
    <w:uiPriority w:val="46"/>
    <w:rsid w:val="00104A1D"/>
    <w:tblPr>
      <w:tblStyleRowBandSize w:val="1"/>
      <w:tblStyleColBandSize w:val="1"/>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rPr>
      <w:color w:val="538135" w:themeColor="accent6"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SDTable1">
    <w:name w:val="ASD Table1"/>
    <w:basedOn w:val="TableNormal"/>
    <w:uiPriority w:val="39"/>
    <w:rsid w:val="00CD7A48"/>
    <w:rPr>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
    <w:name w:val="HTA Table shaded"/>
    <w:basedOn w:val="TableNormal"/>
    <w:rsid w:val="0075031C"/>
    <w:pPr>
      <w:spacing w:before="40" w:after="20"/>
    </w:pPr>
    <w:rPr>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styleId="PlainTable2">
    <w:name w:val="Plain Table 2"/>
    <w:basedOn w:val="TableNormal"/>
    <w:uiPriority w:val="42"/>
    <w:rsid w:val="00275F25"/>
    <w:rPr>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BACTableStyle1">
    <w:name w:val="PBAC Table Style1"/>
    <w:basedOn w:val="TableGrid1"/>
    <w:uiPriority w:val="99"/>
    <w:rsid w:val="00876B12"/>
    <w:pPr>
      <w:jc w:val="center"/>
    </w:pPr>
    <w:rPr>
      <w:color w:val="000000" w:themeColor="text1"/>
      <w:sz w:val="20"/>
      <w:szCs w:val="20"/>
      <w:lang w:val="en-US"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afterLines="0" w:after="0" w:line="240" w:lineRule="auto"/>
        <w:ind w:rightChars="0" w:right="57"/>
        <w:jc w:val="center"/>
      </w:pPr>
      <w:rPr>
        <w:b/>
        <w:sz w:val="20"/>
      </w:rPr>
    </w:tblStylePr>
    <w:tblStylePr w:type="lastRow">
      <w:rPr>
        <w:i/>
      </w:rPr>
      <w:tblPr/>
      <w:tcPr>
        <w:tcBorders>
          <w:tl2br w:val="none" w:sz="0" w:space="0" w:color="auto"/>
          <w:tr2bl w:val="none" w:sz="0" w:space="0" w:color="auto"/>
        </w:tcBorders>
      </w:tcPr>
    </w:tblStylePr>
    <w:tblStylePr w:type="firstCol">
      <w:pPr>
        <w:wordWrap/>
        <w:spacing w:beforeLines="0" w:before="0" w:afterLines="0" w:after="0" w:line="240" w:lineRule="auto"/>
        <w:ind w:rightChars="0" w:right="0"/>
        <w:jc w:val="left"/>
      </w:pPr>
      <w:rPr>
        <w:sz w:val="20"/>
      </w:rPr>
    </w:tblStylePr>
    <w:tblStylePr w:type="lastCol">
      <w:pPr>
        <w:wordWrap/>
        <w:spacing w:beforeLines="0" w:before="0" w:afterLines="0" w:after="0" w:line="240" w:lineRule="auto"/>
        <w:ind w:rightChars="0" w:right="0"/>
      </w:pPr>
      <w:rPr>
        <w:i/>
        <w:sz w:val="20"/>
      </w:rPr>
      <w:tblPr/>
      <w:tcPr>
        <w:tcBorders>
          <w:tl2br w:val="none" w:sz="0" w:space="0" w:color="auto"/>
          <w:tr2bl w:val="none" w:sz="0" w:space="0" w:color="auto"/>
        </w:tcBorders>
      </w:tcPr>
    </w:tblStylePr>
  </w:style>
  <w:style w:type="character" w:customStyle="1" w:styleId="cf01">
    <w:name w:val="cf01"/>
    <w:basedOn w:val="DefaultParagraphFont"/>
    <w:rsid w:val="00476A25"/>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F47405"/>
    <w:pPr>
      <w:keepLines w:val="0"/>
      <w:numPr>
        <w:ilvl w:val="0"/>
        <w:numId w:val="0"/>
      </w:numPr>
      <w:spacing w:before="120"/>
      <w:jc w:val="both"/>
      <w:outlineLvl w:val="9"/>
    </w:pPr>
    <w:rPr>
      <w:spacing w:val="5"/>
      <w:kern w:val="28"/>
      <w:szCs w:val="36"/>
    </w:rPr>
  </w:style>
  <w:style w:type="character" w:customStyle="1" w:styleId="3-SubsectionHeadingChar">
    <w:name w:val="3-Subsection Heading Char"/>
    <w:basedOn w:val="Heading2Char"/>
    <w:link w:val="3-SubsectionHeading"/>
    <w:rsid w:val="00F47405"/>
    <w:rPr>
      <w:rFonts w:ascii="Arial" w:eastAsiaTheme="majorEastAsia" w:hAnsi="Arial" w:cstheme="majorBidi"/>
      <w:b/>
      <w:i/>
      <w:spacing w:val="5"/>
      <w:kern w:val="28"/>
      <w:sz w:val="28"/>
      <w:szCs w:val="36"/>
    </w:rPr>
  </w:style>
  <w:style w:type="paragraph" w:customStyle="1" w:styleId="TableHeader">
    <w:name w:val="Table Header"/>
    <w:basedOn w:val="Normal"/>
    <w:uiPriority w:val="3"/>
    <w:rsid w:val="002567BB"/>
    <w:pPr>
      <w:suppressAutoHyphens w:val="0"/>
      <w:spacing w:before="0" w:after="0"/>
    </w:pPr>
    <w:rPr>
      <w:rFonts w:ascii="Calibri" w:eastAsia="Times New Roman" w:hAnsi="Calibri" w:cs="Arial"/>
      <w:b/>
      <w:sz w:val="20"/>
      <w:szCs w:val="24"/>
      <w:lang w:eastAsia="en-AU"/>
    </w:rPr>
  </w:style>
  <w:style w:type="paragraph" w:customStyle="1" w:styleId="TableFigureHeading">
    <w:name w:val="Table/Figure Heading"/>
    <w:link w:val="TableFigureHeadingChar"/>
    <w:qFormat/>
    <w:rsid w:val="002567BB"/>
    <w:pPr>
      <w:keepNext/>
      <w:suppressAutoHyphens w:val="0"/>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2567BB"/>
    <w:rPr>
      <w:rFonts w:ascii="Arial Narrow" w:eastAsiaTheme="majorEastAsia" w:hAnsi="Arial Narrow" w:cstheme="majorBidi"/>
      <w:b/>
      <w:bCs/>
      <w:sz w:val="20"/>
      <w:szCs w:val="24"/>
      <w:lang w:eastAsia="en-AU"/>
    </w:rPr>
  </w:style>
  <w:style w:type="paragraph" w:customStyle="1" w:styleId="TableHeading">
    <w:name w:val="TableHeading"/>
    <w:basedOn w:val="Normal"/>
    <w:rsid w:val="002567BB"/>
    <w:pPr>
      <w:keepNext/>
      <w:suppressAutoHyphens w:val="0"/>
      <w:spacing w:before="40" w:after="40"/>
    </w:pPr>
    <w:rPr>
      <w:rFonts w:ascii="Arial Narrow" w:eastAsia="Times New Roman" w:hAnsi="Arial Narrow" w:cs="Arial Narrow"/>
      <w:b/>
      <w:bCs/>
      <w:sz w:val="20"/>
      <w:szCs w:val="20"/>
    </w:rPr>
  </w:style>
  <w:style w:type="paragraph" w:customStyle="1" w:styleId="5-SubsectionSubheading">
    <w:name w:val="5-Subsection Subheading"/>
    <w:basedOn w:val="Heading3"/>
    <w:next w:val="3-BodyText"/>
    <w:link w:val="5-SubsectionSubheadingChar"/>
    <w:qFormat/>
    <w:rsid w:val="00D014D6"/>
    <w:pPr>
      <w:numPr>
        <w:ilvl w:val="0"/>
        <w:numId w:val="0"/>
      </w:numPr>
      <w:spacing w:before="40" w:after="0"/>
    </w:pPr>
    <w:rPr>
      <w:color w:val="000000" w:themeColor="text1"/>
      <w:sz w:val="24"/>
      <w:szCs w:val="24"/>
      <w:lang w:eastAsia="en-AU"/>
    </w:rPr>
  </w:style>
  <w:style w:type="character" w:customStyle="1" w:styleId="5-SubsectionSubheadingChar">
    <w:name w:val="5-Subsection Subheading Char"/>
    <w:basedOn w:val="DefaultParagraphFont"/>
    <w:link w:val="5-SubsectionSubheading"/>
    <w:rsid w:val="00D014D6"/>
    <w:rPr>
      <w:rFonts w:eastAsiaTheme="majorEastAsia" w:cstheme="majorBidi"/>
      <w:b/>
      <w:color w:val="000000" w:themeColor="text1"/>
      <w:sz w:val="24"/>
      <w:szCs w:val="24"/>
      <w:lang w:eastAsia="en-AU"/>
    </w:rPr>
  </w:style>
  <w:style w:type="character" w:customStyle="1" w:styleId="eop">
    <w:name w:val="eop"/>
    <w:basedOn w:val="DefaultParagraphFont"/>
    <w:rsid w:val="005C4508"/>
  </w:style>
  <w:style w:type="paragraph" w:customStyle="1" w:styleId="paragraph">
    <w:name w:val="paragraph"/>
    <w:basedOn w:val="Normal"/>
    <w:rsid w:val="005C4508"/>
    <w:pPr>
      <w:suppressAutoHyphens w:val="0"/>
      <w:spacing w:before="100" w:beforeAutospacing="1" w:after="100" w:afterAutospacing="1"/>
      <w:jc w:val="left"/>
    </w:pPr>
    <w:rPr>
      <w:rFonts w:ascii="Times New Roman" w:eastAsia="Times New Roman" w:hAnsi="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8F2CDC8F-A34D-4030-96A9-258F430B3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9C239F-1674-44D9-9079-07753DDDE27E}">
  <ds:schemaRefs>
    <ds:schemaRef ds:uri="http://schemas.openxmlformats.org/officeDocument/2006/bibliography"/>
  </ds:schemaRefs>
</ds:datastoreItem>
</file>

<file path=customXml/itemProps3.xml><?xml version="1.0" encoding="utf-8"?>
<ds:datastoreItem xmlns:ds="http://schemas.openxmlformats.org/officeDocument/2006/customXml" ds:itemID="{20DB7CDA-E34A-4383-9156-A97054A810E1}">
  <ds:schemaRefs>
    <ds:schemaRef ds:uri="http://schemas.microsoft.com/sharepoint/v3/contenttype/forms"/>
  </ds:schemaRefs>
</ds:datastoreItem>
</file>

<file path=customXml/itemProps4.xml><?xml version="1.0" encoding="utf-8"?>
<ds:datastoreItem xmlns:ds="http://schemas.openxmlformats.org/officeDocument/2006/customXml" ds:itemID="{0ABF1E68-E55F-4F16-94EF-373F09E429C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16795</Words>
  <Characters>96577</Characters>
  <Application>Microsoft Office Word</Application>
  <DocSecurity>0</DocSecurity>
  <Lines>3219</Lines>
  <Paragraphs>1799</Paragraphs>
  <ScaleCrop>false</ScaleCrop>
  <Company/>
  <LinksUpToDate>false</LinksUpToDate>
  <CharactersWithSpaces>111573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2026-05-29T17:17:00Z</dcterms:created>
  <dcterms:modified xsi:type="dcterms:W3CDTF">2026-07-15T23:50:00Z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13c239d5,355c8b7,25527a5b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18f3e94d,700cc623,4e79e22f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2026-05-18T01:07:51Z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5e2cb515-2a34-4122-b5b0-0c962362a0f2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6893200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0x0101007FED174C5281F747A8037A05221D6DBD</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docLang">
    <vt:lpwstr>en</vt:lpwstr>
  </property>
  <property fmtid="{D5CDD505-2E9C-101B-9397-08002B2CF9AE}" pid="25" name="xd_Signature">
    <vt:bool>false</vt:bool>
  </property>
</Properties>
</file>